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2-2</w:t>
      </w:r>
    </w:p>
    <w:p>
      <w:pPr>
        <w:spacing w:before="23"/>
        <w:ind w:left="920" w:right="0" w:firstLine="0"/>
        <w:jc w:val="left"/>
        <w:rPr>
          <w:sz w:val="18"/>
        </w:rPr>
      </w:pPr>
      <w:r>
        <w:rPr/>
        <w:br w:type="column"/>
      </w:r>
      <w:r>
        <w:rPr>
          <w:sz w:val="18"/>
        </w:rPr>
        <w:t>渤海人寿[2016]疾病保险 015 号</w:t>
      </w:r>
    </w:p>
    <w:p>
      <w:pPr>
        <w:spacing w:after="0"/>
        <w:jc w:val="left"/>
        <w:rPr>
          <w:sz w:val="18"/>
        </w:rPr>
        <w:sectPr>
          <w:footerReference w:type="default" r:id="rId5"/>
          <w:type w:val="continuous"/>
          <w:pgSz w:w="11910" w:h="16840"/>
          <w:pgMar w:footer="150" w:top="920" w:bottom="340" w:left="880" w:right="380"/>
          <w:pgNumType w:start="1"/>
          <w:cols w:num="2" w:equalWidth="0">
            <w:col w:w="1978" w:space="5105"/>
            <w:col w:w="3567"/>
          </w:cols>
        </w:sectPr>
      </w:pPr>
    </w:p>
    <w:p>
      <w:pPr>
        <w:pStyle w:val="BodyText"/>
        <w:rPr>
          <w:sz w:val="14"/>
        </w:rPr>
      </w:pPr>
    </w:p>
    <w:p>
      <w:pPr>
        <w:spacing w:line="439" w:lineRule="exact" w:before="0"/>
        <w:ind w:left="1541" w:right="2029" w:firstLine="0"/>
        <w:jc w:val="center"/>
        <w:rPr>
          <w:rFonts w:ascii="Microsoft JhengHei" w:eastAsia="Microsoft JhengHei" w:hint="eastAsia"/>
          <w:b/>
          <w:sz w:val="32"/>
        </w:rPr>
      </w:pPr>
      <w:r>
        <w:rPr/>
        <w:drawing>
          <wp:anchor distT="0" distB="0" distL="0" distR="0" allowOverlap="1" layoutInCell="1" locked="0" behindDoc="0" simplePos="0" relativeHeight="1048">
            <wp:simplePos x="0" y="0"/>
            <wp:positionH relativeFrom="page">
              <wp:posOffset>6096000</wp:posOffset>
            </wp:positionH>
            <wp:positionV relativeFrom="paragraph">
              <wp:posOffset>-282049</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rFonts w:ascii="Microsoft JhengHei" w:eastAsia="Microsoft JhengHei" w:hint="eastAsia"/>
          <w:b/>
          <w:sz w:val="32"/>
        </w:rPr>
        <w:t>渤海人寿附加投保人豁免保险费重大疾病保险条款</w:t>
      </w:r>
    </w:p>
    <w:p>
      <w:pPr>
        <w:spacing w:line="401" w:lineRule="exact" w:before="0"/>
        <w:ind w:left="1536" w:right="2029" w:firstLine="0"/>
        <w:jc w:val="center"/>
        <w:rPr>
          <w:rFonts w:ascii="Microsoft JhengHei" w:eastAsia="Microsoft JhengHei" w:hint="eastAsia"/>
          <w:b/>
          <w:sz w:val="32"/>
        </w:rPr>
      </w:pPr>
      <w:r>
        <w:rPr>
          <w:rFonts w:ascii="Microsoft JhengHei" w:eastAsia="Microsoft JhengHei" w:hint="eastAsia"/>
          <w:b/>
          <w:sz w:val="32"/>
        </w:rPr>
        <w:t>阅  读  指  引</w:t>
      </w:r>
    </w:p>
    <w:p>
      <w:pPr>
        <w:spacing w:line="182" w:lineRule="exact" w:before="0"/>
        <w:ind w:left="0" w:right="482" w:firstLine="0"/>
        <w:jc w:val="right"/>
        <w:rPr>
          <w:sz w:val="18"/>
        </w:rPr>
      </w:pPr>
      <w:r>
        <w:rPr>
          <w:sz w:val="18"/>
        </w:rPr>
        <w:t>请扫描以查询验证条款</w:t>
      </w:r>
    </w:p>
    <w:p>
      <w:pPr>
        <w:pStyle w:val="BodyText"/>
        <w:spacing w:before="9"/>
        <w:rPr>
          <w:sz w:val="12"/>
        </w:rPr>
      </w:pPr>
    </w:p>
    <w:p>
      <w:pPr>
        <w:pStyle w:val="BodyText"/>
        <w:spacing w:line="336" w:lineRule="exact"/>
        <w:ind w:left="1541" w:right="1972"/>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9"/>
          <w:w w:val="100"/>
        </w:rPr>
        <w:t>于</w:t>
      </w:r>
      <w:r>
        <w:rPr>
          <w:spacing w:val="-62"/>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附</w:t>
      </w:r>
      <w:r>
        <w:rPr>
          <w:spacing w:val="-63"/>
          <w:w w:val="100"/>
          <w:position w:val="-7"/>
        </w:rPr>
        <w:t>．</w:t>
      </w:r>
      <w:r>
        <w:rPr>
          <w:spacing w:val="-149"/>
          <w:w w:val="100"/>
        </w:rPr>
        <w:t>加</w:t>
      </w:r>
      <w:r>
        <w:rPr>
          <w:spacing w:val="-63"/>
          <w:w w:val="100"/>
          <w:position w:val="-7"/>
        </w:rPr>
        <w:t>．</w:t>
      </w:r>
      <w:r>
        <w:rPr>
          <w:spacing w:val="-149"/>
          <w:w w:val="100"/>
        </w:rPr>
        <w:t>合</w:t>
      </w:r>
      <w:r>
        <w:rPr>
          <w:spacing w:val="-63"/>
          <w:w w:val="100"/>
          <w:position w:val="-7"/>
        </w:rPr>
        <w:t>．</w:t>
      </w:r>
      <w:r>
        <w:rPr>
          <w:spacing w:val="-149"/>
          <w:w w:val="100"/>
        </w:rPr>
        <w:t>同</w:t>
      </w:r>
      <w:r>
        <w:rPr>
          <w:spacing w:val="-63"/>
          <w:w w:val="100"/>
          <w:position w:val="-7"/>
        </w:rPr>
        <w:t>．</w:t>
      </w:r>
      <w:r>
        <w:rPr>
          <w:spacing w:val="-154"/>
          <w:w w:val="100"/>
        </w:rPr>
        <w:t>内</w:t>
      </w:r>
      <w:r>
        <w:rPr>
          <w:spacing w:val="-63"/>
          <w:w w:val="100"/>
          <w:position w:val="-7"/>
        </w:rPr>
        <w:t>．</w:t>
      </w:r>
      <w:r>
        <w:rPr>
          <w:spacing w:val="-149"/>
          <w:w w:val="100"/>
        </w:rPr>
        <w:t>容</w:t>
      </w:r>
      <w:r>
        <w:rPr>
          <w:spacing w:val="-63"/>
          <w:w w:val="100"/>
          <w:position w:val="-7"/>
        </w:rPr>
        <w:t>．</w:t>
      </w:r>
      <w:r>
        <w:rPr>
          <w:spacing w:val="-154"/>
          <w:w w:val="100"/>
        </w:rPr>
        <w:t>的</w:t>
      </w:r>
      <w:r>
        <w:rPr>
          <w:spacing w:val="-63"/>
          <w:w w:val="100"/>
          <w:position w:val="-7"/>
        </w:rPr>
        <w:t>．</w:t>
      </w:r>
      <w:r>
        <w:rPr>
          <w:spacing w:val="-149"/>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4"/>
          <w:w w:val="100"/>
          <w:position w:val="-7"/>
        </w:rPr>
        <w:t>．</w:t>
      </w:r>
      <w:r>
        <w:rPr>
          <w:spacing w:val="-149"/>
          <w:w w:val="100"/>
        </w:rPr>
        <w:t>条</w:t>
      </w:r>
      <w:r>
        <w:rPr>
          <w:spacing w:val="-64"/>
          <w:w w:val="100"/>
          <w:position w:val="-7"/>
        </w:rPr>
        <w:t>．</w:t>
      </w:r>
      <w:r>
        <w:rPr>
          <w:spacing w:val="-153"/>
          <w:w w:val="100"/>
        </w:rPr>
        <w:t>款</w:t>
      </w:r>
      <w:r>
        <w:rPr>
          <w:spacing w:val="-64"/>
          <w:w w:val="100"/>
          <w:position w:val="-7"/>
        </w:rPr>
        <w:t>．</w:t>
      </w:r>
      <w:r>
        <w:rPr>
          <w:spacing w:val="-149"/>
          <w:w w:val="100"/>
        </w:rPr>
        <w:t>为</w:t>
      </w:r>
      <w:r>
        <w:rPr>
          <w:spacing w:val="-64"/>
          <w:w w:val="100"/>
          <w:position w:val="-7"/>
        </w:rPr>
        <w:t>．</w:t>
      </w:r>
      <w:r>
        <w:rPr>
          <w:spacing w:val="-149"/>
          <w:w w:val="100"/>
        </w:rPr>
        <w:t>准</w:t>
      </w:r>
      <w:r>
        <w:rPr>
          <w:spacing w:val="-64"/>
          <w:w w:val="100"/>
          <w:position w:val="-7"/>
        </w:rPr>
        <w:t>．</w:t>
      </w:r>
      <w:r>
        <w:rPr>
          <w:spacing w:val="-153"/>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581.950pt;mso-position-horizontal-relative:page;mso-position-vertical-relative:paragraph;z-index:-52888"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tabs>
          <w:tab w:pos="9679" w:val="right" w:leader="dot"/>
        </w:tabs>
        <w:spacing w:before="13"/>
        <w:ind w:left="642"/>
      </w:pPr>
      <w:r>
        <w:rPr/>
        <w:t>签收本附</w:t>
      </w:r>
      <w:r>
        <w:rPr>
          <w:spacing w:val="-5"/>
        </w:rPr>
        <w:t>加</w:t>
      </w:r>
      <w:r>
        <w:rPr/>
        <w:t>合同的</w:t>
      </w:r>
      <w:r>
        <w:rPr>
          <w:spacing w:val="-5"/>
        </w:rPr>
        <w:t>次</w:t>
      </w:r>
      <w:r>
        <w:rPr/>
        <w:t>日零时起</w:t>
      </w:r>
      <w:r>
        <w:rPr>
          <w:spacing w:val="-54"/>
        </w:rPr>
        <w:t> </w:t>
      </w:r>
      <w:r>
        <w:rPr/>
        <w:t>10</w:t>
      </w:r>
      <w:r>
        <w:rPr>
          <w:spacing w:val="-51"/>
        </w:rPr>
        <w:t> </w:t>
      </w:r>
      <w:r>
        <w:rPr/>
        <w:t>日（</w:t>
      </w:r>
      <w:r>
        <w:rPr>
          <w:spacing w:val="-5"/>
        </w:rPr>
        <w:t>即</w:t>
      </w:r>
      <w:r>
        <w:rPr/>
        <w:t>犹豫</w:t>
      </w:r>
      <w:r>
        <w:rPr>
          <w:spacing w:val="-5"/>
        </w:rPr>
        <w:t>期</w:t>
      </w:r>
      <w:r>
        <w:rPr/>
        <w:t>）</w:t>
      </w:r>
      <w:r>
        <w:rPr>
          <w:spacing w:val="-5"/>
        </w:rPr>
        <w:t>内</w:t>
      </w:r>
      <w:r>
        <w:rPr/>
        <w:t>您若要求</w:t>
      </w:r>
      <w:r>
        <w:rPr>
          <w:spacing w:val="-5"/>
        </w:rPr>
        <w:t>退</w:t>
      </w:r>
      <w:r>
        <w:rPr/>
        <w:t>保，我</w:t>
      </w:r>
      <w:r>
        <w:rPr>
          <w:spacing w:val="-5"/>
        </w:rPr>
        <w:t>们</w:t>
      </w:r>
      <w:r>
        <w:rPr/>
        <w:t>仅扣除</w:t>
      </w:r>
      <w:r>
        <w:rPr>
          <w:spacing w:val="-5"/>
        </w:rPr>
        <w:t>工</w:t>
      </w:r>
      <w:r>
        <w:rPr/>
        <w:t>本费</w:t>
        <w:tab/>
        <w:t>1.5</w:t>
      </w:r>
    </w:p>
    <w:p>
      <w:pPr>
        <w:pStyle w:val="BodyText"/>
        <w:tabs>
          <w:tab w:pos="9679" w:val="right" w:leader="dot"/>
        </w:tabs>
        <w:spacing w:before="37"/>
        <w:ind w:left="642"/>
      </w:pPr>
      <w:r>
        <w:rPr/>
        <w:t>本附加合</w:t>
      </w:r>
      <w:r>
        <w:rPr>
          <w:spacing w:val="-5"/>
        </w:rPr>
        <w:t>同</w:t>
      </w:r>
      <w:r>
        <w:rPr/>
        <w:t>提供的</w:t>
      </w:r>
      <w:r>
        <w:rPr>
          <w:spacing w:val="-5"/>
        </w:rPr>
        <w:t>保</w:t>
      </w:r>
      <w:r>
        <w:rPr/>
        <w:t>障在保</w:t>
      </w:r>
      <w:r>
        <w:rPr>
          <w:spacing w:val="-5"/>
        </w:rPr>
        <w:t>险</w:t>
      </w:r>
      <w:r>
        <w:rPr/>
        <w:t>责任条</w:t>
      </w:r>
      <w:r>
        <w:rPr>
          <w:spacing w:val="-5"/>
        </w:rPr>
        <w:t>款</w:t>
      </w:r>
      <w:r>
        <w:rPr/>
        <w:t>中说明</w:t>
        <w:tab/>
        <w:t>2.3</w:t>
      </w:r>
    </w:p>
    <w:p>
      <w:pPr>
        <w:pStyle w:val="BodyText"/>
        <w:tabs>
          <w:tab w:pos="9678" w:val="right" w:leader="dot"/>
        </w:tabs>
        <w:spacing w:line="260" w:lineRule="exact" w:before="37"/>
        <w:ind w:left="642"/>
      </w:pPr>
      <w:r>
        <w:rPr/>
        <w:t>您有退保</w:t>
      </w:r>
      <w:r>
        <w:rPr>
          <w:spacing w:val="-5"/>
        </w:rPr>
        <w:t>的</w:t>
      </w:r>
      <w:r>
        <w:rPr/>
        <w:t>权利</w:t>
        <w:tab/>
        <w:t>5.1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tabs>
          <w:tab w:pos="9678" w:val="right" w:leader="dot"/>
        </w:tabs>
        <w:spacing w:before="13"/>
        <w:ind w:left="642"/>
      </w:pPr>
      <w:r>
        <w:rPr/>
        <w:t>在某些情</w:t>
      </w:r>
      <w:r>
        <w:rPr>
          <w:spacing w:val="-5"/>
        </w:rPr>
        <w:t>况</w:t>
      </w:r>
      <w:r>
        <w:rPr/>
        <w:t>下，我</w:t>
      </w:r>
      <w:r>
        <w:rPr>
          <w:spacing w:val="-5"/>
        </w:rPr>
        <w:t>们</w:t>
      </w:r>
      <w:r>
        <w:rPr/>
        <w:t>不承担</w:t>
      </w:r>
      <w:r>
        <w:rPr>
          <w:spacing w:val="-5"/>
        </w:rPr>
        <w:t>保</w:t>
      </w:r>
      <w:r>
        <w:rPr/>
        <w:t>险责任</w:t>
        <w:tab/>
        <w:t>2.4</w:t>
      </w:r>
    </w:p>
    <w:p>
      <w:pPr>
        <w:pStyle w:val="BodyText"/>
        <w:tabs>
          <w:tab w:pos="9677" w:val="right" w:leader="dot"/>
        </w:tabs>
        <w:spacing w:before="37"/>
        <w:ind w:left="642"/>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677" w:val="right" w:leader="dot"/>
        </w:tabs>
        <w:spacing w:before="38"/>
        <w:ind w:left="642"/>
      </w:pPr>
      <w:r>
        <w:rPr/>
        <w:t>您应当按</w:t>
      </w:r>
      <w:r>
        <w:rPr>
          <w:spacing w:val="-5"/>
        </w:rPr>
        <w:t>时</w:t>
      </w:r>
      <w:r>
        <w:rPr/>
        <w:t>交纳保</w:t>
      </w:r>
      <w:r>
        <w:rPr>
          <w:spacing w:val="-5"/>
        </w:rPr>
        <w:t>险</w:t>
      </w:r>
      <w:r>
        <w:rPr/>
        <w:t>费</w:t>
        <w:tab/>
        <w:t>4.1</w:t>
      </w:r>
    </w:p>
    <w:p>
      <w:pPr>
        <w:pStyle w:val="BodyText"/>
        <w:tabs>
          <w:tab w:pos="9678" w:val="right" w:leader="dot"/>
        </w:tabs>
        <w:spacing w:before="37"/>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5.1</w:t>
      </w:r>
    </w:p>
    <w:p>
      <w:pPr>
        <w:pStyle w:val="BodyText"/>
        <w:tabs>
          <w:tab w:pos="9678" w:val="right" w:leader="dot"/>
        </w:tabs>
        <w:spacing w:line="260" w:lineRule="exact" w:before="37"/>
        <w:ind w:left="642"/>
      </w:pPr>
      <w:r>
        <w:rPr/>
        <w:t>您有如实</w:t>
      </w:r>
      <w:r>
        <w:rPr>
          <w:spacing w:val="-5"/>
        </w:rPr>
        <w:t>告</w:t>
      </w:r>
      <w:r>
        <w:rPr/>
        <w:t>知的义务</w:t>
        <w:tab/>
        <w:t>6.1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sz w:val="21"/>
        </w:rPr>
        <w:t>我们对一些重要术语进行了解释，并作了显著标识，请您注意</w:t>
      </w:r>
      <w:r>
        <w:rPr>
          <w:rFonts w:ascii="Microsoft JhengHei" w:eastAsia="Microsoft JhengHei" w:hint="eastAsia"/>
          <w:b/>
          <w:w w:val="175"/>
          <w:sz w:val="21"/>
        </w:rPr>
        <w:t>.............................7</w:t>
      </w:r>
      <w:r>
        <w:rPr>
          <w:rFonts w:ascii="Microsoft JhengHei" w:eastAsia="Microsoft JhengHei" w:hint="eastAsia"/>
          <w:b/>
          <w:sz w:val="21"/>
        </w:rPr>
        <w:t>、8、9</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10"/>
        <w:rPr>
          <w:rFonts w:ascii="Microsoft JhengHei"/>
          <w:b/>
          <w:sz w:val="3"/>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3"/>
        <w:gridCol w:w="3694"/>
        <w:gridCol w:w="3421"/>
      </w:tblGrid>
      <w:tr>
        <w:trPr>
          <w:trHeight w:val="6140" w:hRule="atLeast"/>
        </w:trPr>
        <w:tc>
          <w:tcPr>
            <w:tcW w:w="2603" w:type="dxa"/>
          </w:tcPr>
          <w:p>
            <w:pPr>
              <w:pStyle w:val="TableParagraph"/>
              <w:numPr>
                <w:ilvl w:val="0"/>
                <w:numId w:val="2"/>
              </w:numPr>
              <w:tabs>
                <w:tab w:pos="517" w:val="left" w:leader="none"/>
              </w:tabs>
              <w:spacing w:line="211" w:lineRule="exact" w:before="0" w:after="0"/>
              <w:ind w:left="516" w:right="0" w:hanging="316"/>
              <w:jc w:val="left"/>
              <w:rPr>
                <w:sz w:val="21"/>
              </w:rPr>
            </w:pPr>
            <w:r>
              <w:rPr>
                <w:spacing w:val="-3"/>
                <w:sz w:val="21"/>
              </w:rPr>
              <w:t>您与我们订立的合同</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合同构成</w:t>
            </w:r>
          </w:p>
          <w:p>
            <w:pPr>
              <w:pStyle w:val="TableParagraph"/>
              <w:numPr>
                <w:ilvl w:val="1"/>
                <w:numId w:val="2"/>
              </w:numPr>
              <w:tabs>
                <w:tab w:pos="940" w:val="left" w:leader="none"/>
              </w:tabs>
              <w:spacing w:line="240" w:lineRule="auto" w:before="37" w:after="0"/>
              <w:ind w:left="939" w:right="0" w:hanging="423"/>
              <w:jc w:val="left"/>
              <w:rPr>
                <w:sz w:val="21"/>
              </w:rPr>
            </w:pPr>
            <w:r>
              <w:rPr>
                <w:spacing w:val="-3"/>
                <w:sz w:val="21"/>
              </w:rPr>
              <w:t>合同成立及生效</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投保范围</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投保年龄</w:t>
            </w:r>
          </w:p>
          <w:p>
            <w:pPr>
              <w:pStyle w:val="TableParagraph"/>
              <w:numPr>
                <w:ilvl w:val="1"/>
                <w:numId w:val="2"/>
              </w:numPr>
              <w:tabs>
                <w:tab w:pos="940" w:val="left" w:leader="none"/>
              </w:tabs>
              <w:spacing w:line="240" w:lineRule="auto" w:before="36" w:after="0"/>
              <w:ind w:left="939" w:right="0" w:hanging="423"/>
              <w:jc w:val="left"/>
              <w:rPr>
                <w:sz w:val="21"/>
              </w:rPr>
            </w:pPr>
            <w:r>
              <w:rPr>
                <w:sz w:val="21"/>
              </w:rPr>
              <w:t>犹豫期</w:t>
            </w:r>
          </w:p>
          <w:p>
            <w:pPr>
              <w:pStyle w:val="TableParagraph"/>
              <w:numPr>
                <w:ilvl w:val="0"/>
                <w:numId w:val="2"/>
              </w:numPr>
              <w:tabs>
                <w:tab w:pos="517" w:val="left" w:leader="none"/>
              </w:tabs>
              <w:spacing w:line="240" w:lineRule="auto" w:before="36" w:after="0"/>
              <w:ind w:left="516" w:right="0" w:hanging="316"/>
              <w:jc w:val="left"/>
              <w:rPr>
                <w:sz w:val="21"/>
              </w:rPr>
            </w:pPr>
            <w:r>
              <w:rPr>
                <w:spacing w:val="-2"/>
                <w:sz w:val="21"/>
              </w:rPr>
              <w:t>我们提供的保障</w:t>
            </w:r>
          </w:p>
          <w:p>
            <w:pPr>
              <w:pStyle w:val="TableParagraph"/>
              <w:numPr>
                <w:ilvl w:val="1"/>
                <w:numId w:val="2"/>
              </w:numPr>
              <w:tabs>
                <w:tab w:pos="940" w:val="left" w:leader="none"/>
              </w:tabs>
              <w:spacing w:line="273" w:lineRule="auto" w:before="36" w:after="0"/>
              <w:ind w:left="934" w:right="187" w:hanging="418"/>
              <w:jc w:val="left"/>
              <w:rPr>
                <w:sz w:val="21"/>
              </w:rPr>
            </w:pPr>
            <w:r>
              <w:rPr>
                <w:spacing w:val="-2"/>
                <w:sz w:val="21"/>
              </w:rPr>
              <w:t>保险期间和保证续保</w:t>
            </w:r>
          </w:p>
          <w:p>
            <w:pPr>
              <w:pStyle w:val="TableParagraph"/>
              <w:numPr>
                <w:ilvl w:val="1"/>
                <w:numId w:val="2"/>
              </w:numPr>
              <w:tabs>
                <w:tab w:pos="940" w:val="left" w:leader="none"/>
              </w:tabs>
              <w:spacing w:line="240" w:lineRule="auto" w:before="7" w:after="0"/>
              <w:ind w:left="934" w:right="0" w:hanging="418"/>
              <w:jc w:val="left"/>
              <w:rPr>
                <w:sz w:val="21"/>
              </w:rPr>
            </w:pPr>
            <w:r>
              <w:rPr>
                <w:sz w:val="21"/>
              </w:rPr>
              <w:t>等待期</w:t>
            </w:r>
          </w:p>
          <w:p>
            <w:pPr>
              <w:pStyle w:val="TableParagraph"/>
              <w:numPr>
                <w:ilvl w:val="1"/>
                <w:numId w:val="2"/>
              </w:numPr>
              <w:tabs>
                <w:tab w:pos="940" w:val="left" w:leader="none"/>
              </w:tabs>
              <w:spacing w:line="240" w:lineRule="auto" w:before="36" w:after="0"/>
              <w:ind w:left="934" w:right="0" w:hanging="418"/>
              <w:jc w:val="left"/>
              <w:rPr>
                <w:sz w:val="21"/>
              </w:rPr>
            </w:pPr>
            <w:r>
              <w:rPr>
                <w:spacing w:val="-2"/>
                <w:sz w:val="21"/>
              </w:rPr>
              <w:t>保险责任</w:t>
            </w:r>
          </w:p>
          <w:p>
            <w:pPr>
              <w:pStyle w:val="TableParagraph"/>
              <w:numPr>
                <w:ilvl w:val="1"/>
                <w:numId w:val="2"/>
              </w:numPr>
              <w:tabs>
                <w:tab w:pos="940" w:val="left" w:leader="none"/>
              </w:tabs>
              <w:spacing w:line="240" w:lineRule="auto" w:before="36" w:after="0"/>
              <w:ind w:left="934" w:right="0" w:hanging="418"/>
              <w:jc w:val="left"/>
              <w:rPr>
                <w:sz w:val="21"/>
              </w:rPr>
            </w:pPr>
            <w:r>
              <w:rPr>
                <w:spacing w:val="-2"/>
                <w:sz w:val="21"/>
              </w:rPr>
              <w:t>责任免除</w:t>
            </w:r>
          </w:p>
          <w:p>
            <w:pPr>
              <w:pStyle w:val="TableParagraph"/>
              <w:numPr>
                <w:ilvl w:val="0"/>
                <w:numId w:val="2"/>
              </w:numPr>
              <w:tabs>
                <w:tab w:pos="517" w:val="left" w:leader="none"/>
              </w:tabs>
              <w:spacing w:line="240" w:lineRule="auto" w:before="36" w:after="0"/>
              <w:ind w:left="516" w:right="0" w:hanging="316"/>
              <w:jc w:val="left"/>
              <w:rPr>
                <w:sz w:val="21"/>
              </w:rPr>
            </w:pPr>
            <w:r>
              <w:rPr>
                <w:spacing w:val="-2"/>
                <w:sz w:val="21"/>
              </w:rPr>
              <w:t>豁免保险费的申请</w:t>
            </w:r>
          </w:p>
          <w:p>
            <w:pPr>
              <w:pStyle w:val="TableParagraph"/>
              <w:numPr>
                <w:ilvl w:val="1"/>
                <w:numId w:val="2"/>
              </w:numPr>
              <w:tabs>
                <w:tab w:pos="940" w:val="left" w:leader="none"/>
              </w:tabs>
              <w:spacing w:line="240" w:lineRule="auto" w:before="36" w:after="0"/>
              <w:ind w:left="939" w:right="0" w:hanging="423"/>
              <w:jc w:val="left"/>
              <w:rPr>
                <w:sz w:val="21"/>
              </w:rPr>
            </w:pPr>
            <w:r>
              <w:rPr>
                <w:sz w:val="21"/>
              </w:rPr>
              <w:t>受益人</w:t>
            </w:r>
          </w:p>
          <w:p>
            <w:pPr>
              <w:pStyle w:val="TableParagraph"/>
              <w:numPr>
                <w:ilvl w:val="1"/>
                <w:numId w:val="2"/>
              </w:numPr>
              <w:tabs>
                <w:tab w:pos="940" w:val="left" w:leader="none"/>
              </w:tabs>
              <w:spacing w:line="240" w:lineRule="auto" w:before="36" w:after="0"/>
              <w:ind w:left="939" w:right="0" w:hanging="423"/>
              <w:jc w:val="left"/>
              <w:rPr>
                <w:sz w:val="21"/>
              </w:rPr>
            </w:pPr>
            <w:r>
              <w:rPr>
                <w:spacing w:val="-2"/>
                <w:sz w:val="21"/>
              </w:rPr>
              <w:t>保险事故通知</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豁免保险费申请</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保险费的豁免</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诉讼时效</w:t>
            </w:r>
          </w:p>
          <w:p>
            <w:pPr>
              <w:pStyle w:val="TableParagraph"/>
              <w:numPr>
                <w:ilvl w:val="0"/>
                <w:numId w:val="2"/>
              </w:numPr>
              <w:tabs>
                <w:tab w:pos="517" w:val="left" w:leader="none"/>
              </w:tabs>
              <w:spacing w:line="240" w:lineRule="auto" w:before="37" w:after="0"/>
              <w:ind w:left="516" w:right="0" w:hanging="316"/>
              <w:jc w:val="left"/>
              <w:rPr>
                <w:sz w:val="21"/>
              </w:rPr>
            </w:pPr>
            <w:r>
              <w:rPr>
                <w:spacing w:val="-2"/>
                <w:sz w:val="21"/>
              </w:rPr>
              <w:t>保险费的交纳</w:t>
            </w:r>
          </w:p>
          <w:p>
            <w:pPr>
              <w:pStyle w:val="TableParagraph"/>
              <w:numPr>
                <w:ilvl w:val="1"/>
                <w:numId w:val="2"/>
              </w:numPr>
              <w:tabs>
                <w:tab w:pos="940" w:val="left" w:leader="none"/>
              </w:tabs>
              <w:spacing w:line="255" w:lineRule="exact" w:before="37" w:after="0"/>
              <w:ind w:left="939" w:right="0" w:hanging="423"/>
              <w:jc w:val="left"/>
              <w:rPr>
                <w:sz w:val="21"/>
              </w:rPr>
            </w:pPr>
            <w:r>
              <w:rPr>
                <w:spacing w:val="-2"/>
                <w:sz w:val="21"/>
              </w:rPr>
              <w:t>保险费的交纳</w:t>
            </w:r>
          </w:p>
        </w:tc>
        <w:tc>
          <w:tcPr>
            <w:tcW w:w="3694" w:type="dxa"/>
          </w:tcPr>
          <w:p>
            <w:pPr>
              <w:pStyle w:val="TableParagraph"/>
              <w:spacing w:line="211" w:lineRule="exact"/>
              <w:ind w:left="506"/>
              <w:rPr>
                <w:sz w:val="21"/>
              </w:rPr>
            </w:pPr>
            <w:r>
              <w:rPr>
                <w:sz w:val="21"/>
              </w:rPr>
              <w:t>4.2 宽限期</w:t>
            </w:r>
          </w:p>
          <w:p>
            <w:pPr>
              <w:pStyle w:val="TableParagraph"/>
              <w:numPr>
                <w:ilvl w:val="0"/>
                <w:numId w:val="3"/>
              </w:numPr>
              <w:tabs>
                <w:tab w:pos="507" w:val="left" w:leader="none"/>
              </w:tabs>
              <w:spacing w:line="240" w:lineRule="auto" w:before="37" w:after="0"/>
              <w:ind w:left="506" w:right="0" w:hanging="317"/>
              <w:jc w:val="left"/>
              <w:rPr>
                <w:sz w:val="21"/>
              </w:rPr>
            </w:pPr>
            <w:r>
              <w:rPr>
                <w:sz w:val="21"/>
              </w:rPr>
              <w:t>合同解除</w:t>
            </w:r>
          </w:p>
          <w:p>
            <w:pPr>
              <w:pStyle w:val="TableParagraph"/>
              <w:numPr>
                <w:ilvl w:val="1"/>
                <w:numId w:val="3"/>
              </w:numPr>
              <w:tabs>
                <w:tab w:pos="930" w:val="left" w:leader="none"/>
              </w:tabs>
              <w:spacing w:line="240" w:lineRule="auto" w:before="37" w:after="0"/>
              <w:ind w:left="929" w:right="0" w:hanging="423"/>
              <w:jc w:val="left"/>
              <w:rPr>
                <w:sz w:val="21"/>
              </w:rPr>
            </w:pPr>
            <w:r>
              <w:rPr>
                <w:spacing w:val="-3"/>
                <w:sz w:val="21"/>
              </w:rPr>
              <w:t>您解除合同的手续及风险</w:t>
            </w:r>
          </w:p>
          <w:p>
            <w:pPr>
              <w:pStyle w:val="TableParagraph"/>
              <w:numPr>
                <w:ilvl w:val="0"/>
                <w:numId w:val="3"/>
              </w:numPr>
              <w:tabs>
                <w:tab w:pos="507" w:val="left" w:leader="none"/>
              </w:tabs>
              <w:spacing w:line="240" w:lineRule="auto" w:before="37" w:after="0"/>
              <w:ind w:left="506" w:right="0" w:hanging="317"/>
              <w:jc w:val="left"/>
              <w:rPr>
                <w:sz w:val="21"/>
              </w:rPr>
            </w:pPr>
            <w:r>
              <w:rPr>
                <w:spacing w:val="-3"/>
                <w:sz w:val="21"/>
              </w:rPr>
              <w:t>其它需要关注的事项</w:t>
            </w:r>
          </w:p>
          <w:p>
            <w:pPr>
              <w:pStyle w:val="TableParagraph"/>
              <w:numPr>
                <w:ilvl w:val="1"/>
                <w:numId w:val="3"/>
              </w:numPr>
              <w:tabs>
                <w:tab w:pos="930" w:val="left" w:leader="none"/>
              </w:tabs>
              <w:spacing w:line="240" w:lineRule="auto" w:before="37" w:after="0"/>
              <w:ind w:left="929" w:right="0" w:hanging="423"/>
              <w:jc w:val="left"/>
              <w:rPr>
                <w:sz w:val="21"/>
              </w:rPr>
            </w:pPr>
            <w:r>
              <w:rPr>
                <w:spacing w:val="-3"/>
                <w:sz w:val="21"/>
              </w:rPr>
              <w:t>明确说明与如实告知</w:t>
            </w:r>
          </w:p>
          <w:p>
            <w:pPr>
              <w:pStyle w:val="TableParagraph"/>
              <w:numPr>
                <w:ilvl w:val="1"/>
                <w:numId w:val="3"/>
              </w:numPr>
              <w:tabs>
                <w:tab w:pos="930" w:val="left" w:leader="none"/>
              </w:tabs>
              <w:spacing w:line="240" w:lineRule="auto" w:before="36" w:after="0"/>
              <w:ind w:left="929" w:right="0" w:hanging="423"/>
              <w:jc w:val="left"/>
              <w:rPr>
                <w:sz w:val="21"/>
              </w:rPr>
            </w:pPr>
            <w:r>
              <w:rPr>
                <w:spacing w:val="-3"/>
                <w:sz w:val="21"/>
              </w:rPr>
              <w:t>我们合同解除权的限制</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年龄性别错误</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未还款项</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合同内容变更</w:t>
            </w:r>
          </w:p>
          <w:p>
            <w:pPr>
              <w:pStyle w:val="TableParagraph"/>
              <w:numPr>
                <w:ilvl w:val="1"/>
                <w:numId w:val="3"/>
              </w:numPr>
              <w:tabs>
                <w:tab w:pos="930" w:val="left" w:leader="none"/>
              </w:tabs>
              <w:spacing w:line="240" w:lineRule="auto" w:before="37" w:after="0"/>
              <w:ind w:left="929" w:right="0" w:hanging="423"/>
              <w:jc w:val="left"/>
              <w:rPr>
                <w:sz w:val="21"/>
              </w:rPr>
            </w:pPr>
            <w:r>
              <w:rPr>
                <w:spacing w:val="-2"/>
                <w:sz w:val="21"/>
              </w:rPr>
              <w:t>联系方式变更</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争议处理</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保险事故鉴定</w:t>
            </w:r>
          </w:p>
          <w:p>
            <w:pPr>
              <w:pStyle w:val="TableParagraph"/>
              <w:numPr>
                <w:ilvl w:val="0"/>
                <w:numId w:val="3"/>
              </w:numPr>
              <w:tabs>
                <w:tab w:pos="507" w:val="left" w:leader="none"/>
              </w:tabs>
              <w:spacing w:line="240" w:lineRule="auto" w:before="36" w:after="0"/>
              <w:ind w:left="506" w:right="0" w:hanging="317"/>
              <w:jc w:val="left"/>
              <w:rPr>
                <w:sz w:val="21"/>
              </w:rPr>
            </w:pPr>
            <w:r>
              <w:rPr>
                <w:spacing w:val="-2"/>
                <w:sz w:val="21"/>
              </w:rPr>
              <w:t>轻症疾病定义</w:t>
            </w:r>
          </w:p>
          <w:p>
            <w:pPr>
              <w:pStyle w:val="TableParagraph"/>
              <w:numPr>
                <w:ilvl w:val="1"/>
                <w:numId w:val="3"/>
              </w:numPr>
              <w:tabs>
                <w:tab w:pos="930" w:val="left" w:leader="none"/>
              </w:tabs>
              <w:spacing w:line="240" w:lineRule="auto" w:before="36" w:after="0"/>
              <w:ind w:left="929" w:right="0" w:hanging="423"/>
              <w:jc w:val="left"/>
              <w:rPr>
                <w:sz w:val="21"/>
              </w:rPr>
            </w:pPr>
            <w:r>
              <w:rPr>
                <w:spacing w:val="-2"/>
                <w:sz w:val="21"/>
              </w:rPr>
              <w:t>轻症疾病</w:t>
            </w:r>
          </w:p>
          <w:p>
            <w:pPr>
              <w:pStyle w:val="TableParagraph"/>
              <w:spacing w:before="36"/>
              <w:ind w:left="189"/>
              <w:rPr>
                <w:sz w:val="21"/>
              </w:rPr>
            </w:pPr>
            <w:r>
              <w:rPr>
                <w:sz w:val="21"/>
              </w:rPr>
              <w:t>8.重大疾病定义</w:t>
            </w:r>
          </w:p>
          <w:p>
            <w:pPr>
              <w:pStyle w:val="TableParagraph"/>
              <w:spacing w:before="36"/>
              <w:ind w:left="506"/>
              <w:rPr>
                <w:sz w:val="21"/>
              </w:rPr>
            </w:pPr>
            <w:r>
              <w:rPr>
                <w:sz w:val="21"/>
              </w:rPr>
              <w:t>8.1 重大疾病</w:t>
            </w:r>
          </w:p>
          <w:p>
            <w:pPr>
              <w:pStyle w:val="TableParagraph"/>
              <w:numPr>
                <w:ilvl w:val="0"/>
                <w:numId w:val="4"/>
              </w:numPr>
              <w:tabs>
                <w:tab w:pos="507" w:val="left" w:leader="none"/>
              </w:tabs>
              <w:spacing w:line="240" w:lineRule="auto" w:before="36" w:after="0"/>
              <w:ind w:left="506" w:right="0" w:hanging="317"/>
              <w:jc w:val="left"/>
              <w:rPr>
                <w:sz w:val="21"/>
              </w:rPr>
            </w:pPr>
            <w:r>
              <w:rPr>
                <w:sz w:val="21"/>
              </w:rPr>
              <w:t>释义</w:t>
            </w:r>
          </w:p>
          <w:p>
            <w:pPr>
              <w:pStyle w:val="TableParagraph"/>
              <w:numPr>
                <w:ilvl w:val="1"/>
                <w:numId w:val="4"/>
              </w:numPr>
              <w:tabs>
                <w:tab w:pos="930" w:val="left" w:leader="none"/>
              </w:tabs>
              <w:spacing w:line="240" w:lineRule="auto" w:before="36" w:after="0"/>
              <w:ind w:left="929" w:right="0" w:hanging="423"/>
              <w:jc w:val="left"/>
              <w:rPr>
                <w:sz w:val="21"/>
              </w:rPr>
            </w:pPr>
            <w:r>
              <w:rPr>
                <w:spacing w:val="-2"/>
                <w:sz w:val="21"/>
              </w:rPr>
              <w:t>合法有效</w:t>
            </w:r>
          </w:p>
          <w:p>
            <w:pPr>
              <w:pStyle w:val="TableParagraph"/>
              <w:numPr>
                <w:ilvl w:val="1"/>
                <w:numId w:val="4"/>
              </w:numPr>
              <w:tabs>
                <w:tab w:pos="877" w:val="left" w:leader="none"/>
              </w:tabs>
              <w:spacing w:line="240" w:lineRule="auto" w:before="36" w:after="0"/>
              <w:ind w:left="876" w:right="0" w:hanging="370"/>
              <w:jc w:val="left"/>
              <w:rPr>
                <w:sz w:val="21"/>
              </w:rPr>
            </w:pPr>
            <w:r>
              <w:rPr>
                <w:spacing w:val="-3"/>
                <w:sz w:val="21"/>
              </w:rPr>
              <w:t>保险费约定交纳日</w:t>
            </w:r>
          </w:p>
          <w:p>
            <w:pPr>
              <w:pStyle w:val="TableParagraph"/>
              <w:numPr>
                <w:ilvl w:val="1"/>
                <w:numId w:val="4"/>
              </w:numPr>
              <w:tabs>
                <w:tab w:pos="877" w:val="left" w:leader="none"/>
              </w:tabs>
              <w:spacing w:line="255" w:lineRule="exact" w:before="36" w:after="0"/>
              <w:ind w:left="876" w:right="0" w:hanging="370"/>
              <w:jc w:val="left"/>
              <w:rPr>
                <w:sz w:val="21"/>
              </w:rPr>
            </w:pPr>
            <w:r>
              <w:rPr>
                <w:sz w:val="21"/>
              </w:rPr>
              <w:t>周岁</w:t>
            </w:r>
          </w:p>
        </w:tc>
        <w:tc>
          <w:tcPr>
            <w:tcW w:w="3421" w:type="dxa"/>
          </w:tcPr>
          <w:p>
            <w:pPr>
              <w:pStyle w:val="TableParagraph"/>
              <w:numPr>
                <w:ilvl w:val="1"/>
                <w:numId w:val="5"/>
              </w:numPr>
              <w:tabs>
                <w:tab w:pos="876" w:val="left" w:leader="none"/>
              </w:tabs>
              <w:spacing w:line="211" w:lineRule="exact" w:before="0" w:after="0"/>
              <w:ind w:left="1081" w:right="0" w:hanging="629"/>
              <w:jc w:val="left"/>
              <w:rPr>
                <w:sz w:val="21"/>
              </w:rPr>
            </w:pPr>
            <w:r>
              <w:rPr>
                <w:spacing w:val="-2"/>
                <w:sz w:val="21"/>
              </w:rPr>
              <w:t>有效身份证件</w:t>
            </w:r>
          </w:p>
          <w:p>
            <w:pPr>
              <w:pStyle w:val="TableParagraph"/>
              <w:numPr>
                <w:ilvl w:val="1"/>
                <w:numId w:val="5"/>
              </w:numPr>
              <w:tabs>
                <w:tab w:pos="876" w:val="left" w:leader="none"/>
              </w:tabs>
              <w:spacing w:line="240" w:lineRule="auto" w:before="37" w:after="0"/>
              <w:ind w:left="1081" w:right="0" w:hanging="629"/>
              <w:jc w:val="left"/>
              <w:rPr>
                <w:sz w:val="21"/>
              </w:rPr>
            </w:pPr>
            <w:r>
              <w:rPr>
                <w:spacing w:val="-3"/>
                <w:sz w:val="21"/>
              </w:rPr>
              <w:t>意外伤害</w:t>
            </w:r>
          </w:p>
          <w:p>
            <w:pPr>
              <w:pStyle w:val="TableParagraph"/>
              <w:numPr>
                <w:ilvl w:val="1"/>
                <w:numId w:val="5"/>
              </w:numPr>
              <w:tabs>
                <w:tab w:pos="876" w:val="left" w:leader="none"/>
              </w:tabs>
              <w:spacing w:line="240" w:lineRule="auto" w:before="37" w:after="0"/>
              <w:ind w:left="1081" w:right="0" w:hanging="629"/>
              <w:jc w:val="left"/>
              <w:rPr>
                <w:sz w:val="21"/>
              </w:rPr>
            </w:pPr>
            <w:r>
              <w:rPr>
                <w:sz w:val="21"/>
              </w:rPr>
              <w:t>医院</w:t>
            </w:r>
          </w:p>
          <w:p>
            <w:pPr>
              <w:pStyle w:val="TableParagraph"/>
              <w:numPr>
                <w:ilvl w:val="1"/>
                <w:numId w:val="5"/>
              </w:numPr>
              <w:tabs>
                <w:tab w:pos="876" w:val="left" w:leader="none"/>
              </w:tabs>
              <w:spacing w:line="240" w:lineRule="auto" w:before="37" w:after="0"/>
              <w:ind w:left="1081" w:right="0" w:hanging="629"/>
              <w:jc w:val="left"/>
              <w:rPr>
                <w:sz w:val="21"/>
              </w:rPr>
            </w:pPr>
            <w:r>
              <w:rPr>
                <w:spacing w:val="-3"/>
                <w:sz w:val="21"/>
              </w:rPr>
              <w:t>专科医生</w:t>
            </w:r>
          </w:p>
          <w:p>
            <w:pPr>
              <w:pStyle w:val="TableParagraph"/>
              <w:numPr>
                <w:ilvl w:val="1"/>
                <w:numId w:val="5"/>
              </w:numPr>
              <w:tabs>
                <w:tab w:pos="876" w:val="left" w:leader="none"/>
              </w:tabs>
              <w:spacing w:line="240" w:lineRule="auto" w:before="37" w:after="0"/>
              <w:ind w:left="1081" w:right="0" w:hanging="629"/>
              <w:jc w:val="left"/>
              <w:rPr>
                <w:sz w:val="21"/>
              </w:rPr>
            </w:pPr>
            <w:r>
              <w:rPr>
                <w:spacing w:val="-2"/>
                <w:sz w:val="21"/>
              </w:rPr>
              <w:t>初次确诊</w:t>
            </w:r>
          </w:p>
          <w:p>
            <w:pPr>
              <w:pStyle w:val="TableParagraph"/>
              <w:numPr>
                <w:ilvl w:val="1"/>
                <w:numId w:val="5"/>
              </w:numPr>
              <w:tabs>
                <w:tab w:pos="876" w:val="left" w:leader="none"/>
              </w:tabs>
              <w:spacing w:line="240" w:lineRule="auto" w:before="36" w:after="0"/>
              <w:ind w:left="1081" w:right="0" w:hanging="629"/>
              <w:jc w:val="left"/>
              <w:rPr>
                <w:sz w:val="21"/>
              </w:rPr>
            </w:pPr>
            <w:r>
              <w:rPr>
                <w:sz w:val="21"/>
              </w:rPr>
              <w:t>全残</w:t>
            </w:r>
          </w:p>
          <w:p>
            <w:pPr>
              <w:pStyle w:val="TableParagraph"/>
              <w:numPr>
                <w:ilvl w:val="1"/>
                <w:numId w:val="5"/>
              </w:numPr>
              <w:tabs>
                <w:tab w:pos="982" w:val="left" w:leader="none"/>
              </w:tabs>
              <w:spacing w:line="240" w:lineRule="auto" w:before="36" w:after="0"/>
              <w:ind w:left="981" w:right="0" w:hanging="529"/>
              <w:jc w:val="left"/>
              <w:rPr>
                <w:sz w:val="21"/>
              </w:rPr>
            </w:pPr>
            <w:r>
              <w:rPr>
                <w:sz w:val="21"/>
              </w:rPr>
              <w:t>毒品</w:t>
            </w:r>
          </w:p>
          <w:p>
            <w:pPr>
              <w:pStyle w:val="TableParagraph"/>
              <w:numPr>
                <w:ilvl w:val="1"/>
                <w:numId w:val="5"/>
              </w:numPr>
              <w:tabs>
                <w:tab w:pos="982" w:val="left" w:leader="none"/>
              </w:tabs>
              <w:spacing w:line="240" w:lineRule="auto" w:before="36" w:after="0"/>
              <w:ind w:left="981" w:right="0" w:hanging="529"/>
              <w:jc w:val="left"/>
              <w:rPr>
                <w:sz w:val="21"/>
              </w:rPr>
            </w:pPr>
            <w:r>
              <w:rPr>
                <w:spacing w:val="-2"/>
                <w:sz w:val="21"/>
              </w:rPr>
              <w:t>酒后驾驶</w:t>
            </w:r>
          </w:p>
          <w:p>
            <w:pPr>
              <w:pStyle w:val="TableParagraph"/>
              <w:numPr>
                <w:ilvl w:val="1"/>
                <w:numId w:val="5"/>
              </w:numPr>
              <w:tabs>
                <w:tab w:pos="982" w:val="left" w:leader="none"/>
              </w:tabs>
              <w:spacing w:line="240" w:lineRule="auto" w:before="36" w:after="0"/>
              <w:ind w:left="981" w:right="0" w:hanging="529"/>
              <w:jc w:val="left"/>
              <w:rPr>
                <w:sz w:val="21"/>
              </w:rPr>
            </w:pPr>
            <w:r>
              <w:rPr>
                <w:spacing w:val="-3"/>
                <w:sz w:val="21"/>
              </w:rPr>
              <w:t>无合法有效驾驶证驾驶</w:t>
            </w:r>
          </w:p>
          <w:p>
            <w:pPr>
              <w:pStyle w:val="TableParagraph"/>
              <w:numPr>
                <w:ilvl w:val="1"/>
                <w:numId w:val="5"/>
              </w:numPr>
              <w:tabs>
                <w:tab w:pos="982" w:val="left" w:leader="none"/>
              </w:tabs>
              <w:spacing w:line="240" w:lineRule="auto" w:before="37" w:after="0"/>
              <w:ind w:left="981" w:right="0" w:hanging="529"/>
              <w:jc w:val="left"/>
              <w:rPr>
                <w:sz w:val="21"/>
              </w:rPr>
            </w:pPr>
            <w:r>
              <w:rPr>
                <w:spacing w:val="-3"/>
                <w:sz w:val="21"/>
              </w:rPr>
              <w:t>无合法有效行驶证</w:t>
            </w:r>
          </w:p>
          <w:p>
            <w:pPr>
              <w:pStyle w:val="TableParagraph"/>
              <w:numPr>
                <w:ilvl w:val="1"/>
                <w:numId w:val="5"/>
              </w:numPr>
              <w:tabs>
                <w:tab w:pos="982" w:val="left" w:leader="none"/>
              </w:tabs>
              <w:spacing w:line="240" w:lineRule="auto" w:before="36" w:after="0"/>
              <w:ind w:left="981" w:right="0" w:hanging="529"/>
              <w:jc w:val="left"/>
              <w:rPr>
                <w:sz w:val="21"/>
              </w:rPr>
            </w:pPr>
            <w:r>
              <w:rPr>
                <w:sz w:val="21"/>
              </w:rPr>
              <w:t>机动车</w:t>
            </w:r>
          </w:p>
          <w:p>
            <w:pPr>
              <w:pStyle w:val="TableParagraph"/>
              <w:numPr>
                <w:ilvl w:val="1"/>
                <w:numId w:val="5"/>
              </w:numPr>
              <w:tabs>
                <w:tab w:pos="982" w:val="left" w:leader="none"/>
              </w:tabs>
              <w:spacing w:line="273" w:lineRule="auto" w:before="36" w:after="0"/>
              <w:ind w:left="1081" w:right="335" w:hanging="629"/>
              <w:jc w:val="left"/>
              <w:rPr>
                <w:sz w:val="21"/>
              </w:rPr>
            </w:pPr>
            <w:r>
              <w:rPr>
                <w:spacing w:val="-3"/>
                <w:sz w:val="21"/>
              </w:rPr>
              <w:t>感染艾滋病病毒或者患艾滋病</w:t>
            </w:r>
          </w:p>
          <w:p>
            <w:pPr>
              <w:pStyle w:val="TableParagraph"/>
              <w:numPr>
                <w:ilvl w:val="1"/>
                <w:numId w:val="5"/>
              </w:numPr>
              <w:tabs>
                <w:tab w:pos="982" w:val="left" w:leader="none"/>
              </w:tabs>
              <w:spacing w:line="240" w:lineRule="auto" w:before="7" w:after="0"/>
              <w:ind w:left="981" w:right="0" w:hanging="529"/>
              <w:jc w:val="left"/>
              <w:rPr>
                <w:sz w:val="21"/>
              </w:rPr>
            </w:pPr>
            <w:r>
              <w:rPr>
                <w:spacing w:val="-2"/>
                <w:sz w:val="21"/>
              </w:rPr>
              <w:t>遗传性疾病</w:t>
            </w:r>
          </w:p>
          <w:p>
            <w:pPr>
              <w:pStyle w:val="TableParagraph"/>
              <w:numPr>
                <w:ilvl w:val="1"/>
                <w:numId w:val="5"/>
              </w:numPr>
              <w:tabs>
                <w:tab w:pos="982" w:val="left" w:leader="none"/>
              </w:tabs>
              <w:spacing w:line="273" w:lineRule="auto" w:before="36" w:after="0"/>
              <w:ind w:left="1081" w:right="196" w:hanging="629"/>
              <w:jc w:val="left"/>
              <w:rPr>
                <w:sz w:val="21"/>
              </w:rPr>
            </w:pPr>
            <w:r>
              <w:rPr>
                <w:spacing w:val="-10"/>
                <w:sz w:val="21"/>
              </w:rPr>
              <w:t>先天性畸形、变形或者染色体异常</w:t>
            </w:r>
          </w:p>
          <w:p>
            <w:pPr>
              <w:pStyle w:val="TableParagraph"/>
              <w:numPr>
                <w:ilvl w:val="1"/>
                <w:numId w:val="5"/>
              </w:numPr>
              <w:tabs>
                <w:tab w:pos="982" w:val="left" w:leader="none"/>
              </w:tabs>
              <w:spacing w:line="240" w:lineRule="auto" w:before="7" w:after="0"/>
              <w:ind w:left="981" w:right="0" w:hanging="529"/>
              <w:jc w:val="left"/>
              <w:rPr>
                <w:sz w:val="21"/>
              </w:rPr>
            </w:pPr>
            <w:r>
              <w:rPr>
                <w:spacing w:val="-3"/>
                <w:sz w:val="21"/>
              </w:rPr>
              <w:t>现金价值</w:t>
            </w:r>
          </w:p>
          <w:p>
            <w:pPr>
              <w:pStyle w:val="TableParagraph"/>
              <w:numPr>
                <w:ilvl w:val="1"/>
                <w:numId w:val="5"/>
              </w:numPr>
              <w:tabs>
                <w:tab w:pos="982" w:val="left" w:leader="none"/>
              </w:tabs>
              <w:spacing w:line="240" w:lineRule="auto" w:before="37" w:after="0"/>
              <w:ind w:left="981" w:right="0" w:hanging="529"/>
              <w:jc w:val="left"/>
              <w:rPr>
                <w:sz w:val="21"/>
              </w:rPr>
            </w:pPr>
            <w:r>
              <w:rPr>
                <w:spacing w:val="-2"/>
                <w:sz w:val="21"/>
              </w:rPr>
              <w:t>永久不可逆</w:t>
            </w:r>
          </w:p>
        </w:tc>
      </w:tr>
    </w:tbl>
    <w:p>
      <w:pPr>
        <w:spacing w:after="0" w:line="240" w:lineRule="auto"/>
        <w:jc w:val="left"/>
        <w:rPr>
          <w:sz w:val="21"/>
        </w:rPr>
        <w:sectPr>
          <w:type w:val="continuous"/>
          <w:pgSz w:w="11910" w:h="16840"/>
          <w:pgMar w:top="920" w:bottom="340" w:left="880" w:right="380"/>
        </w:sectPr>
      </w:pPr>
    </w:p>
    <w:p>
      <w:pPr>
        <w:spacing w:line="441" w:lineRule="exact" w:before="0"/>
        <w:ind w:left="2343" w:right="0" w:firstLine="0"/>
        <w:jc w:val="left"/>
        <w:rPr>
          <w:rFonts w:ascii="Microsoft JhengHei" w:eastAsia="Microsoft JhengHei" w:hint="eastAsia"/>
          <w:b/>
          <w:sz w:val="32"/>
        </w:rPr>
      </w:pPr>
      <w:r>
        <w:rPr>
          <w:rFonts w:ascii="Microsoft JhengHei" w:eastAsia="Microsoft JhengHei" w:hint="eastAsia"/>
          <w:b/>
          <w:sz w:val="32"/>
        </w:rPr>
        <w:t>渤海人寿保险股份有限公司</w:t>
      </w:r>
    </w:p>
    <w:p>
      <w:pPr>
        <w:spacing w:before="67"/>
        <w:ind w:left="740" w:right="0" w:firstLine="0"/>
        <w:jc w:val="left"/>
        <w:rPr>
          <w:rFonts w:ascii="Microsoft JhengHei" w:eastAsia="Microsoft JhengHei" w:hint="eastAsia"/>
          <w:b/>
          <w:sz w:val="32"/>
        </w:rPr>
      </w:pPr>
      <w:r>
        <w:rPr>
          <w:rFonts w:ascii="Microsoft JhengHei" w:eastAsia="Microsoft JhengHei" w:hint="eastAsia"/>
          <w:b/>
          <w:sz w:val="32"/>
        </w:rPr>
        <w:t>渤海人寿附加投保人豁免保险费重大疾病保险条款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在本条款中，“您”指投保人，“我们”、“本公司”指渤海人寿保险股份有限公司，“本附</w:t>
      </w:r>
      <w:r>
        <w:rPr>
          <w:spacing w:val="-13"/>
        </w:rPr>
        <w:t>加合同”指您与我们之间订立的“渤海人寿附加投保人豁免保险费重大疾病保险合同”。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6"/>
        <w:gridCol w:w="6137"/>
      </w:tblGrid>
      <w:tr>
        <w:trPr>
          <w:trHeight w:val="325" w:hRule="atLeast"/>
        </w:trPr>
        <w:tc>
          <w:tcPr>
            <w:tcW w:w="686"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23" w:type="dxa"/>
            <w:gridSpan w:val="2"/>
            <w:tcBorders>
              <w:bottom w:val="single" w:sz="8" w:space="0" w:color="000000"/>
            </w:tcBorders>
          </w:tcPr>
          <w:p>
            <w:pPr>
              <w:pStyle w:val="TableParagraph"/>
              <w:spacing w:line="267" w:lineRule="exact"/>
              <w:ind w:left="264"/>
              <w:rPr>
                <w:rFonts w:ascii="Microsoft JhengHei" w:eastAsia="Microsoft JhengHei" w:hint="eastAsia"/>
                <w:b/>
                <w:sz w:val="24"/>
              </w:rPr>
            </w:pPr>
            <w:r>
              <w:rPr>
                <w:rFonts w:ascii="Microsoft JhengHei" w:eastAsia="Microsoft JhengHei" w:hint="eastAsia"/>
                <w:b/>
                <w:sz w:val="24"/>
              </w:rPr>
              <w:t>您与我们订立的合同</w:t>
            </w:r>
          </w:p>
        </w:tc>
      </w:tr>
      <w:tr>
        <w:trPr>
          <w:trHeight w:val="2809" w:hRule="atLeast"/>
        </w:trPr>
        <w:tc>
          <w:tcPr>
            <w:tcW w:w="686"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486" w:type="dxa"/>
            <w:tcBorders>
              <w:top w:val="single" w:sz="8" w:space="0" w:color="000000"/>
            </w:tcBorders>
          </w:tcPr>
          <w:p>
            <w:pPr>
              <w:pStyle w:val="TableParagraph"/>
              <w:spacing w:before="3"/>
              <w:ind w:left="0"/>
              <w:rPr>
                <w:sz w:val="17"/>
              </w:rPr>
            </w:pPr>
          </w:p>
          <w:p>
            <w:pPr>
              <w:pStyle w:val="TableParagraph"/>
              <w:ind w:left="264"/>
              <w:rPr>
                <w:rFonts w:ascii="Microsoft JhengHei" w:eastAsia="Microsoft JhengHei" w:hint="eastAsia"/>
                <w:b/>
                <w:sz w:val="21"/>
              </w:rPr>
            </w:pPr>
            <w:r>
              <w:rPr>
                <w:rFonts w:ascii="Microsoft JhengHei" w:eastAsia="Microsoft JhengHei" w:hint="eastAsia"/>
                <w:b/>
                <w:sz w:val="21"/>
              </w:rPr>
              <w:t>合同构成</w:t>
            </w:r>
          </w:p>
        </w:tc>
        <w:tc>
          <w:tcPr>
            <w:tcW w:w="6137" w:type="dxa"/>
            <w:tcBorders>
              <w:top w:val="single" w:sz="8" w:space="0" w:color="000000"/>
            </w:tcBorders>
          </w:tcPr>
          <w:p>
            <w:pPr>
              <w:pStyle w:val="TableParagraph"/>
              <w:spacing w:before="4"/>
              <w:ind w:left="0"/>
              <w:rPr>
                <w:sz w:val="22"/>
              </w:rPr>
            </w:pPr>
          </w:p>
          <w:p>
            <w:pPr>
              <w:pStyle w:val="TableParagraph"/>
              <w:spacing w:line="273" w:lineRule="auto"/>
              <w:ind w:left="166" w:right="-15"/>
              <w:rPr>
                <w:sz w:val="21"/>
              </w:rPr>
            </w:pPr>
            <w:r>
              <w:rPr>
                <w:spacing w:val="-3"/>
                <w:w w:val="100"/>
                <w:sz w:val="21"/>
              </w:rPr>
              <w:t>本附加合同由主保险合同</w:t>
            </w:r>
            <w:r>
              <w:rPr>
                <w:w w:val="100"/>
                <w:sz w:val="21"/>
              </w:rPr>
              <w:t>（</w:t>
            </w:r>
            <w:r>
              <w:rPr>
                <w:spacing w:val="-15"/>
                <w:w w:val="100"/>
                <w:sz w:val="21"/>
              </w:rPr>
              <w:t>以下简称“主合同”</w:t>
            </w:r>
            <w:r>
              <w:rPr>
                <w:spacing w:val="-10"/>
                <w:w w:val="100"/>
                <w:sz w:val="21"/>
              </w:rPr>
              <w:t>）</w:t>
            </w:r>
            <w:r>
              <w:rPr>
                <w:spacing w:val="-2"/>
                <w:w w:val="100"/>
                <w:sz w:val="21"/>
              </w:rPr>
              <w:t>的投保人申请，</w:t>
            </w:r>
            <w:r>
              <w:rPr>
                <w:spacing w:val="-6"/>
                <w:sz w:val="21"/>
              </w:rPr>
              <w:t>经我们同意，附加于主合同，用于豁免主合同及其他附加合同的</w:t>
            </w:r>
            <w:r>
              <w:rPr>
                <w:spacing w:val="-5"/>
                <w:sz w:val="21"/>
              </w:rPr>
              <w:t>保险费，被豁免保险费的合同统称为被豁免合同。</w:t>
            </w:r>
          </w:p>
          <w:p>
            <w:pPr>
              <w:pStyle w:val="TableParagraph"/>
              <w:spacing w:line="268" w:lineRule="auto" w:before="165"/>
              <w:ind w:left="166" w:right="72"/>
              <w:rPr>
                <w:sz w:val="21"/>
              </w:rPr>
            </w:pPr>
            <w:r>
              <w:rPr>
                <w:sz w:val="21"/>
              </w:rPr>
              <w:t>本附加合同是您与我们约定保险权利义务关系的协议，包括本保险条款、保险单或者其他保险凭证、投保单、与本附加合同有关</w:t>
            </w:r>
          </w:p>
          <w:p>
            <w:pPr>
              <w:pStyle w:val="TableParagraph"/>
              <w:spacing w:line="312" w:lineRule="exact" w:before="7"/>
              <w:ind w:left="166" w:right="55"/>
              <w:rPr>
                <w:sz w:val="21"/>
              </w:rPr>
            </w:pPr>
            <w:r>
              <w:rPr>
                <w:sz w:val="21"/>
              </w:rPr>
              <w:t>的投保文件、</w:t>
            </w:r>
            <w:r>
              <w:rPr>
                <w:rFonts w:ascii="微软雅黑" w:eastAsia="微软雅黑" w:hint="eastAsia"/>
                <w:b/>
                <w:sz w:val="21"/>
              </w:rPr>
              <w:t>合法有效</w:t>
            </w:r>
            <w:r>
              <w:rPr>
                <w:sz w:val="21"/>
              </w:rPr>
              <w:t>的声明、批注、批单及其他您与我们共同认可的书面协议。</w:t>
            </w:r>
          </w:p>
        </w:tc>
      </w:tr>
      <w:tr>
        <w:trPr>
          <w:trHeight w:val="2667" w:hRule="atLeast"/>
        </w:trPr>
        <w:tc>
          <w:tcPr>
            <w:tcW w:w="686" w:type="dxa"/>
          </w:tcPr>
          <w:p>
            <w:pPr>
              <w:pStyle w:val="TableParagraph"/>
              <w:spacing w:before="85"/>
              <w:ind w:left="105"/>
              <w:rPr>
                <w:rFonts w:ascii="Microsoft JhengHei"/>
                <w:b/>
                <w:sz w:val="21"/>
              </w:rPr>
            </w:pPr>
            <w:r>
              <w:rPr>
                <w:rFonts w:ascii="Microsoft JhengHei"/>
                <w:b/>
                <w:w w:val="105"/>
                <w:sz w:val="21"/>
              </w:rPr>
              <w:t>1.2</w:t>
            </w:r>
          </w:p>
        </w:tc>
        <w:tc>
          <w:tcPr>
            <w:tcW w:w="1486" w:type="dxa"/>
          </w:tcPr>
          <w:p>
            <w:pPr>
              <w:pStyle w:val="TableParagraph"/>
              <w:spacing w:line="201" w:lineRule="auto" w:before="144"/>
              <w:ind w:left="264" w:right="163"/>
              <w:rPr>
                <w:rFonts w:ascii="Microsoft JhengHei" w:eastAsia="Microsoft JhengHei" w:hint="eastAsia"/>
                <w:b/>
                <w:sz w:val="21"/>
              </w:rPr>
            </w:pPr>
            <w:r>
              <w:rPr>
                <w:rFonts w:ascii="Microsoft JhengHei" w:eastAsia="Microsoft JhengHei" w:hint="eastAsia"/>
                <w:b/>
                <w:sz w:val="21"/>
              </w:rPr>
              <w:t>合同成立及生效</w:t>
            </w:r>
          </w:p>
        </w:tc>
        <w:tc>
          <w:tcPr>
            <w:tcW w:w="6137" w:type="dxa"/>
          </w:tcPr>
          <w:p>
            <w:pPr>
              <w:pStyle w:val="TableParagraph"/>
              <w:spacing w:line="268" w:lineRule="auto" w:before="152"/>
              <w:ind w:left="166" w:right="58"/>
              <w:rPr>
                <w:sz w:val="21"/>
              </w:rPr>
            </w:pPr>
            <w:r>
              <w:rPr>
                <w:sz w:val="21"/>
              </w:rPr>
              <w:t>如果本附加合同与主合同同时投保，本附加合同的生效日与主合同相同。</w:t>
            </w:r>
          </w:p>
          <w:p>
            <w:pPr>
              <w:pStyle w:val="TableParagraph"/>
              <w:spacing w:line="273" w:lineRule="auto" w:before="170"/>
              <w:ind w:left="166" w:right="58"/>
              <w:rPr>
                <w:sz w:val="21"/>
              </w:rPr>
            </w:pPr>
            <w:r>
              <w:rPr>
                <w:sz w:val="21"/>
              </w:rPr>
              <w:t>如果您在主合同有效期内投保本附加合同，本附加合同生效日以申请投保时主合同的下一个保单周年日为准。</w:t>
            </w:r>
          </w:p>
          <w:p>
            <w:pPr>
              <w:pStyle w:val="TableParagraph"/>
              <w:spacing w:before="166"/>
              <w:ind w:left="166"/>
              <w:rPr>
                <w:sz w:val="21"/>
              </w:rPr>
            </w:pPr>
            <w:r>
              <w:rPr>
                <w:sz w:val="21"/>
              </w:rPr>
              <w:t>本附加合同的保单周年日同主合同的保单周年日。</w:t>
            </w:r>
          </w:p>
          <w:p>
            <w:pPr>
              <w:pStyle w:val="TableParagraph"/>
              <w:spacing w:before="128"/>
              <w:ind w:left="166"/>
              <w:rPr>
                <w:sz w:val="21"/>
              </w:rPr>
            </w:pPr>
            <w:r>
              <w:rPr>
                <w:rFonts w:ascii="微软雅黑" w:eastAsia="微软雅黑" w:hint="eastAsia"/>
                <w:b/>
                <w:sz w:val="21"/>
              </w:rPr>
              <w:t>保险费约定交纳日</w:t>
            </w:r>
            <w:r>
              <w:rPr>
                <w:sz w:val="21"/>
              </w:rPr>
              <w:t>依据本附加合同的生效日为基础进行计算。</w:t>
            </w:r>
          </w:p>
        </w:tc>
      </w:tr>
      <w:tr>
        <w:trPr>
          <w:trHeight w:val="950" w:hRule="atLeast"/>
        </w:trPr>
        <w:tc>
          <w:tcPr>
            <w:tcW w:w="686" w:type="dxa"/>
          </w:tcPr>
          <w:p>
            <w:pPr>
              <w:pStyle w:val="TableParagraph"/>
              <w:spacing w:before="83"/>
              <w:ind w:left="105"/>
              <w:rPr>
                <w:rFonts w:ascii="Microsoft JhengHei"/>
                <w:b/>
                <w:sz w:val="21"/>
              </w:rPr>
            </w:pPr>
            <w:r>
              <w:rPr>
                <w:rFonts w:ascii="Microsoft JhengHei"/>
                <w:b/>
                <w:w w:val="105"/>
                <w:sz w:val="21"/>
              </w:rPr>
              <w:t>1.3</w:t>
            </w:r>
          </w:p>
        </w:tc>
        <w:tc>
          <w:tcPr>
            <w:tcW w:w="1486" w:type="dxa"/>
          </w:tcPr>
          <w:p>
            <w:pPr>
              <w:pStyle w:val="TableParagraph"/>
              <w:spacing w:before="83"/>
              <w:ind w:left="264"/>
              <w:rPr>
                <w:rFonts w:ascii="Microsoft JhengHei" w:eastAsia="Microsoft JhengHei" w:hint="eastAsia"/>
                <w:b/>
                <w:sz w:val="21"/>
              </w:rPr>
            </w:pPr>
            <w:r>
              <w:rPr>
                <w:rFonts w:ascii="Microsoft JhengHei" w:eastAsia="Microsoft JhengHei" w:hint="eastAsia"/>
                <w:b/>
                <w:sz w:val="21"/>
              </w:rPr>
              <w:t>投保范围</w:t>
            </w:r>
          </w:p>
        </w:tc>
        <w:tc>
          <w:tcPr>
            <w:tcW w:w="6137" w:type="dxa"/>
          </w:tcPr>
          <w:p>
            <w:pPr>
              <w:pStyle w:val="TableParagraph"/>
              <w:spacing w:line="273" w:lineRule="auto" w:before="150"/>
              <w:ind w:left="166" w:right="71"/>
              <w:rPr>
                <w:sz w:val="21"/>
              </w:rPr>
            </w:pPr>
            <w:r>
              <w:rPr>
                <w:sz w:val="21"/>
              </w:rPr>
              <w:t>被豁免合同的投保人与被保险人不为同一人时，该投保人可以投保本附加保险，且作为本附加合同的被保险人。</w:t>
            </w:r>
          </w:p>
        </w:tc>
      </w:tr>
      <w:tr>
        <w:trPr>
          <w:trHeight w:val="638" w:hRule="atLeast"/>
        </w:trPr>
        <w:tc>
          <w:tcPr>
            <w:tcW w:w="686" w:type="dxa"/>
          </w:tcPr>
          <w:p>
            <w:pPr>
              <w:pStyle w:val="TableParagraph"/>
              <w:spacing w:before="83"/>
              <w:ind w:left="105"/>
              <w:rPr>
                <w:rFonts w:ascii="Microsoft JhengHei"/>
                <w:b/>
                <w:sz w:val="21"/>
              </w:rPr>
            </w:pPr>
            <w:r>
              <w:rPr>
                <w:rFonts w:ascii="Microsoft JhengHei"/>
                <w:b/>
                <w:w w:val="105"/>
                <w:sz w:val="21"/>
              </w:rPr>
              <w:t>1.4</w:t>
            </w:r>
          </w:p>
        </w:tc>
        <w:tc>
          <w:tcPr>
            <w:tcW w:w="1486" w:type="dxa"/>
          </w:tcPr>
          <w:p>
            <w:pPr>
              <w:pStyle w:val="TableParagraph"/>
              <w:spacing w:before="83"/>
              <w:ind w:left="264"/>
              <w:rPr>
                <w:rFonts w:ascii="Microsoft JhengHei" w:eastAsia="Microsoft JhengHei" w:hint="eastAsia"/>
                <w:b/>
                <w:sz w:val="21"/>
              </w:rPr>
            </w:pPr>
            <w:r>
              <w:rPr>
                <w:rFonts w:ascii="Microsoft JhengHei" w:eastAsia="Microsoft JhengHei" w:hint="eastAsia"/>
                <w:b/>
                <w:sz w:val="21"/>
              </w:rPr>
              <w:t>投保年龄</w:t>
            </w:r>
          </w:p>
        </w:tc>
        <w:tc>
          <w:tcPr>
            <w:tcW w:w="6137" w:type="dxa"/>
          </w:tcPr>
          <w:p>
            <w:pPr>
              <w:pStyle w:val="TableParagraph"/>
              <w:spacing w:before="87"/>
              <w:ind w:left="166"/>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3307" w:hRule="atLeast"/>
        </w:trPr>
        <w:tc>
          <w:tcPr>
            <w:tcW w:w="686" w:type="dxa"/>
          </w:tcPr>
          <w:p>
            <w:pPr>
              <w:pStyle w:val="TableParagraph"/>
              <w:spacing w:before="83"/>
              <w:ind w:left="105"/>
              <w:rPr>
                <w:rFonts w:ascii="Microsoft JhengHei"/>
                <w:b/>
                <w:sz w:val="21"/>
              </w:rPr>
            </w:pPr>
            <w:r>
              <w:rPr>
                <w:rFonts w:ascii="Microsoft JhengHei"/>
                <w:b/>
                <w:w w:val="105"/>
                <w:sz w:val="21"/>
              </w:rPr>
              <w:t>1.5</w:t>
            </w:r>
          </w:p>
        </w:tc>
        <w:tc>
          <w:tcPr>
            <w:tcW w:w="1486" w:type="dxa"/>
          </w:tcPr>
          <w:p>
            <w:pPr>
              <w:pStyle w:val="TableParagraph"/>
              <w:spacing w:before="83"/>
              <w:ind w:left="264"/>
              <w:rPr>
                <w:rFonts w:ascii="Microsoft JhengHei" w:eastAsia="Microsoft JhengHei" w:hint="eastAsia"/>
                <w:b/>
                <w:sz w:val="21"/>
              </w:rPr>
            </w:pPr>
            <w:r>
              <w:rPr>
                <w:rFonts w:ascii="Microsoft JhengHei" w:eastAsia="Microsoft JhengHei" w:hint="eastAsia"/>
                <w:b/>
                <w:sz w:val="21"/>
              </w:rPr>
              <w:t>犹豫期</w:t>
            </w:r>
          </w:p>
        </w:tc>
        <w:tc>
          <w:tcPr>
            <w:tcW w:w="6137" w:type="dxa"/>
          </w:tcPr>
          <w:p>
            <w:pPr>
              <w:pStyle w:val="TableParagraph"/>
              <w:spacing w:line="271" w:lineRule="auto" w:before="150"/>
              <w:ind w:left="166" w:right="100"/>
              <w:jc w:val="both"/>
              <w:rPr>
                <w:sz w:val="21"/>
              </w:rPr>
            </w:pPr>
            <w:r>
              <w:rPr>
                <w:spacing w:val="-4"/>
                <w:sz w:val="21"/>
              </w:rPr>
              <w:t>自您签收本附加合同的次日零时起，有 </w:t>
            </w:r>
            <w:r>
              <w:rPr>
                <w:sz w:val="21"/>
              </w:rPr>
              <w:t>10</w:t>
            </w:r>
            <w:r>
              <w:rPr>
                <w:spacing w:val="-1"/>
                <w:sz w:val="21"/>
              </w:rPr>
              <w:t> 日的犹豫期。在此期</w:t>
            </w:r>
            <w:r>
              <w:rPr>
                <w:spacing w:val="-6"/>
                <w:sz w:val="21"/>
              </w:rPr>
              <w:t>间，请您认真审视本附加合同，如果您认为本附加合同与您的需</w:t>
            </w:r>
            <w:r>
              <w:rPr>
                <w:spacing w:val="-7"/>
                <w:sz w:val="21"/>
              </w:rPr>
              <w:t>求不相符，您可以在此期间提出解除本附加合同，我们将在扣除</w:t>
            </w:r>
            <w:r>
              <w:rPr>
                <w:spacing w:val="-16"/>
                <w:sz w:val="21"/>
              </w:rPr>
              <w:t>不超过 </w:t>
            </w:r>
            <w:r>
              <w:rPr>
                <w:sz w:val="21"/>
              </w:rPr>
              <w:t>10</w:t>
            </w:r>
            <w:r>
              <w:rPr>
                <w:spacing w:val="-8"/>
                <w:sz w:val="21"/>
              </w:rPr>
              <w:t> 元的工本费后向您无息退还保险费。</w:t>
            </w:r>
          </w:p>
          <w:p>
            <w:pPr>
              <w:pStyle w:val="TableParagraph"/>
              <w:spacing w:line="312" w:lineRule="exact" w:before="164"/>
              <w:ind w:left="166" w:right="91"/>
              <w:jc w:val="both"/>
              <w:rPr>
                <w:sz w:val="21"/>
              </w:rPr>
            </w:pPr>
            <w:r>
              <w:rPr>
                <w:spacing w:val="-6"/>
                <w:sz w:val="21"/>
              </w:rPr>
              <w:t>在犹豫期内解除本附加合同时，您须填写解除合同申请书，并提</w:t>
            </w:r>
            <w:r>
              <w:rPr>
                <w:spacing w:val="-7"/>
                <w:sz w:val="21"/>
              </w:rPr>
              <w:t>供本附加合同、您的</w:t>
            </w:r>
            <w:r>
              <w:rPr>
                <w:rFonts w:ascii="微软雅黑" w:eastAsia="微软雅黑" w:hint="eastAsia"/>
                <w:b/>
                <w:sz w:val="21"/>
              </w:rPr>
              <w:t>有效身份证件</w:t>
            </w:r>
            <w:r>
              <w:rPr>
                <w:spacing w:val="-4"/>
                <w:sz w:val="21"/>
              </w:rPr>
              <w:t>及您所交保险费的发票。自我</w:t>
            </w:r>
            <w:r>
              <w:rPr>
                <w:spacing w:val="-7"/>
                <w:sz w:val="21"/>
              </w:rPr>
              <w:t>们收到您的解除合同申请书时起，本附加合同即被解除，对于本</w:t>
            </w:r>
            <w:r>
              <w:rPr>
                <w:spacing w:val="2"/>
                <w:sz w:val="21"/>
              </w:rPr>
              <w:t>附加合同解除前发</w:t>
            </w:r>
            <w:r>
              <w:rPr>
                <w:spacing w:val="3"/>
                <w:sz w:val="21"/>
              </w:rPr>
              <w:t>Th</w:t>
            </w:r>
            <w:r>
              <w:rPr>
                <w:spacing w:val="2"/>
                <w:sz w:val="21"/>
              </w:rPr>
              <w:t>的保险事故，我们不承担豁免保险费的责</w:t>
            </w:r>
          </w:p>
          <w:p>
            <w:pPr>
              <w:pStyle w:val="TableParagraph"/>
              <w:spacing w:before="4"/>
              <w:ind w:left="166"/>
              <w:jc w:val="both"/>
              <w:rPr>
                <w:sz w:val="21"/>
              </w:rPr>
            </w:pPr>
            <w:r>
              <w:rPr>
                <w:sz w:val="21"/>
              </w:rPr>
              <w:t>任。</w:t>
            </w:r>
          </w:p>
        </w:tc>
      </w:tr>
      <w:tr>
        <w:trPr>
          <w:trHeight w:val="553" w:hRule="atLeast"/>
        </w:trPr>
        <w:tc>
          <w:tcPr>
            <w:tcW w:w="68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2.</w:t>
            </w:r>
          </w:p>
        </w:tc>
        <w:tc>
          <w:tcPr>
            <w:tcW w:w="7623" w:type="dxa"/>
            <w:gridSpan w:val="2"/>
            <w:tcBorders>
              <w:bottom w:val="single" w:sz="8" w:space="0" w:color="000000"/>
            </w:tcBorders>
          </w:tcPr>
          <w:p>
            <w:pPr>
              <w:pStyle w:val="TableParagraph"/>
              <w:spacing w:before="82"/>
              <w:ind w:left="264"/>
              <w:rPr>
                <w:rFonts w:ascii="Microsoft JhengHei" w:eastAsia="Microsoft JhengHei" w:hint="eastAsia"/>
                <w:b/>
                <w:sz w:val="24"/>
              </w:rPr>
            </w:pPr>
            <w:r>
              <w:rPr>
                <w:rFonts w:ascii="Microsoft JhengHei" w:eastAsia="Microsoft JhengHei" w:hint="eastAsia"/>
                <w:b/>
                <w:sz w:val="24"/>
              </w:rPr>
              <w:t>我们提供的保障</w:t>
            </w:r>
          </w:p>
        </w:tc>
      </w:tr>
      <w:tr>
        <w:trPr>
          <w:trHeight w:val="1191" w:hRule="atLeast"/>
        </w:trPr>
        <w:tc>
          <w:tcPr>
            <w:tcW w:w="686" w:type="dxa"/>
            <w:tcBorders>
              <w:top w:val="single" w:sz="8" w:space="0" w:color="000000"/>
            </w:tcBorders>
          </w:tcPr>
          <w:p>
            <w:pPr>
              <w:pStyle w:val="TableParagraph"/>
              <w:spacing w:before="7"/>
              <w:ind w:left="0"/>
              <w:rPr>
                <w:sz w:val="17"/>
              </w:rPr>
            </w:pPr>
          </w:p>
          <w:p>
            <w:pPr>
              <w:pStyle w:val="TableParagraph"/>
              <w:spacing w:before="1"/>
              <w:ind w:left="105"/>
              <w:rPr>
                <w:rFonts w:ascii="Microsoft JhengHei"/>
                <w:b/>
                <w:sz w:val="21"/>
              </w:rPr>
            </w:pPr>
            <w:r>
              <w:rPr>
                <w:rFonts w:ascii="Microsoft JhengHei"/>
                <w:b/>
                <w:w w:val="105"/>
                <w:sz w:val="21"/>
              </w:rPr>
              <w:t>2.1</w:t>
            </w:r>
          </w:p>
        </w:tc>
        <w:tc>
          <w:tcPr>
            <w:tcW w:w="1486" w:type="dxa"/>
            <w:tcBorders>
              <w:top w:val="single" w:sz="8" w:space="0" w:color="000000"/>
            </w:tcBorders>
          </w:tcPr>
          <w:p>
            <w:pPr>
              <w:pStyle w:val="TableParagraph"/>
              <w:ind w:left="0"/>
              <w:rPr>
                <w:sz w:val="22"/>
              </w:rPr>
            </w:pPr>
          </w:p>
          <w:p>
            <w:pPr>
              <w:pStyle w:val="TableParagraph"/>
              <w:spacing w:line="201" w:lineRule="auto" w:before="1"/>
              <w:ind w:left="264" w:right="163"/>
              <w:rPr>
                <w:rFonts w:ascii="Microsoft JhengHei" w:eastAsia="Microsoft JhengHei" w:hint="eastAsia"/>
                <w:b/>
                <w:sz w:val="21"/>
              </w:rPr>
            </w:pPr>
            <w:r>
              <w:rPr>
                <w:rFonts w:ascii="Microsoft JhengHei" w:eastAsia="Microsoft JhengHei" w:hint="eastAsia"/>
                <w:b/>
                <w:sz w:val="21"/>
              </w:rPr>
              <w:t>保险期间和保证续保</w:t>
            </w:r>
          </w:p>
        </w:tc>
        <w:tc>
          <w:tcPr>
            <w:tcW w:w="6137" w:type="dxa"/>
            <w:tcBorders>
              <w:top w:val="single" w:sz="8" w:space="0" w:color="000000"/>
            </w:tcBorders>
          </w:tcPr>
          <w:p>
            <w:pPr>
              <w:pStyle w:val="TableParagraph"/>
              <w:spacing w:before="9"/>
              <w:ind w:left="0"/>
              <w:rPr>
                <w:sz w:val="22"/>
              </w:rPr>
            </w:pPr>
          </w:p>
          <w:p>
            <w:pPr>
              <w:pStyle w:val="TableParagraph"/>
              <w:spacing w:line="268" w:lineRule="auto"/>
              <w:ind w:left="166" w:right="68"/>
              <w:rPr>
                <w:sz w:val="21"/>
              </w:rPr>
            </w:pPr>
            <w:r>
              <w:rPr>
                <w:sz w:val="21"/>
              </w:rPr>
              <w:t>本附加合同的保险期间为一年，并在保险单上载明。从主险首个续期保险费约定交纳日至主险最后一个续期保险费约定交纳日</w:t>
            </w:r>
          </w:p>
          <w:p>
            <w:pPr>
              <w:pStyle w:val="TableParagraph"/>
              <w:spacing w:line="255" w:lineRule="exact" w:before="11"/>
              <w:ind w:left="166"/>
              <w:rPr>
                <w:sz w:val="21"/>
              </w:rPr>
            </w:pPr>
            <w:r>
              <w:rPr>
                <w:sz w:val="21"/>
              </w:rPr>
              <w:t>为保证续保期间。在保证续保期间内，每一保险期间届满之前，</w:t>
            </w:r>
          </w:p>
        </w:tc>
      </w:tr>
    </w:tbl>
    <w:p>
      <w:pPr>
        <w:spacing w:after="0" w:line="255" w:lineRule="exact"/>
        <w:rPr>
          <w:sz w:val="21"/>
        </w:rPr>
        <w:sectPr>
          <w:pgSz w:w="11910" w:h="16840"/>
          <w:pgMar w:header="0" w:footer="150" w:top="760" w:bottom="42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486"/>
        <w:gridCol w:w="6243"/>
      </w:tblGrid>
      <w:tr>
        <w:trPr>
          <w:trHeight w:val="2609" w:hRule="atLeast"/>
        </w:trPr>
        <w:tc>
          <w:tcPr>
            <w:tcW w:w="781" w:type="dxa"/>
          </w:tcPr>
          <w:p>
            <w:pPr>
              <w:pStyle w:val="TableParagraph"/>
              <w:ind w:left="0"/>
              <w:rPr>
                <w:rFonts w:ascii="Times New Roman"/>
                <w:sz w:val="20"/>
              </w:rPr>
            </w:pPr>
          </w:p>
        </w:tc>
        <w:tc>
          <w:tcPr>
            <w:tcW w:w="1486" w:type="dxa"/>
          </w:tcPr>
          <w:p>
            <w:pPr>
              <w:pStyle w:val="TableParagraph"/>
              <w:ind w:left="0"/>
              <w:rPr>
                <w:rFonts w:ascii="Times New Roman"/>
                <w:sz w:val="20"/>
              </w:rPr>
            </w:pPr>
          </w:p>
        </w:tc>
        <w:tc>
          <w:tcPr>
            <w:tcW w:w="6243" w:type="dxa"/>
          </w:tcPr>
          <w:p>
            <w:pPr>
              <w:pStyle w:val="TableParagraph"/>
              <w:spacing w:line="211" w:lineRule="exact"/>
              <w:ind w:left="165"/>
              <w:rPr>
                <w:sz w:val="21"/>
              </w:rPr>
            </w:pPr>
            <w:r>
              <w:rPr>
                <w:sz w:val="21"/>
              </w:rPr>
              <w:t>若我们未收到您不再继续投保的书面通知，且您按续保时对应的</w:t>
            </w:r>
          </w:p>
          <w:p>
            <w:pPr>
              <w:pStyle w:val="TableParagraph"/>
              <w:spacing w:line="273" w:lineRule="auto" w:before="37"/>
              <w:ind w:left="165" w:right="207"/>
              <w:jc w:val="both"/>
              <w:rPr>
                <w:sz w:val="21"/>
              </w:rPr>
            </w:pPr>
            <w:r>
              <w:rPr>
                <w:spacing w:val="-6"/>
                <w:sz w:val="21"/>
              </w:rPr>
              <w:t>费率交纳了续保保险费，本附加合同延续有效一年，自上一保险</w:t>
            </w:r>
            <w:r>
              <w:rPr>
                <w:spacing w:val="-7"/>
                <w:sz w:val="21"/>
              </w:rPr>
              <w:t>期间届满之日次日零时开始生效。但若存在下列情形之一时，本</w:t>
            </w:r>
            <w:r>
              <w:rPr>
                <w:spacing w:val="-6"/>
                <w:sz w:val="21"/>
              </w:rPr>
              <w:t>附加合同自动不再续保：</w:t>
            </w:r>
          </w:p>
          <w:p>
            <w:pPr>
              <w:pStyle w:val="TableParagraph"/>
              <w:spacing w:before="7"/>
              <w:ind w:left="165"/>
              <w:rPr>
                <w:sz w:val="21"/>
              </w:rPr>
            </w:pPr>
            <w:r>
              <w:rPr>
                <w:sz w:val="21"/>
              </w:rPr>
              <w:t>（1）被豁免合同的保险费已被豁免或交费期满；</w:t>
            </w:r>
          </w:p>
          <w:p>
            <w:pPr>
              <w:pStyle w:val="TableParagraph"/>
              <w:spacing w:before="37"/>
              <w:ind w:left="165"/>
              <w:rPr>
                <w:sz w:val="21"/>
              </w:rPr>
            </w:pPr>
            <w:r>
              <w:rPr>
                <w:sz w:val="21"/>
              </w:rPr>
              <w:t>（2）被豁免合同效力终止或中止；</w:t>
            </w:r>
          </w:p>
          <w:p>
            <w:pPr>
              <w:pStyle w:val="TableParagraph"/>
              <w:spacing w:line="273" w:lineRule="auto" w:before="37"/>
              <w:ind w:left="689" w:right="213" w:hanging="524"/>
              <w:rPr>
                <w:sz w:val="21"/>
              </w:rPr>
            </w:pPr>
            <w:r>
              <w:rPr>
                <w:sz w:val="21"/>
              </w:rPr>
              <w:t>（3）被保险人续保时的年龄超过本附加合同规定的最高续保年龄。</w:t>
            </w:r>
          </w:p>
        </w:tc>
      </w:tr>
      <w:tr>
        <w:trPr>
          <w:trHeight w:val="2511" w:hRule="atLeast"/>
        </w:trPr>
        <w:tc>
          <w:tcPr>
            <w:tcW w:w="781" w:type="dxa"/>
          </w:tcPr>
          <w:p>
            <w:pPr>
              <w:pStyle w:val="TableParagraph"/>
              <w:spacing w:before="83"/>
              <w:ind w:left="180" w:right="242"/>
              <w:jc w:val="center"/>
              <w:rPr>
                <w:rFonts w:ascii="Microsoft JhengHei"/>
                <w:b/>
                <w:sz w:val="21"/>
              </w:rPr>
            </w:pPr>
            <w:r>
              <w:rPr>
                <w:rFonts w:ascii="Microsoft JhengHei"/>
                <w:b/>
                <w:w w:val="105"/>
                <w:sz w:val="21"/>
              </w:rPr>
              <w:t>2.2</w:t>
            </w:r>
          </w:p>
        </w:tc>
        <w:tc>
          <w:tcPr>
            <w:tcW w:w="1486" w:type="dxa"/>
          </w:tcPr>
          <w:p>
            <w:pPr>
              <w:pStyle w:val="TableParagraph"/>
              <w:spacing w:before="83"/>
              <w:ind w:left="263"/>
              <w:rPr>
                <w:rFonts w:ascii="Microsoft JhengHei" w:eastAsia="Microsoft JhengHei" w:hint="eastAsia"/>
                <w:b/>
                <w:sz w:val="21"/>
              </w:rPr>
            </w:pPr>
            <w:r>
              <w:rPr>
                <w:rFonts w:ascii="Microsoft JhengHei" w:eastAsia="Microsoft JhengHei" w:hint="eastAsia"/>
                <w:b/>
                <w:sz w:val="21"/>
              </w:rPr>
              <w:t>等待期</w:t>
            </w:r>
          </w:p>
        </w:tc>
        <w:tc>
          <w:tcPr>
            <w:tcW w:w="6243" w:type="dxa"/>
          </w:tcPr>
          <w:p>
            <w:pPr>
              <w:pStyle w:val="TableParagraph"/>
              <w:spacing w:before="150"/>
              <w:ind w:left="165"/>
              <w:rPr>
                <w:sz w:val="21"/>
              </w:rPr>
            </w:pPr>
            <w:r>
              <w:rPr>
                <w:sz w:val="21"/>
              </w:rPr>
              <w:t>投保本附加合同时，被保险人于本附加合同生效之日 90 内（含</w:t>
            </w:r>
          </w:p>
          <w:p>
            <w:pPr>
              <w:pStyle w:val="TableParagraph"/>
              <w:spacing w:line="273" w:lineRule="auto" w:before="37"/>
              <w:ind w:left="165" w:right="207"/>
              <w:jc w:val="both"/>
              <w:rPr>
                <w:sz w:val="21"/>
              </w:rPr>
            </w:pPr>
            <w:r>
              <w:rPr>
                <w:spacing w:val="1"/>
                <w:sz w:val="21"/>
              </w:rPr>
              <w:t>第 </w:t>
            </w:r>
            <w:r>
              <w:rPr>
                <w:sz w:val="21"/>
              </w:rPr>
              <w:t>90</w:t>
            </w:r>
            <w:r>
              <w:rPr>
                <w:spacing w:val="2"/>
                <w:sz w:val="21"/>
              </w:rPr>
              <w:t> 日</w:t>
            </w:r>
            <w:r>
              <w:rPr>
                <w:spacing w:val="-5"/>
                <w:sz w:val="21"/>
              </w:rPr>
              <w:t>）因意外伤害以外的原因，导致初次患本附加合同所列</w:t>
            </w:r>
            <w:r>
              <w:rPr>
                <w:spacing w:val="-7"/>
                <w:sz w:val="21"/>
              </w:rPr>
              <w:t>的轻症疾病的一种或多种、本附加合同所列的重大疾病的一种或多种、全残或身故，我们向您或被保险人的继承人返还本附加合</w:t>
            </w:r>
            <w:r>
              <w:rPr>
                <w:spacing w:val="-7"/>
                <w:w w:val="100"/>
                <w:sz w:val="21"/>
              </w:rPr>
              <w:t>同已交保费</w:t>
            </w:r>
            <w:r>
              <w:rPr>
                <w:w w:val="100"/>
                <w:sz w:val="21"/>
              </w:rPr>
              <w:t>（</w:t>
            </w:r>
            <w:r>
              <w:rPr>
                <w:spacing w:val="-2"/>
                <w:w w:val="100"/>
                <w:sz w:val="21"/>
              </w:rPr>
              <w:t>不计利息</w:t>
            </w:r>
            <w:r>
              <w:rPr>
                <w:spacing w:val="-106"/>
                <w:w w:val="100"/>
                <w:sz w:val="21"/>
              </w:rPr>
              <w:t>）</w:t>
            </w:r>
            <w:r>
              <w:rPr>
                <w:w w:val="100"/>
                <w:sz w:val="21"/>
              </w:rPr>
              <w:t>，这</w:t>
            </w:r>
            <w:r>
              <w:rPr>
                <w:spacing w:val="-51"/>
                <w:sz w:val="21"/>
              </w:rPr>
              <w:t> </w:t>
            </w:r>
            <w:r>
              <w:rPr>
                <w:spacing w:val="-5"/>
                <w:w w:val="100"/>
                <w:sz w:val="21"/>
              </w:rPr>
              <w:t>9</w:t>
            </w:r>
            <w:r>
              <w:rPr>
                <w:w w:val="100"/>
                <w:sz w:val="21"/>
              </w:rPr>
              <w:t>0</w:t>
            </w:r>
            <w:r>
              <w:rPr>
                <w:spacing w:val="-53"/>
                <w:sz w:val="21"/>
              </w:rPr>
              <w:t> </w:t>
            </w:r>
            <w:r>
              <w:rPr>
                <w:spacing w:val="-2"/>
                <w:w w:val="100"/>
                <w:sz w:val="21"/>
              </w:rPr>
              <w:t>日称为等待期。</w:t>
            </w:r>
          </w:p>
          <w:p>
            <w:pPr>
              <w:pStyle w:val="TableParagraph"/>
              <w:spacing w:line="312" w:lineRule="exact" w:before="2"/>
              <w:ind w:left="165" w:right="207"/>
              <w:jc w:val="both"/>
              <w:rPr>
                <w:sz w:val="21"/>
              </w:rPr>
            </w:pPr>
            <w:r>
              <w:rPr>
                <w:spacing w:val="-1"/>
                <w:sz w:val="21"/>
              </w:rPr>
              <w:t>被保险人因</w:t>
            </w:r>
            <w:r>
              <w:rPr>
                <w:rFonts w:ascii="微软雅黑" w:eastAsia="微软雅黑" w:hint="eastAsia"/>
                <w:b/>
                <w:sz w:val="21"/>
              </w:rPr>
              <w:t>意外伤害</w:t>
            </w:r>
            <w:r>
              <w:rPr>
                <w:spacing w:val="-5"/>
                <w:sz w:val="21"/>
              </w:rPr>
              <w:t>导致保险责任的发生或您按本附加合同 </w:t>
            </w:r>
            <w:r>
              <w:rPr>
                <w:sz w:val="21"/>
              </w:rPr>
              <w:t>2.1 </w:t>
            </w:r>
            <w:r>
              <w:rPr>
                <w:spacing w:val="-4"/>
                <w:sz w:val="21"/>
              </w:rPr>
              <w:t>条续保本附加合同，保险责任无等待期。</w:t>
            </w:r>
          </w:p>
        </w:tc>
      </w:tr>
      <w:tr>
        <w:trPr>
          <w:trHeight w:val="638" w:hRule="atLeast"/>
        </w:trPr>
        <w:tc>
          <w:tcPr>
            <w:tcW w:w="781" w:type="dxa"/>
          </w:tcPr>
          <w:p>
            <w:pPr>
              <w:pStyle w:val="TableParagraph"/>
              <w:spacing w:before="83"/>
              <w:ind w:left="180" w:right="242"/>
              <w:jc w:val="center"/>
              <w:rPr>
                <w:rFonts w:ascii="Microsoft JhengHei"/>
                <w:b/>
                <w:sz w:val="21"/>
              </w:rPr>
            </w:pPr>
            <w:r>
              <w:rPr>
                <w:rFonts w:ascii="Microsoft JhengHei"/>
                <w:b/>
                <w:w w:val="105"/>
                <w:sz w:val="21"/>
              </w:rPr>
              <w:t>2.3</w:t>
            </w:r>
          </w:p>
        </w:tc>
        <w:tc>
          <w:tcPr>
            <w:tcW w:w="1486" w:type="dxa"/>
          </w:tcPr>
          <w:p>
            <w:pPr>
              <w:pStyle w:val="TableParagraph"/>
              <w:spacing w:before="83"/>
              <w:ind w:left="263"/>
              <w:rPr>
                <w:rFonts w:ascii="Microsoft JhengHei" w:eastAsia="Microsoft JhengHei" w:hint="eastAsia"/>
                <w:b/>
                <w:sz w:val="21"/>
              </w:rPr>
            </w:pPr>
            <w:r>
              <w:rPr>
                <w:rFonts w:ascii="Microsoft JhengHei" w:eastAsia="Microsoft JhengHei" w:hint="eastAsia"/>
                <w:b/>
                <w:sz w:val="21"/>
              </w:rPr>
              <w:t>保险责任</w:t>
            </w:r>
          </w:p>
        </w:tc>
        <w:tc>
          <w:tcPr>
            <w:tcW w:w="6243" w:type="dxa"/>
          </w:tcPr>
          <w:p>
            <w:pPr>
              <w:pStyle w:val="TableParagraph"/>
              <w:spacing w:before="150"/>
              <w:ind w:left="165"/>
              <w:rPr>
                <w:sz w:val="21"/>
              </w:rPr>
            </w:pPr>
            <w:r>
              <w:rPr>
                <w:sz w:val="21"/>
              </w:rPr>
              <w:t>在本附加合同保险期间内，我们承担下列保险责任：</w:t>
            </w:r>
          </w:p>
        </w:tc>
      </w:tr>
      <w:tr>
        <w:trPr>
          <w:trHeight w:val="9334" w:hRule="atLeast"/>
        </w:trPr>
        <w:tc>
          <w:tcPr>
            <w:tcW w:w="781" w:type="dxa"/>
          </w:tcPr>
          <w:p>
            <w:pPr>
              <w:pStyle w:val="TableParagraph"/>
              <w:ind w:left="0"/>
              <w:rPr>
                <w:rFonts w:ascii="Times New Roman"/>
                <w:sz w:val="20"/>
              </w:rPr>
            </w:pPr>
          </w:p>
        </w:tc>
        <w:tc>
          <w:tcPr>
            <w:tcW w:w="1486" w:type="dxa"/>
          </w:tcPr>
          <w:p>
            <w:pPr>
              <w:pStyle w:val="TableParagraph"/>
              <w:spacing w:line="201" w:lineRule="auto" w:before="141"/>
              <w:ind w:left="263" w:right="163"/>
              <w:rPr>
                <w:rFonts w:ascii="Microsoft JhengHei" w:eastAsia="Microsoft JhengHei" w:hint="eastAsia"/>
                <w:b/>
                <w:sz w:val="21"/>
              </w:rPr>
            </w:pPr>
            <w:r>
              <w:rPr>
                <w:rFonts w:ascii="Microsoft JhengHei" w:eastAsia="Microsoft JhengHei" w:hint="eastAsia"/>
                <w:b/>
                <w:sz w:val="21"/>
              </w:rPr>
              <w:t>轻症疾病豁免保险费</w:t>
            </w:r>
          </w:p>
        </w:tc>
        <w:tc>
          <w:tcPr>
            <w:tcW w:w="6243" w:type="dxa"/>
          </w:tcPr>
          <w:p>
            <w:pPr>
              <w:pStyle w:val="TableParagraph"/>
              <w:spacing w:line="260" w:lineRule="exact" w:before="150"/>
              <w:ind w:left="165"/>
              <w:rPr>
                <w:sz w:val="21"/>
              </w:rPr>
            </w:pPr>
            <w:r>
              <w:rPr>
                <w:sz w:val="21"/>
              </w:rPr>
              <w:t>一、若被保险人因意外伤害，或于本附加合同生效之日起 90 日</w:t>
            </w:r>
          </w:p>
          <w:p>
            <w:pPr>
              <w:pStyle w:val="TableParagraph"/>
              <w:spacing w:line="312" w:lineRule="exact" w:before="43"/>
              <w:ind w:left="588" w:right="207"/>
              <w:jc w:val="both"/>
              <w:rPr>
                <w:sz w:val="21"/>
              </w:rPr>
            </w:pPr>
            <w:r>
              <w:rPr>
                <w:spacing w:val="-44"/>
                <w:sz w:val="21"/>
              </w:rPr>
              <w:t>后</w:t>
            </w:r>
            <w:r>
              <w:rPr>
                <w:sz w:val="21"/>
              </w:rPr>
              <w:t>（</w:t>
            </w:r>
            <w:r>
              <w:rPr>
                <w:spacing w:val="-10"/>
                <w:sz w:val="21"/>
              </w:rPr>
              <w:t>不含第 </w:t>
            </w:r>
            <w:r>
              <w:rPr>
                <w:spacing w:val="-3"/>
                <w:sz w:val="21"/>
              </w:rPr>
              <w:t>90</w:t>
            </w:r>
            <w:r>
              <w:rPr>
                <w:spacing w:val="-19"/>
                <w:sz w:val="21"/>
              </w:rPr>
              <w:t> 日</w:t>
            </w:r>
            <w:r>
              <w:rPr>
                <w:spacing w:val="-44"/>
                <w:sz w:val="21"/>
              </w:rPr>
              <w:t>）</w:t>
            </w:r>
            <w:r>
              <w:rPr>
                <w:spacing w:val="-8"/>
                <w:sz w:val="21"/>
              </w:rPr>
              <w:t>因意外伤害以外的原因，导致经</w:t>
            </w:r>
            <w:r>
              <w:rPr>
                <w:rFonts w:ascii="微软雅黑" w:eastAsia="微软雅黑" w:hint="eastAsia"/>
                <w:b/>
                <w:spacing w:val="0"/>
                <w:sz w:val="21"/>
              </w:rPr>
              <w:t>医院</w:t>
            </w:r>
            <w:r>
              <w:rPr>
                <w:spacing w:val="-5"/>
                <w:sz w:val="21"/>
              </w:rPr>
              <w:t>的</w:t>
            </w:r>
            <w:r>
              <w:rPr>
                <w:rFonts w:ascii="微软雅黑" w:eastAsia="微软雅黑" w:hint="eastAsia"/>
                <w:b/>
                <w:sz w:val="21"/>
              </w:rPr>
              <w:t>专科医生初次确诊</w:t>
            </w:r>
            <w:r>
              <w:rPr>
                <w:spacing w:val="-7"/>
                <w:sz w:val="21"/>
              </w:rPr>
              <w:t>发生本附加合同所定义轻症疾病，我们将豁</w:t>
            </w:r>
            <w:r>
              <w:rPr>
                <w:spacing w:val="1"/>
                <w:sz w:val="21"/>
              </w:rPr>
              <w:t>免主合同及其附加的保险合同自被保险人确诊之日以后的</w:t>
            </w:r>
            <w:r>
              <w:rPr>
                <w:spacing w:val="-2"/>
                <w:sz w:val="21"/>
              </w:rPr>
              <w:t>各期保险费，同时本附加合同终止。</w:t>
            </w:r>
          </w:p>
          <w:p>
            <w:pPr>
              <w:pStyle w:val="TableParagraph"/>
              <w:spacing w:line="266" w:lineRule="auto" w:before="162"/>
              <w:ind w:left="588" w:right="197" w:hanging="423"/>
              <w:jc w:val="both"/>
              <w:rPr>
                <w:sz w:val="21"/>
              </w:rPr>
            </w:pPr>
            <w:r>
              <w:rPr>
                <w:spacing w:val="-7"/>
                <w:sz w:val="21"/>
              </w:rPr>
              <w:t>二、若被保险人于本附加合同生效之日起 </w:t>
            </w:r>
            <w:r>
              <w:rPr>
                <w:rFonts w:ascii="Times New Roman" w:eastAsia="Times New Roman"/>
                <w:sz w:val="21"/>
              </w:rPr>
              <w:t>90 </w:t>
            </w:r>
            <w:r>
              <w:rPr>
                <w:spacing w:val="-3"/>
                <w:sz w:val="21"/>
              </w:rPr>
              <w:t>日内</w:t>
            </w:r>
            <w:r>
              <w:rPr>
                <w:spacing w:val="-5"/>
                <w:sz w:val="21"/>
              </w:rPr>
              <w:t>（</w:t>
            </w:r>
            <w:r>
              <w:rPr>
                <w:spacing w:val="-15"/>
                <w:sz w:val="21"/>
              </w:rPr>
              <w:t>含第 </w:t>
            </w:r>
            <w:r>
              <w:rPr>
                <w:rFonts w:ascii="Times New Roman" w:eastAsia="Times New Roman"/>
                <w:sz w:val="21"/>
              </w:rPr>
              <w:t>90 </w:t>
            </w:r>
            <w:r>
              <w:rPr>
                <w:spacing w:val="-5"/>
                <w:sz w:val="21"/>
              </w:rPr>
              <w:t>日） 因意外伤害以外的原因，导致经医院的专科医生初次确诊发</w:t>
            </w:r>
            <w:r>
              <w:rPr>
                <w:spacing w:val="-7"/>
                <w:sz w:val="21"/>
              </w:rPr>
              <w:t>生本附加合同所定义轻症疾病，我们向您返还本附加合同已</w:t>
            </w:r>
            <w:r>
              <w:rPr>
                <w:spacing w:val="-7"/>
                <w:w w:val="100"/>
                <w:sz w:val="21"/>
              </w:rPr>
              <w:t>交保险费</w:t>
            </w:r>
            <w:r>
              <w:rPr>
                <w:spacing w:val="-5"/>
                <w:w w:val="100"/>
                <w:sz w:val="21"/>
              </w:rPr>
              <w:t>（</w:t>
            </w:r>
            <w:r>
              <w:rPr>
                <w:w w:val="100"/>
                <w:sz w:val="21"/>
              </w:rPr>
              <w:t>不计利息</w:t>
            </w:r>
            <w:r>
              <w:rPr>
                <w:spacing w:val="-111"/>
                <w:w w:val="100"/>
                <w:sz w:val="21"/>
              </w:rPr>
              <w:t>）</w:t>
            </w:r>
            <w:r>
              <w:rPr>
                <w:spacing w:val="-3"/>
                <w:w w:val="100"/>
                <w:sz w:val="21"/>
              </w:rPr>
              <w:t>，同时本附加合同终止。</w:t>
            </w:r>
          </w:p>
          <w:p>
            <w:pPr>
              <w:pStyle w:val="TableParagraph"/>
              <w:spacing w:before="11"/>
              <w:ind w:left="0"/>
              <w:rPr>
                <w:sz w:val="24"/>
              </w:rPr>
            </w:pPr>
          </w:p>
          <w:p>
            <w:pPr>
              <w:pStyle w:val="TableParagraph"/>
              <w:ind w:left="165"/>
              <w:rPr>
                <w:sz w:val="21"/>
              </w:rPr>
            </w:pPr>
            <w:r>
              <w:rPr>
                <w:sz w:val="21"/>
              </w:rPr>
              <w:t>轻症疾病种类：</w:t>
            </w:r>
          </w:p>
          <w:p>
            <w:pPr>
              <w:pStyle w:val="TableParagraph"/>
              <w:numPr>
                <w:ilvl w:val="0"/>
                <w:numId w:val="6"/>
              </w:numPr>
              <w:tabs>
                <w:tab w:pos="1953" w:val="left" w:leader="none"/>
              </w:tabs>
              <w:spacing w:line="240" w:lineRule="auto" w:before="37" w:after="0"/>
              <w:ind w:left="1952" w:right="0" w:hanging="264"/>
              <w:jc w:val="left"/>
              <w:rPr>
                <w:sz w:val="21"/>
              </w:rPr>
            </w:pPr>
            <w:r>
              <w:rPr>
                <w:spacing w:val="-1"/>
                <w:sz w:val="21"/>
              </w:rPr>
              <w:t>非危及生命的</w:t>
            </w:r>
            <w:r>
              <w:rPr>
                <w:sz w:val="21"/>
              </w:rPr>
              <w:t>（</w:t>
            </w:r>
            <w:r>
              <w:rPr>
                <w:spacing w:val="-2"/>
                <w:sz w:val="21"/>
              </w:rPr>
              <w:t>极早期的</w:t>
            </w:r>
            <w:r>
              <w:rPr>
                <w:sz w:val="21"/>
              </w:rPr>
              <w:t>）</w:t>
            </w:r>
            <w:r>
              <w:rPr>
                <w:spacing w:val="-2"/>
                <w:sz w:val="21"/>
              </w:rPr>
              <w:t>恶性病变</w:t>
            </w:r>
          </w:p>
          <w:p>
            <w:pPr>
              <w:pStyle w:val="TableParagraph"/>
              <w:numPr>
                <w:ilvl w:val="0"/>
                <w:numId w:val="6"/>
              </w:numPr>
              <w:tabs>
                <w:tab w:pos="1953" w:val="left" w:leader="none"/>
              </w:tabs>
              <w:spacing w:line="240" w:lineRule="auto" w:before="20" w:after="0"/>
              <w:ind w:left="1952" w:right="0" w:hanging="264"/>
              <w:jc w:val="left"/>
              <w:rPr>
                <w:sz w:val="21"/>
              </w:rPr>
            </w:pPr>
            <w:r>
              <w:rPr>
                <w:spacing w:val="-1"/>
                <w:sz w:val="21"/>
              </w:rPr>
              <w:t>冠状动脉介入手术</w:t>
            </w:r>
          </w:p>
          <w:p>
            <w:pPr>
              <w:pStyle w:val="TableParagraph"/>
              <w:numPr>
                <w:ilvl w:val="0"/>
                <w:numId w:val="6"/>
              </w:numPr>
              <w:tabs>
                <w:tab w:pos="1953" w:val="left" w:leader="none"/>
              </w:tabs>
              <w:spacing w:line="240" w:lineRule="auto" w:before="20" w:after="0"/>
              <w:ind w:left="1952" w:right="0" w:hanging="264"/>
              <w:jc w:val="left"/>
              <w:rPr>
                <w:sz w:val="21"/>
              </w:rPr>
            </w:pPr>
            <w:r>
              <w:rPr>
                <w:sz w:val="21"/>
              </w:rPr>
              <w:t>轻微脑中风</w:t>
            </w:r>
          </w:p>
          <w:p>
            <w:pPr>
              <w:pStyle w:val="TableParagraph"/>
              <w:numPr>
                <w:ilvl w:val="0"/>
                <w:numId w:val="6"/>
              </w:numPr>
              <w:tabs>
                <w:tab w:pos="1953" w:val="left" w:leader="none"/>
              </w:tabs>
              <w:spacing w:line="240" w:lineRule="auto" w:before="20" w:after="0"/>
              <w:ind w:left="1952" w:right="0" w:hanging="264"/>
              <w:jc w:val="left"/>
              <w:rPr>
                <w:sz w:val="21"/>
              </w:rPr>
            </w:pPr>
            <w:r>
              <w:rPr>
                <w:spacing w:val="-1"/>
                <w:sz w:val="21"/>
              </w:rPr>
              <w:t>心脏瓣膜介入手术</w:t>
            </w:r>
          </w:p>
          <w:p>
            <w:pPr>
              <w:pStyle w:val="TableParagraph"/>
              <w:numPr>
                <w:ilvl w:val="0"/>
                <w:numId w:val="6"/>
              </w:numPr>
              <w:tabs>
                <w:tab w:pos="1953" w:val="left" w:leader="none"/>
              </w:tabs>
              <w:spacing w:line="240" w:lineRule="auto" w:before="20" w:after="0"/>
              <w:ind w:left="1952" w:right="0" w:hanging="264"/>
              <w:jc w:val="left"/>
              <w:rPr>
                <w:sz w:val="21"/>
              </w:rPr>
            </w:pPr>
            <w:r>
              <w:rPr>
                <w:spacing w:val="-4"/>
                <w:sz w:val="21"/>
              </w:rPr>
              <w:t>脑垂体瘤、脑囊肿、脑动脉瘤及脑血管瘤</w:t>
            </w:r>
          </w:p>
          <w:p>
            <w:pPr>
              <w:pStyle w:val="TableParagraph"/>
              <w:numPr>
                <w:ilvl w:val="0"/>
                <w:numId w:val="6"/>
              </w:numPr>
              <w:tabs>
                <w:tab w:pos="1953" w:val="left" w:leader="none"/>
              </w:tabs>
              <w:spacing w:line="240" w:lineRule="auto" w:before="20" w:after="0"/>
              <w:ind w:left="1952" w:right="0" w:hanging="264"/>
              <w:jc w:val="left"/>
              <w:rPr>
                <w:sz w:val="21"/>
              </w:rPr>
            </w:pPr>
            <w:r>
              <w:rPr>
                <w:spacing w:val="-2"/>
                <w:sz w:val="21"/>
              </w:rPr>
              <w:t>视力严重受损–三周岁始理赔</w:t>
            </w:r>
          </w:p>
          <w:p>
            <w:pPr>
              <w:pStyle w:val="TableParagraph"/>
              <w:numPr>
                <w:ilvl w:val="0"/>
                <w:numId w:val="6"/>
              </w:numPr>
              <w:tabs>
                <w:tab w:pos="1953" w:val="left" w:leader="none"/>
              </w:tabs>
              <w:spacing w:line="240" w:lineRule="auto" w:before="19" w:after="0"/>
              <w:ind w:left="1952" w:right="0" w:hanging="264"/>
              <w:jc w:val="left"/>
              <w:rPr>
                <w:sz w:val="21"/>
              </w:rPr>
            </w:pPr>
            <w:r>
              <w:rPr>
                <w:spacing w:val="-1"/>
                <w:sz w:val="21"/>
              </w:rPr>
              <w:t>主动脉内介入手术</w:t>
            </w:r>
          </w:p>
          <w:p>
            <w:pPr>
              <w:pStyle w:val="TableParagraph"/>
              <w:numPr>
                <w:ilvl w:val="0"/>
                <w:numId w:val="6"/>
              </w:numPr>
              <w:tabs>
                <w:tab w:pos="1953" w:val="left" w:leader="none"/>
              </w:tabs>
              <w:spacing w:line="240" w:lineRule="auto" w:before="19" w:after="0"/>
              <w:ind w:left="1952" w:right="0" w:hanging="264"/>
              <w:jc w:val="left"/>
              <w:rPr>
                <w:sz w:val="21"/>
              </w:rPr>
            </w:pPr>
            <w:r>
              <w:rPr>
                <w:spacing w:val="-1"/>
                <w:sz w:val="21"/>
              </w:rPr>
              <w:t>较小面积</w:t>
            </w:r>
            <w:r>
              <w:rPr>
                <w:rFonts w:ascii="Cambria" w:eastAsia="Cambria"/>
                <w:spacing w:val="-2"/>
                <w:sz w:val="21"/>
              </w:rPr>
              <w:t>III</w:t>
            </w:r>
            <w:r>
              <w:rPr>
                <w:spacing w:val="-1"/>
                <w:sz w:val="21"/>
              </w:rPr>
              <w:t>度烧伤</w:t>
            </w:r>
            <w:r>
              <w:rPr>
                <w:sz w:val="21"/>
              </w:rPr>
              <w:t>（</w:t>
            </w:r>
            <w:r>
              <w:rPr>
                <w:rFonts w:ascii="Cambria" w:eastAsia="Cambria"/>
                <w:sz w:val="21"/>
              </w:rPr>
              <w:t>10%</w:t>
            </w:r>
            <w:r>
              <w:rPr>
                <w:sz w:val="21"/>
              </w:rPr>
              <w:t>）</w:t>
            </w:r>
          </w:p>
          <w:p>
            <w:pPr>
              <w:pStyle w:val="TableParagraph"/>
              <w:numPr>
                <w:ilvl w:val="0"/>
                <w:numId w:val="6"/>
              </w:numPr>
              <w:tabs>
                <w:tab w:pos="1953" w:val="left" w:leader="none"/>
              </w:tabs>
              <w:spacing w:line="240" w:lineRule="auto" w:before="19" w:after="0"/>
              <w:ind w:left="1952" w:right="0" w:hanging="264"/>
              <w:jc w:val="left"/>
              <w:rPr>
                <w:sz w:val="21"/>
              </w:rPr>
            </w:pPr>
            <w:r>
              <w:rPr>
                <w:spacing w:val="-1"/>
                <w:sz w:val="21"/>
              </w:rPr>
              <w:t>植入大脑内分流器</w:t>
            </w:r>
          </w:p>
          <w:p>
            <w:pPr>
              <w:pStyle w:val="TableParagraph"/>
              <w:numPr>
                <w:ilvl w:val="0"/>
                <w:numId w:val="6"/>
              </w:numPr>
              <w:tabs>
                <w:tab w:pos="2068" w:val="left" w:leader="none"/>
              </w:tabs>
              <w:spacing w:line="240" w:lineRule="auto" w:before="19" w:after="0"/>
              <w:ind w:left="2067" w:right="0" w:hanging="379"/>
              <w:jc w:val="left"/>
              <w:rPr>
                <w:sz w:val="21"/>
              </w:rPr>
            </w:pPr>
            <w:r>
              <w:rPr>
                <w:sz w:val="21"/>
              </w:rPr>
              <w:t>重症头部外伤</w:t>
            </w:r>
          </w:p>
          <w:p>
            <w:pPr>
              <w:pStyle w:val="TableParagraph"/>
              <w:numPr>
                <w:ilvl w:val="0"/>
                <w:numId w:val="6"/>
              </w:numPr>
              <w:tabs>
                <w:tab w:pos="2068" w:val="left" w:leader="none"/>
              </w:tabs>
              <w:spacing w:line="240" w:lineRule="auto" w:before="19" w:after="0"/>
              <w:ind w:left="2067" w:right="0" w:hanging="379"/>
              <w:jc w:val="left"/>
              <w:rPr>
                <w:sz w:val="21"/>
              </w:rPr>
            </w:pPr>
            <w:r>
              <w:rPr>
                <w:sz w:val="21"/>
              </w:rPr>
              <w:t>单个肢体缺失</w:t>
            </w:r>
          </w:p>
          <w:p>
            <w:pPr>
              <w:pStyle w:val="TableParagraph"/>
              <w:numPr>
                <w:ilvl w:val="0"/>
                <w:numId w:val="6"/>
              </w:numPr>
              <w:tabs>
                <w:tab w:pos="2068" w:val="left" w:leader="none"/>
              </w:tabs>
              <w:spacing w:line="240" w:lineRule="auto" w:before="20" w:after="0"/>
              <w:ind w:left="2067" w:right="0" w:hanging="379"/>
              <w:jc w:val="left"/>
              <w:rPr>
                <w:sz w:val="21"/>
              </w:rPr>
            </w:pPr>
            <w:r>
              <w:rPr>
                <w:sz w:val="21"/>
              </w:rPr>
              <w:t>单侧肺脏切除</w:t>
            </w:r>
          </w:p>
          <w:p>
            <w:pPr>
              <w:pStyle w:val="TableParagraph"/>
              <w:numPr>
                <w:ilvl w:val="0"/>
                <w:numId w:val="6"/>
              </w:numPr>
              <w:tabs>
                <w:tab w:pos="2082" w:val="left" w:leader="none"/>
              </w:tabs>
              <w:spacing w:line="240" w:lineRule="auto" w:before="20" w:after="0"/>
              <w:ind w:left="2081" w:right="0" w:hanging="393"/>
              <w:jc w:val="left"/>
              <w:rPr>
                <w:sz w:val="21"/>
              </w:rPr>
            </w:pPr>
            <w:r>
              <w:rPr>
                <w:sz w:val="21"/>
              </w:rPr>
              <w:t>肝脏手术</w:t>
            </w:r>
          </w:p>
          <w:p>
            <w:pPr>
              <w:pStyle w:val="TableParagraph"/>
              <w:numPr>
                <w:ilvl w:val="0"/>
                <w:numId w:val="6"/>
              </w:numPr>
              <w:tabs>
                <w:tab w:pos="2082" w:val="left" w:leader="none"/>
              </w:tabs>
              <w:spacing w:line="240" w:lineRule="auto" w:before="20" w:after="0"/>
              <w:ind w:left="2081" w:right="0" w:hanging="393"/>
              <w:jc w:val="left"/>
              <w:rPr>
                <w:sz w:val="21"/>
              </w:rPr>
            </w:pPr>
            <w:r>
              <w:rPr>
                <w:spacing w:val="-1"/>
                <w:sz w:val="21"/>
              </w:rPr>
              <w:t>早期运动神经性疾病</w:t>
            </w:r>
          </w:p>
          <w:p>
            <w:pPr>
              <w:pStyle w:val="TableParagraph"/>
              <w:numPr>
                <w:ilvl w:val="0"/>
                <w:numId w:val="6"/>
              </w:numPr>
              <w:tabs>
                <w:tab w:pos="2082" w:val="left" w:leader="none"/>
              </w:tabs>
              <w:spacing w:line="240" w:lineRule="auto" w:before="20" w:after="0"/>
              <w:ind w:left="2081" w:right="0" w:hanging="393"/>
              <w:jc w:val="left"/>
              <w:rPr>
                <w:sz w:val="21"/>
              </w:rPr>
            </w:pPr>
            <w:r>
              <w:rPr>
                <w:sz w:val="21"/>
              </w:rPr>
              <w:t>人工耳蜗植入术</w:t>
            </w:r>
          </w:p>
          <w:p>
            <w:pPr>
              <w:pStyle w:val="TableParagraph"/>
              <w:numPr>
                <w:ilvl w:val="0"/>
                <w:numId w:val="6"/>
              </w:numPr>
              <w:tabs>
                <w:tab w:pos="2082" w:val="left" w:leader="none"/>
              </w:tabs>
              <w:spacing w:line="240" w:lineRule="auto" w:before="20" w:after="0"/>
              <w:ind w:left="2081" w:right="0" w:hanging="393"/>
              <w:jc w:val="left"/>
              <w:rPr>
                <w:sz w:val="21"/>
              </w:rPr>
            </w:pPr>
            <w:r>
              <w:rPr>
                <w:sz w:val="21"/>
              </w:rPr>
              <w:t>胆道重建手术</w:t>
            </w:r>
          </w:p>
          <w:p>
            <w:pPr>
              <w:pStyle w:val="TableParagraph"/>
              <w:numPr>
                <w:ilvl w:val="0"/>
                <w:numId w:val="6"/>
              </w:numPr>
              <w:tabs>
                <w:tab w:pos="2082" w:val="left" w:leader="none"/>
              </w:tabs>
              <w:spacing w:line="240" w:lineRule="auto" w:before="20" w:after="0"/>
              <w:ind w:left="2081" w:right="0" w:hanging="393"/>
              <w:jc w:val="left"/>
              <w:rPr>
                <w:sz w:val="21"/>
              </w:rPr>
            </w:pPr>
            <w:r>
              <w:rPr>
                <w:spacing w:val="-1"/>
                <w:sz w:val="21"/>
              </w:rPr>
              <w:t>双侧卵巢或睾丸切除术</w:t>
            </w:r>
          </w:p>
          <w:p>
            <w:pPr>
              <w:pStyle w:val="TableParagraph"/>
              <w:numPr>
                <w:ilvl w:val="0"/>
                <w:numId w:val="6"/>
              </w:numPr>
              <w:tabs>
                <w:tab w:pos="2082" w:val="left" w:leader="none"/>
              </w:tabs>
              <w:spacing w:line="272" w:lineRule="exact" w:before="19" w:after="0"/>
              <w:ind w:left="2081" w:right="0" w:hanging="393"/>
              <w:jc w:val="left"/>
              <w:rPr>
                <w:sz w:val="21"/>
              </w:rPr>
            </w:pPr>
            <w:r>
              <w:rPr>
                <w:sz w:val="21"/>
              </w:rPr>
              <w:t>单侧肾脏切除</w:t>
            </w:r>
          </w:p>
        </w:tc>
      </w:tr>
    </w:tbl>
    <w:p>
      <w:pPr>
        <w:spacing w:after="0" w:line="272" w:lineRule="exact"/>
        <w:jc w:val="left"/>
        <w:rPr>
          <w:sz w:val="21"/>
        </w:rPr>
        <w:sectPr>
          <w:pgSz w:w="11910" w:h="16840"/>
          <w:pgMar w:header="0" w:footer="150" w:top="74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486"/>
        <w:gridCol w:w="6251"/>
      </w:tblGrid>
      <w:tr>
        <w:trPr>
          <w:trHeight w:val="5446" w:hRule="atLeast"/>
        </w:trPr>
        <w:tc>
          <w:tcPr>
            <w:tcW w:w="781" w:type="dxa"/>
          </w:tcPr>
          <w:p>
            <w:pPr>
              <w:pStyle w:val="TableParagraph"/>
              <w:ind w:left="0"/>
              <w:rPr>
                <w:rFonts w:ascii="Times New Roman"/>
                <w:sz w:val="20"/>
              </w:rPr>
            </w:pPr>
          </w:p>
        </w:tc>
        <w:tc>
          <w:tcPr>
            <w:tcW w:w="1486" w:type="dxa"/>
          </w:tcPr>
          <w:p>
            <w:pPr>
              <w:pStyle w:val="TableParagraph"/>
              <w:ind w:left="0"/>
              <w:rPr>
                <w:rFonts w:ascii="Times New Roman"/>
                <w:sz w:val="20"/>
              </w:rPr>
            </w:pPr>
          </w:p>
        </w:tc>
        <w:tc>
          <w:tcPr>
            <w:tcW w:w="6251" w:type="dxa"/>
          </w:tcPr>
          <w:p>
            <w:pPr>
              <w:pStyle w:val="TableParagraph"/>
              <w:numPr>
                <w:ilvl w:val="0"/>
                <w:numId w:val="7"/>
              </w:numPr>
              <w:tabs>
                <w:tab w:pos="2082" w:val="left" w:leader="none"/>
              </w:tabs>
              <w:spacing w:line="247" w:lineRule="exact" w:before="0" w:after="0"/>
              <w:ind w:left="2081" w:right="0" w:hanging="393"/>
              <w:jc w:val="left"/>
              <w:rPr>
                <w:sz w:val="21"/>
              </w:rPr>
            </w:pPr>
            <w:r>
              <w:rPr>
                <w:sz w:val="21"/>
              </w:rPr>
              <w:t>肝叶切除</w:t>
            </w:r>
          </w:p>
          <w:p>
            <w:pPr>
              <w:pStyle w:val="TableParagraph"/>
              <w:numPr>
                <w:ilvl w:val="0"/>
                <w:numId w:val="7"/>
              </w:numPr>
              <w:tabs>
                <w:tab w:pos="2082" w:val="left" w:leader="none"/>
              </w:tabs>
              <w:spacing w:line="240" w:lineRule="auto" w:before="20" w:after="0"/>
              <w:ind w:left="2081" w:right="0" w:hanging="393"/>
              <w:jc w:val="left"/>
              <w:rPr>
                <w:sz w:val="21"/>
              </w:rPr>
            </w:pPr>
            <w:r>
              <w:rPr>
                <w:sz w:val="21"/>
              </w:rPr>
              <w:t>单耳失聪</w:t>
            </w:r>
          </w:p>
          <w:p>
            <w:pPr>
              <w:pStyle w:val="TableParagraph"/>
              <w:numPr>
                <w:ilvl w:val="0"/>
                <w:numId w:val="7"/>
              </w:numPr>
              <w:tabs>
                <w:tab w:pos="2082" w:val="left" w:leader="none"/>
              </w:tabs>
              <w:spacing w:line="240" w:lineRule="auto" w:before="20" w:after="0"/>
              <w:ind w:left="2081" w:right="0" w:hanging="393"/>
              <w:jc w:val="left"/>
              <w:rPr>
                <w:sz w:val="21"/>
              </w:rPr>
            </w:pPr>
            <w:r>
              <w:rPr>
                <w:spacing w:val="-1"/>
                <w:sz w:val="21"/>
              </w:rPr>
              <w:t>微创冠状动脉搭桥手术</w:t>
            </w:r>
          </w:p>
          <w:p>
            <w:pPr>
              <w:pStyle w:val="TableParagraph"/>
              <w:numPr>
                <w:ilvl w:val="0"/>
                <w:numId w:val="7"/>
              </w:numPr>
              <w:tabs>
                <w:tab w:pos="2082" w:val="left" w:leader="none"/>
              </w:tabs>
              <w:spacing w:line="240" w:lineRule="auto" w:before="20" w:after="0"/>
              <w:ind w:left="2081" w:right="0" w:hanging="393"/>
              <w:jc w:val="left"/>
              <w:rPr>
                <w:sz w:val="21"/>
              </w:rPr>
            </w:pPr>
            <w:r>
              <w:rPr>
                <w:spacing w:val="-1"/>
                <w:sz w:val="21"/>
              </w:rPr>
              <w:t>Ⅲ度房室传导阻滞</w:t>
            </w:r>
            <w:r>
              <w:rPr>
                <w:rFonts w:ascii="Cambria" w:hAnsi="Cambria" w:eastAsia="Cambria"/>
                <w:sz w:val="21"/>
              </w:rPr>
              <w:t>-</w:t>
            </w:r>
            <w:r>
              <w:rPr>
                <w:spacing w:val="-3"/>
                <w:sz w:val="21"/>
              </w:rPr>
              <w:t>已放置心脏起搏器</w:t>
            </w:r>
          </w:p>
          <w:p>
            <w:pPr>
              <w:pStyle w:val="TableParagraph"/>
              <w:numPr>
                <w:ilvl w:val="0"/>
                <w:numId w:val="7"/>
              </w:numPr>
              <w:tabs>
                <w:tab w:pos="2082" w:val="left" w:leader="none"/>
              </w:tabs>
              <w:spacing w:line="240" w:lineRule="auto" w:before="20" w:after="0"/>
              <w:ind w:left="2081" w:right="0" w:hanging="393"/>
              <w:jc w:val="left"/>
              <w:rPr>
                <w:sz w:val="21"/>
              </w:rPr>
            </w:pPr>
            <w:r>
              <w:rPr>
                <w:spacing w:val="-3"/>
                <w:sz w:val="21"/>
              </w:rPr>
              <w:t>于颈动脉进行血管成形术或内膜切除术</w:t>
            </w:r>
          </w:p>
          <w:p>
            <w:pPr>
              <w:pStyle w:val="TableParagraph"/>
              <w:numPr>
                <w:ilvl w:val="0"/>
                <w:numId w:val="7"/>
              </w:numPr>
              <w:tabs>
                <w:tab w:pos="2082" w:val="left" w:leader="none"/>
              </w:tabs>
              <w:spacing w:line="240" w:lineRule="auto" w:before="20" w:after="0"/>
              <w:ind w:left="2081" w:right="0" w:hanging="393"/>
              <w:jc w:val="left"/>
              <w:rPr>
                <w:sz w:val="21"/>
              </w:rPr>
            </w:pPr>
            <w:r>
              <w:rPr>
                <w:spacing w:val="-3"/>
                <w:sz w:val="21"/>
              </w:rPr>
              <w:t>微创心包剥脱、切除或粘连松解手术</w:t>
            </w:r>
          </w:p>
          <w:p>
            <w:pPr>
              <w:pStyle w:val="TableParagraph"/>
              <w:numPr>
                <w:ilvl w:val="0"/>
                <w:numId w:val="7"/>
              </w:numPr>
              <w:tabs>
                <w:tab w:pos="2082" w:val="left" w:leader="none"/>
              </w:tabs>
              <w:spacing w:line="240" w:lineRule="auto" w:before="19" w:after="0"/>
              <w:ind w:left="2081" w:right="0" w:hanging="393"/>
              <w:jc w:val="left"/>
              <w:rPr>
                <w:sz w:val="21"/>
              </w:rPr>
            </w:pPr>
            <w:r>
              <w:rPr>
                <w:sz w:val="21"/>
              </w:rPr>
              <w:t>脑炎或脑膜炎</w:t>
            </w:r>
          </w:p>
          <w:p>
            <w:pPr>
              <w:pStyle w:val="TableParagraph"/>
              <w:numPr>
                <w:ilvl w:val="0"/>
                <w:numId w:val="7"/>
              </w:numPr>
              <w:tabs>
                <w:tab w:pos="2082" w:val="left" w:leader="none"/>
              </w:tabs>
              <w:spacing w:line="240" w:lineRule="auto" w:before="19" w:after="0"/>
              <w:ind w:left="2081" w:right="0" w:hanging="393"/>
              <w:jc w:val="left"/>
              <w:rPr>
                <w:sz w:val="21"/>
              </w:rPr>
            </w:pPr>
            <w:r>
              <w:rPr>
                <w:spacing w:val="-1"/>
                <w:sz w:val="21"/>
              </w:rPr>
              <w:t>硬脑膜下血肿手术</w:t>
            </w:r>
          </w:p>
          <w:p>
            <w:pPr>
              <w:pStyle w:val="TableParagraph"/>
              <w:numPr>
                <w:ilvl w:val="0"/>
                <w:numId w:val="7"/>
              </w:numPr>
              <w:tabs>
                <w:tab w:pos="2082" w:val="left" w:leader="none"/>
              </w:tabs>
              <w:spacing w:line="240" w:lineRule="auto" w:before="19" w:after="0"/>
              <w:ind w:left="2081" w:right="0" w:hanging="393"/>
              <w:jc w:val="left"/>
              <w:rPr>
                <w:sz w:val="21"/>
              </w:rPr>
            </w:pPr>
            <w:r>
              <w:rPr>
                <w:spacing w:val="-1"/>
                <w:sz w:val="21"/>
              </w:rPr>
              <w:t>严重阻塞性睡眠窒息症</w:t>
            </w:r>
          </w:p>
          <w:p>
            <w:pPr>
              <w:pStyle w:val="TableParagraph"/>
              <w:numPr>
                <w:ilvl w:val="0"/>
                <w:numId w:val="7"/>
              </w:numPr>
              <w:tabs>
                <w:tab w:pos="2082" w:val="left" w:leader="none"/>
              </w:tabs>
              <w:spacing w:line="240" w:lineRule="auto" w:before="19" w:after="0"/>
              <w:ind w:left="2081" w:right="0" w:hanging="393"/>
              <w:jc w:val="left"/>
              <w:rPr>
                <w:sz w:val="21"/>
              </w:rPr>
            </w:pPr>
            <w:r>
              <w:rPr>
                <w:spacing w:val="-2"/>
                <w:sz w:val="21"/>
              </w:rPr>
              <w:t>因意外毁容而施行的面部整形手术</w:t>
            </w:r>
          </w:p>
          <w:p>
            <w:pPr>
              <w:pStyle w:val="TableParagraph"/>
              <w:numPr>
                <w:ilvl w:val="0"/>
                <w:numId w:val="7"/>
              </w:numPr>
              <w:tabs>
                <w:tab w:pos="2082" w:val="left" w:leader="none"/>
              </w:tabs>
              <w:spacing w:line="240" w:lineRule="auto" w:before="20" w:after="0"/>
              <w:ind w:left="2081" w:right="0" w:hanging="393"/>
              <w:jc w:val="left"/>
              <w:rPr>
                <w:sz w:val="21"/>
              </w:rPr>
            </w:pPr>
            <w:r>
              <w:rPr>
                <w:sz w:val="21"/>
              </w:rPr>
              <w:t>角膜移植</w:t>
            </w:r>
          </w:p>
          <w:p>
            <w:pPr>
              <w:pStyle w:val="TableParagraph"/>
              <w:numPr>
                <w:ilvl w:val="0"/>
                <w:numId w:val="7"/>
              </w:numPr>
              <w:tabs>
                <w:tab w:pos="2082" w:val="left" w:leader="none"/>
              </w:tabs>
              <w:spacing w:line="240" w:lineRule="auto" w:before="20" w:after="0"/>
              <w:ind w:left="2081" w:right="0" w:hanging="393"/>
              <w:jc w:val="left"/>
              <w:rPr>
                <w:sz w:val="21"/>
              </w:rPr>
            </w:pPr>
            <w:r>
              <w:rPr>
                <w:sz w:val="21"/>
              </w:rPr>
              <w:t>单眼失明</w:t>
            </w:r>
          </w:p>
          <w:p>
            <w:pPr>
              <w:pStyle w:val="TableParagraph"/>
              <w:numPr>
                <w:ilvl w:val="0"/>
                <w:numId w:val="7"/>
              </w:numPr>
              <w:tabs>
                <w:tab w:pos="2082" w:val="left" w:leader="none"/>
              </w:tabs>
              <w:spacing w:line="240" w:lineRule="auto" w:before="20" w:after="0"/>
              <w:ind w:left="2081" w:right="0" w:hanging="393"/>
              <w:jc w:val="left"/>
              <w:rPr>
                <w:sz w:val="21"/>
              </w:rPr>
            </w:pPr>
            <w:r>
              <w:rPr>
                <w:spacing w:val="-1"/>
                <w:sz w:val="21"/>
              </w:rPr>
              <w:t>可逆性再生障碍性贫血</w:t>
            </w:r>
          </w:p>
          <w:p>
            <w:pPr>
              <w:pStyle w:val="TableParagraph"/>
              <w:numPr>
                <w:ilvl w:val="0"/>
                <w:numId w:val="7"/>
              </w:numPr>
              <w:tabs>
                <w:tab w:pos="2082" w:val="left" w:leader="none"/>
              </w:tabs>
              <w:spacing w:line="240" w:lineRule="auto" w:before="20" w:after="0"/>
              <w:ind w:left="2081" w:right="0" w:hanging="393"/>
              <w:jc w:val="left"/>
              <w:rPr>
                <w:sz w:val="21"/>
              </w:rPr>
            </w:pPr>
            <w:r>
              <w:rPr>
                <w:spacing w:val="-2"/>
                <w:sz w:val="21"/>
              </w:rPr>
              <w:t>骨质疏松症连骨折</w:t>
            </w:r>
          </w:p>
          <w:p>
            <w:pPr>
              <w:pStyle w:val="TableParagraph"/>
              <w:numPr>
                <w:ilvl w:val="0"/>
                <w:numId w:val="7"/>
              </w:numPr>
              <w:tabs>
                <w:tab w:pos="2082" w:val="left" w:leader="none"/>
              </w:tabs>
              <w:spacing w:line="240" w:lineRule="auto" w:before="20" w:after="0"/>
              <w:ind w:left="2081" w:right="0" w:hanging="393"/>
              <w:jc w:val="left"/>
              <w:rPr>
                <w:sz w:val="21"/>
              </w:rPr>
            </w:pPr>
            <w:r>
              <w:rPr>
                <w:spacing w:val="-2"/>
                <w:sz w:val="21"/>
              </w:rPr>
              <w:t>特定周围动脉疾病的血管介入治疗</w:t>
            </w:r>
          </w:p>
          <w:p>
            <w:pPr>
              <w:pStyle w:val="TableParagraph"/>
              <w:numPr>
                <w:ilvl w:val="0"/>
                <w:numId w:val="7"/>
              </w:numPr>
              <w:tabs>
                <w:tab w:pos="2068" w:val="left" w:leader="none"/>
              </w:tabs>
              <w:spacing w:line="240" w:lineRule="auto" w:before="21" w:after="0"/>
              <w:ind w:left="2067" w:right="0" w:hanging="379"/>
              <w:jc w:val="left"/>
              <w:rPr>
                <w:sz w:val="21"/>
              </w:rPr>
            </w:pPr>
            <w:r>
              <w:rPr>
                <w:spacing w:val="-2"/>
                <w:sz w:val="21"/>
              </w:rPr>
              <w:t>因肾上腺皮脂腺瘤切除肾上腺</w:t>
            </w:r>
          </w:p>
          <w:p>
            <w:pPr>
              <w:pStyle w:val="TableParagraph"/>
              <w:numPr>
                <w:ilvl w:val="0"/>
                <w:numId w:val="7"/>
              </w:numPr>
              <w:tabs>
                <w:tab w:pos="2068" w:val="left" w:leader="none"/>
              </w:tabs>
              <w:spacing w:line="240" w:lineRule="auto" w:before="20" w:after="0"/>
              <w:ind w:left="2067" w:right="0" w:hanging="379"/>
              <w:jc w:val="left"/>
              <w:rPr>
                <w:sz w:val="21"/>
              </w:rPr>
            </w:pPr>
            <w:r>
              <w:rPr>
                <w:spacing w:val="-1"/>
                <w:sz w:val="21"/>
              </w:rPr>
              <w:t>植入腔静脉过滤器</w:t>
            </w:r>
          </w:p>
        </w:tc>
      </w:tr>
      <w:tr>
        <w:trPr>
          <w:trHeight w:val="3438" w:hRule="atLeast"/>
        </w:trPr>
        <w:tc>
          <w:tcPr>
            <w:tcW w:w="781" w:type="dxa"/>
          </w:tcPr>
          <w:p>
            <w:pPr>
              <w:pStyle w:val="TableParagraph"/>
              <w:ind w:left="0"/>
              <w:rPr>
                <w:rFonts w:ascii="Times New Roman"/>
                <w:sz w:val="20"/>
              </w:rPr>
            </w:pPr>
          </w:p>
        </w:tc>
        <w:tc>
          <w:tcPr>
            <w:tcW w:w="1486" w:type="dxa"/>
          </w:tcPr>
          <w:p>
            <w:pPr>
              <w:pStyle w:val="TableParagraph"/>
              <w:spacing w:line="204" w:lineRule="auto" w:before="129"/>
              <w:ind w:left="263" w:right="163"/>
              <w:rPr>
                <w:rFonts w:ascii="Microsoft JhengHei" w:eastAsia="Microsoft JhengHei" w:hint="eastAsia"/>
                <w:b/>
                <w:sz w:val="21"/>
              </w:rPr>
            </w:pPr>
            <w:r>
              <w:rPr>
                <w:rFonts w:ascii="Microsoft JhengHei" w:eastAsia="Microsoft JhengHei" w:hint="eastAsia"/>
                <w:b/>
                <w:sz w:val="21"/>
              </w:rPr>
              <w:t>重大疾病豁免保险费</w:t>
            </w:r>
          </w:p>
        </w:tc>
        <w:tc>
          <w:tcPr>
            <w:tcW w:w="6251" w:type="dxa"/>
          </w:tcPr>
          <w:p>
            <w:pPr>
              <w:pStyle w:val="TableParagraph"/>
              <w:spacing w:before="141"/>
              <w:ind w:left="165"/>
              <w:rPr>
                <w:sz w:val="21"/>
              </w:rPr>
            </w:pPr>
            <w:r>
              <w:rPr>
                <w:sz w:val="21"/>
              </w:rPr>
              <w:t>一、若被保险人因意外伤害，或于本附加合同生效之日起 90 日</w:t>
            </w:r>
          </w:p>
          <w:p>
            <w:pPr>
              <w:pStyle w:val="TableParagraph"/>
              <w:spacing w:line="273" w:lineRule="auto" w:before="37"/>
              <w:ind w:left="588" w:right="198"/>
              <w:jc w:val="both"/>
              <w:rPr>
                <w:sz w:val="21"/>
              </w:rPr>
            </w:pPr>
            <w:r>
              <w:rPr>
                <w:spacing w:val="-44"/>
                <w:sz w:val="21"/>
              </w:rPr>
              <w:t>后</w:t>
            </w:r>
            <w:r>
              <w:rPr>
                <w:sz w:val="21"/>
              </w:rPr>
              <w:t>（</w:t>
            </w:r>
            <w:r>
              <w:rPr>
                <w:spacing w:val="-10"/>
                <w:sz w:val="21"/>
              </w:rPr>
              <w:t>不含第 </w:t>
            </w:r>
            <w:r>
              <w:rPr>
                <w:sz w:val="21"/>
              </w:rPr>
              <w:t>90</w:t>
            </w:r>
            <w:r>
              <w:rPr>
                <w:spacing w:val="-23"/>
                <w:sz w:val="21"/>
              </w:rPr>
              <w:t> 日</w:t>
            </w:r>
            <w:r>
              <w:rPr>
                <w:spacing w:val="-44"/>
                <w:sz w:val="21"/>
              </w:rPr>
              <w:t>）</w:t>
            </w:r>
            <w:r>
              <w:rPr>
                <w:spacing w:val="-7"/>
                <w:sz w:val="21"/>
              </w:rPr>
              <w:t>因意外伤害以外的原因，导致经医院的专科医生初次确诊发生本附加合同所定义的重大疾病</w:t>
            </w:r>
            <w:r>
              <w:rPr>
                <w:spacing w:val="-5"/>
                <w:sz w:val="21"/>
              </w:rPr>
              <w:t>（</w:t>
            </w:r>
            <w:r>
              <w:rPr>
                <w:sz w:val="21"/>
              </w:rPr>
              <w:t>无论一</w:t>
            </w:r>
            <w:r>
              <w:rPr>
                <w:spacing w:val="0"/>
                <w:w w:val="100"/>
                <w:sz w:val="21"/>
              </w:rPr>
              <w:t>种或者多种</w:t>
            </w:r>
            <w:r>
              <w:rPr>
                <w:spacing w:val="-106"/>
                <w:w w:val="100"/>
                <w:sz w:val="21"/>
              </w:rPr>
              <w:t>）</w:t>
            </w:r>
            <w:r>
              <w:rPr>
                <w:w w:val="100"/>
                <w:sz w:val="21"/>
              </w:rPr>
              <w:t>，我们将豁免主合同及其附加的保险合同自被</w:t>
            </w:r>
            <w:r>
              <w:rPr>
                <w:spacing w:val="-5"/>
                <w:sz w:val="21"/>
              </w:rPr>
              <w:t>保险人确诊之日以后的各期保险费，同时本附加合同终止。</w:t>
            </w:r>
          </w:p>
          <w:p>
            <w:pPr>
              <w:pStyle w:val="TableParagraph"/>
              <w:spacing w:line="268" w:lineRule="auto" w:before="8"/>
              <w:ind w:left="588" w:right="205" w:hanging="423"/>
              <w:jc w:val="both"/>
              <w:rPr>
                <w:sz w:val="21"/>
              </w:rPr>
            </w:pPr>
            <w:r>
              <w:rPr>
                <w:spacing w:val="-7"/>
                <w:sz w:val="21"/>
              </w:rPr>
              <w:t>二、若被保险人于本附加合同生效之日起 </w:t>
            </w:r>
            <w:r>
              <w:rPr>
                <w:rFonts w:ascii="Times New Roman" w:eastAsia="Times New Roman"/>
                <w:sz w:val="21"/>
              </w:rPr>
              <w:t>90 </w:t>
            </w:r>
            <w:r>
              <w:rPr>
                <w:spacing w:val="-3"/>
                <w:sz w:val="21"/>
              </w:rPr>
              <w:t>日内</w:t>
            </w:r>
            <w:r>
              <w:rPr>
                <w:spacing w:val="-5"/>
                <w:sz w:val="21"/>
              </w:rPr>
              <w:t>（</w:t>
            </w:r>
            <w:r>
              <w:rPr>
                <w:spacing w:val="-15"/>
                <w:sz w:val="21"/>
              </w:rPr>
              <w:t>含第 </w:t>
            </w:r>
            <w:r>
              <w:rPr>
                <w:rFonts w:ascii="Times New Roman" w:eastAsia="Times New Roman"/>
                <w:sz w:val="21"/>
              </w:rPr>
              <w:t>90 </w:t>
            </w:r>
            <w:r>
              <w:rPr>
                <w:spacing w:val="-5"/>
                <w:sz w:val="21"/>
              </w:rPr>
              <w:t>日） 因意外伤害以外的原因，导致经医院的专科医生初次确诊发</w:t>
            </w:r>
            <w:r>
              <w:rPr>
                <w:spacing w:val="-10"/>
                <w:sz w:val="21"/>
              </w:rPr>
              <w:t>生本附加合同所定义的重大疾病</w:t>
            </w:r>
            <w:r>
              <w:rPr>
                <w:sz w:val="21"/>
              </w:rPr>
              <w:t>（</w:t>
            </w:r>
            <w:r>
              <w:rPr>
                <w:spacing w:val="-3"/>
                <w:sz w:val="21"/>
              </w:rPr>
              <w:t>无论一种或者多种</w:t>
            </w:r>
            <w:r>
              <w:rPr>
                <w:spacing w:val="-87"/>
                <w:sz w:val="21"/>
              </w:rPr>
              <w:t>）</w:t>
            </w:r>
            <w:r>
              <w:rPr>
                <w:spacing w:val="-30"/>
                <w:sz w:val="21"/>
              </w:rPr>
              <w:t>，我们</w:t>
            </w:r>
            <w:r>
              <w:rPr>
                <w:spacing w:val="-16"/>
                <w:sz w:val="21"/>
              </w:rPr>
              <w:t>向您返还本附加合同已交保险费</w:t>
            </w:r>
            <w:r>
              <w:rPr>
                <w:sz w:val="21"/>
              </w:rPr>
              <w:t>（</w:t>
            </w:r>
            <w:r>
              <w:rPr>
                <w:spacing w:val="-2"/>
                <w:sz w:val="21"/>
              </w:rPr>
              <w:t>不计利息</w:t>
            </w:r>
            <w:r>
              <w:rPr>
                <w:spacing w:val="-87"/>
                <w:sz w:val="21"/>
              </w:rPr>
              <w:t>）</w:t>
            </w:r>
            <w:r>
              <w:rPr>
                <w:spacing w:val="-15"/>
                <w:sz w:val="21"/>
              </w:rPr>
              <w:t>，同时本附加合同终止。</w:t>
            </w:r>
          </w:p>
        </w:tc>
      </w:tr>
      <w:tr>
        <w:trPr>
          <w:trHeight w:val="2823" w:hRule="atLeast"/>
        </w:trPr>
        <w:tc>
          <w:tcPr>
            <w:tcW w:w="781" w:type="dxa"/>
          </w:tcPr>
          <w:p>
            <w:pPr>
              <w:pStyle w:val="TableParagraph"/>
              <w:ind w:left="0"/>
              <w:rPr>
                <w:rFonts w:ascii="Times New Roman"/>
                <w:sz w:val="20"/>
              </w:rPr>
            </w:pPr>
          </w:p>
        </w:tc>
        <w:tc>
          <w:tcPr>
            <w:tcW w:w="1486" w:type="dxa"/>
          </w:tcPr>
          <w:p>
            <w:pPr>
              <w:pStyle w:val="TableParagraph"/>
              <w:spacing w:line="204" w:lineRule="auto" w:before="138"/>
              <w:ind w:left="263" w:right="163"/>
              <w:rPr>
                <w:rFonts w:ascii="Microsoft JhengHei" w:eastAsia="Microsoft JhengHei" w:hint="eastAsia"/>
                <w:b/>
                <w:sz w:val="21"/>
              </w:rPr>
            </w:pPr>
            <w:r>
              <w:rPr>
                <w:rFonts w:ascii="Microsoft JhengHei" w:eastAsia="Microsoft JhengHei" w:hint="eastAsia"/>
                <w:b/>
                <w:sz w:val="21"/>
              </w:rPr>
              <w:t>身故豁免保险费</w:t>
            </w:r>
          </w:p>
        </w:tc>
        <w:tc>
          <w:tcPr>
            <w:tcW w:w="6251" w:type="dxa"/>
          </w:tcPr>
          <w:p>
            <w:pPr>
              <w:pStyle w:val="TableParagraph"/>
              <w:spacing w:before="150"/>
              <w:ind w:left="165"/>
              <w:rPr>
                <w:sz w:val="21"/>
              </w:rPr>
            </w:pPr>
            <w:r>
              <w:rPr>
                <w:sz w:val="21"/>
              </w:rPr>
              <w:t>一、若被保险人因意外伤害，或于本附加合同生效之日起 90 日</w:t>
            </w:r>
          </w:p>
          <w:p>
            <w:pPr>
              <w:pStyle w:val="TableParagraph"/>
              <w:spacing w:line="273" w:lineRule="auto" w:before="37"/>
              <w:ind w:left="588" w:right="211"/>
              <w:jc w:val="both"/>
              <w:rPr>
                <w:sz w:val="21"/>
              </w:rPr>
            </w:pPr>
            <w:r>
              <w:rPr>
                <w:spacing w:val="-44"/>
                <w:sz w:val="21"/>
              </w:rPr>
              <w:t>后</w:t>
            </w:r>
            <w:r>
              <w:rPr>
                <w:sz w:val="21"/>
              </w:rPr>
              <w:t>（</w:t>
            </w:r>
            <w:r>
              <w:rPr>
                <w:spacing w:val="-10"/>
                <w:sz w:val="21"/>
              </w:rPr>
              <w:t>不含第 </w:t>
            </w:r>
            <w:r>
              <w:rPr>
                <w:sz w:val="21"/>
              </w:rPr>
              <w:t>90</w:t>
            </w:r>
            <w:r>
              <w:rPr>
                <w:spacing w:val="-22"/>
                <w:sz w:val="21"/>
              </w:rPr>
              <w:t> 日</w:t>
            </w:r>
            <w:r>
              <w:rPr>
                <w:spacing w:val="-44"/>
                <w:sz w:val="21"/>
              </w:rPr>
              <w:t>）</w:t>
            </w:r>
            <w:r>
              <w:rPr>
                <w:spacing w:val="-7"/>
                <w:sz w:val="21"/>
              </w:rPr>
              <w:t>因意外伤害以外的原因导致身故，我们将</w:t>
            </w:r>
            <w:r>
              <w:rPr>
                <w:spacing w:val="1"/>
                <w:sz w:val="21"/>
              </w:rPr>
              <w:t>豁免主合同及其附加的保险合同自被保险人身故之日以后</w:t>
            </w:r>
            <w:r>
              <w:rPr>
                <w:spacing w:val="-2"/>
                <w:sz w:val="21"/>
              </w:rPr>
              <w:t>的各期保险费，同时本附加合同终止。</w:t>
            </w:r>
          </w:p>
          <w:p>
            <w:pPr>
              <w:pStyle w:val="TableParagraph"/>
              <w:spacing w:line="266" w:lineRule="auto" w:before="7"/>
              <w:ind w:left="588" w:right="205" w:hanging="423"/>
              <w:jc w:val="both"/>
              <w:rPr>
                <w:sz w:val="21"/>
              </w:rPr>
            </w:pPr>
            <w:r>
              <w:rPr>
                <w:spacing w:val="-7"/>
                <w:sz w:val="21"/>
              </w:rPr>
              <w:t>二、若被保险人于本附加合同生效之日起 </w:t>
            </w:r>
            <w:r>
              <w:rPr>
                <w:rFonts w:ascii="Times New Roman" w:eastAsia="Times New Roman"/>
                <w:sz w:val="21"/>
              </w:rPr>
              <w:t>90 </w:t>
            </w:r>
            <w:r>
              <w:rPr>
                <w:spacing w:val="-3"/>
                <w:sz w:val="21"/>
              </w:rPr>
              <w:t>日内</w:t>
            </w:r>
            <w:r>
              <w:rPr>
                <w:spacing w:val="-5"/>
                <w:sz w:val="21"/>
              </w:rPr>
              <w:t>（</w:t>
            </w:r>
            <w:r>
              <w:rPr>
                <w:spacing w:val="-15"/>
                <w:sz w:val="21"/>
              </w:rPr>
              <w:t>含第 </w:t>
            </w:r>
            <w:r>
              <w:rPr>
                <w:rFonts w:ascii="Times New Roman" w:eastAsia="Times New Roman"/>
                <w:sz w:val="21"/>
              </w:rPr>
              <w:t>90 </w:t>
            </w:r>
            <w:r>
              <w:rPr>
                <w:spacing w:val="-5"/>
                <w:sz w:val="21"/>
              </w:rPr>
              <w:t>日） 因意外伤害以外的原因导致身故，我们向被保险人的继承人</w:t>
            </w:r>
            <w:r>
              <w:rPr>
                <w:spacing w:val="-10"/>
                <w:sz w:val="21"/>
              </w:rPr>
              <w:t>返还本附加合同已交保险费</w:t>
            </w:r>
            <w:r>
              <w:rPr>
                <w:spacing w:val="-5"/>
                <w:sz w:val="21"/>
              </w:rPr>
              <w:t>（</w:t>
            </w:r>
            <w:r>
              <w:rPr>
                <w:spacing w:val="-2"/>
                <w:sz w:val="21"/>
              </w:rPr>
              <w:t>不计利息</w:t>
            </w:r>
            <w:r>
              <w:rPr>
                <w:spacing w:val="-84"/>
                <w:sz w:val="21"/>
              </w:rPr>
              <w:t>）</w:t>
            </w:r>
            <w:r>
              <w:rPr>
                <w:spacing w:val="-13"/>
                <w:sz w:val="21"/>
              </w:rPr>
              <w:t>，同时本附加合同终止。</w:t>
            </w:r>
          </w:p>
        </w:tc>
      </w:tr>
      <w:tr>
        <w:trPr>
          <w:trHeight w:val="3132" w:hRule="atLeast"/>
        </w:trPr>
        <w:tc>
          <w:tcPr>
            <w:tcW w:w="781" w:type="dxa"/>
          </w:tcPr>
          <w:p>
            <w:pPr>
              <w:pStyle w:val="TableParagraph"/>
              <w:ind w:left="0"/>
              <w:rPr>
                <w:rFonts w:ascii="Times New Roman"/>
                <w:sz w:val="20"/>
              </w:rPr>
            </w:pPr>
          </w:p>
        </w:tc>
        <w:tc>
          <w:tcPr>
            <w:tcW w:w="1486" w:type="dxa"/>
          </w:tcPr>
          <w:p>
            <w:pPr>
              <w:pStyle w:val="TableParagraph"/>
              <w:spacing w:line="201" w:lineRule="auto" w:before="141"/>
              <w:ind w:left="263" w:right="163"/>
              <w:rPr>
                <w:rFonts w:ascii="Microsoft JhengHei" w:eastAsia="Microsoft JhengHei" w:hint="eastAsia"/>
                <w:b/>
                <w:sz w:val="21"/>
              </w:rPr>
            </w:pPr>
            <w:r>
              <w:rPr>
                <w:rFonts w:ascii="Microsoft JhengHei" w:eastAsia="Microsoft JhengHei" w:hint="eastAsia"/>
                <w:b/>
                <w:sz w:val="21"/>
              </w:rPr>
              <w:t>全残豁免保险费</w:t>
            </w:r>
          </w:p>
        </w:tc>
        <w:tc>
          <w:tcPr>
            <w:tcW w:w="6251" w:type="dxa"/>
          </w:tcPr>
          <w:p>
            <w:pPr>
              <w:pStyle w:val="TableParagraph"/>
              <w:spacing w:line="260" w:lineRule="exact" w:before="150"/>
              <w:ind w:left="165"/>
              <w:rPr>
                <w:sz w:val="21"/>
              </w:rPr>
            </w:pPr>
            <w:r>
              <w:rPr>
                <w:sz w:val="21"/>
              </w:rPr>
              <w:t>一、若被保险人因意外伤害，或于本附加合同生效之日起 90 日</w:t>
            </w:r>
          </w:p>
          <w:p>
            <w:pPr>
              <w:pStyle w:val="TableParagraph"/>
              <w:spacing w:line="312" w:lineRule="exact" w:before="43"/>
              <w:ind w:left="588" w:right="215"/>
              <w:rPr>
                <w:sz w:val="21"/>
              </w:rPr>
            </w:pPr>
            <w:r>
              <w:rPr>
                <w:spacing w:val="-44"/>
                <w:sz w:val="21"/>
              </w:rPr>
              <w:t>后</w:t>
            </w:r>
            <w:r>
              <w:rPr>
                <w:sz w:val="21"/>
              </w:rPr>
              <w:t>（</w:t>
            </w:r>
            <w:r>
              <w:rPr>
                <w:spacing w:val="-10"/>
                <w:sz w:val="21"/>
              </w:rPr>
              <w:t>不含第 </w:t>
            </w:r>
            <w:r>
              <w:rPr>
                <w:sz w:val="21"/>
              </w:rPr>
              <w:t>90</w:t>
            </w:r>
            <w:r>
              <w:rPr>
                <w:spacing w:val="-22"/>
                <w:sz w:val="21"/>
              </w:rPr>
              <w:t> 日</w:t>
            </w:r>
            <w:r>
              <w:rPr>
                <w:spacing w:val="-44"/>
                <w:sz w:val="21"/>
              </w:rPr>
              <w:t>）</w:t>
            </w:r>
            <w:r>
              <w:rPr>
                <w:spacing w:val="-4"/>
                <w:sz w:val="21"/>
              </w:rPr>
              <w:t>因意外伤害以外的原因导致</w:t>
            </w:r>
            <w:r>
              <w:rPr>
                <w:rFonts w:ascii="微软雅黑" w:eastAsia="微软雅黑" w:hint="eastAsia"/>
                <w:b/>
                <w:spacing w:val="1"/>
                <w:sz w:val="21"/>
              </w:rPr>
              <w:t>全残</w:t>
            </w:r>
            <w:r>
              <w:rPr>
                <w:spacing w:val="-12"/>
                <w:sz w:val="21"/>
              </w:rPr>
              <w:t>，我们将</w:t>
            </w:r>
            <w:r>
              <w:rPr>
                <w:spacing w:val="1"/>
                <w:sz w:val="21"/>
              </w:rPr>
              <w:t>豁免主合同及其附加的保险合同自被保险人确诊之日以后</w:t>
            </w:r>
          </w:p>
          <w:p>
            <w:pPr>
              <w:pStyle w:val="TableParagraph"/>
              <w:spacing w:before="4"/>
              <w:ind w:left="588"/>
              <w:rPr>
                <w:sz w:val="21"/>
              </w:rPr>
            </w:pPr>
            <w:r>
              <w:rPr>
                <w:sz w:val="21"/>
              </w:rPr>
              <w:t>的各期保险费，同时本附加合同终止。</w:t>
            </w:r>
          </w:p>
          <w:p>
            <w:pPr>
              <w:pStyle w:val="TableParagraph"/>
              <w:spacing w:line="264" w:lineRule="auto" w:before="36"/>
              <w:ind w:left="588" w:right="205" w:hanging="423"/>
              <w:jc w:val="both"/>
              <w:rPr>
                <w:sz w:val="21"/>
              </w:rPr>
            </w:pPr>
            <w:r>
              <w:rPr>
                <w:spacing w:val="-7"/>
                <w:sz w:val="21"/>
              </w:rPr>
              <w:t>二、若被保险人于本附加合同生效之日起 </w:t>
            </w:r>
            <w:r>
              <w:rPr>
                <w:rFonts w:ascii="Times New Roman" w:eastAsia="Times New Roman"/>
                <w:sz w:val="21"/>
              </w:rPr>
              <w:t>90 </w:t>
            </w:r>
            <w:r>
              <w:rPr>
                <w:spacing w:val="-3"/>
                <w:sz w:val="21"/>
              </w:rPr>
              <w:t>日内</w:t>
            </w:r>
            <w:r>
              <w:rPr>
                <w:spacing w:val="-5"/>
                <w:sz w:val="21"/>
              </w:rPr>
              <w:t>（</w:t>
            </w:r>
            <w:r>
              <w:rPr>
                <w:spacing w:val="-15"/>
                <w:sz w:val="21"/>
              </w:rPr>
              <w:t>含第 </w:t>
            </w:r>
            <w:r>
              <w:rPr>
                <w:rFonts w:ascii="Times New Roman" w:eastAsia="Times New Roman"/>
                <w:sz w:val="21"/>
              </w:rPr>
              <w:t>90 </w:t>
            </w:r>
            <w:r>
              <w:rPr>
                <w:spacing w:val="-5"/>
                <w:sz w:val="21"/>
              </w:rPr>
              <w:t>日） 因意外伤害以外的原因导致全残，我们向您返还本附加合同</w:t>
            </w:r>
            <w:r>
              <w:rPr>
                <w:spacing w:val="-5"/>
                <w:w w:val="100"/>
                <w:sz w:val="21"/>
              </w:rPr>
              <w:t>已交保险费</w:t>
            </w:r>
            <w:r>
              <w:rPr>
                <w:w w:val="100"/>
                <w:sz w:val="21"/>
              </w:rPr>
              <w:t>（</w:t>
            </w:r>
            <w:r>
              <w:rPr>
                <w:spacing w:val="-2"/>
                <w:w w:val="100"/>
                <w:sz w:val="21"/>
              </w:rPr>
              <w:t>不计利息</w:t>
            </w:r>
            <w:r>
              <w:rPr>
                <w:spacing w:val="-106"/>
                <w:w w:val="100"/>
                <w:sz w:val="21"/>
              </w:rPr>
              <w:t>）</w:t>
            </w:r>
            <w:r>
              <w:rPr>
                <w:spacing w:val="-4"/>
                <w:w w:val="100"/>
                <w:sz w:val="21"/>
              </w:rPr>
              <w:t>，同时本附加合同终止。</w:t>
            </w:r>
          </w:p>
          <w:p>
            <w:pPr>
              <w:pStyle w:val="TableParagraph"/>
              <w:spacing w:line="273" w:lineRule="auto" w:before="15"/>
              <w:ind w:left="165" w:right="186"/>
              <w:rPr>
                <w:sz w:val="21"/>
              </w:rPr>
            </w:pPr>
            <w:r>
              <w:rPr>
                <w:sz w:val="21"/>
              </w:rPr>
              <w:t>对于被豁免合同为万能保险合同或投资连结保险合同的，我们只豁免其期交保险费，不予豁免其追加保险费。</w:t>
            </w:r>
          </w:p>
        </w:tc>
      </w:tr>
      <w:tr>
        <w:trPr>
          <w:trHeight w:val="427" w:hRule="atLeast"/>
        </w:trPr>
        <w:tc>
          <w:tcPr>
            <w:tcW w:w="781" w:type="dxa"/>
          </w:tcPr>
          <w:p>
            <w:pPr>
              <w:pStyle w:val="TableParagraph"/>
              <w:spacing w:line="322" w:lineRule="exact" w:before="85"/>
              <w:ind w:left="200"/>
              <w:rPr>
                <w:rFonts w:ascii="Microsoft JhengHei"/>
                <w:b/>
                <w:sz w:val="21"/>
              </w:rPr>
            </w:pPr>
            <w:r>
              <w:rPr>
                <w:rFonts w:ascii="Microsoft JhengHei"/>
                <w:b/>
                <w:w w:val="105"/>
                <w:sz w:val="21"/>
              </w:rPr>
              <w:t>2.4</w:t>
            </w:r>
          </w:p>
        </w:tc>
        <w:tc>
          <w:tcPr>
            <w:tcW w:w="1486" w:type="dxa"/>
          </w:tcPr>
          <w:p>
            <w:pPr>
              <w:pStyle w:val="TableParagraph"/>
              <w:spacing w:line="322" w:lineRule="exact" w:before="85"/>
              <w:ind w:left="263"/>
              <w:rPr>
                <w:rFonts w:ascii="Microsoft JhengHei" w:eastAsia="Microsoft JhengHei" w:hint="eastAsia"/>
                <w:b/>
                <w:sz w:val="21"/>
              </w:rPr>
            </w:pPr>
            <w:r>
              <w:rPr>
                <w:rFonts w:ascii="Microsoft JhengHei" w:eastAsia="Microsoft JhengHei" w:hint="eastAsia"/>
                <w:b/>
                <w:sz w:val="21"/>
              </w:rPr>
              <w:t>责任免除</w:t>
            </w:r>
          </w:p>
        </w:tc>
        <w:tc>
          <w:tcPr>
            <w:tcW w:w="6251" w:type="dxa"/>
          </w:tcPr>
          <w:p>
            <w:pPr>
              <w:pStyle w:val="TableParagraph"/>
              <w:spacing w:line="255" w:lineRule="exact" w:before="152"/>
              <w:ind w:left="165"/>
              <w:rPr>
                <w:sz w:val="21"/>
              </w:rPr>
            </w:pPr>
            <w:r>
              <w:rPr>
                <w:sz w:val="21"/>
              </w:rPr>
              <w:t>因下列情形之一导致被保险人确诊发Th本附加合同所定义的轻</w:t>
            </w:r>
          </w:p>
        </w:tc>
      </w:tr>
    </w:tbl>
    <w:p>
      <w:pPr>
        <w:spacing w:after="0" w:line="255" w:lineRule="exact"/>
        <w:rPr>
          <w:sz w:val="21"/>
        </w:rPr>
        <w:sectPr>
          <w:pgSz w:w="11910" w:h="16840"/>
          <w:pgMar w:header="0" w:footer="150" w:top="720" w:bottom="340" w:left="1600" w:right="15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6"/>
        <w:gridCol w:w="6137"/>
      </w:tblGrid>
      <w:tr>
        <w:trPr>
          <w:trHeight w:val="6191" w:hRule="atLeast"/>
        </w:trPr>
        <w:tc>
          <w:tcPr>
            <w:tcW w:w="686" w:type="dxa"/>
          </w:tcPr>
          <w:p>
            <w:pPr>
              <w:pStyle w:val="TableParagraph"/>
              <w:ind w:left="0"/>
              <w:rPr>
                <w:rFonts w:ascii="Times New Roman"/>
                <w:sz w:val="20"/>
              </w:rPr>
            </w:pPr>
          </w:p>
        </w:tc>
        <w:tc>
          <w:tcPr>
            <w:tcW w:w="1486" w:type="dxa"/>
          </w:tcPr>
          <w:p>
            <w:pPr>
              <w:pStyle w:val="TableParagraph"/>
              <w:ind w:left="0"/>
              <w:rPr>
                <w:rFonts w:ascii="Times New Roman"/>
                <w:sz w:val="20"/>
              </w:rPr>
            </w:pPr>
          </w:p>
        </w:tc>
        <w:tc>
          <w:tcPr>
            <w:tcW w:w="6137" w:type="dxa"/>
          </w:tcPr>
          <w:p>
            <w:pPr>
              <w:pStyle w:val="TableParagraph"/>
              <w:spacing w:line="211" w:lineRule="exact"/>
              <w:ind w:left="166"/>
              <w:rPr>
                <w:sz w:val="21"/>
              </w:rPr>
            </w:pPr>
            <w:r>
              <w:rPr>
                <w:sz w:val="21"/>
              </w:rPr>
              <w:t>症疾病、重大疾病，或导致被保险人身故、全残的，我们不承担</w:t>
            </w:r>
          </w:p>
          <w:p>
            <w:pPr>
              <w:pStyle w:val="TableParagraph"/>
              <w:spacing w:before="37"/>
              <w:ind w:left="166"/>
              <w:rPr>
                <w:sz w:val="21"/>
              </w:rPr>
            </w:pPr>
            <w:r>
              <w:rPr>
                <w:sz w:val="21"/>
              </w:rPr>
              <w:t>豁免保险费的责任：</w:t>
            </w:r>
          </w:p>
          <w:p>
            <w:pPr>
              <w:pStyle w:val="TableParagraph"/>
              <w:spacing w:before="12"/>
              <w:ind w:left="0"/>
              <w:rPr>
                <w:sz w:val="14"/>
              </w:rPr>
            </w:pPr>
          </w:p>
          <w:p>
            <w:pPr>
              <w:pStyle w:val="TableParagraph"/>
              <w:numPr>
                <w:ilvl w:val="0"/>
                <w:numId w:val="8"/>
              </w:numPr>
              <w:tabs>
                <w:tab w:pos="590" w:val="left" w:leader="none"/>
              </w:tabs>
              <w:spacing w:line="268" w:lineRule="auto" w:before="0" w:after="0"/>
              <w:ind w:left="589" w:right="103" w:hanging="423"/>
              <w:jc w:val="left"/>
              <w:rPr>
                <w:sz w:val="21"/>
              </w:rPr>
            </w:pPr>
            <w:r>
              <w:rPr>
                <w:spacing w:val="-5"/>
                <w:sz w:val="21"/>
              </w:rPr>
              <w:t>被保险人自杀，但被保险人自杀或自伤时为无民事行为能力人的除外；</w:t>
            </w:r>
          </w:p>
          <w:p>
            <w:pPr>
              <w:pStyle w:val="TableParagraph"/>
              <w:numPr>
                <w:ilvl w:val="0"/>
                <w:numId w:val="8"/>
              </w:numPr>
              <w:tabs>
                <w:tab w:pos="590" w:val="left" w:leader="none"/>
              </w:tabs>
              <w:spacing w:line="260" w:lineRule="exact" w:before="11" w:after="0"/>
              <w:ind w:left="589" w:right="0" w:hanging="423"/>
              <w:jc w:val="left"/>
              <w:rPr>
                <w:sz w:val="21"/>
              </w:rPr>
            </w:pPr>
            <w:r>
              <w:rPr>
                <w:spacing w:val="-5"/>
                <w:sz w:val="21"/>
              </w:rPr>
              <w:t>被保险人故意犯罪或者抗拒依法采取的刑事强制措施；</w:t>
            </w:r>
          </w:p>
          <w:p>
            <w:pPr>
              <w:pStyle w:val="TableParagraph"/>
              <w:numPr>
                <w:ilvl w:val="0"/>
                <w:numId w:val="8"/>
              </w:numPr>
              <w:tabs>
                <w:tab w:pos="590" w:val="left" w:leader="none"/>
              </w:tabs>
              <w:spacing w:line="324" w:lineRule="exact" w:before="0" w:after="0"/>
              <w:ind w:left="589" w:right="0" w:hanging="423"/>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8"/>
              </w:numPr>
              <w:tabs>
                <w:tab w:pos="590" w:val="left" w:leader="none"/>
              </w:tabs>
              <w:spacing w:line="204" w:lineRule="auto" w:before="29" w:after="0"/>
              <w:ind w:left="589" w:right="100" w:hanging="423"/>
              <w:jc w:val="left"/>
              <w:rPr>
                <w:sz w:val="21"/>
              </w:rPr>
            </w:pPr>
            <w:r>
              <w:rPr>
                <w:spacing w:val="-2"/>
                <w:sz w:val="21"/>
              </w:rPr>
              <w:t>被保险人</w:t>
            </w:r>
            <w:r>
              <w:rPr>
                <w:rFonts w:ascii="Microsoft JhengHei" w:eastAsia="Microsoft JhengHei" w:hint="eastAsia"/>
                <w:b/>
                <w:sz w:val="21"/>
              </w:rPr>
              <w:t>酒后驾驶</w:t>
            </w:r>
            <w:r>
              <w:rPr>
                <w:spacing w:val="-20"/>
                <w:sz w:val="21"/>
              </w:rPr>
              <w:t>、</w:t>
            </w:r>
            <w:r>
              <w:rPr>
                <w:rFonts w:ascii="Microsoft JhengHei" w:eastAsia="Microsoft JhengHei" w:hint="eastAsia"/>
                <w:b/>
                <w:sz w:val="21"/>
              </w:rPr>
              <w:t>无合法有效驾驶证驾驶</w:t>
            </w:r>
            <w:r>
              <w:rPr>
                <w:spacing w:val="-6"/>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8"/>
              </w:numPr>
              <w:tabs>
                <w:tab w:pos="590" w:val="left" w:leader="none"/>
              </w:tabs>
              <w:spacing w:line="240" w:lineRule="auto" w:before="13" w:after="0"/>
              <w:ind w:left="589" w:right="0" w:hanging="423"/>
              <w:jc w:val="left"/>
              <w:rPr>
                <w:sz w:val="21"/>
              </w:rPr>
            </w:pPr>
            <w:r>
              <w:rPr>
                <w:spacing w:val="-3"/>
                <w:sz w:val="21"/>
              </w:rPr>
              <w:t>战争、军事冲突、暴乱或者武装叛乱；</w:t>
            </w:r>
          </w:p>
          <w:p>
            <w:pPr>
              <w:pStyle w:val="TableParagraph"/>
              <w:numPr>
                <w:ilvl w:val="0"/>
                <w:numId w:val="8"/>
              </w:numPr>
              <w:tabs>
                <w:tab w:pos="590" w:val="left" w:leader="none"/>
              </w:tabs>
              <w:spacing w:line="240" w:lineRule="auto" w:before="36" w:after="0"/>
              <w:ind w:left="589" w:right="0" w:hanging="423"/>
              <w:jc w:val="left"/>
              <w:rPr>
                <w:sz w:val="21"/>
              </w:rPr>
            </w:pPr>
            <w:r>
              <w:rPr>
                <w:spacing w:val="-2"/>
                <w:sz w:val="21"/>
              </w:rPr>
              <w:t>核爆炸、核辐射或者核污染；</w:t>
            </w:r>
          </w:p>
          <w:p>
            <w:pPr>
              <w:pStyle w:val="TableParagraph"/>
              <w:numPr>
                <w:ilvl w:val="0"/>
                <w:numId w:val="8"/>
              </w:numPr>
              <w:tabs>
                <w:tab w:pos="590" w:val="left" w:leader="none"/>
              </w:tabs>
              <w:spacing w:line="260" w:lineRule="exact" w:before="37" w:after="0"/>
              <w:ind w:left="589" w:right="0" w:hanging="423"/>
              <w:jc w:val="left"/>
              <w:rPr>
                <w:sz w:val="21"/>
              </w:rPr>
            </w:pPr>
            <w:r>
              <w:rPr>
                <w:spacing w:val="-1"/>
                <w:sz w:val="21"/>
              </w:rPr>
              <w:t>被保险人故意自伤；</w:t>
            </w:r>
          </w:p>
          <w:p>
            <w:pPr>
              <w:pStyle w:val="TableParagraph"/>
              <w:numPr>
                <w:ilvl w:val="0"/>
                <w:numId w:val="8"/>
              </w:numPr>
              <w:tabs>
                <w:tab w:pos="590" w:val="left" w:leader="none"/>
              </w:tabs>
              <w:spacing w:line="324" w:lineRule="exact" w:before="0" w:after="0"/>
              <w:ind w:left="589" w:right="0" w:hanging="423"/>
              <w:jc w:val="left"/>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8"/>
              </w:numPr>
              <w:tabs>
                <w:tab w:pos="590" w:val="left" w:leader="none"/>
              </w:tabs>
              <w:spacing w:line="339" w:lineRule="exact" w:before="0" w:after="0"/>
              <w:ind w:left="589" w:right="0" w:hanging="423"/>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spacing w:before="10"/>
              <w:ind w:left="0"/>
              <w:rPr>
                <w:sz w:val="14"/>
              </w:rPr>
            </w:pPr>
          </w:p>
          <w:p>
            <w:pPr>
              <w:pStyle w:val="TableParagraph"/>
              <w:spacing w:line="220" w:lineRule="auto"/>
              <w:ind w:left="166" w:right="71"/>
              <w:rPr>
                <w:sz w:val="21"/>
              </w:rPr>
            </w:pPr>
            <w:r>
              <w:rPr>
                <w:sz w:val="21"/>
              </w:rPr>
              <w:t>因上述情形之一导致被保险人身故的，本附加合同终止，我们向被保险人的继承人给付本附加合同终止时的</w:t>
            </w:r>
            <w:r>
              <w:rPr>
                <w:rFonts w:ascii="Microsoft JhengHei" w:eastAsia="Microsoft JhengHei" w:hint="eastAsia"/>
                <w:b/>
                <w:sz w:val="21"/>
              </w:rPr>
              <w:t>现金价值</w:t>
            </w:r>
            <w:r>
              <w:rPr>
                <w:sz w:val="21"/>
              </w:rPr>
              <w:t>。</w:t>
            </w:r>
          </w:p>
          <w:p>
            <w:pPr>
              <w:pStyle w:val="TableParagraph"/>
              <w:spacing w:line="271" w:lineRule="auto" w:before="171"/>
              <w:ind w:left="166" w:right="100"/>
              <w:jc w:val="both"/>
              <w:rPr>
                <w:sz w:val="21"/>
              </w:rPr>
            </w:pPr>
            <w:r>
              <w:rPr>
                <w:spacing w:val="2"/>
                <w:sz w:val="21"/>
              </w:rPr>
              <w:t>因上述情形之一导致被保险人全残或确诊发Th本附加合同所定</w:t>
            </w:r>
            <w:r>
              <w:rPr>
                <w:spacing w:val="-5"/>
                <w:sz w:val="21"/>
              </w:rPr>
              <w:t>义的轻症疾病、重大疾病的，本附加合同终止，我们向您退还本附加合同终止时的现金价值。</w:t>
            </w:r>
          </w:p>
        </w:tc>
      </w:tr>
      <w:tr>
        <w:trPr>
          <w:trHeight w:val="582" w:hRule="atLeast"/>
        </w:trPr>
        <w:tc>
          <w:tcPr>
            <w:tcW w:w="686" w:type="dxa"/>
            <w:tcBorders>
              <w:bottom w:val="single" w:sz="8" w:space="0" w:color="000000"/>
            </w:tcBorders>
          </w:tcPr>
          <w:p>
            <w:pPr>
              <w:pStyle w:val="TableParagraph"/>
              <w:spacing w:before="106"/>
              <w:ind w:left="105"/>
              <w:rPr>
                <w:rFonts w:ascii="Microsoft JhengHei"/>
                <w:b/>
                <w:sz w:val="24"/>
              </w:rPr>
            </w:pPr>
            <w:r>
              <w:rPr>
                <w:rFonts w:ascii="Microsoft JhengHei"/>
                <w:b/>
                <w:w w:val="120"/>
                <w:sz w:val="24"/>
              </w:rPr>
              <w:t>3.</w:t>
            </w:r>
          </w:p>
        </w:tc>
        <w:tc>
          <w:tcPr>
            <w:tcW w:w="7623" w:type="dxa"/>
            <w:gridSpan w:val="2"/>
            <w:tcBorders>
              <w:bottom w:val="single" w:sz="8" w:space="0" w:color="000000"/>
            </w:tcBorders>
          </w:tcPr>
          <w:p>
            <w:pPr>
              <w:pStyle w:val="TableParagraph"/>
              <w:spacing w:before="58"/>
              <w:ind w:left="264"/>
              <w:rPr>
                <w:rFonts w:ascii="Microsoft JhengHei" w:eastAsia="Microsoft JhengHei" w:hint="eastAsia"/>
                <w:b/>
                <w:sz w:val="24"/>
              </w:rPr>
            </w:pPr>
            <w:r>
              <w:rPr>
                <w:rFonts w:ascii="Microsoft JhengHei" w:eastAsia="Microsoft JhengHei" w:hint="eastAsia"/>
                <w:b/>
                <w:sz w:val="24"/>
              </w:rPr>
              <w:t>豁免保险费的申请</w:t>
            </w:r>
          </w:p>
        </w:tc>
      </w:tr>
      <w:tr>
        <w:trPr>
          <w:trHeight w:val="780" w:hRule="atLeast"/>
        </w:trPr>
        <w:tc>
          <w:tcPr>
            <w:tcW w:w="68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3.1</w:t>
            </w:r>
          </w:p>
        </w:tc>
        <w:tc>
          <w:tcPr>
            <w:tcW w:w="1486" w:type="dxa"/>
            <w:tcBorders>
              <w:top w:val="single" w:sz="8" w:space="0" w:color="000000"/>
            </w:tcBorders>
          </w:tcPr>
          <w:p>
            <w:pPr>
              <w:pStyle w:val="TableParagraph"/>
              <w:spacing w:before="2"/>
              <w:ind w:left="0"/>
              <w:rPr>
                <w:sz w:val="17"/>
              </w:rPr>
            </w:pPr>
          </w:p>
          <w:p>
            <w:pPr>
              <w:pStyle w:val="TableParagraph"/>
              <w:ind w:left="264"/>
              <w:rPr>
                <w:rFonts w:ascii="Microsoft JhengHei" w:eastAsia="Microsoft JhengHei" w:hint="eastAsia"/>
                <w:b/>
                <w:sz w:val="21"/>
              </w:rPr>
            </w:pPr>
            <w:r>
              <w:rPr>
                <w:rFonts w:ascii="Microsoft JhengHei" w:eastAsia="Microsoft JhengHei" w:hint="eastAsia"/>
                <w:b/>
                <w:sz w:val="21"/>
              </w:rPr>
              <w:t>受益人</w:t>
            </w:r>
          </w:p>
        </w:tc>
        <w:tc>
          <w:tcPr>
            <w:tcW w:w="6137" w:type="dxa"/>
            <w:tcBorders>
              <w:top w:val="single" w:sz="8" w:space="0" w:color="000000"/>
            </w:tcBorders>
          </w:tcPr>
          <w:p>
            <w:pPr>
              <w:pStyle w:val="TableParagraph"/>
              <w:spacing w:before="4"/>
              <w:ind w:left="0"/>
              <w:rPr>
                <w:sz w:val="22"/>
              </w:rPr>
            </w:pPr>
          </w:p>
          <w:p>
            <w:pPr>
              <w:pStyle w:val="TableParagraph"/>
              <w:ind w:left="166"/>
              <w:rPr>
                <w:sz w:val="21"/>
              </w:rPr>
            </w:pPr>
            <w:r>
              <w:rPr>
                <w:sz w:val="21"/>
              </w:rPr>
              <w:t>除另有约定外，本附加合同的受益人为被保险人。</w:t>
            </w:r>
          </w:p>
        </w:tc>
      </w:tr>
      <w:tr>
        <w:trPr>
          <w:trHeight w:val="2160" w:hRule="atLeast"/>
        </w:trPr>
        <w:tc>
          <w:tcPr>
            <w:tcW w:w="686" w:type="dxa"/>
          </w:tcPr>
          <w:p>
            <w:pPr>
              <w:pStyle w:val="TableParagraph"/>
              <w:spacing w:before="83"/>
              <w:ind w:left="105"/>
              <w:rPr>
                <w:rFonts w:ascii="Microsoft JhengHei"/>
                <w:b/>
                <w:sz w:val="21"/>
              </w:rPr>
            </w:pPr>
            <w:r>
              <w:rPr>
                <w:rFonts w:ascii="Microsoft JhengHei"/>
                <w:b/>
                <w:w w:val="105"/>
                <w:sz w:val="21"/>
              </w:rPr>
              <w:t>3.2</w:t>
            </w:r>
          </w:p>
        </w:tc>
        <w:tc>
          <w:tcPr>
            <w:tcW w:w="1486" w:type="dxa"/>
          </w:tcPr>
          <w:p>
            <w:pPr>
              <w:pStyle w:val="TableParagraph"/>
              <w:spacing w:line="204" w:lineRule="auto" w:before="138"/>
              <w:ind w:left="264" w:right="163"/>
              <w:rPr>
                <w:rFonts w:ascii="Microsoft JhengHei" w:eastAsia="Microsoft JhengHei" w:hint="eastAsia"/>
                <w:b/>
                <w:sz w:val="21"/>
              </w:rPr>
            </w:pPr>
            <w:r>
              <w:rPr>
                <w:rFonts w:ascii="Microsoft JhengHei" w:eastAsia="Microsoft JhengHei" w:hint="eastAsia"/>
                <w:b/>
                <w:sz w:val="21"/>
              </w:rPr>
              <w:t>保险事故通知</w:t>
            </w:r>
          </w:p>
        </w:tc>
        <w:tc>
          <w:tcPr>
            <w:tcW w:w="6137" w:type="dxa"/>
          </w:tcPr>
          <w:p>
            <w:pPr>
              <w:pStyle w:val="TableParagraph"/>
              <w:spacing w:line="273" w:lineRule="auto" w:before="150"/>
              <w:ind w:left="166" w:right="-15"/>
              <w:rPr>
                <w:sz w:val="21"/>
              </w:rPr>
            </w:pPr>
            <w:r>
              <w:rPr>
                <w:spacing w:val="-5"/>
                <w:sz w:val="21"/>
              </w:rPr>
              <w:t>您、被保险人或者受益人知道保险事故发生后应当在 </w:t>
            </w:r>
            <w:r>
              <w:rPr>
                <w:sz w:val="21"/>
              </w:rPr>
              <w:t>10</w:t>
            </w:r>
            <w:r>
              <w:rPr>
                <w:spacing w:val="-2"/>
                <w:sz w:val="21"/>
              </w:rPr>
              <w:t> 日内通</w:t>
            </w:r>
            <w:r>
              <w:rPr>
                <w:spacing w:val="-13"/>
                <w:sz w:val="21"/>
              </w:rPr>
              <w:t>知我们。故意或者因重大过失未及时通知，致使保险事故的性质、</w:t>
            </w:r>
            <w:r>
              <w:rPr>
                <w:spacing w:val="-8"/>
                <w:sz w:val="21"/>
              </w:rPr>
              <w:t>原因、损失程度等难以确定的，我们对无法确定的部分不承担给付保险金的责任，但我们通过其他途径已经及时知道或者应当及</w:t>
            </w:r>
            <w:r>
              <w:rPr>
                <w:spacing w:val="1"/>
                <w:sz w:val="21"/>
              </w:rPr>
              <w:t>时知道保险事故发生或者虽未及时通知但不影响我们确定保险</w:t>
            </w:r>
            <w:r>
              <w:rPr>
                <w:spacing w:val="-2"/>
                <w:sz w:val="21"/>
              </w:rPr>
              <w:t>事故的性质、原因、损失程度的除外。</w:t>
            </w:r>
          </w:p>
        </w:tc>
      </w:tr>
      <w:tr>
        <w:trPr>
          <w:trHeight w:val="909" w:hRule="atLeast"/>
        </w:trPr>
        <w:tc>
          <w:tcPr>
            <w:tcW w:w="686" w:type="dxa"/>
          </w:tcPr>
          <w:p>
            <w:pPr>
              <w:pStyle w:val="TableParagraph"/>
              <w:spacing w:before="45"/>
              <w:ind w:left="105"/>
              <w:rPr>
                <w:rFonts w:ascii="Microsoft JhengHei"/>
                <w:b/>
                <w:sz w:val="21"/>
              </w:rPr>
            </w:pPr>
            <w:r>
              <w:rPr>
                <w:rFonts w:ascii="Microsoft JhengHei"/>
                <w:b/>
                <w:w w:val="105"/>
                <w:sz w:val="21"/>
              </w:rPr>
              <w:t>3.3</w:t>
            </w:r>
          </w:p>
        </w:tc>
        <w:tc>
          <w:tcPr>
            <w:tcW w:w="1486" w:type="dxa"/>
          </w:tcPr>
          <w:p>
            <w:pPr>
              <w:pStyle w:val="TableParagraph"/>
              <w:spacing w:line="201" w:lineRule="auto" w:before="103"/>
              <w:ind w:left="264" w:right="163"/>
              <w:rPr>
                <w:rFonts w:ascii="Microsoft JhengHei" w:eastAsia="Microsoft JhengHei" w:hint="eastAsia"/>
                <w:b/>
                <w:sz w:val="21"/>
              </w:rPr>
            </w:pPr>
            <w:r>
              <w:rPr>
                <w:rFonts w:ascii="Microsoft JhengHei" w:eastAsia="Microsoft JhengHei" w:hint="eastAsia"/>
                <w:b/>
                <w:sz w:val="21"/>
              </w:rPr>
              <w:t>豁免保险费申请</w:t>
            </w:r>
          </w:p>
        </w:tc>
        <w:tc>
          <w:tcPr>
            <w:tcW w:w="6137" w:type="dxa"/>
          </w:tcPr>
          <w:p>
            <w:pPr>
              <w:pStyle w:val="TableParagraph"/>
              <w:spacing w:before="111"/>
              <w:ind w:left="166"/>
              <w:rPr>
                <w:sz w:val="21"/>
              </w:rPr>
            </w:pPr>
            <w:r>
              <w:rPr>
                <w:sz w:val="21"/>
              </w:rPr>
              <w:t>在申请豁免保险费时，请按照下列方式办理：</w:t>
            </w:r>
          </w:p>
        </w:tc>
      </w:tr>
      <w:tr>
        <w:trPr>
          <w:trHeight w:val="2823" w:hRule="atLeast"/>
        </w:trPr>
        <w:tc>
          <w:tcPr>
            <w:tcW w:w="686" w:type="dxa"/>
          </w:tcPr>
          <w:p>
            <w:pPr>
              <w:pStyle w:val="TableParagraph"/>
              <w:ind w:left="0"/>
              <w:rPr>
                <w:rFonts w:ascii="Times New Roman"/>
                <w:sz w:val="20"/>
              </w:rPr>
            </w:pPr>
          </w:p>
        </w:tc>
        <w:tc>
          <w:tcPr>
            <w:tcW w:w="1486" w:type="dxa"/>
          </w:tcPr>
          <w:p>
            <w:pPr>
              <w:pStyle w:val="TableParagraph"/>
              <w:spacing w:line="204" w:lineRule="auto" w:before="140"/>
              <w:ind w:left="264" w:right="163"/>
              <w:jc w:val="both"/>
              <w:rPr>
                <w:rFonts w:ascii="Microsoft JhengHei" w:eastAsia="Microsoft JhengHei" w:hint="eastAsia"/>
                <w:b/>
                <w:sz w:val="21"/>
              </w:rPr>
            </w:pPr>
            <w:r>
              <w:rPr>
                <w:rFonts w:ascii="Microsoft JhengHei" w:eastAsia="Microsoft JhengHei" w:hint="eastAsia"/>
                <w:b/>
                <w:sz w:val="21"/>
              </w:rPr>
              <w:t>轻症疾病豁免保险费及重大疾病豁免保险费申请</w:t>
            </w:r>
          </w:p>
        </w:tc>
        <w:tc>
          <w:tcPr>
            <w:tcW w:w="6137" w:type="dxa"/>
          </w:tcPr>
          <w:p>
            <w:pPr>
              <w:pStyle w:val="TableParagraph"/>
              <w:spacing w:line="268" w:lineRule="auto" w:before="152"/>
              <w:ind w:left="166" w:right="71"/>
              <w:rPr>
                <w:sz w:val="21"/>
              </w:rPr>
            </w:pPr>
            <w:r>
              <w:rPr>
                <w:sz w:val="21"/>
              </w:rPr>
              <w:t>申请轻症疾病豁免保险费及重大疾病豁免保险费，申请人须填写豁免保险费申请书，并向我们提供下列资料：</w:t>
            </w:r>
          </w:p>
          <w:p>
            <w:pPr>
              <w:pStyle w:val="TableParagraph"/>
              <w:numPr>
                <w:ilvl w:val="0"/>
                <w:numId w:val="9"/>
              </w:numPr>
              <w:tabs>
                <w:tab w:pos="590" w:val="left" w:leader="none"/>
              </w:tabs>
              <w:spacing w:line="240" w:lineRule="auto" w:before="11" w:after="0"/>
              <w:ind w:left="589" w:right="0" w:hanging="423"/>
              <w:jc w:val="left"/>
              <w:rPr>
                <w:sz w:val="21"/>
              </w:rPr>
            </w:pPr>
            <w:r>
              <w:rPr>
                <w:spacing w:val="-1"/>
                <w:sz w:val="21"/>
              </w:rPr>
              <w:t>本附加合同；</w:t>
            </w:r>
          </w:p>
          <w:p>
            <w:pPr>
              <w:pStyle w:val="TableParagraph"/>
              <w:numPr>
                <w:ilvl w:val="0"/>
                <w:numId w:val="9"/>
              </w:numPr>
              <w:tabs>
                <w:tab w:pos="590" w:val="left" w:leader="none"/>
              </w:tabs>
              <w:spacing w:line="240" w:lineRule="auto" w:before="36" w:after="0"/>
              <w:ind w:left="589" w:right="0" w:hanging="423"/>
              <w:jc w:val="left"/>
              <w:rPr>
                <w:sz w:val="21"/>
              </w:rPr>
            </w:pPr>
            <w:r>
              <w:rPr>
                <w:spacing w:val="-2"/>
                <w:sz w:val="21"/>
              </w:rPr>
              <w:t>申请人的有效身份证件；</w:t>
            </w:r>
          </w:p>
          <w:p>
            <w:pPr>
              <w:pStyle w:val="TableParagraph"/>
              <w:numPr>
                <w:ilvl w:val="0"/>
                <w:numId w:val="9"/>
              </w:numPr>
              <w:tabs>
                <w:tab w:pos="590" w:val="left" w:leader="none"/>
              </w:tabs>
              <w:spacing w:line="273" w:lineRule="auto" w:before="36" w:after="0"/>
              <w:ind w:left="589" w:right="103" w:hanging="423"/>
              <w:jc w:val="left"/>
              <w:rPr>
                <w:sz w:val="21"/>
              </w:rPr>
            </w:pPr>
            <w:r>
              <w:rPr>
                <w:spacing w:val="1"/>
                <w:sz w:val="21"/>
              </w:rPr>
              <w:t>由医疗机构出具的可证明被保险人所患疾病的诊断证明和</w:t>
            </w:r>
            <w:r>
              <w:rPr>
                <w:spacing w:val="-2"/>
                <w:sz w:val="21"/>
              </w:rPr>
              <w:t>诊断所患疾病必需的检查报告；</w:t>
            </w:r>
          </w:p>
          <w:p>
            <w:pPr>
              <w:pStyle w:val="TableParagraph"/>
              <w:numPr>
                <w:ilvl w:val="0"/>
                <w:numId w:val="9"/>
              </w:numPr>
              <w:tabs>
                <w:tab w:pos="590" w:val="left" w:leader="none"/>
              </w:tabs>
              <w:spacing w:line="273" w:lineRule="auto" w:before="7" w:after="0"/>
              <w:ind w:left="589" w:right="102" w:hanging="423"/>
              <w:jc w:val="left"/>
              <w:rPr>
                <w:sz w:val="21"/>
              </w:rPr>
            </w:pPr>
            <w:r>
              <w:rPr>
                <w:spacing w:val="-6"/>
                <w:sz w:val="21"/>
              </w:rPr>
              <w:t>所能提供的与确认保险事故的性质、原因、伤害程度等有关</w:t>
            </w:r>
            <w:r>
              <w:rPr>
                <w:spacing w:val="-5"/>
                <w:sz w:val="21"/>
              </w:rPr>
              <w:t>的其他资料。</w:t>
            </w:r>
          </w:p>
        </w:tc>
      </w:tr>
      <w:tr>
        <w:trPr>
          <w:trHeight w:val="1670" w:hRule="atLeast"/>
        </w:trPr>
        <w:tc>
          <w:tcPr>
            <w:tcW w:w="686" w:type="dxa"/>
          </w:tcPr>
          <w:p>
            <w:pPr>
              <w:pStyle w:val="TableParagraph"/>
              <w:ind w:left="0"/>
              <w:rPr>
                <w:rFonts w:ascii="Times New Roman"/>
                <w:sz w:val="20"/>
              </w:rPr>
            </w:pPr>
          </w:p>
        </w:tc>
        <w:tc>
          <w:tcPr>
            <w:tcW w:w="1486" w:type="dxa"/>
          </w:tcPr>
          <w:p>
            <w:pPr>
              <w:pStyle w:val="TableParagraph"/>
              <w:spacing w:line="201" w:lineRule="auto" w:before="144"/>
              <w:ind w:left="264" w:right="163"/>
              <w:rPr>
                <w:rFonts w:ascii="Microsoft JhengHei" w:eastAsia="Microsoft JhengHei" w:hint="eastAsia"/>
                <w:b/>
                <w:sz w:val="21"/>
              </w:rPr>
            </w:pPr>
            <w:r>
              <w:rPr>
                <w:rFonts w:ascii="Microsoft JhengHei" w:eastAsia="Microsoft JhengHei" w:hint="eastAsia"/>
                <w:b/>
                <w:sz w:val="21"/>
              </w:rPr>
              <w:t>身故豁免保险费申请</w:t>
            </w:r>
          </w:p>
        </w:tc>
        <w:tc>
          <w:tcPr>
            <w:tcW w:w="6137" w:type="dxa"/>
          </w:tcPr>
          <w:p>
            <w:pPr>
              <w:pStyle w:val="TableParagraph"/>
              <w:spacing w:line="268" w:lineRule="auto" w:before="152"/>
              <w:ind w:left="166" w:right="71"/>
              <w:rPr>
                <w:sz w:val="21"/>
              </w:rPr>
            </w:pPr>
            <w:r>
              <w:rPr>
                <w:sz w:val="21"/>
              </w:rPr>
              <w:t>申请身故豁免保险费的，申请人须填写豁免保险费申请书，并向我们提供下列资料：</w:t>
            </w:r>
          </w:p>
          <w:p>
            <w:pPr>
              <w:pStyle w:val="TableParagraph"/>
              <w:numPr>
                <w:ilvl w:val="0"/>
                <w:numId w:val="10"/>
              </w:numPr>
              <w:tabs>
                <w:tab w:pos="590" w:val="left" w:leader="none"/>
              </w:tabs>
              <w:spacing w:line="240" w:lineRule="auto" w:before="11" w:after="0"/>
              <w:ind w:left="589" w:right="0" w:hanging="423"/>
              <w:jc w:val="left"/>
              <w:rPr>
                <w:sz w:val="21"/>
              </w:rPr>
            </w:pPr>
            <w:r>
              <w:rPr>
                <w:spacing w:val="-1"/>
                <w:sz w:val="21"/>
              </w:rPr>
              <w:t>本附加合同；</w:t>
            </w:r>
          </w:p>
          <w:p>
            <w:pPr>
              <w:pStyle w:val="TableParagraph"/>
              <w:numPr>
                <w:ilvl w:val="0"/>
                <w:numId w:val="10"/>
              </w:numPr>
              <w:tabs>
                <w:tab w:pos="590" w:val="left" w:leader="none"/>
              </w:tabs>
              <w:spacing w:line="240" w:lineRule="auto" w:before="37" w:after="0"/>
              <w:ind w:left="589" w:right="0" w:hanging="423"/>
              <w:jc w:val="left"/>
              <w:rPr>
                <w:sz w:val="21"/>
              </w:rPr>
            </w:pPr>
            <w:r>
              <w:rPr>
                <w:spacing w:val="-2"/>
                <w:sz w:val="21"/>
              </w:rPr>
              <w:t>申请人的有效身份证件；</w:t>
            </w:r>
          </w:p>
          <w:p>
            <w:pPr>
              <w:pStyle w:val="TableParagraph"/>
              <w:numPr>
                <w:ilvl w:val="0"/>
                <w:numId w:val="10"/>
              </w:numPr>
              <w:tabs>
                <w:tab w:pos="590" w:val="left" w:leader="none"/>
              </w:tabs>
              <w:spacing w:line="255" w:lineRule="exact" w:before="37" w:after="0"/>
              <w:ind w:left="589" w:right="0" w:hanging="423"/>
              <w:jc w:val="left"/>
              <w:rPr>
                <w:sz w:val="21"/>
              </w:rPr>
            </w:pPr>
            <w:r>
              <w:rPr>
                <w:spacing w:val="-5"/>
                <w:sz w:val="21"/>
              </w:rPr>
              <w:t>国家卫生行政部门认定的医疗机构、公安部门或其他相关机</w:t>
            </w:r>
          </w:p>
        </w:tc>
      </w:tr>
    </w:tbl>
    <w:p>
      <w:pPr>
        <w:spacing w:after="0" w:line="255" w:lineRule="exact"/>
        <w:jc w:val="left"/>
        <w:rPr>
          <w:sz w:val="21"/>
        </w:rPr>
        <w:sectPr>
          <w:pgSz w:w="11910" w:h="16840"/>
          <w:pgMar w:header="0" w:footer="150" w:top="7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6"/>
        <w:gridCol w:w="6134"/>
      </w:tblGrid>
      <w:tr>
        <w:trPr>
          <w:trHeight w:val="1985" w:hRule="atLeast"/>
        </w:trPr>
        <w:tc>
          <w:tcPr>
            <w:tcW w:w="686" w:type="dxa"/>
          </w:tcPr>
          <w:p>
            <w:pPr>
              <w:pStyle w:val="TableParagraph"/>
              <w:ind w:left="0"/>
              <w:rPr>
                <w:rFonts w:ascii="Times New Roman"/>
                <w:sz w:val="20"/>
              </w:rPr>
            </w:pPr>
          </w:p>
        </w:tc>
        <w:tc>
          <w:tcPr>
            <w:tcW w:w="1486" w:type="dxa"/>
          </w:tcPr>
          <w:p>
            <w:pPr>
              <w:pStyle w:val="TableParagraph"/>
              <w:ind w:left="0"/>
              <w:rPr>
                <w:rFonts w:ascii="Times New Roman"/>
                <w:sz w:val="20"/>
              </w:rPr>
            </w:pPr>
          </w:p>
        </w:tc>
        <w:tc>
          <w:tcPr>
            <w:tcW w:w="6134" w:type="dxa"/>
          </w:tcPr>
          <w:p>
            <w:pPr>
              <w:pStyle w:val="TableParagraph"/>
              <w:spacing w:line="211" w:lineRule="exact"/>
              <w:ind w:left="589"/>
              <w:rPr>
                <w:sz w:val="21"/>
              </w:rPr>
            </w:pPr>
            <w:r>
              <w:rPr>
                <w:sz w:val="21"/>
              </w:rPr>
              <w:t>构出具的被保险人死亡证明；</w:t>
            </w:r>
          </w:p>
          <w:p>
            <w:pPr>
              <w:pStyle w:val="TableParagraph"/>
              <w:numPr>
                <w:ilvl w:val="0"/>
                <w:numId w:val="11"/>
              </w:numPr>
              <w:tabs>
                <w:tab w:pos="590" w:val="left" w:leader="none"/>
              </w:tabs>
              <w:spacing w:line="273" w:lineRule="auto" w:before="37" w:after="0"/>
              <w:ind w:left="589" w:right="100" w:hanging="423"/>
              <w:jc w:val="left"/>
              <w:rPr>
                <w:sz w:val="21"/>
              </w:rPr>
            </w:pPr>
            <w:r>
              <w:rPr>
                <w:spacing w:val="-5"/>
                <w:sz w:val="21"/>
              </w:rPr>
              <w:t>被保险人因意外伤害导致身故的，需提供相关意外伤害的证明和资料；</w:t>
            </w:r>
          </w:p>
          <w:p>
            <w:pPr>
              <w:pStyle w:val="TableParagraph"/>
              <w:numPr>
                <w:ilvl w:val="0"/>
                <w:numId w:val="11"/>
              </w:numPr>
              <w:tabs>
                <w:tab w:pos="590" w:val="left" w:leader="none"/>
              </w:tabs>
              <w:spacing w:line="240" w:lineRule="auto" w:before="7" w:after="0"/>
              <w:ind w:left="589" w:right="0" w:hanging="423"/>
              <w:jc w:val="left"/>
              <w:rPr>
                <w:sz w:val="21"/>
              </w:rPr>
            </w:pPr>
            <w:r>
              <w:rPr>
                <w:spacing w:val="-2"/>
                <w:sz w:val="21"/>
              </w:rPr>
              <w:t>被保险人的户籍注销证明；</w:t>
            </w:r>
          </w:p>
          <w:p>
            <w:pPr>
              <w:pStyle w:val="TableParagraph"/>
              <w:numPr>
                <w:ilvl w:val="0"/>
                <w:numId w:val="11"/>
              </w:numPr>
              <w:tabs>
                <w:tab w:pos="590" w:val="left" w:leader="none"/>
              </w:tabs>
              <w:spacing w:line="273" w:lineRule="auto" w:before="36" w:after="0"/>
              <w:ind w:left="589" w:right="100" w:hanging="423"/>
              <w:jc w:val="left"/>
              <w:rPr>
                <w:sz w:val="21"/>
              </w:rPr>
            </w:pPr>
            <w:r>
              <w:rPr>
                <w:spacing w:val="1"/>
                <w:sz w:val="21"/>
              </w:rPr>
              <w:t>所能提供的与确认保险事故的性质、原因等有关的其他资料。</w:t>
            </w:r>
          </w:p>
        </w:tc>
      </w:tr>
      <w:tr>
        <w:trPr>
          <w:trHeight w:val="3447" w:hRule="atLeast"/>
        </w:trPr>
        <w:tc>
          <w:tcPr>
            <w:tcW w:w="686" w:type="dxa"/>
          </w:tcPr>
          <w:p>
            <w:pPr>
              <w:pStyle w:val="TableParagraph"/>
              <w:ind w:left="0"/>
              <w:rPr>
                <w:rFonts w:ascii="Times New Roman"/>
                <w:sz w:val="20"/>
              </w:rPr>
            </w:pPr>
          </w:p>
        </w:tc>
        <w:tc>
          <w:tcPr>
            <w:tcW w:w="1486" w:type="dxa"/>
          </w:tcPr>
          <w:p>
            <w:pPr>
              <w:pStyle w:val="TableParagraph"/>
              <w:spacing w:line="204" w:lineRule="auto" w:before="138"/>
              <w:ind w:left="264" w:right="163"/>
              <w:rPr>
                <w:rFonts w:ascii="Microsoft JhengHei" w:eastAsia="Microsoft JhengHei" w:hint="eastAsia"/>
                <w:b/>
                <w:sz w:val="21"/>
              </w:rPr>
            </w:pPr>
            <w:r>
              <w:rPr>
                <w:rFonts w:ascii="Microsoft JhengHei" w:eastAsia="Microsoft JhengHei" w:hint="eastAsia"/>
                <w:b/>
                <w:sz w:val="21"/>
              </w:rPr>
              <w:t>全残豁免保险费申请</w:t>
            </w:r>
          </w:p>
        </w:tc>
        <w:tc>
          <w:tcPr>
            <w:tcW w:w="6134" w:type="dxa"/>
          </w:tcPr>
          <w:p>
            <w:pPr>
              <w:pStyle w:val="TableParagraph"/>
              <w:spacing w:line="273" w:lineRule="auto" w:before="150"/>
              <w:ind w:left="166" w:right="68"/>
              <w:rPr>
                <w:sz w:val="21"/>
              </w:rPr>
            </w:pPr>
            <w:r>
              <w:rPr>
                <w:sz w:val="21"/>
              </w:rPr>
              <w:t>申请全残豁免保险费的，申请人须填写豁免保险费申请书，并向我们提供下列资料：</w:t>
            </w:r>
          </w:p>
          <w:p>
            <w:pPr>
              <w:pStyle w:val="TableParagraph"/>
              <w:numPr>
                <w:ilvl w:val="0"/>
                <w:numId w:val="12"/>
              </w:numPr>
              <w:tabs>
                <w:tab w:pos="590" w:val="left" w:leader="none"/>
              </w:tabs>
              <w:spacing w:line="240" w:lineRule="auto" w:before="8" w:after="0"/>
              <w:ind w:left="589" w:right="0" w:hanging="423"/>
              <w:jc w:val="left"/>
              <w:rPr>
                <w:sz w:val="21"/>
              </w:rPr>
            </w:pPr>
            <w:r>
              <w:rPr>
                <w:spacing w:val="-1"/>
                <w:sz w:val="21"/>
              </w:rPr>
              <w:t>本附加合同；</w:t>
            </w:r>
          </w:p>
          <w:p>
            <w:pPr>
              <w:pStyle w:val="TableParagraph"/>
              <w:numPr>
                <w:ilvl w:val="0"/>
                <w:numId w:val="12"/>
              </w:numPr>
              <w:tabs>
                <w:tab w:pos="590" w:val="left" w:leader="none"/>
              </w:tabs>
              <w:spacing w:line="240" w:lineRule="auto" w:before="37" w:after="0"/>
              <w:ind w:left="589" w:right="0" w:hanging="423"/>
              <w:jc w:val="left"/>
              <w:rPr>
                <w:sz w:val="21"/>
              </w:rPr>
            </w:pPr>
            <w:r>
              <w:rPr>
                <w:spacing w:val="-2"/>
                <w:sz w:val="21"/>
              </w:rPr>
              <w:t>申请人的有效身份证件；</w:t>
            </w:r>
          </w:p>
          <w:p>
            <w:pPr>
              <w:pStyle w:val="TableParagraph"/>
              <w:numPr>
                <w:ilvl w:val="0"/>
                <w:numId w:val="12"/>
              </w:numPr>
              <w:tabs>
                <w:tab w:pos="590" w:val="left" w:leader="none"/>
              </w:tabs>
              <w:spacing w:line="273" w:lineRule="auto" w:before="36" w:after="0"/>
              <w:ind w:left="589" w:right="83" w:hanging="423"/>
              <w:jc w:val="left"/>
              <w:rPr>
                <w:sz w:val="21"/>
              </w:rPr>
            </w:pPr>
            <w:r>
              <w:rPr>
                <w:spacing w:val="2"/>
                <w:sz w:val="21"/>
              </w:rPr>
              <w:t>国家有关机关认可或具有合法资质的伤残鉴定机构出具的</w:t>
            </w:r>
            <w:r>
              <w:rPr>
                <w:spacing w:val="-1"/>
                <w:sz w:val="21"/>
              </w:rPr>
              <w:t>全残鉴定证明；</w:t>
            </w:r>
          </w:p>
          <w:p>
            <w:pPr>
              <w:pStyle w:val="TableParagraph"/>
              <w:numPr>
                <w:ilvl w:val="0"/>
                <w:numId w:val="12"/>
              </w:numPr>
              <w:tabs>
                <w:tab w:pos="590" w:val="left" w:leader="none"/>
              </w:tabs>
              <w:spacing w:line="273" w:lineRule="auto" w:before="7" w:after="0"/>
              <w:ind w:left="589" w:right="99" w:hanging="423"/>
              <w:jc w:val="left"/>
              <w:rPr>
                <w:sz w:val="21"/>
              </w:rPr>
            </w:pPr>
            <w:r>
              <w:rPr>
                <w:spacing w:val="-5"/>
                <w:sz w:val="21"/>
              </w:rPr>
              <w:t>被保险人因意外伤害导致全残的，需提供相关意外伤害的证明和资料；</w:t>
            </w:r>
          </w:p>
          <w:p>
            <w:pPr>
              <w:pStyle w:val="TableParagraph"/>
              <w:numPr>
                <w:ilvl w:val="0"/>
                <w:numId w:val="12"/>
              </w:numPr>
              <w:tabs>
                <w:tab w:pos="590" w:val="left" w:leader="none"/>
              </w:tabs>
              <w:spacing w:line="273" w:lineRule="auto" w:before="8" w:after="0"/>
              <w:ind w:left="589" w:right="100" w:hanging="423"/>
              <w:jc w:val="left"/>
              <w:rPr>
                <w:sz w:val="21"/>
              </w:rPr>
            </w:pPr>
            <w:r>
              <w:rPr>
                <w:spacing w:val="1"/>
                <w:sz w:val="21"/>
              </w:rPr>
              <w:t>所能提供的与确认保险事故的性质、原因等有关的其他资料。</w:t>
            </w:r>
          </w:p>
        </w:tc>
      </w:tr>
      <w:tr>
        <w:trPr>
          <w:trHeight w:val="943" w:hRule="atLeast"/>
        </w:trPr>
        <w:tc>
          <w:tcPr>
            <w:tcW w:w="686" w:type="dxa"/>
          </w:tcPr>
          <w:p>
            <w:pPr>
              <w:pStyle w:val="TableParagraph"/>
              <w:ind w:left="0"/>
              <w:rPr>
                <w:rFonts w:ascii="Times New Roman"/>
                <w:sz w:val="20"/>
              </w:rPr>
            </w:pPr>
          </w:p>
        </w:tc>
        <w:tc>
          <w:tcPr>
            <w:tcW w:w="1486" w:type="dxa"/>
          </w:tcPr>
          <w:p>
            <w:pPr>
              <w:pStyle w:val="TableParagraph"/>
              <w:spacing w:line="204" w:lineRule="auto" w:before="138"/>
              <w:ind w:left="264" w:right="163"/>
              <w:rPr>
                <w:rFonts w:ascii="Microsoft JhengHei" w:eastAsia="Microsoft JhengHei" w:hint="eastAsia"/>
                <w:b/>
                <w:sz w:val="21"/>
              </w:rPr>
            </w:pPr>
            <w:r>
              <w:rPr>
                <w:rFonts w:ascii="Microsoft JhengHei" w:eastAsia="Microsoft JhengHei" w:hint="eastAsia"/>
                <w:b/>
                <w:sz w:val="21"/>
              </w:rPr>
              <w:t>特别注意事项</w:t>
            </w:r>
          </w:p>
        </w:tc>
        <w:tc>
          <w:tcPr>
            <w:tcW w:w="6134" w:type="dxa"/>
          </w:tcPr>
          <w:p>
            <w:pPr>
              <w:pStyle w:val="TableParagraph"/>
              <w:spacing w:line="273" w:lineRule="auto" w:before="150"/>
              <w:ind w:left="166" w:right="55"/>
              <w:rPr>
                <w:sz w:val="21"/>
              </w:rPr>
            </w:pPr>
            <w:r>
              <w:rPr>
                <w:sz w:val="21"/>
              </w:rPr>
              <w:t>以上证明和资料不完整的，我们将及时一次性通知您或者被豁免合同的被保险人、受益人补充提供有关的证明和资料。</w:t>
            </w:r>
          </w:p>
        </w:tc>
      </w:tr>
      <w:tr>
        <w:trPr>
          <w:trHeight w:val="3140" w:hRule="atLeast"/>
        </w:trPr>
        <w:tc>
          <w:tcPr>
            <w:tcW w:w="686" w:type="dxa"/>
          </w:tcPr>
          <w:p>
            <w:pPr>
              <w:pStyle w:val="TableParagraph"/>
              <w:spacing w:before="90"/>
              <w:ind w:left="105"/>
              <w:rPr>
                <w:rFonts w:ascii="Microsoft JhengHei"/>
                <w:b/>
                <w:sz w:val="21"/>
              </w:rPr>
            </w:pPr>
            <w:r>
              <w:rPr>
                <w:rFonts w:ascii="Microsoft JhengHei"/>
                <w:b/>
                <w:w w:val="105"/>
                <w:sz w:val="21"/>
              </w:rPr>
              <w:t>3.4</w:t>
            </w:r>
          </w:p>
        </w:tc>
        <w:tc>
          <w:tcPr>
            <w:tcW w:w="1486" w:type="dxa"/>
          </w:tcPr>
          <w:p>
            <w:pPr>
              <w:pStyle w:val="TableParagraph"/>
              <w:spacing w:line="201" w:lineRule="auto" w:before="149"/>
              <w:ind w:left="264" w:right="163"/>
              <w:rPr>
                <w:rFonts w:ascii="Microsoft JhengHei" w:eastAsia="Microsoft JhengHei" w:hint="eastAsia"/>
                <w:b/>
                <w:sz w:val="21"/>
              </w:rPr>
            </w:pPr>
            <w:r>
              <w:rPr>
                <w:rFonts w:ascii="Microsoft JhengHei" w:eastAsia="Microsoft JhengHei" w:hint="eastAsia"/>
                <w:b/>
                <w:sz w:val="21"/>
              </w:rPr>
              <w:t>保险费的豁免</w:t>
            </w:r>
          </w:p>
        </w:tc>
        <w:tc>
          <w:tcPr>
            <w:tcW w:w="6134" w:type="dxa"/>
          </w:tcPr>
          <w:p>
            <w:pPr>
              <w:pStyle w:val="TableParagraph"/>
              <w:spacing w:line="261" w:lineRule="auto" w:before="132"/>
              <w:ind w:left="646" w:right="18" w:hanging="481"/>
              <w:rPr>
                <w:sz w:val="21"/>
              </w:rPr>
            </w:pPr>
            <w:r>
              <w:rPr>
                <w:sz w:val="24"/>
              </w:rPr>
              <w:t>一、</w:t>
            </w:r>
            <w:r>
              <w:rPr>
                <w:spacing w:val="-5"/>
                <w:sz w:val="21"/>
              </w:rPr>
              <w:t>我们在收到豁免保险费申请书及本附加合同约定的资料后， 将在</w:t>
            </w:r>
            <w:r>
              <w:rPr>
                <w:rFonts w:ascii="Cambria" w:eastAsia="Cambria"/>
                <w:spacing w:val="-5"/>
                <w:sz w:val="21"/>
              </w:rPr>
              <w:t>5</w:t>
            </w:r>
            <w:r>
              <w:rPr>
                <w:spacing w:val="-5"/>
                <w:sz w:val="21"/>
              </w:rPr>
              <w:t>日内作出核定；情形复杂的，在</w:t>
            </w:r>
            <w:r>
              <w:rPr>
                <w:rFonts w:ascii="Cambria" w:eastAsia="Cambria"/>
                <w:sz w:val="21"/>
              </w:rPr>
              <w:t>30</w:t>
            </w:r>
            <w:r>
              <w:rPr>
                <w:spacing w:val="-4"/>
                <w:sz w:val="21"/>
              </w:rPr>
              <w:t>日内作出核定。对</w:t>
            </w:r>
            <w:r>
              <w:rPr>
                <w:spacing w:val="-12"/>
                <w:sz w:val="21"/>
              </w:rPr>
              <w:t>属于保险责任的，我们在与受益人或主合同的被保险人达成</w:t>
            </w:r>
            <w:r>
              <w:rPr>
                <w:spacing w:val="-2"/>
                <w:sz w:val="21"/>
              </w:rPr>
              <w:t>豁免保险费的协议后</w:t>
            </w:r>
            <w:r>
              <w:rPr>
                <w:rFonts w:ascii="Cambria" w:eastAsia="Cambria"/>
                <w:sz w:val="21"/>
              </w:rPr>
              <w:t>10</w:t>
            </w:r>
            <w:r>
              <w:rPr>
                <w:spacing w:val="-4"/>
                <w:sz w:val="21"/>
              </w:rPr>
              <w:t>日内，履行豁免保险费义务。</w:t>
            </w:r>
          </w:p>
          <w:p>
            <w:pPr>
              <w:pStyle w:val="TableParagraph"/>
              <w:spacing w:line="273" w:lineRule="auto"/>
              <w:ind w:left="589" w:right="56" w:hanging="423"/>
              <w:rPr>
                <w:sz w:val="21"/>
              </w:rPr>
            </w:pPr>
            <w:r>
              <w:rPr>
                <w:sz w:val="21"/>
              </w:rPr>
              <w:t>二、我们未及时履行前款规定义务的，除豁免保险费外，应当赔偿受益人因此受到的损失。</w:t>
            </w:r>
          </w:p>
          <w:p>
            <w:pPr>
              <w:pStyle w:val="TableParagraph"/>
              <w:spacing w:line="264" w:lineRule="auto" w:before="10"/>
              <w:ind w:left="589" w:right="98" w:hanging="423"/>
              <w:jc w:val="both"/>
              <w:rPr>
                <w:sz w:val="21"/>
              </w:rPr>
            </w:pPr>
            <w:r>
              <w:rPr>
                <w:spacing w:val="-8"/>
                <w:sz w:val="21"/>
              </w:rPr>
              <w:t>三、对不属于保险责任的，我们自作出核定之日起 </w:t>
            </w:r>
            <w:r>
              <w:rPr>
                <w:rFonts w:ascii="Times New Roman" w:eastAsia="Times New Roman"/>
                <w:sz w:val="21"/>
              </w:rPr>
              <w:t>3 </w:t>
            </w:r>
            <w:r>
              <w:rPr>
                <w:sz w:val="21"/>
              </w:rPr>
              <w:t>日内向受益</w:t>
            </w:r>
            <w:r>
              <w:rPr>
                <w:spacing w:val="1"/>
                <w:sz w:val="21"/>
              </w:rPr>
              <w:t>人或主合同的被保险人发出拒绝豁免保险费通知书并说明理由。</w:t>
            </w:r>
          </w:p>
        </w:tc>
      </w:tr>
      <w:tr>
        <w:trPr>
          <w:trHeight w:val="967" w:hRule="atLeast"/>
        </w:trPr>
        <w:tc>
          <w:tcPr>
            <w:tcW w:w="686" w:type="dxa"/>
          </w:tcPr>
          <w:p>
            <w:pPr>
              <w:pStyle w:val="TableParagraph"/>
              <w:spacing w:before="85"/>
              <w:ind w:left="105"/>
              <w:rPr>
                <w:rFonts w:ascii="Microsoft JhengHei"/>
                <w:b/>
                <w:sz w:val="21"/>
              </w:rPr>
            </w:pPr>
            <w:r>
              <w:rPr>
                <w:rFonts w:ascii="Microsoft JhengHei"/>
                <w:b/>
                <w:w w:val="105"/>
                <w:sz w:val="21"/>
              </w:rPr>
              <w:t>3.5</w:t>
            </w:r>
          </w:p>
        </w:tc>
        <w:tc>
          <w:tcPr>
            <w:tcW w:w="1486" w:type="dxa"/>
          </w:tcPr>
          <w:p>
            <w:pPr>
              <w:pStyle w:val="TableParagraph"/>
              <w:spacing w:before="85"/>
              <w:ind w:left="264"/>
              <w:rPr>
                <w:rFonts w:ascii="Microsoft JhengHei" w:eastAsia="Microsoft JhengHei" w:hint="eastAsia"/>
                <w:b/>
                <w:sz w:val="21"/>
              </w:rPr>
            </w:pPr>
            <w:r>
              <w:rPr>
                <w:rFonts w:ascii="Microsoft JhengHei" w:eastAsia="Microsoft JhengHei" w:hint="eastAsia"/>
                <w:b/>
                <w:sz w:val="21"/>
              </w:rPr>
              <w:t>诉讼时效</w:t>
            </w:r>
          </w:p>
        </w:tc>
        <w:tc>
          <w:tcPr>
            <w:tcW w:w="6134" w:type="dxa"/>
          </w:tcPr>
          <w:p>
            <w:pPr>
              <w:pStyle w:val="TableParagraph"/>
              <w:spacing w:line="268" w:lineRule="auto" w:before="152"/>
              <w:ind w:left="166" w:right="98"/>
              <w:rPr>
                <w:sz w:val="21"/>
              </w:rPr>
            </w:pPr>
            <w:r>
              <w:rPr>
                <w:spacing w:val="-6"/>
                <w:sz w:val="21"/>
              </w:rPr>
              <w:t>权利人向我们申请豁免保险费的诉讼时效期间为 </w:t>
            </w:r>
            <w:r>
              <w:rPr>
                <w:sz w:val="21"/>
              </w:rPr>
              <w:t>2</w:t>
            </w:r>
            <w:r>
              <w:rPr>
                <w:spacing w:val="-10"/>
                <w:sz w:val="21"/>
              </w:rPr>
              <w:t> 年，自其知道</w:t>
            </w:r>
            <w:r>
              <w:rPr>
                <w:spacing w:val="-7"/>
                <w:sz w:val="21"/>
              </w:rPr>
              <w:t>或者应当知道保险事故发生之日起计算。</w:t>
            </w:r>
          </w:p>
        </w:tc>
      </w:tr>
      <w:tr>
        <w:trPr>
          <w:trHeight w:val="558" w:hRule="atLeast"/>
        </w:trPr>
        <w:tc>
          <w:tcPr>
            <w:tcW w:w="686" w:type="dxa"/>
            <w:tcBorders>
              <w:bottom w:val="single" w:sz="8" w:space="0" w:color="000000"/>
            </w:tcBorders>
          </w:tcPr>
          <w:p>
            <w:pPr>
              <w:pStyle w:val="TableParagraph"/>
              <w:spacing w:before="82"/>
              <w:ind w:left="105"/>
              <w:rPr>
                <w:rFonts w:ascii="Microsoft JhengHei"/>
                <w:b/>
                <w:sz w:val="24"/>
              </w:rPr>
            </w:pPr>
            <w:r>
              <w:rPr>
                <w:rFonts w:ascii="Microsoft JhengHei"/>
                <w:b/>
                <w:w w:val="120"/>
                <w:sz w:val="24"/>
              </w:rPr>
              <w:t>4.</w:t>
            </w:r>
          </w:p>
        </w:tc>
        <w:tc>
          <w:tcPr>
            <w:tcW w:w="7620" w:type="dxa"/>
            <w:gridSpan w:val="2"/>
            <w:tcBorders>
              <w:bottom w:val="single" w:sz="8" w:space="0" w:color="000000"/>
            </w:tcBorders>
          </w:tcPr>
          <w:p>
            <w:pPr>
              <w:pStyle w:val="TableParagraph"/>
              <w:spacing w:before="82"/>
              <w:ind w:left="264"/>
              <w:rPr>
                <w:rFonts w:ascii="Microsoft JhengHei" w:eastAsia="Microsoft JhengHei" w:hint="eastAsia"/>
                <w:b/>
                <w:sz w:val="24"/>
              </w:rPr>
            </w:pPr>
            <w:r>
              <w:rPr>
                <w:rFonts w:ascii="Microsoft JhengHei" w:eastAsia="Microsoft JhengHei" w:hint="eastAsia"/>
                <w:b/>
                <w:sz w:val="24"/>
              </w:rPr>
              <w:t>保险费的交纳</w:t>
            </w:r>
          </w:p>
        </w:tc>
      </w:tr>
      <w:tr>
        <w:trPr>
          <w:trHeight w:val="1873" w:hRule="atLeast"/>
        </w:trPr>
        <w:tc>
          <w:tcPr>
            <w:tcW w:w="686"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4.1</w:t>
            </w:r>
          </w:p>
        </w:tc>
        <w:tc>
          <w:tcPr>
            <w:tcW w:w="1486" w:type="dxa"/>
            <w:tcBorders>
              <w:top w:val="single" w:sz="8" w:space="0" w:color="000000"/>
            </w:tcBorders>
          </w:tcPr>
          <w:p>
            <w:pPr>
              <w:pStyle w:val="TableParagraph"/>
              <w:spacing w:before="5"/>
              <w:ind w:left="0"/>
              <w:rPr>
                <w:sz w:val="21"/>
              </w:rPr>
            </w:pPr>
          </w:p>
          <w:p>
            <w:pPr>
              <w:pStyle w:val="TableParagraph"/>
              <w:spacing w:line="204" w:lineRule="auto"/>
              <w:ind w:left="264" w:right="163"/>
              <w:rPr>
                <w:rFonts w:ascii="Microsoft JhengHei" w:eastAsia="Microsoft JhengHei" w:hint="eastAsia"/>
                <w:b/>
                <w:sz w:val="21"/>
              </w:rPr>
            </w:pPr>
            <w:r>
              <w:rPr>
                <w:rFonts w:ascii="Microsoft JhengHei" w:eastAsia="Microsoft JhengHei" w:hint="eastAsia"/>
                <w:b/>
                <w:sz w:val="21"/>
              </w:rPr>
              <w:t>保险费的交纳</w:t>
            </w:r>
          </w:p>
        </w:tc>
        <w:tc>
          <w:tcPr>
            <w:tcW w:w="6134" w:type="dxa"/>
            <w:tcBorders>
              <w:top w:val="single" w:sz="8" w:space="0" w:color="000000"/>
            </w:tcBorders>
          </w:tcPr>
          <w:p>
            <w:pPr>
              <w:pStyle w:val="TableParagraph"/>
              <w:spacing w:before="4"/>
              <w:ind w:left="0"/>
              <w:rPr>
                <w:sz w:val="22"/>
              </w:rPr>
            </w:pPr>
          </w:p>
          <w:p>
            <w:pPr>
              <w:pStyle w:val="TableParagraph"/>
              <w:spacing w:line="273" w:lineRule="auto"/>
              <w:ind w:left="166" w:right="68"/>
              <w:rPr>
                <w:sz w:val="21"/>
              </w:rPr>
            </w:pPr>
            <w:r>
              <w:rPr>
                <w:sz w:val="21"/>
              </w:rPr>
              <w:t>本附加合同的交费方式和交费期间由您在投保时与我们约定，并在保险单上载明。</w:t>
            </w:r>
          </w:p>
          <w:p>
            <w:pPr>
              <w:pStyle w:val="TableParagraph"/>
              <w:spacing w:line="268" w:lineRule="auto" w:before="165"/>
              <w:ind w:left="166" w:right="68"/>
              <w:rPr>
                <w:sz w:val="21"/>
              </w:rPr>
            </w:pPr>
            <w:r>
              <w:rPr>
                <w:sz w:val="21"/>
              </w:rPr>
              <w:t>分期支付保险费的，在交纳首期保险费后，您应当在每个保险费约定交纳日交纳其余各期的保险费。</w:t>
            </w:r>
          </w:p>
        </w:tc>
      </w:tr>
      <w:tr>
        <w:trPr>
          <w:trHeight w:val="1983" w:hRule="atLeast"/>
        </w:trPr>
        <w:tc>
          <w:tcPr>
            <w:tcW w:w="686" w:type="dxa"/>
          </w:tcPr>
          <w:p>
            <w:pPr>
              <w:pStyle w:val="TableParagraph"/>
              <w:spacing w:before="85"/>
              <w:ind w:left="105"/>
              <w:rPr>
                <w:rFonts w:ascii="Microsoft JhengHei"/>
                <w:b/>
                <w:sz w:val="21"/>
              </w:rPr>
            </w:pPr>
            <w:r>
              <w:rPr>
                <w:rFonts w:ascii="Microsoft JhengHei"/>
                <w:b/>
                <w:w w:val="105"/>
                <w:sz w:val="21"/>
              </w:rPr>
              <w:t>4.2</w:t>
            </w:r>
          </w:p>
        </w:tc>
        <w:tc>
          <w:tcPr>
            <w:tcW w:w="1486" w:type="dxa"/>
          </w:tcPr>
          <w:p>
            <w:pPr>
              <w:pStyle w:val="TableParagraph"/>
              <w:spacing w:before="85"/>
              <w:ind w:left="264"/>
              <w:rPr>
                <w:rFonts w:ascii="Microsoft JhengHei" w:eastAsia="Microsoft JhengHei" w:hint="eastAsia"/>
                <w:b/>
                <w:sz w:val="21"/>
              </w:rPr>
            </w:pPr>
            <w:r>
              <w:rPr>
                <w:rFonts w:ascii="Microsoft JhengHei" w:eastAsia="Microsoft JhengHei" w:hint="eastAsia"/>
                <w:b/>
                <w:sz w:val="21"/>
              </w:rPr>
              <w:t>宽限期</w:t>
            </w:r>
          </w:p>
        </w:tc>
        <w:tc>
          <w:tcPr>
            <w:tcW w:w="6134" w:type="dxa"/>
          </w:tcPr>
          <w:p>
            <w:pPr>
              <w:pStyle w:val="TableParagraph"/>
              <w:spacing w:line="271" w:lineRule="auto" w:before="152"/>
              <w:ind w:left="166" w:right="98"/>
              <w:jc w:val="both"/>
              <w:rPr>
                <w:sz w:val="21"/>
              </w:rPr>
            </w:pPr>
            <w:r>
              <w:rPr>
                <w:spacing w:val="-6"/>
                <w:sz w:val="21"/>
              </w:rPr>
              <w:t>分期支付保险费的，在交纳首期保险费后，如果您到期未交纳保</w:t>
            </w:r>
            <w:r>
              <w:rPr>
                <w:spacing w:val="-5"/>
                <w:sz w:val="21"/>
              </w:rPr>
              <w:t>险费，自保险费约定交纳日的次日零时起 </w:t>
            </w:r>
            <w:r>
              <w:rPr>
                <w:sz w:val="21"/>
              </w:rPr>
              <w:t>60</w:t>
            </w:r>
            <w:r>
              <w:rPr>
                <w:spacing w:val="-2"/>
                <w:sz w:val="21"/>
              </w:rPr>
              <w:t> 日为保险费交纳的</w:t>
            </w:r>
            <w:r>
              <w:rPr>
                <w:spacing w:val="-5"/>
                <w:sz w:val="21"/>
              </w:rPr>
              <w:t>宽限期。宽限期内发生的保险事故，我们仍承担保险责任，但在给付保险金时会扣除您欠交的保险费。</w:t>
            </w:r>
          </w:p>
          <w:p>
            <w:pPr>
              <w:pStyle w:val="TableParagraph"/>
              <w:spacing w:line="312" w:lineRule="exact" w:before="5"/>
              <w:ind w:left="166" w:right="100"/>
              <w:jc w:val="both"/>
              <w:rPr>
                <w:sz w:val="21"/>
              </w:rPr>
            </w:pPr>
            <w:r>
              <w:rPr>
                <w:spacing w:val="-5"/>
                <w:sz w:val="21"/>
              </w:rPr>
              <w:t>如果您在宽限期届满时仍未交纳保险费，则本附加合同自宽限期</w:t>
            </w:r>
            <w:r>
              <w:rPr>
                <w:spacing w:val="-13"/>
                <w:sz w:val="21"/>
              </w:rPr>
              <w:t>满日的 </w:t>
            </w:r>
            <w:r>
              <w:rPr>
                <w:sz w:val="21"/>
              </w:rPr>
              <w:t>24</w:t>
            </w:r>
            <w:r>
              <w:rPr>
                <w:spacing w:val="-8"/>
                <w:sz w:val="21"/>
              </w:rPr>
              <w:t> 时起效力终止，但本附加合同另有约定的除外。</w:t>
            </w:r>
          </w:p>
        </w:tc>
      </w:tr>
    </w:tbl>
    <w:p>
      <w:pPr>
        <w:spacing w:after="0" w:line="312" w:lineRule="exact"/>
        <w:jc w:val="both"/>
        <w:rPr>
          <w:sz w:val="21"/>
        </w:rPr>
        <w:sectPr>
          <w:pgSz w:w="11910" w:h="16840"/>
          <w:pgMar w:header="0" w:footer="150" w:top="74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5"/>
        <w:gridCol w:w="6134"/>
      </w:tblGrid>
      <w:tr>
        <w:trPr>
          <w:trHeight w:val="273" w:hRule="atLeast"/>
        </w:trPr>
        <w:tc>
          <w:tcPr>
            <w:tcW w:w="686" w:type="dxa"/>
            <w:tcBorders>
              <w:bottom w:val="single" w:sz="8" w:space="0" w:color="000000"/>
            </w:tcBorders>
          </w:tcPr>
          <w:p>
            <w:pPr>
              <w:pStyle w:val="TableParagraph"/>
              <w:spacing w:line="253" w:lineRule="exact"/>
              <w:ind w:left="105"/>
              <w:rPr>
                <w:rFonts w:ascii="Microsoft JhengHei"/>
                <w:b/>
                <w:sz w:val="24"/>
              </w:rPr>
            </w:pPr>
            <w:r>
              <w:rPr>
                <w:rFonts w:ascii="Microsoft JhengHei"/>
                <w:b/>
                <w:w w:val="83"/>
                <w:sz w:val="24"/>
              </w:rPr>
              <w:t>5</w:t>
            </w:r>
            <w:r>
              <w:rPr>
                <w:rFonts w:ascii="Microsoft JhengHei"/>
                <w:b/>
                <w:w w:val="196"/>
                <w:sz w:val="24"/>
              </w:rPr>
              <w:t>.</w:t>
            </w:r>
          </w:p>
        </w:tc>
        <w:tc>
          <w:tcPr>
            <w:tcW w:w="1485" w:type="dxa"/>
            <w:tcBorders>
              <w:bottom w:val="single" w:sz="8" w:space="0" w:color="000000"/>
            </w:tcBorders>
          </w:tcPr>
          <w:p>
            <w:pPr>
              <w:pStyle w:val="TableParagraph"/>
              <w:spacing w:line="253" w:lineRule="exact"/>
              <w:ind w:left="264"/>
              <w:rPr>
                <w:rFonts w:ascii="Microsoft JhengHei" w:eastAsia="Microsoft JhengHei" w:hint="eastAsia"/>
                <w:b/>
                <w:sz w:val="24"/>
              </w:rPr>
            </w:pPr>
            <w:r>
              <w:rPr>
                <w:rFonts w:ascii="Microsoft JhengHei" w:eastAsia="Microsoft JhengHei" w:hint="eastAsia"/>
                <w:b/>
                <w:sz w:val="24"/>
              </w:rPr>
              <w:t>合同解除</w:t>
            </w:r>
          </w:p>
        </w:tc>
        <w:tc>
          <w:tcPr>
            <w:tcW w:w="6134" w:type="dxa"/>
            <w:tcBorders>
              <w:bottom w:val="single" w:sz="8" w:space="0" w:color="000000"/>
            </w:tcBorders>
          </w:tcPr>
          <w:p>
            <w:pPr>
              <w:pStyle w:val="TableParagraph"/>
              <w:ind w:left="0"/>
              <w:rPr>
                <w:rFonts w:ascii="Times New Roman"/>
                <w:sz w:val="20"/>
              </w:rPr>
            </w:pPr>
          </w:p>
        </w:tc>
      </w:tr>
      <w:tr>
        <w:trPr>
          <w:trHeight w:val="3274" w:hRule="atLeast"/>
        </w:trPr>
        <w:tc>
          <w:tcPr>
            <w:tcW w:w="686" w:type="dxa"/>
            <w:tcBorders>
              <w:top w:val="single" w:sz="8" w:space="0" w:color="000000"/>
            </w:tcBorders>
          </w:tcPr>
          <w:p>
            <w:pPr>
              <w:pStyle w:val="TableParagraph"/>
              <w:spacing w:before="7"/>
              <w:ind w:left="0"/>
              <w:rPr>
                <w:sz w:val="17"/>
              </w:rPr>
            </w:pPr>
          </w:p>
          <w:p>
            <w:pPr>
              <w:pStyle w:val="TableParagraph"/>
              <w:ind w:left="105"/>
              <w:rPr>
                <w:rFonts w:ascii="Microsoft JhengHei"/>
                <w:b/>
                <w:sz w:val="21"/>
              </w:rPr>
            </w:pPr>
            <w:r>
              <w:rPr>
                <w:rFonts w:ascii="Microsoft JhengHei"/>
                <w:b/>
                <w:w w:val="105"/>
                <w:sz w:val="21"/>
              </w:rPr>
              <w:t>5.1</w:t>
            </w:r>
          </w:p>
        </w:tc>
        <w:tc>
          <w:tcPr>
            <w:tcW w:w="1485" w:type="dxa"/>
            <w:tcBorders>
              <w:top w:val="single" w:sz="8" w:space="0" w:color="000000"/>
            </w:tcBorders>
          </w:tcPr>
          <w:p>
            <w:pPr>
              <w:pStyle w:val="TableParagraph"/>
              <w:spacing w:before="9"/>
              <w:ind w:left="0"/>
              <w:rPr>
                <w:sz w:val="21"/>
              </w:rPr>
            </w:pPr>
          </w:p>
          <w:p>
            <w:pPr>
              <w:pStyle w:val="TableParagraph"/>
              <w:spacing w:line="204" w:lineRule="auto" w:before="1"/>
              <w:ind w:left="264" w:right="162"/>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134" w:type="dxa"/>
            <w:tcBorders>
              <w:top w:val="single" w:sz="8" w:space="0" w:color="000000"/>
            </w:tcBorders>
          </w:tcPr>
          <w:p>
            <w:pPr>
              <w:pStyle w:val="TableParagraph"/>
              <w:spacing w:before="8"/>
              <w:ind w:left="0"/>
              <w:rPr>
                <w:sz w:val="22"/>
              </w:rPr>
            </w:pPr>
          </w:p>
          <w:p>
            <w:pPr>
              <w:pStyle w:val="TableParagraph"/>
              <w:spacing w:line="268" w:lineRule="auto" w:before="1"/>
              <w:ind w:left="167" w:right="54"/>
              <w:rPr>
                <w:sz w:val="21"/>
              </w:rPr>
            </w:pPr>
            <w:r>
              <w:rPr>
                <w:sz w:val="21"/>
              </w:rPr>
              <w:t>如果被保险人未发生保险事故，且您在犹豫期后要求解除本附加合同，请填写解除合同申请书并向我们提供下列资料的原件：</w:t>
            </w:r>
          </w:p>
          <w:p>
            <w:pPr>
              <w:pStyle w:val="TableParagraph"/>
              <w:numPr>
                <w:ilvl w:val="0"/>
                <w:numId w:val="13"/>
              </w:numPr>
              <w:tabs>
                <w:tab w:pos="591" w:val="left" w:leader="none"/>
              </w:tabs>
              <w:spacing w:line="240" w:lineRule="auto" w:before="12" w:after="0"/>
              <w:ind w:left="590" w:right="0" w:hanging="423"/>
              <w:jc w:val="left"/>
              <w:rPr>
                <w:sz w:val="21"/>
              </w:rPr>
            </w:pPr>
            <w:r>
              <w:rPr>
                <w:spacing w:val="-1"/>
                <w:sz w:val="21"/>
              </w:rPr>
              <w:t>本附加合同；</w:t>
            </w:r>
          </w:p>
          <w:p>
            <w:pPr>
              <w:pStyle w:val="TableParagraph"/>
              <w:numPr>
                <w:ilvl w:val="0"/>
                <w:numId w:val="13"/>
              </w:numPr>
              <w:tabs>
                <w:tab w:pos="591" w:val="left" w:leader="none"/>
              </w:tabs>
              <w:spacing w:line="240" w:lineRule="auto" w:before="37" w:after="0"/>
              <w:ind w:left="590" w:right="0" w:hanging="423"/>
              <w:jc w:val="left"/>
              <w:rPr>
                <w:sz w:val="21"/>
              </w:rPr>
            </w:pPr>
            <w:r>
              <w:rPr>
                <w:spacing w:val="-1"/>
                <w:sz w:val="21"/>
              </w:rPr>
              <w:t>您的有效身份证件。</w:t>
            </w:r>
          </w:p>
          <w:p>
            <w:pPr>
              <w:pStyle w:val="TableParagraph"/>
              <w:spacing w:before="11"/>
              <w:ind w:left="0"/>
              <w:rPr>
                <w:sz w:val="14"/>
              </w:rPr>
            </w:pPr>
          </w:p>
          <w:p>
            <w:pPr>
              <w:pStyle w:val="TableParagraph"/>
              <w:spacing w:line="273" w:lineRule="auto"/>
              <w:ind w:left="167" w:right="97"/>
              <w:jc w:val="both"/>
              <w:rPr>
                <w:sz w:val="21"/>
              </w:rPr>
            </w:pPr>
            <w:r>
              <w:rPr>
                <w:spacing w:val="-6"/>
                <w:sz w:val="21"/>
              </w:rPr>
              <w:t>自我们收到解除合同申请书时起，本附加合同终止。我们自收到</w:t>
            </w:r>
            <w:r>
              <w:rPr>
                <w:spacing w:val="-4"/>
                <w:sz w:val="21"/>
              </w:rPr>
              <w:t>解除合同申请书之日起 </w:t>
            </w:r>
            <w:r>
              <w:rPr>
                <w:sz w:val="21"/>
              </w:rPr>
              <w:t>30</w:t>
            </w:r>
            <w:r>
              <w:rPr>
                <w:spacing w:val="-3"/>
                <w:sz w:val="21"/>
              </w:rPr>
              <w:t> 日内向您退还本附加合同终止时的现金价值。</w:t>
            </w:r>
          </w:p>
          <w:p>
            <w:pPr>
              <w:pStyle w:val="TableParagraph"/>
              <w:spacing w:before="166"/>
              <w:ind w:left="167"/>
              <w:jc w:val="both"/>
              <w:rPr>
                <w:sz w:val="21"/>
              </w:rPr>
            </w:pPr>
            <w:r>
              <w:rPr>
                <w:sz w:val="21"/>
              </w:rPr>
              <w:t>您在犹豫期后解除合同会遭受一定损失。</w:t>
            </w:r>
          </w:p>
        </w:tc>
      </w:tr>
      <w:tr>
        <w:trPr>
          <w:trHeight w:val="479" w:hRule="atLeast"/>
        </w:trPr>
        <w:tc>
          <w:tcPr>
            <w:tcW w:w="686" w:type="dxa"/>
            <w:tcBorders>
              <w:bottom w:val="single" w:sz="8" w:space="0" w:color="000000"/>
            </w:tcBorders>
          </w:tcPr>
          <w:p>
            <w:pPr>
              <w:pStyle w:val="TableParagraph"/>
              <w:spacing w:line="403" w:lineRule="exact" w:before="55"/>
              <w:ind w:left="105"/>
              <w:rPr>
                <w:rFonts w:ascii="Microsoft JhengHei"/>
                <w:b/>
                <w:sz w:val="24"/>
              </w:rPr>
            </w:pPr>
            <w:r>
              <w:rPr>
                <w:rFonts w:ascii="Microsoft JhengHei"/>
                <w:b/>
                <w:w w:val="83"/>
                <w:sz w:val="24"/>
              </w:rPr>
              <w:t>6</w:t>
            </w:r>
            <w:r>
              <w:rPr>
                <w:rFonts w:ascii="Microsoft JhengHei"/>
                <w:b/>
                <w:w w:val="196"/>
                <w:sz w:val="24"/>
              </w:rPr>
              <w:t>.</w:t>
            </w:r>
          </w:p>
        </w:tc>
        <w:tc>
          <w:tcPr>
            <w:tcW w:w="7619" w:type="dxa"/>
            <w:gridSpan w:val="2"/>
            <w:tcBorders>
              <w:bottom w:val="single" w:sz="8" w:space="0" w:color="000000"/>
            </w:tcBorders>
          </w:tcPr>
          <w:p>
            <w:pPr>
              <w:pStyle w:val="TableParagraph"/>
              <w:spacing w:line="403" w:lineRule="exact" w:before="55"/>
              <w:ind w:left="264"/>
              <w:rPr>
                <w:rFonts w:ascii="Microsoft JhengHei" w:eastAsia="Microsoft JhengHei" w:hint="eastAsia"/>
                <w:b/>
                <w:sz w:val="24"/>
              </w:rPr>
            </w:pPr>
            <w:r>
              <w:rPr>
                <w:rFonts w:ascii="Microsoft JhengHei" w:eastAsia="Microsoft JhengHei" w:hint="eastAsia"/>
                <w:b/>
                <w:sz w:val="24"/>
              </w:rPr>
              <w:t>其它需要关注的事项</w:t>
            </w:r>
          </w:p>
        </w:tc>
      </w:tr>
      <w:tr>
        <w:trPr>
          <w:trHeight w:val="6242" w:hRule="atLeast"/>
        </w:trPr>
        <w:tc>
          <w:tcPr>
            <w:tcW w:w="686"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485" w:type="dxa"/>
            <w:tcBorders>
              <w:top w:val="single" w:sz="8" w:space="0" w:color="000000"/>
            </w:tcBorders>
          </w:tcPr>
          <w:p>
            <w:pPr>
              <w:pStyle w:val="TableParagraph"/>
              <w:spacing w:before="1"/>
              <w:ind w:left="0"/>
              <w:rPr>
                <w:sz w:val="21"/>
              </w:rPr>
            </w:pPr>
          </w:p>
          <w:p>
            <w:pPr>
              <w:pStyle w:val="TableParagraph"/>
              <w:spacing w:line="206" w:lineRule="auto"/>
              <w:ind w:left="264" w:right="162"/>
              <w:rPr>
                <w:rFonts w:ascii="Microsoft JhengHei" w:eastAsia="Microsoft JhengHei" w:hint="eastAsia"/>
                <w:b/>
                <w:sz w:val="21"/>
              </w:rPr>
            </w:pPr>
            <w:r>
              <w:rPr>
                <w:rFonts w:ascii="Microsoft JhengHei" w:eastAsia="Microsoft JhengHei" w:hint="eastAsia"/>
                <w:b/>
                <w:sz w:val="21"/>
              </w:rPr>
              <w:t>明确说明与如实告知</w:t>
            </w:r>
          </w:p>
        </w:tc>
        <w:tc>
          <w:tcPr>
            <w:tcW w:w="6134" w:type="dxa"/>
            <w:tcBorders>
              <w:top w:val="single" w:sz="8" w:space="0" w:color="000000"/>
            </w:tcBorders>
          </w:tcPr>
          <w:p>
            <w:pPr>
              <w:pStyle w:val="TableParagraph"/>
              <w:spacing w:before="4"/>
              <w:ind w:left="0"/>
              <w:rPr>
                <w:sz w:val="22"/>
              </w:rPr>
            </w:pPr>
          </w:p>
          <w:p>
            <w:pPr>
              <w:pStyle w:val="TableParagraph"/>
              <w:spacing w:line="273" w:lineRule="auto"/>
              <w:ind w:left="167" w:right="80"/>
              <w:jc w:val="both"/>
              <w:rPr>
                <w:sz w:val="21"/>
              </w:rPr>
            </w:pPr>
            <w:r>
              <w:rPr>
                <w:sz w:val="21"/>
              </w:rPr>
              <w:t>订立本附加合同时，我们应当向您说明本附加合同的内容。对本附加合同中免除我们责任的条款，我们在订立附加合同时应当在投保单、保险单或者其他保险凭证上作出足以引起您注意的提示，并对该条款的内容以书面或者口头形式向您作出明确说明， 未作提示或者明确说明的，该条款不产生效力。</w:t>
            </w:r>
          </w:p>
          <w:p>
            <w:pPr>
              <w:pStyle w:val="TableParagraph"/>
              <w:spacing w:before="166"/>
              <w:ind w:left="167"/>
              <w:rPr>
                <w:sz w:val="21"/>
              </w:rPr>
            </w:pPr>
            <w:r>
              <w:rPr>
                <w:sz w:val="21"/>
              </w:rPr>
              <w:t>我们会就您有关情况提出书面询问，您应当如实告知。</w:t>
            </w:r>
          </w:p>
          <w:p>
            <w:pPr>
              <w:pStyle w:val="TableParagraph"/>
              <w:spacing w:before="7"/>
              <w:ind w:left="0"/>
              <w:rPr>
                <w:sz w:val="14"/>
              </w:rPr>
            </w:pPr>
          </w:p>
          <w:p>
            <w:pPr>
              <w:pStyle w:val="TableParagraph"/>
              <w:spacing w:line="273" w:lineRule="auto"/>
              <w:ind w:left="167" w:right="98"/>
              <w:jc w:val="both"/>
              <w:rPr>
                <w:sz w:val="21"/>
              </w:rPr>
            </w:pPr>
            <w:r>
              <w:rPr>
                <w:spacing w:val="-6"/>
                <w:sz w:val="21"/>
              </w:rPr>
              <w:t>如果您故意或者因重大过失未履行前款约定的如实告知义务，足以影响我们决定是否同意承保或者提高保险费率的，我们有权解</w:t>
            </w:r>
            <w:r>
              <w:rPr>
                <w:spacing w:val="-5"/>
                <w:sz w:val="21"/>
              </w:rPr>
              <w:t>除本附加合同。</w:t>
            </w:r>
          </w:p>
          <w:p>
            <w:pPr>
              <w:pStyle w:val="TableParagraph"/>
              <w:spacing w:line="268" w:lineRule="auto" w:before="166"/>
              <w:ind w:left="167" w:right="97"/>
              <w:jc w:val="both"/>
              <w:rPr>
                <w:sz w:val="21"/>
              </w:rPr>
            </w:pPr>
            <w:r>
              <w:rPr>
                <w:spacing w:val="-5"/>
                <w:sz w:val="21"/>
              </w:rPr>
              <w:t>如果您故意不履行如实告知义务，对于本附加合同解除前发</w:t>
            </w:r>
            <w:r>
              <w:rPr>
                <w:sz w:val="21"/>
              </w:rPr>
              <w:t>Th的</w:t>
            </w:r>
            <w:r>
              <w:rPr>
                <w:spacing w:val="-5"/>
                <w:sz w:val="21"/>
              </w:rPr>
              <w:t>保险事故，我们不承担豁免保险费的责任，并不退还保险费。</w:t>
            </w:r>
          </w:p>
          <w:p>
            <w:pPr>
              <w:pStyle w:val="TableParagraph"/>
              <w:spacing w:line="273" w:lineRule="auto" w:before="170"/>
              <w:ind w:left="167" w:right="98"/>
              <w:jc w:val="both"/>
              <w:rPr>
                <w:sz w:val="21"/>
              </w:rPr>
            </w:pPr>
            <w:r>
              <w:rPr>
                <w:spacing w:val="-5"/>
                <w:sz w:val="21"/>
              </w:rPr>
              <w:t>如果您因重大过失未履行如实告知义务，对保险事故的发</w:t>
            </w:r>
            <w:r>
              <w:rPr>
                <w:sz w:val="21"/>
              </w:rPr>
              <w:t>Th有严</w:t>
            </w:r>
            <w:r>
              <w:rPr>
                <w:spacing w:val="-5"/>
                <w:sz w:val="21"/>
              </w:rPr>
              <w:t>重影响的，对于本附加合同解除前发</w:t>
            </w:r>
            <w:r>
              <w:rPr>
                <w:spacing w:val="-3"/>
                <w:sz w:val="21"/>
              </w:rPr>
              <w:t>Th</w:t>
            </w:r>
            <w:r>
              <w:rPr>
                <w:spacing w:val="-5"/>
                <w:sz w:val="21"/>
              </w:rPr>
              <w:t>的保险事故，我们不承担豁免保险费的责任，但应当向您退还保险费。</w:t>
            </w:r>
          </w:p>
          <w:p>
            <w:pPr>
              <w:pStyle w:val="TableParagraph"/>
              <w:spacing w:line="268" w:lineRule="auto" w:before="166"/>
              <w:ind w:left="167" w:right="77"/>
              <w:jc w:val="both"/>
              <w:rPr>
                <w:sz w:val="21"/>
              </w:rPr>
            </w:pPr>
            <w:r>
              <w:rPr>
                <w:sz w:val="21"/>
              </w:rPr>
              <w:t>我们在本附加合同订立时已经知道您未如实告知的情况的，我们不得解除合同；发生保险事故的，我们承担豁免保险费的责任。</w:t>
            </w:r>
          </w:p>
        </w:tc>
      </w:tr>
      <w:tr>
        <w:trPr>
          <w:trHeight w:val="1262" w:hRule="atLeast"/>
        </w:trPr>
        <w:tc>
          <w:tcPr>
            <w:tcW w:w="686" w:type="dxa"/>
          </w:tcPr>
          <w:p>
            <w:pPr>
              <w:pStyle w:val="TableParagraph"/>
              <w:spacing w:before="85"/>
              <w:ind w:left="105"/>
              <w:rPr>
                <w:rFonts w:ascii="Microsoft JhengHei"/>
                <w:b/>
                <w:sz w:val="21"/>
              </w:rPr>
            </w:pPr>
            <w:r>
              <w:rPr>
                <w:rFonts w:ascii="Microsoft JhengHei"/>
                <w:b/>
                <w:w w:val="105"/>
                <w:sz w:val="21"/>
              </w:rPr>
              <w:t>6.2</w:t>
            </w:r>
          </w:p>
        </w:tc>
        <w:tc>
          <w:tcPr>
            <w:tcW w:w="1485" w:type="dxa"/>
          </w:tcPr>
          <w:p>
            <w:pPr>
              <w:pStyle w:val="TableParagraph"/>
              <w:spacing w:line="201" w:lineRule="auto" w:before="144"/>
              <w:ind w:left="264" w:right="162"/>
              <w:rPr>
                <w:rFonts w:ascii="Microsoft JhengHei" w:eastAsia="Microsoft JhengHei" w:hint="eastAsia"/>
                <w:b/>
                <w:sz w:val="21"/>
              </w:rPr>
            </w:pPr>
            <w:r>
              <w:rPr>
                <w:rFonts w:ascii="Microsoft JhengHei" w:eastAsia="Microsoft JhengHei" w:hint="eastAsia"/>
                <w:b/>
                <w:sz w:val="21"/>
              </w:rPr>
              <w:t>我们合同解除权的限制</w:t>
            </w:r>
          </w:p>
        </w:tc>
        <w:tc>
          <w:tcPr>
            <w:tcW w:w="6134" w:type="dxa"/>
          </w:tcPr>
          <w:p>
            <w:pPr>
              <w:pStyle w:val="TableParagraph"/>
              <w:spacing w:before="152"/>
              <w:ind w:left="167"/>
              <w:rPr>
                <w:sz w:val="21"/>
              </w:rPr>
            </w:pPr>
            <w:r>
              <w:rPr>
                <w:spacing w:val="-9"/>
                <w:sz w:val="21"/>
              </w:rPr>
              <w:t>前条规定的合同解除权，自我们知道有解除事由之日起，超过 </w:t>
            </w:r>
            <w:r>
              <w:rPr>
                <w:sz w:val="21"/>
              </w:rPr>
              <w:t>30</w:t>
            </w:r>
          </w:p>
          <w:p>
            <w:pPr>
              <w:pStyle w:val="TableParagraph"/>
              <w:spacing w:line="273" w:lineRule="auto" w:before="32"/>
              <w:ind w:left="167" w:right="97"/>
              <w:rPr>
                <w:sz w:val="21"/>
              </w:rPr>
            </w:pPr>
            <w:r>
              <w:rPr>
                <w:spacing w:val="-7"/>
                <w:sz w:val="21"/>
              </w:rPr>
              <w:t>日不行使而消灭。自本附加合同成立之日起超过 </w:t>
            </w:r>
            <w:r>
              <w:rPr>
                <w:sz w:val="21"/>
              </w:rPr>
              <w:t>2</w:t>
            </w:r>
            <w:r>
              <w:rPr>
                <w:spacing w:val="-9"/>
                <w:sz w:val="21"/>
              </w:rPr>
              <w:t> 年的，我们不</w:t>
            </w:r>
            <w:r>
              <w:rPr>
                <w:spacing w:val="-7"/>
                <w:sz w:val="21"/>
              </w:rPr>
              <w:t>得解除合同；发生保险事故的，我们承担豁免保险费的责任。</w:t>
            </w:r>
          </w:p>
        </w:tc>
      </w:tr>
      <w:tr>
        <w:trPr>
          <w:trHeight w:val="3543" w:hRule="atLeast"/>
        </w:trPr>
        <w:tc>
          <w:tcPr>
            <w:tcW w:w="686" w:type="dxa"/>
          </w:tcPr>
          <w:p>
            <w:pPr>
              <w:pStyle w:val="TableParagraph"/>
              <w:spacing w:before="85"/>
              <w:ind w:left="105"/>
              <w:rPr>
                <w:rFonts w:ascii="Microsoft JhengHei"/>
                <w:b/>
                <w:sz w:val="21"/>
              </w:rPr>
            </w:pPr>
            <w:r>
              <w:rPr>
                <w:rFonts w:ascii="Microsoft JhengHei"/>
                <w:b/>
                <w:w w:val="105"/>
                <w:sz w:val="21"/>
              </w:rPr>
              <w:t>6.3</w:t>
            </w:r>
          </w:p>
        </w:tc>
        <w:tc>
          <w:tcPr>
            <w:tcW w:w="1485" w:type="dxa"/>
          </w:tcPr>
          <w:p>
            <w:pPr>
              <w:pStyle w:val="TableParagraph"/>
              <w:spacing w:line="201" w:lineRule="auto" w:before="144"/>
              <w:ind w:left="264" w:right="162"/>
              <w:rPr>
                <w:rFonts w:ascii="Microsoft JhengHei" w:eastAsia="Microsoft JhengHei" w:hint="eastAsia"/>
                <w:b/>
                <w:sz w:val="21"/>
              </w:rPr>
            </w:pPr>
            <w:r>
              <w:rPr>
                <w:rFonts w:ascii="Microsoft JhengHei" w:eastAsia="Microsoft JhengHei" w:hint="eastAsia"/>
                <w:b/>
                <w:sz w:val="21"/>
              </w:rPr>
              <w:t>年龄性别错误</w:t>
            </w:r>
          </w:p>
        </w:tc>
        <w:tc>
          <w:tcPr>
            <w:tcW w:w="6134" w:type="dxa"/>
          </w:tcPr>
          <w:p>
            <w:pPr>
              <w:pStyle w:val="TableParagraph"/>
              <w:spacing w:line="268" w:lineRule="auto" w:before="152"/>
              <w:ind w:left="167" w:right="54"/>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14"/>
              </w:numPr>
              <w:tabs>
                <w:tab w:pos="591" w:val="left" w:leader="none"/>
              </w:tabs>
              <w:spacing w:line="273" w:lineRule="auto" w:before="170" w:after="0"/>
              <w:ind w:left="590" w:right="96" w:hanging="423"/>
              <w:jc w:val="both"/>
              <w:rPr>
                <w:sz w:val="21"/>
              </w:rPr>
            </w:pPr>
            <w:r>
              <w:rPr>
                <w:spacing w:val="-5"/>
                <w:sz w:val="21"/>
              </w:rPr>
              <w:t>您申报的被保险人年龄不真实，并且其真实年龄不符合本附</w:t>
            </w:r>
            <w:r>
              <w:rPr>
                <w:spacing w:val="-8"/>
                <w:sz w:val="21"/>
              </w:rPr>
              <w:t>加合同约定投保年龄限制的，我们有权解除本附加合同。对</w:t>
            </w:r>
            <w:r>
              <w:rPr>
                <w:spacing w:val="-6"/>
                <w:sz w:val="21"/>
              </w:rPr>
              <w:t>于解除本附加合同的，本附加合同自解除之日起终止，我们向您退还本附加合同终止时的现金价值。对于本附加合同解除前发Th的保险事故，我们不承担豁免保险费的责任。我们</w:t>
            </w:r>
            <w:r>
              <w:rPr>
                <w:spacing w:val="-5"/>
                <w:sz w:val="21"/>
              </w:rPr>
              <w:t>行使合同解除权适用“我们合同解除权的限制”的规定。</w:t>
            </w:r>
          </w:p>
          <w:p>
            <w:pPr>
              <w:pStyle w:val="TableParagraph"/>
              <w:numPr>
                <w:ilvl w:val="0"/>
                <w:numId w:val="14"/>
              </w:numPr>
              <w:tabs>
                <w:tab w:pos="591" w:val="left" w:leader="none"/>
              </w:tabs>
              <w:spacing w:line="300" w:lineRule="atLeast" w:before="141" w:after="0"/>
              <w:ind w:left="590" w:right="96" w:hanging="423"/>
              <w:jc w:val="both"/>
              <w:rPr>
                <w:sz w:val="21"/>
              </w:rPr>
            </w:pPr>
            <w:r>
              <w:rPr>
                <w:spacing w:val="-5"/>
                <w:sz w:val="21"/>
              </w:rPr>
              <w:t>您申报的被保险人年龄或者性别不真实，致使您实交保险费</w:t>
            </w:r>
            <w:r>
              <w:rPr>
                <w:spacing w:val="-8"/>
                <w:sz w:val="21"/>
              </w:rPr>
              <w:t>少于应交保险费的，我们有权更正并要求您补交保险费。如</w:t>
            </w:r>
          </w:p>
        </w:tc>
      </w:tr>
    </w:tbl>
    <w:p>
      <w:pPr>
        <w:spacing w:after="0" w:line="300" w:lineRule="atLeast"/>
        <w:jc w:val="both"/>
        <w:rPr>
          <w:sz w:val="21"/>
        </w:rPr>
        <w:sectPr>
          <w:pgSz w:w="11910" w:h="16840"/>
          <w:pgMar w:header="0" w:footer="150" w:top="88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5"/>
        <w:gridCol w:w="6134"/>
      </w:tblGrid>
      <w:tr>
        <w:trPr>
          <w:trHeight w:val="1517" w:hRule="atLeast"/>
        </w:trPr>
        <w:tc>
          <w:tcPr>
            <w:tcW w:w="686" w:type="dxa"/>
          </w:tcPr>
          <w:p>
            <w:pPr>
              <w:pStyle w:val="TableParagraph"/>
              <w:ind w:left="0"/>
              <w:rPr>
                <w:rFonts w:ascii="Times New Roman"/>
                <w:sz w:val="20"/>
              </w:rPr>
            </w:pPr>
          </w:p>
        </w:tc>
        <w:tc>
          <w:tcPr>
            <w:tcW w:w="1485" w:type="dxa"/>
          </w:tcPr>
          <w:p>
            <w:pPr>
              <w:pStyle w:val="TableParagraph"/>
              <w:ind w:left="0"/>
              <w:rPr>
                <w:rFonts w:ascii="Times New Roman"/>
                <w:sz w:val="20"/>
              </w:rPr>
            </w:pPr>
          </w:p>
        </w:tc>
        <w:tc>
          <w:tcPr>
            <w:tcW w:w="6134" w:type="dxa"/>
          </w:tcPr>
          <w:p>
            <w:pPr>
              <w:pStyle w:val="TableParagraph"/>
              <w:spacing w:line="211" w:lineRule="exact"/>
              <w:ind w:left="590"/>
              <w:rPr>
                <w:sz w:val="21"/>
              </w:rPr>
            </w:pPr>
            <w:r>
              <w:rPr>
                <w:sz w:val="21"/>
              </w:rPr>
              <w:t>果已经发Th保险事故，在给付保险金时按实交保险费和应交</w:t>
            </w:r>
          </w:p>
          <w:p>
            <w:pPr>
              <w:pStyle w:val="TableParagraph"/>
              <w:spacing w:before="37"/>
              <w:ind w:left="590"/>
              <w:rPr>
                <w:sz w:val="21"/>
              </w:rPr>
            </w:pPr>
            <w:r>
              <w:rPr>
                <w:sz w:val="21"/>
              </w:rPr>
              <w:t>保险费的比例给付。</w:t>
            </w:r>
          </w:p>
          <w:p>
            <w:pPr>
              <w:pStyle w:val="TableParagraph"/>
              <w:spacing w:before="12"/>
              <w:ind w:left="0"/>
              <w:rPr>
                <w:sz w:val="14"/>
              </w:rPr>
            </w:pPr>
          </w:p>
          <w:p>
            <w:pPr>
              <w:pStyle w:val="TableParagraph"/>
              <w:spacing w:line="268" w:lineRule="auto"/>
              <w:ind w:left="590" w:right="53" w:hanging="423"/>
              <w:rPr>
                <w:sz w:val="21"/>
              </w:rPr>
            </w:pPr>
            <w:r>
              <w:rPr>
                <w:sz w:val="21"/>
              </w:rPr>
              <w:t>(3) 您申报的被保险人年龄或者性别不真实，致使您实交保险费多于应交保险费的，我们向您无息退还多收的保险费。</w:t>
            </w:r>
          </w:p>
        </w:tc>
      </w:tr>
      <w:tr>
        <w:trPr>
          <w:trHeight w:val="950" w:hRule="atLeast"/>
        </w:trPr>
        <w:tc>
          <w:tcPr>
            <w:tcW w:w="686" w:type="dxa"/>
          </w:tcPr>
          <w:p>
            <w:pPr>
              <w:pStyle w:val="TableParagraph"/>
              <w:spacing w:before="85"/>
              <w:ind w:left="105"/>
              <w:rPr>
                <w:rFonts w:ascii="Microsoft JhengHei"/>
                <w:b/>
                <w:sz w:val="21"/>
              </w:rPr>
            </w:pPr>
            <w:r>
              <w:rPr>
                <w:rFonts w:ascii="Microsoft JhengHei"/>
                <w:b/>
                <w:w w:val="105"/>
                <w:sz w:val="21"/>
              </w:rPr>
              <w:t>6.4</w:t>
            </w:r>
          </w:p>
        </w:tc>
        <w:tc>
          <w:tcPr>
            <w:tcW w:w="1485" w:type="dxa"/>
          </w:tcPr>
          <w:p>
            <w:pPr>
              <w:pStyle w:val="TableParagraph"/>
              <w:spacing w:before="85"/>
              <w:ind w:left="264"/>
              <w:rPr>
                <w:rFonts w:ascii="Microsoft JhengHei" w:eastAsia="Microsoft JhengHei" w:hint="eastAsia"/>
                <w:b/>
                <w:sz w:val="21"/>
              </w:rPr>
            </w:pPr>
            <w:r>
              <w:rPr>
                <w:rFonts w:ascii="Microsoft JhengHei" w:eastAsia="Microsoft JhengHei" w:hint="eastAsia"/>
                <w:b/>
                <w:sz w:val="21"/>
              </w:rPr>
              <w:t>未还款项</w:t>
            </w:r>
          </w:p>
        </w:tc>
        <w:tc>
          <w:tcPr>
            <w:tcW w:w="6134" w:type="dxa"/>
          </w:tcPr>
          <w:p>
            <w:pPr>
              <w:pStyle w:val="TableParagraph"/>
              <w:spacing w:line="268" w:lineRule="auto" w:before="152"/>
              <w:ind w:left="167" w:right="80"/>
              <w:rPr>
                <w:sz w:val="21"/>
              </w:rPr>
            </w:pPr>
            <w:r>
              <w:rPr>
                <w:sz w:val="21"/>
              </w:rPr>
              <w:t>我们在退还现金价值或者返还保险费时，如果您有欠交的保险费或者其他各项欠款，我们将先行扣除上述各项欠款及应付利息。</w:t>
            </w:r>
          </w:p>
        </w:tc>
      </w:tr>
      <w:tr>
        <w:trPr>
          <w:trHeight w:val="1572" w:hRule="atLeast"/>
        </w:trPr>
        <w:tc>
          <w:tcPr>
            <w:tcW w:w="686" w:type="dxa"/>
          </w:tcPr>
          <w:p>
            <w:pPr>
              <w:pStyle w:val="TableParagraph"/>
              <w:spacing w:before="85"/>
              <w:ind w:left="105"/>
              <w:rPr>
                <w:rFonts w:ascii="Microsoft JhengHei"/>
                <w:b/>
                <w:sz w:val="21"/>
              </w:rPr>
            </w:pPr>
            <w:r>
              <w:rPr>
                <w:rFonts w:ascii="Microsoft JhengHei"/>
                <w:b/>
                <w:w w:val="105"/>
                <w:sz w:val="21"/>
              </w:rPr>
              <w:t>6.5</w:t>
            </w:r>
          </w:p>
        </w:tc>
        <w:tc>
          <w:tcPr>
            <w:tcW w:w="1485" w:type="dxa"/>
          </w:tcPr>
          <w:p>
            <w:pPr>
              <w:pStyle w:val="TableParagraph"/>
              <w:spacing w:line="201" w:lineRule="auto" w:before="144"/>
              <w:ind w:left="264" w:right="162"/>
              <w:rPr>
                <w:rFonts w:ascii="Microsoft JhengHei" w:eastAsia="Microsoft JhengHei" w:hint="eastAsia"/>
                <w:b/>
                <w:sz w:val="21"/>
              </w:rPr>
            </w:pPr>
            <w:r>
              <w:rPr>
                <w:rFonts w:ascii="Microsoft JhengHei" w:eastAsia="Microsoft JhengHei" w:hint="eastAsia"/>
                <w:b/>
                <w:sz w:val="21"/>
              </w:rPr>
              <w:t>合同内容变更</w:t>
            </w:r>
          </w:p>
        </w:tc>
        <w:tc>
          <w:tcPr>
            <w:tcW w:w="6134" w:type="dxa"/>
          </w:tcPr>
          <w:p>
            <w:pPr>
              <w:pStyle w:val="TableParagraph"/>
              <w:spacing w:line="271" w:lineRule="auto" w:before="152"/>
              <w:ind w:left="167" w:right="96"/>
              <w:jc w:val="both"/>
              <w:rPr>
                <w:sz w:val="21"/>
              </w:rPr>
            </w:pPr>
            <w:r>
              <w:rPr>
                <w:spacing w:val="-6"/>
                <w:sz w:val="21"/>
              </w:rPr>
              <w:t>在本附加合同有效期内，经您与我们协商一致，可以变更本附加</w:t>
            </w:r>
            <w:r>
              <w:rPr>
                <w:spacing w:val="-7"/>
                <w:sz w:val="21"/>
              </w:rPr>
              <w:t>合同的有关内容。变更本附加合同的，应当由我们在保险单或者</w:t>
            </w:r>
            <w:r>
              <w:rPr>
                <w:spacing w:val="-8"/>
                <w:sz w:val="21"/>
              </w:rPr>
              <w:t>其他保险凭证上批注或者附贴批单，或者由您与我们订立书面的变更协议。</w:t>
            </w:r>
          </w:p>
        </w:tc>
      </w:tr>
      <w:tr>
        <w:trPr>
          <w:trHeight w:val="1886" w:hRule="atLeast"/>
        </w:trPr>
        <w:tc>
          <w:tcPr>
            <w:tcW w:w="686" w:type="dxa"/>
          </w:tcPr>
          <w:p>
            <w:pPr>
              <w:pStyle w:val="TableParagraph"/>
              <w:spacing w:before="83"/>
              <w:ind w:left="105"/>
              <w:rPr>
                <w:rFonts w:ascii="Microsoft JhengHei"/>
                <w:b/>
                <w:sz w:val="21"/>
              </w:rPr>
            </w:pPr>
            <w:r>
              <w:rPr>
                <w:rFonts w:ascii="Microsoft JhengHei"/>
                <w:b/>
                <w:w w:val="105"/>
                <w:sz w:val="21"/>
              </w:rPr>
              <w:t>6.6</w:t>
            </w:r>
          </w:p>
        </w:tc>
        <w:tc>
          <w:tcPr>
            <w:tcW w:w="1485" w:type="dxa"/>
          </w:tcPr>
          <w:p>
            <w:pPr>
              <w:pStyle w:val="TableParagraph"/>
              <w:spacing w:line="204" w:lineRule="auto" w:before="138"/>
              <w:ind w:left="264" w:right="162"/>
              <w:rPr>
                <w:rFonts w:ascii="Microsoft JhengHei" w:eastAsia="Microsoft JhengHei" w:hint="eastAsia"/>
                <w:b/>
                <w:sz w:val="21"/>
              </w:rPr>
            </w:pPr>
            <w:r>
              <w:rPr>
                <w:rFonts w:ascii="Microsoft JhengHei" w:eastAsia="Microsoft JhengHei" w:hint="eastAsia"/>
                <w:b/>
                <w:sz w:val="21"/>
              </w:rPr>
              <w:t>联系方式变更</w:t>
            </w:r>
          </w:p>
        </w:tc>
        <w:tc>
          <w:tcPr>
            <w:tcW w:w="6134" w:type="dxa"/>
          </w:tcPr>
          <w:p>
            <w:pPr>
              <w:pStyle w:val="TableParagraph"/>
              <w:spacing w:line="273" w:lineRule="auto" w:before="150"/>
              <w:ind w:left="167" w:right="79"/>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附加合同载明的最后住所或者通讯地址发送的有关通知， 均视为已送达给您。</w:t>
            </w:r>
          </w:p>
        </w:tc>
      </w:tr>
      <w:tr>
        <w:trPr>
          <w:trHeight w:val="950" w:hRule="atLeast"/>
        </w:trPr>
        <w:tc>
          <w:tcPr>
            <w:tcW w:w="686" w:type="dxa"/>
          </w:tcPr>
          <w:p>
            <w:pPr>
              <w:pStyle w:val="TableParagraph"/>
              <w:spacing w:before="83"/>
              <w:ind w:left="105"/>
              <w:rPr>
                <w:rFonts w:ascii="Microsoft JhengHei"/>
                <w:b/>
                <w:sz w:val="21"/>
              </w:rPr>
            </w:pPr>
            <w:r>
              <w:rPr>
                <w:rFonts w:ascii="Microsoft JhengHei"/>
                <w:b/>
                <w:w w:val="105"/>
                <w:sz w:val="21"/>
              </w:rPr>
              <w:t>6.7</w:t>
            </w:r>
          </w:p>
        </w:tc>
        <w:tc>
          <w:tcPr>
            <w:tcW w:w="1485" w:type="dxa"/>
          </w:tcPr>
          <w:p>
            <w:pPr>
              <w:pStyle w:val="TableParagraph"/>
              <w:spacing w:before="83"/>
              <w:ind w:left="264"/>
              <w:rPr>
                <w:rFonts w:ascii="Microsoft JhengHei" w:eastAsia="Microsoft JhengHei" w:hint="eastAsia"/>
                <w:b/>
                <w:sz w:val="21"/>
              </w:rPr>
            </w:pPr>
            <w:r>
              <w:rPr>
                <w:rFonts w:ascii="Microsoft JhengHei" w:eastAsia="Microsoft JhengHei" w:hint="eastAsia"/>
                <w:b/>
                <w:sz w:val="21"/>
              </w:rPr>
              <w:t>争议处理</w:t>
            </w:r>
          </w:p>
        </w:tc>
        <w:tc>
          <w:tcPr>
            <w:tcW w:w="6134" w:type="dxa"/>
          </w:tcPr>
          <w:p>
            <w:pPr>
              <w:pStyle w:val="TableParagraph"/>
              <w:spacing w:line="273" w:lineRule="auto" w:before="150"/>
              <w:ind w:left="167" w:right="67"/>
              <w:rPr>
                <w:sz w:val="21"/>
              </w:rPr>
            </w:pPr>
            <w:r>
              <w:rPr>
                <w:sz w:val="21"/>
              </w:rPr>
              <w:t>本附加合同履行过程中，双方发生争议不能协商解决的，可以达成仲裁协议通过仲裁解决，也可以依法直接向法院提起诉讼。</w:t>
            </w:r>
          </w:p>
        </w:tc>
      </w:tr>
      <w:tr>
        <w:trPr>
          <w:trHeight w:val="1255" w:hRule="atLeast"/>
        </w:trPr>
        <w:tc>
          <w:tcPr>
            <w:tcW w:w="686" w:type="dxa"/>
          </w:tcPr>
          <w:p>
            <w:pPr>
              <w:pStyle w:val="TableParagraph"/>
              <w:spacing w:before="83"/>
              <w:ind w:left="105"/>
              <w:rPr>
                <w:rFonts w:ascii="Microsoft JhengHei"/>
                <w:b/>
                <w:sz w:val="21"/>
              </w:rPr>
            </w:pPr>
            <w:r>
              <w:rPr>
                <w:rFonts w:ascii="Microsoft JhengHei"/>
                <w:b/>
                <w:w w:val="105"/>
                <w:sz w:val="21"/>
              </w:rPr>
              <w:t>6.8</w:t>
            </w:r>
          </w:p>
        </w:tc>
        <w:tc>
          <w:tcPr>
            <w:tcW w:w="1485" w:type="dxa"/>
          </w:tcPr>
          <w:p>
            <w:pPr>
              <w:pStyle w:val="TableParagraph"/>
              <w:spacing w:line="204" w:lineRule="auto" w:before="138"/>
              <w:ind w:left="264" w:right="162"/>
              <w:rPr>
                <w:rFonts w:ascii="Microsoft JhengHei" w:eastAsia="Microsoft JhengHei" w:hint="eastAsia"/>
                <w:b/>
                <w:sz w:val="21"/>
              </w:rPr>
            </w:pPr>
            <w:r>
              <w:rPr>
                <w:rFonts w:ascii="Microsoft JhengHei" w:eastAsia="Microsoft JhengHei" w:hint="eastAsia"/>
                <w:b/>
                <w:sz w:val="21"/>
              </w:rPr>
              <w:t>保险事故鉴定</w:t>
            </w:r>
          </w:p>
        </w:tc>
        <w:tc>
          <w:tcPr>
            <w:tcW w:w="6134" w:type="dxa"/>
          </w:tcPr>
          <w:p>
            <w:pPr>
              <w:pStyle w:val="TableParagraph"/>
              <w:spacing w:line="273" w:lineRule="auto" w:before="150"/>
              <w:ind w:left="167" w:right="96"/>
              <w:jc w:val="both"/>
              <w:rPr>
                <w:sz w:val="21"/>
              </w:rPr>
            </w:pPr>
            <w:r>
              <w:rPr>
                <w:spacing w:val="-5"/>
                <w:sz w:val="21"/>
              </w:rPr>
              <w:t>如果被保险人发生保险事故，您和我们均可以委托双方认可的保</w:t>
            </w:r>
            <w:r>
              <w:rPr>
                <w:spacing w:val="1"/>
                <w:sz w:val="21"/>
              </w:rPr>
              <w:t>险公估机构等依法设立的独立评估机构或者具有相关专业知识</w:t>
            </w:r>
            <w:r>
              <w:rPr>
                <w:spacing w:val="-2"/>
                <w:sz w:val="21"/>
              </w:rPr>
              <w:t>的人员，对保险事故进行评估和鉴定。</w:t>
            </w:r>
          </w:p>
        </w:tc>
      </w:tr>
      <w:tr>
        <w:trPr>
          <w:trHeight w:val="484" w:hRule="atLeast"/>
        </w:trPr>
        <w:tc>
          <w:tcPr>
            <w:tcW w:w="686" w:type="dxa"/>
            <w:tcBorders>
              <w:bottom w:val="single" w:sz="4" w:space="0" w:color="000000"/>
            </w:tcBorders>
          </w:tcPr>
          <w:p>
            <w:pPr>
              <w:pStyle w:val="TableParagraph"/>
              <w:spacing w:line="408" w:lineRule="exact" w:before="56"/>
              <w:ind w:left="105"/>
              <w:rPr>
                <w:rFonts w:ascii="Microsoft JhengHei"/>
                <w:b/>
                <w:sz w:val="24"/>
              </w:rPr>
            </w:pPr>
            <w:r>
              <w:rPr>
                <w:rFonts w:ascii="Microsoft JhengHei"/>
                <w:b/>
                <w:w w:val="83"/>
                <w:sz w:val="24"/>
              </w:rPr>
              <w:t>7</w:t>
            </w:r>
            <w:r>
              <w:rPr>
                <w:rFonts w:ascii="Microsoft JhengHei"/>
                <w:b/>
                <w:w w:val="196"/>
                <w:sz w:val="24"/>
              </w:rPr>
              <w:t>.</w:t>
            </w:r>
          </w:p>
        </w:tc>
        <w:tc>
          <w:tcPr>
            <w:tcW w:w="7619" w:type="dxa"/>
            <w:gridSpan w:val="2"/>
            <w:tcBorders>
              <w:bottom w:val="single" w:sz="4" w:space="0" w:color="000000"/>
            </w:tcBorders>
          </w:tcPr>
          <w:p>
            <w:pPr>
              <w:pStyle w:val="TableParagraph"/>
              <w:spacing w:line="408" w:lineRule="exact" w:before="56"/>
              <w:ind w:left="264"/>
              <w:rPr>
                <w:rFonts w:ascii="Microsoft JhengHei" w:eastAsia="Microsoft JhengHei" w:hint="eastAsia"/>
                <w:b/>
                <w:sz w:val="24"/>
              </w:rPr>
            </w:pPr>
            <w:r>
              <w:rPr>
                <w:rFonts w:ascii="Microsoft JhengHei" w:eastAsia="Microsoft JhengHei" w:hint="eastAsia"/>
                <w:b/>
                <w:sz w:val="24"/>
              </w:rPr>
              <w:t>轻症疾病定义</w:t>
            </w:r>
          </w:p>
        </w:tc>
      </w:tr>
      <w:tr>
        <w:trPr>
          <w:trHeight w:val="1102" w:hRule="atLeast"/>
        </w:trPr>
        <w:tc>
          <w:tcPr>
            <w:tcW w:w="686" w:type="dxa"/>
            <w:tcBorders>
              <w:top w:val="single" w:sz="4" w:space="0" w:color="000000"/>
            </w:tcBorders>
          </w:tcPr>
          <w:p>
            <w:pPr>
              <w:pStyle w:val="TableParagraph"/>
              <w:spacing w:before="12"/>
              <w:ind w:left="0"/>
              <w:rPr>
                <w:sz w:val="17"/>
              </w:rPr>
            </w:pPr>
          </w:p>
          <w:p>
            <w:pPr>
              <w:pStyle w:val="TableParagraph"/>
              <w:ind w:left="105"/>
              <w:rPr>
                <w:rFonts w:ascii="Microsoft JhengHei"/>
                <w:b/>
                <w:sz w:val="21"/>
              </w:rPr>
            </w:pPr>
            <w:r>
              <w:rPr>
                <w:rFonts w:ascii="Microsoft JhengHei"/>
                <w:b/>
                <w:w w:val="105"/>
                <w:sz w:val="21"/>
              </w:rPr>
              <w:t>7.1</w:t>
            </w:r>
          </w:p>
        </w:tc>
        <w:tc>
          <w:tcPr>
            <w:tcW w:w="1485" w:type="dxa"/>
            <w:tcBorders>
              <w:top w:val="single" w:sz="4" w:space="0" w:color="000000"/>
            </w:tcBorders>
          </w:tcPr>
          <w:p>
            <w:pPr>
              <w:pStyle w:val="TableParagraph"/>
              <w:spacing w:before="12"/>
              <w:ind w:left="0"/>
              <w:rPr>
                <w:sz w:val="17"/>
              </w:rPr>
            </w:pPr>
          </w:p>
          <w:p>
            <w:pPr>
              <w:pStyle w:val="TableParagraph"/>
              <w:ind w:left="264"/>
              <w:rPr>
                <w:rFonts w:ascii="Microsoft JhengHei" w:eastAsia="Microsoft JhengHei" w:hint="eastAsia"/>
                <w:b/>
                <w:sz w:val="21"/>
              </w:rPr>
            </w:pPr>
            <w:r>
              <w:rPr>
                <w:rFonts w:ascii="Microsoft JhengHei" w:eastAsia="Microsoft JhengHei" w:hint="eastAsia"/>
                <w:b/>
                <w:sz w:val="21"/>
              </w:rPr>
              <w:t>轻症疾病</w:t>
            </w:r>
          </w:p>
        </w:tc>
        <w:tc>
          <w:tcPr>
            <w:tcW w:w="6134" w:type="dxa"/>
            <w:tcBorders>
              <w:top w:val="single" w:sz="4" w:space="0" w:color="000000"/>
            </w:tcBorders>
          </w:tcPr>
          <w:p>
            <w:pPr>
              <w:pStyle w:val="TableParagraph"/>
              <w:ind w:left="0"/>
              <w:rPr>
                <w:sz w:val="23"/>
              </w:rPr>
            </w:pPr>
          </w:p>
          <w:p>
            <w:pPr>
              <w:pStyle w:val="TableParagraph"/>
              <w:spacing w:line="256" w:lineRule="auto"/>
              <w:ind w:left="167" w:right="183"/>
              <w:rPr>
                <w:sz w:val="21"/>
              </w:rPr>
            </w:pPr>
            <w:r>
              <w:rPr>
                <w:spacing w:val="-5"/>
                <w:sz w:val="21"/>
              </w:rPr>
              <w:t>指被保险人发生符合以下疾病定义所述条件的疾病</w:t>
            </w:r>
            <w:r>
              <w:rPr>
                <w:spacing w:val="-3"/>
                <w:sz w:val="21"/>
              </w:rPr>
              <w:t>（</w:t>
            </w:r>
            <w:r>
              <w:rPr>
                <w:spacing w:val="-18"/>
                <w:sz w:val="21"/>
              </w:rPr>
              <w:t>共 </w:t>
            </w:r>
            <w:r>
              <w:rPr>
                <w:rFonts w:ascii="Times New Roman" w:eastAsia="Times New Roman"/>
                <w:sz w:val="21"/>
              </w:rPr>
              <w:t>35 </w:t>
            </w:r>
            <w:r>
              <w:rPr>
                <w:sz w:val="21"/>
              </w:rPr>
              <w:t>种</w:t>
            </w:r>
            <w:r>
              <w:rPr>
                <w:spacing w:val="-106"/>
                <w:sz w:val="21"/>
              </w:rPr>
              <w:t>），</w:t>
            </w:r>
            <w:r>
              <w:rPr>
                <w:spacing w:val="-103"/>
                <w:sz w:val="21"/>
              </w:rPr>
              <w:t> </w:t>
            </w:r>
            <w:r>
              <w:rPr>
                <w:spacing w:val="-2"/>
                <w:sz w:val="21"/>
              </w:rPr>
              <w:t>应当由专科医生明确诊断。</w:t>
            </w:r>
          </w:p>
        </w:tc>
      </w:tr>
      <w:tr>
        <w:trPr>
          <w:trHeight w:val="3759" w:hRule="atLeast"/>
        </w:trPr>
        <w:tc>
          <w:tcPr>
            <w:tcW w:w="686" w:type="dxa"/>
          </w:tcPr>
          <w:p>
            <w:pPr>
              <w:pStyle w:val="TableParagraph"/>
              <w:ind w:left="0"/>
              <w:rPr>
                <w:rFonts w:ascii="Times New Roman"/>
                <w:sz w:val="20"/>
              </w:rPr>
            </w:pPr>
          </w:p>
        </w:tc>
        <w:tc>
          <w:tcPr>
            <w:tcW w:w="1485" w:type="dxa"/>
          </w:tcPr>
          <w:p>
            <w:pPr>
              <w:pStyle w:val="TableParagraph"/>
              <w:spacing w:line="204" w:lineRule="auto" w:before="138"/>
              <w:ind w:left="264" w:right="162"/>
              <w:jc w:val="both"/>
              <w:rPr>
                <w:rFonts w:ascii="Microsoft JhengHei" w:eastAsia="Microsoft JhengHei" w:hint="eastAsia"/>
                <w:b/>
                <w:sz w:val="21"/>
              </w:rPr>
            </w:pPr>
            <w:r>
              <w:rPr>
                <w:rFonts w:ascii="Microsoft JhengHei" w:eastAsia="Microsoft JhengHei" w:hint="eastAsia"/>
                <w:b/>
                <w:sz w:val="21"/>
              </w:rPr>
              <w:t>1.非危及生命的（极早期的）恶性病变</w:t>
            </w:r>
          </w:p>
        </w:tc>
        <w:tc>
          <w:tcPr>
            <w:tcW w:w="6134" w:type="dxa"/>
          </w:tcPr>
          <w:p>
            <w:pPr>
              <w:pStyle w:val="TableParagraph"/>
              <w:spacing w:line="273" w:lineRule="auto" w:before="150"/>
              <w:ind w:left="167" w:right="80"/>
              <w:rPr>
                <w:sz w:val="21"/>
              </w:rPr>
            </w:pPr>
            <w:r>
              <w:rPr>
                <w:sz w:val="21"/>
              </w:rPr>
              <w:t>指被保险人生前经组织病理学检查被明确诊断为下列恶性病变， 并且接受了相应的治疗。</w:t>
            </w:r>
          </w:p>
          <w:p>
            <w:pPr>
              <w:pStyle w:val="TableParagraph"/>
              <w:spacing w:before="7"/>
              <w:ind w:left="167"/>
              <w:jc w:val="both"/>
              <w:rPr>
                <w:sz w:val="21"/>
              </w:rPr>
            </w:pPr>
            <w:r>
              <w:rPr>
                <w:sz w:val="21"/>
              </w:rPr>
              <w:t>（</w:t>
            </w:r>
            <w:r>
              <w:rPr>
                <w:rFonts w:ascii="Cambria" w:eastAsia="Cambria"/>
                <w:sz w:val="21"/>
              </w:rPr>
              <w:t>1</w:t>
            </w:r>
            <w:r>
              <w:rPr>
                <w:sz w:val="21"/>
              </w:rPr>
              <w:t>）原位癌</w:t>
            </w:r>
            <w:r>
              <w:rPr>
                <w:rFonts w:ascii="Cambria" w:eastAsia="Cambria"/>
                <w:position w:val="5"/>
                <w:sz w:val="14"/>
              </w:rPr>
              <w:t>*</w:t>
            </w:r>
            <w:r>
              <w:rPr>
                <w:sz w:val="21"/>
              </w:rPr>
              <w:t>；</w:t>
            </w:r>
          </w:p>
          <w:p>
            <w:pPr>
              <w:pStyle w:val="TableParagraph"/>
              <w:spacing w:before="19"/>
              <w:ind w:left="167"/>
              <w:jc w:val="both"/>
              <w:rPr>
                <w:sz w:val="21"/>
              </w:rPr>
            </w:pPr>
            <w:r>
              <w:rPr>
                <w:sz w:val="21"/>
              </w:rPr>
              <w:t>（</w:t>
            </w:r>
            <w:r>
              <w:rPr>
                <w:rFonts w:ascii="Cambria" w:eastAsia="Cambria"/>
                <w:sz w:val="21"/>
              </w:rPr>
              <w:t>2</w:t>
            </w:r>
            <w:r>
              <w:rPr>
                <w:sz w:val="21"/>
              </w:rPr>
              <w:t>）相当于</w:t>
            </w:r>
            <w:r>
              <w:rPr>
                <w:rFonts w:ascii="Cambria" w:eastAsia="Cambria"/>
                <w:sz w:val="21"/>
              </w:rPr>
              <w:t>Binet</w:t>
            </w:r>
            <w:r>
              <w:rPr>
                <w:sz w:val="21"/>
              </w:rPr>
              <w:t>分期方案</w:t>
            </w:r>
            <w:r>
              <w:rPr>
                <w:rFonts w:ascii="Cambria" w:eastAsia="Cambria"/>
                <w:sz w:val="21"/>
              </w:rPr>
              <w:t>A</w:t>
            </w:r>
            <w:r>
              <w:rPr>
                <w:sz w:val="21"/>
              </w:rPr>
              <w:t>期程度的慢性淋巴细胞白血病；</w:t>
            </w:r>
          </w:p>
          <w:p>
            <w:pPr>
              <w:pStyle w:val="TableParagraph"/>
              <w:spacing w:before="20"/>
              <w:ind w:left="167"/>
              <w:jc w:val="both"/>
              <w:rPr>
                <w:sz w:val="21"/>
              </w:rPr>
            </w:pPr>
            <w:r>
              <w:rPr>
                <w:sz w:val="21"/>
              </w:rPr>
              <w:t>（</w:t>
            </w:r>
            <w:r>
              <w:rPr>
                <w:rFonts w:ascii="Cambria" w:eastAsia="Cambria"/>
                <w:sz w:val="21"/>
              </w:rPr>
              <w:t>3</w:t>
            </w:r>
            <w:r>
              <w:rPr>
                <w:sz w:val="21"/>
              </w:rPr>
              <w:t>）相当于</w:t>
            </w:r>
            <w:r>
              <w:rPr>
                <w:rFonts w:ascii="Cambria" w:eastAsia="Cambria"/>
                <w:sz w:val="21"/>
              </w:rPr>
              <w:t>Ann Arbor</w:t>
            </w:r>
            <w:r>
              <w:rPr>
                <w:sz w:val="21"/>
              </w:rPr>
              <w:t>分期方案</w:t>
            </w:r>
            <w:r>
              <w:rPr>
                <w:rFonts w:ascii="Cambria" w:eastAsia="Cambria"/>
                <w:sz w:val="21"/>
              </w:rPr>
              <w:t>I</w:t>
            </w:r>
            <w:r>
              <w:rPr>
                <w:sz w:val="21"/>
              </w:rPr>
              <w:t>期程度的何杰金氏病；</w:t>
            </w:r>
          </w:p>
          <w:p>
            <w:pPr>
              <w:pStyle w:val="TableParagraph"/>
              <w:spacing w:before="20"/>
              <w:ind w:left="167"/>
              <w:jc w:val="both"/>
              <w:rPr>
                <w:sz w:val="21"/>
              </w:rPr>
            </w:pPr>
            <w:r>
              <w:rPr>
                <w:sz w:val="21"/>
              </w:rPr>
              <w:t>（</w:t>
            </w:r>
            <w:r>
              <w:rPr>
                <w:rFonts w:ascii="Cambria" w:eastAsia="Cambria"/>
                <w:sz w:val="21"/>
              </w:rPr>
              <w:t>4</w:t>
            </w:r>
            <w:r>
              <w:rPr>
                <w:sz w:val="21"/>
              </w:rPr>
              <w:t>）皮肤癌（不包括恶性黑色素瘤及已发生转移的皮肤癌）；</w:t>
            </w:r>
          </w:p>
          <w:p>
            <w:pPr>
              <w:pStyle w:val="TableParagraph"/>
              <w:spacing w:before="19"/>
              <w:ind w:left="167"/>
              <w:jc w:val="both"/>
              <w:rPr>
                <w:sz w:val="21"/>
              </w:rPr>
            </w:pPr>
            <w:r>
              <w:rPr>
                <w:position w:val="2"/>
                <w:sz w:val="21"/>
              </w:rPr>
              <w:t>（</w:t>
            </w:r>
            <w:r>
              <w:rPr>
                <w:rFonts w:ascii="Cambria" w:eastAsia="Cambria"/>
                <w:position w:val="2"/>
                <w:sz w:val="21"/>
              </w:rPr>
              <w:t>5</w:t>
            </w:r>
            <w:r>
              <w:rPr>
                <w:position w:val="2"/>
                <w:sz w:val="21"/>
              </w:rPr>
              <w:t>）</w:t>
            </w:r>
            <w:r>
              <w:rPr>
                <w:rFonts w:ascii="Cambria" w:eastAsia="Cambria"/>
                <w:position w:val="2"/>
                <w:sz w:val="21"/>
              </w:rPr>
              <w:t>TNM </w:t>
            </w:r>
            <w:r>
              <w:rPr>
                <w:position w:val="2"/>
                <w:sz w:val="21"/>
              </w:rPr>
              <w:t>分期为 </w:t>
            </w:r>
            <w:r>
              <w:rPr>
                <w:rFonts w:ascii="Cambria" w:eastAsia="Cambria"/>
                <w:position w:val="2"/>
                <w:sz w:val="21"/>
              </w:rPr>
              <w:t>T</w:t>
            </w:r>
            <w:r>
              <w:rPr>
                <w:rFonts w:ascii="Cambria" w:eastAsia="Cambria"/>
                <w:position w:val="2"/>
                <w:sz w:val="21"/>
                <w:vertAlign w:val="subscript"/>
              </w:rPr>
              <w:t>1</w:t>
            </w:r>
            <w:r>
              <w:rPr>
                <w:rFonts w:ascii="Cambria" w:eastAsia="Cambria"/>
                <w:position w:val="2"/>
                <w:sz w:val="21"/>
                <w:vertAlign w:val="baseline"/>
              </w:rPr>
              <w:t>N</w:t>
            </w:r>
            <w:r>
              <w:rPr>
                <w:rFonts w:ascii="Cambria" w:eastAsia="Cambria"/>
                <w:position w:val="2"/>
                <w:sz w:val="21"/>
                <w:vertAlign w:val="subscript"/>
              </w:rPr>
              <w:t>0</w:t>
            </w:r>
            <w:r>
              <w:rPr>
                <w:rFonts w:ascii="Cambria" w:eastAsia="Cambria"/>
                <w:position w:val="2"/>
                <w:sz w:val="21"/>
                <w:vertAlign w:val="baseline"/>
              </w:rPr>
              <w:t>M</w:t>
            </w:r>
            <w:r>
              <w:rPr>
                <w:rFonts w:ascii="Cambria" w:eastAsia="Cambria"/>
                <w:position w:val="2"/>
                <w:sz w:val="21"/>
                <w:vertAlign w:val="subscript"/>
              </w:rPr>
              <w:t>0</w:t>
            </w:r>
            <w:r>
              <w:rPr>
                <w:rFonts w:ascii="Cambria" w:eastAsia="Cambria"/>
                <w:position w:val="2"/>
                <w:sz w:val="21"/>
                <w:vertAlign w:val="baseline"/>
              </w:rPr>
              <w:t> </w:t>
            </w:r>
            <w:r>
              <w:rPr>
                <w:position w:val="2"/>
                <w:sz w:val="21"/>
                <w:vertAlign w:val="baseline"/>
              </w:rPr>
              <w:t>期或更轻分期的前列腺癌。</w:t>
            </w:r>
          </w:p>
          <w:p>
            <w:pPr>
              <w:pStyle w:val="TableParagraph"/>
              <w:ind w:left="167"/>
              <w:jc w:val="both"/>
              <w:rPr>
                <w:sz w:val="21"/>
              </w:rPr>
            </w:pPr>
            <w:r>
              <w:rPr>
                <w:rFonts w:ascii="Cambria" w:eastAsia="Cambria"/>
                <w:position w:val="5"/>
                <w:sz w:val="14"/>
              </w:rPr>
              <w:t>*</w:t>
            </w:r>
            <w:r>
              <w:rPr>
                <w:sz w:val="21"/>
              </w:rPr>
              <w:t>原位癌</w:t>
            </w:r>
          </w:p>
          <w:p>
            <w:pPr>
              <w:pStyle w:val="TableParagraph"/>
              <w:spacing w:line="273" w:lineRule="auto" w:before="36"/>
              <w:ind w:left="167" w:right="80"/>
              <w:jc w:val="both"/>
              <w:rPr>
                <w:sz w:val="21"/>
              </w:rPr>
            </w:pPr>
            <w:r>
              <w:rPr>
                <w:sz w:val="21"/>
              </w:rPr>
              <w:t>指恶性细胞局限于上皮内尚未穿破基底膜浸润周围正常组织的癌细胞新生物。原位癌必须经对固定活组织的组织病理学检查明确诊断。被保险人必须己经接受了针对原位癌病灶的积极治疗。</w:t>
            </w:r>
          </w:p>
        </w:tc>
      </w:tr>
      <w:tr>
        <w:trPr>
          <w:trHeight w:val="1256" w:hRule="atLeast"/>
        </w:trPr>
        <w:tc>
          <w:tcPr>
            <w:tcW w:w="686" w:type="dxa"/>
          </w:tcPr>
          <w:p>
            <w:pPr>
              <w:pStyle w:val="TableParagraph"/>
              <w:ind w:left="0"/>
              <w:rPr>
                <w:rFonts w:ascii="Times New Roman"/>
                <w:sz w:val="20"/>
              </w:rPr>
            </w:pPr>
          </w:p>
        </w:tc>
        <w:tc>
          <w:tcPr>
            <w:tcW w:w="1485" w:type="dxa"/>
          </w:tcPr>
          <w:p>
            <w:pPr>
              <w:pStyle w:val="TableParagraph"/>
              <w:spacing w:line="201" w:lineRule="auto" w:before="141"/>
              <w:ind w:left="264" w:right="162"/>
              <w:rPr>
                <w:rFonts w:ascii="Microsoft JhengHei" w:eastAsia="Microsoft JhengHei" w:hint="eastAsia"/>
                <w:b/>
                <w:sz w:val="21"/>
              </w:rPr>
            </w:pPr>
            <w:r>
              <w:rPr>
                <w:rFonts w:ascii="Microsoft JhengHei" w:eastAsia="Microsoft JhengHei" w:hint="eastAsia"/>
                <w:b/>
                <w:sz w:val="21"/>
              </w:rPr>
              <w:t>2.冠状动脉介入手术</w:t>
            </w:r>
          </w:p>
        </w:tc>
        <w:tc>
          <w:tcPr>
            <w:tcW w:w="6134" w:type="dxa"/>
          </w:tcPr>
          <w:p>
            <w:pPr>
              <w:pStyle w:val="TableParagraph"/>
              <w:spacing w:line="271" w:lineRule="auto" w:before="150"/>
              <w:ind w:left="167" w:right="99"/>
              <w:jc w:val="both"/>
              <w:rPr>
                <w:sz w:val="21"/>
              </w:rPr>
            </w:pPr>
            <w:r>
              <w:rPr>
                <w:spacing w:val="-6"/>
                <w:sz w:val="21"/>
              </w:rPr>
              <w:t>指被保险人为了治疗明显的冠状动脉狭窄性疾病，首次实际实施</w:t>
            </w:r>
            <w:r>
              <w:rPr>
                <w:spacing w:val="-7"/>
                <w:sz w:val="21"/>
              </w:rPr>
              <w:t>了冠状动脉球囊扩张成形术、冠状动脉支架植入术、冠状动脉粥</w:t>
            </w:r>
            <w:r>
              <w:rPr>
                <w:spacing w:val="-6"/>
                <w:sz w:val="21"/>
              </w:rPr>
              <w:t>肿斑块切除术或激光冠状动脉成形术。</w:t>
            </w:r>
          </w:p>
        </w:tc>
      </w:tr>
      <w:tr>
        <w:trPr>
          <w:trHeight w:val="431" w:hRule="atLeast"/>
        </w:trPr>
        <w:tc>
          <w:tcPr>
            <w:tcW w:w="686" w:type="dxa"/>
          </w:tcPr>
          <w:p>
            <w:pPr>
              <w:pStyle w:val="TableParagraph"/>
              <w:ind w:left="0"/>
              <w:rPr>
                <w:rFonts w:ascii="Times New Roman"/>
                <w:sz w:val="20"/>
              </w:rPr>
            </w:pPr>
          </w:p>
        </w:tc>
        <w:tc>
          <w:tcPr>
            <w:tcW w:w="1485" w:type="dxa"/>
          </w:tcPr>
          <w:p>
            <w:pPr>
              <w:pStyle w:val="TableParagraph"/>
              <w:spacing w:line="342" w:lineRule="exact" w:before="69"/>
              <w:ind w:left="264"/>
              <w:rPr>
                <w:rFonts w:ascii="Microsoft JhengHei" w:eastAsia="Microsoft JhengHei" w:hint="eastAsia"/>
                <w:b/>
                <w:sz w:val="21"/>
              </w:rPr>
            </w:pPr>
            <w:r>
              <w:rPr>
                <w:rFonts w:ascii="Microsoft JhengHei" w:eastAsia="Microsoft JhengHei" w:hint="eastAsia"/>
                <w:b/>
                <w:sz w:val="21"/>
              </w:rPr>
              <w:t>3.轻微脑中</w:t>
            </w:r>
          </w:p>
        </w:tc>
        <w:tc>
          <w:tcPr>
            <w:tcW w:w="6134" w:type="dxa"/>
          </w:tcPr>
          <w:p>
            <w:pPr>
              <w:pStyle w:val="TableParagraph"/>
              <w:spacing w:line="256" w:lineRule="exact" w:before="155"/>
              <w:ind w:left="167"/>
              <w:rPr>
                <w:sz w:val="21"/>
              </w:rPr>
            </w:pPr>
            <w:r>
              <w:rPr>
                <w:sz w:val="21"/>
              </w:rPr>
              <w:t>指被保险人因非意外原因实际发生了脑血管的突发病变出现神</w:t>
            </w:r>
          </w:p>
        </w:tc>
      </w:tr>
    </w:tbl>
    <w:p>
      <w:pPr>
        <w:spacing w:after="0" w:line="256" w:lineRule="exact"/>
        <w:rPr>
          <w:sz w:val="21"/>
        </w:rPr>
        <w:sectPr>
          <w:pgSz w:w="11910" w:h="16840"/>
          <w:pgMar w:header="0" w:footer="150" w:top="740" w:bottom="340" w:left="1680" w:right="16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1679" w:hRule="atLeast"/>
        </w:trPr>
        <w:tc>
          <w:tcPr>
            <w:tcW w:w="1475" w:type="dxa"/>
          </w:tcPr>
          <w:p>
            <w:pPr>
              <w:pStyle w:val="TableParagraph"/>
              <w:spacing w:line="217" w:lineRule="exact"/>
              <w:ind w:left="200"/>
              <w:rPr>
                <w:rFonts w:ascii="Microsoft JhengHei" w:eastAsia="Microsoft JhengHei" w:hint="eastAsia"/>
                <w:b/>
                <w:sz w:val="21"/>
              </w:rPr>
            </w:pPr>
            <w:r>
              <w:rPr>
                <w:rFonts w:ascii="Microsoft JhengHei" w:eastAsia="Microsoft JhengHei" w:hint="eastAsia"/>
                <w:b/>
                <w:w w:val="100"/>
                <w:sz w:val="21"/>
              </w:rPr>
              <w:t>风</w:t>
            </w:r>
          </w:p>
        </w:tc>
        <w:tc>
          <w:tcPr>
            <w:tcW w:w="6284" w:type="dxa"/>
          </w:tcPr>
          <w:p>
            <w:pPr>
              <w:pStyle w:val="TableParagraph"/>
              <w:spacing w:line="228" w:lineRule="exact"/>
              <w:rPr>
                <w:sz w:val="21"/>
              </w:rPr>
            </w:pPr>
            <w:r>
              <w:rPr>
                <w:spacing w:val="-7"/>
                <w:w w:val="100"/>
                <w:sz w:val="21"/>
              </w:rPr>
              <w:t>经系统功能障碍表现，头颅断层扫描</w:t>
            </w:r>
            <w:r>
              <w:rPr>
                <w:spacing w:val="0"/>
                <w:w w:val="100"/>
                <w:sz w:val="21"/>
              </w:rPr>
              <w:t>（</w:t>
            </w:r>
            <w:r>
              <w:rPr>
                <w:rFonts w:ascii="Times New Roman" w:eastAsia="Times New Roman"/>
                <w:spacing w:val="-2"/>
                <w:w w:val="100"/>
                <w:sz w:val="21"/>
              </w:rPr>
              <w:t>C</w:t>
            </w:r>
            <w:r>
              <w:rPr>
                <w:rFonts w:ascii="Times New Roman" w:eastAsia="Times New Roman"/>
                <w:spacing w:val="-5"/>
                <w:w w:val="100"/>
                <w:sz w:val="21"/>
              </w:rPr>
              <w:t>T</w:t>
            </w:r>
            <w:r>
              <w:rPr>
                <w:spacing w:val="-106"/>
                <w:w w:val="100"/>
                <w:sz w:val="21"/>
              </w:rPr>
              <w:t>）</w:t>
            </w:r>
            <w:r>
              <w:rPr>
                <w:spacing w:val="-15"/>
                <w:w w:val="100"/>
                <w:sz w:val="21"/>
              </w:rPr>
              <w:t>、核磁共振</w:t>
            </w:r>
            <w:r>
              <w:rPr>
                <w:spacing w:val="0"/>
                <w:w w:val="100"/>
                <w:sz w:val="21"/>
              </w:rPr>
              <w:t>（</w:t>
            </w:r>
            <w:r>
              <w:rPr>
                <w:rFonts w:ascii="Times New Roman" w:eastAsia="Times New Roman"/>
                <w:w w:val="100"/>
                <w:sz w:val="21"/>
              </w:rPr>
              <w:t>M</w:t>
            </w:r>
            <w:r>
              <w:rPr>
                <w:rFonts w:ascii="Times New Roman" w:eastAsia="Times New Roman"/>
                <w:spacing w:val="-3"/>
                <w:w w:val="100"/>
                <w:sz w:val="21"/>
              </w:rPr>
              <w:t>R</w:t>
            </w:r>
            <w:r>
              <w:rPr>
                <w:rFonts w:ascii="Times New Roman" w:eastAsia="Times New Roman"/>
                <w:spacing w:val="-4"/>
                <w:w w:val="100"/>
                <w:sz w:val="21"/>
              </w:rPr>
              <w:t>I</w:t>
            </w:r>
            <w:r>
              <w:rPr>
                <w:spacing w:val="-34"/>
                <w:w w:val="100"/>
                <w:sz w:val="21"/>
              </w:rPr>
              <w:t>）等</w:t>
            </w:r>
          </w:p>
          <w:p>
            <w:pPr>
              <w:pStyle w:val="TableParagraph"/>
              <w:spacing w:line="261" w:lineRule="auto" w:before="21"/>
              <w:ind w:right="198"/>
              <w:rPr>
                <w:sz w:val="21"/>
              </w:rPr>
            </w:pPr>
            <w:r>
              <w:rPr>
                <w:spacing w:val="-11"/>
                <w:sz w:val="21"/>
              </w:rPr>
              <w:t>影像学检查证实存在对应病灶，确诊为脑出血、脑栓塞或脑梗塞， 虽未达到本合同所指重大疾病“脑中风后遗症</w:t>
            </w:r>
            <w:r>
              <w:rPr>
                <w:rFonts w:ascii="Times New Roman" w:hAnsi="Times New Roman" w:eastAsia="Times New Roman"/>
                <w:sz w:val="21"/>
              </w:rPr>
              <w:t>”</w:t>
            </w:r>
            <w:r>
              <w:rPr>
                <w:spacing w:val="-10"/>
                <w:sz w:val="21"/>
              </w:rPr>
              <w:t>的给付标准，在确</w:t>
            </w:r>
            <w:r>
              <w:rPr>
                <w:spacing w:val="-32"/>
                <w:sz w:val="21"/>
              </w:rPr>
              <w:t>诊 </w:t>
            </w:r>
            <w:r>
              <w:rPr>
                <w:rFonts w:ascii="Times New Roman" w:hAnsi="Times New Roman" w:eastAsia="Times New Roman"/>
                <w:sz w:val="21"/>
              </w:rPr>
              <w:t>180</w:t>
            </w:r>
            <w:r>
              <w:rPr>
                <w:rFonts w:ascii="Times New Roman" w:hAnsi="Times New Roman" w:eastAsia="Times New Roman"/>
                <w:spacing w:val="-2"/>
                <w:sz w:val="21"/>
              </w:rPr>
              <w:t> </w:t>
            </w:r>
            <w:r>
              <w:rPr>
                <w:spacing w:val="-6"/>
                <w:sz w:val="21"/>
              </w:rPr>
              <w:t>天后仍然遗留一肢或一肢以上肢体肌力 </w:t>
            </w:r>
            <w:r>
              <w:rPr>
                <w:rFonts w:ascii="Times New Roman" w:hAnsi="Times New Roman" w:eastAsia="Times New Roman"/>
                <w:spacing w:val="-3"/>
                <w:sz w:val="21"/>
              </w:rPr>
              <w:t>III</w:t>
            </w:r>
            <w:r>
              <w:rPr>
                <w:rFonts w:ascii="Times New Roman" w:hAnsi="Times New Roman" w:eastAsia="Times New Roman"/>
                <w:spacing w:val="-5"/>
                <w:sz w:val="21"/>
              </w:rPr>
              <w:t> </w:t>
            </w:r>
            <w:r>
              <w:rPr>
                <w:spacing w:val="-18"/>
                <w:sz w:val="21"/>
              </w:rPr>
              <w:t>级或 </w:t>
            </w:r>
            <w:r>
              <w:rPr>
                <w:rFonts w:ascii="Times New Roman" w:hAnsi="Times New Roman" w:eastAsia="Times New Roman"/>
                <w:sz w:val="21"/>
              </w:rPr>
              <w:t>III</w:t>
            </w:r>
            <w:r>
              <w:rPr>
                <w:rFonts w:ascii="Times New Roman" w:hAnsi="Times New Roman" w:eastAsia="Times New Roman"/>
                <w:spacing w:val="-4"/>
                <w:sz w:val="21"/>
              </w:rPr>
              <w:t> </w:t>
            </w:r>
            <w:r>
              <w:rPr>
                <w:sz w:val="21"/>
              </w:rPr>
              <w:t>级以下</w:t>
            </w:r>
            <w:r>
              <w:rPr>
                <w:spacing w:val="-1"/>
                <w:sz w:val="21"/>
              </w:rPr>
              <w:t>的运动功能障碍。</w:t>
            </w:r>
          </w:p>
        </w:tc>
      </w:tr>
      <w:tr>
        <w:trPr>
          <w:trHeight w:val="1253" w:hRule="atLeast"/>
        </w:trPr>
        <w:tc>
          <w:tcPr>
            <w:tcW w:w="1475" w:type="dxa"/>
          </w:tcPr>
          <w:p>
            <w:pPr>
              <w:pStyle w:val="TableParagraph"/>
              <w:spacing w:line="204" w:lineRule="auto" w:before="132"/>
              <w:ind w:left="200" w:right="218"/>
              <w:rPr>
                <w:rFonts w:ascii="Microsoft JhengHei" w:eastAsia="Microsoft JhengHei" w:hint="eastAsia"/>
                <w:b/>
                <w:sz w:val="21"/>
              </w:rPr>
            </w:pPr>
            <w:r>
              <w:rPr>
                <w:rFonts w:ascii="Microsoft JhengHei" w:eastAsia="Microsoft JhengHei" w:hint="eastAsia"/>
                <w:b/>
                <w:sz w:val="21"/>
              </w:rPr>
              <w:t>4.心脏瓣膜介入手术</w:t>
            </w:r>
          </w:p>
        </w:tc>
        <w:tc>
          <w:tcPr>
            <w:tcW w:w="6284" w:type="dxa"/>
          </w:tcPr>
          <w:p>
            <w:pPr>
              <w:pStyle w:val="TableParagraph"/>
              <w:spacing w:line="273" w:lineRule="auto" w:before="144"/>
              <w:ind w:right="304"/>
              <w:jc w:val="both"/>
              <w:rPr>
                <w:sz w:val="21"/>
              </w:rPr>
            </w:pPr>
            <w:r>
              <w:rPr>
                <w:spacing w:val="-5"/>
                <w:sz w:val="21"/>
              </w:rPr>
              <w:t>为了治疗心脏瓣膜疾病，被保险人实际接受了非开胸的经胸壁打</w:t>
            </w:r>
            <w:r>
              <w:rPr>
                <w:spacing w:val="1"/>
                <w:sz w:val="21"/>
              </w:rPr>
              <w:t>孔内镜手术或经皮经导管介入手术进行的心脏瓣膜置换或修复手术。</w:t>
            </w:r>
          </w:p>
        </w:tc>
      </w:tr>
      <w:tr>
        <w:trPr>
          <w:trHeight w:val="1905" w:hRule="atLeast"/>
        </w:trPr>
        <w:tc>
          <w:tcPr>
            <w:tcW w:w="1475" w:type="dxa"/>
          </w:tcPr>
          <w:p>
            <w:pPr>
              <w:pStyle w:val="TableParagraph"/>
              <w:spacing w:line="204" w:lineRule="auto" w:before="142"/>
              <w:ind w:left="200" w:right="218"/>
              <w:rPr>
                <w:rFonts w:ascii="Microsoft JhengHei" w:eastAsia="Microsoft JhengHei" w:hint="eastAsia"/>
                <w:b/>
                <w:sz w:val="21"/>
              </w:rPr>
            </w:pPr>
            <w:r>
              <w:rPr>
                <w:rFonts w:ascii="Microsoft JhengHei" w:eastAsia="Microsoft JhengHei" w:hint="eastAsia"/>
                <w:b/>
                <w:sz w:val="21"/>
              </w:rPr>
              <w:t>5. 脑 垂 体 瘤 、 脑 囊 肿、脑动脉瘤及脑血管瘤</w:t>
            </w:r>
          </w:p>
        </w:tc>
        <w:tc>
          <w:tcPr>
            <w:tcW w:w="6284" w:type="dxa"/>
          </w:tcPr>
          <w:p>
            <w:pPr>
              <w:pStyle w:val="TableParagraph"/>
              <w:spacing w:line="256" w:lineRule="auto" w:before="154"/>
              <w:ind w:right="301"/>
              <w:rPr>
                <w:sz w:val="21"/>
              </w:rPr>
            </w:pPr>
            <w:r>
              <w:rPr>
                <w:sz w:val="21"/>
              </w:rPr>
              <w:t>指被保险人经头颅断层扫描（</w:t>
            </w:r>
            <w:r>
              <w:rPr>
                <w:rFonts w:ascii="Cambria" w:eastAsia="Cambria"/>
                <w:sz w:val="21"/>
              </w:rPr>
              <w:t>CT</w:t>
            </w:r>
            <w:r>
              <w:rPr>
                <w:sz w:val="21"/>
              </w:rPr>
              <w:t>）、核磁共振（</w:t>
            </w:r>
            <w:r>
              <w:rPr>
                <w:rFonts w:ascii="Cambria" w:eastAsia="Cambria"/>
                <w:sz w:val="21"/>
              </w:rPr>
              <w:t>MRI</w:t>
            </w:r>
            <w:r>
              <w:rPr>
                <w:sz w:val="21"/>
              </w:rPr>
              <w:t>）或其他影像学检查被确诊为下列病变，并实际接受了手术或放射治疗。</w:t>
            </w:r>
          </w:p>
          <w:p>
            <w:pPr>
              <w:pStyle w:val="TableParagraph"/>
              <w:spacing w:before="22"/>
              <w:rPr>
                <w:sz w:val="21"/>
              </w:rPr>
            </w:pPr>
            <w:r>
              <w:rPr>
                <w:sz w:val="21"/>
              </w:rPr>
              <w:t>（</w:t>
            </w:r>
            <w:r>
              <w:rPr>
                <w:rFonts w:ascii="Cambria" w:eastAsia="Cambria"/>
                <w:sz w:val="21"/>
              </w:rPr>
              <w:t>1</w:t>
            </w:r>
            <w:r>
              <w:rPr>
                <w:sz w:val="21"/>
              </w:rPr>
              <w:t>）脑垂体瘤；</w:t>
            </w:r>
          </w:p>
          <w:p>
            <w:pPr>
              <w:pStyle w:val="TableParagraph"/>
              <w:spacing w:before="19"/>
              <w:rPr>
                <w:sz w:val="21"/>
              </w:rPr>
            </w:pPr>
            <w:r>
              <w:rPr>
                <w:sz w:val="21"/>
              </w:rPr>
              <w:t>（</w:t>
            </w:r>
            <w:r>
              <w:rPr>
                <w:rFonts w:ascii="Cambria" w:eastAsia="Cambria"/>
                <w:sz w:val="21"/>
              </w:rPr>
              <w:t>2</w:t>
            </w:r>
            <w:r>
              <w:rPr>
                <w:sz w:val="21"/>
              </w:rPr>
              <w:t>）脑囊肿；</w:t>
            </w:r>
          </w:p>
          <w:p>
            <w:pPr>
              <w:pStyle w:val="TableParagraph"/>
              <w:spacing w:before="19"/>
              <w:rPr>
                <w:sz w:val="21"/>
              </w:rPr>
            </w:pPr>
            <w:r>
              <w:rPr>
                <w:sz w:val="21"/>
              </w:rPr>
              <w:t>（</w:t>
            </w:r>
            <w:r>
              <w:rPr>
                <w:rFonts w:ascii="Cambria" w:eastAsia="Cambria"/>
                <w:sz w:val="21"/>
              </w:rPr>
              <w:t>3</w:t>
            </w:r>
            <w:r>
              <w:rPr>
                <w:sz w:val="21"/>
              </w:rPr>
              <w:t>）脑动脉瘤（尚未破裂）、脑血管瘤。</w:t>
            </w:r>
          </w:p>
        </w:tc>
      </w:tr>
      <w:tr>
        <w:trPr>
          <w:trHeight w:val="2812" w:hRule="atLeast"/>
        </w:trPr>
        <w:tc>
          <w:tcPr>
            <w:tcW w:w="1475" w:type="dxa"/>
          </w:tcPr>
          <w:p>
            <w:pPr>
              <w:pStyle w:val="TableParagraph"/>
              <w:spacing w:line="204" w:lineRule="auto" w:before="124"/>
              <w:ind w:left="200" w:right="218"/>
              <w:jc w:val="both"/>
              <w:rPr>
                <w:rFonts w:ascii="Microsoft JhengHei" w:eastAsia="Microsoft JhengHei" w:hint="eastAsia"/>
                <w:b/>
                <w:sz w:val="21"/>
              </w:rPr>
            </w:pPr>
            <w:r>
              <w:rPr>
                <w:rFonts w:ascii="Microsoft JhengHei" w:eastAsia="Microsoft JhengHei" w:hint="eastAsia"/>
                <w:b/>
                <w:sz w:val="21"/>
              </w:rPr>
              <w:t>6.视力严重受损－三周岁始理赔</w:t>
            </w:r>
          </w:p>
        </w:tc>
        <w:tc>
          <w:tcPr>
            <w:tcW w:w="6284" w:type="dxa"/>
          </w:tcPr>
          <w:p>
            <w:pPr>
              <w:pStyle w:val="TableParagraph"/>
              <w:spacing w:line="249" w:lineRule="auto" w:before="73"/>
              <w:ind w:right="277"/>
              <w:jc w:val="both"/>
              <w:rPr>
                <w:sz w:val="21"/>
              </w:rPr>
            </w:pPr>
            <w:r>
              <w:rPr>
                <w:sz w:val="21"/>
              </w:rPr>
              <w:t>指被保险人因疾病或意外伤害导致双目视力</w:t>
            </w:r>
            <w:r>
              <w:rPr>
                <w:rFonts w:ascii="微软雅黑" w:hAnsi="微软雅黑" w:eastAsia="微软雅黑" w:hint="eastAsia"/>
                <w:b/>
                <w:sz w:val="21"/>
              </w:rPr>
              <w:t>永久不可逆</w:t>
            </w:r>
            <w:r>
              <w:rPr>
                <w:sz w:val="21"/>
              </w:rPr>
              <w:t>性丧失， 虽然未达到重大疾病</w:t>
            </w:r>
            <w:r>
              <w:rPr>
                <w:rFonts w:ascii="Cambria" w:hAnsi="Cambria" w:eastAsia="Cambria"/>
                <w:sz w:val="21"/>
              </w:rPr>
              <w:t>“</w:t>
            </w:r>
            <w:r>
              <w:rPr>
                <w:sz w:val="21"/>
              </w:rPr>
              <w:t>双目失明</w:t>
            </w:r>
            <w:r>
              <w:rPr>
                <w:rFonts w:ascii="Cambria" w:hAnsi="Cambria" w:eastAsia="Cambria"/>
                <w:sz w:val="21"/>
              </w:rPr>
              <w:t>”</w:t>
            </w:r>
            <w:r>
              <w:rPr>
                <w:sz w:val="21"/>
              </w:rPr>
              <w:t>的给付标准，但满足下列条件之一：</w:t>
            </w:r>
          </w:p>
          <w:p>
            <w:pPr>
              <w:pStyle w:val="TableParagraph"/>
              <w:spacing w:line="256" w:lineRule="auto" w:before="28"/>
              <w:ind w:left="636" w:right="302" w:hanging="524"/>
              <w:rPr>
                <w:sz w:val="21"/>
              </w:rPr>
            </w:pPr>
            <w:r>
              <w:rPr>
                <w:sz w:val="21"/>
              </w:rPr>
              <w:t>（</w:t>
            </w:r>
            <w:r>
              <w:rPr>
                <w:rFonts w:ascii="Cambria" w:eastAsia="Cambria"/>
                <w:sz w:val="21"/>
              </w:rPr>
              <w:t>1</w:t>
            </w:r>
            <w:r>
              <w:rPr>
                <w:sz w:val="21"/>
              </w:rPr>
              <w:t>）双眼中较好眼矫正视力低于</w:t>
            </w:r>
            <w:r>
              <w:rPr>
                <w:rFonts w:ascii="Cambria" w:eastAsia="Cambria"/>
                <w:sz w:val="21"/>
              </w:rPr>
              <w:t>0.1</w:t>
            </w:r>
            <w:r>
              <w:rPr>
                <w:sz w:val="21"/>
              </w:rPr>
              <w:t>（采用国际标准视力表，如果使用其他视力表应进行换算）；</w:t>
            </w:r>
          </w:p>
          <w:p>
            <w:pPr>
              <w:pStyle w:val="TableParagraph"/>
              <w:spacing w:before="22"/>
              <w:rPr>
                <w:sz w:val="21"/>
              </w:rPr>
            </w:pPr>
            <w:r>
              <w:rPr>
                <w:sz w:val="21"/>
              </w:rPr>
              <w:t>（</w:t>
            </w:r>
            <w:r>
              <w:rPr>
                <w:rFonts w:ascii="Cambria" w:eastAsia="Cambria"/>
                <w:sz w:val="21"/>
              </w:rPr>
              <w:t>2</w:t>
            </w:r>
            <w:r>
              <w:rPr>
                <w:sz w:val="21"/>
              </w:rPr>
              <w:t>）双眼中较好眼视野半径小于</w:t>
            </w:r>
            <w:r>
              <w:rPr>
                <w:rFonts w:ascii="Cambria" w:eastAsia="Cambria"/>
                <w:sz w:val="21"/>
              </w:rPr>
              <w:t>20</w:t>
            </w:r>
            <w:r>
              <w:rPr>
                <w:sz w:val="21"/>
              </w:rPr>
              <w:t>度。</w:t>
            </w:r>
          </w:p>
          <w:p>
            <w:pPr>
              <w:pStyle w:val="TableParagraph"/>
              <w:spacing w:line="273" w:lineRule="auto" w:before="19"/>
              <w:ind w:right="306"/>
              <w:jc w:val="both"/>
              <w:rPr>
                <w:sz w:val="21"/>
              </w:rPr>
            </w:pPr>
            <w:r>
              <w:rPr>
                <w:sz w:val="21"/>
              </w:rPr>
              <w:t>被保险人在3周岁之前因疾病或意外导致的视力严重受损不在保障范围内。</w:t>
            </w:r>
          </w:p>
        </w:tc>
      </w:tr>
      <w:tr>
        <w:trPr>
          <w:trHeight w:val="1262" w:hRule="atLeast"/>
        </w:trPr>
        <w:tc>
          <w:tcPr>
            <w:tcW w:w="1475" w:type="dxa"/>
          </w:tcPr>
          <w:p>
            <w:pPr>
              <w:pStyle w:val="TableParagraph"/>
              <w:spacing w:line="201" w:lineRule="auto" w:before="138"/>
              <w:ind w:left="200" w:right="218"/>
              <w:rPr>
                <w:rFonts w:ascii="Microsoft JhengHei" w:eastAsia="Microsoft JhengHei" w:hint="eastAsia"/>
                <w:b/>
                <w:sz w:val="21"/>
              </w:rPr>
            </w:pPr>
            <w:r>
              <w:rPr>
                <w:rFonts w:ascii="Microsoft JhengHei" w:eastAsia="Microsoft JhengHei" w:hint="eastAsia"/>
                <w:b/>
                <w:sz w:val="21"/>
              </w:rPr>
              <w:t>7.主动脉内介入手术</w:t>
            </w:r>
          </w:p>
        </w:tc>
        <w:tc>
          <w:tcPr>
            <w:tcW w:w="6284" w:type="dxa"/>
          </w:tcPr>
          <w:p>
            <w:pPr>
              <w:pStyle w:val="TableParagraph"/>
              <w:spacing w:line="271" w:lineRule="auto" w:before="147"/>
              <w:ind w:right="303"/>
              <w:jc w:val="both"/>
              <w:rPr>
                <w:sz w:val="21"/>
              </w:rPr>
            </w:pPr>
            <w:r>
              <w:rPr>
                <w:spacing w:val="1"/>
                <w:sz w:val="21"/>
              </w:rPr>
              <w:t>指被保险人为了治疗主动脉疾病实际实施了经皮经导管进行的</w:t>
            </w:r>
            <w:r>
              <w:rPr>
                <w:spacing w:val="-6"/>
                <w:sz w:val="21"/>
              </w:rPr>
              <w:t>动脉内手术。主动脉指胸主动脉和腹主动脉，不包括胸主动脉和</w:t>
            </w:r>
            <w:r>
              <w:rPr>
                <w:spacing w:val="-5"/>
                <w:sz w:val="21"/>
              </w:rPr>
              <w:t>腹主动脉的分支血管。</w:t>
            </w:r>
          </w:p>
        </w:tc>
      </w:tr>
      <w:tr>
        <w:trPr>
          <w:trHeight w:val="1255" w:hRule="atLeast"/>
        </w:trPr>
        <w:tc>
          <w:tcPr>
            <w:tcW w:w="1475" w:type="dxa"/>
          </w:tcPr>
          <w:p>
            <w:pPr>
              <w:pStyle w:val="TableParagraph"/>
              <w:spacing w:line="336" w:lineRule="exact" w:before="80"/>
              <w:ind w:left="200"/>
              <w:rPr>
                <w:rFonts w:ascii="Microsoft JhengHei" w:eastAsia="Microsoft JhengHei" w:hint="eastAsia"/>
                <w:b/>
                <w:sz w:val="21"/>
              </w:rPr>
            </w:pPr>
            <w:r>
              <w:rPr>
                <w:rFonts w:ascii="Microsoft JhengHei" w:eastAsia="Microsoft JhengHei" w:hint="eastAsia"/>
                <w:b/>
                <w:sz w:val="21"/>
              </w:rPr>
              <w:t>8.较小面积</w:t>
            </w:r>
          </w:p>
          <w:p>
            <w:pPr>
              <w:pStyle w:val="TableParagraph"/>
              <w:spacing w:line="310" w:lineRule="exact"/>
              <w:ind w:left="200"/>
              <w:rPr>
                <w:rFonts w:ascii="Microsoft JhengHei" w:eastAsia="Microsoft JhengHei" w:hint="eastAsia"/>
                <w:b/>
                <w:sz w:val="21"/>
              </w:rPr>
            </w:pPr>
            <w:r>
              <w:rPr>
                <w:rFonts w:ascii="Microsoft JhengHei" w:eastAsia="Microsoft JhengHei" w:hint="eastAsia"/>
                <w:b/>
                <w:w w:val="115"/>
                <w:sz w:val="21"/>
              </w:rPr>
              <w:t>III 度烧伤</w:t>
            </w:r>
          </w:p>
          <w:p>
            <w:pPr>
              <w:pStyle w:val="TableParagraph"/>
              <w:spacing w:line="339" w:lineRule="exact"/>
              <w:ind w:left="200"/>
              <w:rPr>
                <w:rFonts w:ascii="Microsoft JhengHei" w:hAnsi="Microsoft JhengHei" w:eastAsia="Microsoft JhengHei" w:hint="eastAsia"/>
                <w:b/>
                <w:sz w:val="21"/>
              </w:rPr>
            </w:pPr>
            <w:r>
              <w:rPr>
                <w:rFonts w:ascii="Microsoft JhengHei" w:hAnsi="Microsoft JhengHei" w:eastAsia="Microsoft JhengHei" w:hint="eastAsia"/>
                <w:b/>
                <w:sz w:val="21"/>
              </w:rPr>
              <w:t>（10）</w:t>
            </w:r>
          </w:p>
        </w:tc>
        <w:tc>
          <w:tcPr>
            <w:tcW w:w="6284" w:type="dxa"/>
          </w:tcPr>
          <w:p>
            <w:pPr>
              <w:pStyle w:val="TableParagraph"/>
              <w:spacing w:line="268" w:lineRule="auto" w:before="147"/>
              <w:ind w:right="254"/>
              <w:rPr>
                <w:sz w:val="21"/>
              </w:rPr>
            </w:pPr>
            <w:r>
              <w:rPr>
                <w:spacing w:val="-5"/>
                <w:sz w:val="21"/>
              </w:rPr>
              <w:t>指被保险人的烧伤程度为Ⅲ度，且Ⅲ度烧伤的面积大于全身体表</w:t>
            </w:r>
            <w:r>
              <w:rPr>
                <w:spacing w:val="-14"/>
                <w:sz w:val="21"/>
              </w:rPr>
              <w:t>面积的 </w:t>
            </w:r>
            <w:r>
              <w:rPr>
                <w:rFonts w:ascii="Times New Roman" w:hAnsi="Times New Roman" w:eastAsia="Times New Roman"/>
                <w:sz w:val="21"/>
              </w:rPr>
              <w:t>10%</w:t>
            </w:r>
            <w:r>
              <w:rPr>
                <w:spacing w:val="-12"/>
                <w:sz w:val="21"/>
              </w:rPr>
              <w:t>但小于 </w:t>
            </w:r>
            <w:r>
              <w:rPr>
                <w:rFonts w:ascii="Times New Roman" w:hAnsi="Times New Roman" w:eastAsia="Times New Roman"/>
                <w:sz w:val="21"/>
              </w:rPr>
              <w:t>20%</w:t>
            </w:r>
            <w:r>
              <w:rPr>
                <w:spacing w:val="-5"/>
                <w:sz w:val="21"/>
              </w:rPr>
              <w:t>。体表面积根据《中国新九分法》计算。</w:t>
            </w:r>
          </w:p>
        </w:tc>
      </w:tr>
      <w:tr>
        <w:trPr>
          <w:trHeight w:val="1277" w:hRule="atLeast"/>
        </w:trPr>
        <w:tc>
          <w:tcPr>
            <w:tcW w:w="1475" w:type="dxa"/>
          </w:tcPr>
          <w:p>
            <w:pPr>
              <w:pStyle w:val="TableParagraph"/>
              <w:spacing w:line="201" w:lineRule="auto" w:before="146"/>
              <w:ind w:left="200" w:right="218"/>
              <w:rPr>
                <w:rFonts w:ascii="Microsoft JhengHei" w:eastAsia="Microsoft JhengHei" w:hint="eastAsia"/>
                <w:b/>
                <w:sz w:val="21"/>
              </w:rPr>
            </w:pPr>
            <w:r>
              <w:rPr>
                <w:rFonts w:ascii="Microsoft JhengHei" w:eastAsia="Microsoft JhengHei" w:hint="eastAsia"/>
                <w:b/>
                <w:sz w:val="21"/>
              </w:rPr>
              <w:t>9.植入大脑内分流器</w:t>
            </w:r>
          </w:p>
        </w:tc>
        <w:tc>
          <w:tcPr>
            <w:tcW w:w="6284" w:type="dxa"/>
          </w:tcPr>
          <w:p>
            <w:pPr>
              <w:pStyle w:val="TableParagraph"/>
              <w:spacing w:line="237" w:lineRule="auto" w:before="132"/>
              <w:ind w:right="308"/>
              <w:jc w:val="both"/>
              <w:rPr>
                <w:sz w:val="24"/>
              </w:rPr>
            </w:pPr>
            <w:r>
              <w:rPr>
                <w:spacing w:val="11"/>
                <w:sz w:val="24"/>
              </w:rPr>
              <w:t>植入大脑内分流器是指确实在脑室进行分流器植入手</w:t>
            </w:r>
            <w:r>
              <w:rPr>
                <w:spacing w:val="-13"/>
                <w:sz w:val="24"/>
              </w:rPr>
              <w:t>术，以缓解升高的脑脊液压力。必须由脑神经专科医生证实植入分流器为医疗所需。</w:t>
            </w:r>
          </w:p>
        </w:tc>
      </w:tr>
      <w:tr>
        <w:trPr>
          <w:trHeight w:val="3128" w:hRule="atLeast"/>
        </w:trPr>
        <w:tc>
          <w:tcPr>
            <w:tcW w:w="1475" w:type="dxa"/>
          </w:tcPr>
          <w:p>
            <w:pPr>
              <w:pStyle w:val="TableParagraph"/>
              <w:spacing w:line="201" w:lineRule="auto" w:before="132"/>
              <w:ind w:left="200" w:right="112"/>
              <w:rPr>
                <w:rFonts w:ascii="Microsoft JhengHei" w:eastAsia="Microsoft JhengHei" w:hint="eastAsia"/>
                <w:b/>
                <w:sz w:val="21"/>
              </w:rPr>
            </w:pPr>
            <w:r>
              <w:rPr>
                <w:rFonts w:ascii="Microsoft JhengHei" w:eastAsia="Microsoft JhengHei" w:hint="eastAsia"/>
                <w:b/>
                <w:sz w:val="21"/>
              </w:rPr>
              <w:t>10.重症头部外伤</w:t>
            </w:r>
          </w:p>
        </w:tc>
        <w:tc>
          <w:tcPr>
            <w:tcW w:w="6284" w:type="dxa"/>
          </w:tcPr>
          <w:p>
            <w:pPr>
              <w:pStyle w:val="TableParagraph"/>
              <w:spacing w:line="264" w:lineRule="auto" w:before="140"/>
              <w:ind w:right="198"/>
              <w:rPr>
                <w:sz w:val="21"/>
              </w:rPr>
            </w:pPr>
            <w:r>
              <w:rPr>
                <w:spacing w:val="-6"/>
                <w:sz w:val="21"/>
              </w:rPr>
              <w:t>指因头部遭受机械性外力伤害，引起脑重要部位损伤，并且由头颅断层扫描</w:t>
            </w:r>
            <w:r>
              <w:rPr>
                <w:sz w:val="21"/>
              </w:rPr>
              <w:t>（</w:t>
            </w:r>
            <w:r>
              <w:rPr>
                <w:rFonts w:ascii="Cambria" w:hAnsi="Cambria" w:eastAsia="Cambria"/>
                <w:sz w:val="21"/>
              </w:rPr>
              <w:t>CT</w:t>
            </w:r>
            <w:r>
              <w:rPr>
                <w:sz w:val="21"/>
              </w:rPr>
              <w:t>）</w:t>
            </w:r>
            <w:r>
              <w:rPr>
                <w:spacing w:val="-3"/>
                <w:sz w:val="21"/>
              </w:rPr>
              <w:t>、核磁共振检查</w:t>
            </w:r>
            <w:r>
              <w:rPr>
                <w:sz w:val="21"/>
              </w:rPr>
              <w:t>（</w:t>
            </w:r>
            <w:r>
              <w:rPr>
                <w:rFonts w:ascii="Cambria" w:hAnsi="Cambria" w:eastAsia="Cambria"/>
                <w:sz w:val="21"/>
              </w:rPr>
              <w:t>MRI</w:t>
            </w:r>
            <w:r>
              <w:rPr>
                <w:sz w:val="21"/>
              </w:rPr>
              <w:t>）</w:t>
            </w:r>
            <w:r>
              <w:rPr>
                <w:spacing w:val="-3"/>
                <w:sz w:val="21"/>
              </w:rPr>
              <w:t>或正电子发射断层扫</w:t>
            </w:r>
            <w:r>
              <w:rPr>
                <w:spacing w:val="-24"/>
                <w:sz w:val="21"/>
              </w:rPr>
              <w:t>描</w:t>
            </w:r>
            <w:r>
              <w:rPr>
                <w:spacing w:val="-6"/>
                <w:sz w:val="21"/>
              </w:rPr>
              <w:t>（</w:t>
            </w:r>
            <w:r>
              <w:rPr>
                <w:rFonts w:ascii="Cambria" w:hAnsi="Cambria" w:eastAsia="Cambria"/>
                <w:spacing w:val="-6"/>
                <w:sz w:val="21"/>
              </w:rPr>
              <w:t>PET</w:t>
            </w:r>
            <w:r>
              <w:rPr>
                <w:spacing w:val="-6"/>
                <w:sz w:val="21"/>
              </w:rPr>
              <w:t>）等影像学检查证实。头部外伤导致神经系统功能障碍， 虽然未达到重大疾病“严重脑损伤”的给付标准，但是符合以下条件之一：</w:t>
            </w:r>
          </w:p>
          <w:p>
            <w:pPr>
              <w:pStyle w:val="TableParagraph"/>
              <w:spacing w:line="256" w:lineRule="auto" w:before="16"/>
              <w:ind w:left="636" w:right="303" w:hanging="524"/>
              <w:rPr>
                <w:sz w:val="21"/>
              </w:rPr>
            </w:pPr>
            <w:r>
              <w:rPr>
                <w:spacing w:val="-24"/>
                <w:sz w:val="21"/>
              </w:rPr>
              <w:t>（</w:t>
            </w:r>
            <w:r>
              <w:rPr>
                <w:rFonts w:ascii="Cambria" w:eastAsia="Cambria"/>
                <w:spacing w:val="-24"/>
                <w:sz w:val="21"/>
              </w:rPr>
              <w:t>1</w:t>
            </w:r>
            <w:r>
              <w:rPr>
                <w:spacing w:val="-24"/>
                <w:sz w:val="21"/>
              </w:rPr>
              <w:t>）</w:t>
            </w:r>
            <w:r>
              <w:rPr>
                <w:spacing w:val="-9"/>
                <w:sz w:val="21"/>
              </w:rPr>
              <w:t>被保险人接受了全麻下颅骨切开颅内血肿清除术</w:t>
            </w:r>
            <w:r>
              <w:rPr>
                <w:sz w:val="21"/>
              </w:rPr>
              <w:t>（颅骨钻孔术除外）；</w:t>
            </w:r>
          </w:p>
          <w:p>
            <w:pPr>
              <w:pStyle w:val="TableParagraph"/>
              <w:spacing w:line="256" w:lineRule="auto" w:before="22"/>
              <w:ind w:left="636" w:right="312" w:hanging="524"/>
              <w:rPr>
                <w:sz w:val="21"/>
              </w:rPr>
            </w:pPr>
            <w:r>
              <w:rPr>
                <w:sz w:val="21"/>
              </w:rPr>
              <w:t>（</w:t>
            </w:r>
            <w:r>
              <w:rPr>
                <w:rFonts w:ascii="Cambria" w:eastAsia="Cambria"/>
                <w:sz w:val="21"/>
              </w:rPr>
              <w:t>2</w:t>
            </w:r>
            <w:r>
              <w:rPr>
                <w:sz w:val="21"/>
              </w:rPr>
              <w:t>）在外伤</w:t>
            </w:r>
            <w:r>
              <w:rPr>
                <w:rFonts w:ascii="Cambria" w:eastAsia="Cambria"/>
                <w:sz w:val="21"/>
              </w:rPr>
              <w:t>180</w:t>
            </w:r>
            <w:r>
              <w:rPr>
                <w:sz w:val="21"/>
              </w:rPr>
              <w:t>天后仍然遗留一肢或一肢以上肢体肌力</w:t>
            </w:r>
            <w:r>
              <w:rPr>
                <w:rFonts w:ascii="Cambria" w:eastAsia="Cambria"/>
                <w:sz w:val="21"/>
              </w:rPr>
              <w:t>III</w:t>
            </w:r>
            <w:r>
              <w:rPr>
                <w:sz w:val="21"/>
              </w:rPr>
              <w:t>级或</w:t>
            </w:r>
            <w:r>
              <w:rPr>
                <w:rFonts w:ascii="Cambria" w:eastAsia="Cambria"/>
                <w:sz w:val="21"/>
              </w:rPr>
              <w:t>II </w:t>
            </w:r>
            <w:r>
              <w:rPr>
                <w:sz w:val="21"/>
              </w:rPr>
              <w:t>级以下的运动功能障碍。</w:t>
            </w:r>
          </w:p>
        </w:tc>
      </w:tr>
      <w:tr>
        <w:trPr>
          <w:trHeight w:val="734" w:hRule="atLeast"/>
        </w:trPr>
        <w:tc>
          <w:tcPr>
            <w:tcW w:w="1475" w:type="dxa"/>
          </w:tcPr>
          <w:p>
            <w:pPr>
              <w:pStyle w:val="TableParagraph"/>
              <w:spacing w:line="308" w:lineRule="exact" w:before="146"/>
              <w:ind w:left="200" w:right="112"/>
              <w:rPr>
                <w:rFonts w:ascii="Microsoft JhengHei" w:eastAsia="Microsoft JhengHei" w:hint="eastAsia"/>
                <w:b/>
                <w:sz w:val="21"/>
              </w:rPr>
            </w:pPr>
            <w:r>
              <w:rPr>
                <w:rFonts w:ascii="Microsoft JhengHei" w:eastAsia="Microsoft JhengHei" w:hint="eastAsia"/>
                <w:b/>
                <w:sz w:val="21"/>
              </w:rPr>
              <w:t>11.单个肢体缺失</w:t>
            </w:r>
          </w:p>
        </w:tc>
        <w:tc>
          <w:tcPr>
            <w:tcW w:w="6284" w:type="dxa"/>
          </w:tcPr>
          <w:p>
            <w:pPr>
              <w:pStyle w:val="TableParagraph"/>
              <w:spacing w:line="300" w:lineRule="atLeast" w:before="122"/>
              <w:ind w:right="261"/>
              <w:rPr>
                <w:sz w:val="21"/>
              </w:rPr>
            </w:pPr>
            <w:r>
              <w:rPr>
                <w:sz w:val="21"/>
              </w:rPr>
              <w:t>指因疾病或意外伤害导致一个肢体自腕关节或踝关节近端（靠近躯干端）以上完全性断离。</w:t>
            </w:r>
          </w:p>
        </w:tc>
      </w:tr>
    </w:tbl>
    <w:p>
      <w:pPr>
        <w:rPr>
          <w:sz w:val="2"/>
          <w:szCs w:val="2"/>
        </w:rPr>
      </w:pPr>
      <w:r>
        <w:rPr/>
        <w:drawing>
          <wp:anchor distT="0" distB="0" distL="0" distR="0" allowOverlap="1" layoutInCell="1" locked="0" behindDoc="1" simplePos="0" relativeHeight="268382615">
            <wp:simplePos x="0" y="0"/>
            <wp:positionH relativeFrom="page">
              <wp:posOffset>2015363</wp:posOffset>
            </wp:positionH>
            <wp:positionV relativeFrom="page">
              <wp:posOffset>6688708</wp:posOffset>
            </wp:positionV>
            <wp:extent cx="62864" cy="9429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2864" cy="94297"/>
                    </a:xfrm>
                    <a:prstGeom prst="rect">
                      <a:avLst/>
                    </a:prstGeom>
                  </pic:spPr>
                </pic:pic>
              </a:graphicData>
            </a:graphic>
          </wp:anchor>
        </w:drawing>
      </w:r>
    </w:p>
    <w:p>
      <w:pPr>
        <w:spacing w:after="0"/>
        <w:rPr>
          <w:sz w:val="2"/>
          <w:szCs w:val="2"/>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81"/>
      </w:tblGrid>
      <w:tr>
        <w:trPr>
          <w:trHeight w:val="736"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12.单侧肺脏</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切除</w:t>
            </w:r>
          </w:p>
        </w:tc>
        <w:tc>
          <w:tcPr>
            <w:tcW w:w="6181" w:type="dxa"/>
          </w:tcPr>
          <w:p>
            <w:pPr>
              <w:pStyle w:val="TableParagraph"/>
              <w:spacing w:line="211" w:lineRule="exact"/>
              <w:rPr>
                <w:sz w:val="21"/>
              </w:rPr>
            </w:pPr>
            <w:r>
              <w:rPr>
                <w:sz w:val="21"/>
              </w:rPr>
              <w:t>指因疾病或意外事故实际实施的一侧肺脏切除术。</w:t>
            </w:r>
          </w:p>
          <w:p>
            <w:pPr>
              <w:pStyle w:val="TableParagraph"/>
              <w:spacing w:before="37"/>
              <w:rPr>
                <w:sz w:val="21"/>
              </w:rPr>
            </w:pPr>
            <w:r>
              <w:rPr>
                <w:sz w:val="21"/>
              </w:rPr>
              <w:t>肺脏部分切除手术和肺脏捐献引起的手术不在保障范围内。</w:t>
            </w:r>
          </w:p>
        </w:tc>
      </w:tr>
      <w:tr>
        <w:trPr>
          <w:trHeight w:val="1575"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13.肝脏手术</w:t>
            </w:r>
          </w:p>
        </w:tc>
        <w:tc>
          <w:tcPr>
            <w:tcW w:w="6181" w:type="dxa"/>
          </w:tcPr>
          <w:p>
            <w:pPr>
              <w:pStyle w:val="TableParagraph"/>
              <w:spacing w:line="273" w:lineRule="auto" w:before="150"/>
              <w:ind w:right="169"/>
              <w:rPr>
                <w:sz w:val="21"/>
              </w:rPr>
            </w:pPr>
            <w:r>
              <w:rPr>
                <w:sz w:val="21"/>
              </w:rPr>
              <w:t>指为治疗肝脏肿瘤、肝内胆管结石、肝脓肿、肝包虫病等疾病而实际实施的肝脏部分切除术。</w:t>
            </w:r>
          </w:p>
          <w:p>
            <w:pPr>
              <w:pStyle w:val="TableParagraph"/>
              <w:spacing w:line="273" w:lineRule="auto" w:before="8"/>
              <w:ind w:right="206"/>
              <w:rPr>
                <w:sz w:val="21"/>
              </w:rPr>
            </w:pPr>
            <w:r>
              <w:rPr>
                <w:sz w:val="21"/>
              </w:rPr>
              <w:t>因酒精或者滥用药物引致的疾病或者紊乱及／或者因捐赠肝脏而所需的肝脏手术均不在保障范围内。</w:t>
            </w:r>
          </w:p>
        </w:tc>
      </w:tr>
      <w:tr>
        <w:trPr>
          <w:trHeight w:val="1572"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14.早期运动神经性疾病</w:t>
            </w:r>
          </w:p>
        </w:tc>
        <w:tc>
          <w:tcPr>
            <w:tcW w:w="6181" w:type="dxa"/>
          </w:tcPr>
          <w:p>
            <w:pPr>
              <w:pStyle w:val="TableParagraph"/>
              <w:spacing w:line="271" w:lineRule="auto" w:before="150"/>
              <w:ind w:right="200"/>
              <w:jc w:val="both"/>
              <w:rPr>
                <w:sz w:val="21"/>
              </w:rPr>
            </w:pPr>
            <w:r>
              <w:rPr>
                <w:spacing w:val="-6"/>
                <w:sz w:val="21"/>
              </w:rPr>
              <w:t>是一组中枢神经系统运动神经元的进行性变性疾病，进行性脊肌</w:t>
            </w:r>
            <w:r>
              <w:rPr>
                <w:spacing w:val="-5"/>
                <w:sz w:val="21"/>
              </w:rPr>
              <w:t>萎缩症、进行性延髓麻痹症、原发性侧索硬化症、肌萎缩性侧索</w:t>
            </w:r>
            <w:r>
              <w:rPr>
                <w:spacing w:val="-7"/>
                <w:sz w:val="21"/>
              </w:rPr>
              <w:t>硬化症。须满足自主生活能力完全丧失，无法独立完成六项基本</w:t>
            </w:r>
            <w:r>
              <w:rPr>
                <w:spacing w:val="-6"/>
                <w:sz w:val="21"/>
              </w:rPr>
              <w:t>日常生活活动中的两项。</w:t>
            </w:r>
          </w:p>
        </w:tc>
      </w:tr>
      <w:tr>
        <w:trPr>
          <w:trHeight w:val="1895"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15.人工耳蜗植入术</w:t>
            </w:r>
          </w:p>
        </w:tc>
        <w:tc>
          <w:tcPr>
            <w:tcW w:w="6181" w:type="dxa"/>
          </w:tcPr>
          <w:p>
            <w:pPr>
              <w:pStyle w:val="TableParagraph"/>
              <w:spacing w:line="271" w:lineRule="auto" w:before="152"/>
              <w:ind w:right="201"/>
              <w:jc w:val="both"/>
              <w:rPr>
                <w:sz w:val="21"/>
              </w:rPr>
            </w:pPr>
            <w:r>
              <w:rPr>
                <w:spacing w:val="-6"/>
                <w:sz w:val="21"/>
              </w:rPr>
              <w:t>指由于耳蜗的永久损害而实际实施了人工耳蜗植入手术。诊断须</w:t>
            </w:r>
            <w:r>
              <w:rPr>
                <w:spacing w:val="-7"/>
                <w:sz w:val="21"/>
              </w:rPr>
              <w:t>经专科医师确认在医学上是必要的，且在植入手术之前已经符合</w:t>
            </w:r>
            <w:r>
              <w:rPr>
                <w:spacing w:val="-6"/>
                <w:sz w:val="21"/>
              </w:rPr>
              <w:t>下       列       全       部       条       件      ：</w:t>
            </w:r>
          </w:p>
          <w:p>
            <w:pPr>
              <w:pStyle w:val="TableParagraph"/>
              <w:spacing w:before="9"/>
              <w:jc w:val="both"/>
              <w:rPr>
                <w:sz w:val="21"/>
              </w:rPr>
            </w:pPr>
            <w:r>
              <w:rPr>
                <w:sz w:val="21"/>
              </w:rPr>
              <w:t>（ </w:t>
            </w:r>
            <w:r>
              <w:rPr>
                <w:rFonts w:ascii="Cambria" w:eastAsia="Cambria"/>
                <w:sz w:val="21"/>
              </w:rPr>
              <w:t>1 </w:t>
            </w:r>
            <w:r>
              <w:rPr>
                <w:spacing w:val="60"/>
                <w:sz w:val="21"/>
              </w:rPr>
              <w:t>）</w:t>
            </w:r>
            <w:r>
              <w:rPr>
                <w:spacing w:val="26"/>
                <w:sz w:val="21"/>
              </w:rPr>
              <w:t>双耳持续 </w:t>
            </w:r>
            <w:r>
              <w:rPr>
                <w:rFonts w:ascii="Cambria" w:eastAsia="Cambria"/>
                <w:sz w:val="21"/>
              </w:rPr>
              <w:t>12 </w:t>
            </w:r>
            <w:r>
              <w:rPr>
                <w:spacing w:val="-27"/>
                <w:sz w:val="21"/>
              </w:rPr>
              <w:t>个 月 以 上 重 度 感 音 神 经 性 耳 聋 ；</w:t>
            </w:r>
          </w:p>
          <w:p>
            <w:pPr>
              <w:pStyle w:val="TableParagraph"/>
              <w:spacing w:before="19"/>
              <w:jc w:val="both"/>
              <w:rPr>
                <w:sz w:val="21"/>
              </w:rPr>
            </w:pPr>
            <w:r>
              <w:rPr>
                <w:sz w:val="21"/>
              </w:rPr>
              <w:t>（</w:t>
            </w:r>
            <w:r>
              <w:rPr>
                <w:rFonts w:ascii="Cambria" w:eastAsia="Cambria"/>
                <w:sz w:val="21"/>
              </w:rPr>
              <w:t>2</w:t>
            </w:r>
            <w:r>
              <w:rPr>
                <w:sz w:val="21"/>
              </w:rPr>
              <w:t>）使用相应的听力辅助设备效果不佳。</w:t>
            </w:r>
          </w:p>
        </w:tc>
      </w:tr>
      <w:tr>
        <w:trPr>
          <w:trHeight w:val="1254" w:hRule="atLeast"/>
        </w:trPr>
        <w:tc>
          <w:tcPr>
            <w:tcW w:w="1475" w:type="dxa"/>
          </w:tcPr>
          <w:p>
            <w:pPr>
              <w:pStyle w:val="TableParagraph"/>
              <w:spacing w:line="201" w:lineRule="auto" w:before="135"/>
              <w:ind w:left="200" w:right="112"/>
              <w:rPr>
                <w:rFonts w:ascii="Microsoft JhengHei" w:eastAsia="Microsoft JhengHei" w:hint="eastAsia"/>
                <w:b/>
                <w:sz w:val="21"/>
              </w:rPr>
            </w:pPr>
            <w:r>
              <w:rPr>
                <w:rFonts w:ascii="Microsoft JhengHei" w:eastAsia="Microsoft JhengHei" w:hint="eastAsia"/>
                <w:b/>
                <w:sz w:val="21"/>
              </w:rPr>
              <w:t>16.胆道重建手术术</w:t>
            </w:r>
          </w:p>
        </w:tc>
        <w:tc>
          <w:tcPr>
            <w:tcW w:w="6181" w:type="dxa"/>
          </w:tcPr>
          <w:p>
            <w:pPr>
              <w:pStyle w:val="TableParagraph"/>
              <w:spacing w:line="271" w:lineRule="auto" w:before="144"/>
              <w:ind w:right="206"/>
              <w:rPr>
                <w:sz w:val="21"/>
              </w:rPr>
            </w:pPr>
            <w:r>
              <w:rPr>
                <w:spacing w:val="1"/>
                <w:sz w:val="21"/>
              </w:rPr>
              <w:t>指因疾病或胆道创伤导致接受涉及胆总管小肠吻合术的胆道重</w:t>
            </w:r>
            <w:r>
              <w:rPr>
                <w:spacing w:val="-5"/>
                <w:sz w:val="21"/>
              </w:rPr>
              <w:t>建手术。手术必须在专科医生认为是医疗所需的情况下进行。 胆道闭锁并</w:t>
            </w:r>
            <w:r>
              <w:rPr>
                <w:rFonts w:ascii="Arial" w:eastAsia="Arial"/>
                <w:w w:val="115"/>
                <w:sz w:val="21"/>
              </w:rPr>
              <w:t>不</w:t>
            </w:r>
            <w:r>
              <w:rPr>
                <w:spacing w:val="-2"/>
                <w:sz w:val="21"/>
              </w:rPr>
              <w:t>在保障范围内。</w:t>
            </w:r>
          </w:p>
        </w:tc>
      </w:tr>
      <w:tr>
        <w:trPr>
          <w:trHeight w:val="1262"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17.双侧卵巢或睾丸切除术</w:t>
            </w:r>
          </w:p>
        </w:tc>
        <w:tc>
          <w:tcPr>
            <w:tcW w:w="6181" w:type="dxa"/>
          </w:tcPr>
          <w:p>
            <w:pPr>
              <w:pStyle w:val="TableParagraph"/>
              <w:spacing w:line="268" w:lineRule="auto" w:before="152"/>
              <w:ind w:right="206"/>
              <w:rPr>
                <w:sz w:val="21"/>
              </w:rPr>
            </w:pPr>
            <w:r>
              <w:rPr>
                <w:sz w:val="21"/>
              </w:rPr>
              <w:t>指为治疗疾病实际接受了经腹部切开或腹腔镜进行的双侧卵巢或睾丸完全切除手术。</w:t>
            </w:r>
          </w:p>
          <w:p>
            <w:pPr>
              <w:pStyle w:val="TableParagraph"/>
              <w:spacing w:before="12"/>
              <w:rPr>
                <w:sz w:val="21"/>
              </w:rPr>
            </w:pPr>
            <w:r>
              <w:rPr>
                <w:sz w:val="21"/>
              </w:rPr>
              <w:t>部分卵巢或睾丸切除不在保障范围。</w:t>
            </w:r>
          </w:p>
        </w:tc>
      </w:tr>
      <w:tr>
        <w:trPr>
          <w:trHeight w:val="95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18.单侧肾脏切除</w:t>
            </w:r>
          </w:p>
        </w:tc>
        <w:tc>
          <w:tcPr>
            <w:tcW w:w="6181" w:type="dxa"/>
          </w:tcPr>
          <w:p>
            <w:pPr>
              <w:pStyle w:val="TableParagraph"/>
              <w:spacing w:before="152"/>
              <w:rPr>
                <w:sz w:val="21"/>
              </w:rPr>
            </w:pPr>
            <w:r>
              <w:rPr>
                <w:sz w:val="21"/>
              </w:rPr>
              <w:t>指因疾病或意外事故实际实施的一侧肾脏切除术。</w:t>
            </w:r>
          </w:p>
          <w:p>
            <w:pPr>
              <w:pStyle w:val="TableParagraph"/>
              <w:spacing w:before="32"/>
              <w:rPr>
                <w:sz w:val="21"/>
              </w:rPr>
            </w:pPr>
            <w:r>
              <w:rPr>
                <w:sz w:val="21"/>
              </w:rPr>
              <w:t>肾脏部分切除手术和肾脏捐献引起的手术不在保障范围内。</w:t>
            </w:r>
          </w:p>
        </w:tc>
      </w:tr>
      <w:tr>
        <w:trPr>
          <w:trHeight w:val="948" w:hRule="atLeast"/>
        </w:trPr>
        <w:tc>
          <w:tcPr>
            <w:tcW w:w="1475" w:type="dxa"/>
          </w:tcPr>
          <w:p>
            <w:pPr>
              <w:pStyle w:val="TableParagraph"/>
              <w:spacing w:before="85"/>
              <w:ind w:left="0" w:right="112"/>
              <w:jc w:val="right"/>
              <w:rPr>
                <w:rFonts w:ascii="Microsoft JhengHei" w:eastAsia="Microsoft JhengHei" w:hint="eastAsia"/>
                <w:b/>
                <w:sz w:val="21"/>
              </w:rPr>
            </w:pPr>
            <w:r>
              <w:rPr>
                <w:rFonts w:ascii="Microsoft JhengHei" w:eastAsia="Microsoft JhengHei" w:hint="eastAsia"/>
                <w:b/>
                <w:sz w:val="21"/>
              </w:rPr>
              <w:t>19.肝叶切除</w:t>
            </w:r>
          </w:p>
        </w:tc>
        <w:tc>
          <w:tcPr>
            <w:tcW w:w="6181" w:type="dxa"/>
          </w:tcPr>
          <w:p>
            <w:pPr>
              <w:pStyle w:val="TableParagraph"/>
              <w:spacing w:line="268" w:lineRule="auto" w:before="152"/>
              <w:ind w:right="156"/>
              <w:rPr>
                <w:sz w:val="21"/>
              </w:rPr>
            </w:pPr>
            <w:r>
              <w:rPr>
                <w:sz w:val="21"/>
              </w:rPr>
              <w:t>因意外伤害导致的大块肝组织离断、破碎或大胆管破裂无法修补而实际实施的至少一整叶肝脏的切除手术。</w:t>
            </w:r>
          </w:p>
        </w:tc>
      </w:tr>
      <w:tr>
        <w:trPr>
          <w:trHeight w:val="2199" w:hRule="atLeast"/>
        </w:trPr>
        <w:tc>
          <w:tcPr>
            <w:tcW w:w="1475" w:type="dxa"/>
          </w:tcPr>
          <w:p>
            <w:pPr>
              <w:pStyle w:val="TableParagraph"/>
              <w:spacing w:before="83"/>
              <w:ind w:left="0" w:right="112"/>
              <w:jc w:val="right"/>
              <w:rPr>
                <w:rFonts w:ascii="Microsoft JhengHei" w:eastAsia="Microsoft JhengHei" w:hint="eastAsia"/>
                <w:b/>
                <w:sz w:val="21"/>
              </w:rPr>
            </w:pPr>
            <w:r>
              <w:rPr>
                <w:rFonts w:ascii="Microsoft JhengHei" w:eastAsia="Microsoft JhengHei" w:hint="eastAsia"/>
                <w:b/>
                <w:sz w:val="21"/>
              </w:rPr>
              <w:t>20.单耳失聪</w:t>
            </w:r>
          </w:p>
        </w:tc>
        <w:tc>
          <w:tcPr>
            <w:tcW w:w="6181" w:type="dxa"/>
          </w:tcPr>
          <w:p>
            <w:pPr>
              <w:pStyle w:val="TableParagraph"/>
              <w:spacing w:before="150"/>
              <w:rPr>
                <w:sz w:val="21"/>
              </w:rPr>
            </w:pPr>
            <w:r>
              <w:rPr>
                <w:sz w:val="21"/>
              </w:rPr>
              <w:t>指因疾病或者意外伤害导致单耳听力永久不可逆性丧失，在 500</w:t>
            </w:r>
          </w:p>
          <w:p>
            <w:pPr>
              <w:pStyle w:val="TableParagraph"/>
              <w:spacing w:line="273" w:lineRule="auto" w:before="37"/>
              <w:ind w:right="200"/>
              <w:jc w:val="both"/>
              <w:rPr>
                <w:sz w:val="21"/>
              </w:rPr>
            </w:pPr>
            <w:r>
              <w:rPr>
                <w:sz w:val="21"/>
              </w:rPr>
              <w:t>赫兹、1000</w:t>
            </w:r>
            <w:r>
              <w:rPr>
                <w:spacing w:val="-10"/>
                <w:sz w:val="21"/>
              </w:rPr>
              <w:t> 赫兹和 </w:t>
            </w:r>
            <w:r>
              <w:rPr>
                <w:sz w:val="21"/>
              </w:rPr>
              <w:t>2000</w:t>
            </w:r>
            <w:r>
              <w:rPr>
                <w:spacing w:val="-6"/>
                <w:sz w:val="21"/>
              </w:rPr>
              <w:t> 赫兹语音频率下，平均听阈大于 </w:t>
            </w:r>
            <w:r>
              <w:rPr>
                <w:sz w:val="21"/>
              </w:rPr>
              <w:t>90</w:t>
            </w:r>
            <w:r>
              <w:rPr>
                <w:spacing w:val="-13"/>
                <w:sz w:val="21"/>
              </w:rPr>
              <w:t> 分</w:t>
            </w:r>
            <w:r>
              <w:rPr>
                <w:spacing w:val="-6"/>
                <w:sz w:val="21"/>
              </w:rPr>
              <w:t>贝，且经纯音听力测试、声导抗检测或者听觉诱发电位检测等证实。</w:t>
            </w:r>
          </w:p>
          <w:p>
            <w:pPr>
              <w:pStyle w:val="TableParagraph"/>
              <w:spacing w:line="273" w:lineRule="auto" w:before="7"/>
              <w:ind w:right="199"/>
              <w:jc w:val="both"/>
              <w:rPr>
                <w:sz w:val="21"/>
              </w:rPr>
            </w:pPr>
            <w:r>
              <w:rPr>
                <w:spacing w:val="-9"/>
                <w:sz w:val="21"/>
              </w:rPr>
              <w:t>被保险人在 </w:t>
            </w:r>
            <w:r>
              <w:rPr>
                <w:sz w:val="21"/>
              </w:rPr>
              <w:t>3</w:t>
            </w:r>
            <w:r>
              <w:rPr>
                <w:spacing w:val="-8"/>
                <w:sz w:val="21"/>
              </w:rPr>
              <w:t> 周岁之前因疾病或意外导致的单耳失聪不在保障范围内。</w:t>
            </w:r>
          </w:p>
        </w:tc>
      </w:tr>
      <w:tr>
        <w:trPr>
          <w:trHeight w:val="231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21.微创冠状动脉搭桥手术</w:t>
            </w:r>
          </w:p>
        </w:tc>
        <w:tc>
          <w:tcPr>
            <w:tcW w:w="6181" w:type="dxa"/>
          </w:tcPr>
          <w:p>
            <w:pPr>
              <w:pStyle w:val="TableParagraph"/>
              <w:spacing w:line="273" w:lineRule="auto" w:before="150"/>
              <w:ind w:right="201"/>
              <w:jc w:val="both"/>
              <w:rPr>
                <w:sz w:val="21"/>
              </w:rPr>
            </w:pPr>
            <w:r>
              <w:rPr>
                <w:spacing w:val="-5"/>
                <w:sz w:val="21"/>
              </w:rPr>
              <w:t>指为纠正冠状动脉的狭窄或堵塞，而实际实施的微创冠状动脉旁路移植手术。手术通过微创开胸术</w:t>
            </w:r>
            <w:r>
              <w:rPr>
                <w:sz w:val="21"/>
              </w:rPr>
              <w:t>（</w:t>
            </w:r>
            <w:r>
              <w:rPr>
                <w:spacing w:val="-3"/>
                <w:sz w:val="21"/>
              </w:rPr>
              <w:t>肋骨间小切口</w:t>
            </w:r>
            <w:r>
              <w:rPr>
                <w:spacing w:val="-10"/>
                <w:sz w:val="21"/>
              </w:rPr>
              <w:t>）</w:t>
            </w:r>
            <w:r>
              <w:rPr>
                <w:spacing w:val="-2"/>
                <w:sz w:val="21"/>
              </w:rPr>
              <w:t>进行，且诊</w:t>
            </w:r>
            <w:r>
              <w:rPr>
                <w:spacing w:val="-6"/>
                <w:sz w:val="21"/>
              </w:rPr>
              <w:t>断须由冠状动脉血管造影检查确诊狭窄或堵塞。微创冠状动脉绕</w:t>
            </w:r>
            <w:r>
              <w:rPr>
                <w:spacing w:val="-5"/>
                <w:sz w:val="21"/>
              </w:rPr>
              <w:t>道也包括“锁孔”冠脉搭桥手术。</w:t>
            </w:r>
          </w:p>
          <w:p>
            <w:pPr>
              <w:pStyle w:val="TableParagraph"/>
              <w:spacing w:before="7"/>
              <w:rPr>
                <w:sz w:val="21"/>
              </w:rPr>
            </w:pPr>
            <w:r>
              <w:rPr>
                <w:sz w:val="21"/>
              </w:rPr>
              <w:t>必须满足下列全部条件：</w:t>
            </w:r>
          </w:p>
          <w:p>
            <w:pPr>
              <w:pStyle w:val="TableParagraph"/>
              <w:spacing w:line="310" w:lineRule="atLeast" w:before="19"/>
              <w:ind w:right="199"/>
              <w:jc w:val="both"/>
              <w:rPr>
                <w:sz w:val="21"/>
              </w:rPr>
            </w:pPr>
            <w:r>
              <w:rPr>
                <w:sz w:val="21"/>
              </w:rPr>
              <w:t>（</w:t>
            </w:r>
            <w:r>
              <w:rPr>
                <w:rFonts w:ascii="Cambria" w:eastAsia="Cambria"/>
                <w:sz w:val="21"/>
              </w:rPr>
              <w:t>1</w:t>
            </w:r>
            <w:r>
              <w:rPr>
                <w:sz w:val="21"/>
              </w:rPr>
              <w:t>）血管造影显示至少两支冠状动脉狭窄超过</w:t>
            </w:r>
            <w:r>
              <w:rPr>
                <w:rFonts w:ascii="Cambria" w:eastAsia="Cambria"/>
                <w:sz w:val="21"/>
              </w:rPr>
              <w:t>50%</w:t>
            </w:r>
            <w:r>
              <w:rPr>
                <w:sz w:val="21"/>
              </w:rPr>
              <w:t>或一支冠状动脉狭窄超过</w:t>
            </w:r>
            <w:r>
              <w:rPr>
                <w:rFonts w:ascii="Cambria" w:eastAsia="Cambria"/>
                <w:sz w:val="21"/>
              </w:rPr>
              <w:t>70%</w:t>
            </w:r>
            <w:r>
              <w:rPr>
                <w:sz w:val="21"/>
              </w:rPr>
              <w:t>；</w:t>
            </w:r>
          </w:p>
        </w:tc>
      </w:tr>
    </w:tbl>
    <w:p>
      <w:pPr>
        <w:spacing w:after="0" w:line="310" w:lineRule="atLeast"/>
        <w:jc w:val="both"/>
        <w:rPr>
          <w:sz w:val="21"/>
        </w:rPr>
        <w:sectPr>
          <w:pgSz w:w="11910" w:h="16840"/>
          <w:pgMar w:header="0" w:footer="150" w:top="1060" w:bottom="340" w:left="1680" w:right="15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5"/>
      </w:tblGrid>
      <w:tr>
        <w:trPr>
          <w:trHeight w:val="439" w:hRule="atLeast"/>
        </w:trPr>
        <w:tc>
          <w:tcPr>
            <w:tcW w:w="1475" w:type="dxa"/>
          </w:tcPr>
          <w:p>
            <w:pPr>
              <w:pStyle w:val="TableParagraph"/>
              <w:ind w:left="0"/>
              <w:rPr>
                <w:rFonts w:ascii="Times New Roman"/>
                <w:sz w:val="20"/>
              </w:rPr>
            </w:pPr>
          </w:p>
        </w:tc>
        <w:tc>
          <w:tcPr>
            <w:tcW w:w="6285" w:type="dxa"/>
          </w:tcPr>
          <w:p>
            <w:pPr>
              <w:pStyle w:val="TableParagraph"/>
              <w:spacing w:line="228" w:lineRule="exact"/>
              <w:rPr>
                <w:sz w:val="21"/>
              </w:rPr>
            </w:pPr>
            <w:r>
              <w:rPr>
                <w:sz w:val="21"/>
              </w:rPr>
              <w:t>（</w:t>
            </w:r>
            <w:r>
              <w:rPr>
                <w:rFonts w:ascii="Times New Roman" w:eastAsia="Times New Roman"/>
                <w:sz w:val="21"/>
              </w:rPr>
              <w:t>2</w:t>
            </w:r>
            <w:r>
              <w:rPr>
                <w:sz w:val="21"/>
              </w:rPr>
              <w:t>）手术须由心脏专科医师进行，并确认该手术的必要性。</w:t>
            </w:r>
          </w:p>
        </w:tc>
      </w:tr>
      <w:tr>
        <w:trPr>
          <w:trHeight w:val="2191" w:hRule="atLeast"/>
        </w:trPr>
        <w:tc>
          <w:tcPr>
            <w:tcW w:w="1475" w:type="dxa"/>
          </w:tcPr>
          <w:p>
            <w:pPr>
              <w:pStyle w:val="TableParagraph"/>
              <w:spacing w:line="204" w:lineRule="auto" w:before="124"/>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22.Ⅲ度房室传导阻滞-已</w:t>
            </w:r>
            <w:r>
              <w:rPr>
                <w:rFonts w:ascii="Microsoft JhengHei" w:hAnsi="Microsoft JhengHei" w:eastAsia="Microsoft JhengHei" w:hint="eastAsia"/>
                <w:b/>
                <w:w w:val="105"/>
                <w:sz w:val="21"/>
              </w:rPr>
              <w:t>放置心脏起</w:t>
            </w:r>
            <w:r>
              <w:rPr>
                <w:rFonts w:ascii="Microsoft JhengHei" w:hAnsi="Microsoft JhengHei" w:eastAsia="Microsoft JhengHei" w:hint="eastAsia"/>
                <w:b/>
                <w:sz w:val="21"/>
              </w:rPr>
              <w:t>搏器</w:t>
            </w:r>
          </w:p>
        </w:tc>
        <w:tc>
          <w:tcPr>
            <w:tcW w:w="6285" w:type="dxa"/>
          </w:tcPr>
          <w:p>
            <w:pPr>
              <w:pStyle w:val="TableParagraph"/>
              <w:spacing w:line="273" w:lineRule="auto" w:before="136"/>
              <w:ind w:right="273"/>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w:t>
            </w:r>
            <w:r>
              <w:rPr>
                <w:rFonts w:ascii="Cambria" w:eastAsia="Cambria"/>
                <w:sz w:val="21"/>
              </w:rPr>
              <w:t>1</w:t>
            </w:r>
            <w:r>
              <w:rPr>
                <w:sz w:val="21"/>
              </w:rPr>
              <w:t>）心电图显示房室搏动彼此独立，心室率</w:t>
            </w:r>
            <w:r>
              <w:rPr>
                <w:rFonts w:ascii="Cambria" w:eastAsia="Cambria"/>
                <w:sz w:val="21"/>
              </w:rPr>
              <w:t>&lt;50</w:t>
            </w:r>
            <w:r>
              <w:rPr>
                <w:sz w:val="21"/>
              </w:rPr>
              <w:t>次</w:t>
            </w:r>
            <w:r>
              <w:rPr>
                <w:rFonts w:ascii="Cambria" w:eastAsia="Cambria"/>
                <w:sz w:val="21"/>
              </w:rPr>
              <w:t>/</w:t>
            </w:r>
            <w:r>
              <w:rPr>
                <w:sz w:val="21"/>
              </w:rPr>
              <w:t>分钟；</w:t>
            </w:r>
          </w:p>
          <w:p>
            <w:pPr>
              <w:pStyle w:val="TableParagraph"/>
              <w:spacing w:before="20"/>
              <w:rPr>
                <w:sz w:val="21"/>
              </w:rPr>
            </w:pPr>
            <w:r>
              <w:rPr>
                <w:sz w:val="21"/>
              </w:rPr>
              <w:t>（</w:t>
            </w:r>
            <w:r>
              <w:rPr>
                <w:rFonts w:ascii="Cambria" w:eastAsia="Cambria"/>
                <w:sz w:val="21"/>
              </w:rPr>
              <w:t>2</w:t>
            </w:r>
            <w:r>
              <w:rPr>
                <w:sz w:val="21"/>
              </w:rPr>
              <w:t>）出现阿</w:t>
            </w:r>
            <w:r>
              <w:rPr>
                <w:rFonts w:ascii="Cambria" w:eastAsia="Cambria"/>
                <w:sz w:val="21"/>
              </w:rPr>
              <w:t>-</w:t>
            </w:r>
            <w:r>
              <w:rPr>
                <w:sz w:val="21"/>
              </w:rPr>
              <w:t>斯综合征或心力衰竭的表现；</w:t>
            </w:r>
          </w:p>
          <w:p>
            <w:pPr>
              <w:pStyle w:val="TableParagraph"/>
              <w:spacing w:line="256" w:lineRule="auto" w:before="19"/>
              <w:ind w:right="304"/>
              <w:rPr>
                <w:sz w:val="21"/>
              </w:rPr>
            </w:pPr>
            <w:r>
              <w:rPr>
                <w:spacing w:val="-21"/>
                <w:sz w:val="21"/>
              </w:rPr>
              <w:t>（</w:t>
            </w:r>
            <w:r>
              <w:rPr>
                <w:rFonts w:ascii="Times New Roman" w:eastAsia="Times New Roman"/>
                <w:spacing w:val="-21"/>
                <w:sz w:val="21"/>
              </w:rPr>
              <w:t>3</w:t>
            </w:r>
            <w:r>
              <w:rPr>
                <w:spacing w:val="-21"/>
                <w:sz w:val="21"/>
              </w:rPr>
              <w:t>）</w:t>
            </w:r>
            <w:r>
              <w:rPr>
                <w:spacing w:val="-8"/>
                <w:sz w:val="21"/>
              </w:rPr>
              <w:t>必须持续性依赖心脏起搏器维持心脏正常功能，且已经放置</w:t>
            </w:r>
            <w:r>
              <w:rPr>
                <w:spacing w:val="-7"/>
                <w:sz w:val="21"/>
              </w:rPr>
              <w:t>心脏起搏器。</w:t>
            </w:r>
          </w:p>
        </w:tc>
      </w:tr>
      <w:tr>
        <w:trPr>
          <w:trHeight w:val="2511" w:hRule="atLeast"/>
        </w:trPr>
        <w:tc>
          <w:tcPr>
            <w:tcW w:w="1475" w:type="dxa"/>
          </w:tcPr>
          <w:p>
            <w:pPr>
              <w:pStyle w:val="TableParagraph"/>
              <w:spacing w:line="204" w:lineRule="auto" w:before="132"/>
              <w:ind w:left="200" w:right="112"/>
              <w:rPr>
                <w:rFonts w:ascii="Microsoft JhengHei" w:eastAsia="Microsoft JhengHei" w:hint="eastAsia"/>
                <w:b/>
                <w:sz w:val="21"/>
              </w:rPr>
            </w:pPr>
            <w:r>
              <w:rPr>
                <w:rFonts w:ascii="Microsoft JhengHei" w:eastAsia="Microsoft JhengHei" w:hint="eastAsia"/>
                <w:b/>
                <w:sz w:val="21"/>
              </w:rPr>
              <w:t>23.于颈动脉进行血管成形术或内膜切除术</w:t>
            </w:r>
          </w:p>
        </w:tc>
        <w:tc>
          <w:tcPr>
            <w:tcW w:w="6285" w:type="dxa"/>
          </w:tcPr>
          <w:p>
            <w:pPr>
              <w:pStyle w:val="TableParagraph"/>
              <w:spacing w:line="266" w:lineRule="auto" w:before="144"/>
              <w:ind w:right="302"/>
              <w:jc w:val="both"/>
              <w:rPr>
                <w:sz w:val="21"/>
              </w:rPr>
            </w:pPr>
            <w:r>
              <w:rPr>
                <w:spacing w:val="-5"/>
                <w:sz w:val="21"/>
              </w:rPr>
              <w:t>指根据颈动脉造影检查结果，确诊一条或以上颈动脉存在严重狭</w:t>
            </w:r>
            <w:r>
              <w:rPr>
                <w:spacing w:val="-7"/>
                <w:sz w:val="21"/>
              </w:rPr>
              <w:t>窄性病变</w:t>
            </w:r>
            <w:r>
              <w:rPr>
                <w:sz w:val="21"/>
              </w:rPr>
              <w:t>（</w:t>
            </w:r>
            <w:r>
              <w:rPr>
                <w:spacing w:val="-4"/>
                <w:sz w:val="21"/>
              </w:rPr>
              <w:t>至少一支血管管腔直径减少</w:t>
            </w:r>
            <w:r>
              <w:rPr>
                <w:rFonts w:ascii="Cambria" w:eastAsia="Cambria"/>
                <w:sz w:val="21"/>
              </w:rPr>
              <w:t>50%</w:t>
            </w:r>
            <w:r>
              <w:rPr>
                <w:sz w:val="21"/>
              </w:rPr>
              <w:t>以上</w:t>
            </w:r>
            <w:r>
              <w:rPr>
                <w:spacing w:val="-10"/>
                <w:sz w:val="21"/>
              </w:rPr>
              <w:t>）</w:t>
            </w:r>
            <w:r>
              <w:rPr>
                <w:spacing w:val="-3"/>
                <w:sz w:val="21"/>
              </w:rPr>
              <w:t>。本病须经国</w:t>
            </w:r>
            <w:r>
              <w:rPr>
                <w:spacing w:val="-6"/>
                <w:sz w:val="21"/>
              </w:rPr>
              <w:t>家机关认可的有合法资质的专科医生明确诊断，同时必须已经采</w:t>
            </w:r>
            <w:r>
              <w:rPr>
                <w:spacing w:val="-5"/>
                <w:sz w:val="21"/>
              </w:rPr>
              <w:t>取以下手术以减轻症状：</w:t>
            </w:r>
          </w:p>
          <w:p>
            <w:pPr>
              <w:pStyle w:val="TableParagraph"/>
              <w:spacing w:before="13"/>
              <w:rPr>
                <w:sz w:val="21"/>
              </w:rPr>
            </w:pPr>
            <w:r>
              <w:rPr>
                <w:sz w:val="21"/>
              </w:rPr>
              <w:t>（</w:t>
            </w:r>
            <w:r>
              <w:rPr>
                <w:rFonts w:ascii="Cambria" w:eastAsia="Cambria"/>
                <w:sz w:val="21"/>
              </w:rPr>
              <w:t>1</w:t>
            </w:r>
            <w:r>
              <w:rPr>
                <w:sz w:val="21"/>
              </w:rPr>
              <w:t>）确实进行动脉内膜切除术；或</w:t>
            </w:r>
          </w:p>
          <w:p>
            <w:pPr>
              <w:pStyle w:val="TableParagraph"/>
              <w:spacing w:line="259" w:lineRule="auto" w:before="19"/>
              <w:ind w:right="307"/>
              <w:jc w:val="both"/>
              <w:rPr>
                <w:sz w:val="21"/>
              </w:rPr>
            </w:pPr>
            <w:r>
              <w:rPr>
                <w:sz w:val="21"/>
              </w:rPr>
              <w:t>（</w:t>
            </w:r>
            <w:r>
              <w:rPr>
                <w:rFonts w:ascii="Times New Roman" w:eastAsia="Times New Roman"/>
                <w:sz w:val="21"/>
              </w:rPr>
              <w:t>2</w:t>
            </w:r>
            <w:r>
              <w:rPr>
                <w:sz w:val="21"/>
              </w:rPr>
              <w:t>）确实进行血管介入治疗，例如血管成形术及</w:t>
            </w:r>
            <w:r>
              <w:rPr>
                <w:rFonts w:ascii="Times New Roman" w:eastAsia="Times New Roman"/>
                <w:sz w:val="21"/>
              </w:rPr>
              <w:t>/</w:t>
            </w:r>
            <w:r>
              <w:rPr>
                <w:sz w:val="21"/>
              </w:rPr>
              <w:t>或进行植入支架或动脉粥样瘤清除手术。</w:t>
            </w:r>
          </w:p>
        </w:tc>
      </w:tr>
      <w:tr>
        <w:trPr>
          <w:trHeight w:val="1572" w:hRule="atLeast"/>
        </w:trPr>
        <w:tc>
          <w:tcPr>
            <w:tcW w:w="1475" w:type="dxa"/>
          </w:tcPr>
          <w:p>
            <w:pPr>
              <w:pStyle w:val="TableParagraph"/>
              <w:spacing w:line="204" w:lineRule="auto" w:before="132"/>
              <w:ind w:left="200" w:right="216"/>
              <w:jc w:val="both"/>
              <w:rPr>
                <w:rFonts w:ascii="Microsoft JhengHei" w:eastAsia="Microsoft JhengHei" w:hint="eastAsia"/>
                <w:b/>
                <w:sz w:val="21"/>
              </w:rPr>
            </w:pPr>
            <w:r>
              <w:rPr>
                <w:rFonts w:ascii="Microsoft JhengHei" w:eastAsia="Microsoft JhengHei" w:hint="eastAsia"/>
                <w:b/>
                <w:sz w:val="21"/>
              </w:rPr>
              <w:t>24. 微创心包剥脱、切除或粘连松解手术</w:t>
            </w:r>
          </w:p>
        </w:tc>
        <w:tc>
          <w:tcPr>
            <w:tcW w:w="6285" w:type="dxa"/>
          </w:tcPr>
          <w:p>
            <w:pPr>
              <w:pStyle w:val="TableParagraph"/>
              <w:spacing w:line="271" w:lineRule="auto" w:before="144"/>
              <w:ind w:right="285"/>
              <w:jc w:val="both"/>
              <w:rPr>
                <w:sz w:val="21"/>
              </w:rPr>
            </w:pPr>
            <w:r>
              <w:rPr>
                <w:sz w:val="21"/>
              </w:rPr>
              <w:t>因心包疾病导致已接受了经胸腔镜、胸壁打孔进行的心包剥脱、切除或粘连松解手术。手术必须在心脏科医生认为是医学上必需的情况下进行。</w:t>
            </w:r>
          </w:p>
        </w:tc>
      </w:tr>
      <w:tr>
        <w:trPr>
          <w:trHeight w:val="1262" w:hRule="atLeast"/>
        </w:trPr>
        <w:tc>
          <w:tcPr>
            <w:tcW w:w="1475" w:type="dxa"/>
          </w:tcPr>
          <w:p>
            <w:pPr>
              <w:pStyle w:val="TableParagraph"/>
              <w:spacing w:line="201" w:lineRule="auto" w:before="138"/>
              <w:ind w:left="200" w:right="112"/>
              <w:rPr>
                <w:rFonts w:ascii="Microsoft JhengHei" w:eastAsia="Microsoft JhengHei" w:hint="eastAsia"/>
                <w:b/>
                <w:sz w:val="21"/>
              </w:rPr>
            </w:pPr>
            <w:r>
              <w:rPr>
                <w:rFonts w:ascii="Microsoft JhengHei" w:eastAsia="Microsoft JhengHei" w:hint="eastAsia"/>
                <w:b/>
                <w:sz w:val="21"/>
              </w:rPr>
              <w:t>25.脑炎或脑膜炎</w:t>
            </w:r>
          </w:p>
        </w:tc>
        <w:tc>
          <w:tcPr>
            <w:tcW w:w="6285" w:type="dxa"/>
          </w:tcPr>
          <w:p>
            <w:pPr>
              <w:pStyle w:val="TableParagraph"/>
              <w:spacing w:line="271" w:lineRule="auto" w:before="147"/>
              <w:ind w:right="197"/>
              <w:rPr>
                <w:sz w:val="21"/>
              </w:rPr>
            </w:pPr>
            <w:r>
              <w:rPr>
                <w:spacing w:val="-6"/>
                <w:sz w:val="21"/>
              </w:rPr>
              <w:t>因感染脑炎或脑膜炎住院至少 </w:t>
            </w:r>
            <w:r>
              <w:rPr>
                <w:sz w:val="21"/>
              </w:rPr>
              <w:t>3</w:t>
            </w:r>
            <w:r>
              <w:rPr>
                <w:spacing w:val="-14"/>
                <w:sz w:val="21"/>
              </w:rPr>
              <w:t> 个月。诊断必须由专科医生证实， </w:t>
            </w:r>
            <w:r>
              <w:rPr>
                <w:spacing w:val="-10"/>
                <w:sz w:val="21"/>
              </w:rPr>
              <w:t>但尚未达到本合同所指重大疾病“脑炎后遗症或脑膜炎后遗症” </w:t>
            </w:r>
            <w:r>
              <w:rPr>
                <w:spacing w:val="-8"/>
                <w:sz w:val="21"/>
              </w:rPr>
              <w:t>的给付标准。</w:t>
            </w:r>
          </w:p>
        </w:tc>
      </w:tr>
      <w:tr>
        <w:trPr>
          <w:trHeight w:val="1262" w:hRule="atLeast"/>
        </w:trPr>
        <w:tc>
          <w:tcPr>
            <w:tcW w:w="1475" w:type="dxa"/>
          </w:tcPr>
          <w:p>
            <w:pPr>
              <w:pStyle w:val="TableParagraph"/>
              <w:spacing w:line="201" w:lineRule="auto" w:before="138"/>
              <w:ind w:left="200" w:right="112"/>
              <w:rPr>
                <w:rFonts w:ascii="Microsoft JhengHei" w:eastAsia="Microsoft JhengHei" w:hint="eastAsia"/>
                <w:b/>
                <w:sz w:val="21"/>
              </w:rPr>
            </w:pPr>
            <w:r>
              <w:rPr>
                <w:rFonts w:ascii="Microsoft JhengHei" w:eastAsia="Microsoft JhengHei" w:hint="eastAsia"/>
                <w:b/>
                <w:sz w:val="21"/>
              </w:rPr>
              <w:t>26.硬脑膜下血肿手术</w:t>
            </w:r>
          </w:p>
        </w:tc>
        <w:tc>
          <w:tcPr>
            <w:tcW w:w="6285" w:type="dxa"/>
          </w:tcPr>
          <w:p>
            <w:pPr>
              <w:pStyle w:val="TableParagraph"/>
              <w:spacing w:line="271" w:lineRule="auto" w:before="147"/>
              <w:ind w:right="305"/>
              <w:jc w:val="both"/>
              <w:rPr>
                <w:sz w:val="21"/>
              </w:rPr>
            </w:pPr>
            <w:r>
              <w:rPr>
                <w:spacing w:val="1"/>
                <w:sz w:val="21"/>
              </w:rPr>
              <w:t>为清除或引流因意外导致的血肿，需于头部进行开颅或钻孔手</w:t>
            </w:r>
            <w:r>
              <w:rPr>
                <w:spacing w:val="-5"/>
                <w:sz w:val="21"/>
              </w:rPr>
              <w:t>术。开颅或钻孔手术必须由专科医生认为是医学上必需的情况下进行。</w:t>
            </w:r>
          </w:p>
        </w:tc>
      </w:tr>
      <w:tr>
        <w:trPr>
          <w:trHeight w:val="2519" w:hRule="atLeast"/>
        </w:trPr>
        <w:tc>
          <w:tcPr>
            <w:tcW w:w="1475" w:type="dxa"/>
          </w:tcPr>
          <w:p>
            <w:pPr>
              <w:pStyle w:val="TableParagraph"/>
              <w:spacing w:line="204" w:lineRule="auto" w:before="135"/>
              <w:ind w:left="200" w:right="112"/>
              <w:rPr>
                <w:rFonts w:ascii="Microsoft JhengHei" w:eastAsia="Microsoft JhengHei" w:hint="eastAsia"/>
                <w:b/>
                <w:sz w:val="21"/>
              </w:rPr>
            </w:pPr>
            <w:r>
              <w:rPr>
                <w:rFonts w:ascii="Microsoft JhengHei" w:eastAsia="Microsoft JhengHei" w:hint="eastAsia"/>
                <w:b/>
                <w:sz w:val="21"/>
              </w:rPr>
              <w:t>27.严重阻塞性睡眠窒息症</w:t>
            </w:r>
          </w:p>
        </w:tc>
        <w:tc>
          <w:tcPr>
            <w:tcW w:w="6285" w:type="dxa"/>
          </w:tcPr>
          <w:p>
            <w:pPr>
              <w:pStyle w:val="TableParagraph"/>
              <w:spacing w:line="261" w:lineRule="auto" w:before="147"/>
              <w:ind w:right="305"/>
              <w:jc w:val="both"/>
              <w:rPr>
                <w:sz w:val="21"/>
              </w:rPr>
            </w:pPr>
            <w:r>
              <w:rPr>
                <w:spacing w:val="-5"/>
                <w:sz w:val="21"/>
              </w:rPr>
              <w:t>须由相关医学范畴的注册专科医生，经多导睡眠监测仪检查明确诊断为严重阻塞性睡眠呼吸暂停综合征（</w:t>
            </w:r>
            <w:r>
              <w:rPr>
                <w:rFonts w:ascii="Cambria" w:eastAsia="Cambria"/>
                <w:spacing w:val="-5"/>
                <w:sz w:val="21"/>
              </w:rPr>
              <w:t>OSA</w:t>
            </w:r>
            <w:r>
              <w:rPr>
                <w:spacing w:val="-5"/>
                <w:sz w:val="21"/>
              </w:rPr>
              <w:t>），</w:t>
            </w:r>
            <w:r>
              <w:rPr>
                <w:spacing w:val="-2"/>
                <w:sz w:val="21"/>
              </w:rPr>
              <w:t>并必须符合以</w:t>
            </w:r>
            <w:r>
              <w:rPr>
                <w:spacing w:val="-3"/>
                <w:sz w:val="21"/>
              </w:rPr>
              <w:t>下两项条件：</w:t>
            </w:r>
          </w:p>
          <w:p>
            <w:pPr>
              <w:pStyle w:val="TableParagraph"/>
              <w:spacing w:line="256" w:lineRule="auto" w:before="18"/>
              <w:ind w:left="636" w:right="302" w:hanging="524"/>
              <w:rPr>
                <w:sz w:val="21"/>
              </w:rPr>
            </w:pPr>
            <w:r>
              <w:rPr>
                <w:sz w:val="21"/>
              </w:rPr>
              <w:t>（</w:t>
            </w:r>
            <w:r>
              <w:rPr>
                <w:rFonts w:ascii="Cambria" w:eastAsia="Cambria"/>
                <w:sz w:val="21"/>
              </w:rPr>
              <w:t>1</w:t>
            </w:r>
            <w:r>
              <w:rPr>
                <w:sz w:val="21"/>
              </w:rPr>
              <w:t>）受保人必须现正接受持续气道正压呼吸器（</w:t>
            </w:r>
            <w:r>
              <w:rPr>
                <w:rFonts w:ascii="Cambria" w:eastAsia="Cambria"/>
                <w:sz w:val="21"/>
              </w:rPr>
              <w:t>CPAP</w:t>
            </w:r>
            <w:r>
              <w:rPr>
                <w:sz w:val="21"/>
              </w:rPr>
              <w:t>）之夜间治疗；及</w:t>
            </w:r>
          </w:p>
          <w:p>
            <w:pPr>
              <w:pStyle w:val="TableParagraph"/>
              <w:spacing w:line="256" w:lineRule="auto" w:before="22"/>
              <w:ind w:left="636" w:right="302" w:hanging="524"/>
              <w:rPr>
                <w:sz w:val="21"/>
              </w:rPr>
            </w:pPr>
            <w:r>
              <w:rPr>
                <w:spacing w:val="-16"/>
                <w:sz w:val="21"/>
              </w:rPr>
              <w:t>（</w:t>
            </w:r>
            <w:r>
              <w:rPr>
                <w:rFonts w:ascii="Times New Roman" w:eastAsia="Times New Roman"/>
                <w:spacing w:val="-16"/>
                <w:sz w:val="21"/>
              </w:rPr>
              <w:t>2</w:t>
            </w:r>
            <w:r>
              <w:rPr>
                <w:spacing w:val="-16"/>
                <w:sz w:val="21"/>
              </w:rPr>
              <w:t>）</w:t>
            </w:r>
            <w:r>
              <w:rPr>
                <w:spacing w:val="-9"/>
                <w:sz w:val="21"/>
              </w:rPr>
              <w:t>必须提供睡眠测试的文件证明，显示 </w:t>
            </w:r>
            <w:r>
              <w:rPr>
                <w:rFonts w:ascii="Times New Roman" w:eastAsia="Times New Roman"/>
                <w:sz w:val="21"/>
              </w:rPr>
              <w:t>AHI&gt;30 </w:t>
            </w:r>
            <w:r>
              <w:rPr>
                <w:spacing w:val="-2"/>
                <w:sz w:val="21"/>
              </w:rPr>
              <w:t>及夜间血氧饱</w:t>
            </w:r>
            <w:r>
              <w:rPr>
                <w:spacing w:val="-1"/>
                <w:sz w:val="21"/>
              </w:rPr>
              <w:t>和平均值</w:t>
            </w:r>
            <w:r>
              <w:rPr>
                <w:rFonts w:ascii="Times New Roman" w:eastAsia="Times New Roman"/>
                <w:spacing w:val="-1"/>
                <w:sz w:val="21"/>
              </w:rPr>
              <w:t>&lt;85</w:t>
            </w:r>
            <w:r>
              <w:rPr>
                <w:sz w:val="21"/>
              </w:rPr>
              <w:t>。</w:t>
            </w:r>
          </w:p>
        </w:tc>
      </w:tr>
      <w:tr>
        <w:trPr>
          <w:trHeight w:val="3239" w:hRule="atLeast"/>
        </w:trPr>
        <w:tc>
          <w:tcPr>
            <w:tcW w:w="1475" w:type="dxa"/>
          </w:tcPr>
          <w:p>
            <w:pPr>
              <w:pStyle w:val="TableParagraph"/>
              <w:spacing w:line="204" w:lineRule="auto" w:before="127"/>
              <w:ind w:left="200" w:right="112"/>
              <w:rPr>
                <w:rFonts w:ascii="Microsoft JhengHei" w:eastAsia="Microsoft JhengHei" w:hint="eastAsia"/>
                <w:b/>
                <w:sz w:val="21"/>
              </w:rPr>
            </w:pPr>
            <w:r>
              <w:rPr>
                <w:rFonts w:ascii="Microsoft JhengHei" w:eastAsia="Microsoft JhengHei" w:hint="eastAsia"/>
                <w:b/>
                <w:sz w:val="21"/>
              </w:rPr>
              <w:t>28.因意外毁容而施行的面部整形手术</w:t>
            </w:r>
          </w:p>
        </w:tc>
        <w:tc>
          <w:tcPr>
            <w:tcW w:w="6285" w:type="dxa"/>
          </w:tcPr>
          <w:p>
            <w:pPr>
              <w:pStyle w:val="TableParagraph"/>
              <w:spacing w:line="271" w:lineRule="auto" w:before="139"/>
              <w:ind w:right="305"/>
              <w:rPr>
                <w:sz w:val="21"/>
              </w:rPr>
            </w:pPr>
            <w:r>
              <w:rPr>
                <w:spacing w:val="-6"/>
                <w:sz w:val="21"/>
              </w:rPr>
              <w:t>指为修复意外伤害或暴力袭击造成的面部毁损，实际接受了在全身麻醉的情況下，由整形外科医生实施的对严重缺陷、缺失、损</w:t>
            </w:r>
            <w:r>
              <w:rPr>
                <w:spacing w:val="-5"/>
                <w:sz w:val="21"/>
              </w:rPr>
              <w:t>害或变形的面部形态和结构进行修复或重建的面部整形手术。 面部整形手术必须在意外伤害后的</w:t>
            </w:r>
            <w:r>
              <w:rPr>
                <w:rFonts w:ascii="Cambria" w:eastAsia="Cambria"/>
                <w:spacing w:val="-2"/>
                <w:sz w:val="21"/>
              </w:rPr>
              <w:t>180</w:t>
            </w:r>
            <w:r>
              <w:rPr>
                <w:sz w:val="21"/>
              </w:rPr>
              <w:t>天内实施。</w:t>
            </w:r>
          </w:p>
          <w:p>
            <w:pPr>
              <w:pStyle w:val="TableParagraph"/>
              <w:spacing w:line="273" w:lineRule="auto"/>
              <w:ind w:right="310"/>
              <w:rPr>
                <w:sz w:val="21"/>
              </w:rPr>
            </w:pPr>
            <w:r>
              <w:rPr>
                <w:sz w:val="21"/>
              </w:rPr>
              <w:t>因面部外伤后遗留的线条状瘢痕及色素沉着而施行的手术不在保障范围内。</w:t>
            </w:r>
          </w:p>
          <w:p>
            <w:pPr>
              <w:pStyle w:val="TableParagraph"/>
              <w:spacing w:before="19"/>
              <w:rPr>
                <w:sz w:val="21"/>
              </w:rPr>
            </w:pPr>
            <w:r>
              <w:rPr>
                <w:sz w:val="21"/>
              </w:rPr>
              <w:t>意外伤害必须满足下列全部条件：</w:t>
            </w:r>
          </w:p>
          <w:p>
            <w:pPr>
              <w:pStyle w:val="TableParagraph"/>
              <w:spacing w:line="256" w:lineRule="auto" w:before="36"/>
              <w:ind w:left="636" w:right="305" w:hanging="524"/>
              <w:rPr>
                <w:sz w:val="21"/>
              </w:rPr>
            </w:pPr>
            <w:r>
              <w:rPr>
                <w:sz w:val="21"/>
              </w:rPr>
              <w:t>（</w:t>
            </w:r>
            <w:r>
              <w:rPr>
                <w:rFonts w:ascii="Cambria" w:eastAsia="Cambria"/>
                <w:sz w:val="21"/>
              </w:rPr>
              <w:t>1</w:t>
            </w:r>
            <w:r>
              <w:rPr>
                <w:sz w:val="21"/>
              </w:rPr>
              <w:t>）由外在暴力引起并且造成表面可视性伤口和面部骨结构损害的，或面部皮肤三度或全层意外烧伤；</w:t>
            </w:r>
          </w:p>
          <w:p>
            <w:pPr>
              <w:pStyle w:val="TableParagraph"/>
              <w:spacing w:line="276" w:lineRule="exact" w:before="22"/>
              <w:rPr>
                <w:sz w:val="21"/>
              </w:rPr>
            </w:pPr>
            <w:r>
              <w:rPr>
                <w:sz w:val="21"/>
              </w:rPr>
              <w:t>（</w:t>
            </w:r>
            <w:r>
              <w:rPr>
                <w:rFonts w:ascii="Times New Roman" w:eastAsia="Times New Roman"/>
                <w:sz w:val="21"/>
              </w:rPr>
              <w:t>2</w:t>
            </w:r>
            <w:r>
              <w:rPr>
                <w:sz w:val="21"/>
              </w:rPr>
              <w:t>）是造成面部毁损的直接和独立的原因。</w:t>
            </w:r>
          </w:p>
        </w:tc>
      </w:tr>
    </w:tbl>
    <w:p>
      <w:pPr>
        <w:spacing w:after="0" w:line="276" w:lineRule="exact"/>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81"/>
      </w:tblGrid>
      <w:tr>
        <w:trPr>
          <w:trHeight w:val="1046" w:hRule="atLeast"/>
        </w:trPr>
        <w:tc>
          <w:tcPr>
            <w:tcW w:w="1475" w:type="dxa"/>
          </w:tcPr>
          <w:p>
            <w:pPr>
              <w:pStyle w:val="TableParagraph"/>
              <w:spacing w:line="235" w:lineRule="exact"/>
              <w:ind w:left="0" w:right="112"/>
              <w:jc w:val="right"/>
              <w:rPr>
                <w:rFonts w:ascii="Microsoft JhengHei" w:eastAsia="Microsoft JhengHei" w:hint="eastAsia"/>
                <w:b/>
                <w:sz w:val="21"/>
              </w:rPr>
            </w:pPr>
            <w:r>
              <w:rPr>
                <w:rFonts w:ascii="Microsoft JhengHei" w:eastAsia="Microsoft JhengHei" w:hint="eastAsia"/>
                <w:b/>
                <w:sz w:val="21"/>
              </w:rPr>
              <w:t>29.角膜移植</w:t>
            </w:r>
          </w:p>
        </w:tc>
        <w:tc>
          <w:tcPr>
            <w:tcW w:w="6181" w:type="dxa"/>
          </w:tcPr>
          <w:p>
            <w:pPr>
              <w:pStyle w:val="TableParagraph"/>
              <w:spacing w:line="211" w:lineRule="exact"/>
              <w:rPr>
                <w:sz w:val="21"/>
              </w:rPr>
            </w:pPr>
            <w:r>
              <w:rPr>
                <w:sz w:val="21"/>
              </w:rPr>
              <w:t>指为增进视力或治疗某些角膜疾患，已经实施了异体的角膜移植</w:t>
            </w:r>
          </w:p>
          <w:p>
            <w:pPr>
              <w:pStyle w:val="TableParagraph"/>
              <w:spacing w:before="32"/>
              <w:rPr>
                <w:sz w:val="21"/>
              </w:rPr>
            </w:pPr>
            <w:r>
              <w:rPr>
                <w:sz w:val="21"/>
              </w:rPr>
              <w:t>手术。</w:t>
            </w:r>
          </w:p>
          <w:p>
            <w:pPr>
              <w:pStyle w:val="TableParagraph"/>
              <w:spacing w:before="37"/>
              <w:rPr>
                <w:sz w:val="21"/>
              </w:rPr>
            </w:pPr>
            <w:r>
              <w:rPr>
                <w:sz w:val="21"/>
              </w:rPr>
              <w:t>此手术必须由专科医Th认为是医学上必需的情况下进行。</w:t>
            </w:r>
          </w:p>
        </w:tc>
      </w:tr>
      <w:tr>
        <w:trPr>
          <w:trHeight w:val="2207" w:hRule="atLeast"/>
        </w:trPr>
        <w:tc>
          <w:tcPr>
            <w:tcW w:w="1475" w:type="dxa"/>
          </w:tcPr>
          <w:p>
            <w:pPr>
              <w:pStyle w:val="TableParagraph"/>
              <w:spacing w:before="85"/>
              <w:ind w:left="0" w:right="112"/>
              <w:jc w:val="right"/>
              <w:rPr>
                <w:rFonts w:ascii="Microsoft JhengHei" w:eastAsia="Microsoft JhengHei" w:hint="eastAsia"/>
                <w:b/>
                <w:sz w:val="21"/>
              </w:rPr>
            </w:pPr>
            <w:r>
              <w:rPr>
                <w:rFonts w:ascii="Microsoft JhengHei" w:eastAsia="Microsoft JhengHei" w:hint="eastAsia"/>
                <w:b/>
                <w:sz w:val="21"/>
              </w:rPr>
              <w:t>30.单眼失明</w:t>
            </w:r>
          </w:p>
        </w:tc>
        <w:tc>
          <w:tcPr>
            <w:tcW w:w="6181" w:type="dxa"/>
          </w:tcPr>
          <w:p>
            <w:pPr>
              <w:pStyle w:val="TableParagraph"/>
              <w:spacing w:line="268" w:lineRule="auto" w:before="152"/>
              <w:ind w:right="169"/>
              <w:rPr>
                <w:sz w:val="21"/>
              </w:rPr>
            </w:pPr>
            <w:r>
              <w:rPr>
                <w:sz w:val="21"/>
              </w:rPr>
              <w:t>指因疾病或意外伤害导致单眼视力永久不可逆性丧失，须满足下列至少一项条件：</w:t>
            </w:r>
          </w:p>
          <w:p>
            <w:pPr>
              <w:pStyle w:val="TableParagraph"/>
              <w:spacing w:before="11"/>
              <w:rPr>
                <w:sz w:val="21"/>
              </w:rPr>
            </w:pPr>
            <w:r>
              <w:rPr>
                <w:sz w:val="21"/>
              </w:rPr>
              <w:t>（</w:t>
            </w:r>
            <w:r>
              <w:rPr>
                <w:rFonts w:ascii="Cambria" w:eastAsia="Cambria"/>
                <w:sz w:val="21"/>
              </w:rPr>
              <w:t>1</w:t>
            </w:r>
            <w:r>
              <w:rPr>
                <w:sz w:val="21"/>
              </w:rPr>
              <w:t>）眼球缺失或摘除；</w:t>
            </w:r>
          </w:p>
          <w:p>
            <w:pPr>
              <w:pStyle w:val="TableParagraph"/>
              <w:spacing w:line="256" w:lineRule="auto" w:before="19"/>
              <w:ind w:left="636" w:right="200" w:hanging="524"/>
              <w:rPr>
                <w:sz w:val="21"/>
              </w:rPr>
            </w:pPr>
            <w:r>
              <w:rPr>
                <w:spacing w:val="-14"/>
                <w:sz w:val="21"/>
              </w:rPr>
              <w:t>（</w:t>
            </w:r>
            <w:r>
              <w:rPr>
                <w:rFonts w:ascii="Cambria" w:eastAsia="Cambria"/>
                <w:spacing w:val="-14"/>
                <w:sz w:val="21"/>
              </w:rPr>
              <w:t>2</w:t>
            </w:r>
            <w:r>
              <w:rPr>
                <w:spacing w:val="-14"/>
                <w:sz w:val="21"/>
              </w:rPr>
              <w:t>）</w:t>
            </w:r>
            <w:r>
              <w:rPr>
                <w:sz w:val="21"/>
              </w:rPr>
              <w:t>矫正视力低于</w:t>
            </w:r>
            <w:r>
              <w:rPr>
                <w:rFonts w:ascii="Cambria" w:eastAsia="Cambria"/>
                <w:spacing w:val="-9"/>
                <w:sz w:val="21"/>
              </w:rPr>
              <w:t>0.02</w:t>
            </w:r>
            <w:r>
              <w:rPr>
                <w:spacing w:val="-9"/>
                <w:sz w:val="21"/>
              </w:rPr>
              <w:t>（</w:t>
            </w:r>
            <w:r>
              <w:rPr>
                <w:spacing w:val="-7"/>
                <w:sz w:val="21"/>
              </w:rPr>
              <w:t>采用国际标准视力表，如果使用其它视</w:t>
            </w:r>
            <w:r>
              <w:rPr>
                <w:spacing w:val="-6"/>
                <w:sz w:val="21"/>
              </w:rPr>
              <w:t>力表应进行换算</w:t>
            </w:r>
            <w:r>
              <w:rPr>
                <w:sz w:val="21"/>
              </w:rPr>
              <w:t>）；</w:t>
            </w:r>
          </w:p>
          <w:p>
            <w:pPr>
              <w:pStyle w:val="TableParagraph"/>
              <w:spacing w:before="22"/>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2196" w:hRule="atLeast"/>
        </w:trPr>
        <w:tc>
          <w:tcPr>
            <w:tcW w:w="1475" w:type="dxa"/>
          </w:tcPr>
          <w:p>
            <w:pPr>
              <w:pStyle w:val="TableParagraph"/>
              <w:spacing w:line="204" w:lineRule="auto" w:before="132"/>
              <w:ind w:left="200" w:right="112"/>
              <w:rPr>
                <w:rFonts w:ascii="Microsoft JhengHei" w:eastAsia="Microsoft JhengHei" w:hint="eastAsia"/>
                <w:b/>
                <w:sz w:val="21"/>
              </w:rPr>
            </w:pPr>
            <w:r>
              <w:rPr>
                <w:rFonts w:ascii="Microsoft JhengHei" w:eastAsia="Microsoft JhengHei" w:hint="eastAsia"/>
                <w:b/>
                <w:sz w:val="21"/>
              </w:rPr>
              <w:t>31.可逆性再生障碍性贫血</w:t>
            </w:r>
          </w:p>
        </w:tc>
        <w:tc>
          <w:tcPr>
            <w:tcW w:w="6181" w:type="dxa"/>
          </w:tcPr>
          <w:p>
            <w:pPr>
              <w:pStyle w:val="TableParagraph"/>
              <w:spacing w:line="271" w:lineRule="auto" w:before="144"/>
              <w:ind w:right="200"/>
              <w:jc w:val="both"/>
              <w:rPr>
                <w:sz w:val="21"/>
              </w:rPr>
            </w:pPr>
            <w:r>
              <w:rPr>
                <w:spacing w:val="-6"/>
                <w:sz w:val="21"/>
              </w:rPr>
              <w:t>指因急性可逆性的骨髓造血功能衰竭而导致贫血、中性粒细胞减</w:t>
            </w:r>
            <w:r>
              <w:rPr>
                <w:spacing w:val="-7"/>
                <w:sz w:val="21"/>
              </w:rPr>
              <w:t>少和血小板减少，必须由血液科医生的诊断，且病历资料显示接</w:t>
            </w:r>
            <w:r>
              <w:rPr>
                <w:spacing w:val="-6"/>
                <w:sz w:val="21"/>
              </w:rPr>
              <w:t>受了下列任一治疗：</w:t>
            </w:r>
          </w:p>
          <w:p>
            <w:pPr>
              <w:pStyle w:val="TableParagraph"/>
              <w:spacing w:before="9"/>
              <w:jc w:val="both"/>
              <w:rPr>
                <w:sz w:val="21"/>
              </w:rPr>
            </w:pPr>
            <w:r>
              <w:rPr>
                <w:sz w:val="21"/>
              </w:rPr>
              <w:t>（</w:t>
            </w:r>
            <w:r>
              <w:rPr>
                <w:rFonts w:ascii="Cambria" w:eastAsia="Cambria"/>
                <w:sz w:val="21"/>
              </w:rPr>
              <w:t>1</w:t>
            </w:r>
            <w:r>
              <w:rPr>
                <w:sz w:val="21"/>
              </w:rPr>
              <w:t>）骨髓刺激疗法至少</w:t>
            </w:r>
            <w:r>
              <w:rPr>
                <w:rFonts w:ascii="Cambria" w:eastAsia="Cambria"/>
                <w:sz w:val="21"/>
              </w:rPr>
              <w:t>1</w:t>
            </w:r>
            <w:r>
              <w:rPr>
                <w:sz w:val="21"/>
              </w:rPr>
              <w:t>个月；</w:t>
            </w:r>
          </w:p>
          <w:p>
            <w:pPr>
              <w:pStyle w:val="TableParagraph"/>
              <w:spacing w:before="20"/>
              <w:jc w:val="both"/>
              <w:rPr>
                <w:sz w:val="21"/>
              </w:rPr>
            </w:pPr>
            <w:r>
              <w:rPr>
                <w:sz w:val="21"/>
              </w:rPr>
              <w:t>（</w:t>
            </w:r>
            <w:r>
              <w:rPr>
                <w:rFonts w:ascii="Cambria" w:eastAsia="Cambria"/>
                <w:sz w:val="21"/>
              </w:rPr>
              <w:t>2</w:t>
            </w:r>
            <w:r>
              <w:rPr>
                <w:sz w:val="21"/>
              </w:rPr>
              <w:t>）免疫抑制剂治疗至少</w:t>
            </w:r>
            <w:r>
              <w:rPr>
                <w:rFonts w:ascii="Cambria" w:eastAsia="Cambria"/>
                <w:sz w:val="21"/>
              </w:rPr>
              <w:t>1</w:t>
            </w:r>
            <w:r>
              <w:rPr>
                <w:sz w:val="21"/>
              </w:rPr>
              <w:t>个月；</w:t>
            </w:r>
          </w:p>
          <w:p>
            <w:pPr>
              <w:pStyle w:val="TableParagraph"/>
              <w:spacing w:before="20"/>
              <w:jc w:val="both"/>
              <w:rPr>
                <w:sz w:val="21"/>
              </w:rPr>
            </w:pPr>
            <w:r>
              <w:rPr>
                <w:sz w:val="21"/>
              </w:rPr>
              <w:t>（</w:t>
            </w:r>
            <w:r>
              <w:rPr>
                <w:rFonts w:ascii="Times New Roman" w:eastAsia="Times New Roman"/>
                <w:sz w:val="21"/>
              </w:rPr>
              <w:t>3</w:t>
            </w:r>
            <w:r>
              <w:rPr>
                <w:sz w:val="21"/>
              </w:rPr>
              <w:t>）接受了骨髓移植。</w:t>
            </w:r>
          </w:p>
        </w:tc>
      </w:tr>
      <w:tr>
        <w:trPr>
          <w:trHeight w:val="3127" w:hRule="atLeast"/>
        </w:trPr>
        <w:tc>
          <w:tcPr>
            <w:tcW w:w="1475" w:type="dxa"/>
          </w:tcPr>
          <w:p>
            <w:pPr>
              <w:pStyle w:val="TableParagraph"/>
              <w:spacing w:line="204" w:lineRule="auto" w:before="130"/>
              <w:ind w:left="200" w:right="112"/>
              <w:rPr>
                <w:rFonts w:ascii="Microsoft JhengHei" w:eastAsia="Microsoft JhengHei" w:hint="eastAsia"/>
                <w:b/>
                <w:sz w:val="21"/>
              </w:rPr>
            </w:pPr>
            <w:r>
              <w:rPr>
                <w:rFonts w:ascii="Microsoft JhengHei" w:eastAsia="Microsoft JhengHei" w:hint="eastAsia"/>
                <w:b/>
                <w:sz w:val="21"/>
              </w:rPr>
              <w:t>32.骨质疏松症连骨折</w:t>
            </w:r>
          </w:p>
        </w:tc>
        <w:tc>
          <w:tcPr>
            <w:tcW w:w="6181" w:type="dxa"/>
          </w:tcPr>
          <w:p>
            <w:pPr>
              <w:pStyle w:val="TableParagraph"/>
              <w:spacing w:before="142"/>
              <w:rPr>
                <w:sz w:val="21"/>
              </w:rPr>
            </w:pPr>
            <w:r>
              <w:rPr>
                <w:sz w:val="21"/>
              </w:rPr>
              <w:t>确诊骨质疏松症连骨折并符合下列所有条件：</w:t>
            </w:r>
          </w:p>
          <w:p>
            <w:pPr>
              <w:pStyle w:val="TableParagraph"/>
              <w:numPr>
                <w:ilvl w:val="0"/>
                <w:numId w:val="15"/>
              </w:numPr>
              <w:tabs>
                <w:tab w:pos="469" w:val="left" w:leader="none"/>
              </w:tabs>
              <w:spacing w:line="256" w:lineRule="auto" w:before="37" w:after="0"/>
              <w:ind w:left="430" w:right="210" w:hanging="318"/>
              <w:jc w:val="left"/>
              <w:rPr>
                <w:sz w:val="21"/>
              </w:rPr>
            </w:pPr>
            <w:r>
              <w:rPr>
                <w:sz w:val="21"/>
              </w:rPr>
              <w:t>因骨质疏松症导致或于骨质疏松症出现时，出现最少一处股</w:t>
            </w:r>
            <w:r>
              <w:rPr>
                <w:spacing w:val="-2"/>
                <w:sz w:val="21"/>
              </w:rPr>
              <w:t>骨颈骨折或两处脊椎骨折；</w:t>
            </w:r>
          </w:p>
          <w:p>
            <w:pPr>
              <w:pStyle w:val="TableParagraph"/>
              <w:numPr>
                <w:ilvl w:val="0"/>
                <w:numId w:val="15"/>
              </w:numPr>
              <w:tabs>
                <w:tab w:pos="469" w:val="left" w:leader="none"/>
              </w:tabs>
              <w:spacing w:line="264" w:lineRule="auto" w:before="22" w:after="0"/>
              <w:ind w:left="430" w:right="200" w:hanging="318"/>
              <w:jc w:val="both"/>
              <w:rPr>
                <w:sz w:val="21"/>
              </w:rPr>
            </w:pPr>
            <w:r>
              <w:rPr>
                <w:spacing w:val="-10"/>
                <w:sz w:val="21"/>
              </w:rPr>
              <w:t>以双能量 </w:t>
            </w:r>
            <w:r>
              <w:rPr>
                <w:rFonts w:ascii="Times New Roman" w:eastAsia="Times New Roman"/>
                <w:sz w:val="21"/>
              </w:rPr>
              <w:t>X</w:t>
            </w:r>
            <w:r>
              <w:rPr>
                <w:rFonts w:ascii="Times New Roman" w:eastAsia="Times New Roman"/>
                <w:spacing w:val="15"/>
                <w:sz w:val="21"/>
              </w:rPr>
              <w:t> </w:t>
            </w:r>
            <w:r>
              <w:rPr>
                <w:spacing w:val="-5"/>
                <w:sz w:val="21"/>
              </w:rPr>
              <w:t>光吸收仪或定量计算机断层扫描量度出最少两处</w:t>
            </w:r>
            <w:r>
              <w:rPr>
                <w:sz w:val="21"/>
              </w:rPr>
              <w:t>位置的骨骼矿物质密度与严重骨质疏松症的定义一致</w:t>
            </w:r>
            <w:r>
              <w:rPr>
                <w:spacing w:val="2"/>
                <w:sz w:val="21"/>
              </w:rPr>
              <w:t>（</w:t>
            </w:r>
            <w:r>
              <w:rPr>
                <w:spacing w:val="0"/>
                <w:sz w:val="21"/>
              </w:rPr>
              <w:t>即低于</w:t>
            </w:r>
            <w:r>
              <w:rPr>
                <w:rFonts w:ascii="Times New Roman" w:eastAsia="Times New Roman"/>
                <w:spacing w:val="0"/>
                <w:sz w:val="21"/>
              </w:rPr>
              <w:t>-2.5</w:t>
            </w:r>
            <w:r>
              <w:rPr>
                <w:rFonts w:ascii="Times New Roman" w:eastAsia="Times New Roman"/>
                <w:spacing w:val="2"/>
                <w:sz w:val="21"/>
              </w:rPr>
              <w:t> </w:t>
            </w:r>
            <w:r>
              <w:rPr>
                <w:spacing w:val="-25"/>
                <w:sz w:val="21"/>
              </w:rPr>
              <w:t>的 </w:t>
            </w:r>
            <w:r>
              <w:rPr>
                <w:rFonts w:ascii="Times New Roman" w:eastAsia="Times New Roman"/>
                <w:sz w:val="21"/>
              </w:rPr>
              <w:t>T</w:t>
            </w:r>
            <w:r>
              <w:rPr>
                <w:rFonts w:ascii="Times New Roman" w:eastAsia="Times New Roman"/>
                <w:spacing w:val="-1"/>
                <w:sz w:val="21"/>
              </w:rPr>
              <w:t> </w:t>
            </w:r>
            <w:r>
              <w:rPr>
                <w:sz w:val="21"/>
              </w:rPr>
              <w:t>数值</w:t>
            </w:r>
            <w:r>
              <w:rPr>
                <w:spacing w:val="-111"/>
                <w:sz w:val="21"/>
              </w:rPr>
              <w:t>）</w:t>
            </w:r>
            <w:r>
              <w:rPr>
                <w:sz w:val="21"/>
              </w:rPr>
              <w:t>。</w:t>
            </w:r>
          </w:p>
          <w:p>
            <w:pPr>
              <w:pStyle w:val="TableParagraph"/>
              <w:spacing w:line="273" w:lineRule="exact"/>
              <w:rPr>
                <w:sz w:val="21"/>
              </w:rPr>
            </w:pPr>
            <w:r>
              <w:rPr>
                <w:sz w:val="21"/>
              </w:rPr>
              <w:t>需要确实就骨折进行内部固定或置换。</w:t>
            </w:r>
          </w:p>
          <w:p>
            <w:pPr>
              <w:pStyle w:val="TableParagraph"/>
              <w:spacing w:line="256" w:lineRule="auto" w:before="37"/>
              <w:ind w:right="198"/>
              <w:rPr>
                <w:sz w:val="21"/>
              </w:rPr>
            </w:pPr>
            <w:r>
              <w:rPr>
                <w:sz w:val="21"/>
              </w:rPr>
              <w:t>骨质疏松症连骨折的保障将于被保险人年满 </w:t>
            </w:r>
            <w:r>
              <w:rPr>
                <w:rFonts w:ascii="Times New Roman" w:eastAsia="Times New Roman"/>
                <w:sz w:val="21"/>
              </w:rPr>
              <w:t>70 </w:t>
            </w:r>
            <w:r>
              <w:rPr>
                <w:sz w:val="21"/>
              </w:rPr>
              <w:t>周岁当天零时自动终止。</w:t>
            </w:r>
          </w:p>
        </w:tc>
      </w:tr>
      <w:tr>
        <w:trPr>
          <w:trHeight w:val="438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33.特定周围动脉疾病的血管介入治疗</w:t>
            </w:r>
          </w:p>
        </w:tc>
        <w:tc>
          <w:tcPr>
            <w:tcW w:w="6181" w:type="dxa"/>
          </w:tcPr>
          <w:p>
            <w:pPr>
              <w:pStyle w:val="TableParagraph"/>
              <w:spacing w:line="273" w:lineRule="auto" w:before="150"/>
              <w:ind w:right="201"/>
              <w:rPr>
                <w:sz w:val="21"/>
              </w:rPr>
            </w:pPr>
            <w:r>
              <w:rPr>
                <w:sz w:val="21"/>
              </w:rPr>
              <w:t>指为治疗一条或者一条以上的下列动脉狭窄而实施的血管介入治疗：</w:t>
            </w:r>
          </w:p>
          <w:p>
            <w:pPr>
              <w:pStyle w:val="TableParagraph"/>
              <w:spacing w:before="8"/>
              <w:rPr>
                <w:sz w:val="21"/>
              </w:rPr>
            </w:pPr>
            <w:r>
              <w:rPr>
                <w:sz w:val="21"/>
              </w:rPr>
              <w:t>（</w:t>
            </w:r>
            <w:r>
              <w:rPr>
                <w:rFonts w:ascii="Cambria" w:eastAsia="Cambria"/>
                <w:sz w:val="21"/>
              </w:rPr>
              <w:t>1</w:t>
            </w:r>
            <w:r>
              <w:rPr>
                <w:sz w:val="21"/>
              </w:rPr>
              <w:t>）为下肢或者上肢供血的动脉；</w:t>
            </w:r>
          </w:p>
          <w:p>
            <w:pPr>
              <w:pStyle w:val="TableParagraph"/>
              <w:spacing w:before="19"/>
              <w:rPr>
                <w:sz w:val="21"/>
              </w:rPr>
            </w:pPr>
            <w:r>
              <w:rPr>
                <w:sz w:val="21"/>
              </w:rPr>
              <w:t>（</w:t>
            </w:r>
            <w:r>
              <w:rPr>
                <w:rFonts w:ascii="Cambria" w:eastAsia="Cambria"/>
                <w:sz w:val="21"/>
              </w:rPr>
              <w:t>2</w:t>
            </w:r>
            <w:r>
              <w:rPr>
                <w:sz w:val="21"/>
              </w:rPr>
              <w:t>）肾动脉；</w:t>
            </w:r>
          </w:p>
          <w:p>
            <w:pPr>
              <w:pStyle w:val="TableParagraph"/>
              <w:spacing w:line="256" w:lineRule="auto" w:before="19"/>
              <w:ind w:right="3920"/>
              <w:rPr>
                <w:sz w:val="21"/>
              </w:rPr>
            </w:pPr>
            <w:r>
              <w:rPr>
                <w:sz w:val="21"/>
              </w:rPr>
              <w:t>（</w:t>
            </w:r>
            <w:r>
              <w:rPr>
                <w:rFonts w:ascii="Cambria" w:eastAsia="Cambria"/>
                <w:sz w:val="21"/>
              </w:rPr>
              <w:t>3</w:t>
            </w:r>
            <w:r>
              <w:rPr>
                <w:sz w:val="21"/>
              </w:rPr>
              <w:t>）肠系膜动脉。 须满足下列全部条件：</w:t>
            </w:r>
          </w:p>
          <w:p>
            <w:pPr>
              <w:pStyle w:val="TableParagraph"/>
              <w:spacing w:before="22"/>
              <w:rPr>
                <w:sz w:val="21"/>
              </w:rPr>
            </w:pPr>
            <w:r>
              <w:rPr>
                <w:sz w:val="21"/>
              </w:rPr>
              <w:t>（</w:t>
            </w:r>
            <w:r>
              <w:rPr>
                <w:rFonts w:ascii="Cambria" w:eastAsia="Cambria"/>
                <w:sz w:val="21"/>
              </w:rPr>
              <w:t>1</w:t>
            </w:r>
            <w:r>
              <w:rPr>
                <w:sz w:val="21"/>
              </w:rPr>
              <w:t>）经血管造影术证实一条或者一条以上的上述动脉狭窄达到</w:t>
            </w:r>
          </w:p>
          <w:p>
            <w:pPr>
              <w:pStyle w:val="TableParagraph"/>
              <w:spacing w:before="20"/>
              <w:ind w:left="636"/>
              <w:rPr>
                <w:sz w:val="21"/>
              </w:rPr>
            </w:pPr>
            <w:r>
              <w:rPr>
                <w:rFonts w:ascii="Cambria" w:eastAsia="Cambria"/>
                <w:sz w:val="21"/>
              </w:rPr>
              <w:t>50%</w:t>
            </w:r>
            <w:r>
              <w:rPr>
                <w:sz w:val="21"/>
              </w:rPr>
              <w:t>或者以上；</w:t>
            </w:r>
          </w:p>
          <w:p>
            <w:pPr>
              <w:pStyle w:val="TableParagraph"/>
              <w:spacing w:line="256" w:lineRule="auto" w:before="19"/>
              <w:ind w:left="636" w:right="200" w:hanging="524"/>
              <w:jc w:val="both"/>
              <w:rPr>
                <w:sz w:val="21"/>
              </w:rPr>
            </w:pPr>
            <w:r>
              <w:rPr>
                <w:spacing w:val="-24"/>
                <w:sz w:val="21"/>
              </w:rPr>
              <w:t>（</w:t>
            </w:r>
            <w:r>
              <w:rPr>
                <w:rFonts w:ascii="Cambria" w:eastAsia="Cambria"/>
                <w:spacing w:val="-24"/>
                <w:sz w:val="21"/>
              </w:rPr>
              <w:t>2</w:t>
            </w:r>
            <w:r>
              <w:rPr>
                <w:spacing w:val="-24"/>
                <w:sz w:val="21"/>
              </w:rPr>
              <w:t>）</w:t>
            </w:r>
            <w:r>
              <w:rPr>
                <w:spacing w:val="-8"/>
                <w:sz w:val="21"/>
              </w:rPr>
              <w:t>对一条或者一条以上的上述动脉施行了血管介入治疗，如血</w:t>
            </w:r>
            <w:r>
              <w:rPr>
                <w:spacing w:val="3"/>
                <w:sz w:val="21"/>
              </w:rPr>
              <w:t>管成形术及</w:t>
            </w:r>
            <w:r>
              <w:rPr>
                <w:rFonts w:ascii="Cambria" w:eastAsia="Cambria"/>
                <w:spacing w:val="10"/>
                <w:sz w:val="21"/>
              </w:rPr>
              <w:t>/</w:t>
            </w:r>
            <w:r>
              <w:rPr>
                <w:spacing w:val="1"/>
                <w:sz w:val="21"/>
              </w:rPr>
              <w:t>或者进行植入支架或者动脉粥样样瘤清除手术。</w:t>
            </w:r>
          </w:p>
          <w:p>
            <w:pPr>
              <w:pStyle w:val="TableParagraph"/>
              <w:spacing w:line="273" w:lineRule="auto" w:before="22"/>
              <w:ind w:right="206"/>
              <w:rPr>
                <w:sz w:val="21"/>
              </w:rPr>
            </w:pPr>
            <w:r>
              <w:rPr>
                <w:sz w:val="21"/>
              </w:rPr>
              <w:t>上述动脉疾病的诊断以及相关治疗的必要性必须由血管疾病的专科医生确定。</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34.因肾上腺皮质腺瘤切除肾上腺</w:t>
            </w:r>
          </w:p>
        </w:tc>
        <w:tc>
          <w:tcPr>
            <w:tcW w:w="6181" w:type="dxa"/>
          </w:tcPr>
          <w:p>
            <w:pPr>
              <w:pStyle w:val="TableParagraph"/>
              <w:spacing w:line="312" w:lineRule="exact" w:before="146"/>
              <w:ind w:right="201"/>
              <w:jc w:val="both"/>
              <w:rPr>
                <w:sz w:val="21"/>
              </w:rPr>
            </w:pPr>
            <w:r>
              <w:rPr>
                <w:spacing w:val="1"/>
                <w:sz w:val="21"/>
              </w:rPr>
              <w:t>因肾上腺皮质腺瘤所导致的醛固酮分泌过多而产生的继发性恶</w:t>
            </w:r>
            <w:r>
              <w:rPr>
                <w:spacing w:val="-5"/>
                <w:sz w:val="21"/>
              </w:rPr>
              <w:t>性高血压而实际接受了肾上腺切除术治疗。诊断及治疗均须在本公司认可医院内由</w:t>
            </w:r>
            <w:r>
              <w:rPr>
                <w:rFonts w:ascii="微软雅黑" w:eastAsia="微软雅黑" w:hint="eastAsia"/>
                <w:b/>
                <w:sz w:val="21"/>
              </w:rPr>
              <w:t>专科医生</w:t>
            </w:r>
            <w:r>
              <w:rPr>
                <w:spacing w:val="-4"/>
                <w:sz w:val="21"/>
              </w:rPr>
              <w:t>认为是医疗必须的情况下进行。</w:t>
            </w:r>
          </w:p>
        </w:tc>
      </w:tr>
      <w:tr>
        <w:trPr>
          <w:trHeight w:val="737" w:hRule="atLeast"/>
        </w:trPr>
        <w:tc>
          <w:tcPr>
            <w:tcW w:w="1475" w:type="dxa"/>
          </w:tcPr>
          <w:p>
            <w:pPr>
              <w:pStyle w:val="TableParagraph"/>
              <w:spacing w:line="312" w:lineRule="exact" w:before="145"/>
              <w:ind w:left="200" w:right="112"/>
              <w:rPr>
                <w:rFonts w:ascii="Microsoft JhengHei" w:eastAsia="Microsoft JhengHei" w:hint="eastAsia"/>
                <w:b/>
                <w:sz w:val="21"/>
              </w:rPr>
            </w:pPr>
            <w:r>
              <w:rPr>
                <w:rFonts w:ascii="Microsoft JhengHei" w:eastAsia="Microsoft JhengHei" w:hint="eastAsia"/>
                <w:b/>
                <w:sz w:val="21"/>
              </w:rPr>
              <w:t>35.植入腔静脉过滤器</w:t>
            </w:r>
          </w:p>
        </w:tc>
        <w:tc>
          <w:tcPr>
            <w:tcW w:w="6181" w:type="dxa"/>
          </w:tcPr>
          <w:p>
            <w:pPr>
              <w:pStyle w:val="TableParagraph"/>
              <w:spacing w:line="312" w:lineRule="exact" w:before="145"/>
              <w:ind w:right="154"/>
              <w:rPr>
                <w:sz w:val="21"/>
              </w:rPr>
            </w:pPr>
            <w:r>
              <w:rPr>
                <w:sz w:val="21"/>
              </w:rPr>
              <w:t>指患者因反复肺栓塞发作，抗凝血疗法无效而接受手术植入腔静脉过滤器。此项手术需由</w:t>
            </w:r>
            <w:r>
              <w:rPr>
                <w:rFonts w:ascii="微软雅黑" w:eastAsia="微软雅黑" w:hint="eastAsia"/>
                <w:b/>
                <w:sz w:val="21"/>
              </w:rPr>
              <w:t>专科医生</w:t>
            </w:r>
            <w:r>
              <w:rPr>
                <w:sz w:val="21"/>
              </w:rPr>
              <w:t>认定为医学上必需的情况下进</w:t>
            </w:r>
          </w:p>
        </w:tc>
      </w:tr>
    </w:tbl>
    <w:p>
      <w:pPr>
        <w:spacing w:after="0" w:line="312" w:lineRule="exact"/>
        <w:rPr>
          <w:sz w:val="21"/>
        </w:rPr>
        <w:sectPr>
          <w:pgSz w:w="11910" w:h="16840"/>
          <w:pgMar w:header="0" w:footer="150" w:top="900" w:bottom="340" w:left="1680" w:right="15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485"/>
        <w:gridCol w:w="6138"/>
      </w:tblGrid>
      <w:tr>
        <w:trPr>
          <w:trHeight w:val="417" w:hRule="atLeast"/>
        </w:trPr>
        <w:tc>
          <w:tcPr>
            <w:tcW w:w="686" w:type="dxa"/>
          </w:tcPr>
          <w:p>
            <w:pPr>
              <w:pStyle w:val="TableParagraph"/>
              <w:ind w:left="0"/>
              <w:rPr>
                <w:rFonts w:ascii="Times New Roman"/>
                <w:sz w:val="20"/>
              </w:rPr>
            </w:pPr>
          </w:p>
        </w:tc>
        <w:tc>
          <w:tcPr>
            <w:tcW w:w="1485" w:type="dxa"/>
          </w:tcPr>
          <w:p>
            <w:pPr>
              <w:pStyle w:val="TableParagraph"/>
              <w:ind w:left="0"/>
              <w:rPr>
                <w:rFonts w:ascii="Times New Roman"/>
                <w:sz w:val="20"/>
              </w:rPr>
            </w:pPr>
          </w:p>
        </w:tc>
        <w:tc>
          <w:tcPr>
            <w:tcW w:w="6138" w:type="dxa"/>
          </w:tcPr>
          <w:p>
            <w:pPr>
              <w:pStyle w:val="TableParagraph"/>
              <w:spacing w:line="211" w:lineRule="exact"/>
              <w:ind w:left="167"/>
              <w:rPr>
                <w:sz w:val="21"/>
              </w:rPr>
            </w:pPr>
            <w:r>
              <w:rPr>
                <w:sz w:val="21"/>
              </w:rPr>
              <w:t>行。</w:t>
            </w:r>
          </w:p>
        </w:tc>
      </w:tr>
      <w:tr>
        <w:trPr>
          <w:trHeight w:val="484" w:hRule="atLeast"/>
        </w:trPr>
        <w:tc>
          <w:tcPr>
            <w:tcW w:w="686" w:type="dxa"/>
            <w:tcBorders>
              <w:bottom w:val="single" w:sz="4" w:space="0" w:color="000000"/>
            </w:tcBorders>
          </w:tcPr>
          <w:p>
            <w:pPr>
              <w:pStyle w:val="TableParagraph"/>
              <w:spacing w:line="408" w:lineRule="exact" w:before="55"/>
              <w:ind w:left="105"/>
              <w:rPr>
                <w:rFonts w:ascii="Microsoft JhengHei"/>
                <w:b/>
                <w:sz w:val="24"/>
              </w:rPr>
            </w:pPr>
            <w:r>
              <w:rPr>
                <w:rFonts w:ascii="Microsoft JhengHei"/>
                <w:b/>
                <w:w w:val="83"/>
                <w:sz w:val="24"/>
              </w:rPr>
              <w:t>8</w:t>
            </w:r>
          </w:p>
        </w:tc>
        <w:tc>
          <w:tcPr>
            <w:tcW w:w="7623" w:type="dxa"/>
            <w:gridSpan w:val="2"/>
            <w:tcBorders>
              <w:bottom w:val="single" w:sz="4" w:space="0" w:color="000000"/>
            </w:tcBorders>
          </w:tcPr>
          <w:p>
            <w:pPr>
              <w:pStyle w:val="TableParagraph"/>
              <w:spacing w:line="408" w:lineRule="exact" w:before="55"/>
              <w:ind w:left="264"/>
              <w:rPr>
                <w:rFonts w:ascii="Microsoft JhengHei" w:eastAsia="Microsoft JhengHei" w:hint="eastAsia"/>
                <w:b/>
                <w:sz w:val="24"/>
              </w:rPr>
            </w:pPr>
            <w:r>
              <w:rPr>
                <w:rFonts w:ascii="Microsoft JhengHei" w:eastAsia="Microsoft JhengHei" w:hint="eastAsia"/>
                <w:b/>
                <w:sz w:val="24"/>
              </w:rPr>
              <w:t>重大疾病定义</w:t>
            </w:r>
          </w:p>
        </w:tc>
      </w:tr>
      <w:tr>
        <w:trPr>
          <w:trHeight w:val="2039" w:hRule="atLeast"/>
        </w:trPr>
        <w:tc>
          <w:tcPr>
            <w:tcW w:w="686" w:type="dxa"/>
            <w:tcBorders>
              <w:top w:val="single" w:sz="4" w:space="0" w:color="000000"/>
            </w:tcBorders>
          </w:tcPr>
          <w:p>
            <w:pPr>
              <w:pStyle w:val="TableParagraph"/>
              <w:spacing w:before="12"/>
              <w:ind w:left="0"/>
              <w:rPr>
                <w:sz w:val="17"/>
              </w:rPr>
            </w:pPr>
          </w:p>
          <w:p>
            <w:pPr>
              <w:pStyle w:val="TableParagraph"/>
              <w:ind w:left="105"/>
              <w:rPr>
                <w:rFonts w:ascii="Microsoft JhengHei"/>
                <w:b/>
                <w:sz w:val="21"/>
              </w:rPr>
            </w:pPr>
            <w:r>
              <w:rPr>
                <w:rFonts w:ascii="Microsoft JhengHei"/>
                <w:b/>
                <w:w w:val="105"/>
                <w:sz w:val="21"/>
              </w:rPr>
              <w:t>8.1</w:t>
            </w:r>
          </w:p>
        </w:tc>
        <w:tc>
          <w:tcPr>
            <w:tcW w:w="1485" w:type="dxa"/>
            <w:tcBorders>
              <w:top w:val="single" w:sz="4" w:space="0" w:color="000000"/>
            </w:tcBorders>
          </w:tcPr>
          <w:p>
            <w:pPr>
              <w:pStyle w:val="TableParagraph"/>
              <w:spacing w:before="12"/>
              <w:ind w:left="0"/>
              <w:rPr>
                <w:sz w:val="17"/>
              </w:rPr>
            </w:pPr>
          </w:p>
          <w:p>
            <w:pPr>
              <w:pStyle w:val="TableParagraph"/>
              <w:ind w:left="264"/>
              <w:rPr>
                <w:rFonts w:ascii="Microsoft JhengHei" w:eastAsia="Microsoft JhengHei" w:hint="eastAsia"/>
                <w:b/>
                <w:sz w:val="21"/>
              </w:rPr>
            </w:pPr>
            <w:r>
              <w:rPr>
                <w:rFonts w:ascii="Microsoft JhengHei" w:eastAsia="Microsoft JhengHei" w:hint="eastAsia"/>
                <w:b/>
                <w:sz w:val="21"/>
              </w:rPr>
              <w:t>重大疾病</w:t>
            </w:r>
          </w:p>
        </w:tc>
        <w:tc>
          <w:tcPr>
            <w:tcW w:w="6138" w:type="dxa"/>
            <w:tcBorders>
              <w:top w:val="single" w:sz="4" w:space="0" w:color="000000"/>
            </w:tcBorders>
          </w:tcPr>
          <w:p>
            <w:pPr>
              <w:pStyle w:val="TableParagraph"/>
              <w:ind w:left="0"/>
              <w:rPr>
                <w:sz w:val="23"/>
              </w:rPr>
            </w:pPr>
          </w:p>
          <w:p>
            <w:pPr>
              <w:pStyle w:val="TableParagraph"/>
              <w:spacing w:line="273" w:lineRule="auto"/>
              <w:ind w:left="167" w:right="81"/>
              <w:rPr>
                <w:sz w:val="21"/>
              </w:rPr>
            </w:pPr>
            <w:r>
              <w:rPr>
                <w:spacing w:val="-5"/>
                <w:w w:val="100"/>
                <w:sz w:val="21"/>
              </w:rPr>
              <w:t>指被保险人发生符合以下疾病定义所述条件的疾病（</w:t>
            </w:r>
            <w:r>
              <w:rPr>
                <w:w w:val="100"/>
                <w:sz w:val="21"/>
              </w:rPr>
              <w:t>共</w:t>
            </w:r>
            <w:r>
              <w:rPr>
                <w:sz w:val="21"/>
              </w:rPr>
              <w:t> </w:t>
            </w:r>
            <w:r>
              <w:rPr>
                <w:w w:val="100"/>
                <w:sz w:val="21"/>
              </w:rPr>
              <w:t>80</w:t>
            </w:r>
            <w:r>
              <w:rPr>
                <w:spacing w:val="-53"/>
                <w:sz w:val="21"/>
              </w:rPr>
              <w:t> </w:t>
            </w:r>
            <w:r>
              <w:rPr>
                <w:w w:val="100"/>
                <w:sz w:val="21"/>
              </w:rPr>
              <w:t>种</w:t>
            </w:r>
            <w:r>
              <w:rPr>
                <w:spacing w:val="-106"/>
                <w:w w:val="100"/>
                <w:sz w:val="21"/>
              </w:rPr>
              <w:t>）</w:t>
            </w:r>
            <w:r>
              <w:rPr>
                <w:w w:val="100"/>
                <w:sz w:val="21"/>
              </w:rPr>
              <w:t>，</w:t>
            </w:r>
            <w:r>
              <w:rPr>
                <w:spacing w:val="-2"/>
                <w:sz w:val="21"/>
              </w:rPr>
              <w:t>应当由专科医生明确诊断。</w:t>
            </w:r>
          </w:p>
          <w:p>
            <w:pPr>
              <w:pStyle w:val="TableParagraph"/>
              <w:spacing w:before="7"/>
              <w:ind w:left="167"/>
              <w:rPr>
                <w:sz w:val="21"/>
              </w:rPr>
            </w:pPr>
            <w:r>
              <w:rPr>
                <w:spacing w:val="-13"/>
                <w:sz w:val="21"/>
              </w:rPr>
              <w:t>第 </w:t>
            </w:r>
            <w:r>
              <w:rPr>
                <w:sz w:val="21"/>
              </w:rPr>
              <w:t>1</w:t>
            </w:r>
            <w:r>
              <w:rPr>
                <w:spacing w:val="-14"/>
                <w:sz w:val="21"/>
              </w:rPr>
              <w:t> 至第 </w:t>
            </w:r>
            <w:r>
              <w:rPr>
                <w:sz w:val="21"/>
              </w:rPr>
              <w:t>25</w:t>
            </w:r>
            <w:r>
              <w:rPr>
                <w:spacing w:val="-5"/>
                <w:sz w:val="21"/>
              </w:rPr>
              <w:t> 项为中国保险行业协会与中国医师协会共同制定的</w:t>
            </w:r>
          </w:p>
          <w:p>
            <w:pPr>
              <w:pStyle w:val="TableParagraph"/>
              <w:spacing w:line="273" w:lineRule="auto" w:before="37"/>
              <w:ind w:left="167" w:right="102"/>
              <w:rPr>
                <w:sz w:val="21"/>
              </w:rPr>
            </w:pPr>
            <w:r>
              <w:rPr>
                <w:spacing w:val="-7"/>
                <w:sz w:val="21"/>
              </w:rPr>
              <w:t>重大疾病保险的疾病定义，第 </w:t>
            </w:r>
            <w:r>
              <w:rPr>
                <w:sz w:val="21"/>
              </w:rPr>
              <w:t>26</w:t>
            </w:r>
            <w:r>
              <w:rPr>
                <w:spacing w:val="-25"/>
                <w:sz w:val="21"/>
              </w:rPr>
              <w:t> 至第 </w:t>
            </w:r>
            <w:r>
              <w:rPr>
                <w:sz w:val="21"/>
              </w:rPr>
              <w:t>80</w:t>
            </w:r>
            <w:r>
              <w:rPr>
                <w:spacing w:val="-8"/>
                <w:sz w:val="21"/>
              </w:rPr>
              <w:t> 项为我们增加的疾病种</w:t>
            </w:r>
            <w:r>
              <w:rPr>
                <w:spacing w:val="-6"/>
                <w:sz w:val="21"/>
              </w:rPr>
              <w:t>类并自行制定的疾病定义。</w:t>
            </w:r>
          </w:p>
        </w:tc>
      </w:tr>
      <w:tr>
        <w:trPr>
          <w:trHeight w:val="3757" w:hRule="atLeast"/>
        </w:trPr>
        <w:tc>
          <w:tcPr>
            <w:tcW w:w="686" w:type="dxa"/>
          </w:tcPr>
          <w:p>
            <w:pPr>
              <w:pStyle w:val="TableParagraph"/>
              <w:ind w:left="0"/>
              <w:rPr>
                <w:rFonts w:ascii="Times New Roman"/>
                <w:sz w:val="20"/>
              </w:rPr>
            </w:pPr>
          </w:p>
        </w:tc>
        <w:tc>
          <w:tcPr>
            <w:tcW w:w="1485" w:type="dxa"/>
          </w:tcPr>
          <w:p>
            <w:pPr>
              <w:pStyle w:val="TableParagraph"/>
              <w:spacing w:before="83"/>
              <w:ind w:left="264"/>
              <w:rPr>
                <w:rFonts w:ascii="Microsoft JhengHei" w:eastAsia="Microsoft JhengHei" w:hint="eastAsia"/>
                <w:b/>
                <w:sz w:val="21"/>
              </w:rPr>
            </w:pPr>
            <w:r>
              <w:rPr>
                <w:rFonts w:ascii="Microsoft JhengHei" w:eastAsia="Microsoft JhengHei" w:hint="eastAsia"/>
                <w:b/>
                <w:sz w:val="21"/>
              </w:rPr>
              <w:t>1.恶性肿瘤</w:t>
            </w:r>
          </w:p>
        </w:tc>
        <w:tc>
          <w:tcPr>
            <w:tcW w:w="6138" w:type="dxa"/>
          </w:tcPr>
          <w:p>
            <w:pPr>
              <w:pStyle w:val="TableParagraph"/>
              <w:spacing w:line="271" w:lineRule="auto" w:before="150"/>
              <w:ind w:left="167" w:right="-15"/>
              <w:rPr>
                <w:sz w:val="21"/>
              </w:rPr>
            </w:pPr>
            <w:r>
              <w:rPr>
                <w:spacing w:val="-5"/>
                <w:sz w:val="21"/>
              </w:rPr>
              <w:t>指恶性细胞不受控制的进行性增长和扩散，浸润和破坏周围正常</w:t>
            </w:r>
            <w:r>
              <w:rPr>
                <w:spacing w:val="-7"/>
                <w:sz w:val="21"/>
              </w:rPr>
              <w:t>组织，可以经血管、淋巴管和体腔扩散转移到身体其它部位的疾</w:t>
            </w:r>
            <w:r>
              <w:rPr>
                <w:spacing w:val="-18"/>
                <w:sz w:val="21"/>
              </w:rPr>
              <w:t>病。经病理学检查结果明确诊断，临床诊断属于世界卫生组织《疾</w:t>
            </w:r>
            <w:r>
              <w:rPr>
                <w:spacing w:val="-17"/>
                <w:sz w:val="21"/>
              </w:rPr>
              <w:t>病和有关健康问题的国际统计分类》</w:t>
            </w:r>
            <w:r>
              <w:rPr>
                <w:spacing w:val="-3"/>
                <w:sz w:val="21"/>
              </w:rPr>
              <w:t>（ICD-10）</w:t>
            </w:r>
            <w:r>
              <w:rPr>
                <w:spacing w:val="-2"/>
                <w:sz w:val="21"/>
              </w:rPr>
              <w:t>的恶性肿瘤范畴。</w:t>
            </w:r>
            <w:r>
              <w:rPr>
                <w:spacing w:val="-4"/>
                <w:sz w:val="21"/>
              </w:rPr>
              <w:t>下列疾病不在保障范围内：</w:t>
            </w:r>
          </w:p>
          <w:p>
            <w:pPr>
              <w:pStyle w:val="TableParagraph"/>
              <w:spacing w:before="10"/>
              <w:ind w:left="167"/>
              <w:rPr>
                <w:sz w:val="21"/>
              </w:rPr>
            </w:pPr>
            <w:r>
              <w:rPr>
                <w:sz w:val="21"/>
              </w:rPr>
              <w:t>（1）原位癌；</w:t>
            </w:r>
          </w:p>
          <w:p>
            <w:pPr>
              <w:pStyle w:val="TableParagraph"/>
              <w:spacing w:before="36"/>
              <w:ind w:left="167"/>
              <w:rPr>
                <w:sz w:val="21"/>
              </w:rPr>
            </w:pPr>
            <w:r>
              <w:rPr>
                <w:sz w:val="21"/>
              </w:rPr>
              <w:t>（2）</w:t>
            </w:r>
            <w:r>
              <w:rPr>
                <w:spacing w:val="-13"/>
                <w:sz w:val="21"/>
              </w:rPr>
              <w:t>相当于 </w:t>
            </w:r>
            <w:r>
              <w:rPr>
                <w:sz w:val="21"/>
              </w:rPr>
              <w:t>Binet</w:t>
            </w:r>
            <w:r>
              <w:rPr>
                <w:spacing w:val="-17"/>
                <w:sz w:val="21"/>
              </w:rPr>
              <w:t> 分期方案 </w:t>
            </w:r>
            <w:r>
              <w:rPr>
                <w:sz w:val="21"/>
              </w:rPr>
              <w:t>A</w:t>
            </w:r>
            <w:r>
              <w:rPr>
                <w:spacing w:val="-8"/>
                <w:sz w:val="21"/>
              </w:rPr>
              <w:t> 期程度的慢性淋巴细胞白血病；</w:t>
            </w:r>
          </w:p>
          <w:p>
            <w:pPr>
              <w:pStyle w:val="TableParagraph"/>
              <w:spacing w:before="36"/>
              <w:ind w:left="167"/>
              <w:rPr>
                <w:sz w:val="21"/>
              </w:rPr>
            </w:pPr>
            <w:r>
              <w:rPr>
                <w:sz w:val="21"/>
              </w:rPr>
              <w:t>（3）相当于 Ann Arbor 分期方案 I 期程度的何杰金氏病；</w:t>
            </w:r>
          </w:p>
          <w:p>
            <w:pPr>
              <w:pStyle w:val="TableParagraph"/>
              <w:spacing w:before="36"/>
              <w:ind w:left="167"/>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6"/>
              <w:ind w:left="16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8"/>
              <w:ind w:left="167"/>
              <w:rPr>
                <w:sz w:val="21"/>
              </w:rPr>
            </w:pPr>
            <w:r>
              <w:rPr>
                <w:sz w:val="21"/>
              </w:rPr>
              <w:t>（6）感染艾滋病病毒或患艾滋病期间所患恶性肿瘤。</w:t>
            </w:r>
          </w:p>
        </w:tc>
      </w:tr>
      <w:tr>
        <w:trPr>
          <w:trHeight w:val="2831" w:hRule="atLeast"/>
        </w:trPr>
        <w:tc>
          <w:tcPr>
            <w:tcW w:w="686" w:type="dxa"/>
          </w:tcPr>
          <w:p>
            <w:pPr>
              <w:pStyle w:val="TableParagraph"/>
              <w:ind w:left="0"/>
              <w:rPr>
                <w:rFonts w:ascii="Times New Roman"/>
                <w:sz w:val="20"/>
              </w:rPr>
            </w:pPr>
          </w:p>
        </w:tc>
        <w:tc>
          <w:tcPr>
            <w:tcW w:w="1485" w:type="dxa"/>
          </w:tcPr>
          <w:p>
            <w:pPr>
              <w:pStyle w:val="TableParagraph"/>
              <w:spacing w:line="201" w:lineRule="auto" w:before="144"/>
              <w:ind w:left="264" w:right="162"/>
              <w:rPr>
                <w:rFonts w:ascii="Microsoft JhengHei" w:eastAsia="Microsoft JhengHei" w:hint="eastAsia"/>
                <w:b/>
                <w:sz w:val="21"/>
              </w:rPr>
            </w:pPr>
            <w:r>
              <w:rPr>
                <w:rFonts w:ascii="Microsoft JhengHei" w:eastAsia="Microsoft JhengHei" w:hint="eastAsia"/>
                <w:b/>
                <w:sz w:val="21"/>
              </w:rPr>
              <w:t>2.急性心肌梗塞</w:t>
            </w:r>
          </w:p>
        </w:tc>
        <w:tc>
          <w:tcPr>
            <w:tcW w:w="6138" w:type="dxa"/>
          </w:tcPr>
          <w:p>
            <w:pPr>
              <w:pStyle w:val="TableParagraph"/>
              <w:spacing w:line="268" w:lineRule="auto" w:before="152"/>
              <w:ind w:left="167" w:right="84"/>
              <w:rPr>
                <w:sz w:val="21"/>
              </w:rPr>
            </w:pPr>
            <w:r>
              <w:rPr>
                <w:sz w:val="21"/>
              </w:rPr>
              <w:t>指因冠状动脉阻塞导致的相应区域供血不足造成部分心肌坏死。须满足下列至少三项条件：</w:t>
            </w:r>
          </w:p>
          <w:p>
            <w:pPr>
              <w:pStyle w:val="TableParagraph"/>
              <w:spacing w:before="11"/>
              <w:ind w:left="167"/>
              <w:rPr>
                <w:sz w:val="21"/>
              </w:rPr>
            </w:pPr>
            <w:r>
              <w:rPr>
                <w:sz w:val="21"/>
              </w:rPr>
              <w:t>（1）典型临床表现，例如急性胸痛等；</w:t>
            </w:r>
          </w:p>
          <w:p>
            <w:pPr>
              <w:pStyle w:val="TableParagraph"/>
              <w:spacing w:before="36"/>
              <w:ind w:left="167"/>
              <w:rPr>
                <w:sz w:val="21"/>
              </w:rPr>
            </w:pPr>
            <w:r>
              <w:rPr>
                <w:sz w:val="21"/>
              </w:rPr>
              <w:t>（2）新近的心电图改变提示急性心肌梗塞；</w:t>
            </w:r>
          </w:p>
          <w:p>
            <w:pPr>
              <w:pStyle w:val="TableParagraph"/>
              <w:spacing w:line="273" w:lineRule="auto" w:before="37"/>
              <w:ind w:left="690" w:right="102" w:hanging="524"/>
              <w:rPr>
                <w:sz w:val="21"/>
              </w:rPr>
            </w:pPr>
            <w:r>
              <w:rPr>
                <w:spacing w:val="-21"/>
                <w:sz w:val="21"/>
              </w:rPr>
              <w:t>（3）</w:t>
            </w:r>
            <w:r>
              <w:rPr>
                <w:spacing w:val="-9"/>
                <w:sz w:val="21"/>
              </w:rPr>
              <w:t>心肌酶或肌钙蛋白有诊断意义的升高，或呈符合急性心肌梗</w:t>
            </w:r>
            <w:r>
              <w:rPr>
                <w:spacing w:val="-7"/>
                <w:sz w:val="21"/>
              </w:rPr>
              <w:t>塞的动态性变化；</w:t>
            </w:r>
          </w:p>
          <w:p>
            <w:pPr>
              <w:pStyle w:val="TableParagraph"/>
              <w:spacing w:line="256" w:lineRule="auto" w:before="7"/>
              <w:ind w:left="690" w:right="30" w:hanging="52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天后，经检查证实左心室功能降低的，如左心室射血分数低于 </w:t>
            </w:r>
            <w:r>
              <w:rPr>
                <w:rFonts w:ascii="Times New Roman" w:eastAsia="Times New Roman"/>
                <w:sz w:val="21"/>
              </w:rPr>
              <w:t>50%</w:t>
            </w:r>
            <w:r>
              <w:rPr>
                <w:sz w:val="21"/>
              </w:rPr>
              <w:t>。</w:t>
            </w:r>
          </w:p>
        </w:tc>
      </w:tr>
      <w:tr>
        <w:trPr>
          <w:trHeight w:val="2503" w:hRule="atLeast"/>
        </w:trPr>
        <w:tc>
          <w:tcPr>
            <w:tcW w:w="686" w:type="dxa"/>
          </w:tcPr>
          <w:p>
            <w:pPr>
              <w:pStyle w:val="TableParagraph"/>
              <w:ind w:left="0"/>
              <w:rPr>
                <w:rFonts w:ascii="Times New Roman"/>
                <w:sz w:val="20"/>
              </w:rPr>
            </w:pPr>
          </w:p>
        </w:tc>
        <w:tc>
          <w:tcPr>
            <w:tcW w:w="1485" w:type="dxa"/>
          </w:tcPr>
          <w:p>
            <w:pPr>
              <w:pStyle w:val="TableParagraph"/>
              <w:spacing w:line="201" w:lineRule="auto" w:before="136"/>
              <w:ind w:left="264" w:right="162"/>
              <w:rPr>
                <w:rFonts w:ascii="Microsoft JhengHei" w:eastAsia="Microsoft JhengHei" w:hint="eastAsia"/>
                <w:b/>
                <w:sz w:val="21"/>
              </w:rPr>
            </w:pPr>
            <w:r>
              <w:rPr>
                <w:rFonts w:ascii="Microsoft JhengHei" w:eastAsia="Microsoft JhengHei" w:hint="eastAsia"/>
                <w:b/>
                <w:sz w:val="21"/>
              </w:rPr>
              <w:t>3.脑中风后遗症</w:t>
            </w:r>
          </w:p>
        </w:tc>
        <w:tc>
          <w:tcPr>
            <w:tcW w:w="6138" w:type="dxa"/>
          </w:tcPr>
          <w:p>
            <w:pPr>
              <w:pStyle w:val="TableParagraph"/>
              <w:spacing w:line="271" w:lineRule="auto" w:before="144"/>
              <w:ind w:left="167" w:right="103"/>
              <w:jc w:val="both"/>
              <w:rPr>
                <w:sz w:val="21"/>
              </w:rPr>
            </w:pPr>
            <w:r>
              <w:rPr>
                <w:spacing w:val="-6"/>
                <w:sz w:val="21"/>
              </w:rPr>
              <w:t>指因脑血管的突发病变引起脑血管出血、栓塞或梗塞，并导致神</w:t>
            </w:r>
            <w:r>
              <w:rPr>
                <w:spacing w:val="-7"/>
                <w:sz w:val="21"/>
              </w:rPr>
              <w:t>经系统永久性功能障碍。神经系统永久性的功能障碍，指疾病确</w:t>
            </w:r>
            <w:r>
              <w:rPr>
                <w:spacing w:val="-24"/>
                <w:sz w:val="21"/>
              </w:rPr>
              <w:t>诊 </w:t>
            </w:r>
            <w:r>
              <w:rPr>
                <w:sz w:val="21"/>
              </w:rPr>
              <w:t>180</w:t>
            </w:r>
            <w:r>
              <w:rPr>
                <w:spacing w:val="-8"/>
                <w:sz w:val="21"/>
              </w:rPr>
              <w:t> 天后，仍遗留下列一种或一种以上障碍：</w:t>
            </w:r>
          </w:p>
          <w:p>
            <w:pPr>
              <w:pStyle w:val="TableParagraph"/>
              <w:spacing w:before="9"/>
              <w:ind w:left="167"/>
              <w:rPr>
                <w:sz w:val="21"/>
              </w:rPr>
            </w:pPr>
            <w:r>
              <w:rPr>
                <w:sz w:val="21"/>
              </w:rPr>
              <w:t>（1）一肢或一肢以上肢体机能完全丧失；</w:t>
            </w:r>
          </w:p>
          <w:p>
            <w:pPr>
              <w:pStyle w:val="TableParagraph"/>
              <w:spacing w:before="37"/>
              <w:ind w:left="167"/>
              <w:rPr>
                <w:sz w:val="21"/>
              </w:rPr>
            </w:pPr>
            <w:r>
              <w:rPr>
                <w:sz w:val="21"/>
              </w:rPr>
              <w:t>（2）语言能力或咀嚼吞咽能力完全丧失；</w:t>
            </w:r>
          </w:p>
          <w:p>
            <w:pPr>
              <w:pStyle w:val="TableParagraph"/>
              <w:spacing w:line="273" w:lineRule="auto" w:before="37"/>
              <w:ind w:left="690" w:right="102" w:hanging="524"/>
              <w:rPr>
                <w:sz w:val="21"/>
              </w:rPr>
            </w:pPr>
            <w:r>
              <w:rPr>
                <w:spacing w:val="-21"/>
                <w:sz w:val="21"/>
              </w:rPr>
              <w:t>（3）</w:t>
            </w:r>
            <w:r>
              <w:rPr>
                <w:spacing w:val="-10"/>
                <w:sz w:val="21"/>
              </w:rPr>
              <w:t>自主生活能力完全丧失，无法独立完成六项基本日常生活活</w:t>
            </w:r>
            <w:r>
              <w:rPr>
                <w:spacing w:val="-7"/>
                <w:sz w:val="21"/>
              </w:rPr>
              <w:t>动中的三项或三项以上。</w:t>
            </w:r>
          </w:p>
        </w:tc>
      </w:tr>
      <w:tr>
        <w:trPr>
          <w:trHeight w:val="1886" w:hRule="atLeast"/>
        </w:trPr>
        <w:tc>
          <w:tcPr>
            <w:tcW w:w="686" w:type="dxa"/>
          </w:tcPr>
          <w:p>
            <w:pPr>
              <w:pStyle w:val="TableParagraph"/>
              <w:ind w:left="0"/>
              <w:rPr>
                <w:rFonts w:ascii="Times New Roman"/>
                <w:sz w:val="20"/>
              </w:rPr>
            </w:pPr>
          </w:p>
        </w:tc>
        <w:tc>
          <w:tcPr>
            <w:tcW w:w="1485" w:type="dxa"/>
          </w:tcPr>
          <w:p>
            <w:pPr>
              <w:pStyle w:val="TableParagraph"/>
              <w:spacing w:line="204" w:lineRule="auto" w:before="140"/>
              <w:ind w:left="264" w:right="162"/>
              <w:jc w:val="both"/>
              <w:rPr>
                <w:rFonts w:ascii="Microsoft JhengHei" w:eastAsia="Microsoft JhengHei" w:hint="eastAsia"/>
                <w:b/>
                <w:sz w:val="21"/>
              </w:rPr>
            </w:pPr>
            <w:r>
              <w:rPr>
                <w:rFonts w:ascii="Microsoft JhengHei" w:eastAsia="Microsoft JhengHei" w:hint="eastAsia"/>
                <w:b/>
                <w:sz w:val="21"/>
              </w:rPr>
              <w:t>4.重大器官移植术或造血干细胞移植术</w:t>
            </w:r>
          </w:p>
        </w:tc>
        <w:tc>
          <w:tcPr>
            <w:tcW w:w="6138" w:type="dxa"/>
          </w:tcPr>
          <w:p>
            <w:pPr>
              <w:pStyle w:val="TableParagraph"/>
              <w:spacing w:line="268" w:lineRule="auto" w:before="152"/>
              <w:ind w:left="167" w:right="108"/>
              <w:jc w:val="both"/>
              <w:rPr>
                <w:sz w:val="21"/>
              </w:rPr>
            </w:pPr>
            <w:r>
              <w:rPr>
                <w:spacing w:val="-6"/>
                <w:sz w:val="21"/>
              </w:rPr>
              <w:t>重大器官移植术，指因相应器官功能衰竭，已经实施了肾脏、肝</w:t>
            </w:r>
            <w:r>
              <w:rPr>
                <w:spacing w:val="-5"/>
                <w:sz w:val="21"/>
              </w:rPr>
              <w:t>脏、心脏或肺脏的异体移植手术。</w:t>
            </w:r>
          </w:p>
          <w:p>
            <w:pPr>
              <w:pStyle w:val="TableParagraph"/>
              <w:spacing w:line="273" w:lineRule="auto" w:before="12"/>
              <w:ind w:left="167" w:right="103"/>
              <w:jc w:val="both"/>
              <w:rPr>
                <w:sz w:val="21"/>
              </w:rPr>
            </w:pPr>
            <w:r>
              <w:rPr>
                <w:spacing w:val="-6"/>
                <w:sz w:val="21"/>
              </w:rPr>
              <w:t>造血干细胞移植术，指因造血功能损害或造血系统恶性肿瘤，已</w:t>
            </w:r>
            <w:r>
              <w:rPr>
                <w:spacing w:val="-7"/>
                <w:sz w:val="21"/>
              </w:rPr>
              <w:t>经实施了造血干细胞</w:t>
            </w:r>
            <w:r>
              <w:rPr>
                <w:sz w:val="21"/>
              </w:rPr>
              <w:t>（</w:t>
            </w:r>
            <w:r>
              <w:rPr>
                <w:spacing w:val="-5"/>
                <w:sz w:val="21"/>
              </w:rPr>
              <w:t>包括骨髓造血干细胞、外周血造血干细胞和脐血造血干细胞）</w:t>
            </w:r>
            <w:r>
              <w:rPr>
                <w:spacing w:val="-2"/>
                <w:sz w:val="21"/>
              </w:rPr>
              <w:t>的异体移植手术。</w:t>
            </w:r>
          </w:p>
        </w:tc>
      </w:tr>
      <w:tr>
        <w:trPr>
          <w:trHeight w:val="1358" w:hRule="atLeast"/>
        </w:trPr>
        <w:tc>
          <w:tcPr>
            <w:tcW w:w="686" w:type="dxa"/>
          </w:tcPr>
          <w:p>
            <w:pPr>
              <w:pStyle w:val="TableParagraph"/>
              <w:ind w:left="0"/>
              <w:rPr>
                <w:rFonts w:ascii="Times New Roman"/>
                <w:sz w:val="20"/>
              </w:rPr>
            </w:pPr>
          </w:p>
        </w:tc>
        <w:tc>
          <w:tcPr>
            <w:tcW w:w="1485" w:type="dxa"/>
          </w:tcPr>
          <w:p>
            <w:pPr>
              <w:pStyle w:val="TableParagraph"/>
              <w:spacing w:line="201" w:lineRule="auto" w:before="144"/>
              <w:ind w:left="264" w:right="162"/>
              <w:rPr>
                <w:rFonts w:ascii="Microsoft JhengHei" w:eastAsia="Microsoft JhengHei" w:hint="eastAsia"/>
                <w:b/>
                <w:sz w:val="21"/>
              </w:rPr>
            </w:pPr>
            <w:r>
              <w:rPr>
                <w:rFonts w:ascii="Microsoft JhengHei" w:eastAsia="Microsoft JhengHei" w:hint="eastAsia"/>
                <w:b/>
                <w:sz w:val="21"/>
              </w:rPr>
              <w:t>5.冠状动脉搭桥术</w:t>
            </w:r>
          </w:p>
        </w:tc>
        <w:tc>
          <w:tcPr>
            <w:tcW w:w="6138" w:type="dxa"/>
          </w:tcPr>
          <w:p>
            <w:pPr>
              <w:pStyle w:val="TableParagraph"/>
              <w:spacing w:line="268" w:lineRule="auto" w:before="152"/>
              <w:ind w:left="167" w:right="58"/>
              <w:rPr>
                <w:sz w:val="21"/>
              </w:rPr>
            </w:pPr>
            <w:r>
              <w:rPr>
                <w:sz w:val="21"/>
              </w:rPr>
              <w:t>指为治疗严重的冠心病，实际实施了开胸进行的冠状动脉血管旁路移植的手术。</w:t>
            </w:r>
          </w:p>
          <w:p>
            <w:pPr>
              <w:pStyle w:val="TableParagraph"/>
              <w:spacing w:line="312" w:lineRule="exact" w:before="7"/>
              <w:ind w:left="167" w:right="71"/>
              <w:rPr>
                <w:sz w:val="21"/>
              </w:rPr>
            </w:pPr>
            <w:r>
              <w:rPr>
                <w:sz w:val="21"/>
              </w:rPr>
              <w:t>冠状动脉支架植入术、心导管球囊扩张术、激光射频技术及其他非开胸的介入手术、腔镜手术不在保障范围内。</w:t>
            </w:r>
          </w:p>
        </w:tc>
      </w:tr>
    </w:tbl>
    <w:p>
      <w:pPr>
        <w:spacing w:after="0" w:line="312" w:lineRule="exact"/>
        <w:rPr>
          <w:sz w:val="21"/>
        </w:rPr>
        <w:sectPr>
          <w:pgSz w:w="11910" w:h="16840"/>
          <w:pgMar w:header="0" w:footer="150" w:top="740" w:bottom="340" w:left="1680" w:right="16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736" w:hRule="atLeast"/>
        </w:trPr>
        <w:tc>
          <w:tcPr>
            <w:tcW w:w="1475" w:type="dxa"/>
          </w:tcPr>
          <w:p>
            <w:pPr>
              <w:pStyle w:val="TableParagraph"/>
              <w:spacing w:line="208" w:lineRule="exact"/>
              <w:ind w:left="200"/>
              <w:rPr>
                <w:rFonts w:ascii="Microsoft JhengHei" w:eastAsia="Microsoft JhengHei" w:hint="eastAsia"/>
                <w:b/>
                <w:sz w:val="21"/>
              </w:rPr>
            </w:pPr>
            <w:r>
              <w:rPr>
                <w:rFonts w:ascii="Microsoft JhengHei" w:eastAsia="Microsoft JhengHei" w:hint="eastAsia"/>
                <w:b/>
                <w:sz w:val="21"/>
              </w:rPr>
              <w:t>6.终末期肾</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w w:val="100"/>
                <w:sz w:val="21"/>
              </w:rPr>
              <w:t>病</w:t>
            </w:r>
          </w:p>
        </w:tc>
        <w:tc>
          <w:tcPr>
            <w:tcW w:w="6284" w:type="dxa"/>
          </w:tcPr>
          <w:p>
            <w:pPr>
              <w:pStyle w:val="TableParagraph"/>
              <w:spacing w:line="211" w:lineRule="exact"/>
              <w:rPr>
                <w:sz w:val="21"/>
              </w:rPr>
            </w:pPr>
            <w:r>
              <w:rPr>
                <w:sz w:val="21"/>
              </w:rPr>
              <w:t>指双肾功能慢性不可逆性衰竭，达到尿毒症期，经诊断后已经进</w:t>
            </w:r>
          </w:p>
          <w:p>
            <w:pPr>
              <w:pStyle w:val="TableParagraph"/>
              <w:spacing w:before="37"/>
              <w:rPr>
                <w:sz w:val="21"/>
              </w:rPr>
            </w:pPr>
            <w:r>
              <w:rPr>
                <w:sz w:val="21"/>
              </w:rPr>
              <w:t>行了至少 90 天的规律性透析治疗或实施了肾脏移植手术。</w:t>
            </w:r>
          </w:p>
        </w:tc>
      </w:tr>
      <w:tr>
        <w:trPr>
          <w:trHeight w:val="951" w:hRule="atLeast"/>
        </w:trPr>
        <w:tc>
          <w:tcPr>
            <w:tcW w:w="1475" w:type="dxa"/>
          </w:tcPr>
          <w:p>
            <w:pPr>
              <w:pStyle w:val="TableParagraph"/>
              <w:spacing w:line="206" w:lineRule="auto" w:before="134"/>
              <w:ind w:left="200" w:right="218"/>
              <w:rPr>
                <w:rFonts w:ascii="Microsoft JhengHei" w:eastAsia="Microsoft JhengHei" w:hint="eastAsia"/>
                <w:b/>
                <w:sz w:val="21"/>
              </w:rPr>
            </w:pPr>
            <w:r>
              <w:rPr>
                <w:rFonts w:ascii="Microsoft JhengHei" w:eastAsia="Microsoft JhengHei" w:hint="eastAsia"/>
                <w:b/>
                <w:sz w:val="21"/>
              </w:rPr>
              <w:t>7.多个肢体缺失</w:t>
            </w:r>
          </w:p>
        </w:tc>
        <w:tc>
          <w:tcPr>
            <w:tcW w:w="6284" w:type="dxa"/>
          </w:tcPr>
          <w:p>
            <w:pPr>
              <w:pStyle w:val="TableParagraph"/>
              <w:spacing w:line="273" w:lineRule="auto" w:before="150"/>
              <w:ind w:right="309"/>
              <w:rPr>
                <w:sz w:val="21"/>
              </w:rPr>
            </w:pPr>
            <w:r>
              <w:rPr>
                <w:sz w:val="21"/>
              </w:rPr>
              <w:t>指因疾病或意外伤害导致两个或两个以上肢体自腕关节或踝关节近端（靠近躯干端）以上完全性断离。</w:t>
            </w:r>
          </w:p>
        </w:tc>
      </w:tr>
      <w:tr>
        <w:trPr>
          <w:trHeight w:val="2196" w:hRule="atLeast"/>
        </w:trPr>
        <w:tc>
          <w:tcPr>
            <w:tcW w:w="1475" w:type="dxa"/>
          </w:tcPr>
          <w:p>
            <w:pPr>
              <w:pStyle w:val="TableParagraph"/>
              <w:spacing w:line="204" w:lineRule="auto" w:before="138"/>
              <w:ind w:left="200" w:right="218"/>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284" w:type="dxa"/>
          </w:tcPr>
          <w:p>
            <w:pPr>
              <w:pStyle w:val="TableParagraph"/>
              <w:spacing w:line="268" w:lineRule="auto" w:before="150"/>
              <w:ind w:right="272"/>
              <w:rPr>
                <w:sz w:val="21"/>
              </w:rPr>
            </w:pPr>
            <w:r>
              <w:rPr>
                <w:sz w:val="21"/>
              </w:rPr>
              <w:t>指因肝炎病毒感染引起肝脏组织弥漫性坏死，导致急性肝功能衰竭，且经血清学或病毒学检查证实，并须满足下列全部条件：</w:t>
            </w:r>
          </w:p>
          <w:p>
            <w:pPr>
              <w:pStyle w:val="TableParagraph"/>
              <w:spacing w:before="12"/>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511" w:hRule="atLeast"/>
        </w:trPr>
        <w:tc>
          <w:tcPr>
            <w:tcW w:w="1475" w:type="dxa"/>
          </w:tcPr>
          <w:p>
            <w:pPr>
              <w:pStyle w:val="TableParagraph"/>
              <w:spacing w:line="201" w:lineRule="auto" w:before="144"/>
              <w:ind w:left="200" w:right="218"/>
              <w:rPr>
                <w:rFonts w:ascii="Microsoft JhengHei" w:eastAsia="Microsoft JhengHei" w:hint="eastAsia"/>
                <w:b/>
                <w:sz w:val="21"/>
              </w:rPr>
            </w:pPr>
            <w:r>
              <w:rPr>
                <w:rFonts w:ascii="Microsoft JhengHei" w:eastAsia="Microsoft JhengHei" w:hint="eastAsia"/>
                <w:b/>
                <w:sz w:val="21"/>
              </w:rPr>
              <w:t>9.良性脑肿</w:t>
            </w:r>
            <w:r>
              <w:rPr>
                <w:rFonts w:ascii="Microsoft JhengHei" w:eastAsia="Microsoft JhengHei" w:hint="eastAsia"/>
                <w:b/>
                <w:w w:val="105"/>
                <w:sz w:val="21"/>
              </w:rPr>
              <w:t>瘤</w:t>
            </w:r>
          </w:p>
        </w:tc>
        <w:tc>
          <w:tcPr>
            <w:tcW w:w="6284" w:type="dxa"/>
          </w:tcPr>
          <w:p>
            <w:pPr>
              <w:pStyle w:val="TableParagraph"/>
              <w:spacing w:line="271" w:lineRule="auto" w:before="152"/>
              <w:ind w:right="302"/>
              <w:jc w:val="both"/>
              <w:rPr>
                <w:sz w:val="21"/>
              </w:rPr>
            </w:pPr>
            <w:r>
              <w:rPr>
                <w:spacing w:val="-6"/>
                <w:sz w:val="21"/>
              </w:rPr>
              <w:t>指脑的良性肿瘤，已经引起颅内压增高，临床表现为视神经乳头</w:t>
            </w:r>
            <w:r>
              <w:rPr>
                <w:spacing w:val="-5"/>
                <w:sz w:val="21"/>
              </w:rPr>
              <w:t>水肿、精神症状、癫痫及运动感觉障碍等，并危及生命。须由头</w:t>
            </w:r>
            <w:r>
              <w:rPr>
                <w:spacing w:val="-6"/>
                <w:w w:val="100"/>
                <w:sz w:val="21"/>
              </w:rPr>
              <w:t>颅断层扫描</w:t>
            </w:r>
            <w:r>
              <w:rPr>
                <w:w w:val="100"/>
                <w:sz w:val="21"/>
              </w:rPr>
              <w:t>（CT</w:t>
            </w:r>
            <w:r>
              <w:rPr>
                <w:spacing w:val="-106"/>
                <w:w w:val="100"/>
                <w:sz w:val="21"/>
              </w:rPr>
              <w:t>）</w:t>
            </w:r>
            <w:r>
              <w:rPr>
                <w:spacing w:val="-5"/>
                <w:w w:val="100"/>
                <w:sz w:val="21"/>
              </w:rPr>
              <w:t>、核磁共振检查</w:t>
            </w:r>
            <w:r>
              <w:rPr>
                <w:w w:val="100"/>
                <w:sz w:val="21"/>
              </w:rPr>
              <w:t>（MR</w:t>
            </w:r>
            <w:r>
              <w:rPr>
                <w:spacing w:val="-5"/>
                <w:w w:val="100"/>
                <w:sz w:val="21"/>
              </w:rPr>
              <w:t>I）</w:t>
            </w:r>
            <w:r>
              <w:rPr>
                <w:spacing w:val="-3"/>
                <w:w w:val="100"/>
                <w:sz w:val="21"/>
              </w:rPr>
              <w:t>或正电子发射断层扫描</w:t>
            </w:r>
          </w:p>
          <w:p>
            <w:pPr>
              <w:pStyle w:val="TableParagraph"/>
              <w:spacing w:before="9"/>
              <w:jc w:val="both"/>
              <w:rPr>
                <w:sz w:val="21"/>
              </w:rPr>
            </w:pPr>
            <w:r>
              <w:rPr>
                <w:sz w:val="21"/>
              </w:rPr>
              <w:t>（PET）等影像学检查证实，并须满足下列至少一项条件：</w:t>
            </w:r>
          </w:p>
          <w:p>
            <w:pPr>
              <w:pStyle w:val="TableParagraph"/>
              <w:spacing w:before="36"/>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7"/>
              <w:jc w:val="both"/>
              <w:rPr>
                <w:sz w:val="21"/>
              </w:rPr>
            </w:pPr>
            <w:r>
              <w:rPr>
                <w:sz w:val="21"/>
              </w:rPr>
              <w:t>脑垂体瘤、脑囊肿、脑血管性疾病不在保障范围内。</w:t>
            </w:r>
          </w:p>
        </w:tc>
      </w:tr>
      <w:tr>
        <w:trPr>
          <w:trHeight w:val="2198"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10.慢性肝功能衰竭失代偿期</w:t>
            </w:r>
          </w:p>
        </w:tc>
        <w:tc>
          <w:tcPr>
            <w:tcW w:w="6284" w:type="dxa"/>
          </w:tcPr>
          <w:p>
            <w:pPr>
              <w:pStyle w:val="TableParagraph"/>
              <w:spacing w:before="152"/>
              <w:rPr>
                <w:sz w:val="21"/>
              </w:rPr>
            </w:pPr>
            <w:r>
              <w:rPr>
                <w:sz w:val="21"/>
              </w:rPr>
              <w:t>指因慢性肝脏疾病导致肝功能衰竭，须满足下列全部条件：</w:t>
            </w:r>
          </w:p>
          <w:p>
            <w:pPr>
              <w:pStyle w:val="TableParagraph"/>
              <w:spacing w:before="32"/>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36"/>
              <w:rPr>
                <w:sz w:val="21"/>
              </w:rPr>
            </w:pPr>
            <w:r>
              <w:rPr>
                <w:sz w:val="21"/>
              </w:rPr>
              <w:t>因酗酒或药物滥用导致的肝功能衰竭不在保障范围内。</w:t>
            </w:r>
          </w:p>
        </w:tc>
      </w:tr>
      <w:tr>
        <w:trPr>
          <w:trHeight w:val="2501"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11.脑炎后遗症或脑膜炎后遗症</w:t>
            </w:r>
          </w:p>
        </w:tc>
        <w:tc>
          <w:tcPr>
            <w:tcW w:w="6284" w:type="dxa"/>
          </w:tcPr>
          <w:p>
            <w:pPr>
              <w:pStyle w:val="TableParagraph"/>
              <w:spacing w:line="271" w:lineRule="auto" w:before="152"/>
              <w:ind w:right="302"/>
              <w:jc w:val="both"/>
              <w:rPr>
                <w:sz w:val="21"/>
              </w:rPr>
            </w:pPr>
            <w:r>
              <w:rPr>
                <w:spacing w:val="-6"/>
                <w:sz w:val="21"/>
              </w:rPr>
              <w:t>指因患脑炎或脑膜炎导致的神经系统永久性的功能障碍。神经系</w:t>
            </w:r>
            <w:r>
              <w:rPr>
                <w:spacing w:val="-8"/>
                <w:sz w:val="21"/>
              </w:rPr>
              <w:t>统永久性的功能障碍，指疾病确诊 </w:t>
            </w:r>
            <w:r>
              <w:rPr>
                <w:sz w:val="21"/>
              </w:rPr>
              <w:t>180</w:t>
            </w:r>
            <w:r>
              <w:rPr>
                <w:spacing w:val="-8"/>
                <w:sz w:val="21"/>
              </w:rPr>
              <w:t> 天后，仍残留下列一种或</w:t>
            </w:r>
            <w:r>
              <w:rPr>
                <w:spacing w:val="-6"/>
                <w:sz w:val="21"/>
              </w:rPr>
              <w:t>一种以上障碍：</w:t>
            </w:r>
          </w:p>
          <w:p>
            <w:pPr>
              <w:pStyle w:val="TableParagraph"/>
              <w:spacing w:before="9"/>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36" w:right="303" w:hanging="524"/>
              <w:rPr>
                <w:sz w:val="21"/>
              </w:rPr>
            </w:pPr>
            <w:r>
              <w:rPr>
                <w:spacing w:val="-21"/>
                <w:sz w:val="21"/>
              </w:rPr>
              <w:t>（3）</w:t>
            </w:r>
            <w:r>
              <w:rPr>
                <w:spacing w:val="-10"/>
                <w:sz w:val="21"/>
              </w:rPr>
              <w:t>自主生活能力完全丧失，无法独立完成六项基本日常生活活</w:t>
            </w:r>
            <w:r>
              <w:rPr>
                <w:spacing w:val="-7"/>
                <w:sz w:val="21"/>
              </w:rPr>
              <w:t>动中的三项或三项以上。</w:t>
            </w:r>
          </w:p>
        </w:tc>
      </w:tr>
      <w:tr>
        <w:trPr>
          <w:trHeight w:val="1896" w:hRule="atLeast"/>
        </w:trPr>
        <w:tc>
          <w:tcPr>
            <w:tcW w:w="1475" w:type="dxa"/>
          </w:tcPr>
          <w:p>
            <w:pPr>
              <w:pStyle w:val="TableParagraph"/>
              <w:spacing w:before="95"/>
              <w:ind w:left="200"/>
              <w:rPr>
                <w:rFonts w:ascii="Microsoft JhengHei" w:eastAsia="Microsoft JhengHei" w:hint="eastAsia"/>
                <w:b/>
                <w:sz w:val="21"/>
              </w:rPr>
            </w:pPr>
            <w:r>
              <w:rPr>
                <w:rFonts w:ascii="Microsoft JhengHei" w:eastAsia="Microsoft JhengHei" w:hint="eastAsia"/>
                <w:b/>
                <w:sz w:val="21"/>
              </w:rPr>
              <w:t>12.深度昏迷</w:t>
            </w:r>
          </w:p>
        </w:tc>
        <w:tc>
          <w:tcPr>
            <w:tcW w:w="6284" w:type="dxa"/>
          </w:tcPr>
          <w:p>
            <w:pPr>
              <w:pStyle w:val="TableParagraph"/>
              <w:spacing w:line="254" w:lineRule="auto" w:before="162"/>
              <w:ind w:right="303"/>
              <w:jc w:val="both"/>
              <w:rPr>
                <w:sz w:val="21"/>
              </w:rPr>
            </w:pPr>
            <w:r>
              <w:rPr>
                <w:spacing w:val="1"/>
                <w:sz w:val="21"/>
              </w:rPr>
              <w:t>指因疾病或意外伤害导致意识丧失</w:t>
            </w:r>
            <w:r>
              <w:rPr>
                <w:rFonts w:ascii="Cambria" w:eastAsia="Cambria"/>
                <w:spacing w:val="2"/>
                <w:sz w:val="21"/>
              </w:rPr>
              <w:t>,</w:t>
            </w:r>
            <w:r>
              <w:rPr>
                <w:sz w:val="21"/>
              </w:rPr>
              <w:t>对外界刺激和体内需求均无反应</w:t>
            </w:r>
            <w:r>
              <w:rPr>
                <w:rFonts w:ascii="Cambria" w:eastAsia="Cambria"/>
                <w:sz w:val="21"/>
              </w:rPr>
              <w:t>,</w:t>
            </w:r>
            <w:r>
              <w:rPr>
                <w:spacing w:val="-2"/>
                <w:sz w:val="21"/>
              </w:rPr>
              <w:t>昏迷程度按照格拉斯哥昏迷分级</w:t>
            </w:r>
            <w:r>
              <w:rPr>
                <w:sz w:val="21"/>
              </w:rPr>
              <w:t>（</w:t>
            </w:r>
            <w:r>
              <w:rPr>
                <w:rFonts w:ascii="Cambria" w:eastAsia="Cambria"/>
                <w:sz w:val="21"/>
              </w:rPr>
              <w:t>Glasgow coma scale</w:t>
            </w:r>
            <w:r>
              <w:rPr>
                <w:sz w:val="21"/>
              </w:rPr>
              <w:t>）结</w:t>
            </w:r>
            <w:r>
              <w:rPr>
                <w:spacing w:val="-1"/>
                <w:sz w:val="21"/>
              </w:rPr>
              <w:t>果为</w:t>
            </w:r>
            <w:r>
              <w:rPr>
                <w:rFonts w:ascii="Cambria" w:eastAsia="Cambria"/>
                <w:spacing w:val="-1"/>
                <w:sz w:val="21"/>
              </w:rPr>
              <w:t>5</w:t>
            </w:r>
            <w:r>
              <w:rPr>
                <w:spacing w:val="-1"/>
                <w:sz w:val="21"/>
              </w:rPr>
              <w:t>分或</w:t>
            </w:r>
            <w:r>
              <w:rPr>
                <w:rFonts w:ascii="Cambria" w:eastAsia="Cambria"/>
                <w:sz w:val="21"/>
              </w:rPr>
              <w:t>5</w:t>
            </w:r>
            <w:r>
              <w:rPr>
                <w:spacing w:val="-8"/>
                <w:sz w:val="21"/>
              </w:rPr>
              <w:t>分以下，且已经持续使用呼吸机及其它生命维持系统</w:t>
            </w:r>
          </w:p>
          <w:p>
            <w:pPr>
              <w:pStyle w:val="TableParagraph"/>
              <w:spacing w:before="5"/>
              <w:jc w:val="both"/>
              <w:rPr>
                <w:sz w:val="21"/>
              </w:rPr>
            </w:pPr>
            <w:r>
              <w:rPr>
                <w:rFonts w:ascii="Cambria" w:eastAsia="Cambria"/>
                <w:sz w:val="21"/>
              </w:rPr>
              <w:t>96  </w:t>
            </w:r>
            <w:r>
              <w:rPr>
                <w:sz w:val="21"/>
              </w:rPr>
              <w:t>小时以上。</w:t>
            </w:r>
          </w:p>
          <w:p>
            <w:pPr>
              <w:pStyle w:val="TableParagraph"/>
              <w:spacing w:before="20"/>
              <w:jc w:val="both"/>
              <w:rPr>
                <w:sz w:val="21"/>
              </w:rPr>
            </w:pPr>
            <w:r>
              <w:rPr>
                <w:sz w:val="21"/>
              </w:rPr>
              <w:t>因酗酒或药物滥用导致的深度昏迷不在保障范围内。</w:t>
            </w:r>
          </w:p>
        </w:tc>
      </w:tr>
      <w:tr>
        <w:trPr>
          <w:trHeight w:val="1670" w:hRule="atLeast"/>
        </w:trPr>
        <w:tc>
          <w:tcPr>
            <w:tcW w:w="1475" w:type="dxa"/>
          </w:tcPr>
          <w:p>
            <w:pPr>
              <w:pStyle w:val="TableParagraph"/>
              <w:spacing w:line="336" w:lineRule="exact" w:before="85"/>
              <w:ind w:left="200"/>
              <w:rPr>
                <w:rFonts w:ascii="Microsoft JhengHei" w:eastAsia="Microsoft JhengHei" w:hint="eastAsia"/>
                <w:b/>
                <w:sz w:val="21"/>
              </w:rPr>
            </w:pPr>
            <w:r>
              <w:rPr>
                <w:rFonts w:ascii="Microsoft JhengHei" w:eastAsia="Microsoft JhengHei" w:hint="eastAsia"/>
                <w:b/>
                <w:sz w:val="21"/>
              </w:rPr>
              <w:t>13.双耳失聪</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84" w:type="dxa"/>
          </w:tcPr>
          <w:p>
            <w:pPr>
              <w:pStyle w:val="TableParagraph"/>
              <w:spacing w:before="152"/>
              <w:rPr>
                <w:sz w:val="21"/>
              </w:rPr>
            </w:pPr>
            <w:r>
              <w:rPr>
                <w:sz w:val="21"/>
              </w:rPr>
              <w:t>指因疾病或意外伤害导致双耳听力永久不可逆性丧失，在 500 赫</w:t>
            </w:r>
          </w:p>
          <w:p>
            <w:pPr>
              <w:pStyle w:val="TableParagraph"/>
              <w:spacing w:line="273" w:lineRule="auto" w:before="32"/>
              <w:ind w:right="234"/>
              <w:rPr>
                <w:sz w:val="21"/>
              </w:rPr>
            </w:pPr>
            <w:r>
              <w:rPr>
                <w:sz w:val="21"/>
              </w:rPr>
              <w:t>兹、1000</w:t>
            </w:r>
            <w:r>
              <w:rPr>
                <w:spacing w:val="-21"/>
                <w:sz w:val="21"/>
              </w:rPr>
              <w:t> 赫兹和 </w:t>
            </w:r>
            <w:r>
              <w:rPr>
                <w:sz w:val="21"/>
              </w:rPr>
              <w:t>2000</w:t>
            </w:r>
            <w:r>
              <w:rPr>
                <w:spacing w:val="-11"/>
                <w:sz w:val="21"/>
              </w:rPr>
              <w:t> 赫兹语音频率下，平均听阈大于 </w:t>
            </w:r>
            <w:r>
              <w:rPr>
                <w:sz w:val="21"/>
              </w:rPr>
              <w:t>90</w:t>
            </w:r>
            <w:r>
              <w:rPr>
                <w:spacing w:val="-14"/>
                <w:sz w:val="21"/>
              </w:rPr>
              <w:t> 分贝， </w:t>
            </w:r>
            <w:r>
              <w:rPr>
                <w:spacing w:val="-9"/>
                <w:sz w:val="21"/>
              </w:rPr>
              <w:t>且经纯音听力测试、声导抗检测或听觉诱发电位检测等证实。 </w:t>
            </w:r>
            <w:r>
              <w:rPr>
                <w:spacing w:val="-16"/>
                <w:sz w:val="21"/>
              </w:rPr>
              <w:t>被保险人在 </w:t>
            </w:r>
            <w:r>
              <w:rPr>
                <w:sz w:val="21"/>
              </w:rPr>
              <w:t>3</w:t>
            </w:r>
            <w:r>
              <w:rPr>
                <w:spacing w:val="-8"/>
                <w:sz w:val="21"/>
              </w:rPr>
              <w:t> 周岁之前因疾病或意外导致的双耳失聪不在保障范</w:t>
            </w:r>
          </w:p>
          <w:p>
            <w:pPr>
              <w:pStyle w:val="TableParagraph"/>
              <w:spacing w:line="255" w:lineRule="exact" w:before="7"/>
              <w:rPr>
                <w:sz w:val="21"/>
              </w:rPr>
            </w:pPr>
            <w:r>
              <w:rPr>
                <w:sz w:val="21"/>
              </w:rPr>
              <w:t>围内。</w:t>
            </w:r>
          </w:p>
        </w:tc>
      </w:tr>
    </w:tbl>
    <w:p>
      <w:pPr>
        <w:spacing w:after="0" w:line="255" w:lineRule="exact"/>
        <w:rPr>
          <w:sz w:val="21"/>
        </w:rPr>
        <w:sectPr>
          <w:pgSz w:w="11910" w:h="16840"/>
          <w:pgMar w:header="0" w:footer="150" w:top="106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2"/>
      </w:tblGrid>
      <w:tr>
        <w:trPr>
          <w:trHeight w:val="2607" w:hRule="atLeast"/>
        </w:trPr>
        <w:tc>
          <w:tcPr>
            <w:tcW w:w="1475"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14.双目失明</w:t>
            </w:r>
          </w:p>
          <w:p>
            <w:pPr>
              <w:pStyle w:val="TableParagraph"/>
              <w:spacing w:line="204" w:lineRule="auto" w:before="25"/>
              <w:ind w:left="200" w:right="218"/>
              <w:rPr>
                <w:rFonts w:ascii="Microsoft JhengHei" w:eastAsia="Microsoft JhengHei" w:hint="eastAsia"/>
                <w:b/>
                <w:sz w:val="21"/>
              </w:rPr>
            </w:pPr>
            <w:r>
              <w:rPr>
                <w:rFonts w:ascii="Microsoft JhengHei" w:eastAsia="Microsoft JhengHei" w:hint="eastAsia"/>
                <w:b/>
                <w:sz w:val="21"/>
              </w:rPr>
              <w:t>－三周岁始理赔</w:t>
            </w:r>
          </w:p>
        </w:tc>
        <w:tc>
          <w:tcPr>
            <w:tcW w:w="6282" w:type="dxa"/>
          </w:tcPr>
          <w:p>
            <w:pPr>
              <w:pStyle w:val="TableParagraph"/>
              <w:spacing w:line="211" w:lineRule="exact"/>
              <w:rPr>
                <w:sz w:val="21"/>
              </w:rPr>
            </w:pPr>
            <w:r>
              <w:rPr>
                <w:sz w:val="21"/>
              </w:rPr>
              <w:t>指因疾病或意外伤害导致双眼视力永久不可逆性丧失，双眼中较</w:t>
            </w:r>
          </w:p>
          <w:p>
            <w:pPr>
              <w:pStyle w:val="TableParagraph"/>
              <w:spacing w:before="32"/>
              <w:rPr>
                <w:sz w:val="21"/>
              </w:rPr>
            </w:pPr>
            <w:r>
              <w:rPr>
                <w:sz w:val="21"/>
              </w:rPr>
              <w:t>好眼须满足下列至少一项条件：</w:t>
            </w:r>
          </w:p>
          <w:p>
            <w:pPr>
              <w:pStyle w:val="TableParagraph"/>
              <w:spacing w:before="37"/>
              <w:rPr>
                <w:sz w:val="21"/>
              </w:rPr>
            </w:pPr>
            <w:r>
              <w:rPr>
                <w:sz w:val="21"/>
              </w:rPr>
              <w:t>（1）眼球缺失或摘除；</w:t>
            </w:r>
          </w:p>
          <w:p>
            <w:pPr>
              <w:pStyle w:val="TableParagraph"/>
              <w:spacing w:line="273" w:lineRule="auto" w:before="37"/>
              <w:ind w:left="535" w:right="301" w:hanging="423"/>
              <w:rPr>
                <w:sz w:val="21"/>
              </w:rPr>
            </w:pPr>
            <w:r>
              <w:rPr>
                <w:sz w:val="21"/>
              </w:rPr>
              <w:t>（2）</w:t>
            </w:r>
            <w:r>
              <w:rPr>
                <w:spacing w:val="-2"/>
                <w:sz w:val="21"/>
              </w:rPr>
              <w:t>矫正视力低于 </w:t>
            </w:r>
            <w:r>
              <w:rPr>
                <w:sz w:val="21"/>
              </w:rPr>
              <w:t>0.02（</w:t>
            </w:r>
            <w:r>
              <w:rPr>
                <w:spacing w:val="-4"/>
                <w:sz w:val="21"/>
              </w:rPr>
              <w:t>采用国际标准视力表，如果使用其他</w:t>
            </w:r>
            <w:r>
              <w:rPr>
                <w:spacing w:val="-5"/>
                <w:w w:val="100"/>
                <w:sz w:val="21"/>
              </w:rPr>
              <w:t>视力表应进行换算</w:t>
            </w:r>
            <w:r>
              <w:rPr>
                <w:spacing w:val="-106"/>
                <w:w w:val="100"/>
                <w:sz w:val="21"/>
              </w:rPr>
              <w:t>）</w:t>
            </w:r>
            <w:r>
              <w:rPr>
                <w:w w:val="100"/>
                <w:sz w:val="21"/>
              </w:rPr>
              <w:t>；</w:t>
            </w:r>
          </w:p>
          <w:p>
            <w:pPr>
              <w:pStyle w:val="TableParagraph"/>
              <w:spacing w:before="8"/>
              <w:rPr>
                <w:sz w:val="21"/>
              </w:rPr>
            </w:pPr>
            <w:r>
              <w:rPr>
                <w:sz w:val="21"/>
              </w:rPr>
              <w:t>（3）视野半径小于 5 度。</w:t>
            </w:r>
          </w:p>
          <w:p>
            <w:pPr>
              <w:pStyle w:val="TableParagraph"/>
              <w:spacing w:line="273" w:lineRule="auto" w:before="37"/>
              <w:ind w:right="299"/>
              <w:rPr>
                <w:sz w:val="21"/>
              </w:rPr>
            </w:pPr>
            <w:r>
              <w:rPr>
                <w:spacing w:val="-9"/>
                <w:sz w:val="21"/>
              </w:rPr>
              <w:t>被保险人在 </w:t>
            </w:r>
            <w:r>
              <w:rPr>
                <w:sz w:val="21"/>
              </w:rPr>
              <w:t>3</w:t>
            </w:r>
            <w:r>
              <w:rPr>
                <w:spacing w:val="-8"/>
                <w:sz w:val="21"/>
              </w:rPr>
              <w:t> 周岁之前因疾病或意外导致的双目失明不在保障范围内。</w:t>
            </w:r>
          </w:p>
        </w:tc>
      </w:tr>
      <w:tr>
        <w:trPr>
          <w:trHeight w:val="1574"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15.瘫痪</w:t>
            </w:r>
          </w:p>
        </w:tc>
        <w:tc>
          <w:tcPr>
            <w:tcW w:w="6282" w:type="dxa"/>
          </w:tcPr>
          <w:p>
            <w:pPr>
              <w:pStyle w:val="TableParagraph"/>
              <w:spacing w:line="268" w:lineRule="auto" w:before="152"/>
              <w:ind w:right="299"/>
              <w:rPr>
                <w:sz w:val="21"/>
              </w:rPr>
            </w:pPr>
            <w:r>
              <w:rPr>
                <w:spacing w:val="1"/>
                <w:sz w:val="21"/>
              </w:rPr>
              <w:t>指因疾病或意外伤害导致两肢或两肢以上肢体机能永久完全丧</w:t>
            </w:r>
            <w:r>
              <w:rPr>
                <w:spacing w:val="-8"/>
                <w:sz w:val="21"/>
              </w:rPr>
              <w:t>失。肢体机能永久完全丧失，指疾病确诊 </w:t>
            </w:r>
            <w:r>
              <w:rPr>
                <w:sz w:val="21"/>
              </w:rPr>
              <w:t>180</w:t>
            </w:r>
            <w:r>
              <w:rPr>
                <w:spacing w:val="-7"/>
                <w:sz w:val="21"/>
              </w:rPr>
              <w:t> 天后或意外伤害发</w:t>
            </w:r>
          </w:p>
          <w:p>
            <w:pPr>
              <w:pStyle w:val="TableParagraph"/>
              <w:spacing w:line="273" w:lineRule="auto" w:before="11"/>
              <w:ind w:right="301"/>
              <w:rPr>
                <w:sz w:val="21"/>
              </w:rPr>
            </w:pPr>
            <w:r>
              <w:rPr>
                <w:spacing w:val="-19"/>
                <w:sz w:val="21"/>
              </w:rPr>
              <w:t>生 </w:t>
            </w:r>
            <w:r>
              <w:rPr>
                <w:sz w:val="21"/>
              </w:rPr>
              <w:t>180</w:t>
            </w:r>
            <w:r>
              <w:rPr>
                <w:spacing w:val="-9"/>
                <w:sz w:val="21"/>
              </w:rPr>
              <w:t> 天后，每肢三大关节中的两大关节仍然完全僵硬，或不能</w:t>
            </w:r>
            <w:r>
              <w:rPr>
                <w:spacing w:val="-8"/>
                <w:sz w:val="21"/>
              </w:rPr>
              <w:t>随意识活动。</w:t>
            </w:r>
          </w:p>
        </w:tc>
      </w:tr>
      <w:tr>
        <w:trPr>
          <w:trHeight w:val="948"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16.心脏瓣膜手术</w:t>
            </w:r>
          </w:p>
        </w:tc>
        <w:tc>
          <w:tcPr>
            <w:tcW w:w="6282" w:type="dxa"/>
          </w:tcPr>
          <w:p>
            <w:pPr>
              <w:pStyle w:val="TableParagraph"/>
              <w:spacing w:line="268" w:lineRule="auto" w:before="152"/>
              <w:ind w:right="257"/>
              <w:rPr>
                <w:sz w:val="21"/>
              </w:rPr>
            </w:pPr>
            <w:r>
              <w:rPr>
                <w:sz w:val="21"/>
              </w:rPr>
              <w:t>指为治疗心脏瓣膜疾病，实际实施了开胸进行的心脏瓣膜置换或修复的手术。</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17.严重阿尔茨海默病</w:t>
            </w:r>
          </w:p>
        </w:tc>
        <w:tc>
          <w:tcPr>
            <w:tcW w:w="6282" w:type="dxa"/>
          </w:tcPr>
          <w:p>
            <w:pPr>
              <w:pStyle w:val="TableParagraph"/>
              <w:spacing w:line="273" w:lineRule="auto" w:before="150"/>
              <w:ind w:right="280"/>
              <w:jc w:val="both"/>
              <w:rPr>
                <w:sz w:val="21"/>
              </w:rPr>
            </w:pPr>
            <w:r>
              <w:rPr>
                <w:spacing w:val="-6"/>
                <w:sz w:val="21"/>
              </w:rPr>
              <w:t>指因大脑进行性、不可逆性改变导致智能严重衰退或丧失，临床</w:t>
            </w:r>
            <w:r>
              <w:rPr>
                <w:spacing w:val="-7"/>
                <w:sz w:val="21"/>
              </w:rPr>
              <w:t>表现为明显的认知能力障碍、行为异常和社交能力减退，其日常</w:t>
            </w:r>
            <w:r>
              <w:rPr>
                <w:spacing w:val="-11"/>
                <w:w w:val="100"/>
                <w:sz w:val="21"/>
              </w:rPr>
              <w:t>生活必须持续受到他人监护。须由头颅断层扫描</w:t>
            </w:r>
            <w:r>
              <w:rPr>
                <w:spacing w:val="1"/>
                <w:w w:val="100"/>
                <w:sz w:val="21"/>
              </w:rPr>
              <w:t>（</w:t>
            </w:r>
            <w:r>
              <w:rPr>
                <w:w w:val="100"/>
                <w:sz w:val="21"/>
              </w:rPr>
              <w:t>CT</w:t>
            </w:r>
            <w:r>
              <w:rPr>
                <w:spacing w:val="-111"/>
                <w:w w:val="100"/>
                <w:sz w:val="21"/>
              </w:rPr>
              <w:t>）</w:t>
            </w:r>
            <w:r>
              <w:rPr>
                <w:spacing w:val="-10"/>
                <w:w w:val="100"/>
                <w:sz w:val="21"/>
              </w:rPr>
              <w:t>、核磁共振</w:t>
            </w:r>
            <w:r>
              <w:rPr>
                <w:spacing w:val="-1"/>
                <w:sz w:val="21"/>
              </w:rPr>
              <w:t>检查（MRI）</w:t>
            </w:r>
            <w:r>
              <w:rPr>
                <w:spacing w:val="-3"/>
                <w:sz w:val="21"/>
              </w:rPr>
              <w:t>或正电子发射断层扫描</w:t>
            </w:r>
            <w:r>
              <w:rPr>
                <w:sz w:val="21"/>
              </w:rPr>
              <w:t>（PET）</w:t>
            </w:r>
            <w:r>
              <w:rPr>
                <w:spacing w:val="-3"/>
                <w:sz w:val="21"/>
              </w:rPr>
              <w:t>等影像学检查证实， </w:t>
            </w:r>
            <w:r>
              <w:rPr>
                <w:spacing w:val="-7"/>
                <w:sz w:val="21"/>
              </w:rPr>
              <w:t>且自主生活能力完全丧失，无法独立完成六项基本日常生活活动</w:t>
            </w:r>
            <w:r>
              <w:rPr>
                <w:spacing w:val="-6"/>
                <w:sz w:val="21"/>
              </w:rPr>
              <w:t>中的三项或三项以上。</w:t>
            </w:r>
          </w:p>
          <w:p>
            <w:pPr>
              <w:pStyle w:val="TableParagraph"/>
              <w:spacing w:before="8"/>
              <w:jc w:val="both"/>
              <w:rPr>
                <w:sz w:val="21"/>
              </w:rPr>
            </w:pPr>
            <w:r>
              <w:rPr>
                <w:sz w:val="21"/>
              </w:rPr>
              <w:t>神经官能症和精神疾病不在保障范围内。</w:t>
            </w:r>
          </w:p>
        </w:tc>
      </w:tr>
      <w:tr>
        <w:trPr>
          <w:trHeight w:val="313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18.严重脑损伤</w:t>
            </w:r>
          </w:p>
        </w:tc>
        <w:tc>
          <w:tcPr>
            <w:tcW w:w="6282" w:type="dxa"/>
          </w:tcPr>
          <w:p>
            <w:pPr>
              <w:pStyle w:val="TableParagraph"/>
              <w:spacing w:line="273" w:lineRule="auto" w:before="150"/>
              <w:ind w:right="198"/>
              <w:rPr>
                <w:sz w:val="21"/>
              </w:rPr>
            </w:pPr>
            <w:r>
              <w:rPr>
                <w:spacing w:val="-6"/>
                <w:sz w:val="21"/>
              </w:rPr>
              <w:t>指因头部遭受机械性外力，引起脑重要部位损伤，导致神经系统</w:t>
            </w:r>
            <w:r>
              <w:rPr>
                <w:spacing w:val="-17"/>
                <w:w w:val="100"/>
                <w:sz w:val="21"/>
              </w:rPr>
              <w:t>永久性的功能障碍。须由头颅断层扫描</w:t>
            </w:r>
            <w:r>
              <w:rPr>
                <w:spacing w:val="0"/>
                <w:w w:val="100"/>
                <w:sz w:val="21"/>
              </w:rPr>
              <w:t>（</w:t>
            </w:r>
            <w:r>
              <w:rPr>
                <w:w w:val="100"/>
                <w:sz w:val="21"/>
              </w:rPr>
              <w:t>CT</w:t>
            </w:r>
            <w:r>
              <w:rPr>
                <w:spacing w:val="-111"/>
                <w:w w:val="100"/>
                <w:sz w:val="21"/>
              </w:rPr>
              <w:t>）</w:t>
            </w:r>
            <w:r>
              <w:rPr>
                <w:spacing w:val="-27"/>
                <w:w w:val="100"/>
                <w:sz w:val="21"/>
              </w:rPr>
              <w:t>、核磁共振检查</w:t>
            </w:r>
            <w:r>
              <w:rPr>
                <w:w w:val="100"/>
                <w:sz w:val="21"/>
              </w:rPr>
              <w:t>（M</w:t>
            </w:r>
            <w:r>
              <w:rPr>
                <w:spacing w:val="-5"/>
                <w:w w:val="100"/>
                <w:sz w:val="21"/>
              </w:rPr>
              <w:t>R</w:t>
            </w:r>
            <w:r>
              <w:rPr>
                <w:w w:val="100"/>
                <w:sz w:val="21"/>
              </w:rPr>
              <w:t>I）</w:t>
            </w:r>
            <w:r>
              <w:rPr>
                <w:spacing w:val="-7"/>
                <w:sz w:val="21"/>
              </w:rPr>
              <w:t>或正电子发射断层扫描</w:t>
            </w:r>
            <w:r>
              <w:rPr>
                <w:spacing w:val="-9"/>
                <w:sz w:val="21"/>
              </w:rPr>
              <w:t>（PET）</w:t>
            </w:r>
            <w:r>
              <w:rPr>
                <w:spacing w:val="-8"/>
                <w:sz w:val="21"/>
              </w:rPr>
              <w:t>等影像学检查证实。神经系统永久</w:t>
            </w:r>
            <w:r>
              <w:rPr>
                <w:spacing w:val="-11"/>
                <w:sz w:val="21"/>
              </w:rPr>
              <w:t>性的功能障碍，指脑损伤 </w:t>
            </w:r>
            <w:r>
              <w:rPr>
                <w:sz w:val="21"/>
              </w:rPr>
              <w:t>180</w:t>
            </w:r>
            <w:r>
              <w:rPr>
                <w:spacing w:val="-9"/>
                <w:sz w:val="21"/>
              </w:rPr>
              <w:t> 天后，仍遗留下列一种或一种以上障碍：</w:t>
            </w:r>
          </w:p>
          <w:p>
            <w:pPr>
              <w:pStyle w:val="TableParagraph"/>
              <w:spacing w:before="8"/>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36" w:right="301" w:hanging="524"/>
              <w:rPr>
                <w:sz w:val="21"/>
              </w:rPr>
            </w:pPr>
            <w:r>
              <w:rPr>
                <w:spacing w:val="-21"/>
                <w:sz w:val="21"/>
              </w:rPr>
              <w:t>（3）</w:t>
            </w:r>
            <w:r>
              <w:rPr>
                <w:spacing w:val="-10"/>
                <w:sz w:val="21"/>
              </w:rPr>
              <w:t>自主生活能力完全丧失，无法独立完成六项基本日常生活活</w:t>
            </w:r>
            <w:r>
              <w:rPr>
                <w:spacing w:val="-7"/>
                <w:sz w:val="21"/>
              </w:rPr>
              <w:t>动中的三项或三项以上。</w:t>
            </w:r>
          </w:p>
        </w:tc>
      </w:tr>
      <w:tr>
        <w:trPr>
          <w:trHeight w:val="219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19.严重帕金森病</w:t>
            </w:r>
          </w:p>
        </w:tc>
        <w:tc>
          <w:tcPr>
            <w:tcW w:w="6282" w:type="dxa"/>
          </w:tcPr>
          <w:p>
            <w:pPr>
              <w:pStyle w:val="TableParagraph"/>
              <w:spacing w:line="273" w:lineRule="auto" w:before="150"/>
              <w:ind w:right="270"/>
              <w:rPr>
                <w:sz w:val="21"/>
              </w:rPr>
            </w:pPr>
            <w:r>
              <w:rPr>
                <w:sz w:val="21"/>
              </w:rPr>
              <w:t>是一种中枢神经系统的退行性疾病，临床表现为震颤麻痹、共济失调等。须满足下列全部条件：</w:t>
            </w:r>
          </w:p>
          <w:p>
            <w:pPr>
              <w:pStyle w:val="TableParagraph"/>
              <w:spacing w:before="7"/>
              <w:rPr>
                <w:sz w:val="21"/>
              </w:rPr>
            </w:pPr>
            <w:r>
              <w:rPr>
                <w:sz w:val="21"/>
              </w:rPr>
              <w:t>（1）药物治疗无法控制病情；</w:t>
            </w:r>
          </w:p>
          <w:p>
            <w:pPr>
              <w:pStyle w:val="TableParagraph"/>
              <w:spacing w:line="273" w:lineRule="auto" w:before="36"/>
              <w:ind w:left="636" w:right="301" w:hanging="524"/>
              <w:rPr>
                <w:sz w:val="21"/>
              </w:rPr>
            </w:pPr>
            <w:r>
              <w:rPr>
                <w:spacing w:val="-21"/>
                <w:sz w:val="21"/>
              </w:rPr>
              <w:t>（2）</w:t>
            </w:r>
            <w:r>
              <w:rPr>
                <w:spacing w:val="-10"/>
                <w:sz w:val="21"/>
              </w:rPr>
              <w:t>自主生活能力完全丧失，无法独立完成六项基本日常生活活</w:t>
            </w:r>
            <w:r>
              <w:rPr>
                <w:spacing w:val="-7"/>
                <w:sz w:val="21"/>
              </w:rPr>
              <w:t>动中的三项或三项以上。</w:t>
            </w:r>
          </w:p>
          <w:p>
            <w:pPr>
              <w:pStyle w:val="TableParagraph"/>
              <w:spacing w:before="7"/>
              <w:rPr>
                <w:sz w:val="21"/>
              </w:rPr>
            </w:pPr>
            <w:r>
              <w:rPr>
                <w:sz w:val="21"/>
              </w:rPr>
              <w:t>继发性帕金森综合征不在保障范围内。</w:t>
            </w:r>
          </w:p>
        </w:tc>
      </w:tr>
      <w:tr>
        <w:trPr>
          <w:trHeight w:val="950" w:hRule="atLeast"/>
        </w:trPr>
        <w:tc>
          <w:tcPr>
            <w:tcW w:w="1475" w:type="dxa"/>
          </w:tcPr>
          <w:p>
            <w:pPr>
              <w:pStyle w:val="TableParagraph"/>
              <w:spacing w:line="339" w:lineRule="exact" w:before="83"/>
              <w:ind w:left="200"/>
              <w:rPr>
                <w:rFonts w:ascii="Microsoft JhengHei" w:eastAsia="Microsoft JhengHei" w:hint="eastAsia"/>
                <w:b/>
                <w:sz w:val="21"/>
              </w:rPr>
            </w:pPr>
            <w:r>
              <w:rPr>
                <w:rFonts w:ascii="Microsoft JhengHei" w:eastAsia="Microsoft JhengHei" w:hint="eastAsia"/>
                <w:b/>
                <w:w w:val="115"/>
                <w:sz w:val="21"/>
              </w:rPr>
              <w:t>20.严重 </w:t>
            </w:r>
            <w:r>
              <w:rPr>
                <w:rFonts w:ascii="Microsoft JhengHei" w:eastAsia="Microsoft JhengHei" w:hint="eastAsia"/>
                <w:b/>
                <w:w w:val="130"/>
                <w:sz w:val="21"/>
              </w:rPr>
              <w:t>III</w:t>
            </w:r>
          </w:p>
          <w:p>
            <w:pPr>
              <w:pStyle w:val="TableParagraph"/>
              <w:spacing w:line="339" w:lineRule="exact"/>
              <w:ind w:left="200"/>
              <w:rPr>
                <w:rFonts w:ascii="Microsoft JhengHei" w:eastAsia="Microsoft JhengHei" w:hint="eastAsia"/>
                <w:b/>
                <w:sz w:val="21"/>
              </w:rPr>
            </w:pPr>
            <w:r>
              <w:rPr>
                <w:rFonts w:ascii="Microsoft JhengHei" w:eastAsia="Microsoft JhengHei" w:hint="eastAsia"/>
                <w:b/>
                <w:sz w:val="21"/>
              </w:rPr>
              <w:t>度烧伤</w:t>
            </w:r>
          </w:p>
        </w:tc>
        <w:tc>
          <w:tcPr>
            <w:tcW w:w="6282" w:type="dxa"/>
          </w:tcPr>
          <w:p>
            <w:pPr>
              <w:pStyle w:val="TableParagraph"/>
              <w:spacing w:before="150"/>
              <w:rPr>
                <w:sz w:val="21"/>
              </w:rPr>
            </w:pPr>
            <w:r>
              <w:rPr>
                <w:sz w:val="21"/>
              </w:rPr>
              <w:t>指烧伤程度为Ⅲ度，且Ⅲ度烧伤面积达到全身体表面积的 20%或</w:t>
            </w:r>
          </w:p>
          <w:p>
            <w:pPr>
              <w:pStyle w:val="TableParagraph"/>
              <w:spacing w:before="37"/>
              <w:rPr>
                <w:sz w:val="21"/>
              </w:rPr>
            </w:pPr>
            <w:r>
              <w:rPr>
                <w:sz w:val="21"/>
              </w:rPr>
              <w:t>20%以上。体表面积根据《中国新九分法》计算。</w:t>
            </w:r>
          </w:p>
        </w:tc>
      </w:tr>
      <w:tr>
        <w:trPr>
          <w:trHeight w:val="1049" w:hRule="atLeast"/>
        </w:trPr>
        <w:tc>
          <w:tcPr>
            <w:tcW w:w="1475" w:type="dxa"/>
          </w:tcPr>
          <w:p>
            <w:pPr>
              <w:pStyle w:val="TableParagraph"/>
              <w:spacing w:line="339" w:lineRule="exact" w:before="83"/>
              <w:ind w:left="200"/>
              <w:rPr>
                <w:rFonts w:ascii="Microsoft JhengHei" w:eastAsia="Microsoft JhengHei" w:hint="eastAsia"/>
                <w:b/>
                <w:sz w:val="21"/>
              </w:rPr>
            </w:pPr>
            <w:r>
              <w:rPr>
                <w:rFonts w:ascii="Microsoft JhengHei" w:eastAsia="Microsoft JhengHei" w:hint="eastAsia"/>
                <w:b/>
                <w:sz w:val="21"/>
              </w:rPr>
              <w:t>21.严重原发</w:t>
            </w:r>
          </w:p>
          <w:p>
            <w:pPr>
              <w:pStyle w:val="TableParagraph"/>
              <w:spacing w:line="312" w:lineRule="exact" w:before="36"/>
              <w:ind w:left="200" w:right="218"/>
              <w:rPr>
                <w:rFonts w:ascii="Microsoft JhengHei" w:eastAsia="Microsoft JhengHei" w:hint="eastAsia"/>
                <w:b/>
                <w:sz w:val="21"/>
              </w:rPr>
            </w:pPr>
            <w:r>
              <w:rPr>
                <w:rFonts w:ascii="Microsoft JhengHei" w:eastAsia="Microsoft JhengHei" w:hint="eastAsia"/>
                <w:b/>
                <w:sz w:val="21"/>
              </w:rPr>
              <w:t>性肺动脉高压</w:t>
            </w:r>
          </w:p>
        </w:tc>
        <w:tc>
          <w:tcPr>
            <w:tcW w:w="6282" w:type="dxa"/>
          </w:tcPr>
          <w:p>
            <w:pPr>
              <w:pStyle w:val="TableParagraph"/>
              <w:spacing w:before="149"/>
              <w:rPr>
                <w:sz w:val="21"/>
              </w:rPr>
            </w:pPr>
            <w:r>
              <w:rPr>
                <w:sz w:val="21"/>
              </w:rPr>
              <w:t>指不明原因的肺动脉压力持续性增高，进行性发展而导致的慢性</w:t>
            </w:r>
          </w:p>
          <w:p>
            <w:pPr>
              <w:pStyle w:val="TableParagraph"/>
              <w:spacing w:line="310" w:lineRule="atLeast" w:before="1"/>
              <w:ind w:right="270"/>
              <w:rPr>
                <w:sz w:val="21"/>
              </w:rPr>
            </w:pPr>
            <w:r>
              <w:rPr>
                <w:sz w:val="21"/>
              </w:rPr>
              <w:t>疾病，已经造成永久不可逆性的体力活动能力受限，达到美国纽约心脏病学会心功能状态分级 IV 级，且静息状态下肺动脉平均</w:t>
            </w:r>
          </w:p>
        </w:tc>
      </w:tr>
    </w:tbl>
    <w:p>
      <w:pPr>
        <w:spacing w:after="0" w:line="310" w:lineRule="atLeast"/>
        <w:rPr>
          <w:sz w:val="21"/>
        </w:rPr>
        <w:sectPr>
          <w:pgSz w:w="11910" w:h="16840"/>
          <w:pgMar w:header="0" w:footer="150" w:top="90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424" w:hRule="atLeast"/>
        </w:trPr>
        <w:tc>
          <w:tcPr>
            <w:tcW w:w="1475" w:type="dxa"/>
          </w:tcPr>
          <w:p>
            <w:pPr>
              <w:pStyle w:val="TableParagraph"/>
              <w:ind w:left="0"/>
              <w:rPr>
                <w:rFonts w:ascii="Times New Roman"/>
                <w:sz w:val="20"/>
              </w:rPr>
            </w:pPr>
          </w:p>
        </w:tc>
        <w:tc>
          <w:tcPr>
            <w:tcW w:w="6284" w:type="dxa"/>
          </w:tcPr>
          <w:p>
            <w:pPr>
              <w:pStyle w:val="TableParagraph"/>
              <w:spacing w:line="211" w:lineRule="exact"/>
              <w:rPr>
                <w:sz w:val="21"/>
              </w:rPr>
            </w:pPr>
            <w:r>
              <w:rPr>
                <w:sz w:val="21"/>
              </w:rPr>
              <w:t>压超过 30mmHg。</w:t>
            </w:r>
          </w:p>
        </w:tc>
      </w:tr>
      <w:tr>
        <w:trPr>
          <w:trHeight w:val="157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22.严重运动神经元病</w:t>
            </w:r>
          </w:p>
        </w:tc>
        <w:tc>
          <w:tcPr>
            <w:tcW w:w="6284" w:type="dxa"/>
          </w:tcPr>
          <w:p>
            <w:pPr>
              <w:pStyle w:val="TableParagraph"/>
              <w:spacing w:line="273" w:lineRule="auto" w:before="150"/>
              <w:ind w:right="303"/>
              <w:jc w:val="both"/>
              <w:rPr>
                <w:sz w:val="21"/>
              </w:rPr>
            </w:pPr>
            <w:r>
              <w:rPr>
                <w:spacing w:val="-6"/>
                <w:sz w:val="21"/>
              </w:rPr>
              <w:t>是一组中枢神经系统运动神经元的进行性变性疾病，包括进行性脊肌萎缩症、进行性延髓麻痹症、原发性侧索硬化症、肌萎缩性</w:t>
            </w:r>
            <w:r>
              <w:rPr>
                <w:spacing w:val="-7"/>
                <w:sz w:val="21"/>
              </w:rPr>
              <w:t>侧索硬化症。须满足自主生活能力完全丧失，无法独立完成六项</w:t>
            </w:r>
            <w:r>
              <w:rPr>
                <w:spacing w:val="-6"/>
                <w:sz w:val="21"/>
              </w:rPr>
              <w:t>基本日常生活活动中的三项或三项以上的条件。</w:t>
            </w:r>
          </w:p>
        </w:tc>
      </w:tr>
      <w:tr>
        <w:trPr>
          <w:trHeight w:val="2198"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23.语言能力丧失－三岁始理赔</w:t>
            </w:r>
          </w:p>
        </w:tc>
        <w:tc>
          <w:tcPr>
            <w:tcW w:w="6284" w:type="dxa"/>
          </w:tcPr>
          <w:p>
            <w:pPr>
              <w:pStyle w:val="TableParagraph"/>
              <w:spacing w:before="150"/>
              <w:rPr>
                <w:sz w:val="21"/>
              </w:rPr>
            </w:pPr>
            <w:r>
              <w:rPr>
                <w:sz w:val="21"/>
              </w:rPr>
              <w:t>指因疾病或意外伤害导致完全丧失语言能力，经过积极治疗至少</w:t>
            </w:r>
          </w:p>
          <w:p>
            <w:pPr>
              <w:pStyle w:val="TableParagraph"/>
              <w:spacing w:line="273" w:lineRule="auto" w:before="37"/>
              <w:ind w:right="303"/>
              <w:rPr>
                <w:sz w:val="21"/>
              </w:rPr>
            </w:pPr>
            <w:r>
              <w:rPr>
                <w:w w:val="100"/>
                <w:sz w:val="21"/>
              </w:rPr>
              <w:t>12</w:t>
            </w:r>
            <w:r>
              <w:rPr>
                <w:sz w:val="21"/>
              </w:rPr>
              <w:t> </w:t>
            </w:r>
            <w:r>
              <w:rPr>
                <w:w w:val="100"/>
                <w:sz w:val="21"/>
              </w:rPr>
              <w:t>个月</w:t>
            </w:r>
            <w:r>
              <w:rPr>
                <w:spacing w:val="-5"/>
                <w:w w:val="100"/>
                <w:sz w:val="21"/>
              </w:rPr>
              <w:t>（</w:t>
            </w:r>
            <w:r>
              <w:rPr>
                <w:spacing w:val="-4"/>
                <w:w w:val="100"/>
                <w:sz w:val="21"/>
              </w:rPr>
              <w:t>声带完全切除不受此时间限制</w:t>
            </w:r>
            <w:r>
              <w:rPr>
                <w:spacing w:val="-106"/>
                <w:w w:val="100"/>
                <w:sz w:val="21"/>
              </w:rPr>
              <w:t>）</w:t>
            </w:r>
            <w:r>
              <w:rPr>
                <w:spacing w:val="-3"/>
                <w:w w:val="100"/>
                <w:sz w:val="21"/>
              </w:rPr>
              <w:t>，仍无法通过现有医疗</w:t>
            </w:r>
            <w:r>
              <w:rPr>
                <w:spacing w:val="-3"/>
                <w:sz w:val="21"/>
              </w:rPr>
              <w:t>手段恢复。</w:t>
            </w:r>
          </w:p>
          <w:p>
            <w:pPr>
              <w:pStyle w:val="TableParagraph"/>
              <w:spacing w:before="8"/>
              <w:rPr>
                <w:sz w:val="21"/>
              </w:rPr>
            </w:pPr>
            <w:r>
              <w:rPr>
                <w:sz w:val="21"/>
              </w:rPr>
              <w:t>精神心理因素所致的语言能力丧失不在保障范围内。</w:t>
            </w:r>
          </w:p>
          <w:p>
            <w:pPr>
              <w:pStyle w:val="TableParagraph"/>
              <w:spacing w:line="273" w:lineRule="auto" w:before="37"/>
              <w:ind w:right="272"/>
              <w:rPr>
                <w:sz w:val="21"/>
              </w:rPr>
            </w:pPr>
            <w:r>
              <w:rPr>
                <w:sz w:val="21"/>
              </w:rPr>
              <w:t>被保险人申请理赔时年龄必须在三周岁以上，并且提供理赔当时的语言能力丧失诊断及检查证据。</w:t>
            </w:r>
          </w:p>
        </w:tc>
      </w:tr>
      <w:tr>
        <w:trPr>
          <w:trHeight w:val="2509"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24.重型再生障碍性贫血</w:t>
            </w:r>
          </w:p>
        </w:tc>
        <w:tc>
          <w:tcPr>
            <w:tcW w:w="6284" w:type="dxa"/>
          </w:tcPr>
          <w:p>
            <w:pPr>
              <w:pStyle w:val="TableParagraph"/>
              <w:spacing w:line="268" w:lineRule="auto" w:before="150"/>
              <w:ind w:right="272"/>
              <w:rPr>
                <w:sz w:val="21"/>
              </w:rPr>
            </w:pPr>
            <w:r>
              <w:rPr>
                <w:sz w:val="21"/>
              </w:rPr>
              <w:t>指因骨髓造血功能慢性持续性衰竭导致的贫血、中性粒细胞减少及血小板减少。须满足下列全部条件：</w:t>
            </w:r>
          </w:p>
          <w:p>
            <w:pPr>
              <w:pStyle w:val="TableParagraph"/>
              <w:spacing w:before="12"/>
              <w:rPr>
                <w:sz w:val="21"/>
              </w:rPr>
            </w:pPr>
            <w:r>
              <w:rPr>
                <w:sz w:val="21"/>
              </w:rPr>
              <w:t>（1）骨髓穿刺检查或骨髓活检结果支持诊断；</w:t>
            </w:r>
          </w:p>
          <w:p>
            <w:pPr>
              <w:pStyle w:val="TableParagraph"/>
              <w:spacing w:before="37"/>
              <w:rPr>
                <w:sz w:val="21"/>
              </w:rPr>
            </w:pPr>
            <w:r>
              <w:rPr>
                <w:sz w:val="21"/>
              </w:rPr>
              <w:t>（2）外周血象必须具备以下三项条件：</w:t>
            </w:r>
          </w:p>
          <w:p>
            <w:pPr>
              <w:pStyle w:val="TableParagraph"/>
              <w:spacing w:before="37"/>
              <w:ind w:left="535"/>
              <w:rPr>
                <w:sz w:val="21"/>
              </w:rPr>
            </w:pPr>
            <w:r>
              <w:rPr>
                <w:sz w:val="21"/>
              </w:rPr>
              <w:t>①中性粒细胞绝对值≤0.5×10</w:t>
            </w:r>
            <w:r>
              <w:rPr>
                <w:position w:val="11"/>
                <w:sz w:val="11"/>
              </w:rPr>
              <w:t>9</w:t>
            </w:r>
            <w:r>
              <w:rPr>
                <w:sz w:val="21"/>
              </w:rPr>
              <w:t>/L；</w:t>
            </w:r>
          </w:p>
          <w:p>
            <w:pPr>
              <w:pStyle w:val="TableParagraph"/>
              <w:spacing w:before="37"/>
              <w:ind w:left="535"/>
              <w:rPr>
                <w:sz w:val="21"/>
              </w:rPr>
            </w:pPr>
            <w:r>
              <w:rPr>
                <w:sz w:val="21"/>
              </w:rPr>
              <w:t>②网织红细胞＜1%；</w:t>
            </w:r>
          </w:p>
          <w:p>
            <w:pPr>
              <w:pStyle w:val="TableParagraph"/>
              <w:spacing w:before="37"/>
              <w:ind w:left="535"/>
              <w:rPr>
                <w:sz w:val="21"/>
              </w:rPr>
            </w:pPr>
            <w:r>
              <w:rPr>
                <w:sz w:val="21"/>
              </w:rPr>
              <w:t>③血小板绝对值≤20×10</w:t>
            </w:r>
            <w:r>
              <w:rPr>
                <w:position w:val="11"/>
                <w:sz w:val="11"/>
              </w:rPr>
              <w:t>9</w:t>
            </w:r>
            <w:r>
              <w:rPr>
                <w:sz w:val="21"/>
              </w:rPr>
              <w:t>/L。</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25.主动脉手术</w:t>
            </w:r>
          </w:p>
        </w:tc>
        <w:tc>
          <w:tcPr>
            <w:tcW w:w="6284" w:type="dxa"/>
          </w:tcPr>
          <w:p>
            <w:pPr>
              <w:pStyle w:val="TableParagraph"/>
              <w:spacing w:line="271" w:lineRule="auto" w:before="152"/>
              <w:ind w:right="198"/>
              <w:rPr>
                <w:sz w:val="21"/>
              </w:rPr>
            </w:pPr>
            <w:r>
              <w:rPr>
                <w:spacing w:val="-12"/>
                <w:sz w:val="21"/>
              </w:rPr>
              <w:t>指为治疗主动脉疾病，实际实施了开胸或开腹进行的切除、置换、</w:t>
            </w:r>
            <w:r>
              <w:rPr>
                <w:spacing w:val="-10"/>
                <w:sz w:val="21"/>
              </w:rPr>
              <w:t>修补病损主动脉血管的手术。主动脉指胸主动脉和腹主动脉，不</w:t>
            </w:r>
            <w:r>
              <w:rPr>
                <w:spacing w:val="-7"/>
                <w:sz w:val="21"/>
              </w:rPr>
              <w:t>包括胸主动脉和腹主动脉的分支血管。</w:t>
            </w:r>
          </w:p>
          <w:p>
            <w:pPr>
              <w:pStyle w:val="TableParagraph"/>
              <w:spacing w:before="9"/>
              <w:rPr>
                <w:sz w:val="21"/>
              </w:rPr>
            </w:pPr>
            <w:r>
              <w:rPr>
                <w:sz w:val="21"/>
              </w:rPr>
              <w:t>动脉内血管成形术不在保障范围内。</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26.慢性呼吸功能衰竭</w:t>
            </w:r>
          </w:p>
        </w:tc>
        <w:tc>
          <w:tcPr>
            <w:tcW w:w="6284" w:type="dxa"/>
          </w:tcPr>
          <w:p>
            <w:pPr>
              <w:pStyle w:val="TableParagraph"/>
              <w:spacing w:line="268" w:lineRule="auto" w:before="152"/>
              <w:ind w:right="272"/>
              <w:rPr>
                <w:sz w:val="21"/>
              </w:rPr>
            </w:pPr>
            <w:r>
              <w:rPr>
                <w:sz w:val="21"/>
              </w:rPr>
              <w:t>慢性肺部疾病导致永久不可逆性的慢性呼吸功能衰竭。慢性呼吸功能衰竭必须明确诊断并满足下列全部条件：</w:t>
            </w:r>
          </w:p>
          <w:p>
            <w:pPr>
              <w:pStyle w:val="TableParagraph"/>
              <w:spacing w:before="11"/>
              <w:rPr>
                <w:sz w:val="21"/>
              </w:rPr>
            </w:pPr>
            <w:r>
              <w:rPr>
                <w:sz w:val="21"/>
              </w:rPr>
              <w:t>（1）休息时出现呼吸困难；</w:t>
            </w:r>
          </w:p>
          <w:p>
            <w:pPr>
              <w:pStyle w:val="TableParagraph"/>
              <w:spacing w:before="36"/>
              <w:rPr>
                <w:sz w:val="21"/>
              </w:rPr>
            </w:pPr>
            <w:r>
              <w:rPr>
                <w:sz w:val="21"/>
              </w:rPr>
              <w:t>（2）动脉血氧分压（PaO2）&lt;50mmHg；</w:t>
            </w:r>
          </w:p>
          <w:p>
            <w:pPr>
              <w:pStyle w:val="TableParagraph"/>
              <w:spacing w:before="37"/>
              <w:rPr>
                <w:sz w:val="21"/>
              </w:rPr>
            </w:pPr>
            <w:r>
              <w:rPr>
                <w:sz w:val="21"/>
              </w:rPr>
              <w:t>（3）动脉血氧饱和度（SaO2）&lt;80%；</w:t>
            </w:r>
          </w:p>
          <w:p>
            <w:pPr>
              <w:pStyle w:val="TableParagraph"/>
              <w:spacing w:before="37"/>
              <w:rPr>
                <w:sz w:val="21"/>
              </w:rPr>
            </w:pPr>
            <w:r>
              <w:rPr>
                <w:sz w:val="21"/>
              </w:rPr>
              <w:t>（4）因缺氧必须接受持续的输氧治疗。</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27.严重多发性硬化</w:t>
            </w:r>
          </w:p>
        </w:tc>
        <w:tc>
          <w:tcPr>
            <w:tcW w:w="6284" w:type="dxa"/>
          </w:tcPr>
          <w:p>
            <w:pPr>
              <w:pStyle w:val="TableParagraph"/>
              <w:spacing w:line="271" w:lineRule="auto" w:before="152"/>
              <w:ind w:right="303"/>
              <w:jc w:val="both"/>
              <w:rPr>
                <w:sz w:val="21"/>
              </w:rPr>
            </w:pPr>
            <w:r>
              <w:rPr>
                <w:spacing w:val="-6"/>
                <w:sz w:val="21"/>
              </w:rPr>
              <w:t>多发性硬化为中枢神经系统白质多灶性脱髓鞘病变，病变有时累</w:t>
            </w:r>
            <w:r>
              <w:rPr>
                <w:spacing w:val="-7"/>
                <w:sz w:val="21"/>
              </w:rPr>
              <w:t>及灰质。多发性硬化必须明确诊断，并且已经造成永久不可逆的</w:t>
            </w:r>
            <w:r>
              <w:rPr>
                <w:spacing w:val="-9"/>
                <w:sz w:val="21"/>
              </w:rPr>
              <w:t>神经系统功能损害。永久不可逆的神经系统损害指被保险人持续</w:t>
            </w:r>
          </w:p>
          <w:p>
            <w:pPr>
              <w:pStyle w:val="TableParagraph"/>
              <w:spacing w:before="9"/>
              <w:jc w:val="both"/>
              <w:rPr>
                <w:sz w:val="21"/>
              </w:rPr>
            </w:pPr>
            <w:r>
              <w:rPr>
                <w:sz w:val="21"/>
              </w:rPr>
              <w:t>180 天无法独立完成下列基本日常生活活动：</w:t>
            </w:r>
          </w:p>
          <w:p>
            <w:pPr>
              <w:pStyle w:val="TableParagraph"/>
              <w:spacing w:before="36"/>
              <w:jc w:val="both"/>
              <w:rPr>
                <w:sz w:val="21"/>
              </w:rPr>
            </w:pPr>
            <w:r>
              <w:rPr>
                <w:sz w:val="21"/>
              </w:rPr>
              <w:t>（1）移动：自己从一个房间移动到另一个房间；或者</w:t>
            </w:r>
          </w:p>
          <w:p>
            <w:pPr>
              <w:pStyle w:val="TableParagraph"/>
              <w:spacing w:before="36"/>
              <w:jc w:val="both"/>
              <w:rPr>
                <w:sz w:val="21"/>
              </w:rPr>
            </w:pPr>
            <w:r>
              <w:rPr>
                <w:sz w:val="21"/>
              </w:rPr>
              <w:t>（2）进食：自己从已准备好的碗或碟中取食物放入口中。</w:t>
            </w:r>
          </w:p>
        </w:tc>
      </w:tr>
      <w:tr>
        <w:trPr>
          <w:trHeight w:val="2199"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28.脊髓灰质炎</w:t>
            </w:r>
          </w:p>
        </w:tc>
        <w:tc>
          <w:tcPr>
            <w:tcW w:w="6284" w:type="dxa"/>
          </w:tcPr>
          <w:p>
            <w:pPr>
              <w:pStyle w:val="TableParagraph"/>
              <w:spacing w:line="271" w:lineRule="auto" w:before="152"/>
              <w:ind w:right="302"/>
              <w:rPr>
                <w:sz w:val="21"/>
              </w:rPr>
            </w:pPr>
            <w:r>
              <w:rPr>
                <w:spacing w:val="-6"/>
                <w:sz w:val="21"/>
              </w:rPr>
              <w:t>脊髓灰质炎是由于脊髓灰质炎病毒感染所致的瘫痪性疾病，临床</w:t>
            </w:r>
            <w:r>
              <w:rPr>
                <w:spacing w:val="-5"/>
                <w:sz w:val="21"/>
              </w:rPr>
              <w:t>表现为运动功能损害或呼吸无力。脊髓灰质炎必须明确诊断。 </w:t>
            </w:r>
            <w:r>
              <w:rPr>
                <w:spacing w:val="1"/>
                <w:sz w:val="21"/>
              </w:rPr>
              <w:t>本保单仅对脊髓灰质炎造成的神经系统功能损害导致被保险人</w:t>
            </w:r>
            <w:r>
              <w:rPr>
                <w:spacing w:val="-6"/>
                <w:sz w:val="21"/>
              </w:rPr>
              <w:t>一肢或一肢以上肢体机能永久完全丧失的情况予以理赔。肢体机</w:t>
            </w:r>
            <w:r>
              <w:rPr>
                <w:spacing w:val="-9"/>
                <w:sz w:val="21"/>
              </w:rPr>
              <w:t>能永久完全丧失，指疾病确诊 </w:t>
            </w:r>
            <w:r>
              <w:rPr>
                <w:sz w:val="21"/>
              </w:rPr>
              <w:t>180</w:t>
            </w:r>
            <w:r>
              <w:rPr>
                <w:spacing w:val="-9"/>
                <w:sz w:val="21"/>
              </w:rPr>
              <w:t> 天后，每肢三大关节中的两大</w:t>
            </w:r>
            <w:r>
              <w:rPr>
                <w:spacing w:val="-7"/>
                <w:sz w:val="21"/>
              </w:rPr>
              <w:t>关节仍然完全僵硬，或不能随意识活动。</w:t>
            </w:r>
          </w:p>
        </w:tc>
      </w:tr>
      <w:tr>
        <w:trPr>
          <w:trHeight w:val="427" w:hRule="atLeast"/>
        </w:trPr>
        <w:tc>
          <w:tcPr>
            <w:tcW w:w="1475" w:type="dxa"/>
          </w:tcPr>
          <w:p>
            <w:pPr>
              <w:pStyle w:val="TableParagraph"/>
              <w:spacing w:line="322" w:lineRule="exact" w:before="85"/>
              <w:ind w:left="200"/>
              <w:rPr>
                <w:rFonts w:ascii="Microsoft JhengHei" w:eastAsia="Microsoft JhengHei" w:hint="eastAsia"/>
                <w:b/>
                <w:sz w:val="21"/>
              </w:rPr>
            </w:pPr>
            <w:r>
              <w:rPr>
                <w:rFonts w:ascii="Microsoft JhengHei" w:eastAsia="Microsoft JhengHei" w:hint="eastAsia"/>
                <w:b/>
                <w:sz w:val="21"/>
              </w:rPr>
              <w:t>29.全身性重</w:t>
            </w:r>
          </w:p>
        </w:tc>
        <w:tc>
          <w:tcPr>
            <w:tcW w:w="6284" w:type="dxa"/>
          </w:tcPr>
          <w:p>
            <w:pPr>
              <w:pStyle w:val="TableParagraph"/>
              <w:spacing w:line="255" w:lineRule="exact" w:before="152"/>
              <w:rPr>
                <w:sz w:val="21"/>
              </w:rPr>
            </w:pPr>
            <w:r>
              <w:rPr>
                <w:sz w:val="21"/>
              </w:rPr>
              <w:t>重症肌无力是一种神经肌肉接头传递障碍所致的疾病，表现为局</w:t>
            </w:r>
          </w:p>
        </w:tc>
      </w:tr>
    </w:tbl>
    <w:p>
      <w:pPr>
        <w:spacing w:after="0" w:line="255" w:lineRule="exact"/>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1673"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症肌无力</w:t>
            </w:r>
          </w:p>
        </w:tc>
        <w:tc>
          <w:tcPr>
            <w:tcW w:w="6284" w:type="dxa"/>
          </w:tcPr>
          <w:p>
            <w:pPr>
              <w:pStyle w:val="TableParagraph"/>
              <w:spacing w:line="211" w:lineRule="exact"/>
              <w:rPr>
                <w:sz w:val="21"/>
              </w:rPr>
            </w:pPr>
            <w:r>
              <w:rPr>
                <w:sz w:val="21"/>
              </w:rPr>
              <w:t>部或全身骨骼肌（特别是眼外肌）极易疲劳。疾病可以累及呼吸</w:t>
            </w:r>
          </w:p>
          <w:p>
            <w:pPr>
              <w:pStyle w:val="TableParagraph"/>
              <w:spacing w:before="37"/>
              <w:rPr>
                <w:sz w:val="21"/>
              </w:rPr>
            </w:pPr>
            <w:r>
              <w:rPr>
                <w:sz w:val="21"/>
              </w:rPr>
              <w:t>肌、上肢或下肢的近端肌群或全身肌肉，必须满足下列全部条件：</w:t>
            </w:r>
          </w:p>
          <w:p>
            <w:pPr>
              <w:pStyle w:val="TableParagraph"/>
              <w:spacing w:before="37"/>
              <w:rPr>
                <w:sz w:val="21"/>
              </w:rPr>
            </w:pPr>
            <w:r>
              <w:rPr>
                <w:sz w:val="21"/>
              </w:rPr>
              <w:t>（1）经药物治疗和胸腺切除治疗一年以上仍无法控制病情；</w:t>
            </w:r>
          </w:p>
          <w:p>
            <w:pPr>
              <w:pStyle w:val="TableParagraph"/>
              <w:spacing w:line="273" w:lineRule="auto" w:before="37"/>
              <w:ind w:right="303"/>
              <w:rPr>
                <w:sz w:val="21"/>
              </w:rPr>
            </w:pPr>
            <w:r>
              <w:rPr>
                <w:spacing w:val="-21"/>
                <w:sz w:val="21"/>
              </w:rPr>
              <w:t>（2）</w:t>
            </w:r>
            <w:r>
              <w:rPr>
                <w:spacing w:val="-10"/>
                <w:sz w:val="21"/>
              </w:rPr>
              <w:t>自主生活能力完全丧失，无法独立完成六项基本日常生活活</w:t>
            </w:r>
            <w:r>
              <w:rPr>
                <w:spacing w:val="-7"/>
                <w:sz w:val="21"/>
              </w:rPr>
              <w:t>动中的三项或三项以上。</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30.严重冠心病</w:t>
            </w:r>
          </w:p>
        </w:tc>
        <w:tc>
          <w:tcPr>
            <w:tcW w:w="6284" w:type="dxa"/>
          </w:tcPr>
          <w:p>
            <w:pPr>
              <w:pStyle w:val="TableParagraph"/>
              <w:spacing w:line="273" w:lineRule="auto" w:before="150"/>
              <w:ind w:right="301"/>
              <w:jc w:val="both"/>
              <w:rPr>
                <w:sz w:val="21"/>
              </w:rPr>
            </w:pPr>
            <w:r>
              <w:rPr>
                <w:spacing w:val="-6"/>
                <w:sz w:val="21"/>
              </w:rPr>
              <w:t>指经根据冠状动脉造影检查结果明确诊断为三支主要血管</w:t>
            </w:r>
            <w:r>
              <w:rPr>
                <w:sz w:val="21"/>
              </w:rPr>
              <w:t>（左冠</w:t>
            </w:r>
            <w:r>
              <w:rPr>
                <w:spacing w:val="-5"/>
                <w:sz w:val="21"/>
              </w:rPr>
              <w:t>状动脉主干和右冠状动脉，或前降支、左旋支和右冠状动脉</w:t>
            </w:r>
            <w:r>
              <w:rPr>
                <w:spacing w:val="-10"/>
                <w:sz w:val="21"/>
              </w:rPr>
              <w:t>）</w:t>
            </w:r>
            <w:r>
              <w:rPr>
                <w:sz w:val="21"/>
              </w:rPr>
              <w:t>严</w:t>
            </w:r>
            <w:r>
              <w:rPr>
                <w:spacing w:val="-1"/>
                <w:sz w:val="21"/>
              </w:rPr>
              <w:t>重狭窄性病变</w:t>
            </w:r>
            <w:r>
              <w:rPr>
                <w:sz w:val="21"/>
              </w:rPr>
              <w:t>（</w:t>
            </w:r>
            <w:r>
              <w:rPr>
                <w:spacing w:val="-3"/>
                <w:sz w:val="21"/>
              </w:rPr>
              <w:t>至少一支血管管腔直径减少 </w:t>
            </w:r>
            <w:r>
              <w:rPr>
                <w:sz w:val="21"/>
              </w:rPr>
              <w:t>75</w:t>
            </w:r>
            <w:r>
              <w:rPr>
                <w:spacing w:val="-2"/>
                <w:sz w:val="21"/>
              </w:rPr>
              <w:t>%以上和其他两支</w:t>
            </w:r>
            <w:r>
              <w:rPr>
                <w:spacing w:val="-8"/>
                <w:sz w:val="21"/>
              </w:rPr>
              <w:t>血管管腔直径减少 </w:t>
            </w:r>
            <w:r>
              <w:rPr>
                <w:sz w:val="21"/>
              </w:rPr>
              <w:t>60%以上</w:t>
            </w:r>
            <w:r>
              <w:rPr>
                <w:spacing w:val="-106"/>
                <w:sz w:val="21"/>
              </w:rPr>
              <w:t>）</w:t>
            </w:r>
            <w:r>
              <w:rPr>
                <w:sz w:val="21"/>
              </w:rPr>
              <w:t>。</w:t>
            </w:r>
          </w:p>
          <w:p>
            <w:pPr>
              <w:pStyle w:val="TableParagraph"/>
              <w:spacing w:line="273" w:lineRule="auto" w:before="8"/>
              <w:ind w:right="304"/>
              <w:jc w:val="both"/>
              <w:rPr>
                <w:sz w:val="21"/>
              </w:rPr>
            </w:pPr>
            <w:r>
              <w:rPr>
                <w:spacing w:val="-5"/>
                <w:sz w:val="21"/>
              </w:rPr>
              <w:t>前降支、左旋支及右冠状动脉的分支血管的狭窄不作为本保障的衡量指标。</w:t>
            </w:r>
          </w:p>
        </w:tc>
      </w:tr>
      <w:tr>
        <w:trPr>
          <w:trHeight w:val="157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30.严重心肌病</w:t>
            </w:r>
          </w:p>
        </w:tc>
        <w:tc>
          <w:tcPr>
            <w:tcW w:w="6284" w:type="dxa"/>
          </w:tcPr>
          <w:p>
            <w:pPr>
              <w:pStyle w:val="TableParagraph"/>
              <w:spacing w:line="273" w:lineRule="auto" w:before="150"/>
              <w:ind w:right="303"/>
              <w:jc w:val="both"/>
              <w:rPr>
                <w:sz w:val="21"/>
              </w:rPr>
            </w:pPr>
            <w:r>
              <w:rPr>
                <w:spacing w:val="1"/>
                <w:sz w:val="21"/>
              </w:rPr>
              <w:t>指被保险人因心肌病导致慢性心功能损害造成永久不可逆性的</w:t>
            </w:r>
            <w:r>
              <w:rPr>
                <w:spacing w:val="-5"/>
                <w:sz w:val="21"/>
              </w:rPr>
              <w:t>心功能衰竭。心功能衰竭程度达到纽约心脏病学会的心功能分级</w:t>
            </w:r>
            <w:r>
              <w:rPr>
                <w:spacing w:val="-4"/>
                <w:sz w:val="21"/>
              </w:rPr>
              <w:t>标准之心功能 </w:t>
            </w:r>
            <w:r>
              <w:rPr>
                <w:sz w:val="21"/>
              </w:rPr>
              <w:t>IV</w:t>
            </w:r>
            <w:r>
              <w:rPr>
                <w:spacing w:val="-4"/>
                <w:sz w:val="21"/>
              </w:rPr>
              <w:t> 级。被保险人永久不可逆性的体力活动能力受</w:t>
            </w:r>
            <w:r>
              <w:rPr>
                <w:spacing w:val="-5"/>
                <w:sz w:val="21"/>
              </w:rPr>
              <w:t>限，不能从事任何体力活动。</w:t>
            </w:r>
          </w:p>
        </w:tc>
      </w:tr>
      <w:tr>
        <w:trPr>
          <w:trHeight w:val="469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32.系统性红</w:t>
            </w:r>
            <w:r>
              <w:rPr>
                <w:rFonts w:ascii="Microsoft JhengHei" w:eastAsia="Microsoft JhengHei" w:hint="eastAsia"/>
                <w:b/>
                <w:w w:val="110"/>
                <w:sz w:val="21"/>
              </w:rPr>
              <w:t>斑狼疮</w:t>
            </w:r>
            <w:r>
              <w:rPr>
                <w:rFonts w:ascii="Microsoft JhengHei" w:eastAsia="Microsoft JhengHei" w:hint="eastAsia"/>
                <w:b/>
                <w:w w:val="135"/>
                <w:sz w:val="21"/>
              </w:rPr>
              <w:t>-III </w:t>
            </w:r>
            <w:r>
              <w:rPr>
                <w:rFonts w:ascii="Microsoft JhengHei" w:eastAsia="Microsoft JhengHei" w:hint="eastAsia"/>
                <w:b/>
                <w:w w:val="105"/>
                <w:sz w:val="21"/>
              </w:rPr>
              <w:t>型或以上狼</w:t>
            </w:r>
            <w:r>
              <w:rPr>
                <w:rFonts w:ascii="Microsoft JhengHei" w:eastAsia="Microsoft JhengHei" w:hint="eastAsia"/>
                <w:b/>
                <w:sz w:val="21"/>
              </w:rPr>
              <w:t>疮性肾炎</w:t>
            </w:r>
          </w:p>
        </w:tc>
        <w:tc>
          <w:tcPr>
            <w:tcW w:w="6284" w:type="dxa"/>
          </w:tcPr>
          <w:p>
            <w:pPr>
              <w:pStyle w:val="TableParagraph"/>
              <w:spacing w:line="271" w:lineRule="auto" w:before="150"/>
              <w:ind w:right="198"/>
              <w:rPr>
                <w:sz w:val="21"/>
              </w:rPr>
            </w:pPr>
            <w:r>
              <w:rPr>
                <w:spacing w:val="-5"/>
                <w:sz w:val="21"/>
              </w:rPr>
              <w:t>系统性红斑狼疮是由多种因素引起，累及多系统的自身免疫性疾</w:t>
            </w:r>
            <w:r>
              <w:rPr>
                <w:spacing w:val="-13"/>
                <w:sz w:val="21"/>
              </w:rPr>
              <w:t>病。其特点是生成自身抗体对抗多种自身抗原。多见于育龄妇女。</w:t>
            </w:r>
            <w:r>
              <w:rPr>
                <w:spacing w:val="-9"/>
                <w:sz w:val="21"/>
              </w:rPr>
              <w:t>本保单所指的系统性红斑狼疮仅限于累及肾脏</w:t>
            </w:r>
            <w:r>
              <w:rPr>
                <w:sz w:val="21"/>
              </w:rPr>
              <w:t>（</w:t>
            </w:r>
            <w:r>
              <w:rPr>
                <w:spacing w:val="-2"/>
                <w:sz w:val="21"/>
              </w:rPr>
              <w:t>经肾脏活检确认</w:t>
            </w:r>
            <w:r>
              <w:rPr>
                <w:spacing w:val="-13"/>
                <w:sz w:val="21"/>
              </w:rPr>
              <w:t>的，符合 </w:t>
            </w:r>
            <w:r>
              <w:rPr>
                <w:sz w:val="21"/>
              </w:rPr>
              <w:t>WHO</w:t>
            </w:r>
            <w:r>
              <w:rPr>
                <w:spacing w:val="-15"/>
                <w:sz w:val="21"/>
              </w:rPr>
              <w:t> 诊断标准定义 </w:t>
            </w:r>
            <w:r>
              <w:rPr>
                <w:sz w:val="21"/>
              </w:rPr>
              <w:t>III</w:t>
            </w:r>
            <w:r>
              <w:rPr>
                <w:spacing w:val="-27"/>
                <w:sz w:val="21"/>
              </w:rPr>
              <w:t> 型至 </w:t>
            </w:r>
            <w:r>
              <w:rPr>
                <w:sz w:val="21"/>
              </w:rPr>
              <w:t>V</w:t>
            </w:r>
            <w:r>
              <w:rPr>
                <w:spacing w:val="-11"/>
                <w:sz w:val="21"/>
              </w:rPr>
              <w:t> 型狼疮性肾炎</w:t>
            </w:r>
            <w:r>
              <w:rPr>
                <w:spacing w:val="-10"/>
                <w:sz w:val="21"/>
              </w:rPr>
              <w:t>）</w:t>
            </w:r>
            <w:r>
              <w:rPr>
                <w:sz w:val="21"/>
              </w:rPr>
              <w:t>的系统性红斑狼疮。</w:t>
            </w:r>
          </w:p>
          <w:p>
            <w:pPr>
              <w:pStyle w:val="TableParagraph"/>
              <w:spacing w:line="273" w:lineRule="auto" w:before="10"/>
              <w:ind w:right="272"/>
              <w:rPr>
                <w:sz w:val="21"/>
              </w:rPr>
            </w:pPr>
            <w:r>
              <w:rPr>
                <w:sz w:val="21"/>
              </w:rPr>
              <w:t>其他类型的红斑性狼疮，如盘状狼疮、仅累及血液及关节的狼疮不在本保单保障范围內。</w:t>
            </w:r>
          </w:p>
          <w:p>
            <w:pPr>
              <w:pStyle w:val="TableParagraph"/>
              <w:spacing w:before="7"/>
              <w:rPr>
                <w:sz w:val="21"/>
              </w:rPr>
            </w:pPr>
            <w:r>
              <w:rPr>
                <w:sz w:val="21"/>
              </w:rPr>
              <w:t>世界卫生组织（WHO）狼疮性肾炎分型：</w:t>
            </w:r>
          </w:p>
          <w:p>
            <w:pPr>
              <w:pStyle w:val="TableParagraph"/>
              <w:numPr>
                <w:ilvl w:val="0"/>
                <w:numId w:val="16"/>
              </w:numPr>
              <w:tabs>
                <w:tab w:pos="483" w:val="left" w:leader="none"/>
                <w:tab w:pos="3109" w:val="left" w:leader="none"/>
              </w:tabs>
              <w:spacing w:line="240" w:lineRule="auto" w:before="37" w:after="0"/>
              <w:ind w:left="482" w:right="0" w:hanging="158"/>
              <w:jc w:val="left"/>
              <w:rPr>
                <w:sz w:val="21"/>
              </w:rPr>
            </w:pPr>
            <w:r>
              <w:rPr>
                <w:sz w:val="21"/>
              </w:rPr>
              <w:t>型（微小</w:t>
            </w:r>
            <w:r>
              <w:rPr>
                <w:spacing w:val="-5"/>
                <w:sz w:val="21"/>
              </w:rPr>
              <w:t>病</w:t>
            </w:r>
            <w:r>
              <w:rPr>
                <w:sz w:val="21"/>
              </w:rPr>
              <w:t>变型）</w:t>
              <w:tab/>
              <w:t>镜下阴</w:t>
            </w:r>
            <w:r>
              <w:rPr>
                <w:spacing w:val="-5"/>
                <w:sz w:val="21"/>
              </w:rPr>
              <w:t>性</w:t>
            </w:r>
            <w:r>
              <w:rPr>
                <w:sz w:val="21"/>
              </w:rPr>
              <w:t>，尿液</w:t>
            </w:r>
            <w:r>
              <w:rPr>
                <w:spacing w:val="-5"/>
                <w:sz w:val="21"/>
              </w:rPr>
              <w:t>正</w:t>
            </w:r>
            <w:r>
              <w:rPr>
                <w:sz w:val="21"/>
              </w:rPr>
              <w:t>常</w:t>
            </w:r>
          </w:p>
          <w:p>
            <w:pPr>
              <w:pStyle w:val="TableParagraph"/>
              <w:numPr>
                <w:ilvl w:val="0"/>
                <w:numId w:val="16"/>
              </w:numPr>
              <w:tabs>
                <w:tab w:pos="589" w:val="left" w:leader="none"/>
                <w:tab w:pos="3109" w:val="left" w:leader="none"/>
              </w:tabs>
              <w:spacing w:line="240" w:lineRule="auto" w:before="37" w:after="0"/>
              <w:ind w:left="588" w:right="0" w:hanging="264"/>
              <w:jc w:val="left"/>
              <w:rPr>
                <w:sz w:val="21"/>
              </w:rPr>
            </w:pPr>
            <w:r>
              <w:rPr>
                <w:sz w:val="21"/>
              </w:rPr>
              <w:t>型（系</w:t>
            </w:r>
            <w:r>
              <w:rPr>
                <w:spacing w:val="-5"/>
                <w:sz w:val="21"/>
              </w:rPr>
              <w:t>膜</w:t>
            </w:r>
            <w:r>
              <w:rPr>
                <w:sz w:val="21"/>
              </w:rPr>
              <w:t>病变型）</w:t>
              <w:tab/>
              <w:t>中度蛋</w:t>
            </w:r>
            <w:r>
              <w:rPr>
                <w:spacing w:val="-5"/>
                <w:sz w:val="21"/>
              </w:rPr>
              <w:t>白</w:t>
            </w:r>
            <w:r>
              <w:rPr>
                <w:sz w:val="21"/>
              </w:rPr>
              <w:t>尿，偶</w:t>
            </w:r>
            <w:r>
              <w:rPr>
                <w:spacing w:val="-5"/>
                <w:sz w:val="21"/>
              </w:rPr>
              <w:t>有</w:t>
            </w:r>
            <w:r>
              <w:rPr>
                <w:sz w:val="21"/>
              </w:rPr>
              <w:t>尿</w:t>
            </w:r>
            <w:r>
              <w:rPr>
                <w:spacing w:val="-5"/>
                <w:sz w:val="21"/>
              </w:rPr>
              <w:t>沉</w:t>
            </w:r>
            <w:r>
              <w:rPr>
                <w:sz w:val="21"/>
              </w:rPr>
              <w:t>渣改变</w:t>
            </w:r>
          </w:p>
          <w:p>
            <w:pPr>
              <w:pStyle w:val="TableParagraph"/>
              <w:numPr>
                <w:ilvl w:val="0"/>
                <w:numId w:val="16"/>
              </w:numPr>
              <w:tabs>
                <w:tab w:pos="694" w:val="left" w:leader="none"/>
              </w:tabs>
              <w:spacing w:line="240" w:lineRule="auto" w:before="37" w:after="0"/>
              <w:ind w:left="694" w:right="0" w:hanging="370"/>
              <w:jc w:val="left"/>
              <w:rPr>
                <w:sz w:val="21"/>
              </w:rPr>
            </w:pPr>
            <w:r>
              <w:rPr>
                <w:sz w:val="21"/>
              </w:rPr>
              <w:t>型（</w:t>
            </w:r>
            <w:r>
              <w:rPr>
                <w:spacing w:val="-3"/>
                <w:sz w:val="21"/>
              </w:rPr>
              <w:t>局灶及节段增生型</w:t>
            </w:r>
            <w:r>
              <w:rPr>
                <w:sz w:val="21"/>
              </w:rPr>
              <w:t>）</w:t>
            </w:r>
            <w:r>
              <w:rPr>
                <w:spacing w:val="-1"/>
                <w:sz w:val="21"/>
              </w:rPr>
              <w:t> 蛋白尿，尿沉渣改变</w:t>
            </w:r>
          </w:p>
          <w:p>
            <w:pPr>
              <w:pStyle w:val="TableParagraph"/>
              <w:numPr>
                <w:ilvl w:val="0"/>
                <w:numId w:val="16"/>
              </w:numPr>
              <w:tabs>
                <w:tab w:pos="589" w:val="left" w:leader="none"/>
                <w:tab w:pos="3142" w:val="left" w:leader="none"/>
              </w:tabs>
              <w:spacing w:line="240" w:lineRule="auto" w:before="37" w:after="0"/>
              <w:ind w:left="588" w:right="0" w:hanging="264"/>
              <w:jc w:val="left"/>
              <w:rPr>
                <w:sz w:val="21"/>
              </w:rPr>
            </w:pPr>
            <w:r>
              <w:rPr>
                <w:sz w:val="21"/>
              </w:rPr>
              <w:t>型（弥</w:t>
            </w:r>
            <w:r>
              <w:rPr>
                <w:spacing w:val="-5"/>
                <w:sz w:val="21"/>
              </w:rPr>
              <w:t>漫</w:t>
            </w:r>
            <w:r>
              <w:rPr>
                <w:sz w:val="21"/>
              </w:rPr>
              <w:t>增生型）</w:t>
              <w:tab/>
              <w:t>急性</w:t>
            </w:r>
            <w:r>
              <w:rPr>
                <w:spacing w:val="-5"/>
                <w:sz w:val="21"/>
              </w:rPr>
              <w:t>肾</w:t>
            </w:r>
            <w:r>
              <w:rPr>
                <w:sz w:val="21"/>
              </w:rPr>
              <w:t>炎伴有</w:t>
            </w:r>
            <w:r>
              <w:rPr>
                <w:spacing w:val="-5"/>
                <w:sz w:val="21"/>
              </w:rPr>
              <w:t>尿</w:t>
            </w:r>
            <w:r>
              <w:rPr>
                <w:sz w:val="21"/>
              </w:rPr>
              <w:t>沉</w:t>
            </w:r>
            <w:r>
              <w:rPr>
                <w:spacing w:val="-5"/>
                <w:sz w:val="21"/>
              </w:rPr>
              <w:t>渣</w:t>
            </w:r>
            <w:r>
              <w:rPr>
                <w:sz w:val="21"/>
              </w:rPr>
              <w:t>改变及/或</w:t>
            </w:r>
          </w:p>
          <w:p>
            <w:pPr>
              <w:pStyle w:val="TableParagraph"/>
              <w:spacing w:before="37"/>
              <w:ind w:left="3157"/>
              <w:rPr>
                <w:sz w:val="21"/>
              </w:rPr>
            </w:pPr>
            <w:r>
              <w:rPr>
                <w:sz w:val="21"/>
              </w:rPr>
              <w:t>肾病综合征</w:t>
            </w:r>
          </w:p>
          <w:p>
            <w:pPr>
              <w:pStyle w:val="TableParagraph"/>
              <w:numPr>
                <w:ilvl w:val="0"/>
                <w:numId w:val="16"/>
              </w:numPr>
              <w:tabs>
                <w:tab w:pos="483" w:val="left" w:leader="none"/>
                <w:tab w:pos="3109" w:val="left" w:leader="none"/>
              </w:tabs>
              <w:spacing w:line="240" w:lineRule="auto" w:before="38" w:after="0"/>
              <w:ind w:left="482" w:right="0" w:hanging="158"/>
              <w:jc w:val="left"/>
              <w:rPr>
                <w:sz w:val="21"/>
              </w:rPr>
            </w:pPr>
            <w:r>
              <w:rPr>
                <w:sz w:val="21"/>
              </w:rPr>
              <w:t>型（膜型）</w:t>
              <w:tab/>
              <w:t>肾病综</w:t>
            </w:r>
            <w:r>
              <w:rPr>
                <w:spacing w:val="-5"/>
                <w:sz w:val="21"/>
              </w:rPr>
              <w:t>合</w:t>
            </w:r>
            <w:r>
              <w:rPr>
                <w:sz w:val="21"/>
              </w:rPr>
              <w:t>征或重</w:t>
            </w:r>
            <w:r>
              <w:rPr>
                <w:spacing w:val="-5"/>
                <w:sz w:val="21"/>
              </w:rPr>
              <w:t>度</w:t>
            </w:r>
            <w:r>
              <w:rPr>
                <w:sz w:val="21"/>
              </w:rPr>
              <w:t>蛋</w:t>
            </w:r>
            <w:r>
              <w:rPr>
                <w:spacing w:val="-5"/>
                <w:sz w:val="21"/>
              </w:rPr>
              <w:t>白</w:t>
            </w:r>
            <w:r>
              <w:rPr>
                <w:sz w:val="21"/>
              </w:rPr>
              <w:t>尿</w:t>
            </w:r>
          </w:p>
        </w:tc>
      </w:tr>
      <w:tr>
        <w:trPr>
          <w:trHeight w:val="510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33.因职业关系导致的人类免疫缺陷</w:t>
            </w:r>
            <w:r>
              <w:rPr>
                <w:rFonts w:ascii="Microsoft JhengHei" w:eastAsia="Microsoft JhengHei" w:hint="eastAsia"/>
                <w:b/>
                <w:w w:val="95"/>
                <w:sz w:val="21"/>
              </w:rPr>
              <w:t>病毒（HIV） </w:t>
            </w:r>
            <w:r>
              <w:rPr>
                <w:rFonts w:ascii="Microsoft JhengHei" w:eastAsia="Microsoft JhengHei" w:hint="eastAsia"/>
                <w:b/>
                <w:sz w:val="21"/>
              </w:rPr>
              <w:t>感染</w:t>
            </w:r>
          </w:p>
        </w:tc>
        <w:tc>
          <w:tcPr>
            <w:tcW w:w="6284" w:type="dxa"/>
          </w:tcPr>
          <w:p>
            <w:pPr>
              <w:pStyle w:val="TableParagraph"/>
              <w:spacing w:line="268" w:lineRule="auto" w:before="152"/>
              <w:ind w:right="304"/>
              <w:rPr>
                <w:sz w:val="21"/>
              </w:rPr>
            </w:pPr>
            <w:r>
              <w:rPr>
                <w:spacing w:val="-6"/>
                <w:sz w:val="21"/>
              </w:rPr>
              <w:t>被保险人在其常规职业工作过程中遭遇外伤，或者职业需要处理</w:t>
            </w:r>
            <w:r>
              <w:rPr>
                <w:spacing w:val="-5"/>
                <w:w w:val="100"/>
                <w:sz w:val="21"/>
              </w:rPr>
              <w:t>血液或者其他体液时感染上人类免疫缺陷病毒</w:t>
            </w:r>
            <w:r>
              <w:rPr>
                <w:spacing w:val="-3"/>
                <w:w w:val="100"/>
                <w:sz w:val="21"/>
              </w:rPr>
              <w:t>（</w:t>
            </w:r>
            <w:r>
              <w:rPr>
                <w:w w:val="100"/>
                <w:sz w:val="21"/>
              </w:rPr>
              <w:t>HIV</w:t>
            </w:r>
            <w:r>
              <w:rPr>
                <w:spacing w:val="-111"/>
                <w:w w:val="100"/>
                <w:sz w:val="21"/>
              </w:rPr>
              <w:t>）。</w:t>
            </w:r>
          </w:p>
          <w:p>
            <w:pPr>
              <w:pStyle w:val="TableParagraph"/>
              <w:spacing w:before="11"/>
              <w:rPr>
                <w:sz w:val="21"/>
              </w:rPr>
            </w:pPr>
            <w:r>
              <w:rPr>
                <w:sz w:val="21"/>
              </w:rPr>
              <w:t>必须满足下列全部条件：</w:t>
            </w:r>
          </w:p>
          <w:p>
            <w:pPr>
              <w:pStyle w:val="TableParagraph"/>
              <w:spacing w:line="273" w:lineRule="auto" w:before="37"/>
              <w:ind w:left="636" w:right="303" w:hanging="524"/>
              <w:rPr>
                <w:sz w:val="21"/>
              </w:rPr>
            </w:pPr>
            <w:r>
              <w:rPr>
                <w:spacing w:val="-21"/>
                <w:sz w:val="21"/>
              </w:rPr>
              <w:t>（1）</w:t>
            </w:r>
            <w:r>
              <w:rPr>
                <w:spacing w:val="-8"/>
                <w:sz w:val="21"/>
              </w:rPr>
              <w:t>感染必须是在被保险人正在从事其职业工作中发生，该职业</w:t>
            </w:r>
            <w:r>
              <w:rPr>
                <w:spacing w:val="-6"/>
                <w:sz w:val="21"/>
              </w:rPr>
              <w:t>必须属于以下列表内的职业；</w:t>
            </w:r>
          </w:p>
          <w:p>
            <w:pPr>
              <w:pStyle w:val="TableParagraph"/>
              <w:spacing w:before="8"/>
              <w:rPr>
                <w:sz w:val="21"/>
              </w:rPr>
            </w:pPr>
            <w:r>
              <w:rPr>
                <w:sz w:val="21"/>
              </w:rPr>
              <w:t>（2）血清转化必须出现在事故发生后的 6 个月以内；</w:t>
            </w:r>
          </w:p>
          <w:p>
            <w:pPr>
              <w:pStyle w:val="TableParagraph"/>
              <w:spacing w:line="273" w:lineRule="auto" w:before="37"/>
              <w:ind w:left="636" w:right="301" w:hanging="524"/>
              <w:rPr>
                <w:sz w:val="21"/>
              </w:rPr>
            </w:pPr>
            <w:r>
              <w:rPr>
                <w:sz w:val="21"/>
              </w:rPr>
              <w:t>（3）</w:t>
            </w:r>
            <w:r>
              <w:rPr>
                <w:spacing w:val="-5"/>
                <w:sz w:val="21"/>
              </w:rPr>
              <w:t>必须提供被保险人在所报事故发生后的 </w:t>
            </w:r>
            <w:r>
              <w:rPr>
                <w:sz w:val="21"/>
              </w:rPr>
              <w:t>5 天以内进行的检</w:t>
            </w:r>
            <w:r>
              <w:rPr>
                <w:spacing w:val="-7"/>
                <w:sz w:val="21"/>
              </w:rPr>
              <w:t>查报告，该报告必须显示被保险人血液 </w:t>
            </w:r>
            <w:r>
              <w:rPr>
                <w:sz w:val="21"/>
              </w:rPr>
              <w:t>HIV</w:t>
            </w:r>
            <w:r>
              <w:rPr>
                <w:spacing w:val="-10"/>
                <w:sz w:val="21"/>
              </w:rPr>
              <w:t> 病毒阴性和</w:t>
            </w:r>
            <w:r>
              <w:rPr>
                <w:sz w:val="21"/>
              </w:rPr>
              <w:t>/或</w:t>
            </w:r>
          </w:p>
          <w:p>
            <w:pPr>
              <w:pStyle w:val="TableParagraph"/>
              <w:spacing w:before="8"/>
              <w:ind w:left="636"/>
              <w:rPr>
                <w:sz w:val="21"/>
              </w:rPr>
            </w:pPr>
            <w:r>
              <w:rPr>
                <w:sz w:val="21"/>
              </w:rPr>
              <w:t>HIV 抗体阴性；</w:t>
            </w:r>
          </w:p>
          <w:p>
            <w:pPr>
              <w:pStyle w:val="TableParagraph"/>
              <w:spacing w:line="273" w:lineRule="auto" w:before="37"/>
              <w:ind w:left="636" w:right="301" w:hanging="524"/>
              <w:rPr>
                <w:sz w:val="21"/>
              </w:rPr>
            </w:pPr>
            <w:r>
              <w:rPr>
                <w:sz w:val="21"/>
              </w:rPr>
              <w:t>（4）</w:t>
            </w:r>
            <w:r>
              <w:rPr>
                <w:spacing w:val="-6"/>
                <w:sz w:val="21"/>
              </w:rPr>
              <w:t>必须在事故发生后的 </w:t>
            </w:r>
            <w:r>
              <w:rPr>
                <w:sz w:val="21"/>
              </w:rPr>
              <w:t>12</w:t>
            </w:r>
            <w:r>
              <w:rPr>
                <w:spacing w:val="-9"/>
                <w:sz w:val="21"/>
              </w:rPr>
              <w:t> 个月内证实被保险人体内存在 </w:t>
            </w:r>
            <w:r>
              <w:rPr>
                <w:sz w:val="21"/>
              </w:rPr>
              <w:t>HIV </w:t>
            </w:r>
            <w:r>
              <w:rPr>
                <w:spacing w:val="-10"/>
                <w:sz w:val="21"/>
              </w:rPr>
              <w:t>病毒或者 </w:t>
            </w:r>
            <w:r>
              <w:rPr>
                <w:sz w:val="21"/>
              </w:rPr>
              <w:t>HIV</w:t>
            </w:r>
            <w:r>
              <w:rPr>
                <w:spacing w:val="-14"/>
                <w:sz w:val="21"/>
              </w:rPr>
              <w:t> 抗体。</w:t>
            </w:r>
          </w:p>
          <w:p>
            <w:pPr>
              <w:pStyle w:val="TableParagraph"/>
              <w:spacing w:before="7"/>
              <w:rPr>
                <w:sz w:val="21"/>
              </w:rPr>
            </w:pPr>
            <w:r>
              <w:rPr>
                <w:sz w:val="21"/>
              </w:rPr>
              <w:t>职业限制如下所示:</w:t>
            </w:r>
          </w:p>
          <w:p>
            <w:pPr>
              <w:pStyle w:val="TableParagraph"/>
              <w:tabs>
                <w:tab w:pos="2321" w:val="left" w:leader="none"/>
              </w:tabs>
              <w:spacing w:before="36"/>
              <w:rPr>
                <w:sz w:val="21"/>
              </w:rPr>
            </w:pPr>
            <w:r>
              <w:rPr>
                <w:sz w:val="21"/>
              </w:rPr>
              <w:t>医Th和牙</w:t>
            </w:r>
            <w:r>
              <w:rPr>
                <w:spacing w:val="-5"/>
                <w:sz w:val="21"/>
              </w:rPr>
              <w:t>科</w:t>
            </w:r>
            <w:r>
              <w:rPr>
                <w:sz w:val="21"/>
              </w:rPr>
              <w:t>医Th</w:t>
              <w:tab/>
              <w:t>护士</w:t>
            </w:r>
          </w:p>
          <w:p>
            <w:pPr>
              <w:pStyle w:val="TableParagraph"/>
              <w:tabs>
                <w:tab w:pos="2321" w:val="left" w:leader="none"/>
              </w:tabs>
              <w:spacing w:before="37"/>
              <w:rPr>
                <w:sz w:val="21"/>
              </w:rPr>
            </w:pPr>
            <w:r>
              <w:rPr>
                <w:sz w:val="21"/>
              </w:rPr>
              <w:t>医院化验</w:t>
            </w:r>
            <w:r>
              <w:rPr>
                <w:spacing w:val="-5"/>
                <w:sz w:val="21"/>
              </w:rPr>
              <w:t>室</w:t>
            </w:r>
            <w:r>
              <w:rPr>
                <w:sz w:val="21"/>
              </w:rPr>
              <w:t>工作人员</w:t>
              <w:tab/>
              <w:t>医院</w:t>
            </w:r>
            <w:r>
              <w:rPr>
                <w:spacing w:val="-5"/>
                <w:sz w:val="21"/>
              </w:rPr>
              <w:t>护</w:t>
            </w:r>
            <w:r>
              <w:rPr>
                <w:sz w:val="21"/>
              </w:rPr>
              <w:t>工</w:t>
            </w:r>
          </w:p>
          <w:p>
            <w:pPr>
              <w:pStyle w:val="TableParagraph"/>
              <w:tabs>
                <w:tab w:pos="2321" w:val="left" w:leader="none"/>
              </w:tabs>
              <w:spacing w:line="310" w:lineRule="atLeast" w:before="1"/>
              <w:ind w:right="2486"/>
              <w:rPr>
                <w:sz w:val="21"/>
              </w:rPr>
            </w:pPr>
            <w:r>
              <w:rPr>
                <w:sz w:val="21"/>
              </w:rPr>
              <w:t>医Th助理</w:t>
            </w:r>
            <w:r>
              <w:rPr>
                <w:spacing w:val="-5"/>
                <w:sz w:val="21"/>
              </w:rPr>
              <w:t>和</w:t>
            </w:r>
            <w:r>
              <w:rPr>
                <w:sz w:val="21"/>
              </w:rPr>
              <w:t>牙医助理</w:t>
              <w:tab/>
              <w:t>救护</w:t>
            </w:r>
            <w:r>
              <w:rPr>
                <w:spacing w:val="-5"/>
                <w:sz w:val="21"/>
              </w:rPr>
              <w:t>车</w:t>
            </w:r>
            <w:r>
              <w:rPr>
                <w:sz w:val="21"/>
              </w:rPr>
              <w:t>工作人员 助产士</w:t>
              <w:tab/>
              <w:t>消防</w:t>
            </w:r>
            <w:r>
              <w:rPr>
                <w:spacing w:val="-5"/>
                <w:sz w:val="21"/>
              </w:rPr>
              <w:t>队</w:t>
            </w:r>
            <w:r>
              <w:rPr>
                <w:sz w:val="21"/>
              </w:rPr>
              <w:t>员</w:t>
            </w:r>
          </w:p>
        </w:tc>
      </w:tr>
    </w:tbl>
    <w:p>
      <w:pPr>
        <w:spacing w:after="0" w:line="310" w:lineRule="atLeast"/>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48"/>
      </w:tblGrid>
      <w:tr>
        <w:trPr>
          <w:trHeight w:val="424" w:hRule="atLeast"/>
        </w:trPr>
        <w:tc>
          <w:tcPr>
            <w:tcW w:w="1475" w:type="dxa"/>
          </w:tcPr>
          <w:p>
            <w:pPr>
              <w:pStyle w:val="TableParagraph"/>
              <w:ind w:left="0"/>
              <w:rPr>
                <w:rFonts w:ascii="Times New Roman"/>
                <w:sz w:val="20"/>
              </w:rPr>
            </w:pPr>
          </w:p>
        </w:tc>
        <w:tc>
          <w:tcPr>
            <w:tcW w:w="6248" w:type="dxa"/>
          </w:tcPr>
          <w:p>
            <w:pPr>
              <w:pStyle w:val="TableParagraph"/>
              <w:tabs>
                <w:tab w:pos="2321" w:val="left" w:leader="none"/>
              </w:tabs>
              <w:spacing w:line="211" w:lineRule="exact"/>
              <w:rPr>
                <w:sz w:val="21"/>
              </w:rPr>
            </w:pPr>
            <w:r>
              <w:rPr>
                <w:sz w:val="21"/>
              </w:rPr>
              <w:t>警察</w:t>
              <w:tab/>
              <w:t>狱警</w:t>
            </w:r>
          </w:p>
        </w:tc>
      </w:tr>
      <w:tr>
        <w:trPr>
          <w:trHeight w:val="4696"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34.经输血导致的人类免疫缺陷病毒</w:t>
            </w:r>
          </w:p>
          <w:p>
            <w:pPr>
              <w:pStyle w:val="TableParagraph"/>
              <w:spacing w:line="313" w:lineRule="exact"/>
              <w:ind w:left="200"/>
              <w:rPr>
                <w:rFonts w:ascii="Microsoft JhengHei" w:eastAsia="Microsoft JhengHei" w:hint="eastAsia"/>
                <w:b/>
                <w:sz w:val="21"/>
              </w:rPr>
            </w:pPr>
            <w:r>
              <w:rPr>
                <w:rFonts w:ascii="Microsoft JhengHei" w:eastAsia="Microsoft JhengHei" w:hint="eastAsia"/>
                <w:b/>
                <w:w w:val="95"/>
                <w:sz w:val="21"/>
              </w:rPr>
              <w:t>（HIV）感染</w:t>
            </w:r>
          </w:p>
        </w:tc>
        <w:tc>
          <w:tcPr>
            <w:tcW w:w="6248" w:type="dxa"/>
          </w:tcPr>
          <w:p>
            <w:pPr>
              <w:pStyle w:val="TableParagraph"/>
              <w:spacing w:line="273" w:lineRule="auto" w:before="150"/>
              <w:ind w:right="271"/>
              <w:jc w:val="both"/>
              <w:rPr>
                <w:sz w:val="21"/>
              </w:rPr>
            </w:pPr>
            <w:r>
              <w:rPr>
                <w:sz w:val="21"/>
              </w:rPr>
              <w:t>被保险人感染上人类免疫缺陷病毒（HIV）并且满足下列全部条件：</w:t>
            </w:r>
          </w:p>
          <w:p>
            <w:pPr>
              <w:pStyle w:val="TableParagraph"/>
              <w:spacing w:before="8"/>
              <w:rPr>
                <w:sz w:val="21"/>
              </w:rPr>
            </w:pPr>
            <w:r>
              <w:rPr>
                <w:sz w:val="21"/>
              </w:rPr>
              <w:t>（1）在保障起始日或复效日之后，被保险人因输血而感染 HIV；</w:t>
            </w:r>
          </w:p>
          <w:p>
            <w:pPr>
              <w:pStyle w:val="TableParagraph"/>
              <w:spacing w:line="273" w:lineRule="auto" w:before="38"/>
              <w:ind w:left="636" w:right="273" w:hanging="524"/>
              <w:jc w:val="both"/>
              <w:rPr>
                <w:sz w:val="21"/>
              </w:rPr>
            </w:pPr>
            <w:r>
              <w:rPr>
                <w:sz w:val="21"/>
              </w:rPr>
              <w:t>（2）提供输血治疗的输血中心或医院出具该项输血感染属医疗责任事故的报告，或者法院终审裁定为医疗责任并且不准上诉；</w:t>
            </w:r>
          </w:p>
          <w:p>
            <w:pPr>
              <w:pStyle w:val="TableParagraph"/>
              <w:spacing w:before="8"/>
              <w:rPr>
                <w:sz w:val="21"/>
              </w:rPr>
            </w:pPr>
            <w:r>
              <w:rPr>
                <w:sz w:val="21"/>
              </w:rPr>
              <w:t>（3）受感染的被保险人不是血友病患者。</w:t>
            </w:r>
          </w:p>
          <w:p>
            <w:pPr>
              <w:pStyle w:val="TableParagraph"/>
              <w:spacing w:line="273" w:lineRule="auto" w:before="37"/>
              <w:ind w:right="266"/>
              <w:jc w:val="both"/>
              <w:rPr>
                <w:sz w:val="21"/>
              </w:rPr>
            </w:pPr>
            <w:r>
              <w:rPr>
                <w:spacing w:val="-3"/>
                <w:sz w:val="21"/>
              </w:rPr>
              <w:t>在任何治愈艾滋病</w:t>
            </w:r>
            <w:r>
              <w:rPr>
                <w:spacing w:val="-4"/>
                <w:sz w:val="21"/>
              </w:rPr>
              <w:t>（AIDS）</w:t>
            </w:r>
            <w:r>
              <w:rPr>
                <w:spacing w:val="-10"/>
                <w:sz w:val="21"/>
              </w:rPr>
              <w:t>或阻止 </w:t>
            </w:r>
            <w:r>
              <w:rPr>
                <w:sz w:val="21"/>
              </w:rPr>
              <w:t>HIV</w:t>
            </w:r>
            <w:r>
              <w:rPr>
                <w:spacing w:val="-7"/>
                <w:sz w:val="21"/>
              </w:rPr>
              <w:t> 病毒作用的疗法被发现以</w:t>
            </w:r>
            <w:r>
              <w:rPr>
                <w:spacing w:val="-4"/>
                <w:sz w:val="21"/>
              </w:rPr>
              <w:t>后，或能防止 </w:t>
            </w:r>
            <w:r>
              <w:rPr>
                <w:sz w:val="21"/>
              </w:rPr>
              <w:t>AIDS 发Th</w:t>
            </w:r>
            <w:r>
              <w:rPr>
                <w:spacing w:val="-5"/>
                <w:sz w:val="21"/>
              </w:rPr>
              <w:t>的医疗方法被研究出来以后，本保障将不再予以赔付。</w:t>
            </w:r>
          </w:p>
          <w:p>
            <w:pPr>
              <w:pStyle w:val="TableParagraph"/>
              <w:spacing w:line="273" w:lineRule="auto" w:before="7"/>
              <w:ind w:right="265"/>
              <w:jc w:val="both"/>
              <w:rPr>
                <w:sz w:val="21"/>
              </w:rPr>
            </w:pPr>
            <w:r>
              <w:rPr>
                <w:spacing w:val="-8"/>
                <w:sz w:val="21"/>
              </w:rPr>
              <w:t>任何因其他传播方式</w:t>
            </w:r>
            <w:r>
              <w:rPr>
                <w:sz w:val="21"/>
              </w:rPr>
              <w:t>（</w:t>
            </w:r>
            <w:r>
              <w:rPr>
                <w:spacing w:val="-10"/>
                <w:sz w:val="21"/>
              </w:rPr>
              <w:t>包括：性传播或静脉注射毒品</w:t>
            </w:r>
            <w:r>
              <w:rPr>
                <w:spacing w:val="-63"/>
                <w:sz w:val="21"/>
              </w:rPr>
              <w:t>）</w:t>
            </w:r>
            <w:r>
              <w:rPr>
                <w:spacing w:val="-5"/>
                <w:sz w:val="21"/>
              </w:rPr>
              <w:t>导致的 </w:t>
            </w:r>
            <w:r>
              <w:rPr>
                <w:sz w:val="21"/>
              </w:rPr>
              <w:t>HIV </w:t>
            </w:r>
            <w:r>
              <w:rPr>
                <w:spacing w:val="-5"/>
                <w:sz w:val="21"/>
              </w:rPr>
              <w:t>感染不在本保单保障范围内。保险公司必须拥有获得使用被保险</w:t>
            </w:r>
            <w:r>
              <w:rPr>
                <w:spacing w:val="1"/>
                <w:sz w:val="21"/>
              </w:rPr>
              <w:t>人的所有血液样本的权利和能够对这些样本进行独立检验的权利。</w:t>
            </w:r>
          </w:p>
        </w:tc>
      </w:tr>
      <w:tr>
        <w:trPr>
          <w:trHeight w:val="1263"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35.严重克隆病</w:t>
            </w:r>
          </w:p>
        </w:tc>
        <w:tc>
          <w:tcPr>
            <w:tcW w:w="6248" w:type="dxa"/>
          </w:tcPr>
          <w:p>
            <w:pPr>
              <w:pStyle w:val="TableParagraph"/>
              <w:spacing w:line="312" w:lineRule="exact" w:before="145"/>
              <w:ind w:right="266"/>
              <w:jc w:val="both"/>
              <w:rPr>
                <w:rFonts w:ascii="微软雅黑" w:eastAsia="微软雅黑" w:hint="eastAsia"/>
                <w:b/>
                <w:sz w:val="22"/>
              </w:rPr>
            </w:pPr>
            <w:r>
              <w:rPr>
                <w:spacing w:val="-5"/>
                <w:sz w:val="21"/>
              </w:rPr>
              <w:t>克隆病是一种慢性肉芽肿性肠炎，具有特征性的克隆病病理组织</w:t>
            </w:r>
            <w:r>
              <w:rPr>
                <w:spacing w:val="-7"/>
                <w:sz w:val="21"/>
              </w:rPr>
              <w:t>学变化。诊断必须由病理检查结果证实。被保险人所患的克隆病</w:t>
            </w:r>
            <w:r>
              <w:rPr>
                <w:spacing w:val="-6"/>
                <w:sz w:val="21"/>
              </w:rPr>
              <w:t>必须已经造成瘘管形成并伴有肠梗阻或肠穿孔</w:t>
            </w:r>
            <w:r>
              <w:rPr>
                <w:rFonts w:ascii="微软雅黑" w:eastAsia="微软雅黑" w:hint="eastAsia"/>
                <w:b/>
                <w:sz w:val="22"/>
              </w:rPr>
              <w:t>。</w:t>
            </w:r>
          </w:p>
        </w:tc>
      </w:tr>
      <w:tr>
        <w:trPr>
          <w:trHeight w:val="1874"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36.严重溃疡性结肠炎</w:t>
            </w:r>
          </w:p>
        </w:tc>
        <w:tc>
          <w:tcPr>
            <w:tcW w:w="6248" w:type="dxa"/>
          </w:tcPr>
          <w:p>
            <w:pPr>
              <w:pStyle w:val="TableParagraph"/>
              <w:spacing w:line="271" w:lineRule="auto" w:before="149"/>
              <w:ind w:right="265"/>
              <w:jc w:val="both"/>
              <w:rPr>
                <w:sz w:val="21"/>
              </w:rPr>
            </w:pPr>
            <w:r>
              <w:rPr>
                <w:spacing w:val="1"/>
                <w:sz w:val="21"/>
              </w:rPr>
              <w:t>本保障所指的严重溃疡性结肠炎是指伴有致命性电解质紊乱的</w:t>
            </w:r>
            <w:r>
              <w:rPr>
                <w:spacing w:val="-5"/>
                <w:sz w:val="21"/>
              </w:rPr>
              <w:t>急性暴发性溃疡性结肠炎，病变累及全结肠，表现为严重的血便</w:t>
            </w:r>
            <w:r>
              <w:rPr>
                <w:spacing w:val="-8"/>
                <w:sz w:val="21"/>
              </w:rPr>
              <w:t>和系统性症状体征，治疗通常采取全结肠切除和回肠造瘘术。溃</w:t>
            </w:r>
            <w:r>
              <w:rPr>
                <w:spacing w:val="-7"/>
                <w:sz w:val="21"/>
              </w:rPr>
              <w:t>疡性结肠炎必须根据组织病理学特点诊断，并且被保险人已经接</w:t>
            </w:r>
            <w:r>
              <w:rPr>
                <w:spacing w:val="-6"/>
                <w:sz w:val="21"/>
              </w:rPr>
              <w:t>受了结肠切除和</w:t>
            </w:r>
            <w:r>
              <w:rPr>
                <w:sz w:val="21"/>
              </w:rPr>
              <w:t>/</w:t>
            </w:r>
            <w:r>
              <w:rPr>
                <w:spacing w:val="-3"/>
                <w:sz w:val="21"/>
              </w:rPr>
              <w:t>或回肠造瘘术。</w:t>
            </w:r>
          </w:p>
        </w:tc>
      </w:tr>
      <w:tr>
        <w:trPr>
          <w:trHeight w:val="3144" w:hRule="atLeast"/>
        </w:trPr>
        <w:tc>
          <w:tcPr>
            <w:tcW w:w="1475" w:type="dxa"/>
          </w:tcPr>
          <w:p>
            <w:pPr>
              <w:pStyle w:val="TableParagraph"/>
              <w:spacing w:line="201" w:lineRule="auto" w:before="153"/>
              <w:ind w:left="200" w:right="163"/>
              <w:rPr>
                <w:rFonts w:ascii="Microsoft JhengHei" w:eastAsia="Microsoft JhengHei" w:hint="eastAsia"/>
                <w:b/>
                <w:sz w:val="21"/>
              </w:rPr>
            </w:pPr>
            <w:r>
              <w:rPr>
                <w:rFonts w:ascii="Microsoft JhengHei" w:eastAsia="Microsoft JhengHei" w:hint="eastAsia"/>
                <w:b/>
                <w:sz w:val="21"/>
              </w:rPr>
              <w:t>37.1 型糖尿病</w:t>
            </w:r>
          </w:p>
        </w:tc>
        <w:tc>
          <w:tcPr>
            <w:tcW w:w="6248" w:type="dxa"/>
          </w:tcPr>
          <w:p>
            <w:pPr>
              <w:pStyle w:val="TableParagraph"/>
              <w:spacing w:line="259" w:lineRule="auto" w:before="162"/>
              <w:ind w:right="266"/>
              <w:jc w:val="both"/>
              <w:rPr>
                <w:sz w:val="21"/>
              </w:rPr>
            </w:pPr>
            <w:r>
              <w:rPr>
                <w:rFonts w:ascii="Cambria" w:eastAsia="Cambria"/>
                <w:sz w:val="21"/>
              </w:rPr>
              <w:t>1</w:t>
            </w:r>
            <w:r>
              <w:rPr>
                <w:sz w:val="21"/>
              </w:rPr>
              <w:t>型糖尿病的特征为由于胰岛素分泌绝对不足引起严重胰岛素缺</w:t>
            </w:r>
            <w:r>
              <w:rPr>
                <w:spacing w:val="-5"/>
                <w:sz w:val="21"/>
              </w:rPr>
              <w:t>乏导致慢性血糖升高，需要依赖外源性胰岛素进行机体的葡萄糖</w:t>
            </w:r>
            <w:r>
              <w:rPr>
                <w:spacing w:val="-11"/>
                <w:sz w:val="21"/>
              </w:rPr>
              <w:t>代谢和维持生命。被保险人的</w:t>
            </w:r>
            <w:r>
              <w:rPr>
                <w:rFonts w:ascii="Cambria" w:eastAsia="Cambria"/>
                <w:sz w:val="21"/>
              </w:rPr>
              <w:t>1</w:t>
            </w:r>
            <w:r>
              <w:rPr>
                <w:spacing w:val="-10"/>
                <w:sz w:val="21"/>
              </w:rPr>
              <w:t>型糖尿病必须明确诊断，而且有血</w:t>
            </w:r>
            <w:r>
              <w:rPr>
                <w:spacing w:val="-7"/>
                <w:sz w:val="21"/>
              </w:rPr>
              <w:t>胰岛素测定及血</w:t>
            </w:r>
            <w:r>
              <w:rPr>
                <w:rFonts w:ascii="Cambria" w:eastAsia="Cambria"/>
                <w:sz w:val="21"/>
              </w:rPr>
              <w:t>C</w:t>
            </w:r>
            <w:r>
              <w:rPr>
                <w:spacing w:val="-2"/>
                <w:sz w:val="21"/>
              </w:rPr>
              <w:t>肽或尿</w:t>
            </w:r>
            <w:r>
              <w:rPr>
                <w:rFonts w:ascii="Cambria" w:eastAsia="Cambria"/>
                <w:spacing w:val="-4"/>
                <w:sz w:val="21"/>
              </w:rPr>
              <w:t>C</w:t>
            </w:r>
            <w:r>
              <w:rPr>
                <w:spacing w:val="-8"/>
                <w:sz w:val="21"/>
              </w:rPr>
              <w:t>肽测定结果支持诊断，并且满足下列全部条件：</w:t>
            </w:r>
          </w:p>
          <w:p>
            <w:pPr>
              <w:pStyle w:val="TableParagraph"/>
              <w:spacing w:before="20"/>
              <w:jc w:val="both"/>
              <w:rPr>
                <w:sz w:val="21"/>
              </w:rPr>
            </w:pPr>
            <w:r>
              <w:rPr>
                <w:sz w:val="21"/>
              </w:rPr>
              <w:t>（</w:t>
            </w:r>
            <w:r>
              <w:rPr>
                <w:rFonts w:ascii="Cambria" w:eastAsia="Cambria"/>
                <w:sz w:val="21"/>
              </w:rPr>
              <w:t>1</w:t>
            </w:r>
            <w:r>
              <w:rPr>
                <w:sz w:val="21"/>
              </w:rPr>
              <w:t>）已经持续性地接受外源性胰岛素注射治疗连续</w:t>
            </w:r>
            <w:r>
              <w:rPr>
                <w:rFonts w:ascii="Cambria" w:eastAsia="Cambria"/>
                <w:sz w:val="21"/>
              </w:rPr>
              <w:t>180</w:t>
            </w:r>
            <w:r>
              <w:rPr>
                <w:sz w:val="21"/>
              </w:rPr>
              <w:t>天以上；</w:t>
            </w:r>
          </w:p>
          <w:p>
            <w:pPr>
              <w:pStyle w:val="TableParagraph"/>
              <w:spacing w:before="19"/>
              <w:jc w:val="both"/>
              <w:rPr>
                <w:sz w:val="21"/>
              </w:rPr>
            </w:pPr>
            <w:r>
              <w:rPr>
                <w:sz w:val="21"/>
              </w:rPr>
              <w:t>（</w:t>
            </w:r>
            <w:r>
              <w:rPr>
                <w:rFonts w:ascii="Cambria" w:eastAsia="Cambria"/>
                <w:sz w:val="21"/>
              </w:rPr>
              <w:t>2</w:t>
            </w:r>
            <w:r>
              <w:rPr>
                <w:sz w:val="21"/>
              </w:rPr>
              <w:t>）因需要已经接受了下列治疗：</w:t>
            </w:r>
          </w:p>
          <w:p>
            <w:pPr>
              <w:pStyle w:val="TableParagraph"/>
              <w:spacing w:before="19"/>
              <w:ind w:left="535"/>
              <w:rPr>
                <w:sz w:val="21"/>
              </w:rPr>
            </w:pPr>
            <w:r>
              <w:rPr>
                <w:sz w:val="21"/>
              </w:rPr>
              <w:t>①因严重心律失常植入了心脏起搏器；或</w:t>
            </w:r>
          </w:p>
          <w:p>
            <w:pPr>
              <w:pStyle w:val="TableParagraph"/>
              <w:spacing w:before="37"/>
              <w:ind w:left="535"/>
              <w:rPr>
                <w:sz w:val="21"/>
              </w:rPr>
            </w:pPr>
            <w:r>
              <w:rPr>
                <w:sz w:val="21"/>
              </w:rPr>
              <w:t>②因坏疽自跖趾关节或以上切除了一趾或多趾。</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38.肺源性心脏病</w:t>
            </w:r>
          </w:p>
        </w:tc>
        <w:tc>
          <w:tcPr>
            <w:tcW w:w="6248" w:type="dxa"/>
          </w:tcPr>
          <w:p>
            <w:pPr>
              <w:pStyle w:val="TableParagraph"/>
              <w:spacing w:line="271" w:lineRule="auto" w:before="152"/>
              <w:ind w:right="267"/>
              <w:jc w:val="both"/>
              <w:rPr>
                <w:sz w:val="21"/>
              </w:rPr>
            </w:pPr>
            <w:r>
              <w:rPr>
                <w:spacing w:val="1"/>
                <w:sz w:val="21"/>
              </w:rPr>
              <w:t>指被保人因慢性肺部疾病导致慢性心功能损害造成永久不可逆</w:t>
            </w:r>
            <w:r>
              <w:rPr>
                <w:spacing w:val="-5"/>
                <w:sz w:val="21"/>
              </w:rPr>
              <w:t>性的心功能衰竭。心功能衰竭程度达到纽约心脏病学会的心功能</w:t>
            </w:r>
            <w:r>
              <w:rPr>
                <w:spacing w:val="-4"/>
                <w:sz w:val="21"/>
              </w:rPr>
              <w:t>分级标准之心功能 </w:t>
            </w:r>
            <w:r>
              <w:rPr>
                <w:spacing w:val="-3"/>
                <w:sz w:val="21"/>
              </w:rPr>
              <w:t>IV 级。被保险人永久不可逆性的体力活动能</w:t>
            </w:r>
            <w:r>
              <w:rPr>
                <w:spacing w:val="-5"/>
                <w:sz w:val="21"/>
              </w:rPr>
              <w:t>力受限，不能从事任何体力活动。</w:t>
            </w:r>
          </w:p>
        </w:tc>
      </w:tr>
      <w:tr>
        <w:trPr>
          <w:trHeight w:val="1887"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w w:val="84"/>
                <w:sz w:val="21"/>
              </w:rPr>
              <w:t>39</w:t>
            </w:r>
            <w:r>
              <w:rPr>
                <w:rFonts w:ascii="Microsoft JhengHei" w:eastAsia="Microsoft JhengHei" w:hint="eastAsia"/>
                <w:b/>
                <w:w w:val="197"/>
                <w:sz w:val="21"/>
              </w:rPr>
              <w:t>.</w:t>
            </w:r>
            <w:r>
              <w:rPr>
                <w:rFonts w:ascii="Microsoft JhengHei" w:eastAsia="Microsoft JhengHei" w:hint="eastAsia"/>
                <w:b/>
                <w:w w:val="100"/>
                <w:sz w:val="21"/>
              </w:rPr>
              <w:t>植物人状</w:t>
            </w:r>
            <w:r>
              <w:rPr>
                <w:rFonts w:ascii="Microsoft JhengHei" w:eastAsia="Microsoft JhengHei" w:hint="eastAsia"/>
                <w:b/>
                <w:w w:val="110"/>
                <w:sz w:val="21"/>
              </w:rPr>
              <w:t>态</w:t>
            </w:r>
          </w:p>
        </w:tc>
        <w:tc>
          <w:tcPr>
            <w:tcW w:w="6248" w:type="dxa"/>
          </w:tcPr>
          <w:p>
            <w:pPr>
              <w:pStyle w:val="TableParagraph"/>
              <w:spacing w:line="271" w:lineRule="auto" w:before="152"/>
              <w:ind w:right="265"/>
              <w:jc w:val="both"/>
              <w:rPr>
                <w:sz w:val="21"/>
              </w:rPr>
            </w:pPr>
            <w:r>
              <w:rPr>
                <w:sz w:val="21"/>
              </w:rPr>
              <w:t>植物人状态系指由于严重颅脑外伤造成大脑和/或脑干严重损害</w:t>
            </w:r>
            <w:r>
              <w:rPr>
                <w:spacing w:val="1"/>
                <w:sz w:val="21"/>
              </w:rPr>
              <w:t>导致完全永久性的对自身和环境的意识丧失和中枢神经系统功</w:t>
            </w:r>
            <w:r>
              <w:rPr>
                <w:spacing w:val="-6"/>
                <w:sz w:val="21"/>
              </w:rPr>
              <w:t>能丧失，仅残存植物神经功能的疾病状态。植物人状态必须明确诊断并且具有严重颅脑外伤和脑损害的证据。植物人状态必须持</w:t>
            </w:r>
            <w:r>
              <w:rPr>
                <w:spacing w:val="-26"/>
                <w:sz w:val="21"/>
              </w:rPr>
              <w:t>续 </w:t>
            </w:r>
            <w:r>
              <w:rPr>
                <w:sz w:val="21"/>
              </w:rPr>
              <w:t>30</w:t>
            </w:r>
            <w:r>
              <w:rPr>
                <w:spacing w:val="-8"/>
                <w:sz w:val="21"/>
              </w:rPr>
              <w:t> 天以上方可申请理赔。</w:t>
            </w:r>
          </w:p>
        </w:tc>
      </w:tr>
      <w:tr>
        <w:trPr>
          <w:trHeight w:val="427" w:hRule="atLeast"/>
        </w:trPr>
        <w:tc>
          <w:tcPr>
            <w:tcW w:w="1475" w:type="dxa"/>
          </w:tcPr>
          <w:p>
            <w:pPr>
              <w:pStyle w:val="TableParagraph"/>
              <w:spacing w:line="322" w:lineRule="exact" w:before="85"/>
              <w:ind w:left="200"/>
              <w:rPr>
                <w:rFonts w:ascii="Microsoft JhengHei" w:eastAsia="Microsoft JhengHei" w:hint="eastAsia"/>
                <w:b/>
                <w:sz w:val="21"/>
              </w:rPr>
            </w:pPr>
            <w:r>
              <w:rPr>
                <w:rFonts w:ascii="Microsoft JhengHei" w:eastAsia="Microsoft JhengHei" w:hint="eastAsia"/>
                <w:b/>
                <w:w w:val="84"/>
                <w:sz w:val="21"/>
              </w:rPr>
              <w:t>40</w:t>
            </w:r>
            <w:r>
              <w:rPr>
                <w:rFonts w:ascii="Microsoft JhengHei" w:eastAsia="Microsoft JhengHei" w:hint="eastAsia"/>
                <w:b/>
                <w:w w:val="197"/>
                <w:sz w:val="21"/>
              </w:rPr>
              <w:t>.</w:t>
            </w:r>
            <w:r>
              <w:rPr>
                <w:rFonts w:ascii="Microsoft JhengHei" w:eastAsia="Microsoft JhengHei" w:hint="eastAsia"/>
                <w:b/>
                <w:w w:val="100"/>
                <w:sz w:val="21"/>
              </w:rPr>
              <w:t>严重类风</w:t>
            </w:r>
          </w:p>
        </w:tc>
        <w:tc>
          <w:tcPr>
            <w:tcW w:w="6248" w:type="dxa"/>
          </w:tcPr>
          <w:p>
            <w:pPr>
              <w:pStyle w:val="TableParagraph"/>
              <w:spacing w:line="255" w:lineRule="exact" w:before="152"/>
              <w:rPr>
                <w:sz w:val="21"/>
              </w:rPr>
            </w:pPr>
            <w:r>
              <w:rPr>
                <w:sz w:val="21"/>
              </w:rPr>
              <w:t>类风湿性关节炎为广泛分布的慢性进行性多关节病变，表现为关</w:t>
            </w:r>
          </w:p>
        </w:tc>
      </w:tr>
    </w:tbl>
    <w:p>
      <w:pPr>
        <w:spacing w:after="0" w:line="255" w:lineRule="exact"/>
        <w:rPr>
          <w:sz w:val="21"/>
        </w:rPr>
        <w:sectPr>
          <w:pgSz w:w="11910" w:h="16840"/>
          <w:pgMar w:header="0" w:footer="150" w:top="740" w:bottom="340" w:left="1680" w:right="152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3233"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湿性关节炎</w:t>
            </w:r>
          </w:p>
        </w:tc>
        <w:tc>
          <w:tcPr>
            <w:tcW w:w="6284" w:type="dxa"/>
          </w:tcPr>
          <w:p>
            <w:pPr>
              <w:pStyle w:val="TableParagraph"/>
              <w:spacing w:line="211" w:lineRule="exact"/>
              <w:rPr>
                <w:sz w:val="21"/>
              </w:rPr>
            </w:pPr>
            <w:r>
              <w:rPr>
                <w:sz w:val="21"/>
              </w:rPr>
              <w:t>节严重变形，侵犯至少三个主要关节或关节组【如：双手（多手</w:t>
            </w:r>
          </w:p>
          <w:p>
            <w:pPr>
              <w:pStyle w:val="TableParagraph"/>
              <w:spacing w:line="273" w:lineRule="auto" w:before="37"/>
              <w:ind w:right="302"/>
              <w:jc w:val="both"/>
              <w:rPr>
                <w:sz w:val="21"/>
              </w:rPr>
            </w:pPr>
            <w:r>
              <w:rPr>
                <w:sz w:val="21"/>
              </w:rPr>
              <w:t>指</w:t>
            </w:r>
            <w:r>
              <w:rPr>
                <w:spacing w:val="-5"/>
                <w:sz w:val="21"/>
              </w:rPr>
              <w:t>）</w:t>
            </w:r>
            <w:r>
              <w:rPr>
                <w:spacing w:val="-3"/>
                <w:sz w:val="21"/>
              </w:rPr>
              <w:t>关节、双足</w:t>
            </w:r>
            <w:r>
              <w:rPr>
                <w:sz w:val="21"/>
              </w:rPr>
              <w:t>（</w:t>
            </w:r>
            <w:r>
              <w:rPr>
                <w:spacing w:val="-2"/>
                <w:sz w:val="21"/>
              </w:rPr>
              <w:t>多足趾</w:t>
            </w:r>
            <w:r>
              <w:rPr>
                <w:spacing w:val="-5"/>
                <w:sz w:val="21"/>
              </w:rPr>
              <w:t>）关节、双腕关节、双膝关节和双髋关</w:t>
            </w:r>
            <w:r>
              <w:rPr>
                <w:spacing w:val="-10"/>
                <w:sz w:val="21"/>
              </w:rPr>
              <w:t>节】。类风湿性关节炎必须明确诊断并且已经达到类风湿性关节</w:t>
            </w:r>
            <w:r>
              <w:rPr>
                <w:spacing w:val="-15"/>
                <w:sz w:val="21"/>
              </w:rPr>
              <w:t>炎功能分级 </w:t>
            </w:r>
            <w:r>
              <w:rPr>
                <w:sz w:val="21"/>
              </w:rPr>
              <w:t>III</w:t>
            </w:r>
            <w:r>
              <w:rPr>
                <w:spacing w:val="-9"/>
                <w:sz w:val="21"/>
              </w:rPr>
              <w:t> 级以上的功能障碍</w:t>
            </w:r>
            <w:r>
              <w:rPr>
                <w:sz w:val="21"/>
              </w:rPr>
              <w:t>（</w:t>
            </w:r>
            <w:r>
              <w:rPr>
                <w:spacing w:val="-5"/>
                <w:sz w:val="21"/>
              </w:rPr>
              <w:t>关节活动严重限制，不能完成大部分的日常工作和活动）</w:t>
            </w:r>
            <w:r>
              <w:rPr>
                <w:spacing w:val="-4"/>
                <w:sz w:val="21"/>
              </w:rPr>
              <w:t>并且满足下列全部条件：</w:t>
            </w:r>
          </w:p>
          <w:p>
            <w:pPr>
              <w:pStyle w:val="TableParagraph"/>
              <w:spacing w:before="8"/>
              <w:jc w:val="both"/>
              <w:rPr>
                <w:sz w:val="21"/>
              </w:rPr>
            </w:pPr>
            <w:r>
              <w:rPr>
                <w:sz w:val="21"/>
              </w:rPr>
              <w:t>（1）晨僵；</w:t>
            </w:r>
          </w:p>
          <w:p>
            <w:pPr>
              <w:pStyle w:val="TableParagraph"/>
              <w:spacing w:before="37"/>
              <w:jc w:val="both"/>
              <w:rPr>
                <w:sz w:val="21"/>
              </w:rPr>
            </w:pPr>
            <w:r>
              <w:rPr>
                <w:sz w:val="21"/>
              </w:rPr>
              <w:t>（2）对称性关节炎；</w:t>
            </w:r>
          </w:p>
          <w:p>
            <w:pPr>
              <w:pStyle w:val="TableParagraph"/>
              <w:spacing w:before="37"/>
              <w:jc w:val="both"/>
              <w:rPr>
                <w:sz w:val="21"/>
              </w:rPr>
            </w:pPr>
            <w:r>
              <w:rPr>
                <w:sz w:val="21"/>
              </w:rPr>
              <w:t>（3）类风湿性皮下结节；</w:t>
            </w:r>
          </w:p>
          <w:p>
            <w:pPr>
              <w:pStyle w:val="TableParagraph"/>
              <w:spacing w:before="37"/>
              <w:jc w:val="both"/>
              <w:rPr>
                <w:sz w:val="21"/>
              </w:rPr>
            </w:pPr>
            <w:r>
              <w:rPr>
                <w:sz w:val="21"/>
              </w:rPr>
              <w:t>（4）类风湿因子滴度升高；</w:t>
            </w:r>
          </w:p>
          <w:p>
            <w:pPr>
              <w:pStyle w:val="TableParagraph"/>
              <w:spacing w:before="37"/>
              <w:jc w:val="both"/>
              <w:rPr>
                <w:sz w:val="21"/>
              </w:rPr>
            </w:pPr>
            <w:r>
              <w:rPr>
                <w:sz w:val="21"/>
              </w:rPr>
              <w:t>（5）X 线显示严重的关节（软骨和骨）破坏和关节畸形。</w:t>
            </w:r>
          </w:p>
        </w:tc>
      </w:tr>
      <w:tr>
        <w:trPr>
          <w:trHeight w:val="2511"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41.非阿尔茨海默病所致严重痴呆</w:t>
            </w:r>
          </w:p>
        </w:tc>
        <w:tc>
          <w:tcPr>
            <w:tcW w:w="6284" w:type="dxa"/>
          </w:tcPr>
          <w:p>
            <w:pPr>
              <w:pStyle w:val="TableParagraph"/>
              <w:spacing w:line="273" w:lineRule="auto" w:before="150"/>
              <w:ind w:right="301"/>
              <w:jc w:val="both"/>
              <w:rPr>
                <w:sz w:val="21"/>
              </w:rPr>
            </w:pPr>
            <w:r>
              <w:rPr>
                <w:spacing w:val="1"/>
                <w:sz w:val="21"/>
              </w:rPr>
              <w:t>指因阿尔茨海默病以外的脑的器质性疾病造成脑功能衰竭导致</w:t>
            </w:r>
            <w:r>
              <w:rPr>
                <w:spacing w:val="-6"/>
                <w:sz w:val="21"/>
              </w:rPr>
              <w:t>永久不可逆性的严重痴呆，临床表现为明显的认知能力障碍、行</w:t>
            </w:r>
            <w:r>
              <w:rPr>
                <w:spacing w:val="-7"/>
                <w:sz w:val="21"/>
              </w:rPr>
              <w:t>为异常和社交能力减退。被保险人自主生活能力完全丧失，无法独立完成六项基本日常生活活动中的三项或三项以上，日常生活</w:t>
            </w:r>
            <w:r>
              <w:rPr>
                <w:spacing w:val="-8"/>
                <w:sz w:val="21"/>
              </w:rPr>
              <w:t>必须持续受到他人监护。导致痴呆的疾病必须明确诊断，并且由完整的临床、实验室和影像学检查结果证实。神经官能症和精神</w:t>
            </w:r>
            <w:r>
              <w:rPr>
                <w:spacing w:val="-6"/>
                <w:sz w:val="21"/>
              </w:rPr>
              <w:t>疾病不在保障范围内。</w:t>
            </w:r>
          </w:p>
        </w:tc>
      </w:tr>
      <w:tr>
        <w:trPr>
          <w:trHeight w:val="1270"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42.埃博拉病毒感染</w:t>
            </w:r>
          </w:p>
        </w:tc>
        <w:tc>
          <w:tcPr>
            <w:tcW w:w="6284" w:type="dxa"/>
          </w:tcPr>
          <w:p>
            <w:pPr>
              <w:pStyle w:val="TableParagraph"/>
              <w:spacing w:before="150"/>
              <w:rPr>
                <w:sz w:val="21"/>
              </w:rPr>
            </w:pPr>
            <w:r>
              <w:rPr>
                <w:sz w:val="21"/>
              </w:rPr>
              <w:t>指埃博拉病毒感染导致的烈性传染病，并须满足下列全部条件：</w:t>
            </w:r>
          </w:p>
          <w:p>
            <w:pPr>
              <w:pStyle w:val="TableParagraph"/>
              <w:numPr>
                <w:ilvl w:val="0"/>
                <w:numId w:val="17"/>
              </w:numPr>
              <w:tabs>
                <w:tab w:pos="747" w:val="left" w:leader="none"/>
              </w:tabs>
              <w:spacing w:line="240" w:lineRule="auto" w:before="37" w:after="0"/>
              <w:ind w:left="746" w:right="0" w:hanging="634"/>
              <w:jc w:val="left"/>
              <w:rPr>
                <w:sz w:val="21"/>
              </w:rPr>
            </w:pPr>
            <w:r>
              <w:rPr>
                <w:spacing w:val="-5"/>
                <w:sz w:val="21"/>
              </w:rPr>
              <w:t>实验室检查证实埃博拉病毒的存在；</w:t>
            </w:r>
          </w:p>
          <w:p>
            <w:pPr>
              <w:pStyle w:val="TableParagraph"/>
              <w:numPr>
                <w:ilvl w:val="0"/>
                <w:numId w:val="17"/>
              </w:numPr>
              <w:tabs>
                <w:tab w:pos="747" w:val="left" w:leader="none"/>
              </w:tabs>
              <w:spacing w:line="240" w:lineRule="auto" w:before="20" w:after="0"/>
              <w:ind w:left="746" w:right="0" w:hanging="634"/>
              <w:jc w:val="left"/>
              <w:rPr>
                <w:sz w:val="21"/>
              </w:rPr>
            </w:pPr>
            <w:r>
              <w:rPr>
                <w:spacing w:val="-8"/>
                <w:sz w:val="21"/>
              </w:rPr>
              <w:t>从发病开始有超过 </w:t>
            </w:r>
            <w:r>
              <w:rPr>
                <w:rFonts w:ascii="Times New Roman" w:eastAsia="Times New Roman"/>
                <w:sz w:val="21"/>
              </w:rPr>
              <w:t>30</w:t>
            </w:r>
            <w:r>
              <w:rPr>
                <w:rFonts w:ascii="Times New Roman" w:eastAsia="Times New Roman"/>
                <w:spacing w:val="10"/>
                <w:sz w:val="21"/>
              </w:rPr>
              <w:t> </w:t>
            </w:r>
            <w:r>
              <w:rPr>
                <w:spacing w:val="-4"/>
                <w:sz w:val="21"/>
              </w:rPr>
              <w:t>天的进行性感染症状。</w:t>
            </w:r>
          </w:p>
        </w:tc>
      </w:tr>
      <w:tr>
        <w:trPr>
          <w:trHeight w:val="2812" w:hRule="atLeast"/>
        </w:trPr>
        <w:tc>
          <w:tcPr>
            <w:tcW w:w="1475" w:type="dxa"/>
          </w:tcPr>
          <w:p>
            <w:pPr>
              <w:pStyle w:val="TableParagraph"/>
              <w:spacing w:line="336" w:lineRule="exact" w:before="75"/>
              <w:ind w:left="200"/>
              <w:rPr>
                <w:rFonts w:ascii="Microsoft JhengHei" w:eastAsia="Microsoft JhengHei" w:hint="eastAsia"/>
                <w:b/>
                <w:sz w:val="21"/>
              </w:rPr>
            </w:pPr>
            <w:r>
              <w:rPr>
                <w:rFonts w:ascii="Microsoft JhengHei" w:eastAsia="Microsoft JhengHei" w:hint="eastAsia"/>
                <w:b/>
                <w:sz w:val="21"/>
              </w:rPr>
              <w:t>43.严重哮喘</w:t>
            </w:r>
          </w:p>
          <w:p>
            <w:pPr>
              <w:pStyle w:val="TableParagraph"/>
              <w:spacing w:line="204" w:lineRule="auto" w:before="25"/>
              <w:ind w:left="200" w:right="107"/>
              <w:rPr>
                <w:rFonts w:ascii="Microsoft JhengHei" w:eastAsia="Microsoft JhengHei" w:hint="eastAsia"/>
                <w:b/>
                <w:sz w:val="21"/>
              </w:rPr>
            </w:pPr>
            <w:r>
              <w:rPr>
                <w:rFonts w:ascii="Microsoft JhengHei" w:eastAsia="Microsoft JhengHei" w:hint="eastAsia"/>
                <w:b/>
                <w:sz w:val="21"/>
              </w:rPr>
              <w:t>（25 周岁前理赔）</w:t>
            </w:r>
          </w:p>
        </w:tc>
        <w:tc>
          <w:tcPr>
            <w:tcW w:w="6284" w:type="dxa"/>
          </w:tcPr>
          <w:p>
            <w:pPr>
              <w:pStyle w:val="TableParagraph"/>
              <w:spacing w:line="268" w:lineRule="auto" w:before="142"/>
              <w:ind w:right="259"/>
              <w:rPr>
                <w:sz w:val="21"/>
              </w:rPr>
            </w:pPr>
            <w:r>
              <w:rPr>
                <w:sz w:val="21"/>
              </w:rPr>
              <w:t>指一种反复发作的严重支气管阻塞性疾病，经我们认可的专科医生确诊，且必须同时符合下列标准：</w:t>
            </w:r>
          </w:p>
          <w:p>
            <w:pPr>
              <w:pStyle w:val="TableParagraph"/>
              <w:spacing w:line="273" w:lineRule="auto" w:before="12"/>
              <w:ind w:right="303"/>
              <w:rPr>
                <w:sz w:val="21"/>
              </w:rPr>
            </w:pPr>
            <w:r>
              <w:rPr>
                <w:spacing w:val="-21"/>
                <w:sz w:val="21"/>
              </w:rPr>
              <w:t>（1）</w:t>
            </w:r>
            <w:r>
              <w:rPr>
                <w:spacing w:val="-9"/>
                <w:sz w:val="21"/>
              </w:rPr>
              <w:t>过去两年中曾因哮喘持续状态住院治疗，并提供完整住院记录；</w:t>
            </w:r>
          </w:p>
          <w:p>
            <w:pPr>
              <w:pStyle w:val="TableParagraph"/>
              <w:spacing w:before="7"/>
              <w:rPr>
                <w:sz w:val="21"/>
              </w:rPr>
            </w:pPr>
            <w:r>
              <w:rPr>
                <w:sz w:val="21"/>
              </w:rPr>
              <w:t>（2）因慢性过度换气导致胸廓畸形；</w:t>
            </w:r>
          </w:p>
          <w:p>
            <w:pPr>
              <w:pStyle w:val="TableParagraph"/>
              <w:spacing w:before="36"/>
              <w:rPr>
                <w:sz w:val="21"/>
              </w:rPr>
            </w:pPr>
            <w:r>
              <w:rPr>
                <w:sz w:val="21"/>
              </w:rPr>
              <w:t>（3）在家中需要医生处方的氧气治疗法；</w:t>
            </w:r>
          </w:p>
          <w:p>
            <w:pPr>
              <w:pStyle w:val="TableParagraph"/>
              <w:spacing w:before="36"/>
              <w:rPr>
                <w:sz w:val="21"/>
              </w:rPr>
            </w:pPr>
            <w:r>
              <w:rPr>
                <w:sz w:val="21"/>
              </w:rPr>
              <w:t>（4）持续日常服用口服类固醇激素治疗持续至少六个月。</w:t>
            </w:r>
          </w:p>
          <w:p>
            <w:pPr>
              <w:pStyle w:val="TableParagraph"/>
              <w:spacing w:before="36"/>
              <w:rPr>
                <w:sz w:val="21"/>
              </w:rPr>
            </w:pPr>
            <w:r>
              <w:rPr>
                <w:sz w:val="21"/>
              </w:rPr>
              <w:t>被保险人申请理赔时年龄必须在年满二十五周岁之前。</w:t>
            </w:r>
          </w:p>
        </w:tc>
      </w:tr>
      <w:tr>
        <w:trPr>
          <w:trHeight w:val="1887"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44.严重川崎病</w:t>
            </w:r>
          </w:p>
        </w:tc>
        <w:tc>
          <w:tcPr>
            <w:tcW w:w="6284" w:type="dxa"/>
          </w:tcPr>
          <w:p>
            <w:pPr>
              <w:pStyle w:val="TableParagraph"/>
              <w:spacing w:line="268" w:lineRule="auto" w:before="152"/>
              <w:ind w:right="272"/>
              <w:rPr>
                <w:sz w:val="21"/>
              </w:rPr>
            </w:pPr>
            <w:r>
              <w:rPr>
                <w:sz w:val="21"/>
              </w:rPr>
              <w:t>是指原因不明的系统性血管炎，本病须经专科医师明确诊断，并须满足下列全部条件：</w:t>
            </w:r>
          </w:p>
          <w:p>
            <w:pPr>
              <w:pStyle w:val="TableParagraph"/>
              <w:spacing w:before="11"/>
              <w:rPr>
                <w:sz w:val="21"/>
              </w:rPr>
            </w:pPr>
            <w:r>
              <w:rPr>
                <w:sz w:val="21"/>
              </w:rPr>
              <w:t>（1）超声心动图显示川崎病并发冠状动脉瘤或其他心血管异常；</w:t>
            </w:r>
          </w:p>
          <w:p>
            <w:pPr>
              <w:pStyle w:val="TableParagraph"/>
              <w:spacing w:line="273" w:lineRule="auto" w:before="36"/>
              <w:ind w:left="636" w:right="309" w:hanging="524"/>
              <w:rPr>
                <w:sz w:val="21"/>
              </w:rPr>
            </w:pPr>
            <w:r>
              <w:rPr>
                <w:sz w:val="21"/>
              </w:rPr>
              <w:t>（2）已接受了针对川崎病并发冠状动脉瘤或其他心血管异常所进行的手术治疗。</w:t>
            </w:r>
          </w:p>
        </w:tc>
      </w:tr>
      <w:tr>
        <w:trPr>
          <w:trHeight w:val="2823"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45.严重的系统性硬皮病</w:t>
            </w:r>
          </w:p>
        </w:tc>
        <w:tc>
          <w:tcPr>
            <w:tcW w:w="6284" w:type="dxa"/>
          </w:tcPr>
          <w:p>
            <w:pPr>
              <w:pStyle w:val="TableParagraph"/>
              <w:spacing w:line="271" w:lineRule="auto" w:before="152"/>
              <w:ind w:right="303"/>
              <w:jc w:val="both"/>
              <w:rPr>
                <w:sz w:val="21"/>
              </w:rPr>
            </w:pPr>
            <w:r>
              <w:rPr>
                <w:spacing w:val="-6"/>
                <w:sz w:val="21"/>
              </w:rPr>
              <w:t>指一种以局限性或弥漫性皮肤增厚和皮肤、血管、内脏器官异常</w:t>
            </w:r>
            <w:r>
              <w:rPr>
                <w:spacing w:val="-7"/>
                <w:sz w:val="21"/>
              </w:rPr>
              <w:t>纤维化为特征的结缔组织病。本病须经专科医师明确诊断，并须</w:t>
            </w:r>
            <w:r>
              <w:rPr>
                <w:spacing w:val="-6"/>
                <w:sz w:val="21"/>
              </w:rPr>
              <w:t>满足下列至少一项条件：</w:t>
            </w:r>
          </w:p>
          <w:p>
            <w:pPr>
              <w:pStyle w:val="TableParagraph"/>
              <w:spacing w:before="10"/>
              <w:rPr>
                <w:sz w:val="21"/>
              </w:rPr>
            </w:pPr>
            <w:r>
              <w:rPr>
                <w:sz w:val="21"/>
              </w:rPr>
              <w:t>（1）肺脏：肺部病变进而发展为肺间质纤维化和肺动脉高压；</w:t>
            </w:r>
          </w:p>
          <w:p>
            <w:pPr>
              <w:pStyle w:val="TableParagraph"/>
              <w:spacing w:line="273" w:lineRule="auto" w:before="37"/>
              <w:ind w:left="636" w:right="303" w:hanging="524"/>
              <w:rPr>
                <w:sz w:val="21"/>
              </w:rPr>
            </w:pPr>
            <w:r>
              <w:rPr>
                <w:spacing w:val="-21"/>
                <w:sz w:val="21"/>
              </w:rPr>
              <w:t>（2）</w:t>
            </w:r>
            <w:r>
              <w:rPr>
                <w:spacing w:val="-10"/>
                <w:sz w:val="21"/>
              </w:rPr>
              <w:t>心脏：心功能受损达到纽约心脏病学会的心功能分级标准之</w:t>
            </w:r>
            <w:r>
              <w:rPr>
                <w:spacing w:val="-20"/>
                <w:sz w:val="21"/>
              </w:rPr>
              <w:t>心功能 </w:t>
            </w:r>
            <w:r>
              <w:rPr>
                <w:sz w:val="21"/>
              </w:rPr>
              <w:t>IV</w:t>
            </w:r>
            <w:r>
              <w:rPr>
                <w:spacing w:val="-20"/>
                <w:sz w:val="21"/>
              </w:rPr>
              <w:t> 级；</w:t>
            </w:r>
          </w:p>
          <w:p>
            <w:pPr>
              <w:pStyle w:val="TableParagraph"/>
              <w:spacing w:line="273" w:lineRule="auto" w:before="8"/>
              <w:ind w:left="636" w:right="303" w:hanging="524"/>
              <w:rPr>
                <w:sz w:val="21"/>
              </w:rPr>
            </w:pPr>
            <w:r>
              <w:rPr>
                <w:spacing w:val="-15"/>
                <w:sz w:val="21"/>
              </w:rPr>
              <w:t>（3）</w:t>
            </w:r>
            <w:r>
              <w:rPr>
                <w:spacing w:val="-10"/>
                <w:sz w:val="21"/>
              </w:rPr>
              <w:t>肾脏：肾脏受损导致双肾功能慢性不可逆衰竭，达到尿毒症期。</w:t>
            </w:r>
          </w:p>
        </w:tc>
      </w:tr>
      <w:tr>
        <w:trPr>
          <w:trHeight w:val="734" w:hRule="atLeast"/>
        </w:trPr>
        <w:tc>
          <w:tcPr>
            <w:tcW w:w="1475" w:type="dxa"/>
          </w:tcPr>
          <w:p>
            <w:pPr>
              <w:pStyle w:val="TableParagraph"/>
              <w:spacing w:line="308" w:lineRule="exact" w:before="151"/>
              <w:ind w:left="200" w:right="112"/>
              <w:rPr>
                <w:rFonts w:ascii="Microsoft JhengHei" w:eastAsia="Microsoft JhengHei" w:hint="eastAsia"/>
                <w:b/>
                <w:sz w:val="21"/>
              </w:rPr>
            </w:pPr>
            <w:r>
              <w:rPr>
                <w:rFonts w:ascii="Microsoft JhengHei" w:eastAsia="Microsoft JhengHei" w:hint="eastAsia"/>
                <w:b/>
                <w:sz w:val="21"/>
              </w:rPr>
              <w:t>46.丝虫病所致象皮肿</w:t>
            </w:r>
          </w:p>
        </w:tc>
        <w:tc>
          <w:tcPr>
            <w:tcW w:w="6284" w:type="dxa"/>
          </w:tcPr>
          <w:p>
            <w:pPr>
              <w:pStyle w:val="TableParagraph"/>
              <w:spacing w:line="300" w:lineRule="atLeast" w:before="127"/>
              <w:ind w:right="302"/>
              <w:rPr>
                <w:sz w:val="21"/>
              </w:rPr>
            </w:pPr>
            <w:r>
              <w:rPr>
                <w:spacing w:val="-6"/>
                <w:sz w:val="21"/>
              </w:rPr>
              <w:t>指因丝虫感染导致淋巴阻塞性出现严重淋巴水肿，达到国际淋巴</w:t>
            </w:r>
            <w:r>
              <w:rPr>
                <w:spacing w:val="-9"/>
                <w:sz w:val="21"/>
              </w:rPr>
              <w:t>学会淋巴肿分期第 </w:t>
            </w:r>
            <w:r>
              <w:rPr>
                <w:sz w:val="21"/>
              </w:rPr>
              <w:t>III</w:t>
            </w:r>
            <w:r>
              <w:rPr>
                <w:spacing w:val="-9"/>
                <w:sz w:val="21"/>
              </w:rPr>
              <w:t> 期，临床表现为肢体象皮肿，患肢较键肢</w:t>
            </w:r>
          </w:p>
        </w:tc>
      </w:tr>
    </w:tbl>
    <w:p>
      <w:pPr>
        <w:spacing w:after="0" w:line="300" w:lineRule="atLeast"/>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81"/>
      </w:tblGrid>
      <w:tr>
        <w:trPr>
          <w:trHeight w:val="736" w:hRule="atLeast"/>
        </w:trPr>
        <w:tc>
          <w:tcPr>
            <w:tcW w:w="1475" w:type="dxa"/>
          </w:tcPr>
          <w:p>
            <w:pPr>
              <w:pStyle w:val="TableParagraph"/>
              <w:ind w:left="0"/>
              <w:rPr>
                <w:rFonts w:ascii="Times New Roman"/>
                <w:sz w:val="20"/>
              </w:rPr>
            </w:pPr>
          </w:p>
        </w:tc>
        <w:tc>
          <w:tcPr>
            <w:tcW w:w="6181" w:type="dxa"/>
          </w:tcPr>
          <w:p>
            <w:pPr>
              <w:pStyle w:val="TableParagraph"/>
              <w:spacing w:line="211" w:lineRule="exact"/>
              <w:rPr>
                <w:sz w:val="21"/>
              </w:rPr>
            </w:pPr>
            <w:r>
              <w:rPr>
                <w:sz w:val="21"/>
              </w:rPr>
              <w:t>增粗 30%以上，日常生活不能自理。此病症须经专科医生根据临</w:t>
            </w:r>
          </w:p>
          <w:p>
            <w:pPr>
              <w:pStyle w:val="TableParagraph"/>
              <w:spacing w:before="37"/>
              <w:rPr>
                <w:sz w:val="21"/>
              </w:rPr>
            </w:pPr>
            <w:r>
              <w:rPr>
                <w:sz w:val="21"/>
              </w:rPr>
              <w:t>床表现和微丝蚴的化验结果确诊。</w:t>
            </w:r>
          </w:p>
        </w:tc>
      </w:tr>
      <w:tr>
        <w:trPr>
          <w:trHeight w:val="1575"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47.胰腺移植</w:t>
            </w:r>
          </w:p>
        </w:tc>
        <w:tc>
          <w:tcPr>
            <w:tcW w:w="6181" w:type="dxa"/>
          </w:tcPr>
          <w:p>
            <w:pPr>
              <w:pStyle w:val="TableParagraph"/>
              <w:spacing w:line="273" w:lineRule="auto" w:before="150"/>
              <w:ind w:right="156"/>
              <w:rPr>
                <w:sz w:val="21"/>
              </w:rPr>
            </w:pPr>
            <w:r>
              <w:rPr>
                <w:sz w:val="21"/>
              </w:rPr>
              <w:t>指因胰腺功能衰竭，已经实施了在全身麻醉下进行的胰腺的异体器官移植手术。</w:t>
            </w:r>
          </w:p>
          <w:p>
            <w:pPr>
              <w:pStyle w:val="TableParagraph"/>
              <w:spacing w:line="273" w:lineRule="auto" w:before="8"/>
              <w:ind w:right="206"/>
              <w:rPr>
                <w:sz w:val="21"/>
              </w:rPr>
            </w:pPr>
            <w:r>
              <w:rPr>
                <w:sz w:val="21"/>
              </w:rPr>
              <w:t>单纯胰岛移植、部分胰腺组织或细胞的移植不在本保障范围之内。</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48.急性坏死胰腺炎开腹手术</w:t>
            </w:r>
          </w:p>
        </w:tc>
        <w:tc>
          <w:tcPr>
            <w:tcW w:w="6181" w:type="dxa"/>
          </w:tcPr>
          <w:p>
            <w:pPr>
              <w:pStyle w:val="TableParagraph"/>
              <w:spacing w:line="273" w:lineRule="auto" w:before="150"/>
              <w:ind w:right="156"/>
              <w:rPr>
                <w:sz w:val="21"/>
              </w:rPr>
            </w:pPr>
            <w:r>
              <w:rPr>
                <w:sz w:val="21"/>
              </w:rPr>
              <w:t>指为治疗急性坏死性胰腺炎，实际实施了开腹进行的坏死组织清除术、病灶切除术或胰腺部分切除术。</w:t>
            </w:r>
          </w:p>
          <w:p>
            <w:pPr>
              <w:pStyle w:val="TableParagraph"/>
              <w:spacing w:before="8"/>
              <w:rPr>
                <w:sz w:val="21"/>
              </w:rPr>
            </w:pPr>
            <w:r>
              <w:rPr>
                <w:sz w:val="21"/>
              </w:rPr>
              <w:t>因酒精作用所致的急性胰腺炎不在保障范围内。</w:t>
            </w:r>
          </w:p>
        </w:tc>
      </w:tr>
      <w:tr>
        <w:trPr>
          <w:trHeight w:val="2508"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49.慢性复发性胰腺炎</w:t>
            </w:r>
          </w:p>
        </w:tc>
        <w:tc>
          <w:tcPr>
            <w:tcW w:w="6181" w:type="dxa"/>
          </w:tcPr>
          <w:p>
            <w:pPr>
              <w:pStyle w:val="TableParagraph"/>
              <w:spacing w:line="271" w:lineRule="auto" w:before="150"/>
              <w:ind w:right="200"/>
              <w:jc w:val="both"/>
              <w:rPr>
                <w:sz w:val="21"/>
              </w:rPr>
            </w:pPr>
            <w:r>
              <w:rPr>
                <w:spacing w:val="-7"/>
                <w:sz w:val="21"/>
              </w:rPr>
              <w:t>指慢性反复发作的胰腺炎症导致胰腺的广泛纤维化、坏死、弥漫</w:t>
            </w:r>
            <w:r>
              <w:rPr>
                <w:spacing w:val="-8"/>
                <w:sz w:val="21"/>
              </w:rPr>
              <w:t>性钙化及假性囊肿形成，造成胰腺功能障碍出现严重糖尿病和营</w:t>
            </w:r>
            <w:r>
              <w:rPr>
                <w:spacing w:val="-6"/>
                <w:sz w:val="21"/>
              </w:rPr>
              <w:t>养不良。必须满足以下所有条件：</w:t>
            </w:r>
          </w:p>
          <w:p>
            <w:pPr>
              <w:pStyle w:val="TableParagraph"/>
              <w:spacing w:line="273" w:lineRule="auto" w:before="10"/>
              <w:ind w:left="636" w:right="153" w:hanging="524"/>
              <w:rPr>
                <w:sz w:val="21"/>
              </w:rPr>
            </w:pPr>
            <w:r>
              <w:rPr>
                <w:sz w:val="21"/>
              </w:rPr>
              <w:t>（1）CT 显示胰腺广泛钙化或逆行胰胆管造影（ERCP）显示胰管扭曲、扩张和狭窄；</w:t>
            </w:r>
          </w:p>
          <w:p>
            <w:pPr>
              <w:pStyle w:val="TableParagraph"/>
              <w:spacing w:before="7"/>
              <w:jc w:val="both"/>
              <w:rPr>
                <w:sz w:val="21"/>
              </w:rPr>
            </w:pPr>
            <w:r>
              <w:rPr>
                <w:sz w:val="21"/>
              </w:rPr>
              <w:t>（2）接受胰岛素替代治疗和酶替代治疗 180 天以上。</w:t>
            </w:r>
          </w:p>
          <w:p>
            <w:pPr>
              <w:pStyle w:val="TableParagraph"/>
              <w:spacing w:before="37"/>
              <w:jc w:val="both"/>
              <w:rPr>
                <w:sz w:val="21"/>
              </w:rPr>
            </w:pPr>
            <w:r>
              <w:rPr>
                <w:sz w:val="21"/>
              </w:rPr>
              <w:t>酒精导致的慢性复发性胰腺炎不在本保障范围内。</w:t>
            </w:r>
          </w:p>
        </w:tc>
      </w:tr>
      <w:tr>
        <w:trPr>
          <w:trHeight w:val="1886"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50.疯牛病</w:t>
            </w:r>
          </w:p>
        </w:tc>
        <w:tc>
          <w:tcPr>
            <w:tcW w:w="6181" w:type="dxa"/>
          </w:tcPr>
          <w:p>
            <w:pPr>
              <w:pStyle w:val="TableParagraph"/>
              <w:spacing w:line="271" w:lineRule="auto" w:before="152"/>
              <w:ind w:right="198"/>
              <w:jc w:val="both"/>
              <w:rPr>
                <w:sz w:val="21"/>
              </w:rPr>
            </w:pPr>
            <w:r>
              <w:rPr>
                <w:spacing w:val="-6"/>
                <w:sz w:val="21"/>
              </w:rPr>
              <w:t>是一种传染性海绵状脑病，临床表现为快速进行性痴呆、肌阵挛</w:t>
            </w:r>
            <w:r>
              <w:rPr>
                <w:spacing w:val="-9"/>
                <w:sz w:val="21"/>
              </w:rPr>
              <w:t>和特征性脑电图变化。本病须经三级医院的专科医生根据 </w:t>
            </w:r>
            <w:r>
              <w:rPr>
                <w:sz w:val="21"/>
              </w:rPr>
              <w:t>WHO</w:t>
            </w:r>
            <w:r>
              <w:rPr>
                <w:spacing w:val="-19"/>
                <w:sz w:val="21"/>
              </w:rPr>
              <w:t> 诊</w:t>
            </w:r>
            <w:r>
              <w:rPr>
                <w:spacing w:val="-11"/>
                <w:sz w:val="21"/>
              </w:rPr>
              <w:t>断标准明确诊断，并且被保险人自主生活能力完全丧失，无法独</w:t>
            </w:r>
            <w:r>
              <w:rPr>
                <w:spacing w:val="-7"/>
                <w:sz w:val="21"/>
              </w:rPr>
              <w:t>立完成六项基本日常生活活动中的三项或三项以上。</w:t>
            </w:r>
          </w:p>
          <w:p>
            <w:pPr>
              <w:pStyle w:val="TableParagraph"/>
              <w:spacing w:before="9"/>
              <w:jc w:val="both"/>
              <w:rPr>
                <w:sz w:val="21"/>
              </w:rPr>
            </w:pPr>
            <w:r>
              <w:rPr>
                <w:sz w:val="21"/>
              </w:rPr>
              <w:t>疑似病例不在本保障范围内。</w:t>
            </w:r>
          </w:p>
        </w:tc>
      </w:tr>
      <w:tr>
        <w:trPr>
          <w:trHeight w:val="1574"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51.肾髓质囊性病</w:t>
            </w:r>
          </w:p>
        </w:tc>
        <w:tc>
          <w:tcPr>
            <w:tcW w:w="6181" w:type="dxa"/>
          </w:tcPr>
          <w:p>
            <w:pPr>
              <w:pStyle w:val="TableParagraph"/>
              <w:spacing w:before="152"/>
              <w:rPr>
                <w:sz w:val="21"/>
              </w:rPr>
            </w:pPr>
            <w:r>
              <w:rPr>
                <w:sz w:val="21"/>
              </w:rPr>
              <w:t>肾髓质囊性病的诊断须同时符合下列要求：</w:t>
            </w:r>
          </w:p>
          <w:p>
            <w:pPr>
              <w:pStyle w:val="TableParagraph"/>
              <w:spacing w:before="32"/>
              <w:rPr>
                <w:sz w:val="21"/>
              </w:rPr>
            </w:pPr>
            <w:r>
              <w:rPr>
                <w:sz w:val="21"/>
              </w:rPr>
              <w:t>（1）肾髓质有囊肿、肾小管萎缩及间质纤维化等病理改变；</w:t>
            </w:r>
          </w:p>
          <w:p>
            <w:pPr>
              <w:pStyle w:val="TableParagraph"/>
              <w:spacing w:before="37"/>
              <w:rPr>
                <w:sz w:val="21"/>
              </w:rPr>
            </w:pPr>
            <w:r>
              <w:rPr>
                <w:sz w:val="21"/>
              </w:rPr>
              <w:t>（2）肾功能衰竭；</w:t>
            </w:r>
          </w:p>
          <w:p>
            <w:pPr>
              <w:pStyle w:val="TableParagraph"/>
              <w:spacing w:before="37"/>
              <w:rPr>
                <w:sz w:val="21"/>
              </w:rPr>
            </w:pPr>
            <w:r>
              <w:rPr>
                <w:sz w:val="21"/>
              </w:rPr>
              <w:t>（3）诊断须由肾组织活检确定。</w:t>
            </w:r>
          </w:p>
        </w:tc>
      </w:tr>
      <w:tr>
        <w:trPr>
          <w:trHeight w:val="2823"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52.严重的原发性硬化性胆管炎</w:t>
            </w:r>
          </w:p>
        </w:tc>
        <w:tc>
          <w:tcPr>
            <w:tcW w:w="6181" w:type="dxa"/>
          </w:tcPr>
          <w:p>
            <w:pPr>
              <w:pStyle w:val="TableParagraph"/>
              <w:spacing w:line="271" w:lineRule="auto" w:before="152"/>
              <w:ind w:right="200"/>
              <w:jc w:val="both"/>
              <w:rPr>
                <w:sz w:val="21"/>
              </w:rPr>
            </w:pPr>
            <w:r>
              <w:rPr>
                <w:spacing w:val="-6"/>
                <w:sz w:val="21"/>
              </w:rPr>
              <w:t>原发性硬化性胆管炎指一种胆汁淤积综合征，其特征是肝内、肝</w:t>
            </w:r>
            <w:r>
              <w:rPr>
                <w:spacing w:val="-7"/>
                <w:sz w:val="21"/>
              </w:rPr>
              <w:t>外胆道因非细菌性炎症、慢性纤维化逐渐狭窄，并最终导致完全</w:t>
            </w:r>
            <w:r>
              <w:rPr>
                <w:spacing w:val="-6"/>
                <w:sz w:val="21"/>
              </w:rPr>
              <w:t>阻塞而发展为胆汁於积性肝硬化。须满足下列全部条件：</w:t>
            </w:r>
          </w:p>
          <w:p>
            <w:pPr>
              <w:pStyle w:val="TableParagraph"/>
              <w:spacing w:before="9"/>
              <w:jc w:val="both"/>
              <w:rPr>
                <w:sz w:val="21"/>
              </w:rPr>
            </w:pPr>
            <w:r>
              <w:rPr>
                <w:sz w:val="21"/>
              </w:rPr>
              <w:t>（1）持续性黄疸病史；</w:t>
            </w:r>
          </w:p>
          <w:p>
            <w:pPr>
              <w:pStyle w:val="TableParagraph"/>
              <w:spacing w:before="37"/>
              <w:jc w:val="both"/>
              <w:rPr>
                <w:sz w:val="21"/>
              </w:rPr>
            </w:pPr>
            <w:r>
              <w:rPr>
                <w:sz w:val="21"/>
              </w:rPr>
              <w:t>（2）总胆红素和直接胆红素同时升高，血清 ALP&gt;200U/L；</w:t>
            </w:r>
          </w:p>
          <w:p>
            <w:pPr>
              <w:pStyle w:val="TableParagraph"/>
              <w:spacing w:before="37"/>
              <w:jc w:val="both"/>
              <w:rPr>
                <w:sz w:val="21"/>
              </w:rPr>
            </w:pPr>
            <w:r>
              <w:rPr>
                <w:sz w:val="21"/>
              </w:rPr>
              <w:t>（3）经内镜逆行胰胆管造影（ERCP）影像学检查确诊；</w:t>
            </w:r>
          </w:p>
          <w:p>
            <w:pPr>
              <w:pStyle w:val="TableParagraph"/>
              <w:spacing w:before="36"/>
              <w:jc w:val="both"/>
              <w:rPr>
                <w:sz w:val="21"/>
              </w:rPr>
            </w:pPr>
            <w:r>
              <w:rPr>
                <w:sz w:val="21"/>
              </w:rPr>
              <w:t>（4）出现胆汁於积性肝硬化或门脉高压。</w:t>
            </w:r>
          </w:p>
          <w:p>
            <w:pPr>
              <w:pStyle w:val="TableParagraph"/>
              <w:spacing w:before="36"/>
              <w:jc w:val="both"/>
              <w:rPr>
                <w:sz w:val="21"/>
              </w:rPr>
            </w:pPr>
            <w:r>
              <w:rPr>
                <w:sz w:val="21"/>
              </w:rPr>
              <w:t>因肿瘤或胆管损伤等继发性的硬化性胆管炎不在保障范围内。</w:t>
            </w:r>
          </w:p>
        </w:tc>
      </w:tr>
      <w:tr>
        <w:trPr>
          <w:trHeight w:val="2919"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53.特发性慢性肾上腺皮质功能减退</w:t>
            </w:r>
          </w:p>
        </w:tc>
        <w:tc>
          <w:tcPr>
            <w:tcW w:w="6181" w:type="dxa"/>
          </w:tcPr>
          <w:p>
            <w:pPr>
              <w:pStyle w:val="TableParagraph"/>
              <w:spacing w:line="271" w:lineRule="auto" w:before="152"/>
              <w:ind w:right="206"/>
              <w:jc w:val="both"/>
              <w:rPr>
                <w:sz w:val="21"/>
              </w:rPr>
            </w:pPr>
            <w:r>
              <w:rPr>
                <w:spacing w:val="-3"/>
                <w:sz w:val="21"/>
              </w:rPr>
              <w:t>指自身免疫性肾上腺炎</w:t>
            </w:r>
            <w:r>
              <w:rPr>
                <w:sz w:val="21"/>
              </w:rPr>
              <w:t>（</w:t>
            </w:r>
            <w:r>
              <w:rPr>
                <w:spacing w:val="-5"/>
                <w:sz w:val="21"/>
              </w:rPr>
              <w:t>既往称：特发性肾上腺皮质萎缩）</w:t>
            </w:r>
            <w:r>
              <w:rPr>
                <w:spacing w:val="-3"/>
                <w:sz w:val="21"/>
              </w:rPr>
              <w:t>导致</w:t>
            </w:r>
            <w:r>
              <w:rPr>
                <w:spacing w:val="1"/>
                <w:sz w:val="21"/>
              </w:rPr>
              <w:t>肾上腺萎缩和慢性肾上腺皮质功能减退。必须满足所有以下条件：</w:t>
            </w:r>
          </w:p>
          <w:p>
            <w:pPr>
              <w:pStyle w:val="TableParagraph"/>
              <w:spacing w:before="9"/>
              <w:rPr>
                <w:sz w:val="21"/>
              </w:rPr>
            </w:pPr>
            <w:r>
              <w:rPr>
                <w:sz w:val="21"/>
              </w:rPr>
              <w:t>（1）必须由专科医生明确诊断，符合所有以下诊断标准：</w:t>
            </w:r>
          </w:p>
          <w:p>
            <w:pPr>
              <w:pStyle w:val="TableParagraph"/>
              <w:spacing w:before="36"/>
              <w:ind w:left="598"/>
              <w:rPr>
                <w:sz w:val="21"/>
              </w:rPr>
            </w:pPr>
            <w:r>
              <w:rPr>
                <w:sz w:val="21"/>
              </w:rPr>
              <w:t>①血浆促肾上腺皮质激素（ACTH）水平测定，&gt;100pg/ml；</w:t>
            </w:r>
          </w:p>
          <w:p>
            <w:pPr>
              <w:pStyle w:val="TableParagraph"/>
              <w:spacing w:line="273" w:lineRule="auto" w:before="36"/>
              <w:ind w:left="809" w:right="204" w:hanging="212"/>
              <w:rPr>
                <w:sz w:val="21"/>
              </w:rPr>
            </w:pPr>
            <w:r>
              <w:rPr>
                <w:spacing w:val="-4"/>
                <w:sz w:val="21"/>
              </w:rPr>
              <w:t>②血浆肾素活性、血管紧张素 </w:t>
            </w:r>
            <w:r>
              <w:rPr>
                <w:spacing w:val="-3"/>
                <w:sz w:val="21"/>
              </w:rPr>
              <w:t>II</w:t>
            </w:r>
            <w:r>
              <w:rPr>
                <w:spacing w:val="-6"/>
                <w:sz w:val="21"/>
              </w:rPr>
              <w:t> 和醛固酮测定，显示为原</w:t>
            </w:r>
            <w:r>
              <w:rPr>
                <w:spacing w:val="-5"/>
                <w:sz w:val="21"/>
              </w:rPr>
              <w:t>发性肾上腺皮质功能减退症；</w:t>
            </w:r>
          </w:p>
          <w:p>
            <w:pPr>
              <w:pStyle w:val="TableParagraph"/>
              <w:spacing w:line="312" w:lineRule="exact" w:before="3"/>
              <w:ind w:left="809" w:right="204" w:hanging="212"/>
              <w:rPr>
                <w:sz w:val="21"/>
              </w:rPr>
            </w:pPr>
            <w:r>
              <w:rPr>
                <w:spacing w:val="-6"/>
                <w:sz w:val="21"/>
              </w:rPr>
              <w:t>③促肾上腺皮质激素</w:t>
            </w:r>
            <w:r>
              <w:rPr>
                <w:spacing w:val="-9"/>
                <w:sz w:val="21"/>
              </w:rPr>
              <w:t>（ACTH）</w:t>
            </w:r>
            <w:r>
              <w:rPr>
                <w:spacing w:val="-5"/>
                <w:sz w:val="21"/>
              </w:rPr>
              <w:t>刺激试验显示为原发性肾上腺皮质功能减退症。</w:t>
            </w:r>
          </w:p>
        </w:tc>
      </w:tr>
    </w:tbl>
    <w:p>
      <w:pPr>
        <w:spacing w:after="0" w:line="312" w:lineRule="exact"/>
        <w:rPr>
          <w:sz w:val="21"/>
        </w:rPr>
        <w:sectPr>
          <w:pgSz w:w="11910" w:h="16840"/>
          <w:pgMar w:header="0" w:footer="150" w:top="740" w:bottom="340" w:left="1680" w:right="15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181"/>
      </w:tblGrid>
      <w:tr>
        <w:trPr>
          <w:trHeight w:val="1361" w:hRule="atLeast"/>
        </w:trPr>
        <w:tc>
          <w:tcPr>
            <w:tcW w:w="1475" w:type="dxa"/>
          </w:tcPr>
          <w:p>
            <w:pPr>
              <w:pStyle w:val="TableParagraph"/>
              <w:ind w:left="0"/>
              <w:rPr>
                <w:rFonts w:ascii="Times New Roman"/>
                <w:sz w:val="20"/>
              </w:rPr>
            </w:pPr>
          </w:p>
        </w:tc>
        <w:tc>
          <w:tcPr>
            <w:tcW w:w="6181" w:type="dxa"/>
          </w:tcPr>
          <w:p>
            <w:pPr>
              <w:pStyle w:val="TableParagraph"/>
              <w:spacing w:line="211" w:lineRule="exact"/>
              <w:rPr>
                <w:sz w:val="21"/>
              </w:rPr>
            </w:pPr>
            <w:r>
              <w:rPr>
                <w:sz w:val="21"/>
              </w:rPr>
              <w:t>（2）已经采用皮质类固醇替代治疗 180 天以上。</w:t>
            </w:r>
          </w:p>
          <w:p>
            <w:pPr>
              <w:pStyle w:val="TableParagraph"/>
              <w:spacing w:line="273" w:lineRule="auto" w:before="37"/>
              <w:ind w:right="200"/>
              <w:jc w:val="both"/>
              <w:rPr>
                <w:sz w:val="21"/>
              </w:rPr>
            </w:pPr>
            <w:r>
              <w:rPr>
                <w:spacing w:val="-1"/>
                <w:sz w:val="21"/>
              </w:rPr>
              <w:t>肾上腺结核、</w:t>
            </w:r>
            <w:r>
              <w:rPr>
                <w:sz w:val="21"/>
              </w:rPr>
              <w:t>HIV</w:t>
            </w:r>
            <w:r>
              <w:rPr>
                <w:spacing w:val="-4"/>
                <w:sz w:val="21"/>
              </w:rPr>
              <w:t> 感染或艾滋病、感染、肿瘤所致的原发性肾上</w:t>
            </w:r>
            <w:r>
              <w:rPr>
                <w:spacing w:val="1"/>
                <w:sz w:val="21"/>
              </w:rPr>
              <w:t>腺皮质功能减退和继发性肾上腺皮质功能减退不在本保障范围内。</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54.溶血性链球菌引起的坏疽</w:t>
            </w:r>
          </w:p>
        </w:tc>
        <w:tc>
          <w:tcPr>
            <w:tcW w:w="6181" w:type="dxa"/>
          </w:tcPr>
          <w:p>
            <w:pPr>
              <w:pStyle w:val="TableParagraph"/>
              <w:spacing w:line="273" w:lineRule="auto" w:before="150"/>
              <w:ind w:right="199"/>
              <w:jc w:val="both"/>
              <w:rPr>
                <w:sz w:val="21"/>
              </w:rPr>
            </w:pPr>
            <w:r>
              <w:rPr>
                <w:spacing w:val="7"/>
                <w:sz w:val="21"/>
              </w:rPr>
              <w:t>包围肢体或躯干的浅筋膜和/或深筋膜受到溶血性链球菌的感</w:t>
            </w:r>
            <w:r>
              <w:rPr>
                <w:spacing w:val="-7"/>
                <w:sz w:val="21"/>
              </w:rPr>
              <w:t>染，病情在短时间内急剧恶化，必须立刻进行手术及清创术。最</w:t>
            </w:r>
            <w:r>
              <w:rPr>
                <w:spacing w:val="-6"/>
                <w:sz w:val="21"/>
              </w:rPr>
              <w:t>后的诊断必须由微生物或病理学专家进行相关检查后证实。</w:t>
            </w:r>
          </w:p>
        </w:tc>
      </w:tr>
      <w:tr>
        <w:trPr>
          <w:trHeight w:val="1574"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55.颅脑手术</w:t>
            </w:r>
          </w:p>
        </w:tc>
        <w:tc>
          <w:tcPr>
            <w:tcW w:w="6181" w:type="dxa"/>
          </w:tcPr>
          <w:p>
            <w:pPr>
              <w:pStyle w:val="TableParagraph"/>
              <w:spacing w:line="273" w:lineRule="auto" w:before="150"/>
              <w:ind w:right="201"/>
              <w:rPr>
                <w:sz w:val="21"/>
              </w:rPr>
            </w:pPr>
            <w:r>
              <w:rPr>
                <w:spacing w:val="-5"/>
                <w:sz w:val="21"/>
              </w:rPr>
              <w:t>被保险人确已实施全麻下的开颅手术</w:t>
            </w:r>
            <w:r>
              <w:rPr>
                <w:sz w:val="21"/>
              </w:rPr>
              <w:t>（</w:t>
            </w:r>
            <w:r>
              <w:rPr>
                <w:spacing w:val="-3"/>
                <w:sz w:val="21"/>
              </w:rPr>
              <w:t>不包括颅骨钻孔手术和经</w:t>
            </w:r>
            <w:r>
              <w:rPr>
                <w:spacing w:val="-4"/>
                <w:sz w:val="21"/>
              </w:rPr>
              <w:t>鼻蝶窦入颅手术</w:t>
            </w:r>
            <w:r>
              <w:rPr>
                <w:spacing w:val="-106"/>
                <w:sz w:val="21"/>
              </w:rPr>
              <w:t>）</w:t>
            </w:r>
            <w:r>
              <w:rPr>
                <w:sz w:val="21"/>
              </w:rPr>
              <w:t>。</w:t>
            </w:r>
          </w:p>
          <w:p>
            <w:pPr>
              <w:pStyle w:val="TableParagraph"/>
              <w:spacing w:before="8"/>
              <w:rPr>
                <w:sz w:val="21"/>
              </w:rPr>
            </w:pPr>
            <w:r>
              <w:rPr>
                <w:sz w:val="21"/>
              </w:rPr>
              <w:t>因外伤而实施的脑外科手术不在保障范围之内。</w:t>
            </w:r>
          </w:p>
          <w:p>
            <w:pPr>
              <w:pStyle w:val="TableParagraph"/>
              <w:spacing w:before="37"/>
              <w:rPr>
                <w:sz w:val="21"/>
              </w:rPr>
            </w:pPr>
            <w:r>
              <w:rPr>
                <w:sz w:val="21"/>
              </w:rPr>
              <w:t>理赔时必须提供由神经外科医Th出具的诊断书及手术报告。</w:t>
            </w:r>
          </w:p>
        </w:tc>
      </w:tr>
      <w:tr>
        <w:trPr>
          <w:trHeight w:val="2509"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56.严重肌营养不良症</w:t>
            </w:r>
          </w:p>
        </w:tc>
        <w:tc>
          <w:tcPr>
            <w:tcW w:w="6181" w:type="dxa"/>
          </w:tcPr>
          <w:p>
            <w:pPr>
              <w:pStyle w:val="TableParagraph"/>
              <w:spacing w:line="268" w:lineRule="auto" w:before="150"/>
              <w:ind w:right="156"/>
              <w:rPr>
                <w:sz w:val="21"/>
              </w:rPr>
            </w:pPr>
            <w:r>
              <w:rPr>
                <w:sz w:val="21"/>
              </w:rPr>
              <w:t>指一组遗传性肌肉变性病变，临床特征为与神经系统无关的骨骼肌肉对称地进行性无力和萎缩。其诊断需满足下列全部条件：</w:t>
            </w:r>
          </w:p>
          <w:p>
            <w:pPr>
              <w:pStyle w:val="TableParagraph"/>
              <w:spacing w:before="12"/>
              <w:rPr>
                <w:sz w:val="21"/>
              </w:rPr>
            </w:pPr>
            <w:r>
              <w:rPr>
                <w:sz w:val="21"/>
              </w:rPr>
              <w:t>（1）肌电图显示典型肌营养不良症的阳性改变；</w:t>
            </w:r>
          </w:p>
          <w:p>
            <w:pPr>
              <w:pStyle w:val="TableParagraph"/>
              <w:spacing w:line="273" w:lineRule="auto" w:before="37"/>
              <w:ind w:left="636" w:right="156" w:hanging="524"/>
              <w:rPr>
                <w:sz w:val="21"/>
              </w:rPr>
            </w:pPr>
            <w:r>
              <w:rPr>
                <w:sz w:val="21"/>
              </w:rPr>
              <w:t>（2）肌肉活检的病理学诊断符合肌营养不良症的肌肉细胞变性\ 坏死等阳性改变；</w:t>
            </w:r>
          </w:p>
          <w:p>
            <w:pPr>
              <w:pStyle w:val="TableParagraph"/>
              <w:spacing w:line="273" w:lineRule="auto" w:before="7"/>
              <w:ind w:left="636" w:right="206" w:hanging="524"/>
              <w:rPr>
                <w:sz w:val="21"/>
              </w:rPr>
            </w:pPr>
            <w:r>
              <w:rPr>
                <w:sz w:val="21"/>
              </w:rPr>
              <w:t>（3）已导致被保险人持续超过三个月无法独立完成六项基本日常生活活动中的三项或三项以上。</w:t>
            </w:r>
          </w:p>
        </w:tc>
      </w:tr>
      <w:tr>
        <w:trPr>
          <w:trHeight w:val="2510"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57.严重心肌炎</w:t>
            </w:r>
          </w:p>
        </w:tc>
        <w:tc>
          <w:tcPr>
            <w:tcW w:w="6181" w:type="dxa"/>
          </w:tcPr>
          <w:p>
            <w:pPr>
              <w:pStyle w:val="TableParagraph"/>
              <w:spacing w:line="268" w:lineRule="auto" w:before="152"/>
              <w:ind w:right="206"/>
              <w:rPr>
                <w:sz w:val="21"/>
              </w:rPr>
            </w:pPr>
            <w:r>
              <w:rPr>
                <w:sz w:val="21"/>
              </w:rPr>
              <w:t>指被保险人因严重心肌炎性病变导致心功能损害造成持续的永久不可逆性的心功能衰竭。必须满足所有以下条件：</w:t>
            </w:r>
          </w:p>
          <w:p>
            <w:pPr>
              <w:pStyle w:val="TableParagraph"/>
              <w:spacing w:line="256" w:lineRule="auto" w:before="11"/>
              <w:ind w:left="636" w:right="201" w:hanging="524"/>
              <w:rPr>
                <w:sz w:val="21"/>
              </w:rPr>
            </w:pPr>
            <w:r>
              <w:rPr>
                <w:sz w:val="21"/>
              </w:rPr>
              <w:t>（</w:t>
            </w:r>
            <w:r>
              <w:rPr>
                <w:rFonts w:ascii="Cambria" w:eastAsia="Cambria"/>
                <w:sz w:val="21"/>
              </w:rPr>
              <w:t>1</w:t>
            </w:r>
            <w:r>
              <w:rPr>
                <w:sz w:val="21"/>
              </w:rPr>
              <w:t>）心功能衰竭程度达到纽约心脏病学会的心功能分级标准之心功能</w:t>
            </w:r>
            <w:r>
              <w:rPr>
                <w:rFonts w:ascii="Cambria" w:eastAsia="Cambria"/>
                <w:sz w:val="21"/>
              </w:rPr>
              <w:t>IV</w:t>
            </w:r>
            <w:r>
              <w:rPr>
                <w:sz w:val="21"/>
              </w:rPr>
              <w:t>级，或左室射血分数低于</w:t>
            </w:r>
            <w:r>
              <w:rPr>
                <w:rFonts w:ascii="Cambria" w:eastAsia="Cambria"/>
                <w:sz w:val="21"/>
              </w:rPr>
              <w:t>30%</w:t>
            </w:r>
            <w:r>
              <w:rPr>
                <w:sz w:val="21"/>
              </w:rPr>
              <w:t>；</w:t>
            </w:r>
          </w:p>
          <w:p>
            <w:pPr>
              <w:pStyle w:val="TableParagraph"/>
              <w:spacing w:before="2"/>
              <w:rPr>
                <w:sz w:val="21"/>
              </w:rPr>
            </w:pPr>
            <w:r>
              <w:rPr>
                <w:sz w:val="21"/>
              </w:rPr>
              <w:t>（</w:t>
            </w:r>
            <w:r>
              <w:rPr>
                <w:rFonts w:ascii="Cambria" w:eastAsia="Cambria"/>
                <w:sz w:val="21"/>
              </w:rPr>
              <w:t>2</w:t>
            </w:r>
            <w:r>
              <w:rPr>
                <w:sz w:val="21"/>
              </w:rPr>
              <w:t>）持续不间断</w:t>
            </w:r>
            <w:r>
              <w:rPr>
                <w:rFonts w:ascii="Cambria" w:eastAsia="Cambria"/>
                <w:sz w:val="21"/>
              </w:rPr>
              <w:t>180</w:t>
            </w:r>
            <w:r>
              <w:rPr>
                <w:sz w:val="21"/>
              </w:rPr>
              <w:t>天以上；</w:t>
            </w:r>
          </w:p>
          <w:p>
            <w:pPr>
              <w:pStyle w:val="TableParagraph"/>
              <w:spacing w:line="273" w:lineRule="auto" w:before="19"/>
              <w:ind w:left="636" w:right="199" w:hanging="524"/>
              <w:rPr>
                <w:sz w:val="21"/>
              </w:rPr>
            </w:pPr>
            <w:r>
              <w:rPr>
                <w:spacing w:val="-21"/>
                <w:sz w:val="21"/>
              </w:rPr>
              <w:t>（3）</w:t>
            </w:r>
            <w:r>
              <w:rPr>
                <w:spacing w:val="-8"/>
                <w:sz w:val="21"/>
              </w:rPr>
              <w:t>被保险人永久不可逆性的体力活动能力受限，不能从事任何体力活动。</w:t>
            </w:r>
          </w:p>
        </w:tc>
      </w:tr>
      <w:tr>
        <w:trPr>
          <w:trHeight w:val="2511"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58.肝豆状核变性(或称</w:t>
            </w:r>
          </w:p>
          <w:p>
            <w:pPr>
              <w:pStyle w:val="TableParagraph"/>
              <w:spacing w:line="312" w:lineRule="exact"/>
              <w:ind w:left="200"/>
              <w:rPr>
                <w:rFonts w:ascii="Microsoft JhengHei" w:eastAsia="Microsoft JhengHei" w:hint="eastAsia"/>
                <w:b/>
                <w:sz w:val="21"/>
              </w:rPr>
            </w:pPr>
            <w:r>
              <w:rPr>
                <w:rFonts w:ascii="Microsoft JhengHei" w:eastAsia="Microsoft JhengHei" w:hint="eastAsia"/>
                <w:b/>
                <w:sz w:val="21"/>
              </w:rPr>
              <w:t>Wilson 病)</w:t>
            </w:r>
          </w:p>
        </w:tc>
        <w:tc>
          <w:tcPr>
            <w:tcW w:w="6181" w:type="dxa"/>
          </w:tcPr>
          <w:p>
            <w:pPr>
              <w:pStyle w:val="TableParagraph"/>
              <w:spacing w:line="271" w:lineRule="auto" w:before="152"/>
              <w:ind w:right="200"/>
              <w:jc w:val="both"/>
              <w:rPr>
                <w:sz w:val="21"/>
              </w:rPr>
            </w:pPr>
            <w:r>
              <w:rPr>
                <w:spacing w:val="-5"/>
                <w:sz w:val="21"/>
              </w:rPr>
              <w:t>指一种常染色体隐性遗传的铜代谢缺陷病，以不同程度的肝细胞</w:t>
            </w:r>
            <w:r>
              <w:rPr>
                <w:spacing w:val="-6"/>
                <w:sz w:val="21"/>
              </w:rPr>
              <w:t>损害、脑退行性病变和角膜边缘有铜盐沉着环为其临床特征，并</w:t>
            </w:r>
            <w:r>
              <w:rPr>
                <w:spacing w:val="-5"/>
                <w:sz w:val="21"/>
              </w:rPr>
              <w:t>须满足下列全部条件：</w:t>
            </w:r>
          </w:p>
          <w:p>
            <w:pPr>
              <w:pStyle w:val="TableParagraph"/>
              <w:spacing w:before="9"/>
              <w:jc w:val="both"/>
              <w:rPr>
                <w:sz w:val="21"/>
              </w:rPr>
            </w:pPr>
            <w:r>
              <w:rPr>
                <w:sz w:val="21"/>
              </w:rPr>
              <w:t>（1）典型症状；</w:t>
            </w:r>
          </w:p>
          <w:p>
            <w:pPr>
              <w:pStyle w:val="TableParagraph"/>
              <w:spacing w:before="36"/>
              <w:jc w:val="both"/>
              <w:rPr>
                <w:sz w:val="21"/>
              </w:rPr>
            </w:pPr>
            <w:r>
              <w:rPr>
                <w:w w:val="100"/>
                <w:sz w:val="21"/>
              </w:rPr>
              <w:t>（2）</w:t>
            </w:r>
            <w:r>
              <w:rPr>
                <w:spacing w:val="-2"/>
                <w:w w:val="100"/>
                <w:sz w:val="21"/>
              </w:rPr>
              <w:t>角膜色素环</w:t>
            </w:r>
            <w:r>
              <w:rPr>
                <w:w w:val="100"/>
                <w:sz w:val="21"/>
              </w:rPr>
              <w:t>（K</w:t>
            </w:r>
            <w:r>
              <w:rPr>
                <w:spacing w:val="-5"/>
                <w:w w:val="100"/>
                <w:sz w:val="21"/>
              </w:rPr>
              <w:t>-</w:t>
            </w:r>
            <w:r>
              <w:rPr>
                <w:w w:val="100"/>
                <w:sz w:val="21"/>
              </w:rPr>
              <w:t>F</w:t>
            </w:r>
            <w:r>
              <w:rPr>
                <w:sz w:val="21"/>
              </w:rPr>
              <w:t> </w:t>
            </w:r>
            <w:r>
              <w:rPr>
                <w:w w:val="100"/>
                <w:sz w:val="21"/>
              </w:rPr>
              <w:t>环</w:t>
            </w:r>
            <w:r>
              <w:rPr>
                <w:spacing w:val="-106"/>
                <w:w w:val="100"/>
                <w:sz w:val="21"/>
              </w:rPr>
              <w:t>）</w:t>
            </w:r>
            <w:r>
              <w:rPr>
                <w:w w:val="100"/>
                <w:sz w:val="21"/>
              </w:rPr>
              <w:t>；</w:t>
            </w:r>
          </w:p>
          <w:p>
            <w:pPr>
              <w:pStyle w:val="TableParagraph"/>
              <w:spacing w:before="36"/>
              <w:jc w:val="both"/>
              <w:rPr>
                <w:sz w:val="21"/>
              </w:rPr>
            </w:pPr>
            <w:r>
              <w:rPr>
                <w:sz w:val="21"/>
              </w:rPr>
              <w:t>（3）血清铜和血清铜蓝蛋白降低，尿铜增加；</w:t>
            </w:r>
          </w:p>
          <w:p>
            <w:pPr>
              <w:pStyle w:val="TableParagraph"/>
              <w:spacing w:before="37"/>
              <w:jc w:val="both"/>
              <w:rPr>
                <w:sz w:val="21"/>
              </w:rPr>
            </w:pPr>
            <w:r>
              <w:rPr>
                <w:sz w:val="21"/>
              </w:rPr>
              <w:t>（4）经肝脏活检确诊。</w:t>
            </w:r>
          </w:p>
        </w:tc>
      </w:tr>
      <w:tr>
        <w:trPr>
          <w:trHeight w:val="1262" w:hRule="atLeast"/>
        </w:trPr>
        <w:tc>
          <w:tcPr>
            <w:tcW w:w="1475" w:type="dxa"/>
          </w:tcPr>
          <w:p>
            <w:pPr>
              <w:pStyle w:val="TableParagraph"/>
              <w:spacing w:line="204" w:lineRule="auto" w:before="140"/>
              <w:ind w:left="200" w:right="112"/>
              <w:jc w:val="both"/>
              <w:rPr>
                <w:rFonts w:ascii="Microsoft JhengHei" w:eastAsia="Microsoft JhengHei" w:hint="eastAsia"/>
                <w:b/>
                <w:sz w:val="21"/>
              </w:rPr>
            </w:pPr>
            <w:r>
              <w:rPr>
                <w:rFonts w:ascii="Microsoft JhengHei" w:eastAsia="Microsoft JhengHei" w:hint="eastAsia"/>
                <w:b/>
                <w:sz w:val="21"/>
              </w:rPr>
              <w:t>59.侵蚀性葡萄胎(或称恶性葡萄胎)</w:t>
            </w:r>
          </w:p>
        </w:tc>
        <w:tc>
          <w:tcPr>
            <w:tcW w:w="6181" w:type="dxa"/>
          </w:tcPr>
          <w:p>
            <w:pPr>
              <w:pStyle w:val="TableParagraph"/>
              <w:spacing w:line="271" w:lineRule="auto" w:before="152"/>
              <w:ind w:right="206"/>
              <w:jc w:val="both"/>
              <w:rPr>
                <w:sz w:val="21"/>
              </w:rPr>
            </w:pPr>
            <w:r>
              <w:rPr>
                <w:sz w:val="21"/>
              </w:rPr>
              <w:t>该类疾病是指异常增生的绒毛组织浸润性生长侵入子宫肌层或转移至其他器官或组织的葡萄胎，并已经进行化疗或手术治疗的。</w:t>
            </w:r>
          </w:p>
        </w:tc>
      </w:tr>
      <w:tr>
        <w:trPr>
          <w:trHeight w:val="157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60.破裂脑动脉瘤夹闭手术</w:t>
            </w:r>
          </w:p>
        </w:tc>
        <w:tc>
          <w:tcPr>
            <w:tcW w:w="6181" w:type="dxa"/>
          </w:tcPr>
          <w:p>
            <w:pPr>
              <w:pStyle w:val="TableParagraph"/>
              <w:spacing w:line="268" w:lineRule="auto" w:before="152"/>
              <w:ind w:right="156"/>
              <w:rPr>
                <w:sz w:val="21"/>
              </w:rPr>
            </w:pPr>
            <w:r>
              <w:rPr>
                <w:sz w:val="21"/>
              </w:rPr>
              <w:t>指因脑动脉瘤破裂造成蛛网膜下腔出血，被保险人实际接受了在全麻下进行的开颅动脉瘤夹闭手术。</w:t>
            </w:r>
          </w:p>
          <w:p>
            <w:pPr>
              <w:pStyle w:val="TableParagraph"/>
              <w:spacing w:line="273" w:lineRule="auto" w:before="11"/>
              <w:ind w:right="154"/>
              <w:rPr>
                <w:sz w:val="21"/>
              </w:rPr>
            </w:pPr>
            <w:r>
              <w:rPr>
                <w:sz w:val="21"/>
              </w:rPr>
              <w:t>脑动脉瘤（未破裂）预防性手术、颅骨打孔手术、动脉瘤栓塞手术、血管内手术及其他颅脑手术不在本保障范围内。</w:t>
            </w:r>
          </w:p>
        </w:tc>
      </w:tr>
      <w:tr>
        <w:trPr>
          <w:trHeight w:val="734" w:hRule="atLeast"/>
        </w:trPr>
        <w:tc>
          <w:tcPr>
            <w:tcW w:w="1475" w:type="dxa"/>
          </w:tcPr>
          <w:p>
            <w:pPr>
              <w:pStyle w:val="TableParagraph"/>
              <w:spacing w:line="308" w:lineRule="exact" w:before="151"/>
              <w:ind w:left="200" w:right="112"/>
              <w:rPr>
                <w:rFonts w:ascii="Microsoft JhengHei" w:eastAsia="Microsoft JhengHei" w:hint="eastAsia"/>
                <w:b/>
                <w:sz w:val="21"/>
              </w:rPr>
            </w:pPr>
            <w:r>
              <w:rPr>
                <w:rFonts w:ascii="Microsoft JhengHei" w:eastAsia="Microsoft JhengHei" w:hint="eastAsia"/>
                <w:b/>
                <w:sz w:val="21"/>
              </w:rPr>
              <w:t>61.需手术切除的嗜铬细</w:t>
            </w:r>
          </w:p>
        </w:tc>
        <w:tc>
          <w:tcPr>
            <w:tcW w:w="6181" w:type="dxa"/>
          </w:tcPr>
          <w:p>
            <w:pPr>
              <w:pStyle w:val="TableParagraph"/>
              <w:spacing w:line="300" w:lineRule="atLeast" w:before="127"/>
              <w:ind w:right="170"/>
              <w:rPr>
                <w:sz w:val="21"/>
              </w:rPr>
            </w:pPr>
            <w:r>
              <w:rPr>
                <w:sz w:val="21"/>
              </w:rPr>
              <w:t>是指肾上腺或嗜铬外组织出现神经内分泌肿瘤，并分泌过多的儿茶酚胺类，需要并实际进行了手术切除肿瘤。嗜铬细胞瘤的诊断</w:t>
            </w:r>
          </w:p>
        </w:tc>
      </w:tr>
    </w:tbl>
    <w:p>
      <w:pPr>
        <w:spacing w:after="0" w:line="300" w:lineRule="atLeast"/>
        <w:rPr>
          <w:sz w:val="21"/>
        </w:rPr>
        <w:sectPr>
          <w:pgSz w:w="11910" w:h="16840"/>
          <w:pgMar w:header="0" w:footer="150" w:top="740" w:bottom="340" w:left="1680" w:right="15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6"/>
      </w:tblGrid>
      <w:tr>
        <w:trPr>
          <w:trHeight w:val="424" w:hRule="atLeast"/>
        </w:trPr>
        <w:tc>
          <w:tcPr>
            <w:tcW w:w="1475" w:type="dxa"/>
          </w:tcPr>
          <w:p>
            <w:pPr>
              <w:pStyle w:val="TableParagraph"/>
              <w:spacing w:line="235" w:lineRule="exact"/>
              <w:ind w:left="200"/>
              <w:rPr>
                <w:rFonts w:ascii="Microsoft JhengHei" w:eastAsia="Microsoft JhengHei" w:hint="eastAsia"/>
                <w:b/>
                <w:sz w:val="21"/>
              </w:rPr>
            </w:pPr>
            <w:r>
              <w:rPr>
                <w:rFonts w:ascii="Microsoft JhengHei" w:eastAsia="Microsoft JhengHei" w:hint="eastAsia"/>
                <w:b/>
                <w:sz w:val="21"/>
              </w:rPr>
              <w:t>胞瘤</w:t>
            </w:r>
          </w:p>
        </w:tc>
        <w:tc>
          <w:tcPr>
            <w:tcW w:w="6286" w:type="dxa"/>
          </w:tcPr>
          <w:p>
            <w:pPr>
              <w:pStyle w:val="TableParagraph"/>
              <w:spacing w:line="211" w:lineRule="exact"/>
              <w:rPr>
                <w:sz w:val="21"/>
              </w:rPr>
            </w:pPr>
            <w:r>
              <w:rPr>
                <w:sz w:val="21"/>
              </w:rPr>
              <w:t>必须由内分泌专科医生确定。</w:t>
            </w:r>
          </w:p>
        </w:tc>
      </w:tr>
      <w:tr>
        <w:trPr>
          <w:trHeight w:val="2199" w:hRule="atLeast"/>
        </w:trPr>
        <w:tc>
          <w:tcPr>
            <w:tcW w:w="1475" w:type="dxa"/>
          </w:tcPr>
          <w:p>
            <w:pPr>
              <w:pStyle w:val="TableParagraph"/>
              <w:spacing w:line="204" w:lineRule="auto" w:before="138"/>
              <w:ind w:left="200" w:right="112"/>
              <w:rPr>
                <w:rFonts w:ascii="Microsoft JhengHei" w:hAnsi="Microsoft JhengHei" w:eastAsia="Microsoft JhengHei" w:hint="eastAsia"/>
                <w:b/>
                <w:sz w:val="21"/>
              </w:rPr>
            </w:pPr>
            <w:r>
              <w:rPr>
                <w:rFonts w:ascii="Microsoft JhengHei" w:hAnsi="Microsoft JhengHei" w:eastAsia="Microsoft JhengHei" w:hint="eastAsia"/>
                <w:b/>
                <w:sz w:val="21"/>
              </w:rPr>
              <w:t>62.进行性核上性麻痹(Steele- </w:t>
            </w:r>
            <w:r>
              <w:rPr>
                <w:rFonts w:ascii="Microsoft JhengHei" w:hAnsi="Microsoft JhengHei" w:eastAsia="Microsoft JhengHei" w:hint="eastAsia"/>
                <w:b/>
                <w:w w:val="85"/>
                <w:sz w:val="21"/>
              </w:rPr>
              <w:t>Rchardson— </w:t>
            </w:r>
            <w:r>
              <w:rPr>
                <w:rFonts w:ascii="Microsoft JhengHei" w:hAnsi="Microsoft JhengHei" w:eastAsia="Microsoft JhengHei" w:hint="eastAsia"/>
                <w:b/>
                <w:sz w:val="21"/>
              </w:rPr>
              <w:t>Olszewski 综合征</w:t>
            </w:r>
            <w:r>
              <w:rPr>
                <w:rFonts w:ascii="Microsoft JhengHei" w:hAnsi="Microsoft JhengHei" w:eastAsia="Microsoft JhengHei" w:hint="eastAsia"/>
                <w:b/>
                <w:w w:val="115"/>
                <w:sz w:val="21"/>
              </w:rPr>
              <w:t>)</w:t>
            </w:r>
          </w:p>
        </w:tc>
        <w:tc>
          <w:tcPr>
            <w:tcW w:w="6286" w:type="dxa"/>
          </w:tcPr>
          <w:p>
            <w:pPr>
              <w:pStyle w:val="TableParagraph"/>
              <w:spacing w:line="273" w:lineRule="auto" w:before="150"/>
              <w:ind w:right="199"/>
              <w:rPr>
                <w:sz w:val="21"/>
              </w:rPr>
            </w:pPr>
            <w:r>
              <w:rPr>
                <w:spacing w:val="-9"/>
                <w:sz w:val="21"/>
              </w:rPr>
              <w:t>进行性核上性麻痹</w:t>
            </w:r>
            <w:r>
              <w:rPr>
                <w:spacing w:val="-14"/>
                <w:sz w:val="21"/>
              </w:rPr>
              <w:t>（PSP）</w:t>
            </w:r>
            <w:r>
              <w:rPr>
                <w:spacing w:val="-18"/>
                <w:sz w:val="21"/>
              </w:rPr>
              <w:t>又称 </w:t>
            </w:r>
            <w:r>
              <w:rPr>
                <w:sz w:val="21"/>
              </w:rPr>
              <w:t>Steele-Rchardson—Olszewski</w:t>
            </w:r>
            <w:r>
              <w:rPr>
                <w:spacing w:val="-24"/>
                <w:sz w:val="21"/>
              </w:rPr>
              <w:t> 综</w:t>
            </w:r>
            <w:r>
              <w:rPr>
                <w:spacing w:val="-9"/>
                <w:sz w:val="21"/>
              </w:rPr>
              <w:t>合征，是一种少见的神经系统变性疾病，以假球麻痹、垂直性核上性眼肌麻痹、锥体外系肌僵直、步态共济失调和轻度痴呆为主</w:t>
            </w:r>
            <w:r>
              <w:rPr>
                <w:spacing w:val="-20"/>
                <w:sz w:val="21"/>
              </w:rPr>
              <w:t>要临床特征。</w:t>
            </w:r>
            <w:r>
              <w:rPr>
                <w:sz w:val="21"/>
              </w:rPr>
              <w:t>PSP</w:t>
            </w:r>
            <w:r>
              <w:rPr>
                <w:spacing w:val="-6"/>
                <w:sz w:val="21"/>
              </w:rPr>
              <w:t> 必须由三级甲等医院的神经内科专科医生确诊， 并且被保险人自主生活能力完全丧失，无法独立完成六项基本日</w:t>
            </w:r>
            <w:r>
              <w:rPr>
                <w:spacing w:val="-5"/>
                <w:sz w:val="21"/>
              </w:rPr>
              <w:t>常生活活动中的三项或三项以上。</w:t>
            </w:r>
          </w:p>
        </w:tc>
      </w:tr>
      <w:tr>
        <w:trPr>
          <w:trHeight w:val="1574"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63.严重幼年型类风湿性关节炎</w:t>
            </w:r>
          </w:p>
        </w:tc>
        <w:tc>
          <w:tcPr>
            <w:tcW w:w="6286" w:type="dxa"/>
          </w:tcPr>
          <w:p>
            <w:pPr>
              <w:pStyle w:val="TableParagraph"/>
              <w:spacing w:line="273" w:lineRule="auto" w:before="150"/>
              <w:ind w:right="274"/>
              <w:rPr>
                <w:sz w:val="21"/>
              </w:rPr>
            </w:pPr>
            <w:r>
              <w:rPr>
                <w:sz w:val="21"/>
              </w:rPr>
              <w:t>幼年型类风湿关节炎是一种儿童期发病的慢性关节炎，其特点为在高热和系统性病征出现数月后发生关节炎。</w:t>
            </w:r>
          </w:p>
          <w:p>
            <w:pPr>
              <w:pStyle w:val="TableParagraph"/>
              <w:spacing w:line="273" w:lineRule="auto" w:before="8"/>
              <w:ind w:right="311"/>
              <w:rPr>
                <w:sz w:val="21"/>
              </w:rPr>
            </w:pPr>
            <w:r>
              <w:rPr>
                <w:sz w:val="21"/>
              </w:rPr>
              <w:t>本保单仅对实际接受了膝关节或髋关节置换手术治疗的严重的幼年型类风湿关节炎予以理赔。</w:t>
            </w:r>
          </w:p>
        </w:tc>
      </w:tr>
      <w:tr>
        <w:trPr>
          <w:trHeight w:val="2509" w:hRule="atLeast"/>
        </w:trPr>
        <w:tc>
          <w:tcPr>
            <w:tcW w:w="1475" w:type="dxa"/>
          </w:tcPr>
          <w:p>
            <w:pPr>
              <w:pStyle w:val="TableParagraph"/>
              <w:spacing w:line="201" w:lineRule="auto" w:before="141"/>
              <w:ind w:left="200" w:right="112"/>
              <w:rPr>
                <w:rFonts w:ascii="Microsoft JhengHei" w:eastAsia="Microsoft JhengHei" w:hint="eastAsia"/>
                <w:b/>
                <w:sz w:val="21"/>
              </w:rPr>
            </w:pPr>
            <w:r>
              <w:rPr>
                <w:rFonts w:ascii="Microsoft JhengHei" w:eastAsia="Microsoft JhengHei" w:hint="eastAsia"/>
                <w:b/>
                <w:sz w:val="21"/>
              </w:rPr>
              <w:t>64.严重肠道疾病并发症</w:t>
            </w:r>
          </w:p>
          <w:p>
            <w:pPr>
              <w:pStyle w:val="TableParagraph"/>
              <w:spacing w:line="204" w:lineRule="auto" w:before="1"/>
              <w:ind w:left="200" w:right="64"/>
              <w:rPr>
                <w:rFonts w:ascii="Microsoft JhengHei" w:eastAsia="Microsoft JhengHei" w:hint="eastAsia"/>
                <w:b/>
                <w:sz w:val="21"/>
              </w:rPr>
            </w:pPr>
            <w:r>
              <w:rPr>
                <w:rFonts w:ascii="Microsoft JhengHei" w:eastAsia="Microsoft JhengHei" w:hint="eastAsia"/>
                <w:b/>
                <w:w w:val="120"/>
                <w:sz w:val="21"/>
              </w:rPr>
              <w:t>(</w:t>
            </w:r>
            <w:r>
              <w:rPr>
                <w:rFonts w:ascii="Microsoft JhengHei" w:eastAsia="Microsoft JhengHei" w:hint="eastAsia"/>
                <w:b/>
                <w:sz w:val="21"/>
              </w:rPr>
              <w:t>本项保险责任仅在被保险人 18 周岁以前提供保障</w:t>
            </w:r>
            <w:r>
              <w:rPr>
                <w:rFonts w:ascii="Microsoft JhengHei" w:eastAsia="Microsoft JhengHei" w:hint="eastAsia"/>
                <w:b/>
                <w:w w:val="120"/>
                <w:sz w:val="21"/>
              </w:rPr>
              <w:t>)</w:t>
            </w:r>
          </w:p>
        </w:tc>
        <w:tc>
          <w:tcPr>
            <w:tcW w:w="6286" w:type="dxa"/>
          </w:tcPr>
          <w:p>
            <w:pPr>
              <w:pStyle w:val="TableParagraph"/>
              <w:spacing w:line="268" w:lineRule="auto" w:before="150"/>
              <w:ind w:right="261"/>
              <w:rPr>
                <w:sz w:val="21"/>
              </w:rPr>
            </w:pPr>
            <w:r>
              <w:rPr>
                <w:sz w:val="21"/>
              </w:rPr>
              <w:t>严重肠道疾病或外伤导致小肠损害并发症，必须满足以下所有条件：</w:t>
            </w:r>
          </w:p>
          <w:p>
            <w:pPr>
              <w:pStyle w:val="TableParagraph"/>
              <w:spacing w:before="12"/>
              <w:rPr>
                <w:sz w:val="21"/>
              </w:rPr>
            </w:pPr>
            <w:r>
              <w:rPr>
                <w:sz w:val="21"/>
              </w:rPr>
              <w:t>（1）至少切除了三分之二小肠；</w:t>
            </w:r>
          </w:p>
          <w:p>
            <w:pPr>
              <w:pStyle w:val="TableParagraph"/>
              <w:spacing w:before="37"/>
              <w:rPr>
                <w:sz w:val="21"/>
              </w:rPr>
            </w:pPr>
            <w:r>
              <w:rPr>
                <w:sz w:val="21"/>
              </w:rPr>
              <w:t>（2）完全肠外营养支持 3 个月以上。</w:t>
            </w:r>
          </w:p>
          <w:p>
            <w:pPr>
              <w:pStyle w:val="TableParagraph"/>
              <w:spacing w:before="37"/>
              <w:rPr>
                <w:sz w:val="21"/>
              </w:rPr>
            </w:pPr>
            <w:r>
              <w:rPr>
                <w:sz w:val="21"/>
              </w:rPr>
              <w:t>本项保险责任仅在被保险人 18 周岁以前提供保障。</w:t>
            </w:r>
          </w:p>
        </w:tc>
      </w:tr>
      <w:tr>
        <w:trPr>
          <w:trHeight w:val="2823" w:hRule="atLeast"/>
        </w:trPr>
        <w:tc>
          <w:tcPr>
            <w:tcW w:w="1475" w:type="dxa"/>
          </w:tcPr>
          <w:p>
            <w:pPr>
              <w:pStyle w:val="TableParagraph"/>
              <w:spacing w:line="201" w:lineRule="auto" w:before="144"/>
              <w:ind w:left="200" w:right="112"/>
              <w:jc w:val="both"/>
              <w:rPr>
                <w:rFonts w:ascii="Microsoft JhengHei" w:eastAsia="Microsoft JhengHei" w:hint="eastAsia"/>
                <w:b/>
                <w:sz w:val="21"/>
              </w:rPr>
            </w:pPr>
            <w:r>
              <w:rPr>
                <w:rFonts w:ascii="Microsoft JhengHei" w:eastAsia="Microsoft JhengHei" w:hint="eastAsia"/>
                <w:b/>
                <w:sz w:val="21"/>
              </w:rPr>
              <w:t>65.严重瑞氏综合症</w:t>
            </w:r>
          </w:p>
          <w:p>
            <w:pPr>
              <w:pStyle w:val="TableParagraph"/>
              <w:spacing w:line="204" w:lineRule="auto" w:before="1"/>
              <w:ind w:left="200" w:right="163"/>
              <w:jc w:val="both"/>
              <w:rPr>
                <w:rFonts w:ascii="Microsoft JhengHei" w:eastAsia="Microsoft JhengHei" w:hint="eastAsia"/>
                <w:b/>
                <w:sz w:val="21"/>
              </w:rPr>
            </w:pPr>
            <w:r>
              <w:rPr>
                <w:rFonts w:ascii="Microsoft JhengHei" w:eastAsia="Microsoft JhengHei" w:hint="eastAsia"/>
                <w:b/>
                <w:w w:val="95"/>
                <w:sz w:val="21"/>
              </w:rPr>
              <w:t>（Reye</w:t>
            </w:r>
            <w:r>
              <w:rPr>
                <w:rFonts w:ascii="Microsoft JhengHei" w:eastAsia="Microsoft JhengHei" w:hint="eastAsia"/>
                <w:b/>
                <w:spacing w:val="-4"/>
                <w:w w:val="95"/>
                <w:sz w:val="21"/>
              </w:rPr>
              <w:t> 综合</w:t>
            </w:r>
            <w:r>
              <w:rPr>
                <w:rFonts w:ascii="Microsoft JhengHei" w:eastAsia="Microsoft JhengHei" w:hint="eastAsia"/>
                <w:b/>
                <w:spacing w:val="-4"/>
                <w:sz w:val="21"/>
              </w:rPr>
              <w:t>征，也称赖氏综合征、雷氏综合</w:t>
            </w:r>
          </w:p>
          <w:p>
            <w:pPr>
              <w:pStyle w:val="TableParagraph"/>
              <w:spacing w:line="312" w:lineRule="exact"/>
              <w:ind w:left="200"/>
              <w:jc w:val="both"/>
              <w:rPr>
                <w:rFonts w:ascii="Microsoft JhengHei" w:eastAsia="Microsoft JhengHei" w:hint="eastAsia"/>
                <w:b/>
                <w:sz w:val="21"/>
              </w:rPr>
            </w:pPr>
            <w:r>
              <w:rPr>
                <w:rFonts w:ascii="Microsoft JhengHei" w:eastAsia="Microsoft JhengHei" w:hint="eastAsia"/>
                <w:b/>
                <w:sz w:val="21"/>
              </w:rPr>
              <w:t>征）</w:t>
            </w:r>
          </w:p>
        </w:tc>
        <w:tc>
          <w:tcPr>
            <w:tcW w:w="6286" w:type="dxa"/>
          </w:tcPr>
          <w:p>
            <w:pPr>
              <w:pStyle w:val="TableParagraph"/>
              <w:spacing w:line="271" w:lineRule="auto" w:before="152"/>
              <w:ind w:right="200"/>
              <w:rPr>
                <w:sz w:val="21"/>
              </w:rPr>
            </w:pPr>
            <w:r>
              <w:rPr>
                <w:spacing w:val="-6"/>
                <w:sz w:val="21"/>
              </w:rPr>
              <w:t>瑞氏综合征是线粒体功能障碍性疾病。导致脂肪代谢障碍，引起</w:t>
            </w:r>
            <w:r>
              <w:rPr>
                <w:spacing w:val="-15"/>
                <w:sz w:val="21"/>
              </w:rPr>
              <w:t>短链脂肪酸、血氨升高，造成脑水肿。主要临床表现为急性发热、</w:t>
            </w:r>
            <w:r>
              <w:rPr>
                <w:spacing w:val="-9"/>
                <w:sz w:val="21"/>
              </w:rPr>
              <w:t>反复呕吐、惊厥及意识障碍等等。</w:t>
            </w:r>
          </w:p>
          <w:p>
            <w:pPr>
              <w:pStyle w:val="TableParagraph"/>
              <w:spacing w:line="273" w:lineRule="auto" w:before="9"/>
              <w:ind w:right="275"/>
              <w:rPr>
                <w:sz w:val="21"/>
              </w:rPr>
            </w:pPr>
            <w:r>
              <w:rPr>
                <w:sz w:val="21"/>
              </w:rPr>
              <w:t>瑞氏综合征需由三级医院的儿科专科医生确诊，并符合下列所有条件：</w:t>
            </w:r>
          </w:p>
          <w:p>
            <w:pPr>
              <w:pStyle w:val="TableParagraph"/>
              <w:spacing w:before="7"/>
              <w:rPr>
                <w:sz w:val="21"/>
              </w:rPr>
            </w:pPr>
            <w:r>
              <w:rPr>
                <w:sz w:val="21"/>
              </w:rPr>
              <w:t>（1）有脑水肿和颅内压升高的脑脊液检查和影像学检查证据；</w:t>
            </w:r>
          </w:p>
          <w:p>
            <w:pPr>
              <w:pStyle w:val="TableParagraph"/>
              <w:spacing w:before="37"/>
              <w:rPr>
                <w:sz w:val="21"/>
              </w:rPr>
            </w:pPr>
            <w:r>
              <w:rPr>
                <w:sz w:val="21"/>
              </w:rPr>
              <w:t>（2）血氨超过正常值的 3 倍；</w:t>
            </w:r>
          </w:p>
          <w:p>
            <w:pPr>
              <w:pStyle w:val="TableParagraph"/>
              <w:spacing w:before="37"/>
              <w:rPr>
                <w:sz w:val="21"/>
              </w:rPr>
            </w:pPr>
            <w:r>
              <w:rPr>
                <w:sz w:val="21"/>
              </w:rPr>
              <w:t>（3）临床出现昏迷，病程至少达到疾病分期第 3 期。</w:t>
            </w:r>
          </w:p>
        </w:tc>
      </w:tr>
      <w:tr>
        <w:trPr>
          <w:trHeight w:val="3135"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66.严重自身免疫性肝炎</w:t>
            </w:r>
          </w:p>
        </w:tc>
        <w:tc>
          <w:tcPr>
            <w:tcW w:w="6286" w:type="dxa"/>
          </w:tcPr>
          <w:p>
            <w:pPr>
              <w:pStyle w:val="TableParagraph"/>
              <w:spacing w:line="271" w:lineRule="auto" w:before="152"/>
              <w:ind w:right="200"/>
              <w:rPr>
                <w:sz w:val="21"/>
              </w:rPr>
            </w:pPr>
            <w:r>
              <w:rPr>
                <w:spacing w:val="-5"/>
                <w:sz w:val="21"/>
              </w:rPr>
              <w:t>自身免疫性肝炎是一种原因不明的慢性肝脏的坏死性炎性疾病， </w:t>
            </w:r>
            <w:r>
              <w:rPr>
                <w:spacing w:val="-7"/>
                <w:sz w:val="21"/>
              </w:rPr>
              <w:t>机体免疫机制被破坏，产生针对肝脏自身抗原的抗体导致自身免</w:t>
            </w:r>
            <w:r>
              <w:rPr>
                <w:spacing w:val="-13"/>
                <w:sz w:val="21"/>
              </w:rPr>
              <w:t>疫反应，从而破坏肝细胞造成肝脏炎症坏死，进而发展为肝硬化。</w:t>
            </w:r>
            <w:r>
              <w:rPr>
                <w:spacing w:val="-8"/>
                <w:sz w:val="21"/>
              </w:rPr>
              <w:t>必须满足所有以下条件：</w:t>
            </w:r>
          </w:p>
          <w:p>
            <w:pPr>
              <w:pStyle w:val="TableParagraph"/>
              <w:spacing w:before="9"/>
              <w:rPr>
                <w:sz w:val="21"/>
              </w:rPr>
            </w:pPr>
            <w:r>
              <w:rPr>
                <w:sz w:val="21"/>
              </w:rPr>
              <w:t>（</w:t>
            </w:r>
            <w:r>
              <w:rPr>
                <w:rFonts w:ascii="Cambria" w:hAnsi="Cambria" w:eastAsia="Cambria"/>
                <w:sz w:val="21"/>
              </w:rPr>
              <w:t>1</w:t>
            </w:r>
            <w:r>
              <w:rPr>
                <w:sz w:val="21"/>
              </w:rPr>
              <w:t>）高γ球蛋白血症；</w:t>
            </w:r>
          </w:p>
          <w:p>
            <w:pPr>
              <w:pStyle w:val="TableParagraph"/>
              <w:spacing w:before="20"/>
              <w:rPr>
                <w:sz w:val="21"/>
              </w:rPr>
            </w:pPr>
            <w:r>
              <w:rPr>
                <w:sz w:val="21"/>
              </w:rPr>
              <w:t>（</w:t>
            </w:r>
            <w:r>
              <w:rPr>
                <w:rFonts w:ascii="Cambria" w:eastAsia="Cambria"/>
                <w:sz w:val="21"/>
              </w:rPr>
              <w:t>2</w:t>
            </w:r>
            <w:r>
              <w:rPr>
                <w:sz w:val="21"/>
              </w:rPr>
              <w:t>）血液中存在高水平的自身免疫抗体，如</w:t>
            </w:r>
            <w:r>
              <w:rPr>
                <w:rFonts w:ascii="Cambria" w:eastAsia="Cambria"/>
                <w:sz w:val="21"/>
              </w:rPr>
              <w:t>ANA</w:t>
            </w:r>
            <w:r>
              <w:rPr>
                <w:sz w:val="21"/>
              </w:rPr>
              <w:t>（抗核抗体）、</w:t>
            </w:r>
          </w:p>
          <w:p>
            <w:pPr>
              <w:pStyle w:val="TableParagraph"/>
              <w:spacing w:before="20"/>
              <w:ind w:left="636"/>
              <w:rPr>
                <w:sz w:val="21"/>
              </w:rPr>
            </w:pPr>
            <w:r>
              <w:rPr>
                <w:rFonts w:ascii="Cambria" w:eastAsia="Cambria"/>
                <w:sz w:val="21"/>
              </w:rPr>
              <w:t>SMA</w:t>
            </w:r>
            <w:r>
              <w:rPr>
                <w:sz w:val="21"/>
              </w:rPr>
              <w:t>（抗平滑肌抗体）、抗</w:t>
            </w:r>
            <w:r>
              <w:rPr>
                <w:rFonts w:ascii="Cambria" w:eastAsia="Cambria"/>
                <w:sz w:val="21"/>
              </w:rPr>
              <w:t>LKM1</w:t>
            </w:r>
            <w:r>
              <w:rPr>
                <w:sz w:val="21"/>
              </w:rPr>
              <w:t>抗体或抗</w:t>
            </w:r>
            <w:r>
              <w:rPr>
                <w:rFonts w:ascii="Cambria" w:eastAsia="Cambria"/>
                <w:sz w:val="21"/>
              </w:rPr>
              <w:t>-SLA/LP</w:t>
            </w:r>
            <w:r>
              <w:rPr>
                <w:sz w:val="21"/>
              </w:rPr>
              <w:t>抗体；</w:t>
            </w:r>
          </w:p>
          <w:p>
            <w:pPr>
              <w:pStyle w:val="TableParagraph"/>
              <w:spacing w:before="20"/>
              <w:rPr>
                <w:sz w:val="21"/>
              </w:rPr>
            </w:pPr>
            <w:r>
              <w:rPr>
                <w:sz w:val="21"/>
              </w:rPr>
              <w:t>（</w:t>
            </w:r>
            <w:r>
              <w:rPr>
                <w:rFonts w:ascii="Cambria" w:eastAsia="Cambria"/>
                <w:sz w:val="21"/>
              </w:rPr>
              <w:t>3</w:t>
            </w:r>
            <w:r>
              <w:rPr>
                <w:sz w:val="21"/>
              </w:rPr>
              <w:t>）肝脏活检证实免疫性肝炎；</w:t>
            </w:r>
          </w:p>
          <w:p>
            <w:pPr>
              <w:pStyle w:val="TableParagraph"/>
              <w:spacing w:before="20"/>
              <w:rPr>
                <w:sz w:val="21"/>
              </w:rPr>
            </w:pPr>
            <w:r>
              <w:rPr>
                <w:sz w:val="21"/>
              </w:rPr>
              <w:t>（4）临床已经出现腹水、食道静脉曲张和脾肿大等肝硬化表现。</w:t>
            </w:r>
          </w:p>
        </w:tc>
      </w:tr>
      <w:tr>
        <w:trPr>
          <w:trHeight w:val="2624"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67.严重慢性缩窄型心包炎</w:t>
            </w:r>
          </w:p>
        </w:tc>
        <w:tc>
          <w:tcPr>
            <w:tcW w:w="6286" w:type="dxa"/>
          </w:tcPr>
          <w:p>
            <w:pPr>
              <w:pStyle w:val="TableParagraph"/>
              <w:spacing w:line="271" w:lineRule="auto" w:before="152"/>
              <w:ind w:right="306"/>
              <w:jc w:val="both"/>
              <w:rPr>
                <w:sz w:val="21"/>
              </w:rPr>
            </w:pPr>
            <w:r>
              <w:rPr>
                <w:spacing w:val="-6"/>
                <w:sz w:val="21"/>
              </w:rPr>
              <w:t>由于慢性心包炎症导致心包脏层和壁层广泛瘢痕粘连、增厚和钙</w:t>
            </w:r>
            <w:r>
              <w:rPr>
                <w:spacing w:val="-5"/>
                <w:sz w:val="21"/>
              </w:rPr>
              <w:t>化，心包腔闭塞，形成一个纤维瘢痕外壳，使心脏和大血管根部受压，阻碍心脏的舒张。</w:t>
            </w:r>
          </w:p>
          <w:p>
            <w:pPr>
              <w:pStyle w:val="TableParagraph"/>
              <w:spacing w:line="273" w:lineRule="auto" w:before="9"/>
              <w:ind w:right="311"/>
              <w:jc w:val="both"/>
              <w:rPr>
                <w:sz w:val="21"/>
              </w:rPr>
            </w:pPr>
            <w:r>
              <w:rPr>
                <w:sz w:val="21"/>
              </w:rPr>
              <w:t>被保险人被明确诊断为慢性缩窄性心包炎且必须满足以下所有条件：</w:t>
            </w:r>
          </w:p>
          <w:p>
            <w:pPr>
              <w:pStyle w:val="TableParagraph"/>
              <w:spacing w:line="256" w:lineRule="auto" w:before="8"/>
              <w:ind w:right="207"/>
              <w:jc w:val="both"/>
              <w:rPr>
                <w:sz w:val="21"/>
              </w:rPr>
            </w:pPr>
            <w:r>
              <w:rPr>
                <w:spacing w:val="-6"/>
                <w:sz w:val="21"/>
              </w:rPr>
              <w:t>（</w:t>
            </w:r>
            <w:r>
              <w:rPr>
                <w:rFonts w:ascii="Cambria" w:eastAsia="Cambria"/>
                <w:spacing w:val="-6"/>
                <w:sz w:val="21"/>
              </w:rPr>
              <w:t>1</w:t>
            </w:r>
            <w:r>
              <w:rPr>
                <w:spacing w:val="-6"/>
                <w:sz w:val="21"/>
              </w:rPr>
              <w:t>）</w:t>
            </w:r>
            <w:r>
              <w:rPr>
                <w:spacing w:val="-5"/>
                <w:sz w:val="21"/>
              </w:rPr>
              <w:t>心功能衰竭达到美国纽约心脏病学会心功能状态分级</w:t>
            </w:r>
            <w:r>
              <w:rPr>
                <w:rFonts w:ascii="Cambria" w:eastAsia="Cambria"/>
                <w:sz w:val="21"/>
              </w:rPr>
              <w:t>IV</w:t>
            </w:r>
            <w:r>
              <w:rPr>
                <w:spacing w:val="-5"/>
                <w:sz w:val="21"/>
              </w:rPr>
              <w:t>级， </w:t>
            </w:r>
            <w:r>
              <w:rPr>
                <w:sz w:val="21"/>
              </w:rPr>
              <w:t>并持续</w:t>
            </w:r>
            <w:r>
              <w:rPr>
                <w:rFonts w:ascii="Cambria" w:eastAsia="Cambria"/>
                <w:spacing w:val="-2"/>
                <w:sz w:val="21"/>
              </w:rPr>
              <w:t>180</w:t>
            </w:r>
            <w:r>
              <w:rPr>
                <w:sz w:val="21"/>
              </w:rPr>
              <w:t>天以上；</w:t>
            </w:r>
          </w:p>
          <w:p>
            <w:pPr>
              <w:pStyle w:val="TableParagraph"/>
              <w:spacing w:line="272" w:lineRule="exact" w:before="3"/>
              <w:jc w:val="both"/>
              <w:rPr>
                <w:sz w:val="21"/>
              </w:rPr>
            </w:pPr>
            <w:r>
              <w:rPr>
                <w:sz w:val="21"/>
              </w:rPr>
              <w:t>（</w:t>
            </w:r>
            <w:r>
              <w:rPr>
                <w:rFonts w:ascii="Cambria" w:eastAsia="Cambria"/>
                <w:sz w:val="21"/>
              </w:rPr>
              <w:t>2</w:t>
            </w:r>
            <w:r>
              <w:rPr>
                <w:sz w:val="21"/>
              </w:rPr>
              <w:t>）实际接受了以下任何一种手术路径的心包剥脱或心包切除</w:t>
            </w:r>
          </w:p>
        </w:tc>
      </w:tr>
    </w:tbl>
    <w:p>
      <w:pPr>
        <w:spacing w:after="0" w:line="272" w:lineRule="exact"/>
        <w:jc w:val="both"/>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7"/>
      </w:tblGrid>
      <w:tr>
        <w:trPr>
          <w:trHeight w:val="1367" w:hRule="atLeast"/>
        </w:trPr>
        <w:tc>
          <w:tcPr>
            <w:tcW w:w="1475" w:type="dxa"/>
          </w:tcPr>
          <w:p>
            <w:pPr>
              <w:pStyle w:val="TableParagraph"/>
              <w:ind w:left="0"/>
              <w:rPr>
                <w:rFonts w:ascii="Times New Roman"/>
                <w:sz w:val="20"/>
              </w:rPr>
            </w:pPr>
          </w:p>
        </w:tc>
        <w:tc>
          <w:tcPr>
            <w:tcW w:w="6287" w:type="dxa"/>
          </w:tcPr>
          <w:p>
            <w:pPr>
              <w:pStyle w:val="TableParagraph"/>
              <w:spacing w:line="211" w:lineRule="exact"/>
              <w:rPr>
                <w:sz w:val="21"/>
              </w:rPr>
            </w:pPr>
            <w:r>
              <w:rPr>
                <w:sz w:val="21"/>
              </w:rPr>
              <w:t>手术；</w:t>
            </w:r>
          </w:p>
          <w:p>
            <w:pPr>
              <w:pStyle w:val="TableParagraph"/>
              <w:spacing w:before="37"/>
              <w:ind w:left="641"/>
              <w:rPr>
                <w:sz w:val="21"/>
              </w:rPr>
            </w:pPr>
            <w:r>
              <w:rPr>
                <w:sz w:val="21"/>
              </w:rPr>
              <w:t>胸骨正中切口；双侧前胸切口；左前胸肋间切口。</w:t>
            </w:r>
          </w:p>
          <w:p>
            <w:pPr>
              <w:pStyle w:val="TableParagraph"/>
              <w:spacing w:line="237" w:lineRule="auto" w:before="14"/>
              <w:ind w:right="311"/>
              <w:rPr>
                <w:sz w:val="24"/>
              </w:rPr>
            </w:pPr>
            <w:r>
              <w:rPr>
                <w:spacing w:val="-14"/>
                <w:sz w:val="24"/>
              </w:rPr>
              <w:t>经胸腔镜、胸壁打孔进行的手术、心包粘连松解手术不在保障范围内。</w:t>
            </w:r>
          </w:p>
        </w:tc>
      </w:tr>
      <w:tr>
        <w:trPr>
          <w:trHeight w:val="1880" w:hRule="atLeast"/>
        </w:trPr>
        <w:tc>
          <w:tcPr>
            <w:tcW w:w="1475" w:type="dxa"/>
          </w:tcPr>
          <w:p>
            <w:pPr>
              <w:pStyle w:val="TableParagraph"/>
              <w:spacing w:line="204" w:lineRule="auto" w:before="131"/>
              <w:ind w:left="200" w:right="112"/>
              <w:rPr>
                <w:rFonts w:ascii="Microsoft JhengHei" w:eastAsia="Microsoft JhengHei" w:hint="eastAsia"/>
                <w:b/>
                <w:sz w:val="21"/>
              </w:rPr>
            </w:pPr>
            <w:r>
              <w:rPr>
                <w:rFonts w:ascii="Microsoft JhengHei" w:eastAsia="Microsoft JhengHei" w:hint="eastAsia"/>
                <w:b/>
                <w:sz w:val="21"/>
              </w:rPr>
              <w:t>68.坏死性筋膜炎</w:t>
            </w:r>
          </w:p>
        </w:tc>
        <w:tc>
          <w:tcPr>
            <w:tcW w:w="6287" w:type="dxa"/>
          </w:tcPr>
          <w:p>
            <w:pPr>
              <w:pStyle w:val="TableParagraph"/>
              <w:spacing w:before="143"/>
              <w:rPr>
                <w:sz w:val="21"/>
              </w:rPr>
            </w:pPr>
            <w:r>
              <w:rPr>
                <w:sz w:val="21"/>
              </w:rPr>
              <w:t>坏死性筋膜炎的诊断须满足下列全部条件：</w:t>
            </w:r>
          </w:p>
          <w:p>
            <w:pPr>
              <w:pStyle w:val="TableParagraph"/>
              <w:numPr>
                <w:ilvl w:val="0"/>
                <w:numId w:val="18"/>
              </w:numPr>
              <w:tabs>
                <w:tab w:pos="757" w:val="left" w:leader="none"/>
              </w:tabs>
              <w:spacing w:line="240" w:lineRule="auto" w:before="37" w:after="0"/>
              <w:ind w:left="742" w:right="0" w:hanging="630"/>
              <w:jc w:val="left"/>
              <w:rPr>
                <w:sz w:val="21"/>
              </w:rPr>
            </w:pPr>
            <w:r>
              <w:rPr>
                <w:spacing w:val="-5"/>
                <w:sz w:val="21"/>
              </w:rPr>
              <w:t>符合坏死性筋膜炎的一般临床表现；</w:t>
            </w:r>
          </w:p>
          <w:p>
            <w:pPr>
              <w:pStyle w:val="TableParagraph"/>
              <w:numPr>
                <w:ilvl w:val="0"/>
                <w:numId w:val="18"/>
              </w:numPr>
              <w:tabs>
                <w:tab w:pos="757" w:val="left" w:leader="none"/>
              </w:tabs>
              <w:spacing w:line="240" w:lineRule="auto" w:before="20" w:after="0"/>
              <w:ind w:left="742" w:right="0" w:hanging="630"/>
              <w:jc w:val="left"/>
              <w:rPr>
                <w:sz w:val="21"/>
              </w:rPr>
            </w:pPr>
            <w:r>
              <w:rPr>
                <w:spacing w:val="-3"/>
                <w:sz w:val="21"/>
              </w:rPr>
              <w:t>细菌培养检出致病菌；</w:t>
            </w:r>
          </w:p>
          <w:p>
            <w:pPr>
              <w:pStyle w:val="TableParagraph"/>
              <w:numPr>
                <w:ilvl w:val="0"/>
                <w:numId w:val="18"/>
              </w:numPr>
              <w:tabs>
                <w:tab w:pos="738" w:val="left" w:leader="none"/>
              </w:tabs>
              <w:spacing w:line="256" w:lineRule="auto" w:before="20" w:after="0"/>
              <w:ind w:left="742" w:right="306" w:hanging="630"/>
              <w:jc w:val="left"/>
              <w:rPr>
                <w:sz w:val="21"/>
              </w:rPr>
            </w:pPr>
            <w:r>
              <w:rPr>
                <w:spacing w:val="-6"/>
                <w:sz w:val="21"/>
              </w:rPr>
              <w:t>出现广泛性肌肉及软组织坏死，并导致身体受影响部位功</w:t>
            </w:r>
            <w:r>
              <w:rPr>
                <w:spacing w:val="-5"/>
                <w:sz w:val="21"/>
              </w:rPr>
              <w:t>能永久不可逆性丧失。</w:t>
            </w:r>
          </w:p>
        </w:tc>
      </w:tr>
      <w:tr>
        <w:trPr>
          <w:trHeight w:val="4695"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69.严重感染性心内膜炎</w:t>
            </w:r>
          </w:p>
        </w:tc>
        <w:tc>
          <w:tcPr>
            <w:tcW w:w="6287" w:type="dxa"/>
          </w:tcPr>
          <w:p>
            <w:pPr>
              <w:pStyle w:val="TableParagraph"/>
              <w:spacing w:before="150"/>
              <w:rPr>
                <w:sz w:val="21"/>
              </w:rPr>
            </w:pPr>
            <w:r>
              <w:rPr>
                <w:sz w:val="21"/>
              </w:rPr>
              <w:t>因感染性病原体造成心脏内膜发炎，并符合下列所有条件：</w:t>
            </w:r>
          </w:p>
          <w:p>
            <w:pPr>
              <w:pStyle w:val="TableParagraph"/>
              <w:spacing w:before="37"/>
              <w:rPr>
                <w:sz w:val="21"/>
              </w:rPr>
            </w:pPr>
            <w:r>
              <w:rPr>
                <w:sz w:val="21"/>
              </w:rPr>
              <w:t>（1）血液培养测试结果为阳性，证实存在感染病原体：</w:t>
            </w:r>
          </w:p>
          <w:p>
            <w:pPr>
              <w:pStyle w:val="TableParagraph"/>
              <w:spacing w:line="273" w:lineRule="auto" w:before="37"/>
              <w:ind w:left="741" w:right="259" w:hanging="207"/>
              <w:rPr>
                <w:sz w:val="21"/>
              </w:rPr>
            </w:pPr>
            <w:r>
              <w:rPr>
                <w:sz w:val="21"/>
              </w:rPr>
              <w:t>①微生物：在赘生物、栓塞的赘生物或心脏内脓疡经培养或组织检查证实有微生物；或</w:t>
            </w:r>
          </w:p>
          <w:p>
            <w:pPr>
              <w:pStyle w:val="TableParagraph"/>
              <w:spacing w:line="273" w:lineRule="auto" w:before="8"/>
              <w:ind w:left="741" w:right="264" w:hanging="212"/>
              <w:rPr>
                <w:sz w:val="21"/>
              </w:rPr>
            </w:pPr>
            <w:r>
              <w:rPr>
                <w:sz w:val="21"/>
              </w:rPr>
              <w:t>②病理性病灶：组织病理学检查证实赘生物或心脏内脓疡有活动性心内膜炎；或</w:t>
            </w:r>
          </w:p>
          <w:p>
            <w:pPr>
              <w:pStyle w:val="TableParagraph"/>
              <w:spacing w:line="273" w:lineRule="auto" w:before="7"/>
              <w:ind w:left="741" w:right="306" w:hanging="207"/>
              <w:rPr>
                <w:sz w:val="21"/>
              </w:rPr>
            </w:pPr>
            <w:r>
              <w:rPr>
                <w:sz w:val="21"/>
              </w:rPr>
              <w:t>③分别两次血液培养证实有典型的病原体且与心内膜炎吻合；或</w:t>
            </w:r>
          </w:p>
          <w:p>
            <w:pPr>
              <w:pStyle w:val="TableParagraph"/>
              <w:spacing w:line="273" w:lineRule="auto" w:before="7"/>
              <w:ind w:left="741" w:right="306" w:hanging="207"/>
              <w:rPr>
                <w:sz w:val="21"/>
              </w:rPr>
            </w:pPr>
            <w:r>
              <w:rPr>
                <w:sz w:val="21"/>
              </w:rPr>
              <w:t>④持续血液培养证实有病原体阳性反应，且与心内膜炎吻合。</w:t>
            </w:r>
          </w:p>
          <w:p>
            <w:pPr>
              <w:pStyle w:val="TableParagraph"/>
              <w:spacing w:line="273" w:lineRule="auto" w:before="7"/>
              <w:ind w:left="636" w:right="198" w:hanging="524"/>
              <w:rPr>
                <w:sz w:val="21"/>
              </w:rPr>
            </w:pPr>
            <w:r>
              <w:rPr>
                <w:w w:val="100"/>
                <w:sz w:val="21"/>
              </w:rPr>
              <w:t>（2</w:t>
            </w:r>
            <w:r>
              <w:rPr>
                <w:spacing w:val="-87"/>
                <w:w w:val="100"/>
                <w:sz w:val="21"/>
              </w:rPr>
              <w:t>）</w:t>
            </w:r>
            <w:r>
              <w:rPr>
                <w:spacing w:val="-11"/>
                <w:w w:val="100"/>
                <w:sz w:val="21"/>
              </w:rPr>
              <w:t>心内膜炎引起中度心瓣膜闭锁不全</w:t>
            </w:r>
            <w:r>
              <w:rPr>
                <w:w w:val="100"/>
                <w:sz w:val="21"/>
              </w:rPr>
              <w:t>（</w:t>
            </w:r>
            <w:r>
              <w:rPr>
                <w:spacing w:val="-2"/>
                <w:w w:val="100"/>
                <w:sz w:val="21"/>
              </w:rPr>
              <w:t>指返流分数</w:t>
            </w:r>
            <w:r>
              <w:rPr>
                <w:spacing w:val="-56"/>
                <w:sz w:val="21"/>
              </w:rPr>
              <w:t> </w:t>
            </w:r>
            <w:r>
              <w:rPr>
                <w:w w:val="100"/>
                <w:sz w:val="21"/>
              </w:rPr>
              <w:t>20%或以上）</w:t>
            </w:r>
            <w:r>
              <w:rPr>
                <w:sz w:val="21"/>
              </w:rPr>
              <w:t>或中度心瓣膜狭窄</w:t>
            </w:r>
            <w:r>
              <w:rPr>
                <w:spacing w:val="2"/>
                <w:sz w:val="21"/>
              </w:rPr>
              <w:t>（</w:t>
            </w:r>
            <w:r>
              <w:rPr>
                <w:sz w:val="21"/>
              </w:rPr>
              <w:t>指心瓣膜开口范围小于或等于正常的</w:t>
            </w:r>
            <w:r>
              <w:rPr>
                <w:w w:val="100"/>
                <w:sz w:val="21"/>
              </w:rPr>
              <w:t>30%</w:t>
            </w:r>
            <w:r>
              <w:rPr>
                <w:spacing w:val="-106"/>
                <w:w w:val="100"/>
                <w:sz w:val="21"/>
              </w:rPr>
              <w:t>）</w:t>
            </w:r>
            <w:r>
              <w:rPr>
                <w:w w:val="100"/>
                <w:sz w:val="21"/>
              </w:rPr>
              <w:t>；及</w:t>
            </w:r>
          </w:p>
          <w:p>
            <w:pPr>
              <w:pStyle w:val="TableParagraph"/>
              <w:spacing w:before="7"/>
              <w:rPr>
                <w:sz w:val="21"/>
              </w:rPr>
            </w:pPr>
            <w:r>
              <w:rPr>
                <w:sz w:val="21"/>
              </w:rPr>
              <w:t>（3）心内膜炎及心瓣膜病损须经心脏专科医生确诊。</w:t>
            </w:r>
          </w:p>
        </w:tc>
      </w:tr>
      <w:tr>
        <w:trPr>
          <w:trHeight w:val="406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70.严重的骨髓增生异常综合征</w:t>
            </w:r>
          </w:p>
        </w:tc>
        <w:tc>
          <w:tcPr>
            <w:tcW w:w="6287" w:type="dxa"/>
          </w:tcPr>
          <w:p>
            <w:pPr>
              <w:pStyle w:val="TableParagraph"/>
              <w:spacing w:line="271" w:lineRule="auto" w:before="150"/>
              <w:ind w:right="304"/>
              <w:jc w:val="both"/>
              <w:rPr>
                <w:sz w:val="21"/>
              </w:rPr>
            </w:pPr>
            <w:r>
              <w:rPr>
                <w:spacing w:val="-2"/>
                <w:sz w:val="21"/>
              </w:rPr>
              <w:t>骨髓增生异常综合征</w:t>
            </w:r>
            <w:r>
              <w:rPr>
                <w:sz w:val="21"/>
              </w:rPr>
              <w:t>（myelodysplastic syndromes，MDS）是起</w:t>
            </w:r>
            <w:r>
              <w:rPr>
                <w:spacing w:val="-6"/>
                <w:sz w:val="21"/>
              </w:rPr>
              <w:t>源于造血干细胞的一组异质性髓系克隆性疾病，特点是髓系细胞</w:t>
            </w:r>
            <w:r>
              <w:rPr>
                <w:spacing w:val="-5"/>
                <w:sz w:val="21"/>
              </w:rPr>
              <w:t>发育异常，表现为无效造血、难治性血细胞减少，本合同所指的严重的骨髓异常增生综合征需满足下列所有条件：</w:t>
            </w:r>
          </w:p>
          <w:p>
            <w:pPr>
              <w:pStyle w:val="TableParagraph"/>
              <w:spacing w:line="273" w:lineRule="auto" w:before="10"/>
              <w:ind w:left="636" w:right="312" w:hanging="524"/>
              <w:rPr>
                <w:sz w:val="21"/>
              </w:rPr>
            </w:pPr>
            <w:r>
              <w:rPr>
                <w:sz w:val="21"/>
              </w:rPr>
              <w:t>（1）由设有专门血液病专科的公立三级甲等医院血液病专科的主治级别以上的医师确诊；</w:t>
            </w:r>
          </w:p>
          <w:p>
            <w:pPr>
              <w:pStyle w:val="TableParagraph"/>
              <w:spacing w:line="273" w:lineRule="auto" w:before="8"/>
              <w:ind w:right="304"/>
              <w:rPr>
                <w:sz w:val="21"/>
              </w:rPr>
            </w:pPr>
            <w:r>
              <w:rPr>
                <w:spacing w:val="-21"/>
                <w:sz w:val="21"/>
              </w:rPr>
              <w:t>（2）</w:t>
            </w:r>
            <w:r>
              <w:rPr>
                <w:spacing w:val="-5"/>
                <w:sz w:val="21"/>
              </w:rPr>
              <w:t>骨髓涂片检查同时符合发育异常细胞比例&gt;</w:t>
            </w:r>
            <w:r>
              <w:rPr>
                <w:sz w:val="21"/>
              </w:rPr>
              <w:t>10%</w:t>
            </w:r>
            <w:r>
              <w:rPr>
                <w:spacing w:val="-13"/>
                <w:sz w:val="21"/>
              </w:rPr>
              <w:t>、原始细胞比例&gt;15%；</w:t>
            </w:r>
          </w:p>
          <w:p>
            <w:pPr>
              <w:pStyle w:val="TableParagraph"/>
              <w:spacing w:line="273" w:lineRule="auto" w:before="8"/>
              <w:ind w:right="312"/>
              <w:rPr>
                <w:sz w:val="21"/>
              </w:rPr>
            </w:pPr>
            <w:r>
              <w:rPr>
                <w:sz w:val="21"/>
              </w:rPr>
              <w:t>（3）</w:t>
            </w:r>
            <w:r>
              <w:rPr>
                <w:spacing w:val="-5"/>
                <w:sz w:val="21"/>
              </w:rPr>
              <w:t>已接受至少累计三十日的化疗或已接受骨髓移植治疗。  </w:t>
            </w:r>
            <w:r>
              <w:rPr>
                <w:spacing w:val="1"/>
                <w:sz w:val="21"/>
              </w:rPr>
              <w:t>化疗日数的计算以被保险人实际服用、注射化疗药物的天数为准。</w:t>
            </w:r>
          </w:p>
          <w:p>
            <w:pPr>
              <w:pStyle w:val="TableParagraph"/>
              <w:spacing w:before="8"/>
              <w:rPr>
                <w:sz w:val="21"/>
              </w:rPr>
            </w:pPr>
            <w:r>
              <w:rPr>
                <w:sz w:val="21"/>
              </w:rPr>
              <w:t>疑似病例不在保障范围之内。</w:t>
            </w:r>
          </w:p>
        </w:tc>
      </w:tr>
      <w:tr>
        <w:trPr>
          <w:trHeight w:val="2511" w:hRule="atLeast"/>
        </w:trPr>
        <w:tc>
          <w:tcPr>
            <w:tcW w:w="1475"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71.严重癫痫</w:t>
            </w:r>
          </w:p>
        </w:tc>
        <w:tc>
          <w:tcPr>
            <w:tcW w:w="6287" w:type="dxa"/>
          </w:tcPr>
          <w:p>
            <w:pPr>
              <w:pStyle w:val="TableParagraph"/>
              <w:spacing w:line="271" w:lineRule="auto" w:before="152"/>
              <w:ind w:right="304"/>
              <w:jc w:val="both"/>
              <w:rPr>
                <w:sz w:val="21"/>
              </w:rPr>
            </w:pPr>
            <w:r>
              <w:rPr>
                <w:spacing w:val="1"/>
                <w:sz w:val="21"/>
              </w:rPr>
              <w:t>本病的诊断须由神经科或儿科专科医生根据典型临床症状和脑</w:t>
            </w:r>
            <w:r>
              <w:rPr>
                <w:spacing w:val="-11"/>
                <w:sz w:val="21"/>
              </w:rPr>
              <w:t>电图及 </w:t>
            </w:r>
            <w:r>
              <w:rPr>
                <w:sz w:val="21"/>
              </w:rPr>
              <w:t>MRI</w:t>
            </w:r>
            <w:r>
              <w:rPr>
                <w:spacing w:val="-44"/>
                <w:sz w:val="21"/>
              </w:rPr>
              <w:t>、</w:t>
            </w:r>
            <w:r>
              <w:rPr>
                <w:sz w:val="21"/>
              </w:rPr>
              <w:t>PET</w:t>
            </w:r>
            <w:r>
              <w:rPr>
                <w:spacing w:val="-44"/>
                <w:sz w:val="21"/>
              </w:rPr>
              <w:t>、</w:t>
            </w:r>
            <w:r>
              <w:rPr>
                <w:sz w:val="21"/>
              </w:rPr>
              <w:t>CT</w:t>
            </w:r>
            <w:r>
              <w:rPr>
                <w:spacing w:val="-13"/>
                <w:sz w:val="21"/>
              </w:rPr>
              <w:t> 等影相学检查做出。理赔时必须提供 </w:t>
            </w:r>
            <w:r>
              <w:rPr>
                <w:sz w:val="21"/>
              </w:rPr>
              <w:t>6</w:t>
            </w:r>
            <w:r>
              <w:rPr>
                <w:spacing w:val="-16"/>
                <w:sz w:val="21"/>
              </w:rPr>
              <w:t> 个月</w:t>
            </w:r>
            <w:r>
              <w:rPr>
                <w:spacing w:val="1"/>
                <w:sz w:val="21"/>
              </w:rPr>
              <w:t>以上的相关病历记录证明被保险人存在经抗癫痫药物治疗无效</w:t>
            </w:r>
            <w:r>
              <w:rPr>
                <w:spacing w:val="-5"/>
                <w:sz w:val="21"/>
              </w:rPr>
              <w:t>而反复发作的强直阵挛性发作或癫痫大发作，且已行神经外科手术以治疗反复发作的癫痫。</w:t>
            </w:r>
          </w:p>
          <w:p>
            <w:pPr>
              <w:pStyle w:val="TableParagraph"/>
              <w:spacing w:line="273" w:lineRule="auto" w:before="9"/>
              <w:ind w:right="306"/>
              <w:jc w:val="both"/>
              <w:rPr>
                <w:sz w:val="21"/>
              </w:rPr>
            </w:pPr>
            <w:r>
              <w:rPr>
                <w:spacing w:val="-5"/>
                <w:sz w:val="21"/>
              </w:rPr>
              <w:t>发热性惊厥以及没有全身性发作的失神发作</w:t>
            </w:r>
            <w:r>
              <w:rPr>
                <w:sz w:val="21"/>
              </w:rPr>
              <w:t>（</w:t>
            </w:r>
            <w:r>
              <w:rPr>
                <w:spacing w:val="-3"/>
                <w:sz w:val="21"/>
              </w:rPr>
              <w:t>癫痫小发作</w:t>
            </w:r>
            <w:r>
              <w:rPr>
                <w:spacing w:val="-10"/>
                <w:sz w:val="21"/>
              </w:rPr>
              <w:t>）</w:t>
            </w:r>
            <w:r>
              <w:rPr>
                <w:sz w:val="21"/>
              </w:rPr>
              <w:t>不在</w:t>
            </w:r>
            <w:r>
              <w:rPr>
                <w:spacing w:val="-1"/>
                <w:sz w:val="21"/>
              </w:rPr>
              <w:t>本保障范围内。</w:t>
            </w:r>
          </w:p>
        </w:tc>
      </w:tr>
      <w:tr>
        <w:trPr>
          <w:trHeight w:val="734" w:hRule="atLeast"/>
        </w:trPr>
        <w:tc>
          <w:tcPr>
            <w:tcW w:w="1475" w:type="dxa"/>
          </w:tcPr>
          <w:p>
            <w:pPr>
              <w:pStyle w:val="TableParagraph"/>
              <w:spacing w:line="308" w:lineRule="exact" w:before="151"/>
              <w:ind w:left="200" w:right="112"/>
              <w:rPr>
                <w:rFonts w:ascii="Microsoft JhengHei" w:eastAsia="Microsoft JhengHei" w:hint="eastAsia"/>
                <w:b/>
                <w:sz w:val="21"/>
              </w:rPr>
            </w:pPr>
            <w:r>
              <w:rPr>
                <w:rFonts w:ascii="Microsoft JhengHei" w:eastAsia="Microsoft JhengHei" w:hint="eastAsia"/>
                <w:b/>
                <w:sz w:val="21"/>
              </w:rPr>
              <w:t>72.自体造血干细胞移植</w:t>
            </w:r>
          </w:p>
        </w:tc>
        <w:tc>
          <w:tcPr>
            <w:tcW w:w="6287" w:type="dxa"/>
          </w:tcPr>
          <w:p>
            <w:pPr>
              <w:pStyle w:val="TableParagraph"/>
              <w:spacing w:line="300" w:lineRule="atLeast" w:before="127"/>
              <w:ind w:right="287"/>
              <w:rPr>
                <w:sz w:val="21"/>
              </w:rPr>
            </w:pPr>
            <w:r>
              <w:rPr>
                <w:sz w:val="21"/>
              </w:rPr>
              <w:t>指由于患者自身骨髓造血功能异常或为了达到治疗肿瘤的目的， 采集患者自己的一部分造血干细胞，分离并深低温保存，再回输</w:t>
            </w:r>
          </w:p>
        </w:tc>
      </w:tr>
    </w:tbl>
    <w:p>
      <w:pPr>
        <w:spacing w:after="0" w:line="300" w:lineRule="atLeast"/>
        <w:rPr>
          <w:sz w:val="21"/>
        </w:rPr>
        <w:sectPr>
          <w:pgSz w:w="11910" w:h="16840"/>
          <w:pgMar w:header="0" w:footer="150" w:top="740" w:bottom="340" w:left="1680" w:right="1480"/>
        </w:sectPr>
      </w:pPr>
    </w:p>
    <w:tbl>
      <w:tblPr>
        <w:tblW w:w="0" w:type="auto"/>
        <w:jc w:val="left"/>
        <w:tblInd w:w="8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6284"/>
      </w:tblGrid>
      <w:tr>
        <w:trPr>
          <w:trHeight w:val="736" w:hRule="atLeast"/>
        </w:trPr>
        <w:tc>
          <w:tcPr>
            <w:tcW w:w="1475" w:type="dxa"/>
          </w:tcPr>
          <w:p>
            <w:pPr>
              <w:pStyle w:val="TableParagraph"/>
              <w:ind w:left="0"/>
              <w:rPr>
                <w:rFonts w:ascii="Times New Roman"/>
                <w:sz w:val="20"/>
              </w:rPr>
            </w:pPr>
          </w:p>
        </w:tc>
        <w:tc>
          <w:tcPr>
            <w:tcW w:w="6284" w:type="dxa"/>
          </w:tcPr>
          <w:p>
            <w:pPr>
              <w:pStyle w:val="TableParagraph"/>
              <w:spacing w:line="211" w:lineRule="exact"/>
              <w:rPr>
                <w:sz w:val="21"/>
              </w:rPr>
            </w:pPr>
            <w:r>
              <w:rPr>
                <w:sz w:val="21"/>
              </w:rPr>
              <w:t>给患者使患者的造血功能和免疫功能重新恢复的一种治疗方法。</w:t>
            </w:r>
          </w:p>
          <w:p>
            <w:pPr>
              <w:pStyle w:val="TableParagraph"/>
              <w:spacing w:before="37"/>
              <w:rPr>
                <w:sz w:val="21"/>
              </w:rPr>
            </w:pPr>
            <w:r>
              <w:rPr>
                <w:sz w:val="21"/>
              </w:rPr>
              <w:t>该治疗须由专科医Th认为在临床上是必需的。</w:t>
            </w:r>
          </w:p>
        </w:tc>
      </w:tr>
      <w:tr>
        <w:trPr>
          <w:trHeight w:val="2199"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73.肺淋巴管肌瘤病</w:t>
            </w:r>
          </w:p>
        </w:tc>
        <w:tc>
          <w:tcPr>
            <w:tcW w:w="6284" w:type="dxa"/>
          </w:tcPr>
          <w:p>
            <w:pPr>
              <w:pStyle w:val="TableParagraph"/>
              <w:spacing w:line="273" w:lineRule="auto" w:before="150"/>
              <w:ind w:right="308"/>
              <w:jc w:val="both"/>
              <w:rPr>
                <w:sz w:val="21"/>
              </w:rPr>
            </w:pPr>
            <w:r>
              <w:rPr>
                <w:spacing w:val="1"/>
                <w:sz w:val="21"/>
              </w:rPr>
              <w:t>肺淋巴管肌瘤病是一种弥漫性肺部疾病，主要病理改变为肺间</w:t>
            </w:r>
            <w:r>
              <w:rPr>
                <w:spacing w:val="-6"/>
                <w:sz w:val="21"/>
              </w:rPr>
              <w:t>质、支气管、血管和淋巴管内出现未成熟的平滑肌异常增生，同</w:t>
            </w:r>
            <w:r>
              <w:rPr>
                <w:spacing w:val="-5"/>
                <w:sz w:val="21"/>
              </w:rPr>
              <w:t>时需满足下列条件：</w:t>
            </w:r>
          </w:p>
          <w:p>
            <w:pPr>
              <w:pStyle w:val="TableParagraph"/>
              <w:spacing w:before="8"/>
              <w:jc w:val="both"/>
              <w:rPr>
                <w:sz w:val="21"/>
              </w:rPr>
            </w:pPr>
            <w:r>
              <w:rPr>
                <w:sz w:val="21"/>
              </w:rPr>
              <w:t>（1）经组织病理学诊断；</w:t>
            </w:r>
          </w:p>
          <w:p>
            <w:pPr>
              <w:pStyle w:val="TableParagraph"/>
              <w:spacing w:before="37"/>
              <w:jc w:val="both"/>
              <w:rPr>
                <w:sz w:val="21"/>
              </w:rPr>
            </w:pPr>
            <w:r>
              <w:rPr>
                <w:sz w:val="21"/>
              </w:rPr>
              <w:t>（2）CT 显示双肺弥漫性囊性改变；</w:t>
            </w:r>
          </w:p>
          <w:p>
            <w:pPr>
              <w:pStyle w:val="TableParagraph"/>
              <w:spacing w:before="37"/>
              <w:jc w:val="both"/>
              <w:rPr>
                <w:sz w:val="21"/>
              </w:rPr>
            </w:pPr>
            <w:r>
              <w:rPr>
                <w:sz w:val="21"/>
              </w:rPr>
              <w:t>（3）血气提示低氧血症。</w:t>
            </w:r>
          </w:p>
        </w:tc>
      </w:tr>
      <w:tr>
        <w:trPr>
          <w:trHeight w:val="1262" w:hRule="atLeast"/>
        </w:trPr>
        <w:tc>
          <w:tcPr>
            <w:tcW w:w="1475" w:type="dxa"/>
          </w:tcPr>
          <w:p>
            <w:pPr>
              <w:pStyle w:val="TableParagraph"/>
              <w:spacing w:line="204" w:lineRule="auto" w:before="138"/>
              <w:ind w:left="200" w:right="112"/>
              <w:rPr>
                <w:rFonts w:ascii="Microsoft JhengHei" w:eastAsia="Microsoft JhengHei" w:hint="eastAsia"/>
                <w:b/>
                <w:sz w:val="21"/>
              </w:rPr>
            </w:pPr>
            <w:r>
              <w:rPr>
                <w:rFonts w:ascii="Microsoft JhengHei" w:eastAsia="Microsoft JhengHei" w:hint="eastAsia"/>
                <w:b/>
                <w:sz w:val="21"/>
              </w:rPr>
              <w:t>74.肺泡蛋白质沉积症</w:t>
            </w:r>
          </w:p>
        </w:tc>
        <w:tc>
          <w:tcPr>
            <w:tcW w:w="6284" w:type="dxa"/>
          </w:tcPr>
          <w:p>
            <w:pPr>
              <w:pStyle w:val="TableParagraph"/>
              <w:spacing w:line="273" w:lineRule="auto" w:before="150"/>
              <w:ind w:right="301"/>
              <w:jc w:val="both"/>
              <w:rPr>
                <w:sz w:val="21"/>
              </w:rPr>
            </w:pPr>
            <w:r>
              <w:rPr>
                <w:spacing w:val="-5"/>
                <w:sz w:val="21"/>
              </w:rPr>
              <w:t>指肺泡和细支气管腔内充满不可溶性富磷脂蛋白的疾病，胸部 </w:t>
            </w:r>
            <w:r>
              <w:rPr>
                <w:sz w:val="21"/>
              </w:rPr>
              <w:t>X </w:t>
            </w:r>
            <w:r>
              <w:rPr>
                <w:spacing w:val="-5"/>
                <w:sz w:val="21"/>
              </w:rPr>
              <w:t>线呈双肺弥漫性肺部磨玻璃影，病理学检查肺泡内充满有过碘酸</w:t>
            </w:r>
            <w:r>
              <w:rPr>
                <w:spacing w:val="-1"/>
                <w:sz w:val="21"/>
              </w:rPr>
              <w:t>雪夫（PAS）</w:t>
            </w:r>
            <w:r>
              <w:rPr>
                <w:spacing w:val="-5"/>
                <w:sz w:val="21"/>
              </w:rPr>
              <w:t>染色阳性的蛋白样物质，并且接受了肺灌洗治疗。</w:t>
            </w:r>
          </w:p>
        </w:tc>
      </w:tr>
      <w:tr>
        <w:trPr>
          <w:trHeight w:val="1260" w:hRule="atLeast"/>
        </w:trPr>
        <w:tc>
          <w:tcPr>
            <w:tcW w:w="1475"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75.小肠移植</w:t>
            </w:r>
          </w:p>
        </w:tc>
        <w:tc>
          <w:tcPr>
            <w:tcW w:w="6284" w:type="dxa"/>
          </w:tcPr>
          <w:p>
            <w:pPr>
              <w:pStyle w:val="TableParagraph"/>
              <w:spacing w:line="268" w:lineRule="auto" w:before="150"/>
              <w:ind w:right="259"/>
              <w:rPr>
                <w:sz w:val="21"/>
              </w:rPr>
            </w:pPr>
            <w:r>
              <w:rPr>
                <w:sz w:val="21"/>
              </w:rPr>
              <w:t>指因肠道疾病或外伤，已经实施了在全身麻醉下进行的小肠的异体器官移植手术。</w:t>
            </w:r>
          </w:p>
          <w:p>
            <w:pPr>
              <w:pStyle w:val="TableParagraph"/>
              <w:spacing w:before="12"/>
              <w:rPr>
                <w:sz w:val="21"/>
              </w:rPr>
            </w:pPr>
            <w:r>
              <w:rPr>
                <w:sz w:val="21"/>
              </w:rPr>
              <w:t>此手术必须由专科医Th认为是医学上必需的情况下进行。</w:t>
            </w:r>
          </w:p>
        </w:tc>
      </w:tr>
      <w:tr>
        <w:trPr>
          <w:trHeight w:val="4695" w:hRule="atLeast"/>
        </w:trPr>
        <w:tc>
          <w:tcPr>
            <w:tcW w:w="1475" w:type="dxa"/>
          </w:tcPr>
          <w:p>
            <w:pPr>
              <w:pStyle w:val="TableParagraph"/>
              <w:spacing w:line="204" w:lineRule="auto" w:before="140"/>
              <w:ind w:left="200" w:right="112"/>
              <w:rPr>
                <w:rFonts w:ascii="Microsoft JhengHei" w:eastAsia="Microsoft JhengHei" w:hint="eastAsia"/>
                <w:b/>
                <w:sz w:val="21"/>
              </w:rPr>
            </w:pPr>
            <w:r>
              <w:rPr>
                <w:rFonts w:ascii="Microsoft JhengHei" w:eastAsia="Microsoft JhengHei" w:hint="eastAsia"/>
                <w:b/>
                <w:sz w:val="21"/>
              </w:rPr>
              <w:t>76.疾病或外伤所致智力障碍</w:t>
            </w:r>
          </w:p>
        </w:tc>
        <w:tc>
          <w:tcPr>
            <w:tcW w:w="6284" w:type="dxa"/>
          </w:tcPr>
          <w:p>
            <w:pPr>
              <w:pStyle w:val="TableParagraph"/>
              <w:spacing w:line="271" w:lineRule="auto" w:before="152"/>
              <w:ind w:right="198"/>
              <w:rPr>
                <w:sz w:val="21"/>
              </w:rPr>
            </w:pPr>
            <w:r>
              <w:rPr>
                <w:spacing w:val="-6"/>
                <w:sz w:val="21"/>
              </w:rPr>
              <w:t>因严重头部创伤或疾病造成被保险人智力低常</w:t>
            </w:r>
            <w:r>
              <w:rPr>
                <w:sz w:val="21"/>
              </w:rPr>
              <w:t>（</w:t>
            </w:r>
            <w:r>
              <w:rPr>
                <w:spacing w:val="-2"/>
                <w:sz w:val="21"/>
              </w:rPr>
              <w:t>智力低于常态</w:t>
            </w:r>
            <w:r>
              <w:rPr>
                <w:spacing w:val="-106"/>
                <w:sz w:val="21"/>
              </w:rPr>
              <w:t>）</w:t>
            </w:r>
            <w:r>
              <w:rPr>
                <w:sz w:val="21"/>
              </w:rPr>
              <w:t>。</w:t>
            </w:r>
            <w:r>
              <w:rPr>
                <w:spacing w:val="-12"/>
                <w:w w:val="100"/>
                <w:sz w:val="21"/>
              </w:rPr>
              <w:t>根据智商</w:t>
            </w:r>
            <w:r>
              <w:rPr>
                <w:w w:val="100"/>
                <w:sz w:val="21"/>
              </w:rPr>
              <w:t>（IQ</w:t>
            </w:r>
            <w:r>
              <w:rPr>
                <w:spacing w:val="-106"/>
                <w:w w:val="100"/>
                <w:sz w:val="21"/>
              </w:rPr>
              <w:t>）</w:t>
            </w:r>
            <w:r>
              <w:rPr>
                <w:spacing w:val="-14"/>
                <w:w w:val="100"/>
                <w:sz w:val="21"/>
              </w:rPr>
              <w:t>，智力低常分为轻度</w:t>
            </w:r>
            <w:r>
              <w:rPr>
                <w:w w:val="100"/>
                <w:sz w:val="21"/>
              </w:rPr>
              <w:t>（IQ5</w:t>
            </w:r>
            <w:r>
              <w:rPr>
                <w:spacing w:val="-5"/>
                <w:w w:val="100"/>
                <w:sz w:val="21"/>
              </w:rPr>
              <w:t>0</w:t>
            </w:r>
            <w:r>
              <w:rPr>
                <w:w w:val="100"/>
                <w:sz w:val="21"/>
              </w:rPr>
              <w:t>-70</w:t>
            </w:r>
            <w:r>
              <w:rPr>
                <w:spacing w:val="-106"/>
                <w:w w:val="100"/>
                <w:sz w:val="21"/>
              </w:rPr>
              <w:t>）</w:t>
            </w:r>
            <w:r>
              <w:rPr>
                <w:spacing w:val="-34"/>
                <w:w w:val="100"/>
                <w:sz w:val="21"/>
              </w:rPr>
              <w:t>；中度</w:t>
            </w:r>
            <w:r>
              <w:rPr>
                <w:spacing w:val="-1"/>
                <w:w w:val="100"/>
                <w:sz w:val="21"/>
              </w:rPr>
              <w:t>（</w:t>
            </w:r>
            <w:r>
              <w:rPr>
                <w:w w:val="100"/>
                <w:sz w:val="21"/>
              </w:rPr>
              <w:t>IQ35-50</w:t>
            </w:r>
            <w:r>
              <w:rPr>
                <w:spacing w:val="-106"/>
                <w:w w:val="100"/>
                <w:sz w:val="21"/>
              </w:rPr>
              <w:t>）；</w:t>
            </w:r>
            <w:r>
              <w:rPr>
                <w:spacing w:val="-17"/>
                <w:w w:val="100"/>
                <w:sz w:val="21"/>
              </w:rPr>
              <w:t>重度</w:t>
            </w:r>
            <w:r>
              <w:rPr>
                <w:w w:val="100"/>
                <w:sz w:val="21"/>
              </w:rPr>
              <w:t>（IQ20-35</w:t>
            </w:r>
            <w:r>
              <w:rPr>
                <w:spacing w:val="-34"/>
                <w:w w:val="100"/>
                <w:sz w:val="21"/>
              </w:rPr>
              <w:t>）</w:t>
            </w:r>
            <w:r>
              <w:rPr>
                <w:spacing w:val="-10"/>
                <w:w w:val="100"/>
                <w:sz w:val="21"/>
              </w:rPr>
              <w:t>和极重度</w:t>
            </w:r>
            <w:r>
              <w:rPr>
                <w:w w:val="100"/>
                <w:sz w:val="21"/>
              </w:rPr>
              <w:t>（IQ&lt;2</w:t>
            </w:r>
            <w:r>
              <w:rPr>
                <w:spacing w:val="-5"/>
                <w:w w:val="100"/>
                <w:sz w:val="21"/>
              </w:rPr>
              <w:t>0</w:t>
            </w:r>
            <w:r>
              <w:rPr>
                <w:spacing w:val="-106"/>
                <w:w w:val="100"/>
                <w:sz w:val="21"/>
              </w:rPr>
              <w:t>）</w:t>
            </w:r>
            <w:r>
              <w:rPr>
                <w:spacing w:val="-7"/>
                <w:w w:val="100"/>
                <w:sz w:val="21"/>
              </w:rPr>
              <w:t>。智商的检测必须由我们认可</w:t>
            </w:r>
            <w:r>
              <w:rPr>
                <w:spacing w:val="-8"/>
                <w:sz w:val="21"/>
              </w:rPr>
              <w:t>的专职心理测验工作者进行，心理测验工作者必须持有由心理测量专业委员会资格认定书。根据被保险人年龄采用对应的智力量</w:t>
            </w:r>
            <w:r>
              <w:rPr>
                <w:spacing w:val="-6"/>
                <w:sz w:val="21"/>
              </w:rPr>
              <w:t>表如韦克斯勒智力量表</w:t>
            </w:r>
            <w:r>
              <w:rPr>
                <w:sz w:val="21"/>
              </w:rPr>
              <w:t>（</w:t>
            </w:r>
            <w:r>
              <w:rPr>
                <w:spacing w:val="-5"/>
                <w:sz w:val="21"/>
              </w:rPr>
              <w:t>儿童智力量表或成人智力量表</w:t>
            </w:r>
            <w:r>
              <w:rPr>
                <w:spacing w:val="-106"/>
                <w:sz w:val="21"/>
              </w:rPr>
              <w:t>）</w:t>
            </w:r>
            <w:r>
              <w:rPr>
                <w:sz w:val="21"/>
              </w:rPr>
              <w:t>。</w:t>
            </w:r>
          </w:p>
          <w:p>
            <w:pPr>
              <w:pStyle w:val="TableParagraph"/>
              <w:spacing w:before="9"/>
              <w:rPr>
                <w:sz w:val="21"/>
              </w:rPr>
            </w:pPr>
            <w:r>
              <w:rPr>
                <w:sz w:val="21"/>
              </w:rPr>
              <w:t>理赔时必须满足下列全部条件：</w:t>
            </w:r>
          </w:p>
          <w:p>
            <w:pPr>
              <w:pStyle w:val="TableParagraph"/>
              <w:spacing w:line="273" w:lineRule="auto" w:before="36"/>
              <w:ind w:left="636" w:right="303" w:hanging="524"/>
              <w:rPr>
                <w:sz w:val="21"/>
              </w:rPr>
            </w:pPr>
            <w:r>
              <w:rPr>
                <w:spacing w:val="-15"/>
                <w:sz w:val="21"/>
              </w:rPr>
              <w:t>（1）</w:t>
            </w:r>
            <w:r>
              <w:rPr>
                <w:spacing w:val="-8"/>
                <w:sz w:val="21"/>
              </w:rPr>
              <w:t>造成被保险人智力低常</w:t>
            </w:r>
            <w:r>
              <w:rPr>
                <w:sz w:val="21"/>
              </w:rPr>
              <w:t>（</w:t>
            </w:r>
            <w:r>
              <w:rPr>
                <w:spacing w:val="-2"/>
                <w:sz w:val="21"/>
              </w:rPr>
              <w:t>智力低于常态</w:t>
            </w:r>
            <w:r>
              <w:rPr>
                <w:spacing w:val="-48"/>
                <w:sz w:val="21"/>
              </w:rPr>
              <w:t>）</w:t>
            </w:r>
            <w:r>
              <w:rPr>
                <w:spacing w:val="-2"/>
                <w:sz w:val="21"/>
              </w:rPr>
              <w:t>的严重头部创伤或疾病（</w:t>
            </w:r>
            <w:r>
              <w:rPr>
                <w:spacing w:val="-4"/>
                <w:sz w:val="21"/>
              </w:rPr>
              <w:t>以入院日期为准</w:t>
            </w:r>
            <w:r>
              <w:rPr>
                <w:sz w:val="21"/>
              </w:rPr>
              <w:t>）</w:t>
            </w:r>
            <w:r>
              <w:rPr>
                <w:spacing w:val="-8"/>
                <w:sz w:val="21"/>
              </w:rPr>
              <w:t>发生在被保险人 </w:t>
            </w:r>
            <w:r>
              <w:rPr>
                <w:sz w:val="21"/>
              </w:rPr>
              <w:t>6</w:t>
            </w:r>
            <w:r>
              <w:rPr>
                <w:spacing w:val="-10"/>
                <w:sz w:val="21"/>
              </w:rPr>
              <w:t> 周岁以后；</w:t>
            </w:r>
          </w:p>
          <w:p>
            <w:pPr>
              <w:pStyle w:val="TableParagraph"/>
              <w:spacing w:line="273" w:lineRule="auto" w:before="7"/>
              <w:ind w:left="535" w:right="309" w:hanging="423"/>
              <w:rPr>
                <w:sz w:val="21"/>
              </w:rPr>
            </w:pPr>
            <w:r>
              <w:rPr>
                <w:sz w:val="21"/>
              </w:rPr>
              <w:t>（2）儿科主任医师确诊被保险人由于严重头部创伤或疾病造成智力低常；</w:t>
            </w:r>
          </w:p>
          <w:p>
            <w:pPr>
              <w:pStyle w:val="TableParagraph"/>
              <w:spacing w:line="273" w:lineRule="auto" w:before="7"/>
              <w:ind w:left="636" w:right="309" w:hanging="524"/>
              <w:rPr>
                <w:sz w:val="21"/>
              </w:rPr>
            </w:pPr>
            <w:r>
              <w:rPr>
                <w:spacing w:val="1"/>
                <w:sz w:val="21"/>
              </w:rPr>
              <w:t>（3）</w:t>
            </w:r>
            <w:r>
              <w:rPr>
                <w:sz w:val="21"/>
              </w:rPr>
              <w:t>专职合格心理检测工作者适时做的心理检测证实被保险人</w:t>
            </w:r>
            <w:r>
              <w:rPr>
                <w:w w:val="100"/>
                <w:sz w:val="21"/>
              </w:rPr>
              <w:t>智力低常</w:t>
            </w:r>
            <w:r>
              <w:rPr>
                <w:spacing w:val="-5"/>
                <w:w w:val="100"/>
                <w:sz w:val="21"/>
              </w:rPr>
              <w:t>（</w:t>
            </w:r>
            <w:r>
              <w:rPr>
                <w:spacing w:val="-3"/>
                <w:w w:val="100"/>
                <w:sz w:val="21"/>
              </w:rPr>
              <w:t>轻度、中度、重度或极重度</w:t>
            </w:r>
            <w:r>
              <w:rPr>
                <w:spacing w:val="-111"/>
                <w:w w:val="100"/>
                <w:sz w:val="21"/>
              </w:rPr>
              <w:t>）</w:t>
            </w:r>
            <w:r>
              <w:rPr>
                <w:w w:val="100"/>
                <w:sz w:val="21"/>
              </w:rPr>
              <w:t>；</w:t>
            </w:r>
          </w:p>
          <w:p>
            <w:pPr>
              <w:pStyle w:val="TableParagraph"/>
              <w:spacing w:before="8"/>
              <w:rPr>
                <w:sz w:val="21"/>
              </w:rPr>
            </w:pPr>
            <w:r>
              <w:rPr>
                <w:sz w:val="21"/>
              </w:rPr>
              <w:t>（4）被保险人的智力低常自确认日起持续 180 天以上。</w:t>
            </w:r>
          </w:p>
        </w:tc>
      </w:tr>
      <w:tr>
        <w:trPr>
          <w:trHeight w:val="1882" w:hRule="atLeast"/>
        </w:trPr>
        <w:tc>
          <w:tcPr>
            <w:tcW w:w="1475" w:type="dxa"/>
          </w:tcPr>
          <w:p>
            <w:pPr>
              <w:pStyle w:val="TableParagraph"/>
              <w:spacing w:line="201" w:lineRule="auto" w:before="144"/>
              <w:ind w:left="200" w:right="112"/>
              <w:rPr>
                <w:rFonts w:ascii="Microsoft JhengHei" w:eastAsia="Microsoft JhengHei" w:hint="eastAsia"/>
                <w:b/>
                <w:sz w:val="21"/>
              </w:rPr>
            </w:pPr>
            <w:r>
              <w:rPr>
                <w:rFonts w:ascii="Microsoft JhengHei" w:eastAsia="Microsoft JhengHei" w:hint="eastAsia"/>
                <w:b/>
                <w:sz w:val="21"/>
              </w:rPr>
              <w:t>77.骨生长不全症</w:t>
            </w:r>
          </w:p>
        </w:tc>
        <w:tc>
          <w:tcPr>
            <w:tcW w:w="6284" w:type="dxa"/>
          </w:tcPr>
          <w:p>
            <w:pPr>
              <w:pStyle w:val="TableParagraph"/>
              <w:spacing w:line="271" w:lineRule="auto" w:before="152"/>
              <w:ind w:right="301"/>
              <w:jc w:val="both"/>
              <w:rPr>
                <w:sz w:val="21"/>
              </w:rPr>
            </w:pPr>
            <w:r>
              <w:rPr>
                <w:spacing w:val="-8"/>
                <w:sz w:val="21"/>
              </w:rPr>
              <w:t>指一种胶原病，特征为骨易碎，骨质疏松和易骨折。该病有 </w:t>
            </w:r>
            <w:r>
              <w:rPr>
                <w:sz w:val="21"/>
              </w:rPr>
              <w:t>4</w:t>
            </w:r>
            <w:r>
              <w:rPr>
                <w:spacing w:val="-19"/>
                <w:sz w:val="21"/>
              </w:rPr>
              <w:t> 种</w:t>
            </w:r>
            <w:r>
              <w:rPr>
                <w:spacing w:val="-15"/>
                <w:sz w:val="21"/>
              </w:rPr>
              <w:t>类型：</w:t>
            </w:r>
            <w:r>
              <w:rPr>
                <w:spacing w:val="-7"/>
                <w:sz w:val="21"/>
              </w:rPr>
              <w:t>I</w:t>
            </w:r>
            <w:r>
              <w:rPr>
                <w:spacing w:val="-5"/>
                <w:sz w:val="21"/>
              </w:rPr>
              <w:t> 型、</w:t>
            </w:r>
            <w:r>
              <w:rPr>
                <w:sz w:val="21"/>
              </w:rPr>
              <w:t>II</w:t>
            </w:r>
            <w:r>
              <w:rPr>
                <w:spacing w:val="-24"/>
                <w:sz w:val="21"/>
              </w:rPr>
              <w:t> 型、</w:t>
            </w:r>
            <w:r>
              <w:rPr>
                <w:sz w:val="21"/>
              </w:rPr>
              <w:t>III</w:t>
            </w:r>
            <w:r>
              <w:rPr>
                <w:spacing w:val="-23"/>
                <w:sz w:val="21"/>
              </w:rPr>
              <w:t> 型、</w:t>
            </w:r>
            <w:r>
              <w:rPr>
                <w:sz w:val="21"/>
              </w:rPr>
              <w:t>IV</w:t>
            </w:r>
            <w:r>
              <w:rPr>
                <w:spacing w:val="-19"/>
                <w:sz w:val="21"/>
              </w:rPr>
              <w:t> 型。只保障 </w:t>
            </w:r>
            <w:r>
              <w:rPr>
                <w:sz w:val="21"/>
              </w:rPr>
              <w:t>III</w:t>
            </w:r>
            <w:r>
              <w:rPr>
                <w:spacing w:val="-8"/>
                <w:sz w:val="21"/>
              </w:rPr>
              <w:t> 型成骨不全的情</w:t>
            </w:r>
            <w:r>
              <w:rPr>
                <w:spacing w:val="-5"/>
                <w:sz w:val="21"/>
              </w:rPr>
              <w:t>形。其主要临床特点有：发展迟缓、多发性骨折、进行性脊柱后侧凸及听力损害。</w:t>
            </w:r>
            <w:r>
              <w:rPr>
                <w:sz w:val="21"/>
              </w:rPr>
              <w:t>III</w:t>
            </w:r>
            <w:r>
              <w:rPr>
                <w:spacing w:val="-3"/>
                <w:sz w:val="21"/>
              </w:rPr>
              <w:t> 型成骨不全的诊断必须根据身体检查，家族史，X</w:t>
            </w:r>
            <w:r>
              <w:rPr>
                <w:spacing w:val="-7"/>
                <w:sz w:val="21"/>
              </w:rPr>
              <w:t> 线检查和皮肤活检报告资料确诊。</w:t>
            </w:r>
          </w:p>
        </w:tc>
      </w:tr>
      <w:tr>
        <w:trPr>
          <w:trHeight w:val="3236" w:hRule="atLeast"/>
        </w:trPr>
        <w:tc>
          <w:tcPr>
            <w:tcW w:w="1475" w:type="dxa"/>
          </w:tcPr>
          <w:p>
            <w:pPr>
              <w:pStyle w:val="TableParagraph"/>
              <w:spacing w:line="208" w:lineRule="auto" w:before="128"/>
              <w:ind w:left="200" w:right="218"/>
              <w:rPr>
                <w:rFonts w:ascii="Microsoft JhengHei" w:eastAsia="Microsoft JhengHei" w:hint="eastAsia"/>
                <w:b/>
                <w:sz w:val="21"/>
              </w:rPr>
            </w:pPr>
            <w:r>
              <w:rPr>
                <w:rFonts w:ascii="Microsoft JhengHei" w:eastAsia="Microsoft JhengHei" w:hint="eastAsia"/>
                <w:b/>
                <w:sz w:val="21"/>
              </w:rPr>
              <w:t>78. 原发性骨髓纤维化</w:t>
            </w:r>
          </w:p>
        </w:tc>
        <w:tc>
          <w:tcPr>
            <w:tcW w:w="6284" w:type="dxa"/>
          </w:tcPr>
          <w:p>
            <w:pPr>
              <w:pStyle w:val="TableParagraph"/>
              <w:spacing w:line="271" w:lineRule="auto" w:before="157"/>
              <w:ind w:right="303"/>
              <w:jc w:val="both"/>
              <w:rPr>
                <w:sz w:val="21"/>
              </w:rPr>
            </w:pPr>
            <w:r>
              <w:rPr>
                <w:spacing w:val="-6"/>
                <w:sz w:val="21"/>
              </w:rPr>
              <w:t>原发性骨髓纤维化为原因不明的骨髓中成纤维细胞增殖，伴有髓外造血，表现为进行性贫血、脾肿大等症状。本疾病须根据骨髓</w:t>
            </w:r>
            <w:r>
              <w:rPr>
                <w:spacing w:val="1"/>
                <w:sz w:val="21"/>
              </w:rPr>
              <w:t>的活组织检查和周围血象检查由我们认可的医院血液科专科医</w:t>
            </w:r>
            <w:r>
              <w:rPr>
                <w:spacing w:val="-6"/>
                <w:sz w:val="21"/>
              </w:rPr>
              <w:t>生明确诊断，并至少符合下列条件中的三项，且符合条件的状态</w:t>
            </w:r>
            <w:r>
              <w:rPr>
                <w:spacing w:val="-17"/>
                <w:sz w:val="21"/>
              </w:rPr>
              <w:t>持续 </w:t>
            </w:r>
            <w:r>
              <w:rPr>
                <w:sz w:val="21"/>
              </w:rPr>
              <w:t>180</w:t>
            </w:r>
            <w:r>
              <w:rPr>
                <w:spacing w:val="-8"/>
                <w:sz w:val="21"/>
              </w:rPr>
              <w:t> 天及以上，并已经实际实施了针对此症的治疗：</w:t>
            </w:r>
          </w:p>
          <w:p>
            <w:pPr>
              <w:pStyle w:val="TableParagraph"/>
              <w:spacing w:before="10"/>
              <w:jc w:val="both"/>
              <w:rPr>
                <w:sz w:val="21"/>
              </w:rPr>
            </w:pPr>
            <w:r>
              <w:rPr>
                <w:sz w:val="21"/>
              </w:rPr>
              <w:t>（1）血红蛋白&lt;100g/L；</w:t>
            </w:r>
          </w:p>
          <w:p>
            <w:pPr>
              <w:pStyle w:val="TableParagraph"/>
              <w:spacing w:before="37"/>
              <w:jc w:val="both"/>
              <w:rPr>
                <w:sz w:val="21"/>
              </w:rPr>
            </w:pPr>
            <w:r>
              <w:rPr>
                <w:sz w:val="21"/>
              </w:rPr>
              <w:t>（2）白细胞计数&gt;25*109/L；</w:t>
            </w:r>
          </w:p>
          <w:p>
            <w:pPr>
              <w:pStyle w:val="TableParagraph"/>
              <w:spacing w:before="37"/>
              <w:jc w:val="both"/>
              <w:rPr>
                <w:sz w:val="21"/>
              </w:rPr>
            </w:pPr>
            <w:r>
              <w:rPr>
                <w:sz w:val="21"/>
              </w:rPr>
              <w:t>（3）外周血原始细胞≥ 1%；</w:t>
            </w:r>
          </w:p>
          <w:p>
            <w:pPr>
              <w:pStyle w:val="TableParagraph"/>
              <w:spacing w:before="36"/>
              <w:jc w:val="both"/>
              <w:rPr>
                <w:sz w:val="21"/>
              </w:rPr>
            </w:pPr>
            <w:r>
              <w:rPr>
                <w:sz w:val="21"/>
              </w:rPr>
              <w:t>（4）血小板计数&lt;100*109/L。</w:t>
            </w:r>
          </w:p>
          <w:p>
            <w:pPr>
              <w:pStyle w:val="TableParagraph"/>
              <w:spacing w:line="255" w:lineRule="exact" w:before="36"/>
              <w:jc w:val="both"/>
              <w:rPr>
                <w:sz w:val="21"/>
              </w:rPr>
            </w:pPr>
            <w:r>
              <w:rPr>
                <w:sz w:val="21"/>
              </w:rPr>
              <w:t>任何其它病因导致的继发性骨髓纤维化不在保障范围内。</w:t>
            </w:r>
          </w:p>
        </w:tc>
      </w:tr>
    </w:tbl>
    <w:p>
      <w:pPr>
        <w:spacing w:after="0" w:line="255" w:lineRule="exact"/>
        <w:jc w:val="both"/>
        <w:rPr>
          <w:sz w:val="21"/>
        </w:rPr>
        <w:sectPr>
          <w:pgSz w:w="11910" w:h="16840"/>
          <w:pgMar w:header="0" w:footer="150" w:top="74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543"/>
        <w:gridCol w:w="6078"/>
      </w:tblGrid>
      <w:tr>
        <w:trPr>
          <w:trHeight w:val="2926" w:hRule="atLeast"/>
        </w:trPr>
        <w:tc>
          <w:tcPr>
            <w:tcW w:w="686" w:type="dxa"/>
          </w:tcPr>
          <w:p>
            <w:pPr>
              <w:pStyle w:val="TableParagraph"/>
              <w:ind w:left="0"/>
              <w:rPr>
                <w:rFonts w:ascii="Times New Roman"/>
                <w:sz w:val="20"/>
              </w:rPr>
            </w:pPr>
          </w:p>
        </w:tc>
        <w:tc>
          <w:tcPr>
            <w:tcW w:w="1543" w:type="dxa"/>
          </w:tcPr>
          <w:p>
            <w:pPr>
              <w:pStyle w:val="TableParagraph"/>
              <w:spacing w:line="213" w:lineRule="exact"/>
              <w:ind w:left="264"/>
              <w:rPr>
                <w:rFonts w:ascii="Microsoft JhengHei" w:eastAsia="Microsoft JhengHei" w:hint="eastAsia"/>
                <w:b/>
                <w:sz w:val="21"/>
              </w:rPr>
            </w:pPr>
            <w:r>
              <w:rPr>
                <w:rFonts w:ascii="Microsoft JhengHei" w:eastAsia="Microsoft JhengHei" w:hint="eastAsia"/>
                <w:b/>
                <w:sz w:val="21"/>
              </w:rPr>
              <w:t>79.重症手足</w:t>
            </w:r>
          </w:p>
          <w:p>
            <w:pPr>
              <w:pStyle w:val="TableParagraph"/>
              <w:spacing w:line="344" w:lineRule="exact"/>
              <w:ind w:left="264"/>
              <w:rPr>
                <w:rFonts w:ascii="Microsoft JhengHei" w:eastAsia="Microsoft JhengHei" w:hint="eastAsia"/>
                <w:b/>
                <w:sz w:val="21"/>
              </w:rPr>
            </w:pPr>
            <w:r>
              <w:rPr>
                <w:rFonts w:ascii="Microsoft JhengHei" w:eastAsia="Microsoft JhengHei" w:hint="eastAsia"/>
                <w:b/>
                <w:sz w:val="21"/>
              </w:rPr>
              <w:t>口病</w:t>
            </w:r>
          </w:p>
        </w:tc>
        <w:tc>
          <w:tcPr>
            <w:tcW w:w="6078" w:type="dxa"/>
          </w:tcPr>
          <w:p>
            <w:pPr>
              <w:pStyle w:val="TableParagraph"/>
              <w:spacing w:line="221" w:lineRule="exact"/>
              <w:ind w:left="109"/>
              <w:rPr>
                <w:sz w:val="21"/>
              </w:rPr>
            </w:pPr>
            <w:r>
              <w:rPr>
                <w:sz w:val="21"/>
              </w:rPr>
              <w:t>由肠道病毒引起的急性传染病，主要症状表现为手、足、口腔等</w:t>
            </w:r>
          </w:p>
          <w:p>
            <w:pPr>
              <w:pStyle w:val="TableParagraph"/>
              <w:spacing w:line="273" w:lineRule="auto" w:before="37"/>
              <w:ind w:left="109" w:right="56"/>
              <w:rPr>
                <w:sz w:val="21"/>
              </w:rPr>
            </w:pPr>
            <w:r>
              <w:rPr>
                <w:sz w:val="21"/>
              </w:rPr>
              <w:t>部位的斑丘疹、疱疹。经我们认可的医疗机构的儿科专科医生确诊为患有手足口病，并伴有下列三项中的任意一项并发症：</w:t>
            </w:r>
          </w:p>
          <w:p>
            <w:pPr>
              <w:pStyle w:val="TableParagraph"/>
              <w:spacing w:line="273" w:lineRule="auto" w:before="7"/>
              <w:ind w:left="632" w:right="100" w:hanging="524"/>
              <w:rPr>
                <w:sz w:val="21"/>
              </w:rPr>
            </w:pPr>
            <w:r>
              <w:rPr>
                <w:spacing w:val="-21"/>
                <w:sz w:val="21"/>
              </w:rPr>
              <w:t>（1）</w:t>
            </w:r>
            <w:r>
              <w:rPr>
                <w:spacing w:val="-10"/>
                <w:sz w:val="21"/>
              </w:rPr>
              <w:t>有脑膜炎或脑炎并发症，且导致意识障碍或瘫痪的临床表现</w:t>
            </w:r>
            <w:r>
              <w:rPr>
                <w:spacing w:val="-7"/>
                <w:sz w:val="21"/>
              </w:rPr>
              <w:t>及实验室检查证据；</w:t>
            </w:r>
          </w:p>
          <w:p>
            <w:pPr>
              <w:pStyle w:val="TableParagraph"/>
              <w:spacing w:line="273" w:lineRule="auto" w:before="7"/>
              <w:ind w:left="632" w:right="100" w:hanging="524"/>
              <w:rPr>
                <w:sz w:val="21"/>
              </w:rPr>
            </w:pPr>
            <w:r>
              <w:rPr>
                <w:spacing w:val="-21"/>
                <w:sz w:val="21"/>
              </w:rPr>
              <w:t>（2）</w:t>
            </w:r>
            <w:r>
              <w:rPr>
                <w:spacing w:val="-10"/>
                <w:sz w:val="21"/>
              </w:rPr>
              <w:t>有肺炎或肺水肿并发症，且导致呼吸衰竭的临床表现及实验</w:t>
            </w:r>
            <w:r>
              <w:rPr>
                <w:spacing w:val="-8"/>
                <w:sz w:val="21"/>
              </w:rPr>
              <w:t>室检查证据；</w:t>
            </w:r>
          </w:p>
          <w:p>
            <w:pPr>
              <w:pStyle w:val="TableParagraph"/>
              <w:spacing w:line="273" w:lineRule="auto" w:before="7"/>
              <w:ind w:left="632" w:right="100" w:hanging="524"/>
              <w:rPr>
                <w:sz w:val="21"/>
              </w:rPr>
            </w:pPr>
            <w:r>
              <w:rPr>
                <w:spacing w:val="-21"/>
                <w:sz w:val="21"/>
              </w:rPr>
              <w:t>（3）</w:t>
            </w:r>
            <w:r>
              <w:rPr>
                <w:spacing w:val="-10"/>
                <w:sz w:val="21"/>
              </w:rPr>
              <w:t>有心肌炎并发症，且导致心脏扩大或心力衰竭的临床表现及</w:t>
            </w:r>
            <w:r>
              <w:rPr>
                <w:spacing w:val="-7"/>
                <w:sz w:val="21"/>
              </w:rPr>
              <w:t>实验室检查证据。</w:t>
            </w:r>
          </w:p>
        </w:tc>
      </w:tr>
      <w:tr>
        <w:trPr>
          <w:trHeight w:val="2516" w:hRule="atLeast"/>
        </w:trPr>
        <w:tc>
          <w:tcPr>
            <w:tcW w:w="686" w:type="dxa"/>
          </w:tcPr>
          <w:p>
            <w:pPr>
              <w:pStyle w:val="TableParagraph"/>
              <w:ind w:left="0"/>
              <w:rPr>
                <w:rFonts w:ascii="Times New Roman"/>
                <w:sz w:val="20"/>
              </w:rPr>
            </w:pPr>
          </w:p>
        </w:tc>
        <w:tc>
          <w:tcPr>
            <w:tcW w:w="1543" w:type="dxa"/>
          </w:tcPr>
          <w:p>
            <w:pPr>
              <w:pStyle w:val="TableParagraph"/>
              <w:spacing w:line="208" w:lineRule="auto" w:before="126"/>
              <w:ind w:left="264" w:right="220"/>
              <w:jc w:val="both"/>
              <w:rPr>
                <w:rFonts w:ascii="Microsoft JhengHei" w:eastAsia="Microsoft JhengHei" w:hint="eastAsia"/>
                <w:b/>
                <w:sz w:val="21"/>
              </w:rPr>
            </w:pPr>
            <w:r>
              <w:rPr>
                <w:rFonts w:ascii="Microsoft JhengHei" w:eastAsia="Microsoft JhengHei" w:hint="eastAsia"/>
                <w:b/>
                <w:sz w:val="21"/>
              </w:rPr>
              <w:t>80. 婴儿进行性脊肌萎缩症</w:t>
            </w:r>
          </w:p>
        </w:tc>
        <w:tc>
          <w:tcPr>
            <w:tcW w:w="6078" w:type="dxa"/>
          </w:tcPr>
          <w:p>
            <w:pPr>
              <w:pStyle w:val="TableParagraph"/>
              <w:spacing w:line="273" w:lineRule="auto" w:before="155"/>
              <w:ind w:left="109" w:right="82"/>
              <w:jc w:val="both"/>
              <w:rPr>
                <w:sz w:val="21"/>
              </w:rPr>
            </w:pPr>
            <w:r>
              <w:rPr>
                <w:sz w:val="21"/>
              </w:rPr>
              <w:t>该病是累及脊髓前角细胞及延髓运动核的神经元退行性变性病。在出生后两年内出现的脊髓和脑干颅神经前角细胞进行性机能障碍，伴随肌肉无力和延髓机能障碍。</w:t>
            </w:r>
          </w:p>
          <w:p>
            <w:pPr>
              <w:pStyle w:val="TableParagraph"/>
              <w:spacing w:line="273" w:lineRule="auto" w:before="8"/>
              <w:ind w:left="109" w:right="98"/>
              <w:jc w:val="both"/>
              <w:rPr>
                <w:sz w:val="21"/>
              </w:rPr>
            </w:pPr>
            <w:r>
              <w:rPr>
                <w:spacing w:val="-6"/>
                <w:sz w:val="21"/>
              </w:rPr>
              <w:t>该病必须经由神经科医师通过肌肉活检而确诊。理赔时必须提供</w:t>
            </w:r>
            <w:r>
              <w:rPr>
                <w:spacing w:val="-7"/>
                <w:sz w:val="21"/>
              </w:rPr>
              <w:t>肌肉活检的病理报告。其它类型的脊肌萎缩症如Ⅱ型中间型进行</w:t>
            </w:r>
            <w:r>
              <w:rPr>
                <w:spacing w:val="-5"/>
                <w:sz w:val="21"/>
              </w:rPr>
              <w:t>性脊肌萎缩症，Ⅲ型少年型脊肌萎缩症(</w:t>
            </w:r>
            <w:r>
              <w:rPr>
                <w:sz w:val="21"/>
              </w:rPr>
              <w:t>Kugelberg-Welander</w:t>
            </w:r>
            <w:r>
              <w:rPr>
                <w:spacing w:val="-1"/>
                <w:sz w:val="21"/>
              </w:rPr>
              <w:t> 氏</w:t>
            </w:r>
            <w:r>
              <w:rPr>
                <w:spacing w:val="-3"/>
                <w:sz w:val="21"/>
              </w:rPr>
              <w:t>病)不在本保障范围之内。</w:t>
            </w:r>
          </w:p>
        </w:tc>
      </w:tr>
      <w:tr>
        <w:trPr>
          <w:trHeight w:val="4997" w:hRule="atLeast"/>
        </w:trPr>
        <w:tc>
          <w:tcPr>
            <w:tcW w:w="686" w:type="dxa"/>
          </w:tcPr>
          <w:p>
            <w:pPr>
              <w:pStyle w:val="TableParagraph"/>
              <w:ind w:left="0"/>
              <w:rPr>
                <w:rFonts w:ascii="Times New Roman"/>
                <w:sz w:val="20"/>
              </w:rPr>
            </w:pPr>
          </w:p>
        </w:tc>
        <w:tc>
          <w:tcPr>
            <w:tcW w:w="1543" w:type="dxa"/>
          </w:tcPr>
          <w:p>
            <w:pPr>
              <w:pStyle w:val="TableParagraph"/>
              <w:spacing w:before="102"/>
              <w:ind w:left="1013"/>
              <w:rPr>
                <w:rFonts w:ascii="Microsoft JhengHei" w:eastAsia="Microsoft JhengHei" w:hint="eastAsia"/>
                <w:b/>
                <w:sz w:val="21"/>
              </w:rPr>
            </w:pPr>
            <w:r>
              <w:rPr>
                <w:rFonts w:ascii="Microsoft JhengHei" w:eastAsia="Microsoft JhengHei" w:hint="eastAsia"/>
                <w:b/>
                <w:sz w:val="21"/>
              </w:rPr>
              <w:t>注：</w:t>
            </w:r>
          </w:p>
        </w:tc>
        <w:tc>
          <w:tcPr>
            <w:tcW w:w="6078" w:type="dxa"/>
          </w:tcPr>
          <w:p>
            <w:pPr>
              <w:pStyle w:val="TableParagraph"/>
              <w:spacing w:before="150"/>
              <w:ind w:left="109"/>
              <w:rPr>
                <w:sz w:val="21"/>
              </w:rPr>
            </w:pPr>
            <w:r>
              <w:rPr>
                <w:sz w:val="21"/>
              </w:rPr>
              <w:t>1、六项基本日常生活活动</w:t>
            </w:r>
          </w:p>
          <w:p>
            <w:pPr>
              <w:pStyle w:val="TableParagraph"/>
              <w:spacing w:before="33"/>
              <w:ind w:left="109"/>
              <w:rPr>
                <w:sz w:val="21"/>
              </w:rPr>
            </w:pPr>
            <w:r>
              <w:rPr>
                <w:spacing w:val="-10"/>
                <w:w w:val="100"/>
                <w:sz w:val="21"/>
              </w:rPr>
              <w:t>六项基本日常生活活动是指：</w:t>
            </w:r>
            <w:r>
              <w:rPr>
                <w:spacing w:val="-4"/>
                <w:w w:val="100"/>
                <w:sz w:val="21"/>
              </w:rPr>
              <w:t>（</w:t>
            </w:r>
            <w:r>
              <w:rPr>
                <w:w w:val="100"/>
                <w:sz w:val="21"/>
              </w:rPr>
              <w:t>1）</w:t>
            </w:r>
            <w:r>
              <w:rPr>
                <w:spacing w:val="-4"/>
                <w:w w:val="100"/>
                <w:sz w:val="21"/>
              </w:rPr>
              <w:t>穿衣：自己能够穿衣及脱衣；</w:t>
            </w:r>
          </w:p>
          <w:p>
            <w:pPr>
              <w:pStyle w:val="TableParagraph"/>
              <w:spacing w:line="273" w:lineRule="auto" w:before="37"/>
              <w:ind w:left="109" w:right="99"/>
              <w:jc w:val="both"/>
              <w:rPr>
                <w:sz w:val="21"/>
              </w:rPr>
            </w:pPr>
            <w:r>
              <w:rPr>
                <w:w w:val="100"/>
                <w:sz w:val="21"/>
              </w:rPr>
              <w:t>（2</w:t>
            </w:r>
            <w:r>
              <w:rPr>
                <w:spacing w:val="-25"/>
                <w:w w:val="100"/>
                <w:sz w:val="21"/>
              </w:rPr>
              <w:t>）</w:t>
            </w:r>
            <w:r>
              <w:rPr>
                <w:spacing w:val="-7"/>
                <w:w w:val="100"/>
                <w:sz w:val="21"/>
              </w:rPr>
              <w:t>移动：自己从一个房间到另一个房间</w:t>
            </w:r>
            <w:r>
              <w:rPr>
                <w:spacing w:val="-135"/>
                <w:w w:val="100"/>
                <w:sz w:val="21"/>
              </w:rPr>
              <w:t>；</w:t>
            </w:r>
            <w:r>
              <w:rPr>
                <w:spacing w:val="0"/>
                <w:w w:val="100"/>
                <w:sz w:val="21"/>
              </w:rPr>
              <w:t>（</w:t>
            </w:r>
            <w:r>
              <w:rPr>
                <w:w w:val="100"/>
                <w:sz w:val="21"/>
              </w:rPr>
              <w:t>3</w:t>
            </w:r>
            <w:r>
              <w:rPr>
                <w:spacing w:val="-29"/>
                <w:w w:val="100"/>
                <w:sz w:val="21"/>
              </w:rPr>
              <w:t>）</w:t>
            </w:r>
            <w:r>
              <w:rPr>
                <w:spacing w:val="-6"/>
                <w:w w:val="100"/>
                <w:sz w:val="21"/>
              </w:rPr>
              <w:t>行动：自己上下</w:t>
            </w:r>
            <w:r>
              <w:rPr>
                <w:spacing w:val="-21"/>
                <w:w w:val="100"/>
                <w:sz w:val="21"/>
              </w:rPr>
              <w:t>床或上下轮椅；</w:t>
            </w:r>
            <w:r>
              <w:rPr>
                <w:spacing w:val="0"/>
                <w:w w:val="100"/>
                <w:sz w:val="21"/>
              </w:rPr>
              <w:t>（</w:t>
            </w:r>
            <w:r>
              <w:rPr>
                <w:w w:val="100"/>
                <w:sz w:val="21"/>
              </w:rPr>
              <w:t>4</w:t>
            </w:r>
            <w:r>
              <w:rPr>
                <w:spacing w:val="-5"/>
                <w:w w:val="100"/>
                <w:sz w:val="21"/>
              </w:rPr>
              <w:t>）</w:t>
            </w:r>
            <w:r>
              <w:rPr>
                <w:spacing w:val="-14"/>
                <w:w w:val="100"/>
                <w:sz w:val="21"/>
              </w:rPr>
              <w:t>如厕：自己控制进行大小便；</w:t>
            </w:r>
            <w:r>
              <w:rPr>
                <w:spacing w:val="0"/>
                <w:w w:val="100"/>
                <w:sz w:val="21"/>
              </w:rPr>
              <w:t>（</w:t>
            </w:r>
            <w:r>
              <w:rPr>
                <w:spacing w:val="-5"/>
                <w:w w:val="100"/>
                <w:sz w:val="21"/>
              </w:rPr>
              <w:t>5）</w:t>
            </w:r>
            <w:r>
              <w:rPr>
                <w:spacing w:val="-2"/>
                <w:w w:val="100"/>
                <w:sz w:val="21"/>
              </w:rPr>
              <w:t>进食：自</w:t>
            </w:r>
            <w:r>
              <w:rPr>
                <w:spacing w:val="-11"/>
                <w:w w:val="100"/>
                <w:sz w:val="21"/>
              </w:rPr>
              <w:t>己从已准备好的碗或碟中取食物放入口中；</w:t>
            </w:r>
            <w:r>
              <w:rPr>
                <w:spacing w:val="-3"/>
                <w:w w:val="100"/>
                <w:sz w:val="21"/>
              </w:rPr>
              <w:t>（</w:t>
            </w:r>
            <w:r>
              <w:rPr>
                <w:w w:val="100"/>
                <w:sz w:val="21"/>
              </w:rPr>
              <w:t>6</w:t>
            </w:r>
            <w:r>
              <w:rPr>
                <w:spacing w:val="-5"/>
                <w:w w:val="100"/>
                <w:sz w:val="21"/>
              </w:rPr>
              <w:t>）洗澡：自己进行</w:t>
            </w:r>
            <w:r>
              <w:rPr>
                <w:spacing w:val="-5"/>
                <w:sz w:val="21"/>
              </w:rPr>
              <w:t>淋浴或盆浴。</w:t>
            </w:r>
          </w:p>
          <w:p>
            <w:pPr>
              <w:pStyle w:val="TableParagraph"/>
              <w:spacing w:before="7"/>
              <w:ind w:left="109"/>
              <w:rPr>
                <w:sz w:val="21"/>
              </w:rPr>
            </w:pPr>
            <w:r>
              <w:rPr>
                <w:sz w:val="21"/>
              </w:rPr>
              <w:t>2、肢体机能完全丧失</w:t>
            </w:r>
          </w:p>
          <w:p>
            <w:pPr>
              <w:pStyle w:val="TableParagraph"/>
              <w:spacing w:line="273" w:lineRule="auto" w:before="37"/>
              <w:ind w:left="109" w:right="69"/>
              <w:rPr>
                <w:sz w:val="21"/>
              </w:rPr>
            </w:pPr>
            <w:r>
              <w:rPr>
                <w:sz w:val="21"/>
              </w:rPr>
              <w:t>指肢体的三大关节中的两大关节僵硬，或不能随意识活动。肢体是指包括肩关节的整个上肢或包括髋关节的整个下肢。</w:t>
            </w:r>
          </w:p>
          <w:p>
            <w:pPr>
              <w:pStyle w:val="TableParagraph"/>
              <w:spacing w:before="7"/>
              <w:ind w:left="109"/>
              <w:rPr>
                <w:sz w:val="21"/>
              </w:rPr>
            </w:pPr>
            <w:r>
              <w:rPr>
                <w:sz w:val="21"/>
              </w:rPr>
              <w:t>3、语言能力或咀嚼吞咽能力完全丧失</w:t>
            </w:r>
          </w:p>
          <w:p>
            <w:pPr>
              <w:pStyle w:val="TableParagraph"/>
              <w:spacing w:line="273" w:lineRule="auto" w:before="36"/>
              <w:ind w:left="109" w:right="-15"/>
              <w:rPr>
                <w:sz w:val="21"/>
              </w:rPr>
            </w:pPr>
            <w:r>
              <w:rPr>
                <w:spacing w:val="-9"/>
                <w:sz w:val="21"/>
              </w:rPr>
              <w:t>语言能力完全丧失，指无法发出四种语音</w:t>
            </w:r>
            <w:r>
              <w:rPr>
                <w:sz w:val="21"/>
              </w:rPr>
              <w:t>（</w:t>
            </w:r>
            <w:r>
              <w:rPr>
                <w:spacing w:val="-8"/>
                <w:sz w:val="21"/>
              </w:rPr>
              <w:t>包括口唇音、齿舌音、</w:t>
            </w:r>
            <w:r>
              <w:rPr>
                <w:spacing w:val="-6"/>
                <w:sz w:val="21"/>
              </w:rPr>
              <w:t>口盖音和喉头音</w:t>
            </w:r>
            <w:r>
              <w:rPr>
                <w:spacing w:val="-10"/>
                <w:sz w:val="21"/>
              </w:rPr>
              <w:t>）</w:t>
            </w:r>
            <w:r>
              <w:rPr>
                <w:spacing w:val="-6"/>
                <w:sz w:val="21"/>
              </w:rPr>
              <w:t>中的任何三种、或声带全部切除，或因大脑语</w:t>
            </w:r>
            <w:r>
              <w:rPr>
                <w:spacing w:val="-12"/>
                <w:sz w:val="21"/>
              </w:rPr>
              <w:t>言中枢受伤害而患失语症。 咀嚼吞咽能力完全丧失，指因牙齿以</w:t>
            </w:r>
            <w:r>
              <w:rPr>
                <w:spacing w:val="-8"/>
                <w:sz w:val="21"/>
              </w:rPr>
              <w:t>外的原因导致器质障碍或机能障碍，以致不能作咀嚼吞咽运动， </w:t>
            </w:r>
            <w:r>
              <w:rPr>
                <w:spacing w:val="-6"/>
                <w:sz w:val="21"/>
              </w:rPr>
              <w:t>除流质食物外不能摄取或吞咽的状态。</w:t>
            </w:r>
          </w:p>
        </w:tc>
      </w:tr>
      <w:tr>
        <w:trPr>
          <w:trHeight w:val="481" w:hRule="atLeast"/>
        </w:trPr>
        <w:tc>
          <w:tcPr>
            <w:tcW w:w="686" w:type="dxa"/>
            <w:tcBorders>
              <w:bottom w:val="single" w:sz="8" w:space="0" w:color="000000"/>
            </w:tcBorders>
          </w:tcPr>
          <w:p>
            <w:pPr>
              <w:pStyle w:val="TableParagraph"/>
              <w:spacing w:line="403" w:lineRule="exact" w:before="58"/>
              <w:ind w:left="105"/>
              <w:rPr>
                <w:rFonts w:ascii="Microsoft JhengHei"/>
                <w:b/>
                <w:sz w:val="24"/>
              </w:rPr>
            </w:pPr>
            <w:r>
              <w:rPr>
                <w:rFonts w:ascii="Microsoft JhengHei"/>
                <w:b/>
                <w:w w:val="83"/>
                <w:sz w:val="24"/>
              </w:rPr>
              <w:t>9</w:t>
            </w:r>
            <w:r>
              <w:rPr>
                <w:rFonts w:ascii="Microsoft JhengHei"/>
                <w:b/>
                <w:w w:val="196"/>
                <w:sz w:val="24"/>
              </w:rPr>
              <w:t>.</w:t>
            </w:r>
          </w:p>
        </w:tc>
        <w:tc>
          <w:tcPr>
            <w:tcW w:w="1543" w:type="dxa"/>
            <w:tcBorders>
              <w:bottom w:val="single" w:sz="8" w:space="0" w:color="000000"/>
            </w:tcBorders>
          </w:tcPr>
          <w:p>
            <w:pPr>
              <w:pStyle w:val="TableParagraph"/>
              <w:spacing w:line="403" w:lineRule="exact" w:before="58"/>
              <w:ind w:left="264"/>
              <w:rPr>
                <w:rFonts w:ascii="Microsoft JhengHei" w:eastAsia="Microsoft JhengHei" w:hint="eastAsia"/>
                <w:b/>
                <w:sz w:val="24"/>
              </w:rPr>
            </w:pPr>
            <w:r>
              <w:rPr>
                <w:rFonts w:ascii="Microsoft JhengHei" w:eastAsia="Microsoft JhengHei" w:hint="eastAsia"/>
                <w:b/>
                <w:sz w:val="24"/>
              </w:rPr>
              <w:t>释义</w:t>
            </w:r>
          </w:p>
        </w:tc>
        <w:tc>
          <w:tcPr>
            <w:tcW w:w="6078" w:type="dxa"/>
            <w:tcBorders>
              <w:bottom w:val="single" w:sz="8" w:space="0" w:color="000000"/>
            </w:tcBorders>
          </w:tcPr>
          <w:p>
            <w:pPr>
              <w:pStyle w:val="TableParagraph"/>
              <w:ind w:left="0"/>
              <w:rPr>
                <w:rFonts w:ascii="Times New Roman"/>
                <w:sz w:val="20"/>
              </w:rPr>
            </w:pPr>
          </w:p>
        </w:tc>
      </w:tr>
      <w:tr>
        <w:trPr>
          <w:trHeight w:val="1095" w:hRule="atLeast"/>
        </w:trPr>
        <w:tc>
          <w:tcPr>
            <w:tcW w:w="686" w:type="dxa"/>
            <w:tcBorders>
              <w:top w:val="single" w:sz="8" w:space="0" w:color="000000"/>
            </w:tcBorders>
          </w:tcPr>
          <w:p>
            <w:pPr>
              <w:pStyle w:val="TableParagraph"/>
              <w:spacing w:before="7"/>
              <w:ind w:left="0"/>
              <w:rPr>
                <w:sz w:val="17"/>
              </w:rPr>
            </w:pPr>
          </w:p>
          <w:p>
            <w:pPr>
              <w:pStyle w:val="TableParagraph"/>
              <w:spacing w:before="1"/>
              <w:ind w:left="105"/>
              <w:rPr>
                <w:rFonts w:ascii="Microsoft JhengHei"/>
                <w:b/>
                <w:sz w:val="21"/>
              </w:rPr>
            </w:pPr>
            <w:r>
              <w:rPr>
                <w:rFonts w:ascii="Microsoft JhengHei"/>
                <w:b/>
                <w:w w:val="105"/>
                <w:sz w:val="21"/>
              </w:rPr>
              <w:t>9.1</w:t>
            </w:r>
          </w:p>
        </w:tc>
        <w:tc>
          <w:tcPr>
            <w:tcW w:w="1543" w:type="dxa"/>
            <w:tcBorders>
              <w:top w:val="single" w:sz="8" w:space="0" w:color="000000"/>
            </w:tcBorders>
          </w:tcPr>
          <w:p>
            <w:pPr>
              <w:pStyle w:val="TableParagraph"/>
              <w:spacing w:before="7"/>
              <w:ind w:left="0"/>
              <w:rPr>
                <w:sz w:val="17"/>
              </w:rPr>
            </w:pPr>
          </w:p>
          <w:p>
            <w:pPr>
              <w:pStyle w:val="TableParagraph"/>
              <w:spacing w:before="1"/>
              <w:ind w:left="264"/>
              <w:rPr>
                <w:rFonts w:ascii="Microsoft JhengHei" w:eastAsia="Microsoft JhengHei" w:hint="eastAsia"/>
                <w:b/>
                <w:sz w:val="21"/>
              </w:rPr>
            </w:pPr>
            <w:r>
              <w:rPr>
                <w:rFonts w:ascii="Microsoft JhengHei" w:eastAsia="Microsoft JhengHei" w:hint="eastAsia"/>
                <w:b/>
                <w:sz w:val="21"/>
              </w:rPr>
              <w:t>合法有效</w:t>
            </w:r>
          </w:p>
        </w:tc>
        <w:tc>
          <w:tcPr>
            <w:tcW w:w="6078" w:type="dxa"/>
            <w:tcBorders>
              <w:top w:val="single" w:sz="8" w:space="0" w:color="000000"/>
            </w:tcBorders>
          </w:tcPr>
          <w:p>
            <w:pPr>
              <w:pStyle w:val="TableParagraph"/>
              <w:spacing w:before="9"/>
              <w:ind w:left="0"/>
              <w:rPr>
                <w:sz w:val="22"/>
              </w:rPr>
            </w:pPr>
          </w:p>
          <w:p>
            <w:pPr>
              <w:pStyle w:val="TableParagraph"/>
              <w:spacing w:line="268" w:lineRule="auto"/>
              <w:ind w:left="109" w:right="84"/>
              <w:rPr>
                <w:sz w:val="21"/>
              </w:rPr>
            </w:pPr>
            <w:r>
              <w:rPr>
                <w:sz w:val="21"/>
              </w:rPr>
              <w:t>本附加合同所指合法有效均以中华人民共和国法律、法规、行政规章及有关规范性法律文件的规定为判定依据。</w:t>
            </w:r>
          </w:p>
        </w:tc>
      </w:tr>
      <w:tr>
        <w:trPr>
          <w:trHeight w:val="1263" w:hRule="atLeast"/>
        </w:trPr>
        <w:tc>
          <w:tcPr>
            <w:tcW w:w="686" w:type="dxa"/>
          </w:tcPr>
          <w:p>
            <w:pPr>
              <w:pStyle w:val="TableParagraph"/>
              <w:spacing w:before="85"/>
              <w:ind w:left="105"/>
              <w:rPr>
                <w:rFonts w:ascii="Microsoft JhengHei"/>
                <w:b/>
                <w:sz w:val="21"/>
              </w:rPr>
            </w:pPr>
            <w:r>
              <w:rPr>
                <w:rFonts w:ascii="Microsoft JhengHei"/>
                <w:b/>
                <w:w w:val="105"/>
                <w:sz w:val="21"/>
              </w:rPr>
              <w:t>9.2</w:t>
            </w:r>
          </w:p>
        </w:tc>
        <w:tc>
          <w:tcPr>
            <w:tcW w:w="1543" w:type="dxa"/>
          </w:tcPr>
          <w:p>
            <w:pPr>
              <w:pStyle w:val="TableParagraph"/>
              <w:spacing w:line="201" w:lineRule="auto" w:before="144"/>
              <w:ind w:left="264" w:right="220"/>
              <w:rPr>
                <w:rFonts w:ascii="Microsoft JhengHei" w:eastAsia="Microsoft JhengHei" w:hint="eastAsia"/>
                <w:b/>
                <w:sz w:val="21"/>
              </w:rPr>
            </w:pPr>
            <w:r>
              <w:rPr>
                <w:rFonts w:ascii="Microsoft JhengHei" w:eastAsia="Microsoft JhengHei" w:hint="eastAsia"/>
                <w:b/>
                <w:sz w:val="21"/>
              </w:rPr>
              <w:t>保险费约定交纳日</w:t>
            </w:r>
          </w:p>
        </w:tc>
        <w:tc>
          <w:tcPr>
            <w:tcW w:w="6078" w:type="dxa"/>
          </w:tcPr>
          <w:p>
            <w:pPr>
              <w:pStyle w:val="TableParagraph"/>
              <w:spacing w:line="271" w:lineRule="auto" w:before="152"/>
              <w:ind w:left="109" w:right="101"/>
              <w:jc w:val="both"/>
              <w:rPr>
                <w:sz w:val="21"/>
              </w:rPr>
            </w:pPr>
            <w:r>
              <w:rPr>
                <w:spacing w:val="-6"/>
                <w:sz w:val="21"/>
              </w:rPr>
              <w:t>保险合同生效日在每月、每季、每半年或者每年</w:t>
            </w:r>
            <w:r>
              <w:rPr>
                <w:sz w:val="21"/>
              </w:rPr>
              <w:t>（</w:t>
            </w:r>
            <w:r>
              <w:rPr>
                <w:spacing w:val="-2"/>
                <w:sz w:val="21"/>
              </w:rPr>
              <w:t>根据交费方式确定</w:t>
            </w:r>
            <w:r>
              <w:rPr>
                <w:spacing w:val="-5"/>
                <w:sz w:val="21"/>
              </w:rPr>
              <w:t>）</w:t>
            </w:r>
            <w:r>
              <w:rPr>
                <w:spacing w:val="-6"/>
                <w:sz w:val="21"/>
              </w:rPr>
              <w:t>的对应日。如果当月无对应的同一日，则以该月最后一日为对应日。</w:t>
            </w:r>
          </w:p>
        </w:tc>
      </w:tr>
      <w:tr>
        <w:trPr>
          <w:trHeight w:val="1670" w:hRule="atLeast"/>
        </w:trPr>
        <w:tc>
          <w:tcPr>
            <w:tcW w:w="686" w:type="dxa"/>
          </w:tcPr>
          <w:p>
            <w:pPr>
              <w:pStyle w:val="TableParagraph"/>
              <w:spacing w:before="85"/>
              <w:ind w:left="105"/>
              <w:rPr>
                <w:rFonts w:ascii="Microsoft JhengHei"/>
                <w:b/>
                <w:sz w:val="21"/>
              </w:rPr>
            </w:pPr>
            <w:r>
              <w:rPr>
                <w:rFonts w:ascii="Microsoft JhengHei"/>
                <w:b/>
                <w:w w:val="105"/>
                <w:sz w:val="21"/>
              </w:rPr>
              <w:t>9.3</w:t>
            </w:r>
          </w:p>
        </w:tc>
        <w:tc>
          <w:tcPr>
            <w:tcW w:w="1543" w:type="dxa"/>
          </w:tcPr>
          <w:p>
            <w:pPr>
              <w:pStyle w:val="TableParagraph"/>
              <w:spacing w:before="85"/>
              <w:ind w:left="264"/>
              <w:rPr>
                <w:rFonts w:ascii="Microsoft JhengHei" w:eastAsia="Microsoft JhengHei" w:hint="eastAsia"/>
                <w:b/>
                <w:sz w:val="21"/>
              </w:rPr>
            </w:pPr>
            <w:r>
              <w:rPr>
                <w:rFonts w:ascii="Microsoft JhengHei" w:eastAsia="Microsoft JhengHei" w:hint="eastAsia"/>
                <w:b/>
                <w:sz w:val="21"/>
              </w:rPr>
              <w:t>周岁</w:t>
            </w:r>
          </w:p>
        </w:tc>
        <w:tc>
          <w:tcPr>
            <w:tcW w:w="6078" w:type="dxa"/>
          </w:tcPr>
          <w:p>
            <w:pPr>
              <w:pStyle w:val="TableParagraph"/>
              <w:spacing w:line="271" w:lineRule="auto" w:before="152"/>
              <w:ind w:left="109" w:right="101"/>
              <w:jc w:val="both"/>
              <w:rPr>
                <w:sz w:val="21"/>
              </w:rPr>
            </w:pPr>
            <w:r>
              <w:rPr>
                <w:spacing w:val="-6"/>
                <w:sz w:val="21"/>
              </w:rPr>
              <w:t>指按有效身份证件中记载的出生日期计算的年龄，自出生之日起</w:t>
            </w:r>
            <w:r>
              <w:rPr>
                <w:spacing w:val="-7"/>
                <w:sz w:val="21"/>
              </w:rPr>
              <w:t>为零周岁，每经过一年增加一岁，不足一年的不计。例如，出生</w:t>
            </w:r>
            <w:r>
              <w:rPr>
                <w:spacing w:val="-18"/>
                <w:sz w:val="21"/>
              </w:rPr>
              <w:t>日期为 </w:t>
            </w:r>
            <w:r>
              <w:rPr>
                <w:sz w:val="21"/>
              </w:rPr>
              <w:t>2000</w:t>
            </w:r>
            <w:r>
              <w:rPr>
                <w:spacing w:val="-35"/>
                <w:sz w:val="21"/>
              </w:rPr>
              <w:t> 年 </w:t>
            </w:r>
            <w:r>
              <w:rPr>
                <w:sz w:val="21"/>
              </w:rPr>
              <w:t>9</w:t>
            </w:r>
            <w:r>
              <w:rPr>
                <w:spacing w:val="-35"/>
                <w:sz w:val="21"/>
              </w:rPr>
              <w:t> 月 </w:t>
            </w:r>
            <w:r>
              <w:rPr>
                <w:sz w:val="21"/>
              </w:rPr>
              <w:t>1</w:t>
            </w:r>
            <w:r>
              <w:rPr>
                <w:spacing w:val="-26"/>
                <w:sz w:val="21"/>
              </w:rPr>
              <w:t> 日</w:t>
            </w:r>
            <w:r>
              <w:rPr>
                <w:sz w:val="21"/>
              </w:rPr>
              <w:t>，2000</w:t>
            </w:r>
            <w:r>
              <w:rPr>
                <w:spacing w:val="-35"/>
                <w:sz w:val="21"/>
              </w:rPr>
              <w:t> 年 </w:t>
            </w:r>
            <w:r>
              <w:rPr>
                <w:sz w:val="21"/>
              </w:rPr>
              <w:t>9</w:t>
            </w:r>
            <w:r>
              <w:rPr>
                <w:spacing w:val="-35"/>
                <w:sz w:val="21"/>
              </w:rPr>
              <w:t> 月 </w:t>
            </w:r>
            <w:r>
              <w:rPr>
                <w:sz w:val="21"/>
              </w:rPr>
              <w:t>1</w:t>
            </w:r>
            <w:r>
              <w:rPr>
                <w:spacing w:val="-27"/>
                <w:sz w:val="21"/>
              </w:rPr>
              <w:t> 日至 </w:t>
            </w:r>
            <w:r>
              <w:rPr>
                <w:sz w:val="21"/>
              </w:rPr>
              <w:t>2001</w:t>
            </w:r>
            <w:r>
              <w:rPr>
                <w:spacing w:val="-36"/>
                <w:sz w:val="21"/>
              </w:rPr>
              <w:t> 年 </w:t>
            </w:r>
            <w:r>
              <w:rPr>
                <w:sz w:val="21"/>
              </w:rPr>
              <w:t>8</w:t>
            </w:r>
            <w:r>
              <w:rPr>
                <w:spacing w:val="-35"/>
                <w:sz w:val="21"/>
              </w:rPr>
              <w:t> 月 </w:t>
            </w:r>
            <w:r>
              <w:rPr>
                <w:sz w:val="21"/>
              </w:rPr>
              <w:t>31</w:t>
            </w:r>
            <w:r>
              <w:rPr>
                <w:spacing w:val="-26"/>
                <w:sz w:val="21"/>
              </w:rPr>
              <w:t> 日</w:t>
            </w:r>
          </w:p>
          <w:p>
            <w:pPr>
              <w:pStyle w:val="TableParagraph"/>
              <w:spacing w:line="312" w:lineRule="exact" w:before="5"/>
              <w:ind w:left="109" w:right="98"/>
              <w:jc w:val="both"/>
              <w:rPr>
                <w:sz w:val="21"/>
              </w:rPr>
            </w:pPr>
            <w:r>
              <w:rPr>
                <w:spacing w:val="-13"/>
                <w:sz w:val="21"/>
              </w:rPr>
              <w:t>期间为 </w:t>
            </w:r>
            <w:r>
              <w:rPr>
                <w:sz w:val="21"/>
              </w:rPr>
              <w:t>0</w:t>
            </w:r>
            <w:r>
              <w:rPr>
                <w:spacing w:val="-19"/>
                <w:sz w:val="21"/>
              </w:rPr>
              <w:t> 周岁，</w:t>
            </w:r>
            <w:r>
              <w:rPr>
                <w:spacing w:val="-15"/>
                <w:sz w:val="21"/>
              </w:rPr>
              <w:t>2001</w:t>
            </w:r>
            <w:r>
              <w:rPr>
                <w:spacing w:val="-36"/>
                <w:sz w:val="21"/>
              </w:rPr>
              <w:t> 年 </w:t>
            </w:r>
            <w:r>
              <w:rPr>
                <w:sz w:val="21"/>
              </w:rPr>
              <w:t>9</w:t>
            </w:r>
            <w:r>
              <w:rPr>
                <w:spacing w:val="-36"/>
                <w:sz w:val="21"/>
              </w:rPr>
              <w:t> 月 </w:t>
            </w:r>
            <w:r>
              <w:rPr>
                <w:sz w:val="21"/>
              </w:rPr>
              <w:t>1</w:t>
            </w:r>
            <w:r>
              <w:rPr>
                <w:spacing w:val="-27"/>
                <w:sz w:val="21"/>
              </w:rPr>
              <w:t> 日至 </w:t>
            </w:r>
            <w:r>
              <w:rPr>
                <w:sz w:val="21"/>
              </w:rPr>
              <w:t>2002</w:t>
            </w:r>
            <w:r>
              <w:rPr>
                <w:spacing w:val="-35"/>
                <w:sz w:val="21"/>
              </w:rPr>
              <w:t> 年 </w:t>
            </w:r>
            <w:r>
              <w:rPr>
                <w:sz w:val="21"/>
              </w:rPr>
              <w:t>8</w:t>
            </w:r>
            <w:r>
              <w:rPr>
                <w:spacing w:val="-36"/>
                <w:sz w:val="21"/>
              </w:rPr>
              <w:t> 月 </w:t>
            </w:r>
            <w:r>
              <w:rPr>
                <w:sz w:val="21"/>
              </w:rPr>
              <w:t>31</w:t>
            </w:r>
            <w:r>
              <w:rPr>
                <w:spacing w:val="-19"/>
                <w:sz w:val="21"/>
              </w:rPr>
              <w:t> 日期间为 </w:t>
            </w:r>
            <w:r>
              <w:rPr>
                <w:sz w:val="21"/>
              </w:rPr>
              <w:t>1</w:t>
            </w:r>
            <w:r>
              <w:rPr>
                <w:spacing w:val="-26"/>
                <w:sz w:val="21"/>
              </w:rPr>
              <w:t> 周</w:t>
            </w:r>
            <w:r>
              <w:rPr>
                <w:spacing w:val="-17"/>
                <w:sz w:val="21"/>
              </w:rPr>
              <w:t>岁，依此类推。</w:t>
            </w:r>
          </w:p>
        </w:tc>
      </w:tr>
    </w:tbl>
    <w:p>
      <w:pPr>
        <w:spacing w:after="0" w:line="312" w:lineRule="exact"/>
        <w:jc w:val="both"/>
        <w:rPr>
          <w:sz w:val="21"/>
        </w:rPr>
        <w:sectPr>
          <w:pgSz w:w="11910" w:h="16840"/>
          <w:pgMar w:header="0" w:footer="150" w:top="106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1"/>
        <w:gridCol w:w="1486"/>
        <w:gridCol w:w="6252"/>
      </w:tblGrid>
      <w:tr>
        <w:trPr>
          <w:trHeight w:val="1361" w:hRule="atLeast"/>
        </w:trPr>
        <w:tc>
          <w:tcPr>
            <w:tcW w:w="781" w:type="dxa"/>
          </w:tcPr>
          <w:p>
            <w:pPr>
              <w:pStyle w:val="TableParagraph"/>
              <w:spacing w:line="235" w:lineRule="exact"/>
              <w:ind w:left="180" w:right="242"/>
              <w:jc w:val="center"/>
              <w:rPr>
                <w:rFonts w:ascii="Microsoft JhengHei"/>
                <w:b/>
                <w:sz w:val="21"/>
              </w:rPr>
            </w:pPr>
            <w:r>
              <w:rPr>
                <w:rFonts w:ascii="Microsoft JhengHei"/>
                <w:b/>
                <w:w w:val="84"/>
                <w:sz w:val="21"/>
              </w:rPr>
              <w:t>9</w:t>
            </w:r>
            <w:r>
              <w:rPr>
                <w:rFonts w:ascii="Microsoft JhengHei"/>
                <w:b/>
                <w:w w:val="197"/>
                <w:sz w:val="21"/>
              </w:rPr>
              <w:t>.</w:t>
            </w:r>
            <w:r>
              <w:rPr>
                <w:rFonts w:ascii="Microsoft JhengHei"/>
                <w:b/>
                <w:w w:val="84"/>
                <w:sz w:val="21"/>
              </w:rPr>
              <w:t>4</w:t>
            </w:r>
          </w:p>
        </w:tc>
        <w:tc>
          <w:tcPr>
            <w:tcW w:w="1486" w:type="dxa"/>
          </w:tcPr>
          <w:p>
            <w:pPr>
              <w:pStyle w:val="TableParagraph"/>
              <w:spacing w:line="208" w:lineRule="exact"/>
              <w:ind w:left="263"/>
              <w:rPr>
                <w:rFonts w:ascii="Microsoft JhengHei" w:eastAsia="Microsoft JhengHei" w:hint="eastAsia"/>
                <w:b/>
                <w:sz w:val="21"/>
              </w:rPr>
            </w:pPr>
            <w:r>
              <w:rPr>
                <w:rFonts w:ascii="Microsoft JhengHei" w:eastAsia="Microsoft JhengHei" w:hint="eastAsia"/>
                <w:b/>
                <w:sz w:val="21"/>
              </w:rPr>
              <w:t>有效身份证</w:t>
            </w:r>
          </w:p>
          <w:p>
            <w:pPr>
              <w:pStyle w:val="TableParagraph"/>
              <w:spacing w:line="339" w:lineRule="exact"/>
              <w:ind w:left="263"/>
              <w:rPr>
                <w:rFonts w:ascii="Microsoft JhengHei" w:eastAsia="Microsoft JhengHei" w:hint="eastAsia"/>
                <w:b/>
                <w:sz w:val="21"/>
              </w:rPr>
            </w:pPr>
            <w:r>
              <w:rPr>
                <w:rFonts w:ascii="Microsoft JhengHei" w:eastAsia="Microsoft JhengHei" w:hint="eastAsia"/>
                <w:b/>
                <w:w w:val="100"/>
                <w:sz w:val="21"/>
              </w:rPr>
              <w:t>件</w:t>
            </w:r>
          </w:p>
        </w:tc>
        <w:tc>
          <w:tcPr>
            <w:tcW w:w="6252" w:type="dxa"/>
          </w:tcPr>
          <w:p>
            <w:pPr>
              <w:pStyle w:val="TableParagraph"/>
              <w:spacing w:line="211" w:lineRule="exact"/>
              <w:ind w:left="165"/>
              <w:rPr>
                <w:sz w:val="21"/>
              </w:rPr>
            </w:pPr>
            <w:r>
              <w:rPr>
                <w:sz w:val="21"/>
              </w:rPr>
              <w:t>指由中华人民共和国政府主管部门规定的能够证明其身份的证</w:t>
            </w:r>
          </w:p>
          <w:p>
            <w:pPr>
              <w:pStyle w:val="TableParagraph"/>
              <w:spacing w:line="273" w:lineRule="auto" w:before="37"/>
              <w:ind w:left="165" w:right="219"/>
              <w:jc w:val="both"/>
              <w:rPr>
                <w:sz w:val="21"/>
              </w:rPr>
            </w:pPr>
            <w:r>
              <w:rPr>
                <w:spacing w:val="-6"/>
                <w:sz w:val="21"/>
              </w:rPr>
              <w:t>件，如：居民身份证、军官证、警官证、士兵证、户口簿以及中</w:t>
            </w:r>
            <w:r>
              <w:rPr>
                <w:spacing w:val="1"/>
                <w:sz w:val="21"/>
              </w:rPr>
              <w:t>华人民共和国政府主管部门颁发或者认可的有效护照或者其他</w:t>
            </w:r>
            <w:r>
              <w:rPr>
                <w:sz w:val="21"/>
              </w:rPr>
              <w:t>身份证明文件。</w:t>
            </w:r>
          </w:p>
        </w:tc>
      </w:tr>
      <w:tr>
        <w:trPr>
          <w:trHeight w:val="950" w:hRule="atLeast"/>
        </w:trPr>
        <w:tc>
          <w:tcPr>
            <w:tcW w:w="781" w:type="dxa"/>
          </w:tcPr>
          <w:p>
            <w:pPr>
              <w:pStyle w:val="TableParagraph"/>
              <w:spacing w:before="83"/>
              <w:ind w:left="180" w:right="242"/>
              <w:jc w:val="center"/>
              <w:rPr>
                <w:rFonts w:ascii="Microsoft JhengHei"/>
                <w:b/>
                <w:sz w:val="21"/>
              </w:rPr>
            </w:pPr>
            <w:r>
              <w:rPr>
                <w:rFonts w:ascii="Microsoft JhengHei"/>
                <w:b/>
                <w:w w:val="105"/>
                <w:sz w:val="21"/>
              </w:rPr>
              <w:t>9.5</w:t>
            </w:r>
          </w:p>
        </w:tc>
        <w:tc>
          <w:tcPr>
            <w:tcW w:w="1486" w:type="dxa"/>
          </w:tcPr>
          <w:p>
            <w:pPr>
              <w:pStyle w:val="TableParagraph"/>
              <w:spacing w:before="83"/>
              <w:ind w:left="263"/>
              <w:rPr>
                <w:rFonts w:ascii="Microsoft JhengHei" w:eastAsia="Microsoft JhengHei" w:hint="eastAsia"/>
                <w:b/>
                <w:sz w:val="21"/>
              </w:rPr>
            </w:pPr>
            <w:r>
              <w:rPr>
                <w:rFonts w:ascii="Microsoft JhengHei" w:eastAsia="Microsoft JhengHei" w:hint="eastAsia"/>
                <w:b/>
                <w:sz w:val="21"/>
              </w:rPr>
              <w:t>意外伤害</w:t>
            </w:r>
          </w:p>
        </w:tc>
        <w:tc>
          <w:tcPr>
            <w:tcW w:w="6252" w:type="dxa"/>
          </w:tcPr>
          <w:p>
            <w:pPr>
              <w:pStyle w:val="TableParagraph"/>
              <w:spacing w:line="273" w:lineRule="auto" w:before="150"/>
              <w:ind w:left="165" w:right="187"/>
              <w:rPr>
                <w:sz w:val="21"/>
              </w:rPr>
            </w:pPr>
            <w:r>
              <w:rPr>
                <w:sz w:val="21"/>
              </w:rPr>
              <w:t>指遭受外来的、突发的、非本意的、非疾病的客观事件直接致使身体受到的伤害。</w:t>
            </w:r>
          </w:p>
        </w:tc>
      </w:tr>
      <w:tr>
        <w:trPr>
          <w:trHeight w:val="3445" w:hRule="atLeast"/>
        </w:trPr>
        <w:tc>
          <w:tcPr>
            <w:tcW w:w="781" w:type="dxa"/>
          </w:tcPr>
          <w:p>
            <w:pPr>
              <w:pStyle w:val="TableParagraph"/>
              <w:spacing w:before="83"/>
              <w:ind w:left="180" w:right="242"/>
              <w:jc w:val="center"/>
              <w:rPr>
                <w:rFonts w:ascii="Microsoft JhengHei"/>
                <w:b/>
                <w:sz w:val="21"/>
              </w:rPr>
            </w:pPr>
            <w:r>
              <w:rPr>
                <w:rFonts w:ascii="Microsoft JhengHei"/>
                <w:b/>
                <w:w w:val="105"/>
                <w:sz w:val="21"/>
              </w:rPr>
              <w:t>9.6</w:t>
            </w:r>
          </w:p>
        </w:tc>
        <w:tc>
          <w:tcPr>
            <w:tcW w:w="1486" w:type="dxa"/>
          </w:tcPr>
          <w:p>
            <w:pPr>
              <w:pStyle w:val="TableParagraph"/>
              <w:spacing w:before="83"/>
              <w:ind w:left="263"/>
              <w:rPr>
                <w:rFonts w:ascii="Microsoft JhengHei" w:eastAsia="Microsoft JhengHei" w:hint="eastAsia"/>
                <w:b/>
                <w:sz w:val="21"/>
              </w:rPr>
            </w:pPr>
            <w:r>
              <w:rPr>
                <w:rFonts w:ascii="Microsoft JhengHei" w:eastAsia="Microsoft JhengHei" w:hint="eastAsia"/>
                <w:b/>
                <w:sz w:val="21"/>
              </w:rPr>
              <w:t>医院</w:t>
            </w:r>
          </w:p>
        </w:tc>
        <w:tc>
          <w:tcPr>
            <w:tcW w:w="6252" w:type="dxa"/>
          </w:tcPr>
          <w:p>
            <w:pPr>
              <w:pStyle w:val="TableParagraph"/>
              <w:spacing w:line="271" w:lineRule="auto" w:before="150"/>
              <w:ind w:left="165" w:right="218"/>
              <w:jc w:val="both"/>
              <w:rPr>
                <w:sz w:val="21"/>
              </w:rPr>
            </w:pPr>
            <w:r>
              <w:rPr>
                <w:spacing w:val="-6"/>
                <w:sz w:val="21"/>
              </w:rPr>
              <w:t>指拥有卫生行政部门核发的《医疗机构执业许可证》</w:t>
            </w:r>
            <w:r>
              <w:rPr>
                <w:sz w:val="21"/>
              </w:rPr>
              <w:t>（</w:t>
            </w:r>
            <w:r>
              <w:rPr>
                <w:spacing w:val="-2"/>
                <w:sz w:val="21"/>
              </w:rPr>
              <w:t>国家不核</w:t>
            </w:r>
            <w:r>
              <w:rPr>
                <w:spacing w:val="-5"/>
                <w:sz w:val="21"/>
              </w:rPr>
              <w:t>拨经费、实行企业化经营的医院，还需依法申领营业执照），</w:t>
            </w:r>
            <w:r>
              <w:rPr>
                <w:sz w:val="21"/>
              </w:rPr>
              <w:t>有</w:t>
            </w:r>
            <w:r>
              <w:rPr>
                <w:spacing w:val="-6"/>
                <w:sz w:val="21"/>
              </w:rPr>
              <w:t>合格医生和护士提供二十四小时医疗护理服务的，具有系统性诊</w:t>
            </w:r>
            <w:r>
              <w:rPr>
                <w:spacing w:val="-7"/>
                <w:sz w:val="21"/>
              </w:rPr>
              <w:t>疗程序、手术设备和住院诊疗设施的，符合卫生部颁发的医疗机</w:t>
            </w:r>
            <w:r>
              <w:rPr>
                <w:spacing w:val="-8"/>
                <w:sz w:val="21"/>
              </w:rPr>
              <w:t>构基本标准的二级或二级以上医院。医院不包括康复医院或康复</w:t>
            </w:r>
            <w:r>
              <w:rPr>
                <w:spacing w:val="-5"/>
                <w:sz w:val="21"/>
              </w:rPr>
              <w:t>病房、精神病医院、疗养院、美容医院、护理院、戒酒或戒毒中</w:t>
            </w:r>
            <w:r>
              <w:rPr>
                <w:spacing w:val="-6"/>
                <w:sz w:val="21"/>
              </w:rPr>
              <w:t>心、精神心理治疗中心、急诊或门诊观察室、二级或三级医院的</w:t>
            </w:r>
            <w:r>
              <w:rPr>
                <w:spacing w:val="-7"/>
                <w:sz w:val="21"/>
              </w:rPr>
              <w:t>联合医院或联合病房、民营医院等，以及其它不符合本条款约定</w:t>
            </w:r>
            <w:r>
              <w:rPr>
                <w:spacing w:val="-8"/>
                <w:sz w:val="21"/>
              </w:rPr>
              <w:t>范围的医院。若本附加合同中附有关于医院范围的特别约定，则</w:t>
            </w:r>
            <w:r>
              <w:rPr>
                <w:spacing w:val="-6"/>
                <w:sz w:val="21"/>
              </w:rPr>
              <w:t>具体医院范围以此特别约定为准。</w:t>
            </w:r>
          </w:p>
        </w:tc>
      </w:tr>
      <w:tr>
        <w:trPr>
          <w:trHeight w:val="2590" w:hRule="atLeast"/>
        </w:trPr>
        <w:tc>
          <w:tcPr>
            <w:tcW w:w="781" w:type="dxa"/>
          </w:tcPr>
          <w:p>
            <w:pPr>
              <w:pStyle w:val="TableParagraph"/>
              <w:spacing w:before="85"/>
              <w:ind w:left="180" w:right="242"/>
              <w:jc w:val="center"/>
              <w:rPr>
                <w:rFonts w:ascii="Microsoft JhengHei"/>
                <w:b/>
                <w:sz w:val="21"/>
              </w:rPr>
            </w:pPr>
            <w:r>
              <w:rPr>
                <w:rFonts w:ascii="Microsoft JhengHei"/>
                <w:b/>
                <w:w w:val="105"/>
                <w:sz w:val="21"/>
              </w:rPr>
              <w:t>9.7</w:t>
            </w:r>
          </w:p>
        </w:tc>
        <w:tc>
          <w:tcPr>
            <w:tcW w:w="1486" w:type="dxa"/>
          </w:tcPr>
          <w:p>
            <w:pPr>
              <w:pStyle w:val="TableParagraph"/>
              <w:spacing w:before="85"/>
              <w:ind w:left="263"/>
              <w:rPr>
                <w:rFonts w:ascii="Microsoft JhengHei" w:eastAsia="Microsoft JhengHei" w:hint="eastAsia"/>
                <w:b/>
                <w:sz w:val="21"/>
              </w:rPr>
            </w:pPr>
            <w:r>
              <w:rPr>
                <w:rFonts w:ascii="Microsoft JhengHei" w:eastAsia="Microsoft JhengHei" w:hint="eastAsia"/>
                <w:b/>
                <w:sz w:val="21"/>
              </w:rPr>
              <w:t>专科医生</w:t>
            </w:r>
          </w:p>
        </w:tc>
        <w:tc>
          <w:tcPr>
            <w:tcW w:w="6252" w:type="dxa"/>
          </w:tcPr>
          <w:p>
            <w:pPr>
              <w:pStyle w:val="TableParagraph"/>
              <w:spacing w:before="152"/>
              <w:ind w:left="165"/>
              <w:rPr>
                <w:sz w:val="21"/>
              </w:rPr>
            </w:pPr>
            <w:r>
              <w:rPr>
                <w:sz w:val="21"/>
              </w:rPr>
              <w:t>专科医生应当同时满足以下四项资格条件：</w:t>
            </w:r>
          </w:p>
          <w:p>
            <w:pPr>
              <w:pStyle w:val="TableParagraph"/>
              <w:numPr>
                <w:ilvl w:val="0"/>
                <w:numId w:val="19"/>
              </w:numPr>
              <w:tabs>
                <w:tab w:pos="589" w:val="left" w:leader="none"/>
              </w:tabs>
              <w:spacing w:line="240" w:lineRule="auto" w:before="32" w:after="0"/>
              <w:ind w:left="588" w:right="0" w:hanging="423"/>
              <w:jc w:val="left"/>
              <w:rPr>
                <w:sz w:val="21"/>
              </w:rPr>
            </w:pPr>
            <w:r>
              <w:rPr>
                <w:spacing w:val="-10"/>
                <w:sz w:val="21"/>
              </w:rPr>
              <w:t>具有有效的中华人民共和国《医师资格证书》；</w:t>
            </w:r>
          </w:p>
          <w:p>
            <w:pPr>
              <w:pStyle w:val="TableParagraph"/>
              <w:numPr>
                <w:ilvl w:val="0"/>
                <w:numId w:val="19"/>
              </w:numPr>
              <w:tabs>
                <w:tab w:pos="589" w:val="left" w:leader="none"/>
              </w:tabs>
              <w:spacing w:line="273" w:lineRule="auto" w:before="37" w:after="0"/>
              <w:ind w:left="588" w:right="218" w:hanging="423"/>
              <w:jc w:val="left"/>
              <w:rPr>
                <w:sz w:val="21"/>
              </w:rPr>
            </w:pPr>
            <w:r>
              <w:rPr>
                <w:spacing w:val="-16"/>
                <w:sz w:val="21"/>
              </w:rPr>
              <w:t>具有有效的中华人民共和国《医师执业证书》，并按期到相关</w:t>
            </w:r>
            <w:r>
              <w:rPr>
                <w:spacing w:val="-11"/>
                <w:sz w:val="21"/>
              </w:rPr>
              <w:t>部门登记注册；</w:t>
            </w:r>
          </w:p>
          <w:p>
            <w:pPr>
              <w:pStyle w:val="TableParagraph"/>
              <w:numPr>
                <w:ilvl w:val="0"/>
                <w:numId w:val="19"/>
              </w:numPr>
              <w:tabs>
                <w:tab w:pos="589" w:val="left" w:leader="none"/>
              </w:tabs>
              <w:spacing w:line="273" w:lineRule="auto" w:before="7" w:after="0"/>
              <w:ind w:left="588" w:right="218" w:hanging="423"/>
              <w:jc w:val="left"/>
              <w:rPr>
                <w:sz w:val="21"/>
              </w:rPr>
            </w:pPr>
            <w:r>
              <w:rPr>
                <w:spacing w:val="1"/>
                <w:sz w:val="21"/>
              </w:rPr>
              <w:t>具有有效的中华人民共和国主治医师或者主治医师以上职</w:t>
            </w:r>
            <w:r>
              <w:rPr>
                <w:spacing w:val="-11"/>
                <w:sz w:val="21"/>
              </w:rPr>
              <w:t>称的《医师职称证书》；</w:t>
            </w:r>
          </w:p>
          <w:p>
            <w:pPr>
              <w:pStyle w:val="TableParagraph"/>
              <w:spacing w:before="89"/>
              <w:ind w:left="165"/>
              <w:rPr>
                <w:sz w:val="21"/>
              </w:rPr>
            </w:pPr>
            <w:r>
              <w:rPr>
                <w:sz w:val="21"/>
              </w:rPr>
              <w:t>在二级或者二级以上医院的相应科室从事临床工作三年以上。</w:t>
            </w:r>
          </w:p>
        </w:tc>
      </w:tr>
      <w:tr>
        <w:trPr>
          <w:trHeight w:val="6513" w:hRule="atLeast"/>
        </w:trPr>
        <w:tc>
          <w:tcPr>
            <w:tcW w:w="781" w:type="dxa"/>
          </w:tcPr>
          <w:p>
            <w:pPr>
              <w:pStyle w:val="TableParagraph"/>
              <w:spacing w:before="83"/>
              <w:ind w:left="180" w:right="242"/>
              <w:jc w:val="center"/>
              <w:rPr>
                <w:rFonts w:ascii="Microsoft JhengHei"/>
                <w:b/>
                <w:sz w:val="21"/>
              </w:rPr>
            </w:pPr>
            <w:r>
              <w:rPr>
                <w:rFonts w:ascii="Microsoft JhengHei"/>
                <w:b/>
                <w:w w:val="105"/>
                <w:sz w:val="21"/>
              </w:rPr>
              <w:t>9.8</w:t>
            </w:r>
          </w:p>
        </w:tc>
        <w:tc>
          <w:tcPr>
            <w:tcW w:w="1486" w:type="dxa"/>
          </w:tcPr>
          <w:p>
            <w:pPr>
              <w:pStyle w:val="TableParagraph"/>
              <w:spacing w:before="83"/>
              <w:ind w:left="263"/>
              <w:rPr>
                <w:rFonts w:ascii="Microsoft JhengHei" w:eastAsia="Microsoft JhengHei" w:hint="eastAsia"/>
                <w:b/>
                <w:sz w:val="21"/>
              </w:rPr>
            </w:pPr>
            <w:r>
              <w:rPr>
                <w:rFonts w:ascii="Microsoft JhengHei" w:eastAsia="Microsoft JhengHei" w:hint="eastAsia"/>
                <w:b/>
                <w:sz w:val="21"/>
              </w:rPr>
              <w:t>初次确诊</w:t>
            </w:r>
          </w:p>
        </w:tc>
        <w:tc>
          <w:tcPr>
            <w:tcW w:w="6252" w:type="dxa"/>
          </w:tcPr>
          <w:p>
            <w:pPr>
              <w:pStyle w:val="TableParagraph"/>
              <w:spacing w:line="273" w:lineRule="auto" w:before="150"/>
              <w:ind w:left="165" w:right="217"/>
              <w:jc w:val="both"/>
              <w:rPr>
                <w:sz w:val="21"/>
              </w:rPr>
            </w:pPr>
            <w:r>
              <w:rPr>
                <w:spacing w:val="1"/>
                <w:sz w:val="21"/>
              </w:rPr>
              <w:t>指自被保险人出生之日起第一次经医院的专科医生确诊患有某</w:t>
            </w:r>
            <w:r>
              <w:rPr>
                <w:spacing w:val="-6"/>
                <w:sz w:val="21"/>
              </w:rPr>
              <w:t>种疾病，而不是指自本附加合同生效、复效之后第一次经医院确</w:t>
            </w:r>
            <w:r>
              <w:rPr>
                <w:spacing w:val="-9"/>
                <w:sz w:val="21"/>
              </w:rPr>
              <w:t>诊患有某种疾病。例如，2010</w:t>
            </w:r>
            <w:r>
              <w:rPr>
                <w:spacing w:val="-31"/>
                <w:sz w:val="21"/>
              </w:rPr>
              <w:t> 年 </w:t>
            </w:r>
            <w:r>
              <w:rPr>
                <w:sz w:val="21"/>
              </w:rPr>
              <w:t>1</w:t>
            </w:r>
            <w:r>
              <w:rPr>
                <w:spacing w:val="-33"/>
                <w:sz w:val="21"/>
              </w:rPr>
              <w:t> 月 </w:t>
            </w:r>
            <w:r>
              <w:rPr>
                <w:sz w:val="21"/>
              </w:rPr>
              <w:t>1</w:t>
            </w:r>
            <w:r>
              <w:rPr>
                <w:spacing w:val="-8"/>
                <w:sz w:val="21"/>
              </w:rPr>
              <w:t> 日本附加合同经首次投保</w:t>
            </w:r>
            <w:r>
              <w:rPr>
                <w:spacing w:val="-7"/>
                <w:sz w:val="21"/>
              </w:rPr>
              <w:t>后生效，若：</w:t>
            </w:r>
          </w:p>
          <w:p>
            <w:pPr>
              <w:pStyle w:val="TableParagraph"/>
              <w:spacing w:before="166"/>
              <w:ind w:left="165"/>
              <w:rPr>
                <w:sz w:val="21"/>
              </w:rPr>
            </w:pPr>
            <w:r>
              <w:rPr>
                <w:sz w:val="21"/>
              </w:rPr>
              <w:t>（1）2009</w:t>
            </w:r>
            <w:r>
              <w:rPr>
                <w:spacing w:val="-29"/>
                <w:sz w:val="21"/>
              </w:rPr>
              <w:t> 年 </w:t>
            </w:r>
            <w:r>
              <w:rPr>
                <w:sz w:val="21"/>
              </w:rPr>
              <w:t>1</w:t>
            </w:r>
            <w:r>
              <w:rPr>
                <w:spacing w:val="-29"/>
                <w:sz w:val="21"/>
              </w:rPr>
              <w:t> 月 </w:t>
            </w:r>
            <w:r>
              <w:rPr>
                <w:sz w:val="21"/>
              </w:rPr>
              <w:t>1</w:t>
            </w:r>
            <w:r>
              <w:rPr>
                <w:spacing w:val="-8"/>
                <w:sz w:val="21"/>
              </w:rPr>
              <w:t> 日被保险人自出生后第一次经医院的专科医</w:t>
            </w:r>
          </w:p>
          <w:p>
            <w:pPr>
              <w:pStyle w:val="TableParagraph"/>
              <w:spacing w:before="32"/>
              <w:ind w:left="588"/>
              <w:rPr>
                <w:sz w:val="21"/>
              </w:rPr>
            </w:pPr>
            <w:r>
              <w:rPr>
                <w:spacing w:val="-18"/>
                <w:w w:val="100"/>
                <w:sz w:val="21"/>
              </w:rPr>
              <w:t>生确诊罹患“恶性肿瘤”，</w:t>
            </w:r>
            <w:r>
              <w:rPr>
                <w:w w:val="100"/>
                <w:sz w:val="21"/>
              </w:rPr>
              <w:t>20</w:t>
            </w:r>
            <w:r>
              <w:rPr>
                <w:spacing w:val="-5"/>
                <w:w w:val="100"/>
                <w:sz w:val="21"/>
              </w:rPr>
              <w:t>1</w:t>
            </w:r>
            <w:r>
              <w:rPr>
                <w:w w:val="100"/>
                <w:sz w:val="21"/>
              </w:rPr>
              <w:t>0</w:t>
            </w:r>
            <w:r>
              <w:rPr>
                <w:spacing w:val="-53"/>
                <w:sz w:val="21"/>
              </w:rPr>
              <w:t> </w:t>
            </w:r>
            <w:r>
              <w:rPr>
                <w:w w:val="100"/>
                <w:sz w:val="21"/>
              </w:rPr>
              <w:t>年</w:t>
            </w:r>
            <w:r>
              <w:rPr>
                <w:spacing w:val="-53"/>
                <w:sz w:val="21"/>
              </w:rPr>
              <w:t> </w:t>
            </w:r>
            <w:r>
              <w:rPr>
                <w:w w:val="100"/>
                <w:sz w:val="21"/>
              </w:rPr>
              <w:t>1</w:t>
            </w:r>
            <w:r>
              <w:rPr>
                <w:spacing w:val="-53"/>
                <w:sz w:val="21"/>
              </w:rPr>
              <w:t> </w:t>
            </w:r>
            <w:r>
              <w:rPr>
                <w:w w:val="100"/>
                <w:sz w:val="21"/>
              </w:rPr>
              <w:t>月</w:t>
            </w:r>
            <w:r>
              <w:rPr>
                <w:spacing w:val="-57"/>
                <w:sz w:val="21"/>
              </w:rPr>
              <w:t> </w:t>
            </w:r>
            <w:r>
              <w:rPr>
                <w:w w:val="100"/>
                <w:sz w:val="21"/>
              </w:rPr>
              <w:t>10</w:t>
            </w:r>
            <w:r>
              <w:rPr>
                <w:spacing w:val="-53"/>
                <w:sz w:val="21"/>
              </w:rPr>
              <w:t> </w:t>
            </w:r>
            <w:r>
              <w:rPr>
                <w:spacing w:val="-3"/>
                <w:w w:val="100"/>
                <w:sz w:val="21"/>
              </w:rPr>
              <w:t>日被保险人再次经</w:t>
            </w:r>
          </w:p>
          <w:p>
            <w:pPr>
              <w:pStyle w:val="TableParagraph"/>
              <w:spacing w:line="273" w:lineRule="auto" w:before="37"/>
              <w:ind w:left="588" w:right="216"/>
              <w:jc w:val="both"/>
              <w:rPr>
                <w:sz w:val="21"/>
              </w:rPr>
            </w:pPr>
            <w:r>
              <w:rPr>
                <w:spacing w:val="-11"/>
                <w:w w:val="100"/>
                <w:sz w:val="21"/>
              </w:rPr>
              <w:t>医院的专科医生确诊罹患“恶性肿瘤”，则</w:t>
            </w:r>
            <w:r>
              <w:rPr>
                <w:spacing w:val="-11"/>
                <w:sz w:val="21"/>
              </w:rPr>
              <w:t> </w:t>
            </w:r>
            <w:r>
              <w:rPr>
                <w:w w:val="100"/>
                <w:sz w:val="21"/>
              </w:rPr>
              <w:t>20</w:t>
            </w:r>
            <w:r>
              <w:rPr>
                <w:spacing w:val="-5"/>
                <w:w w:val="100"/>
                <w:sz w:val="21"/>
              </w:rPr>
              <w:t>0</w:t>
            </w:r>
            <w:r>
              <w:rPr>
                <w:w w:val="100"/>
                <w:sz w:val="21"/>
              </w:rPr>
              <w:t>9</w:t>
            </w:r>
            <w:r>
              <w:rPr>
                <w:spacing w:val="-53"/>
                <w:sz w:val="21"/>
              </w:rPr>
              <w:t> </w:t>
            </w:r>
            <w:r>
              <w:rPr>
                <w:w w:val="100"/>
                <w:sz w:val="21"/>
              </w:rPr>
              <w:t>年</w:t>
            </w:r>
            <w:r>
              <w:rPr>
                <w:spacing w:val="-52"/>
                <w:sz w:val="21"/>
              </w:rPr>
              <w:t> </w:t>
            </w:r>
            <w:r>
              <w:rPr>
                <w:w w:val="100"/>
                <w:sz w:val="21"/>
              </w:rPr>
              <w:t>1</w:t>
            </w:r>
            <w:r>
              <w:rPr>
                <w:spacing w:val="-57"/>
                <w:sz w:val="21"/>
              </w:rPr>
              <w:t> </w:t>
            </w:r>
            <w:r>
              <w:rPr>
                <w:w w:val="100"/>
                <w:sz w:val="21"/>
              </w:rPr>
              <w:t>月</w:t>
            </w:r>
            <w:r>
              <w:rPr>
                <w:spacing w:val="-53"/>
                <w:sz w:val="21"/>
              </w:rPr>
              <w:t> </w:t>
            </w:r>
            <w:r>
              <w:rPr>
                <w:w w:val="100"/>
                <w:sz w:val="21"/>
              </w:rPr>
              <w:t>1</w:t>
            </w:r>
            <w:r>
              <w:rPr>
                <w:spacing w:val="-53"/>
                <w:sz w:val="21"/>
              </w:rPr>
              <w:t> </w:t>
            </w:r>
            <w:r>
              <w:rPr>
                <w:w w:val="100"/>
                <w:sz w:val="21"/>
              </w:rPr>
              <w:t>日</w:t>
            </w:r>
            <w:r>
              <w:rPr>
                <w:spacing w:val="-6"/>
                <w:sz w:val="21"/>
              </w:rPr>
              <w:t>为被保险人经医院的专科医生初次确诊罹患“恶性肿瘤”的</w:t>
            </w:r>
            <w:r>
              <w:rPr>
                <w:spacing w:val="-5"/>
                <w:sz w:val="21"/>
              </w:rPr>
              <w:t>时间，由于“初次确诊”发生在本附加合同生效之前，因此</w:t>
            </w:r>
            <w:r>
              <w:rPr>
                <w:spacing w:val="1"/>
                <w:sz w:val="21"/>
              </w:rPr>
              <w:t>不属于保险责任范围，本公司不承担给付疾病保险金的责任；</w:t>
            </w:r>
          </w:p>
          <w:p>
            <w:pPr>
              <w:pStyle w:val="TableParagraph"/>
              <w:spacing w:before="166"/>
              <w:ind w:left="165"/>
              <w:rPr>
                <w:sz w:val="21"/>
              </w:rPr>
            </w:pPr>
            <w:r>
              <w:rPr>
                <w:sz w:val="21"/>
              </w:rPr>
              <w:t>（2）2010 年 3 月 29 日被保险人自出生后第一次经医院的专科</w:t>
            </w:r>
          </w:p>
          <w:p>
            <w:pPr>
              <w:pStyle w:val="TableParagraph"/>
              <w:spacing w:before="37"/>
              <w:ind w:left="588"/>
              <w:rPr>
                <w:sz w:val="21"/>
              </w:rPr>
            </w:pPr>
            <w:r>
              <w:rPr>
                <w:spacing w:val="-11"/>
                <w:w w:val="100"/>
                <w:sz w:val="21"/>
              </w:rPr>
              <w:t>医生确诊罹患“恶性肿瘤”</w:t>
            </w:r>
            <w:r>
              <w:rPr>
                <w:w w:val="100"/>
                <w:sz w:val="21"/>
              </w:rPr>
              <w:t>，2</w:t>
            </w:r>
            <w:r>
              <w:rPr>
                <w:spacing w:val="-5"/>
                <w:w w:val="100"/>
                <w:sz w:val="21"/>
              </w:rPr>
              <w:t>0</w:t>
            </w:r>
            <w:r>
              <w:rPr>
                <w:w w:val="100"/>
                <w:sz w:val="21"/>
              </w:rPr>
              <w:t>10</w:t>
            </w:r>
            <w:r>
              <w:rPr>
                <w:spacing w:val="-48"/>
                <w:sz w:val="21"/>
              </w:rPr>
              <w:t> </w:t>
            </w:r>
            <w:r>
              <w:rPr>
                <w:w w:val="100"/>
                <w:sz w:val="21"/>
              </w:rPr>
              <w:t>年</w:t>
            </w:r>
            <w:r>
              <w:rPr>
                <w:spacing w:val="-47"/>
                <w:sz w:val="21"/>
              </w:rPr>
              <w:t> </w:t>
            </w:r>
            <w:r>
              <w:rPr>
                <w:w w:val="100"/>
                <w:sz w:val="21"/>
              </w:rPr>
              <w:t>5</w:t>
            </w:r>
            <w:r>
              <w:rPr>
                <w:spacing w:val="-48"/>
                <w:sz w:val="21"/>
              </w:rPr>
              <w:t> </w:t>
            </w:r>
            <w:r>
              <w:rPr>
                <w:w w:val="100"/>
                <w:sz w:val="21"/>
              </w:rPr>
              <w:t>月</w:t>
            </w:r>
            <w:r>
              <w:rPr>
                <w:spacing w:val="-48"/>
                <w:sz w:val="21"/>
              </w:rPr>
              <w:t> </w:t>
            </w:r>
            <w:r>
              <w:rPr>
                <w:w w:val="100"/>
                <w:sz w:val="21"/>
              </w:rPr>
              <w:t>5</w:t>
            </w:r>
            <w:r>
              <w:rPr>
                <w:spacing w:val="-48"/>
                <w:sz w:val="21"/>
              </w:rPr>
              <w:t> </w:t>
            </w:r>
            <w:r>
              <w:rPr>
                <w:spacing w:val="-2"/>
                <w:w w:val="100"/>
                <w:sz w:val="21"/>
              </w:rPr>
              <w:t>日被保险人再次</w:t>
            </w:r>
          </w:p>
          <w:p>
            <w:pPr>
              <w:pStyle w:val="TableParagraph"/>
              <w:spacing w:line="273" w:lineRule="auto" w:before="36"/>
              <w:ind w:left="588" w:right="198"/>
              <w:jc w:val="both"/>
              <w:rPr>
                <w:sz w:val="21"/>
              </w:rPr>
            </w:pPr>
            <w:r>
              <w:rPr>
                <w:spacing w:val="-16"/>
                <w:sz w:val="21"/>
              </w:rPr>
              <w:t>经医院的专科医生确诊罹患“恶性肿瘤”，则 </w:t>
            </w:r>
            <w:r>
              <w:rPr>
                <w:sz w:val="21"/>
              </w:rPr>
              <w:t>2010</w:t>
            </w:r>
            <w:r>
              <w:rPr>
                <w:spacing w:val="-35"/>
                <w:sz w:val="21"/>
              </w:rPr>
              <w:t> 年 </w:t>
            </w:r>
            <w:r>
              <w:rPr>
                <w:sz w:val="21"/>
              </w:rPr>
              <w:t>3</w:t>
            </w:r>
            <w:r>
              <w:rPr>
                <w:spacing w:val="-33"/>
                <w:sz w:val="21"/>
              </w:rPr>
              <w:t> 月 </w:t>
            </w:r>
            <w:r>
              <w:rPr>
                <w:sz w:val="21"/>
              </w:rPr>
              <w:t>29 </w:t>
            </w:r>
            <w:r>
              <w:rPr>
                <w:spacing w:val="-5"/>
                <w:sz w:val="21"/>
              </w:rPr>
              <w:t>日为被保险人经医院的专科医生初次确诊罹患“恶性肿瘤” 的时间，由于“初次确诊”发生在本合同生效之日起 </w:t>
            </w:r>
            <w:r>
              <w:rPr>
                <w:sz w:val="21"/>
              </w:rPr>
              <w:t>90</w:t>
            </w:r>
            <w:r>
              <w:rPr>
                <w:spacing w:val="0"/>
                <w:sz w:val="21"/>
              </w:rPr>
              <w:t> 日</w:t>
            </w:r>
            <w:r>
              <w:rPr>
                <w:spacing w:val="-6"/>
                <w:sz w:val="21"/>
              </w:rPr>
              <w:t>内，因此不属于保险责任范围，本附加公司不承担给付疾病</w:t>
            </w:r>
            <w:r>
              <w:rPr>
                <w:spacing w:val="-5"/>
                <w:sz w:val="21"/>
              </w:rPr>
              <w:t>保险金的责任；</w:t>
            </w:r>
          </w:p>
          <w:p>
            <w:pPr>
              <w:pStyle w:val="TableParagraph"/>
              <w:spacing w:line="255" w:lineRule="exact" w:before="165"/>
              <w:ind w:left="165"/>
              <w:jc w:val="both"/>
              <w:rPr>
                <w:sz w:val="21"/>
              </w:rPr>
            </w:pPr>
            <w:r>
              <w:rPr>
                <w:sz w:val="21"/>
              </w:rPr>
              <w:t>2010 年 5 月 5 日被保险人自出生后第一次经医院的专科医生确</w:t>
            </w:r>
          </w:p>
        </w:tc>
      </w:tr>
    </w:tbl>
    <w:p>
      <w:pPr>
        <w:spacing w:after="0" w:line="255" w:lineRule="exact"/>
        <w:jc w:val="both"/>
        <w:rPr>
          <w:sz w:val="21"/>
        </w:rPr>
        <w:sectPr>
          <w:pgSz w:w="11910" w:h="16840"/>
          <w:pgMar w:header="0" w:footer="150" w:top="1060" w:bottom="340" w:left="1600" w:right="15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433"/>
        <w:gridCol w:w="6250"/>
      </w:tblGrid>
      <w:tr>
        <w:trPr>
          <w:trHeight w:val="1361" w:hRule="atLeast"/>
        </w:trPr>
        <w:tc>
          <w:tcPr>
            <w:tcW w:w="834" w:type="dxa"/>
          </w:tcPr>
          <w:p>
            <w:pPr>
              <w:pStyle w:val="TableParagraph"/>
              <w:ind w:left="0"/>
              <w:rPr>
                <w:rFonts w:ascii="Times New Roman"/>
                <w:sz w:val="20"/>
              </w:rPr>
            </w:pPr>
          </w:p>
        </w:tc>
        <w:tc>
          <w:tcPr>
            <w:tcW w:w="1433" w:type="dxa"/>
          </w:tcPr>
          <w:p>
            <w:pPr>
              <w:pStyle w:val="TableParagraph"/>
              <w:ind w:left="0"/>
              <w:rPr>
                <w:rFonts w:ascii="Times New Roman"/>
                <w:sz w:val="20"/>
              </w:rPr>
            </w:pPr>
          </w:p>
        </w:tc>
        <w:tc>
          <w:tcPr>
            <w:tcW w:w="6250" w:type="dxa"/>
          </w:tcPr>
          <w:p>
            <w:pPr>
              <w:pStyle w:val="TableParagraph"/>
              <w:spacing w:line="211" w:lineRule="exact"/>
              <w:ind w:left="165"/>
              <w:rPr>
                <w:sz w:val="21"/>
              </w:rPr>
            </w:pPr>
            <w:r>
              <w:rPr>
                <w:spacing w:val="-15"/>
                <w:w w:val="100"/>
                <w:sz w:val="21"/>
              </w:rPr>
              <w:t>诊罹患“恶性肿瘤”，则</w:t>
            </w:r>
            <w:r>
              <w:rPr>
                <w:spacing w:val="-52"/>
                <w:sz w:val="21"/>
              </w:rPr>
              <w:t> </w:t>
            </w:r>
            <w:r>
              <w:rPr>
                <w:w w:val="100"/>
                <w:sz w:val="21"/>
              </w:rPr>
              <w:t>20</w:t>
            </w:r>
            <w:r>
              <w:rPr>
                <w:spacing w:val="-5"/>
                <w:w w:val="100"/>
                <w:sz w:val="21"/>
              </w:rPr>
              <w:t>1</w:t>
            </w:r>
            <w:r>
              <w:rPr>
                <w:w w:val="100"/>
                <w:sz w:val="21"/>
              </w:rPr>
              <w:t>0</w:t>
            </w:r>
            <w:r>
              <w:rPr>
                <w:spacing w:val="-52"/>
                <w:sz w:val="21"/>
              </w:rPr>
              <w:t> </w:t>
            </w:r>
            <w:r>
              <w:rPr>
                <w:w w:val="100"/>
                <w:sz w:val="21"/>
              </w:rPr>
              <w:t>年</w:t>
            </w:r>
            <w:r>
              <w:rPr>
                <w:spacing w:val="-53"/>
                <w:sz w:val="21"/>
              </w:rPr>
              <w:t> </w:t>
            </w:r>
            <w:r>
              <w:rPr>
                <w:w w:val="100"/>
                <w:sz w:val="21"/>
              </w:rPr>
              <w:t>5</w:t>
            </w:r>
            <w:r>
              <w:rPr>
                <w:spacing w:val="-53"/>
                <w:sz w:val="21"/>
              </w:rPr>
              <w:t> </w:t>
            </w:r>
            <w:r>
              <w:rPr>
                <w:w w:val="100"/>
                <w:sz w:val="21"/>
              </w:rPr>
              <w:t>月</w:t>
            </w:r>
            <w:r>
              <w:rPr>
                <w:spacing w:val="-57"/>
                <w:sz w:val="21"/>
              </w:rPr>
              <w:t> </w:t>
            </w:r>
            <w:r>
              <w:rPr>
                <w:w w:val="100"/>
                <w:sz w:val="21"/>
              </w:rPr>
              <w:t>5</w:t>
            </w:r>
            <w:r>
              <w:rPr>
                <w:spacing w:val="-53"/>
                <w:sz w:val="21"/>
              </w:rPr>
              <w:t> </w:t>
            </w:r>
            <w:r>
              <w:rPr>
                <w:spacing w:val="-3"/>
                <w:w w:val="100"/>
                <w:sz w:val="21"/>
              </w:rPr>
              <w:t>日为被保险人经医院的专</w:t>
            </w:r>
          </w:p>
          <w:p>
            <w:pPr>
              <w:pStyle w:val="TableParagraph"/>
              <w:spacing w:line="273" w:lineRule="auto" w:before="37"/>
              <w:ind w:left="165" w:right="215"/>
              <w:jc w:val="both"/>
              <w:rPr>
                <w:sz w:val="21"/>
              </w:rPr>
            </w:pPr>
            <w:r>
              <w:rPr>
                <w:spacing w:val="-6"/>
                <w:sz w:val="21"/>
              </w:rPr>
              <w:t>科医生初次确诊罹患“恶性肿瘤”的时间，由于“初次确诊”发</w:t>
            </w:r>
            <w:r>
              <w:rPr>
                <w:spacing w:val="-5"/>
                <w:sz w:val="21"/>
              </w:rPr>
              <w:t>生在本附加合同生效之日起 </w:t>
            </w:r>
            <w:r>
              <w:rPr>
                <w:spacing w:val="-3"/>
                <w:sz w:val="21"/>
              </w:rPr>
              <w:t>90</w:t>
            </w:r>
            <w:r>
              <w:rPr>
                <w:spacing w:val="-2"/>
                <w:sz w:val="21"/>
              </w:rPr>
              <w:t> 日后，本公司向被保险人给付疾</w:t>
            </w:r>
            <w:r>
              <w:rPr>
                <w:spacing w:val="-4"/>
                <w:sz w:val="21"/>
              </w:rPr>
              <w:t>病保险金，本项责任终止。</w:t>
            </w:r>
          </w:p>
        </w:tc>
      </w:tr>
      <w:tr>
        <w:trPr>
          <w:trHeight w:val="4851" w:hRule="atLeast"/>
        </w:trPr>
        <w:tc>
          <w:tcPr>
            <w:tcW w:w="834" w:type="dxa"/>
          </w:tcPr>
          <w:p>
            <w:pPr>
              <w:pStyle w:val="TableParagraph"/>
              <w:spacing w:before="83"/>
              <w:ind w:left="72" w:right="187"/>
              <w:jc w:val="center"/>
              <w:rPr>
                <w:rFonts w:ascii="Microsoft JhengHei"/>
                <w:b/>
                <w:sz w:val="21"/>
              </w:rPr>
            </w:pPr>
            <w:r>
              <w:rPr>
                <w:rFonts w:ascii="Microsoft JhengHei"/>
                <w:b/>
                <w:w w:val="105"/>
                <w:sz w:val="21"/>
              </w:rPr>
              <w:t>9.9</w:t>
            </w:r>
          </w:p>
        </w:tc>
        <w:tc>
          <w:tcPr>
            <w:tcW w:w="1433" w:type="dxa"/>
          </w:tcPr>
          <w:p>
            <w:pPr>
              <w:pStyle w:val="TableParagraph"/>
              <w:spacing w:before="83"/>
              <w:ind w:left="210"/>
              <w:rPr>
                <w:rFonts w:ascii="Microsoft JhengHei" w:eastAsia="Microsoft JhengHei" w:hint="eastAsia"/>
                <w:b/>
                <w:sz w:val="21"/>
              </w:rPr>
            </w:pPr>
            <w:r>
              <w:rPr>
                <w:rFonts w:ascii="Microsoft JhengHei" w:eastAsia="Microsoft JhengHei" w:hint="eastAsia"/>
                <w:b/>
                <w:sz w:val="21"/>
              </w:rPr>
              <w:t>全残</w:t>
            </w:r>
          </w:p>
        </w:tc>
        <w:tc>
          <w:tcPr>
            <w:tcW w:w="6250" w:type="dxa"/>
          </w:tcPr>
          <w:p>
            <w:pPr>
              <w:pStyle w:val="TableParagraph"/>
              <w:spacing w:before="150"/>
              <w:ind w:left="165"/>
              <w:rPr>
                <w:sz w:val="21"/>
              </w:rPr>
            </w:pPr>
            <w:r>
              <w:rPr>
                <w:sz w:val="21"/>
              </w:rPr>
              <w:t>本附加合同所定义的全残是指至少满足下列情形之一者：</w:t>
            </w:r>
          </w:p>
          <w:p>
            <w:pPr>
              <w:pStyle w:val="TableParagraph"/>
              <w:spacing w:before="37"/>
              <w:ind w:left="165"/>
              <w:rPr>
                <w:sz w:val="21"/>
              </w:rPr>
            </w:pPr>
            <w:r>
              <w:rPr>
                <w:w w:val="100"/>
                <w:sz w:val="21"/>
              </w:rPr>
              <w:t>（1）</w:t>
            </w:r>
            <w:r>
              <w:rPr>
                <w:spacing w:val="-2"/>
                <w:w w:val="100"/>
                <w:sz w:val="21"/>
              </w:rPr>
              <w:t>双目永久完全</w:t>
            </w:r>
            <w:r>
              <w:rPr>
                <w:spacing w:val="-5"/>
                <w:w w:val="100"/>
                <w:sz w:val="21"/>
              </w:rPr>
              <w:t>（</w:t>
            </w:r>
            <w:r>
              <w:rPr>
                <w:w w:val="100"/>
                <w:sz w:val="21"/>
              </w:rPr>
              <w:t>注①）</w:t>
            </w:r>
            <w:r>
              <w:rPr>
                <w:spacing w:val="-3"/>
                <w:w w:val="100"/>
                <w:sz w:val="21"/>
              </w:rPr>
              <w:t>失明</w:t>
            </w:r>
            <w:r>
              <w:rPr>
                <w:w w:val="100"/>
                <w:sz w:val="21"/>
              </w:rPr>
              <w:t>（</w:t>
            </w:r>
            <w:r>
              <w:rPr>
                <w:spacing w:val="-3"/>
                <w:w w:val="100"/>
                <w:sz w:val="21"/>
              </w:rPr>
              <w:t>注②</w:t>
            </w:r>
            <w:r>
              <w:rPr>
                <w:spacing w:val="-106"/>
                <w:w w:val="100"/>
                <w:sz w:val="21"/>
              </w:rPr>
              <w:t>）</w:t>
            </w:r>
            <w:r>
              <w:rPr>
                <w:w w:val="100"/>
                <w:sz w:val="21"/>
              </w:rPr>
              <w:t>；</w:t>
            </w:r>
          </w:p>
          <w:p>
            <w:pPr>
              <w:pStyle w:val="TableParagraph"/>
              <w:spacing w:before="37"/>
              <w:ind w:left="165"/>
              <w:rPr>
                <w:sz w:val="21"/>
              </w:rPr>
            </w:pPr>
            <w:r>
              <w:rPr>
                <w:sz w:val="21"/>
              </w:rPr>
              <w:t>（2）两上肢腕关节以上或两下肢踝关节以上缺失；</w:t>
            </w:r>
          </w:p>
          <w:p>
            <w:pPr>
              <w:pStyle w:val="TableParagraph"/>
              <w:spacing w:before="37"/>
              <w:ind w:left="165"/>
              <w:rPr>
                <w:sz w:val="21"/>
              </w:rPr>
            </w:pPr>
            <w:r>
              <w:rPr>
                <w:sz w:val="21"/>
              </w:rPr>
              <w:t>（3）一上肢腕关节以上及一下肢踝关节以上缺失；</w:t>
            </w:r>
          </w:p>
          <w:p>
            <w:pPr>
              <w:pStyle w:val="TableParagraph"/>
              <w:spacing w:before="37"/>
              <w:ind w:left="165"/>
              <w:rPr>
                <w:sz w:val="21"/>
              </w:rPr>
            </w:pPr>
            <w:r>
              <w:rPr>
                <w:sz w:val="21"/>
              </w:rPr>
              <w:t>（4）一目永久完全失明及一上肢腕关节以上缺失；</w:t>
            </w:r>
          </w:p>
          <w:p>
            <w:pPr>
              <w:pStyle w:val="TableParagraph"/>
              <w:spacing w:before="37"/>
              <w:ind w:left="165"/>
              <w:rPr>
                <w:sz w:val="21"/>
              </w:rPr>
            </w:pPr>
            <w:r>
              <w:rPr>
                <w:sz w:val="21"/>
              </w:rPr>
              <w:t>（5）一目永久完全失明及一下肢踝关节以上缺失；</w:t>
            </w:r>
          </w:p>
          <w:p>
            <w:pPr>
              <w:pStyle w:val="TableParagraph"/>
              <w:spacing w:before="36"/>
              <w:ind w:left="165"/>
              <w:rPr>
                <w:sz w:val="21"/>
              </w:rPr>
            </w:pPr>
            <w:r>
              <w:rPr>
                <w:w w:val="100"/>
                <w:sz w:val="21"/>
              </w:rPr>
              <w:t>（6）</w:t>
            </w:r>
            <w:r>
              <w:rPr>
                <w:spacing w:val="-4"/>
                <w:w w:val="100"/>
                <w:sz w:val="21"/>
              </w:rPr>
              <w:t>四肢关节机能永久完全丧失</w:t>
            </w:r>
            <w:r>
              <w:rPr>
                <w:w w:val="100"/>
                <w:sz w:val="21"/>
              </w:rPr>
              <w:t>（</w:t>
            </w:r>
            <w:r>
              <w:rPr>
                <w:spacing w:val="-3"/>
                <w:w w:val="100"/>
                <w:sz w:val="21"/>
              </w:rPr>
              <w:t>注③</w:t>
            </w:r>
            <w:r>
              <w:rPr>
                <w:spacing w:val="-106"/>
                <w:w w:val="100"/>
                <w:sz w:val="21"/>
              </w:rPr>
              <w:t>）</w:t>
            </w:r>
            <w:r>
              <w:rPr>
                <w:w w:val="100"/>
                <w:sz w:val="21"/>
              </w:rPr>
              <w:t>；</w:t>
            </w:r>
          </w:p>
          <w:p>
            <w:pPr>
              <w:pStyle w:val="TableParagraph"/>
              <w:spacing w:before="36"/>
              <w:ind w:left="165"/>
              <w:rPr>
                <w:sz w:val="21"/>
              </w:rPr>
            </w:pPr>
            <w:r>
              <w:rPr>
                <w:w w:val="100"/>
                <w:sz w:val="21"/>
              </w:rPr>
              <w:t>（7）</w:t>
            </w:r>
            <w:r>
              <w:rPr>
                <w:spacing w:val="-4"/>
                <w:w w:val="100"/>
                <w:sz w:val="21"/>
              </w:rPr>
              <w:t>咀嚼、吞咽机能永久完全丧失</w:t>
            </w:r>
            <w:r>
              <w:rPr>
                <w:w w:val="100"/>
                <w:sz w:val="21"/>
              </w:rPr>
              <w:t>（</w:t>
            </w:r>
            <w:r>
              <w:rPr>
                <w:spacing w:val="-3"/>
                <w:w w:val="100"/>
                <w:sz w:val="21"/>
              </w:rPr>
              <w:t>注④</w:t>
            </w:r>
            <w:r>
              <w:rPr>
                <w:spacing w:val="-106"/>
                <w:w w:val="100"/>
                <w:sz w:val="21"/>
              </w:rPr>
              <w:t>）</w:t>
            </w:r>
            <w:r>
              <w:rPr>
                <w:w w:val="100"/>
                <w:sz w:val="21"/>
              </w:rPr>
              <w:t>；</w:t>
            </w:r>
          </w:p>
          <w:p>
            <w:pPr>
              <w:pStyle w:val="TableParagraph"/>
              <w:spacing w:line="256" w:lineRule="auto" w:before="36"/>
              <w:ind w:left="165" w:right="216"/>
              <w:rPr>
                <w:sz w:val="21"/>
              </w:rPr>
            </w:pPr>
            <w:r>
              <w:rPr>
                <w:spacing w:val="-15"/>
                <w:sz w:val="21"/>
              </w:rPr>
              <w:t>（</w:t>
            </w:r>
            <w:r>
              <w:rPr>
                <w:rFonts w:ascii="Times New Roman" w:eastAsia="Times New Roman"/>
                <w:spacing w:val="-15"/>
                <w:sz w:val="21"/>
              </w:rPr>
              <w:t>8</w:t>
            </w:r>
            <w:r>
              <w:rPr>
                <w:spacing w:val="-15"/>
                <w:sz w:val="21"/>
              </w:rPr>
              <w:t>）</w:t>
            </w:r>
            <w:r>
              <w:rPr>
                <w:spacing w:val="-9"/>
                <w:sz w:val="21"/>
              </w:rPr>
              <w:t>中枢神经系统机能或胸、腹部脏器机能极度障碍，终身不能从事任何工作，为维持生命必要的日常生活活动，全需他人扶助</w:t>
            </w:r>
          </w:p>
          <w:p>
            <w:pPr>
              <w:pStyle w:val="TableParagraph"/>
              <w:spacing w:before="22"/>
              <w:ind w:left="165"/>
              <w:rPr>
                <w:sz w:val="21"/>
              </w:rPr>
            </w:pPr>
            <w:r>
              <w:rPr>
                <w:w w:val="100"/>
                <w:sz w:val="21"/>
              </w:rPr>
              <w:t>（注⑤</w:t>
            </w:r>
            <w:r>
              <w:rPr>
                <w:spacing w:val="-106"/>
                <w:w w:val="100"/>
                <w:sz w:val="21"/>
              </w:rPr>
              <w:t>）</w:t>
            </w:r>
            <w:r>
              <w:rPr>
                <w:w w:val="100"/>
                <w:sz w:val="21"/>
              </w:rPr>
              <w:t>。</w:t>
            </w:r>
          </w:p>
          <w:p>
            <w:pPr>
              <w:pStyle w:val="TableParagraph"/>
              <w:spacing w:before="12"/>
              <w:ind w:left="0"/>
              <w:rPr>
                <w:sz w:val="14"/>
              </w:rPr>
            </w:pPr>
          </w:p>
          <w:p>
            <w:pPr>
              <w:pStyle w:val="TableParagraph"/>
              <w:spacing w:line="268" w:lineRule="auto"/>
              <w:ind w:left="165" w:right="198"/>
              <w:rPr>
                <w:sz w:val="21"/>
              </w:rPr>
            </w:pPr>
            <w:r>
              <w:rPr>
                <w:spacing w:val="-4"/>
                <w:sz w:val="21"/>
              </w:rPr>
              <w:t>全残的鉴定应在治疗结束之后由医疗机构</w:t>
            </w:r>
            <w:r>
              <w:rPr>
                <w:sz w:val="21"/>
              </w:rPr>
              <w:t>（</w:t>
            </w:r>
            <w:r>
              <w:rPr>
                <w:spacing w:val="-3"/>
                <w:sz w:val="21"/>
              </w:rPr>
              <w:t>或鉴定机构</w:t>
            </w:r>
            <w:r>
              <w:rPr>
                <w:sz w:val="21"/>
              </w:rPr>
              <w:t>）进行。</w:t>
            </w:r>
            <w:r>
              <w:rPr>
                <w:spacing w:val="-5"/>
                <w:sz w:val="21"/>
              </w:rPr>
              <w:t>若自被保险人遭受意外伤害之日起 </w:t>
            </w:r>
            <w:r>
              <w:rPr>
                <w:sz w:val="21"/>
              </w:rPr>
              <w:t>180</w:t>
            </w:r>
            <w:r>
              <w:rPr>
                <w:spacing w:val="-10"/>
                <w:sz w:val="21"/>
              </w:rPr>
              <w:t> 日后治疗仍未结束，按第</w:t>
            </w:r>
          </w:p>
          <w:p>
            <w:pPr>
              <w:pStyle w:val="TableParagraph"/>
              <w:spacing w:before="12"/>
              <w:ind w:left="165"/>
              <w:rPr>
                <w:sz w:val="21"/>
              </w:rPr>
            </w:pPr>
            <w:r>
              <w:rPr>
                <w:sz w:val="21"/>
              </w:rPr>
              <w:t>180 日的身体情况进行鉴定。</w:t>
            </w:r>
          </w:p>
        </w:tc>
      </w:tr>
      <w:tr>
        <w:trPr>
          <w:trHeight w:val="5163" w:hRule="atLeast"/>
        </w:trPr>
        <w:tc>
          <w:tcPr>
            <w:tcW w:w="834" w:type="dxa"/>
          </w:tcPr>
          <w:p>
            <w:pPr>
              <w:pStyle w:val="TableParagraph"/>
              <w:ind w:left="0"/>
              <w:rPr>
                <w:rFonts w:ascii="Times New Roman"/>
                <w:sz w:val="20"/>
              </w:rPr>
            </w:pPr>
          </w:p>
        </w:tc>
        <w:tc>
          <w:tcPr>
            <w:tcW w:w="1433" w:type="dxa"/>
          </w:tcPr>
          <w:p>
            <w:pPr>
              <w:pStyle w:val="TableParagraph"/>
              <w:spacing w:before="85"/>
              <w:ind w:left="210"/>
              <w:rPr>
                <w:rFonts w:ascii="Microsoft JhengHei" w:eastAsia="Microsoft JhengHei" w:hint="eastAsia"/>
                <w:b/>
                <w:sz w:val="21"/>
              </w:rPr>
            </w:pPr>
            <w:r>
              <w:rPr>
                <w:rFonts w:ascii="Microsoft JhengHei" w:eastAsia="Microsoft JhengHei" w:hint="eastAsia"/>
                <w:b/>
                <w:sz w:val="21"/>
              </w:rPr>
              <w:t>注：</w:t>
            </w:r>
          </w:p>
        </w:tc>
        <w:tc>
          <w:tcPr>
            <w:tcW w:w="6250" w:type="dxa"/>
          </w:tcPr>
          <w:p>
            <w:pPr>
              <w:pStyle w:val="TableParagraph"/>
              <w:spacing w:line="271" w:lineRule="auto" w:before="152"/>
              <w:ind w:left="482" w:right="216" w:hanging="212"/>
              <w:jc w:val="both"/>
              <w:rPr>
                <w:sz w:val="21"/>
              </w:rPr>
            </w:pPr>
            <w:r>
              <w:rPr>
                <w:spacing w:val="-5"/>
                <w:sz w:val="21"/>
              </w:rPr>
              <w:t>①永久完全系指自上述“全残”情形发生之日起经过 </w:t>
            </w:r>
            <w:r>
              <w:rPr>
                <w:sz w:val="21"/>
              </w:rPr>
              <w:t>180 日的</w:t>
            </w:r>
            <w:r>
              <w:rPr>
                <w:spacing w:val="-12"/>
                <w:sz w:val="21"/>
              </w:rPr>
              <w:t>治疗机能仍完全丧失，但眼球摘除等明显无法复原的情况，不在此限。</w:t>
            </w:r>
          </w:p>
          <w:p>
            <w:pPr>
              <w:pStyle w:val="TableParagraph"/>
              <w:spacing w:line="273" w:lineRule="auto" w:before="9"/>
              <w:ind w:left="482" w:right="215" w:hanging="212"/>
              <w:jc w:val="both"/>
              <w:rPr>
                <w:sz w:val="21"/>
              </w:rPr>
            </w:pPr>
            <w:r>
              <w:rPr>
                <w:spacing w:val="-11"/>
                <w:sz w:val="21"/>
              </w:rPr>
              <w:t>②失明包括眼球缺失或摘除、或不能辨别明暗、或仅能辨别眼前</w:t>
            </w:r>
            <w:r>
              <w:rPr>
                <w:spacing w:val="-7"/>
                <w:sz w:val="21"/>
              </w:rPr>
              <w:t>手动者，最佳矫正视力低于国际标准视力表 </w:t>
            </w:r>
            <w:r>
              <w:rPr>
                <w:sz w:val="21"/>
              </w:rPr>
              <w:t>0.02，或视野半</w:t>
            </w:r>
            <w:r>
              <w:rPr>
                <w:spacing w:val="0"/>
                <w:sz w:val="21"/>
              </w:rPr>
              <w:t>径小于 </w:t>
            </w:r>
            <w:r>
              <w:rPr>
                <w:sz w:val="21"/>
              </w:rPr>
              <w:t>5</w:t>
            </w:r>
            <w:r>
              <w:rPr>
                <w:spacing w:val="-5"/>
                <w:sz w:val="21"/>
              </w:rPr>
              <w:t> 度，并由我们确定的有资格的眼科医师出具医疗诊断证明。</w:t>
            </w:r>
          </w:p>
          <w:p>
            <w:pPr>
              <w:pStyle w:val="TableParagraph"/>
              <w:spacing w:line="273" w:lineRule="auto" w:before="7"/>
              <w:ind w:left="482" w:right="217" w:hanging="212"/>
              <w:jc w:val="both"/>
              <w:rPr>
                <w:sz w:val="21"/>
              </w:rPr>
            </w:pPr>
            <w:r>
              <w:rPr>
                <w:spacing w:val="-11"/>
                <w:sz w:val="21"/>
              </w:rPr>
              <w:t>③关节机能的丧失系指关节永久完全僵硬、或麻痹、或关节不能</w:t>
            </w:r>
            <w:r>
              <w:rPr>
                <w:spacing w:val="-9"/>
                <w:sz w:val="21"/>
              </w:rPr>
              <w:t>随意识活动。</w:t>
            </w:r>
          </w:p>
          <w:p>
            <w:pPr>
              <w:pStyle w:val="TableParagraph"/>
              <w:spacing w:line="273" w:lineRule="auto" w:before="7"/>
              <w:ind w:left="482" w:right="216" w:hanging="212"/>
              <w:jc w:val="both"/>
              <w:rPr>
                <w:sz w:val="21"/>
              </w:rPr>
            </w:pPr>
            <w:r>
              <w:rPr>
                <w:sz w:val="21"/>
              </w:rPr>
              <w:t>④咀嚼、吞咽机能丧失系指由于牙齿以外的原因引起器质障碍</w:t>
            </w:r>
            <w:r>
              <w:rPr>
                <w:spacing w:val="-12"/>
                <w:sz w:val="21"/>
              </w:rPr>
              <w:t>或机能障碍，以至不能作咀嚼、吞咽运动，除流质食物外不能</w:t>
            </w:r>
            <w:r>
              <w:rPr>
                <w:spacing w:val="-8"/>
                <w:sz w:val="21"/>
              </w:rPr>
              <w:t>摄取或吞咽的状态。</w:t>
            </w:r>
          </w:p>
          <w:p>
            <w:pPr>
              <w:pStyle w:val="TableParagraph"/>
              <w:spacing w:line="273" w:lineRule="auto" w:before="165"/>
              <w:ind w:left="165" w:right="215"/>
              <w:jc w:val="both"/>
              <w:rPr>
                <w:sz w:val="21"/>
              </w:rPr>
            </w:pPr>
            <w:r>
              <w:rPr>
                <w:spacing w:val="1"/>
                <w:sz w:val="21"/>
              </w:rPr>
              <w:t>⑤为维持生命必要的日常生活活动，全需他人扶助系指食物摄</w:t>
            </w:r>
            <w:r>
              <w:rPr>
                <w:spacing w:val="-7"/>
                <w:sz w:val="21"/>
              </w:rPr>
              <w:t>取、大小便始末、穿脱衣服、起居、步行、入浴等，皆不能自己</w:t>
            </w:r>
            <w:r>
              <w:rPr>
                <w:spacing w:val="-6"/>
                <w:sz w:val="21"/>
              </w:rPr>
              <w:t>为之，需要他人帮助。</w:t>
            </w:r>
          </w:p>
        </w:tc>
      </w:tr>
      <w:tr>
        <w:trPr>
          <w:trHeight w:val="1572" w:hRule="atLeast"/>
        </w:trPr>
        <w:tc>
          <w:tcPr>
            <w:tcW w:w="834" w:type="dxa"/>
          </w:tcPr>
          <w:p>
            <w:pPr>
              <w:pStyle w:val="TableParagraph"/>
              <w:spacing w:before="83"/>
              <w:ind w:left="178" w:right="187"/>
              <w:jc w:val="center"/>
              <w:rPr>
                <w:rFonts w:ascii="Microsoft JhengHei"/>
                <w:b/>
                <w:sz w:val="21"/>
              </w:rPr>
            </w:pPr>
            <w:r>
              <w:rPr>
                <w:rFonts w:ascii="Microsoft JhengHei"/>
                <w:b/>
                <w:sz w:val="21"/>
              </w:rPr>
              <w:t>9.10</w:t>
            </w:r>
          </w:p>
        </w:tc>
        <w:tc>
          <w:tcPr>
            <w:tcW w:w="1433" w:type="dxa"/>
          </w:tcPr>
          <w:p>
            <w:pPr>
              <w:pStyle w:val="TableParagraph"/>
              <w:spacing w:before="83"/>
              <w:ind w:left="210"/>
              <w:rPr>
                <w:rFonts w:ascii="Microsoft JhengHei" w:eastAsia="Microsoft JhengHei" w:hint="eastAsia"/>
                <w:b/>
                <w:sz w:val="21"/>
              </w:rPr>
            </w:pPr>
            <w:r>
              <w:rPr>
                <w:rFonts w:ascii="Microsoft JhengHei" w:eastAsia="Microsoft JhengHei" w:hint="eastAsia"/>
                <w:b/>
                <w:sz w:val="21"/>
              </w:rPr>
              <w:t>毒品</w:t>
            </w:r>
          </w:p>
        </w:tc>
        <w:tc>
          <w:tcPr>
            <w:tcW w:w="6250" w:type="dxa"/>
          </w:tcPr>
          <w:p>
            <w:pPr>
              <w:pStyle w:val="TableParagraph"/>
              <w:spacing w:line="271" w:lineRule="auto" w:before="150"/>
              <w:ind w:left="165" w:right="215"/>
              <w:jc w:val="both"/>
              <w:rPr>
                <w:sz w:val="21"/>
              </w:rPr>
            </w:pPr>
            <w:r>
              <w:rPr>
                <w:spacing w:val="-18"/>
                <w:sz w:val="21"/>
              </w:rPr>
              <w:t>指《中华人民共和国刑法》规定的鸦片、海洛因、甲基苯丙胺</w:t>
            </w:r>
            <w:r>
              <w:rPr>
                <w:sz w:val="21"/>
              </w:rPr>
              <w:t>（冰毒</w:t>
            </w:r>
            <w:r>
              <w:rPr>
                <w:spacing w:val="-106"/>
                <w:sz w:val="21"/>
              </w:rPr>
              <w:t>）</w:t>
            </w:r>
            <w:r>
              <w:rPr>
                <w:spacing w:val="-13"/>
                <w:sz w:val="21"/>
              </w:rPr>
              <w:t>、吗啡、大麻、可卡因以及国家规定管制的其他能够使人形成</w:t>
            </w:r>
            <w:r>
              <w:rPr>
                <w:spacing w:val="-9"/>
                <w:sz w:val="21"/>
              </w:rPr>
              <w:t>瘾癖的麻醉药品和精神药品，但不包括由医生开具并遵医嘱使用</w:t>
            </w:r>
            <w:r>
              <w:rPr>
                <w:spacing w:val="-7"/>
                <w:sz w:val="21"/>
              </w:rPr>
              <w:t>的用于治疗疾病但含有毒品成分的处方药品。</w:t>
            </w:r>
          </w:p>
        </w:tc>
      </w:tr>
      <w:tr>
        <w:trPr>
          <w:trHeight w:val="1887" w:hRule="atLeast"/>
        </w:trPr>
        <w:tc>
          <w:tcPr>
            <w:tcW w:w="834" w:type="dxa"/>
          </w:tcPr>
          <w:p>
            <w:pPr>
              <w:pStyle w:val="TableParagraph"/>
              <w:spacing w:before="85"/>
              <w:ind w:left="178" w:right="187"/>
              <w:jc w:val="center"/>
              <w:rPr>
                <w:rFonts w:ascii="Microsoft JhengHei"/>
                <w:b/>
                <w:sz w:val="21"/>
              </w:rPr>
            </w:pPr>
            <w:r>
              <w:rPr>
                <w:rFonts w:ascii="Microsoft JhengHei"/>
                <w:b/>
                <w:sz w:val="21"/>
              </w:rPr>
              <w:t>9.11</w:t>
            </w:r>
          </w:p>
        </w:tc>
        <w:tc>
          <w:tcPr>
            <w:tcW w:w="1433" w:type="dxa"/>
          </w:tcPr>
          <w:p>
            <w:pPr>
              <w:pStyle w:val="TableParagraph"/>
              <w:spacing w:before="85"/>
              <w:ind w:left="210"/>
              <w:rPr>
                <w:rFonts w:ascii="Microsoft JhengHei" w:eastAsia="Microsoft JhengHei" w:hint="eastAsia"/>
                <w:b/>
                <w:sz w:val="21"/>
              </w:rPr>
            </w:pPr>
            <w:r>
              <w:rPr>
                <w:rFonts w:ascii="Microsoft JhengHei" w:eastAsia="Microsoft JhengHei" w:hint="eastAsia"/>
                <w:b/>
                <w:sz w:val="21"/>
              </w:rPr>
              <w:t>酒后驾驶</w:t>
            </w:r>
          </w:p>
        </w:tc>
        <w:tc>
          <w:tcPr>
            <w:tcW w:w="6250" w:type="dxa"/>
          </w:tcPr>
          <w:p>
            <w:pPr>
              <w:pStyle w:val="TableParagraph"/>
              <w:spacing w:line="271" w:lineRule="auto" w:before="152"/>
              <w:ind w:left="165" w:right="215"/>
              <w:jc w:val="both"/>
              <w:rPr>
                <w:sz w:val="21"/>
              </w:rPr>
            </w:pPr>
            <w:r>
              <w:rPr>
                <w:spacing w:val="-5"/>
                <w:sz w:val="21"/>
              </w:rPr>
              <w:t>指经检测或者鉴定，发生保险事故时被保险人每百毫升血液中的</w:t>
            </w:r>
            <w:r>
              <w:rPr>
                <w:spacing w:val="-7"/>
                <w:sz w:val="21"/>
              </w:rPr>
              <w:t>酒精含量达到或者超过一定的标准，是否达到前述标准由公安机</w:t>
            </w:r>
            <w:r>
              <w:rPr>
                <w:spacing w:val="-8"/>
                <w:sz w:val="21"/>
              </w:rPr>
              <w:t>关交通管理部门依据《道路交通安全法》的规定认定，我们根据</w:t>
            </w:r>
            <w:r>
              <w:rPr>
                <w:spacing w:val="1"/>
                <w:sz w:val="21"/>
              </w:rPr>
              <w:t>公安机关交通管理部门的认定确认被保险人是否属于饮酒后驾</w:t>
            </w:r>
            <w:r>
              <w:rPr>
                <w:sz w:val="21"/>
              </w:rPr>
              <w:t>驶或醉酒后驾驶。</w:t>
            </w:r>
          </w:p>
        </w:tc>
      </w:tr>
      <w:tr>
        <w:trPr>
          <w:trHeight w:val="427" w:hRule="atLeast"/>
        </w:trPr>
        <w:tc>
          <w:tcPr>
            <w:tcW w:w="834" w:type="dxa"/>
          </w:tcPr>
          <w:p>
            <w:pPr>
              <w:pStyle w:val="TableParagraph"/>
              <w:spacing w:line="322" w:lineRule="exact" w:before="85"/>
              <w:ind w:left="178" w:right="187"/>
              <w:jc w:val="center"/>
              <w:rPr>
                <w:rFonts w:ascii="Microsoft JhengHei"/>
                <w:b/>
                <w:sz w:val="21"/>
              </w:rPr>
            </w:pPr>
            <w:r>
              <w:rPr>
                <w:rFonts w:ascii="Microsoft JhengHei"/>
                <w:b/>
                <w:sz w:val="21"/>
              </w:rPr>
              <w:t>9.12</w:t>
            </w:r>
          </w:p>
        </w:tc>
        <w:tc>
          <w:tcPr>
            <w:tcW w:w="1433" w:type="dxa"/>
          </w:tcPr>
          <w:p>
            <w:pPr>
              <w:pStyle w:val="TableParagraph"/>
              <w:spacing w:line="322" w:lineRule="exact" w:before="85"/>
              <w:ind w:left="210"/>
              <w:rPr>
                <w:rFonts w:ascii="Microsoft JhengHei" w:eastAsia="Microsoft JhengHei" w:hint="eastAsia"/>
                <w:b/>
                <w:sz w:val="21"/>
              </w:rPr>
            </w:pPr>
            <w:r>
              <w:rPr>
                <w:rFonts w:ascii="Microsoft JhengHei" w:eastAsia="Microsoft JhengHei" w:hint="eastAsia"/>
                <w:b/>
                <w:sz w:val="21"/>
              </w:rPr>
              <w:t>无合法有效</w:t>
            </w:r>
          </w:p>
        </w:tc>
        <w:tc>
          <w:tcPr>
            <w:tcW w:w="6250" w:type="dxa"/>
          </w:tcPr>
          <w:p>
            <w:pPr>
              <w:pStyle w:val="TableParagraph"/>
              <w:spacing w:line="255" w:lineRule="exact" w:before="152"/>
              <w:ind w:left="165"/>
              <w:rPr>
                <w:sz w:val="21"/>
              </w:rPr>
            </w:pPr>
            <w:r>
              <w:rPr>
                <w:sz w:val="21"/>
              </w:rPr>
              <w:t>指下列情形之一：</w:t>
            </w:r>
          </w:p>
        </w:tc>
      </w:tr>
    </w:tbl>
    <w:p>
      <w:pPr>
        <w:spacing w:after="0" w:line="255" w:lineRule="exact"/>
        <w:rPr>
          <w:sz w:val="21"/>
        </w:rPr>
        <w:sectPr>
          <w:pgSz w:w="11910" w:h="16840"/>
          <w:pgMar w:header="0" w:footer="150" w:top="740" w:bottom="340" w:left="1600" w:right="15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4"/>
        <w:gridCol w:w="1434"/>
        <w:gridCol w:w="6241"/>
      </w:tblGrid>
      <w:tr>
        <w:trPr>
          <w:trHeight w:val="2297" w:hRule="atLeast"/>
        </w:trPr>
        <w:tc>
          <w:tcPr>
            <w:tcW w:w="834" w:type="dxa"/>
          </w:tcPr>
          <w:p>
            <w:pPr>
              <w:pStyle w:val="TableParagraph"/>
              <w:ind w:left="0"/>
              <w:rPr>
                <w:rFonts w:ascii="Times New Roman"/>
                <w:sz w:val="20"/>
              </w:rPr>
            </w:pPr>
          </w:p>
        </w:tc>
        <w:tc>
          <w:tcPr>
            <w:tcW w:w="1434" w:type="dxa"/>
          </w:tcPr>
          <w:p>
            <w:pPr>
              <w:pStyle w:val="TableParagraph"/>
              <w:spacing w:line="235" w:lineRule="exact"/>
              <w:ind w:left="210"/>
              <w:rPr>
                <w:rFonts w:ascii="Microsoft JhengHei" w:eastAsia="Microsoft JhengHei" w:hint="eastAsia"/>
                <w:b/>
                <w:sz w:val="21"/>
              </w:rPr>
            </w:pPr>
            <w:r>
              <w:rPr>
                <w:rFonts w:ascii="Microsoft JhengHei" w:eastAsia="Microsoft JhengHei" w:hint="eastAsia"/>
                <w:b/>
                <w:sz w:val="21"/>
              </w:rPr>
              <w:t>驾驶证驾驶</w:t>
            </w:r>
          </w:p>
        </w:tc>
        <w:tc>
          <w:tcPr>
            <w:tcW w:w="6241" w:type="dxa"/>
          </w:tcPr>
          <w:p>
            <w:pPr>
              <w:pStyle w:val="TableParagraph"/>
              <w:numPr>
                <w:ilvl w:val="0"/>
                <w:numId w:val="20"/>
              </w:numPr>
              <w:tabs>
                <w:tab w:pos="588" w:val="left" w:leader="none"/>
              </w:tabs>
              <w:spacing w:line="211" w:lineRule="exact" w:before="0" w:after="0"/>
              <w:ind w:left="587" w:right="0" w:hanging="423"/>
              <w:jc w:val="left"/>
              <w:rPr>
                <w:sz w:val="21"/>
              </w:rPr>
            </w:pPr>
            <w:r>
              <w:rPr>
                <w:spacing w:val="1"/>
                <w:sz w:val="21"/>
              </w:rPr>
              <w:t>没有取得中华人民共和国有关主管部门颁发或者认可的驾</w:t>
            </w:r>
          </w:p>
          <w:p>
            <w:pPr>
              <w:pStyle w:val="TableParagraph"/>
              <w:spacing w:before="37"/>
              <w:ind w:left="587"/>
              <w:rPr>
                <w:sz w:val="21"/>
              </w:rPr>
            </w:pPr>
            <w:r>
              <w:rPr>
                <w:sz w:val="21"/>
              </w:rPr>
              <w:t>驶资格证书；</w:t>
            </w:r>
          </w:p>
          <w:p>
            <w:pPr>
              <w:pStyle w:val="TableParagraph"/>
              <w:numPr>
                <w:ilvl w:val="0"/>
                <w:numId w:val="20"/>
              </w:numPr>
              <w:tabs>
                <w:tab w:pos="588" w:val="left" w:leader="none"/>
              </w:tabs>
              <w:spacing w:line="240" w:lineRule="auto" w:before="37" w:after="0"/>
              <w:ind w:left="587" w:right="0" w:hanging="423"/>
              <w:jc w:val="left"/>
              <w:rPr>
                <w:sz w:val="21"/>
              </w:rPr>
            </w:pPr>
            <w:r>
              <w:rPr>
                <w:spacing w:val="-5"/>
                <w:sz w:val="21"/>
              </w:rPr>
              <w:t>驾驶与合法有效驾驶证准驾车型不相符合的车辆；</w:t>
            </w:r>
          </w:p>
          <w:p>
            <w:pPr>
              <w:pStyle w:val="TableParagraph"/>
              <w:numPr>
                <w:ilvl w:val="0"/>
                <w:numId w:val="20"/>
              </w:numPr>
              <w:tabs>
                <w:tab w:pos="588" w:val="left" w:leader="none"/>
              </w:tabs>
              <w:spacing w:line="240" w:lineRule="auto" w:before="37" w:after="0"/>
              <w:ind w:left="587" w:right="0" w:hanging="423"/>
              <w:jc w:val="left"/>
              <w:rPr>
                <w:sz w:val="21"/>
              </w:rPr>
            </w:pPr>
            <w:r>
              <w:rPr>
                <w:spacing w:val="-2"/>
                <w:sz w:val="21"/>
              </w:rPr>
              <w:t>持审验不合格的驾驶证驾驶；</w:t>
            </w:r>
          </w:p>
          <w:p>
            <w:pPr>
              <w:pStyle w:val="TableParagraph"/>
              <w:numPr>
                <w:ilvl w:val="0"/>
                <w:numId w:val="20"/>
              </w:numPr>
              <w:tabs>
                <w:tab w:pos="588" w:val="left" w:leader="none"/>
              </w:tabs>
              <w:spacing w:line="273" w:lineRule="auto" w:before="37" w:after="0"/>
              <w:ind w:left="587" w:right="208" w:hanging="423"/>
              <w:jc w:val="left"/>
              <w:rPr>
                <w:sz w:val="21"/>
              </w:rPr>
            </w:pPr>
            <w:r>
              <w:rPr>
                <w:spacing w:val="-6"/>
                <w:sz w:val="21"/>
              </w:rPr>
              <w:t>在驾驶证有效期内未按照中华人民共和国法律、行政法规的</w:t>
            </w:r>
            <w:r>
              <w:rPr>
                <w:spacing w:val="-5"/>
                <w:sz w:val="21"/>
              </w:rPr>
              <w:t>规定，定期对机动车驾驶证实施审验的；</w:t>
            </w:r>
          </w:p>
          <w:p>
            <w:pPr>
              <w:pStyle w:val="TableParagraph"/>
              <w:numPr>
                <w:ilvl w:val="0"/>
                <w:numId w:val="20"/>
              </w:numPr>
              <w:tabs>
                <w:tab w:pos="588" w:val="left" w:leader="none"/>
              </w:tabs>
              <w:spacing w:line="240" w:lineRule="auto" w:before="7" w:after="0"/>
              <w:ind w:left="587" w:right="0" w:hanging="423"/>
              <w:jc w:val="left"/>
              <w:rPr>
                <w:sz w:val="21"/>
              </w:rPr>
            </w:pPr>
            <w:r>
              <w:rPr>
                <w:spacing w:val="-2"/>
                <w:sz w:val="21"/>
              </w:rPr>
              <w:t>驾驶证已过有效期的。</w:t>
            </w:r>
          </w:p>
        </w:tc>
      </w:tr>
      <w:tr>
        <w:trPr>
          <w:trHeight w:val="2035" w:hRule="atLeast"/>
        </w:trPr>
        <w:tc>
          <w:tcPr>
            <w:tcW w:w="834" w:type="dxa"/>
          </w:tcPr>
          <w:p>
            <w:pPr>
              <w:pStyle w:val="TableParagraph"/>
              <w:spacing w:before="83"/>
              <w:ind w:left="178" w:right="187"/>
              <w:jc w:val="center"/>
              <w:rPr>
                <w:rFonts w:ascii="Microsoft JhengHei"/>
                <w:b/>
                <w:sz w:val="21"/>
              </w:rPr>
            </w:pPr>
            <w:r>
              <w:rPr>
                <w:rFonts w:ascii="Microsoft JhengHei"/>
                <w:b/>
                <w:sz w:val="21"/>
              </w:rPr>
              <w:t>9.13</w:t>
            </w:r>
          </w:p>
        </w:tc>
        <w:tc>
          <w:tcPr>
            <w:tcW w:w="1434" w:type="dxa"/>
          </w:tcPr>
          <w:p>
            <w:pPr>
              <w:pStyle w:val="TableParagraph"/>
              <w:spacing w:line="204" w:lineRule="auto" w:before="138"/>
              <w:ind w:left="210" w:right="165"/>
              <w:rPr>
                <w:rFonts w:ascii="Microsoft JhengHei" w:eastAsia="Microsoft JhengHei" w:hint="eastAsia"/>
                <w:b/>
                <w:sz w:val="21"/>
              </w:rPr>
            </w:pPr>
            <w:r>
              <w:rPr>
                <w:rFonts w:ascii="Microsoft JhengHei" w:eastAsia="Microsoft JhengHei" w:hint="eastAsia"/>
                <w:b/>
                <w:sz w:val="21"/>
              </w:rPr>
              <w:t>无合法有效行驶证</w:t>
            </w:r>
          </w:p>
        </w:tc>
        <w:tc>
          <w:tcPr>
            <w:tcW w:w="6241" w:type="dxa"/>
          </w:tcPr>
          <w:p>
            <w:pPr>
              <w:pStyle w:val="TableParagraph"/>
              <w:spacing w:before="150"/>
              <w:ind w:left="164"/>
              <w:rPr>
                <w:sz w:val="21"/>
              </w:rPr>
            </w:pPr>
            <w:r>
              <w:rPr>
                <w:sz w:val="21"/>
              </w:rPr>
              <w:t>指下列情形之一：</w:t>
            </w:r>
          </w:p>
          <w:p>
            <w:pPr>
              <w:pStyle w:val="TableParagraph"/>
              <w:numPr>
                <w:ilvl w:val="0"/>
                <w:numId w:val="21"/>
              </w:numPr>
              <w:tabs>
                <w:tab w:pos="588" w:val="left" w:leader="none"/>
              </w:tabs>
              <w:spacing w:line="240" w:lineRule="auto" w:before="90" w:after="0"/>
              <w:ind w:left="587" w:right="0" w:hanging="423"/>
              <w:jc w:val="left"/>
              <w:rPr>
                <w:sz w:val="21"/>
              </w:rPr>
            </w:pPr>
            <w:r>
              <w:rPr>
                <w:spacing w:val="-4"/>
                <w:sz w:val="21"/>
              </w:rPr>
              <w:t>未办理行驶证或者行驶证在申办过程中的；</w:t>
            </w:r>
          </w:p>
          <w:p>
            <w:pPr>
              <w:pStyle w:val="TableParagraph"/>
              <w:numPr>
                <w:ilvl w:val="0"/>
                <w:numId w:val="21"/>
              </w:numPr>
              <w:tabs>
                <w:tab w:pos="588" w:val="left" w:leader="none"/>
              </w:tabs>
              <w:spacing w:line="240" w:lineRule="auto" w:before="85" w:after="0"/>
              <w:ind w:left="587" w:right="0" w:hanging="423"/>
              <w:jc w:val="left"/>
              <w:rPr>
                <w:sz w:val="21"/>
              </w:rPr>
            </w:pPr>
            <w:r>
              <w:rPr>
                <w:spacing w:val="-3"/>
                <w:sz w:val="21"/>
              </w:rPr>
              <w:t>机动车行驶证被依法注销登记的；</w:t>
            </w:r>
          </w:p>
          <w:p>
            <w:pPr>
              <w:pStyle w:val="TableParagraph"/>
              <w:numPr>
                <w:ilvl w:val="0"/>
                <w:numId w:val="21"/>
              </w:numPr>
              <w:tabs>
                <w:tab w:pos="588" w:val="left" w:leader="none"/>
              </w:tabs>
              <w:spacing w:line="273" w:lineRule="auto" w:before="84" w:after="0"/>
              <w:ind w:left="587" w:right="208" w:hanging="423"/>
              <w:jc w:val="left"/>
              <w:rPr>
                <w:sz w:val="21"/>
              </w:rPr>
            </w:pPr>
            <w:r>
              <w:rPr>
                <w:spacing w:val="1"/>
                <w:sz w:val="21"/>
              </w:rPr>
              <w:t>未在行驶证检验有效期内依法按时进行或者未通过机动车</w:t>
            </w:r>
            <w:r>
              <w:rPr>
                <w:sz w:val="21"/>
              </w:rPr>
              <w:t>安全技术检验的。</w:t>
            </w:r>
          </w:p>
        </w:tc>
      </w:tr>
      <w:tr>
        <w:trPr>
          <w:trHeight w:val="951" w:hRule="atLeast"/>
        </w:trPr>
        <w:tc>
          <w:tcPr>
            <w:tcW w:w="834" w:type="dxa"/>
          </w:tcPr>
          <w:p>
            <w:pPr>
              <w:pStyle w:val="TableParagraph"/>
              <w:spacing w:before="83"/>
              <w:ind w:left="178" w:right="187"/>
              <w:jc w:val="center"/>
              <w:rPr>
                <w:rFonts w:ascii="Microsoft JhengHei"/>
                <w:b/>
                <w:sz w:val="21"/>
              </w:rPr>
            </w:pPr>
            <w:r>
              <w:rPr>
                <w:rFonts w:ascii="Microsoft JhengHei"/>
                <w:b/>
                <w:sz w:val="21"/>
              </w:rPr>
              <w:t>9.14</w:t>
            </w:r>
          </w:p>
        </w:tc>
        <w:tc>
          <w:tcPr>
            <w:tcW w:w="1434" w:type="dxa"/>
          </w:tcPr>
          <w:p>
            <w:pPr>
              <w:pStyle w:val="TableParagraph"/>
              <w:spacing w:before="83"/>
              <w:ind w:left="210"/>
              <w:rPr>
                <w:rFonts w:ascii="Microsoft JhengHei" w:eastAsia="Microsoft JhengHei" w:hint="eastAsia"/>
                <w:b/>
                <w:sz w:val="21"/>
              </w:rPr>
            </w:pPr>
            <w:r>
              <w:rPr>
                <w:rFonts w:ascii="Microsoft JhengHei" w:eastAsia="Microsoft JhengHei" w:hint="eastAsia"/>
                <w:b/>
                <w:sz w:val="21"/>
              </w:rPr>
              <w:t>机动车</w:t>
            </w:r>
          </w:p>
        </w:tc>
        <w:tc>
          <w:tcPr>
            <w:tcW w:w="6241" w:type="dxa"/>
          </w:tcPr>
          <w:p>
            <w:pPr>
              <w:pStyle w:val="TableParagraph"/>
              <w:spacing w:line="273" w:lineRule="auto" w:before="150"/>
              <w:ind w:left="164" w:right="164"/>
              <w:rPr>
                <w:sz w:val="21"/>
              </w:rPr>
            </w:pPr>
            <w:r>
              <w:rPr>
                <w:sz w:val="21"/>
              </w:rPr>
              <w:t>指以动力装置驱动或者牵引，上道路行驶的供人员乘用或者用于运送物品以及进行工程专项作业的轮式车辆。</w:t>
            </w:r>
          </w:p>
        </w:tc>
      </w:tr>
      <w:tr>
        <w:trPr>
          <w:trHeight w:val="2354" w:hRule="atLeast"/>
        </w:trPr>
        <w:tc>
          <w:tcPr>
            <w:tcW w:w="834" w:type="dxa"/>
          </w:tcPr>
          <w:p>
            <w:pPr>
              <w:pStyle w:val="TableParagraph"/>
              <w:spacing w:before="83"/>
              <w:ind w:left="178" w:right="187"/>
              <w:jc w:val="center"/>
              <w:rPr>
                <w:rFonts w:ascii="Microsoft JhengHei"/>
                <w:b/>
                <w:sz w:val="21"/>
              </w:rPr>
            </w:pPr>
            <w:r>
              <w:rPr>
                <w:rFonts w:ascii="Microsoft JhengHei"/>
                <w:b/>
                <w:sz w:val="21"/>
              </w:rPr>
              <w:t>9.15</w:t>
            </w:r>
          </w:p>
        </w:tc>
        <w:tc>
          <w:tcPr>
            <w:tcW w:w="1434" w:type="dxa"/>
          </w:tcPr>
          <w:p>
            <w:pPr>
              <w:pStyle w:val="TableParagraph"/>
              <w:spacing w:line="204" w:lineRule="auto" w:before="138"/>
              <w:ind w:left="210" w:right="165"/>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241" w:type="dxa"/>
          </w:tcPr>
          <w:p>
            <w:pPr>
              <w:pStyle w:val="TableParagraph"/>
              <w:spacing w:line="273" w:lineRule="auto" w:before="150"/>
              <w:ind w:left="164" w:right="199"/>
              <w:jc w:val="both"/>
              <w:rPr>
                <w:sz w:val="21"/>
              </w:rPr>
            </w:pPr>
            <w:r>
              <w:rPr>
                <w:spacing w:val="-4"/>
                <w:sz w:val="21"/>
              </w:rPr>
              <w:t>艾滋病病毒指人类免疫缺陷病毒，英文缩写为 </w:t>
            </w:r>
            <w:r>
              <w:rPr>
                <w:sz w:val="21"/>
              </w:rPr>
              <w:t>HIV</w:t>
            </w:r>
            <w:r>
              <w:rPr>
                <w:spacing w:val="-2"/>
                <w:sz w:val="21"/>
              </w:rPr>
              <w:t>。艾滋病指人</w:t>
            </w:r>
            <w:r>
              <w:rPr>
                <w:spacing w:val="10"/>
                <w:sz w:val="21"/>
              </w:rPr>
              <w:t>类免疫缺陷病毒引起的获得性免疫缺陷综合征， 英文缩写为</w:t>
            </w:r>
          </w:p>
          <w:p>
            <w:pPr>
              <w:pStyle w:val="TableParagraph"/>
              <w:spacing w:before="8"/>
              <w:ind w:left="164"/>
              <w:rPr>
                <w:sz w:val="21"/>
              </w:rPr>
            </w:pPr>
            <w:r>
              <w:rPr>
                <w:sz w:val="21"/>
              </w:rPr>
              <w:t>AIDS。</w:t>
            </w:r>
          </w:p>
          <w:p>
            <w:pPr>
              <w:pStyle w:val="TableParagraph"/>
              <w:spacing w:before="12"/>
              <w:ind w:left="0"/>
              <w:rPr>
                <w:sz w:val="14"/>
              </w:rPr>
            </w:pPr>
          </w:p>
          <w:p>
            <w:pPr>
              <w:pStyle w:val="TableParagraph"/>
              <w:spacing w:line="271" w:lineRule="auto" w:before="1"/>
              <w:ind w:left="164" w:right="214"/>
              <w:jc w:val="both"/>
              <w:rPr>
                <w:sz w:val="21"/>
              </w:rPr>
            </w:pPr>
            <w:r>
              <w:rPr>
                <w:spacing w:val="1"/>
                <w:sz w:val="21"/>
              </w:rPr>
              <w:t>在人体血液或者其他样本中检测到艾滋病病毒或者其抗体呈阳</w:t>
            </w:r>
            <w:r>
              <w:rPr>
                <w:spacing w:val="-5"/>
                <w:sz w:val="21"/>
              </w:rPr>
              <w:t>性，没有出现临床症状或者体征的，为感染艾滋病病毒；如果同时出现了明显临床症状或者体征的，为患艾滋病。</w:t>
            </w:r>
          </w:p>
        </w:tc>
      </w:tr>
      <w:tr>
        <w:trPr>
          <w:trHeight w:val="1262" w:hRule="atLeast"/>
        </w:trPr>
        <w:tc>
          <w:tcPr>
            <w:tcW w:w="834" w:type="dxa"/>
          </w:tcPr>
          <w:p>
            <w:pPr>
              <w:pStyle w:val="TableParagraph"/>
              <w:spacing w:before="85"/>
              <w:ind w:left="178" w:right="187"/>
              <w:jc w:val="center"/>
              <w:rPr>
                <w:rFonts w:ascii="Microsoft JhengHei"/>
                <w:b/>
                <w:sz w:val="21"/>
              </w:rPr>
            </w:pPr>
            <w:r>
              <w:rPr>
                <w:rFonts w:ascii="Microsoft JhengHei"/>
                <w:b/>
                <w:sz w:val="21"/>
              </w:rPr>
              <w:t>9.16</w:t>
            </w:r>
          </w:p>
        </w:tc>
        <w:tc>
          <w:tcPr>
            <w:tcW w:w="1434" w:type="dxa"/>
          </w:tcPr>
          <w:p>
            <w:pPr>
              <w:pStyle w:val="TableParagraph"/>
              <w:spacing w:before="85"/>
              <w:ind w:left="210"/>
              <w:rPr>
                <w:rFonts w:ascii="Microsoft JhengHei" w:eastAsia="Microsoft JhengHei" w:hint="eastAsia"/>
                <w:b/>
                <w:sz w:val="21"/>
              </w:rPr>
            </w:pPr>
            <w:r>
              <w:rPr>
                <w:rFonts w:ascii="Microsoft JhengHei" w:eastAsia="Microsoft JhengHei" w:hint="eastAsia"/>
                <w:b/>
                <w:sz w:val="21"/>
              </w:rPr>
              <w:t>遗传性疾病</w:t>
            </w:r>
          </w:p>
        </w:tc>
        <w:tc>
          <w:tcPr>
            <w:tcW w:w="6241" w:type="dxa"/>
          </w:tcPr>
          <w:p>
            <w:pPr>
              <w:pStyle w:val="TableParagraph"/>
              <w:spacing w:line="271" w:lineRule="auto" w:before="152"/>
              <w:ind w:left="270" w:right="209"/>
              <w:jc w:val="both"/>
              <w:rPr>
                <w:sz w:val="21"/>
              </w:rPr>
            </w:pPr>
            <w:r>
              <w:rPr>
                <w:spacing w:val="-7"/>
                <w:sz w:val="21"/>
              </w:rPr>
              <w:t>指生殖细胞或者受精卵的遗传物质</w:t>
            </w:r>
            <w:r>
              <w:rPr>
                <w:sz w:val="21"/>
              </w:rPr>
              <w:t>（</w:t>
            </w:r>
            <w:r>
              <w:rPr>
                <w:spacing w:val="-3"/>
                <w:sz w:val="21"/>
              </w:rPr>
              <w:t>染色体和基因</w:t>
            </w:r>
            <w:r>
              <w:rPr>
                <w:spacing w:val="-68"/>
                <w:sz w:val="21"/>
              </w:rPr>
              <w:t>）</w:t>
            </w:r>
            <w:r>
              <w:rPr>
                <w:sz w:val="21"/>
              </w:rPr>
              <w:t>发生突变或者畸变所引起的疾病，通常具有由亲代传至后代的垂直传递的特征。</w:t>
            </w:r>
          </w:p>
        </w:tc>
      </w:tr>
      <w:tr>
        <w:trPr>
          <w:trHeight w:val="1572" w:hRule="atLeast"/>
        </w:trPr>
        <w:tc>
          <w:tcPr>
            <w:tcW w:w="834" w:type="dxa"/>
          </w:tcPr>
          <w:p>
            <w:pPr>
              <w:pStyle w:val="TableParagraph"/>
              <w:spacing w:before="85"/>
              <w:ind w:left="178" w:right="187"/>
              <w:jc w:val="center"/>
              <w:rPr>
                <w:rFonts w:ascii="Microsoft JhengHei"/>
                <w:b/>
                <w:sz w:val="21"/>
              </w:rPr>
            </w:pPr>
            <w:r>
              <w:rPr>
                <w:rFonts w:ascii="Microsoft JhengHei"/>
                <w:b/>
                <w:sz w:val="21"/>
              </w:rPr>
              <w:t>9.17</w:t>
            </w:r>
          </w:p>
        </w:tc>
        <w:tc>
          <w:tcPr>
            <w:tcW w:w="1434" w:type="dxa"/>
          </w:tcPr>
          <w:p>
            <w:pPr>
              <w:pStyle w:val="TableParagraph"/>
              <w:spacing w:line="204" w:lineRule="auto" w:before="140"/>
              <w:ind w:left="210" w:right="165"/>
              <w:rPr>
                <w:rFonts w:ascii="Microsoft JhengHei" w:eastAsia="Microsoft JhengHei" w:hint="eastAsia"/>
                <w:b/>
                <w:sz w:val="21"/>
              </w:rPr>
            </w:pPr>
            <w:r>
              <w:rPr>
                <w:rFonts w:ascii="Microsoft JhengHei" w:eastAsia="Microsoft JhengHei" w:hint="eastAsia"/>
                <w:b/>
                <w:sz w:val="21"/>
              </w:rPr>
              <w:t>先 天 性 畸 形、变形或者染色体异常</w:t>
            </w:r>
          </w:p>
        </w:tc>
        <w:tc>
          <w:tcPr>
            <w:tcW w:w="6241" w:type="dxa"/>
          </w:tcPr>
          <w:p>
            <w:pPr>
              <w:pStyle w:val="TableParagraph"/>
              <w:spacing w:line="271" w:lineRule="auto" w:before="152"/>
              <w:ind w:left="164" w:right="209"/>
              <w:jc w:val="both"/>
              <w:rPr>
                <w:sz w:val="21"/>
              </w:rPr>
            </w:pPr>
            <w:r>
              <w:rPr>
                <w:spacing w:val="-6"/>
                <w:sz w:val="21"/>
              </w:rPr>
              <w:t>指被保险人出生时就具有的畸形、变形或者染色体异常。先天性畸形、变形和染色体异常依照世界卫生组织《疾病和有关健康问</w:t>
            </w:r>
            <w:r>
              <w:rPr>
                <w:spacing w:val="-14"/>
                <w:sz w:val="21"/>
              </w:rPr>
              <w:t>题的国际统计分类》</w:t>
            </w:r>
            <w:r>
              <w:rPr>
                <w:spacing w:val="-1"/>
                <w:sz w:val="21"/>
              </w:rPr>
              <w:t>（ICD-10）</w:t>
            </w:r>
            <w:r>
              <w:rPr>
                <w:sz w:val="21"/>
              </w:rPr>
              <w:t>确定。</w:t>
            </w:r>
          </w:p>
        </w:tc>
      </w:tr>
      <w:tr>
        <w:trPr>
          <w:trHeight w:val="1966" w:hRule="atLeast"/>
        </w:trPr>
        <w:tc>
          <w:tcPr>
            <w:tcW w:w="834" w:type="dxa"/>
          </w:tcPr>
          <w:p>
            <w:pPr>
              <w:pStyle w:val="TableParagraph"/>
              <w:spacing w:before="83"/>
              <w:ind w:left="178" w:right="187"/>
              <w:jc w:val="center"/>
              <w:rPr>
                <w:rFonts w:ascii="Microsoft JhengHei"/>
                <w:b/>
                <w:sz w:val="21"/>
              </w:rPr>
            </w:pPr>
            <w:r>
              <w:rPr>
                <w:rFonts w:ascii="Microsoft JhengHei"/>
                <w:b/>
                <w:sz w:val="21"/>
              </w:rPr>
              <w:t>9.18</w:t>
            </w:r>
          </w:p>
        </w:tc>
        <w:tc>
          <w:tcPr>
            <w:tcW w:w="1434" w:type="dxa"/>
          </w:tcPr>
          <w:p>
            <w:pPr>
              <w:pStyle w:val="TableParagraph"/>
              <w:spacing w:before="83"/>
              <w:ind w:left="210"/>
              <w:rPr>
                <w:rFonts w:ascii="Microsoft JhengHei" w:eastAsia="Microsoft JhengHei" w:hint="eastAsia"/>
                <w:b/>
                <w:sz w:val="21"/>
              </w:rPr>
            </w:pPr>
            <w:r>
              <w:rPr>
                <w:rFonts w:ascii="Microsoft JhengHei" w:eastAsia="Microsoft JhengHei" w:hint="eastAsia"/>
                <w:b/>
                <w:sz w:val="21"/>
              </w:rPr>
              <w:t>现金价值</w:t>
            </w:r>
          </w:p>
        </w:tc>
        <w:tc>
          <w:tcPr>
            <w:tcW w:w="6241" w:type="dxa"/>
          </w:tcPr>
          <w:p>
            <w:pPr>
              <w:pStyle w:val="TableParagraph"/>
              <w:spacing w:line="273" w:lineRule="auto" w:before="150"/>
              <w:ind w:left="164" w:right="177"/>
              <w:rPr>
                <w:sz w:val="21"/>
              </w:rPr>
            </w:pPr>
            <w:r>
              <w:rPr>
                <w:sz w:val="21"/>
              </w:rPr>
              <w:t>指保险合同所具有的价值，通常体现为解除合同时，根据精算原理计算的，由我们退还的那部分金额。</w:t>
            </w:r>
          </w:p>
          <w:p>
            <w:pPr>
              <w:pStyle w:val="TableParagraph"/>
              <w:spacing w:before="90"/>
              <w:ind w:left="164"/>
              <w:rPr>
                <w:sz w:val="21"/>
              </w:rPr>
            </w:pPr>
            <w:r>
              <w:rPr>
                <w:sz w:val="21"/>
              </w:rPr>
              <w:t>具体为保险费×（1-10%）×（1－该保险费所保障的已经过天数</w:t>
            </w:r>
          </w:p>
          <w:p>
            <w:pPr>
              <w:pStyle w:val="TableParagraph"/>
              <w:spacing w:line="273" w:lineRule="auto" w:before="32"/>
              <w:ind w:left="164" w:right="209"/>
              <w:rPr>
                <w:sz w:val="21"/>
              </w:rPr>
            </w:pPr>
            <w:r>
              <w:rPr>
                <w:sz w:val="21"/>
              </w:rPr>
              <w:t>/</w:t>
            </w:r>
            <w:r>
              <w:rPr>
                <w:spacing w:val="-2"/>
                <w:sz w:val="21"/>
              </w:rPr>
              <w:t>该保险费所保障的天数</w:t>
            </w:r>
            <w:r>
              <w:rPr>
                <w:spacing w:val="-66"/>
                <w:sz w:val="21"/>
              </w:rPr>
              <w:t>）</w:t>
            </w:r>
            <w:r>
              <w:rPr>
                <w:spacing w:val="-10"/>
                <w:sz w:val="21"/>
              </w:rPr>
              <w:t>，上述已经过天数从保险合同生效日起</w:t>
            </w:r>
            <w:r>
              <w:rPr>
                <w:spacing w:val="-12"/>
                <w:sz w:val="21"/>
              </w:rPr>
              <w:t>计算，经过天数不足 </w:t>
            </w:r>
            <w:r>
              <w:rPr>
                <w:sz w:val="21"/>
              </w:rPr>
              <w:t>1</w:t>
            </w:r>
            <w:r>
              <w:rPr>
                <w:spacing w:val="-18"/>
                <w:sz w:val="21"/>
              </w:rPr>
              <w:t> 天的，按 </w:t>
            </w:r>
            <w:r>
              <w:rPr>
                <w:sz w:val="21"/>
              </w:rPr>
              <w:t>1</w:t>
            </w:r>
            <w:r>
              <w:rPr>
                <w:spacing w:val="-10"/>
                <w:sz w:val="21"/>
              </w:rPr>
              <w:t> 天计算。。</w:t>
            </w:r>
          </w:p>
        </w:tc>
      </w:tr>
      <w:tr>
        <w:trPr>
          <w:trHeight w:val="735" w:hRule="atLeast"/>
        </w:trPr>
        <w:tc>
          <w:tcPr>
            <w:tcW w:w="834" w:type="dxa"/>
          </w:tcPr>
          <w:p>
            <w:pPr>
              <w:pStyle w:val="TableParagraph"/>
              <w:spacing w:before="85"/>
              <w:ind w:left="178" w:right="187"/>
              <w:jc w:val="center"/>
              <w:rPr>
                <w:rFonts w:ascii="Microsoft JhengHei"/>
                <w:b/>
                <w:sz w:val="21"/>
              </w:rPr>
            </w:pPr>
            <w:r>
              <w:rPr>
                <w:rFonts w:ascii="Microsoft JhengHei"/>
                <w:b/>
                <w:sz w:val="21"/>
              </w:rPr>
              <w:t>9.19</w:t>
            </w:r>
          </w:p>
        </w:tc>
        <w:tc>
          <w:tcPr>
            <w:tcW w:w="1434" w:type="dxa"/>
          </w:tcPr>
          <w:p>
            <w:pPr>
              <w:pStyle w:val="TableParagraph"/>
              <w:spacing w:before="85"/>
              <w:ind w:left="210"/>
              <w:rPr>
                <w:rFonts w:ascii="Microsoft JhengHei" w:eastAsia="Microsoft JhengHei" w:hint="eastAsia"/>
                <w:b/>
                <w:sz w:val="21"/>
              </w:rPr>
            </w:pPr>
            <w:r>
              <w:rPr>
                <w:rFonts w:ascii="Microsoft JhengHei" w:eastAsia="Microsoft JhengHei" w:hint="eastAsia"/>
                <w:b/>
                <w:sz w:val="21"/>
              </w:rPr>
              <w:t>永久不可逆</w:t>
            </w:r>
          </w:p>
        </w:tc>
        <w:tc>
          <w:tcPr>
            <w:tcW w:w="6241" w:type="dxa"/>
          </w:tcPr>
          <w:p>
            <w:pPr>
              <w:pStyle w:val="TableParagraph"/>
              <w:spacing w:line="300" w:lineRule="atLeast" w:before="127"/>
              <w:ind w:left="164" w:right="206"/>
              <w:rPr>
                <w:sz w:val="21"/>
              </w:rPr>
            </w:pPr>
            <w:r>
              <w:rPr>
                <w:spacing w:val="-7"/>
                <w:sz w:val="21"/>
              </w:rPr>
              <w:t>指自疾病确诊或意外发生之日起，经过积极治疗 </w:t>
            </w:r>
            <w:r>
              <w:rPr>
                <w:sz w:val="21"/>
              </w:rPr>
              <w:t>180</w:t>
            </w:r>
            <w:r>
              <w:rPr>
                <w:spacing w:val="-10"/>
                <w:sz w:val="21"/>
              </w:rPr>
              <w:t> 天后，仍无</w:t>
            </w:r>
            <w:r>
              <w:rPr>
                <w:spacing w:val="-7"/>
                <w:sz w:val="21"/>
              </w:rPr>
              <w:t>法通过现有医疗手段恢复。</w:t>
            </w:r>
          </w:p>
        </w:tc>
      </w:tr>
    </w:tbl>
    <w:sectPr>
      <w:pgSz w:w="11910" w:h="16840"/>
      <w:pgMar w:header="0" w:footer="150" w:top="74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Calibri">
    <w:altName w:val="Calibri"/>
    <w:charset w:val="0"/>
    <w:family w:val="swiss"/>
    <w:pitch w:val="variable"/>
  </w:font>
  <w:font w:name="Cambria">
    <w:altName w:val="Cambria"/>
    <w:charset w:val="0"/>
    <w:family w:val="roman"/>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52888"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28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0">
    <w:multiLevelType w:val="hybridMultilevel"/>
    <w:lvl w:ilvl="0">
      <w:start w:val="1"/>
      <w:numFmt w:val="decimal"/>
      <w:lvlText w:val="(%1)"/>
      <w:lvlJc w:val="left"/>
      <w:pPr>
        <w:ind w:left="587" w:hanging="423"/>
        <w:jc w:val="left"/>
      </w:pPr>
      <w:rPr>
        <w:rFonts w:hint="default" w:ascii="宋体" w:hAnsi="宋体" w:eastAsia="宋体" w:cs="宋体"/>
        <w:w w:val="100"/>
        <w:sz w:val="21"/>
        <w:szCs w:val="21"/>
      </w:rPr>
    </w:lvl>
    <w:lvl w:ilvl="1">
      <w:start w:val="0"/>
      <w:numFmt w:val="bullet"/>
      <w:lvlText w:val="•"/>
      <w:lvlJc w:val="left"/>
      <w:pPr>
        <w:ind w:left="1146" w:hanging="423"/>
      </w:pPr>
      <w:rPr>
        <w:rFonts w:hint="default"/>
      </w:rPr>
    </w:lvl>
    <w:lvl w:ilvl="2">
      <w:start w:val="0"/>
      <w:numFmt w:val="bullet"/>
      <w:lvlText w:val="•"/>
      <w:lvlJc w:val="left"/>
      <w:pPr>
        <w:ind w:left="1712" w:hanging="423"/>
      </w:pPr>
      <w:rPr>
        <w:rFonts w:hint="default"/>
      </w:rPr>
    </w:lvl>
    <w:lvl w:ilvl="3">
      <w:start w:val="0"/>
      <w:numFmt w:val="bullet"/>
      <w:lvlText w:val="•"/>
      <w:lvlJc w:val="left"/>
      <w:pPr>
        <w:ind w:left="2278" w:hanging="423"/>
      </w:pPr>
      <w:rPr>
        <w:rFonts w:hint="default"/>
      </w:rPr>
    </w:lvl>
    <w:lvl w:ilvl="4">
      <w:start w:val="0"/>
      <w:numFmt w:val="bullet"/>
      <w:lvlText w:val="•"/>
      <w:lvlJc w:val="left"/>
      <w:pPr>
        <w:ind w:left="2844" w:hanging="423"/>
      </w:pPr>
      <w:rPr>
        <w:rFonts w:hint="default"/>
      </w:rPr>
    </w:lvl>
    <w:lvl w:ilvl="5">
      <w:start w:val="0"/>
      <w:numFmt w:val="bullet"/>
      <w:lvlText w:val="•"/>
      <w:lvlJc w:val="left"/>
      <w:pPr>
        <w:ind w:left="3410" w:hanging="423"/>
      </w:pPr>
      <w:rPr>
        <w:rFonts w:hint="default"/>
      </w:rPr>
    </w:lvl>
    <w:lvl w:ilvl="6">
      <w:start w:val="0"/>
      <w:numFmt w:val="bullet"/>
      <w:lvlText w:val="•"/>
      <w:lvlJc w:val="left"/>
      <w:pPr>
        <w:ind w:left="3976" w:hanging="423"/>
      </w:pPr>
      <w:rPr>
        <w:rFonts w:hint="default"/>
      </w:rPr>
    </w:lvl>
    <w:lvl w:ilvl="7">
      <w:start w:val="0"/>
      <w:numFmt w:val="bullet"/>
      <w:lvlText w:val="•"/>
      <w:lvlJc w:val="left"/>
      <w:pPr>
        <w:ind w:left="4542" w:hanging="423"/>
      </w:pPr>
      <w:rPr>
        <w:rFonts w:hint="default"/>
      </w:rPr>
    </w:lvl>
    <w:lvl w:ilvl="8">
      <w:start w:val="0"/>
      <w:numFmt w:val="bullet"/>
      <w:lvlText w:val="•"/>
      <w:lvlJc w:val="left"/>
      <w:pPr>
        <w:ind w:left="5108" w:hanging="423"/>
      </w:pPr>
      <w:rPr>
        <w:rFonts w:hint="default"/>
      </w:rPr>
    </w:lvl>
  </w:abstractNum>
  <w:abstractNum w:abstractNumId="19">
    <w:multiLevelType w:val="hybridMultilevel"/>
    <w:lvl w:ilvl="0">
      <w:start w:val="1"/>
      <w:numFmt w:val="decimal"/>
      <w:lvlText w:val="(%1)"/>
      <w:lvlJc w:val="left"/>
      <w:pPr>
        <w:ind w:left="587" w:hanging="423"/>
        <w:jc w:val="left"/>
      </w:pPr>
      <w:rPr>
        <w:rFonts w:hint="default" w:ascii="宋体" w:hAnsi="宋体" w:eastAsia="宋体" w:cs="宋体"/>
        <w:w w:val="100"/>
        <w:sz w:val="21"/>
        <w:szCs w:val="21"/>
      </w:rPr>
    </w:lvl>
    <w:lvl w:ilvl="1">
      <w:start w:val="0"/>
      <w:numFmt w:val="bullet"/>
      <w:lvlText w:val="•"/>
      <w:lvlJc w:val="left"/>
      <w:pPr>
        <w:ind w:left="1146" w:hanging="423"/>
      </w:pPr>
      <w:rPr>
        <w:rFonts w:hint="default"/>
      </w:rPr>
    </w:lvl>
    <w:lvl w:ilvl="2">
      <w:start w:val="0"/>
      <w:numFmt w:val="bullet"/>
      <w:lvlText w:val="•"/>
      <w:lvlJc w:val="left"/>
      <w:pPr>
        <w:ind w:left="1712" w:hanging="423"/>
      </w:pPr>
      <w:rPr>
        <w:rFonts w:hint="default"/>
      </w:rPr>
    </w:lvl>
    <w:lvl w:ilvl="3">
      <w:start w:val="0"/>
      <w:numFmt w:val="bullet"/>
      <w:lvlText w:val="•"/>
      <w:lvlJc w:val="left"/>
      <w:pPr>
        <w:ind w:left="2278" w:hanging="423"/>
      </w:pPr>
      <w:rPr>
        <w:rFonts w:hint="default"/>
      </w:rPr>
    </w:lvl>
    <w:lvl w:ilvl="4">
      <w:start w:val="0"/>
      <w:numFmt w:val="bullet"/>
      <w:lvlText w:val="•"/>
      <w:lvlJc w:val="left"/>
      <w:pPr>
        <w:ind w:left="2844" w:hanging="423"/>
      </w:pPr>
      <w:rPr>
        <w:rFonts w:hint="default"/>
      </w:rPr>
    </w:lvl>
    <w:lvl w:ilvl="5">
      <w:start w:val="0"/>
      <w:numFmt w:val="bullet"/>
      <w:lvlText w:val="•"/>
      <w:lvlJc w:val="left"/>
      <w:pPr>
        <w:ind w:left="3410" w:hanging="423"/>
      </w:pPr>
      <w:rPr>
        <w:rFonts w:hint="default"/>
      </w:rPr>
    </w:lvl>
    <w:lvl w:ilvl="6">
      <w:start w:val="0"/>
      <w:numFmt w:val="bullet"/>
      <w:lvlText w:val="•"/>
      <w:lvlJc w:val="left"/>
      <w:pPr>
        <w:ind w:left="3976" w:hanging="423"/>
      </w:pPr>
      <w:rPr>
        <w:rFonts w:hint="default"/>
      </w:rPr>
    </w:lvl>
    <w:lvl w:ilvl="7">
      <w:start w:val="0"/>
      <w:numFmt w:val="bullet"/>
      <w:lvlText w:val="•"/>
      <w:lvlJc w:val="left"/>
      <w:pPr>
        <w:ind w:left="4542" w:hanging="423"/>
      </w:pPr>
      <w:rPr>
        <w:rFonts w:hint="default"/>
      </w:rPr>
    </w:lvl>
    <w:lvl w:ilvl="8">
      <w:start w:val="0"/>
      <w:numFmt w:val="bullet"/>
      <w:lvlText w:val="•"/>
      <w:lvlJc w:val="left"/>
      <w:pPr>
        <w:ind w:left="5108" w:hanging="423"/>
      </w:pPr>
      <w:rPr>
        <w:rFonts w:hint="default"/>
      </w:rPr>
    </w:lvl>
  </w:abstractNum>
  <w:abstractNum w:abstractNumId="18">
    <w:multiLevelType w:val="hybridMultilevel"/>
    <w:lvl w:ilvl="0">
      <w:start w:val="1"/>
      <w:numFmt w:val="decimal"/>
      <w:lvlText w:val="(%1)"/>
      <w:lvlJc w:val="left"/>
      <w:pPr>
        <w:ind w:left="588" w:hanging="423"/>
        <w:jc w:val="left"/>
      </w:pPr>
      <w:rPr>
        <w:rFonts w:hint="default" w:ascii="宋体" w:hAnsi="宋体" w:eastAsia="宋体" w:cs="宋体"/>
        <w:w w:val="100"/>
        <w:sz w:val="21"/>
        <w:szCs w:val="21"/>
      </w:rPr>
    </w:lvl>
    <w:lvl w:ilvl="1">
      <w:start w:val="0"/>
      <w:numFmt w:val="bullet"/>
      <w:lvlText w:val="•"/>
      <w:lvlJc w:val="left"/>
      <w:pPr>
        <w:ind w:left="1147" w:hanging="423"/>
      </w:pPr>
      <w:rPr>
        <w:rFonts w:hint="default"/>
      </w:rPr>
    </w:lvl>
    <w:lvl w:ilvl="2">
      <w:start w:val="0"/>
      <w:numFmt w:val="bullet"/>
      <w:lvlText w:val="•"/>
      <w:lvlJc w:val="left"/>
      <w:pPr>
        <w:ind w:left="1714" w:hanging="423"/>
      </w:pPr>
      <w:rPr>
        <w:rFonts w:hint="default"/>
      </w:rPr>
    </w:lvl>
    <w:lvl w:ilvl="3">
      <w:start w:val="0"/>
      <w:numFmt w:val="bullet"/>
      <w:lvlText w:val="•"/>
      <w:lvlJc w:val="left"/>
      <w:pPr>
        <w:ind w:left="2281" w:hanging="423"/>
      </w:pPr>
      <w:rPr>
        <w:rFonts w:hint="default"/>
      </w:rPr>
    </w:lvl>
    <w:lvl w:ilvl="4">
      <w:start w:val="0"/>
      <w:numFmt w:val="bullet"/>
      <w:lvlText w:val="•"/>
      <w:lvlJc w:val="left"/>
      <w:pPr>
        <w:ind w:left="2848" w:hanging="423"/>
      </w:pPr>
      <w:rPr>
        <w:rFonts w:hint="default"/>
      </w:rPr>
    </w:lvl>
    <w:lvl w:ilvl="5">
      <w:start w:val="0"/>
      <w:numFmt w:val="bullet"/>
      <w:lvlText w:val="•"/>
      <w:lvlJc w:val="left"/>
      <w:pPr>
        <w:ind w:left="3416" w:hanging="423"/>
      </w:pPr>
      <w:rPr>
        <w:rFonts w:hint="default"/>
      </w:rPr>
    </w:lvl>
    <w:lvl w:ilvl="6">
      <w:start w:val="0"/>
      <w:numFmt w:val="bullet"/>
      <w:lvlText w:val="•"/>
      <w:lvlJc w:val="left"/>
      <w:pPr>
        <w:ind w:left="3983" w:hanging="423"/>
      </w:pPr>
      <w:rPr>
        <w:rFonts w:hint="default"/>
      </w:rPr>
    </w:lvl>
    <w:lvl w:ilvl="7">
      <w:start w:val="0"/>
      <w:numFmt w:val="bullet"/>
      <w:lvlText w:val="•"/>
      <w:lvlJc w:val="left"/>
      <w:pPr>
        <w:ind w:left="4550" w:hanging="423"/>
      </w:pPr>
      <w:rPr>
        <w:rFonts w:hint="default"/>
      </w:rPr>
    </w:lvl>
    <w:lvl w:ilvl="8">
      <w:start w:val="0"/>
      <w:numFmt w:val="bullet"/>
      <w:lvlText w:val="•"/>
      <w:lvlJc w:val="left"/>
      <w:pPr>
        <w:ind w:left="5117" w:hanging="423"/>
      </w:pPr>
      <w:rPr>
        <w:rFonts w:hint="default"/>
      </w:rPr>
    </w:lvl>
  </w:abstractNum>
  <w:abstractNum w:abstractNumId="17">
    <w:multiLevelType w:val="hybridMultilevel"/>
    <w:lvl w:ilvl="0">
      <w:start w:val="1"/>
      <w:numFmt w:val="decimal"/>
      <w:lvlText w:val="（%1）"/>
      <w:lvlJc w:val="left"/>
      <w:pPr>
        <w:ind w:left="742" w:hanging="644"/>
        <w:jc w:val="left"/>
      </w:pPr>
      <w:rPr>
        <w:rFonts w:hint="default" w:ascii="宋体" w:hAnsi="宋体" w:eastAsia="宋体" w:cs="宋体"/>
        <w:spacing w:val="-2"/>
        <w:w w:val="100"/>
        <w:sz w:val="21"/>
        <w:szCs w:val="21"/>
      </w:rPr>
    </w:lvl>
    <w:lvl w:ilvl="1">
      <w:start w:val="0"/>
      <w:numFmt w:val="bullet"/>
      <w:lvlText w:val="•"/>
      <w:lvlJc w:val="left"/>
      <w:pPr>
        <w:ind w:left="1294" w:hanging="644"/>
      </w:pPr>
      <w:rPr>
        <w:rFonts w:hint="default"/>
      </w:rPr>
    </w:lvl>
    <w:lvl w:ilvl="2">
      <w:start w:val="0"/>
      <w:numFmt w:val="bullet"/>
      <w:lvlText w:val="•"/>
      <w:lvlJc w:val="left"/>
      <w:pPr>
        <w:ind w:left="1849" w:hanging="644"/>
      </w:pPr>
      <w:rPr>
        <w:rFonts w:hint="default"/>
      </w:rPr>
    </w:lvl>
    <w:lvl w:ilvl="3">
      <w:start w:val="0"/>
      <w:numFmt w:val="bullet"/>
      <w:lvlText w:val="•"/>
      <w:lvlJc w:val="left"/>
      <w:pPr>
        <w:ind w:left="2404" w:hanging="644"/>
      </w:pPr>
      <w:rPr>
        <w:rFonts w:hint="default"/>
      </w:rPr>
    </w:lvl>
    <w:lvl w:ilvl="4">
      <w:start w:val="0"/>
      <w:numFmt w:val="bullet"/>
      <w:lvlText w:val="•"/>
      <w:lvlJc w:val="left"/>
      <w:pPr>
        <w:ind w:left="2958" w:hanging="644"/>
      </w:pPr>
      <w:rPr>
        <w:rFonts w:hint="default"/>
      </w:rPr>
    </w:lvl>
    <w:lvl w:ilvl="5">
      <w:start w:val="0"/>
      <w:numFmt w:val="bullet"/>
      <w:lvlText w:val="•"/>
      <w:lvlJc w:val="left"/>
      <w:pPr>
        <w:ind w:left="3513" w:hanging="644"/>
      </w:pPr>
      <w:rPr>
        <w:rFonts w:hint="default"/>
      </w:rPr>
    </w:lvl>
    <w:lvl w:ilvl="6">
      <w:start w:val="0"/>
      <w:numFmt w:val="bullet"/>
      <w:lvlText w:val="•"/>
      <w:lvlJc w:val="left"/>
      <w:pPr>
        <w:ind w:left="4068" w:hanging="644"/>
      </w:pPr>
      <w:rPr>
        <w:rFonts w:hint="default"/>
      </w:rPr>
    </w:lvl>
    <w:lvl w:ilvl="7">
      <w:start w:val="0"/>
      <w:numFmt w:val="bullet"/>
      <w:lvlText w:val="•"/>
      <w:lvlJc w:val="left"/>
      <w:pPr>
        <w:ind w:left="4622" w:hanging="644"/>
      </w:pPr>
      <w:rPr>
        <w:rFonts w:hint="default"/>
      </w:rPr>
    </w:lvl>
    <w:lvl w:ilvl="8">
      <w:start w:val="0"/>
      <w:numFmt w:val="bullet"/>
      <w:lvlText w:val="•"/>
      <w:lvlJc w:val="left"/>
      <w:pPr>
        <w:ind w:left="5177" w:hanging="644"/>
      </w:pPr>
      <w:rPr>
        <w:rFonts w:hint="default"/>
      </w:rPr>
    </w:lvl>
  </w:abstractNum>
  <w:abstractNum w:abstractNumId="16">
    <w:multiLevelType w:val="hybridMultilevel"/>
    <w:lvl w:ilvl="0">
      <w:start w:val="1"/>
      <w:numFmt w:val="decimal"/>
      <w:lvlText w:val="（%1）"/>
      <w:lvlJc w:val="left"/>
      <w:pPr>
        <w:ind w:left="746" w:hanging="635"/>
        <w:jc w:val="left"/>
      </w:pPr>
      <w:rPr>
        <w:rFonts w:hint="default" w:ascii="宋体" w:hAnsi="宋体" w:eastAsia="宋体" w:cs="宋体"/>
        <w:w w:val="100"/>
        <w:sz w:val="21"/>
        <w:szCs w:val="21"/>
      </w:rPr>
    </w:lvl>
    <w:lvl w:ilvl="1">
      <w:start w:val="0"/>
      <w:numFmt w:val="bullet"/>
      <w:lvlText w:val="•"/>
      <w:lvlJc w:val="left"/>
      <w:pPr>
        <w:ind w:left="1294" w:hanging="635"/>
      </w:pPr>
      <w:rPr>
        <w:rFonts w:hint="default"/>
      </w:rPr>
    </w:lvl>
    <w:lvl w:ilvl="2">
      <w:start w:val="0"/>
      <w:numFmt w:val="bullet"/>
      <w:lvlText w:val="•"/>
      <w:lvlJc w:val="left"/>
      <w:pPr>
        <w:ind w:left="1848" w:hanging="635"/>
      </w:pPr>
      <w:rPr>
        <w:rFonts w:hint="default"/>
      </w:rPr>
    </w:lvl>
    <w:lvl w:ilvl="3">
      <w:start w:val="0"/>
      <w:numFmt w:val="bullet"/>
      <w:lvlText w:val="•"/>
      <w:lvlJc w:val="left"/>
      <w:pPr>
        <w:ind w:left="2403" w:hanging="635"/>
      </w:pPr>
      <w:rPr>
        <w:rFonts w:hint="default"/>
      </w:rPr>
    </w:lvl>
    <w:lvl w:ilvl="4">
      <w:start w:val="0"/>
      <w:numFmt w:val="bullet"/>
      <w:lvlText w:val="•"/>
      <w:lvlJc w:val="left"/>
      <w:pPr>
        <w:ind w:left="2957" w:hanging="635"/>
      </w:pPr>
      <w:rPr>
        <w:rFonts w:hint="default"/>
      </w:rPr>
    </w:lvl>
    <w:lvl w:ilvl="5">
      <w:start w:val="0"/>
      <w:numFmt w:val="bullet"/>
      <w:lvlText w:val="•"/>
      <w:lvlJc w:val="left"/>
      <w:pPr>
        <w:ind w:left="3512" w:hanging="635"/>
      </w:pPr>
      <w:rPr>
        <w:rFonts w:hint="default"/>
      </w:rPr>
    </w:lvl>
    <w:lvl w:ilvl="6">
      <w:start w:val="0"/>
      <w:numFmt w:val="bullet"/>
      <w:lvlText w:val="•"/>
      <w:lvlJc w:val="left"/>
      <w:pPr>
        <w:ind w:left="4066" w:hanging="635"/>
      </w:pPr>
      <w:rPr>
        <w:rFonts w:hint="default"/>
      </w:rPr>
    </w:lvl>
    <w:lvl w:ilvl="7">
      <w:start w:val="0"/>
      <w:numFmt w:val="bullet"/>
      <w:lvlText w:val="•"/>
      <w:lvlJc w:val="left"/>
      <w:pPr>
        <w:ind w:left="4620" w:hanging="635"/>
      </w:pPr>
      <w:rPr>
        <w:rFonts w:hint="default"/>
      </w:rPr>
    </w:lvl>
    <w:lvl w:ilvl="8">
      <w:start w:val="0"/>
      <w:numFmt w:val="bullet"/>
      <w:lvlText w:val="•"/>
      <w:lvlJc w:val="left"/>
      <w:pPr>
        <w:ind w:left="5175" w:hanging="635"/>
      </w:pPr>
      <w:rPr>
        <w:rFonts w:hint="default"/>
      </w:rPr>
    </w:lvl>
  </w:abstractNum>
  <w:abstractNum w:abstractNumId="15">
    <w:multiLevelType w:val="hybridMultilevel"/>
    <w:lvl w:ilvl="0">
      <w:start w:val="1"/>
      <w:numFmt w:val="upperRoman"/>
      <w:lvlText w:val="%1"/>
      <w:lvlJc w:val="left"/>
      <w:pPr>
        <w:ind w:left="482" w:hanging="159"/>
        <w:jc w:val="left"/>
      </w:pPr>
      <w:rPr>
        <w:rFonts w:hint="default" w:ascii="宋体" w:hAnsi="宋体" w:eastAsia="宋体" w:cs="宋体"/>
        <w:w w:val="100"/>
        <w:sz w:val="21"/>
        <w:szCs w:val="21"/>
      </w:rPr>
    </w:lvl>
    <w:lvl w:ilvl="1">
      <w:start w:val="0"/>
      <w:numFmt w:val="bullet"/>
      <w:lvlText w:val="•"/>
      <w:lvlJc w:val="left"/>
      <w:pPr>
        <w:ind w:left="1060" w:hanging="159"/>
      </w:pPr>
      <w:rPr>
        <w:rFonts w:hint="default"/>
      </w:rPr>
    </w:lvl>
    <w:lvl w:ilvl="2">
      <w:start w:val="0"/>
      <w:numFmt w:val="bullet"/>
      <w:lvlText w:val="•"/>
      <w:lvlJc w:val="left"/>
      <w:pPr>
        <w:ind w:left="1640" w:hanging="159"/>
      </w:pPr>
      <w:rPr>
        <w:rFonts w:hint="default"/>
      </w:rPr>
    </w:lvl>
    <w:lvl w:ilvl="3">
      <w:start w:val="0"/>
      <w:numFmt w:val="bullet"/>
      <w:lvlText w:val="•"/>
      <w:lvlJc w:val="left"/>
      <w:pPr>
        <w:ind w:left="2221" w:hanging="159"/>
      </w:pPr>
      <w:rPr>
        <w:rFonts w:hint="default"/>
      </w:rPr>
    </w:lvl>
    <w:lvl w:ilvl="4">
      <w:start w:val="0"/>
      <w:numFmt w:val="bullet"/>
      <w:lvlText w:val="•"/>
      <w:lvlJc w:val="left"/>
      <w:pPr>
        <w:ind w:left="2801" w:hanging="159"/>
      </w:pPr>
      <w:rPr>
        <w:rFonts w:hint="default"/>
      </w:rPr>
    </w:lvl>
    <w:lvl w:ilvl="5">
      <w:start w:val="0"/>
      <w:numFmt w:val="bullet"/>
      <w:lvlText w:val="•"/>
      <w:lvlJc w:val="left"/>
      <w:pPr>
        <w:ind w:left="3382" w:hanging="159"/>
      </w:pPr>
      <w:rPr>
        <w:rFonts w:hint="default"/>
      </w:rPr>
    </w:lvl>
    <w:lvl w:ilvl="6">
      <w:start w:val="0"/>
      <w:numFmt w:val="bullet"/>
      <w:lvlText w:val="•"/>
      <w:lvlJc w:val="left"/>
      <w:pPr>
        <w:ind w:left="3962" w:hanging="159"/>
      </w:pPr>
      <w:rPr>
        <w:rFonts w:hint="default"/>
      </w:rPr>
    </w:lvl>
    <w:lvl w:ilvl="7">
      <w:start w:val="0"/>
      <w:numFmt w:val="bullet"/>
      <w:lvlText w:val="•"/>
      <w:lvlJc w:val="left"/>
      <w:pPr>
        <w:ind w:left="4542" w:hanging="159"/>
      </w:pPr>
      <w:rPr>
        <w:rFonts w:hint="default"/>
      </w:rPr>
    </w:lvl>
    <w:lvl w:ilvl="8">
      <w:start w:val="0"/>
      <w:numFmt w:val="bullet"/>
      <w:lvlText w:val="•"/>
      <w:lvlJc w:val="left"/>
      <w:pPr>
        <w:ind w:left="5123" w:hanging="159"/>
      </w:pPr>
      <w:rPr>
        <w:rFonts w:hint="default"/>
      </w:rPr>
    </w:lvl>
  </w:abstractNum>
  <w:abstractNum w:abstractNumId="14">
    <w:multiLevelType w:val="hybridMultilevel"/>
    <w:lvl w:ilvl="0">
      <w:start w:val="1"/>
      <w:numFmt w:val="decimal"/>
      <w:lvlText w:val="(%1)"/>
      <w:lvlJc w:val="left"/>
      <w:pPr>
        <w:ind w:left="430" w:hanging="356"/>
        <w:jc w:val="left"/>
      </w:pPr>
      <w:rPr>
        <w:rFonts w:hint="default" w:ascii="Times New Roman" w:hAnsi="Times New Roman" w:eastAsia="Times New Roman" w:cs="Times New Roman"/>
        <w:spacing w:val="0"/>
        <w:w w:val="100"/>
        <w:sz w:val="21"/>
        <w:szCs w:val="21"/>
      </w:rPr>
    </w:lvl>
    <w:lvl w:ilvl="1">
      <w:start w:val="0"/>
      <w:numFmt w:val="bullet"/>
      <w:lvlText w:val="•"/>
      <w:lvlJc w:val="left"/>
      <w:pPr>
        <w:ind w:left="1014" w:hanging="356"/>
      </w:pPr>
      <w:rPr>
        <w:rFonts w:hint="default"/>
      </w:rPr>
    </w:lvl>
    <w:lvl w:ilvl="2">
      <w:start w:val="0"/>
      <w:numFmt w:val="bullet"/>
      <w:lvlText w:val="•"/>
      <w:lvlJc w:val="left"/>
      <w:pPr>
        <w:ind w:left="1588" w:hanging="356"/>
      </w:pPr>
      <w:rPr>
        <w:rFonts w:hint="default"/>
      </w:rPr>
    </w:lvl>
    <w:lvl w:ilvl="3">
      <w:start w:val="0"/>
      <w:numFmt w:val="bullet"/>
      <w:lvlText w:val="•"/>
      <w:lvlJc w:val="left"/>
      <w:pPr>
        <w:ind w:left="2162" w:hanging="356"/>
      </w:pPr>
      <w:rPr>
        <w:rFonts w:hint="default"/>
      </w:rPr>
    </w:lvl>
    <w:lvl w:ilvl="4">
      <w:start w:val="0"/>
      <w:numFmt w:val="bullet"/>
      <w:lvlText w:val="•"/>
      <w:lvlJc w:val="left"/>
      <w:pPr>
        <w:ind w:left="2736" w:hanging="356"/>
      </w:pPr>
      <w:rPr>
        <w:rFonts w:hint="default"/>
      </w:rPr>
    </w:lvl>
    <w:lvl w:ilvl="5">
      <w:start w:val="0"/>
      <w:numFmt w:val="bullet"/>
      <w:lvlText w:val="•"/>
      <w:lvlJc w:val="left"/>
      <w:pPr>
        <w:ind w:left="3310" w:hanging="356"/>
      </w:pPr>
      <w:rPr>
        <w:rFonts w:hint="default"/>
      </w:rPr>
    </w:lvl>
    <w:lvl w:ilvl="6">
      <w:start w:val="0"/>
      <w:numFmt w:val="bullet"/>
      <w:lvlText w:val="•"/>
      <w:lvlJc w:val="left"/>
      <w:pPr>
        <w:ind w:left="3884" w:hanging="356"/>
      </w:pPr>
      <w:rPr>
        <w:rFonts w:hint="default"/>
      </w:rPr>
    </w:lvl>
    <w:lvl w:ilvl="7">
      <w:start w:val="0"/>
      <w:numFmt w:val="bullet"/>
      <w:lvlText w:val="•"/>
      <w:lvlJc w:val="left"/>
      <w:pPr>
        <w:ind w:left="4458" w:hanging="356"/>
      </w:pPr>
      <w:rPr>
        <w:rFonts w:hint="default"/>
      </w:rPr>
    </w:lvl>
    <w:lvl w:ilvl="8">
      <w:start w:val="0"/>
      <w:numFmt w:val="bullet"/>
      <w:lvlText w:val="•"/>
      <w:lvlJc w:val="left"/>
      <w:pPr>
        <w:ind w:left="5032" w:hanging="356"/>
      </w:pPr>
      <w:rPr>
        <w:rFonts w:hint="default"/>
      </w:rPr>
    </w:lvl>
  </w:abstractNum>
  <w:abstractNum w:abstractNumId="13">
    <w:multiLevelType w:val="hybridMultilevel"/>
    <w:lvl w:ilvl="0">
      <w:start w:val="1"/>
      <w:numFmt w:val="decimal"/>
      <w:lvlText w:val="(%1)"/>
      <w:lvlJc w:val="left"/>
      <w:pPr>
        <w:ind w:left="590"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06" w:hanging="423"/>
      </w:pPr>
      <w:rPr>
        <w:rFonts w:hint="default"/>
      </w:rPr>
    </w:lvl>
    <w:lvl w:ilvl="3">
      <w:start w:val="0"/>
      <w:numFmt w:val="bullet"/>
      <w:lvlText w:val="•"/>
      <w:lvlJc w:val="left"/>
      <w:pPr>
        <w:ind w:left="2260" w:hanging="423"/>
      </w:pPr>
      <w:rPr>
        <w:rFonts w:hint="default"/>
      </w:rPr>
    </w:lvl>
    <w:lvl w:ilvl="4">
      <w:start w:val="0"/>
      <w:numFmt w:val="bullet"/>
      <w:lvlText w:val="•"/>
      <w:lvlJc w:val="left"/>
      <w:pPr>
        <w:ind w:left="2813" w:hanging="423"/>
      </w:pPr>
      <w:rPr>
        <w:rFonts w:hint="default"/>
      </w:rPr>
    </w:lvl>
    <w:lvl w:ilvl="5">
      <w:start w:val="0"/>
      <w:numFmt w:val="bullet"/>
      <w:lvlText w:val="•"/>
      <w:lvlJc w:val="left"/>
      <w:pPr>
        <w:ind w:left="3367" w:hanging="423"/>
      </w:pPr>
      <w:rPr>
        <w:rFonts w:hint="default"/>
      </w:rPr>
    </w:lvl>
    <w:lvl w:ilvl="6">
      <w:start w:val="0"/>
      <w:numFmt w:val="bullet"/>
      <w:lvlText w:val="•"/>
      <w:lvlJc w:val="left"/>
      <w:pPr>
        <w:ind w:left="3920" w:hanging="423"/>
      </w:pPr>
      <w:rPr>
        <w:rFonts w:hint="default"/>
      </w:rPr>
    </w:lvl>
    <w:lvl w:ilvl="7">
      <w:start w:val="0"/>
      <w:numFmt w:val="bullet"/>
      <w:lvlText w:val="•"/>
      <w:lvlJc w:val="left"/>
      <w:pPr>
        <w:ind w:left="4473" w:hanging="423"/>
      </w:pPr>
      <w:rPr>
        <w:rFonts w:hint="default"/>
      </w:rPr>
    </w:lvl>
    <w:lvl w:ilvl="8">
      <w:start w:val="0"/>
      <w:numFmt w:val="bullet"/>
      <w:lvlText w:val="•"/>
      <w:lvlJc w:val="left"/>
      <w:pPr>
        <w:ind w:left="5027" w:hanging="423"/>
      </w:pPr>
      <w:rPr>
        <w:rFonts w:hint="default"/>
      </w:rPr>
    </w:lvl>
  </w:abstractNum>
  <w:abstractNum w:abstractNumId="12">
    <w:multiLevelType w:val="hybridMultilevel"/>
    <w:lvl w:ilvl="0">
      <w:start w:val="1"/>
      <w:numFmt w:val="decimal"/>
      <w:lvlText w:val="(%1)"/>
      <w:lvlJc w:val="left"/>
      <w:pPr>
        <w:ind w:left="590" w:hanging="423"/>
        <w:jc w:val="left"/>
      </w:pPr>
      <w:rPr>
        <w:rFonts w:hint="default" w:ascii="宋体" w:hAnsi="宋体" w:eastAsia="宋体" w:cs="宋体"/>
        <w:w w:val="100"/>
        <w:sz w:val="21"/>
        <w:szCs w:val="21"/>
      </w:rPr>
    </w:lvl>
    <w:lvl w:ilvl="1">
      <w:start w:val="0"/>
      <w:numFmt w:val="bullet"/>
      <w:lvlText w:val="•"/>
      <w:lvlJc w:val="left"/>
      <w:pPr>
        <w:ind w:left="1153" w:hanging="423"/>
      </w:pPr>
      <w:rPr>
        <w:rFonts w:hint="default"/>
      </w:rPr>
    </w:lvl>
    <w:lvl w:ilvl="2">
      <w:start w:val="0"/>
      <w:numFmt w:val="bullet"/>
      <w:lvlText w:val="•"/>
      <w:lvlJc w:val="left"/>
      <w:pPr>
        <w:ind w:left="1706" w:hanging="423"/>
      </w:pPr>
      <w:rPr>
        <w:rFonts w:hint="default"/>
      </w:rPr>
    </w:lvl>
    <w:lvl w:ilvl="3">
      <w:start w:val="0"/>
      <w:numFmt w:val="bullet"/>
      <w:lvlText w:val="•"/>
      <w:lvlJc w:val="left"/>
      <w:pPr>
        <w:ind w:left="2260" w:hanging="423"/>
      </w:pPr>
      <w:rPr>
        <w:rFonts w:hint="default"/>
      </w:rPr>
    </w:lvl>
    <w:lvl w:ilvl="4">
      <w:start w:val="0"/>
      <w:numFmt w:val="bullet"/>
      <w:lvlText w:val="•"/>
      <w:lvlJc w:val="left"/>
      <w:pPr>
        <w:ind w:left="2813" w:hanging="423"/>
      </w:pPr>
      <w:rPr>
        <w:rFonts w:hint="default"/>
      </w:rPr>
    </w:lvl>
    <w:lvl w:ilvl="5">
      <w:start w:val="0"/>
      <w:numFmt w:val="bullet"/>
      <w:lvlText w:val="•"/>
      <w:lvlJc w:val="left"/>
      <w:pPr>
        <w:ind w:left="3367" w:hanging="423"/>
      </w:pPr>
      <w:rPr>
        <w:rFonts w:hint="default"/>
      </w:rPr>
    </w:lvl>
    <w:lvl w:ilvl="6">
      <w:start w:val="0"/>
      <w:numFmt w:val="bullet"/>
      <w:lvlText w:val="•"/>
      <w:lvlJc w:val="left"/>
      <w:pPr>
        <w:ind w:left="3920" w:hanging="423"/>
      </w:pPr>
      <w:rPr>
        <w:rFonts w:hint="default"/>
      </w:rPr>
    </w:lvl>
    <w:lvl w:ilvl="7">
      <w:start w:val="0"/>
      <w:numFmt w:val="bullet"/>
      <w:lvlText w:val="•"/>
      <w:lvlJc w:val="left"/>
      <w:pPr>
        <w:ind w:left="4473" w:hanging="423"/>
      </w:pPr>
      <w:rPr>
        <w:rFonts w:hint="default"/>
      </w:rPr>
    </w:lvl>
    <w:lvl w:ilvl="8">
      <w:start w:val="0"/>
      <w:numFmt w:val="bullet"/>
      <w:lvlText w:val="•"/>
      <w:lvlJc w:val="left"/>
      <w:pPr>
        <w:ind w:left="5027" w:hanging="423"/>
      </w:pPr>
      <w:rPr>
        <w:rFonts w:hint="default"/>
      </w:rPr>
    </w:lvl>
  </w:abstractNum>
  <w:abstractNum w:abstractNumId="11">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5" w:hanging="423"/>
      </w:pPr>
      <w:rPr>
        <w:rFonts w:hint="default"/>
      </w:rPr>
    </w:lvl>
    <w:lvl w:ilvl="2">
      <w:start w:val="0"/>
      <w:numFmt w:val="bullet"/>
      <w:lvlText w:val="•"/>
      <w:lvlJc w:val="left"/>
      <w:pPr>
        <w:ind w:left="1690" w:hanging="423"/>
      </w:pPr>
      <w:rPr>
        <w:rFonts w:hint="default"/>
      </w:rPr>
    </w:lvl>
    <w:lvl w:ilvl="3">
      <w:start w:val="0"/>
      <w:numFmt w:val="bullet"/>
      <w:lvlText w:val="•"/>
      <w:lvlJc w:val="left"/>
      <w:pPr>
        <w:ind w:left="2246" w:hanging="423"/>
      </w:pPr>
      <w:rPr>
        <w:rFonts w:hint="default"/>
      </w:rPr>
    </w:lvl>
    <w:lvl w:ilvl="4">
      <w:start w:val="0"/>
      <w:numFmt w:val="bullet"/>
      <w:lvlText w:val="•"/>
      <w:lvlJc w:val="left"/>
      <w:pPr>
        <w:ind w:left="2801" w:hanging="423"/>
      </w:pPr>
      <w:rPr>
        <w:rFonts w:hint="default"/>
      </w:rPr>
    </w:lvl>
    <w:lvl w:ilvl="5">
      <w:start w:val="0"/>
      <w:numFmt w:val="bullet"/>
      <w:lvlText w:val="•"/>
      <w:lvlJc w:val="left"/>
      <w:pPr>
        <w:ind w:left="3357" w:hanging="423"/>
      </w:pPr>
      <w:rPr>
        <w:rFonts w:hint="default"/>
      </w:rPr>
    </w:lvl>
    <w:lvl w:ilvl="6">
      <w:start w:val="0"/>
      <w:numFmt w:val="bullet"/>
      <w:lvlText w:val="•"/>
      <w:lvlJc w:val="left"/>
      <w:pPr>
        <w:ind w:left="3912" w:hanging="423"/>
      </w:pPr>
      <w:rPr>
        <w:rFonts w:hint="default"/>
      </w:rPr>
    </w:lvl>
    <w:lvl w:ilvl="7">
      <w:start w:val="0"/>
      <w:numFmt w:val="bullet"/>
      <w:lvlText w:val="•"/>
      <w:lvlJc w:val="left"/>
      <w:pPr>
        <w:ind w:left="4467" w:hanging="423"/>
      </w:pPr>
      <w:rPr>
        <w:rFonts w:hint="default"/>
      </w:rPr>
    </w:lvl>
    <w:lvl w:ilvl="8">
      <w:start w:val="0"/>
      <w:numFmt w:val="bullet"/>
      <w:lvlText w:val="•"/>
      <w:lvlJc w:val="left"/>
      <w:pPr>
        <w:ind w:left="5023" w:hanging="423"/>
      </w:pPr>
      <w:rPr>
        <w:rFonts w:hint="default"/>
      </w:rPr>
    </w:lvl>
  </w:abstractNum>
  <w:abstractNum w:abstractNumId="10">
    <w:multiLevelType w:val="hybridMultilevel"/>
    <w:lvl w:ilvl="0">
      <w:start w:val="4"/>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5" w:hanging="423"/>
      </w:pPr>
      <w:rPr>
        <w:rFonts w:hint="default"/>
      </w:rPr>
    </w:lvl>
    <w:lvl w:ilvl="2">
      <w:start w:val="0"/>
      <w:numFmt w:val="bullet"/>
      <w:lvlText w:val="•"/>
      <w:lvlJc w:val="left"/>
      <w:pPr>
        <w:ind w:left="1690" w:hanging="423"/>
      </w:pPr>
      <w:rPr>
        <w:rFonts w:hint="default"/>
      </w:rPr>
    </w:lvl>
    <w:lvl w:ilvl="3">
      <w:start w:val="0"/>
      <w:numFmt w:val="bullet"/>
      <w:lvlText w:val="•"/>
      <w:lvlJc w:val="left"/>
      <w:pPr>
        <w:ind w:left="2246" w:hanging="423"/>
      </w:pPr>
      <w:rPr>
        <w:rFonts w:hint="default"/>
      </w:rPr>
    </w:lvl>
    <w:lvl w:ilvl="4">
      <w:start w:val="0"/>
      <w:numFmt w:val="bullet"/>
      <w:lvlText w:val="•"/>
      <w:lvlJc w:val="left"/>
      <w:pPr>
        <w:ind w:left="2801" w:hanging="423"/>
      </w:pPr>
      <w:rPr>
        <w:rFonts w:hint="default"/>
      </w:rPr>
    </w:lvl>
    <w:lvl w:ilvl="5">
      <w:start w:val="0"/>
      <w:numFmt w:val="bullet"/>
      <w:lvlText w:val="•"/>
      <w:lvlJc w:val="left"/>
      <w:pPr>
        <w:ind w:left="3357" w:hanging="423"/>
      </w:pPr>
      <w:rPr>
        <w:rFonts w:hint="default"/>
      </w:rPr>
    </w:lvl>
    <w:lvl w:ilvl="6">
      <w:start w:val="0"/>
      <w:numFmt w:val="bullet"/>
      <w:lvlText w:val="•"/>
      <w:lvlJc w:val="left"/>
      <w:pPr>
        <w:ind w:left="3912" w:hanging="423"/>
      </w:pPr>
      <w:rPr>
        <w:rFonts w:hint="default"/>
      </w:rPr>
    </w:lvl>
    <w:lvl w:ilvl="7">
      <w:start w:val="0"/>
      <w:numFmt w:val="bullet"/>
      <w:lvlText w:val="•"/>
      <w:lvlJc w:val="left"/>
      <w:pPr>
        <w:ind w:left="4467" w:hanging="423"/>
      </w:pPr>
      <w:rPr>
        <w:rFonts w:hint="default"/>
      </w:rPr>
    </w:lvl>
    <w:lvl w:ilvl="8">
      <w:start w:val="0"/>
      <w:numFmt w:val="bullet"/>
      <w:lvlText w:val="•"/>
      <w:lvlJc w:val="left"/>
      <w:pPr>
        <w:ind w:left="5023" w:hanging="423"/>
      </w:pPr>
      <w:rPr>
        <w:rFonts w:hint="default"/>
      </w:rPr>
    </w:lvl>
  </w:abstractNum>
  <w:abstractNum w:abstractNumId="9">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5" w:hanging="423"/>
      </w:pPr>
      <w:rPr>
        <w:rFonts w:hint="default"/>
      </w:rPr>
    </w:lvl>
    <w:lvl w:ilvl="2">
      <w:start w:val="0"/>
      <w:numFmt w:val="bullet"/>
      <w:lvlText w:val="•"/>
      <w:lvlJc w:val="left"/>
      <w:pPr>
        <w:ind w:left="1691" w:hanging="423"/>
      </w:pPr>
      <w:rPr>
        <w:rFonts w:hint="default"/>
      </w:rPr>
    </w:lvl>
    <w:lvl w:ilvl="3">
      <w:start w:val="0"/>
      <w:numFmt w:val="bullet"/>
      <w:lvlText w:val="•"/>
      <w:lvlJc w:val="left"/>
      <w:pPr>
        <w:ind w:left="2247" w:hanging="423"/>
      </w:pPr>
      <w:rPr>
        <w:rFonts w:hint="default"/>
      </w:rPr>
    </w:lvl>
    <w:lvl w:ilvl="4">
      <w:start w:val="0"/>
      <w:numFmt w:val="bullet"/>
      <w:lvlText w:val="•"/>
      <w:lvlJc w:val="left"/>
      <w:pPr>
        <w:ind w:left="2802" w:hanging="423"/>
      </w:pPr>
      <w:rPr>
        <w:rFonts w:hint="default"/>
      </w:rPr>
    </w:lvl>
    <w:lvl w:ilvl="5">
      <w:start w:val="0"/>
      <w:numFmt w:val="bullet"/>
      <w:lvlText w:val="•"/>
      <w:lvlJc w:val="left"/>
      <w:pPr>
        <w:ind w:left="3358" w:hanging="423"/>
      </w:pPr>
      <w:rPr>
        <w:rFonts w:hint="default"/>
      </w:rPr>
    </w:lvl>
    <w:lvl w:ilvl="6">
      <w:start w:val="0"/>
      <w:numFmt w:val="bullet"/>
      <w:lvlText w:val="•"/>
      <w:lvlJc w:val="left"/>
      <w:pPr>
        <w:ind w:left="3914" w:hanging="423"/>
      </w:pPr>
      <w:rPr>
        <w:rFonts w:hint="default"/>
      </w:rPr>
    </w:lvl>
    <w:lvl w:ilvl="7">
      <w:start w:val="0"/>
      <w:numFmt w:val="bullet"/>
      <w:lvlText w:val="•"/>
      <w:lvlJc w:val="left"/>
      <w:pPr>
        <w:ind w:left="4469" w:hanging="423"/>
      </w:pPr>
      <w:rPr>
        <w:rFonts w:hint="default"/>
      </w:rPr>
    </w:lvl>
    <w:lvl w:ilvl="8">
      <w:start w:val="0"/>
      <w:numFmt w:val="bullet"/>
      <w:lvlText w:val="•"/>
      <w:lvlJc w:val="left"/>
      <w:pPr>
        <w:ind w:left="5025" w:hanging="423"/>
      </w:pPr>
      <w:rPr>
        <w:rFonts w:hint="default"/>
      </w:rPr>
    </w:lvl>
  </w:abstractNum>
  <w:abstractNum w:abstractNumId="8">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5" w:hanging="423"/>
      </w:pPr>
      <w:rPr>
        <w:rFonts w:hint="default"/>
      </w:rPr>
    </w:lvl>
    <w:lvl w:ilvl="2">
      <w:start w:val="0"/>
      <w:numFmt w:val="bullet"/>
      <w:lvlText w:val="•"/>
      <w:lvlJc w:val="left"/>
      <w:pPr>
        <w:ind w:left="1691" w:hanging="423"/>
      </w:pPr>
      <w:rPr>
        <w:rFonts w:hint="default"/>
      </w:rPr>
    </w:lvl>
    <w:lvl w:ilvl="3">
      <w:start w:val="0"/>
      <w:numFmt w:val="bullet"/>
      <w:lvlText w:val="•"/>
      <w:lvlJc w:val="left"/>
      <w:pPr>
        <w:ind w:left="2247" w:hanging="423"/>
      </w:pPr>
      <w:rPr>
        <w:rFonts w:hint="default"/>
      </w:rPr>
    </w:lvl>
    <w:lvl w:ilvl="4">
      <w:start w:val="0"/>
      <w:numFmt w:val="bullet"/>
      <w:lvlText w:val="•"/>
      <w:lvlJc w:val="left"/>
      <w:pPr>
        <w:ind w:left="2802" w:hanging="423"/>
      </w:pPr>
      <w:rPr>
        <w:rFonts w:hint="default"/>
      </w:rPr>
    </w:lvl>
    <w:lvl w:ilvl="5">
      <w:start w:val="0"/>
      <w:numFmt w:val="bullet"/>
      <w:lvlText w:val="•"/>
      <w:lvlJc w:val="left"/>
      <w:pPr>
        <w:ind w:left="3358" w:hanging="423"/>
      </w:pPr>
      <w:rPr>
        <w:rFonts w:hint="default"/>
      </w:rPr>
    </w:lvl>
    <w:lvl w:ilvl="6">
      <w:start w:val="0"/>
      <w:numFmt w:val="bullet"/>
      <w:lvlText w:val="•"/>
      <w:lvlJc w:val="left"/>
      <w:pPr>
        <w:ind w:left="3914" w:hanging="423"/>
      </w:pPr>
      <w:rPr>
        <w:rFonts w:hint="default"/>
      </w:rPr>
    </w:lvl>
    <w:lvl w:ilvl="7">
      <w:start w:val="0"/>
      <w:numFmt w:val="bullet"/>
      <w:lvlText w:val="•"/>
      <w:lvlJc w:val="left"/>
      <w:pPr>
        <w:ind w:left="4469" w:hanging="423"/>
      </w:pPr>
      <w:rPr>
        <w:rFonts w:hint="default"/>
      </w:rPr>
    </w:lvl>
    <w:lvl w:ilvl="8">
      <w:start w:val="0"/>
      <w:numFmt w:val="bullet"/>
      <w:lvlText w:val="•"/>
      <w:lvlJc w:val="left"/>
      <w:pPr>
        <w:ind w:left="5025" w:hanging="423"/>
      </w:pPr>
      <w:rPr>
        <w:rFonts w:hint="default"/>
      </w:rPr>
    </w:lvl>
  </w:abstractNum>
  <w:abstractNum w:abstractNumId="7">
    <w:multiLevelType w:val="hybridMultilevel"/>
    <w:lvl w:ilvl="0">
      <w:start w:val="1"/>
      <w:numFmt w:val="decimal"/>
      <w:lvlText w:val="(%1)"/>
      <w:lvlJc w:val="left"/>
      <w:pPr>
        <w:ind w:left="589" w:hanging="423"/>
        <w:jc w:val="left"/>
      </w:pPr>
      <w:rPr>
        <w:rFonts w:hint="default" w:ascii="宋体" w:hAnsi="宋体" w:eastAsia="宋体" w:cs="宋体"/>
        <w:w w:val="100"/>
        <w:sz w:val="21"/>
        <w:szCs w:val="21"/>
      </w:rPr>
    </w:lvl>
    <w:lvl w:ilvl="1">
      <w:start w:val="0"/>
      <w:numFmt w:val="bullet"/>
      <w:lvlText w:val="•"/>
      <w:lvlJc w:val="left"/>
      <w:pPr>
        <w:ind w:left="1135" w:hanging="423"/>
      </w:pPr>
      <w:rPr>
        <w:rFonts w:hint="default"/>
      </w:rPr>
    </w:lvl>
    <w:lvl w:ilvl="2">
      <w:start w:val="0"/>
      <w:numFmt w:val="bullet"/>
      <w:lvlText w:val="•"/>
      <w:lvlJc w:val="left"/>
      <w:pPr>
        <w:ind w:left="1691" w:hanging="423"/>
      </w:pPr>
      <w:rPr>
        <w:rFonts w:hint="default"/>
      </w:rPr>
    </w:lvl>
    <w:lvl w:ilvl="3">
      <w:start w:val="0"/>
      <w:numFmt w:val="bullet"/>
      <w:lvlText w:val="•"/>
      <w:lvlJc w:val="left"/>
      <w:pPr>
        <w:ind w:left="2247" w:hanging="423"/>
      </w:pPr>
      <w:rPr>
        <w:rFonts w:hint="default"/>
      </w:rPr>
    </w:lvl>
    <w:lvl w:ilvl="4">
      <w:start w:val="0"/>
      <w:numFmt w:val="bullet"/>
      <w:lvlText w:val="•"/>
      <w:lvlJc w:val="left"/>
      <w:pPr>
        <w:ind w:left="2802" w:hanging="423"/>
      </w:pPr>
      <w:rPr>
        <w:rFonts w:hint="default"/>
      </w:rPr>
    </w:lvl>
    <w:lvl w:ilvl="5">
      <w:start w:val="0"/>
      <w:numFmt w:val="bullet"/>
      <w:lvlText w:val="•"/>
      <w:lvlJc w:val="left"/>
      <w:pPr>
        <w:ind w:left="3358" w:hanging="423"/>
      </w:pPr>
      <w:rPr>
        <w:rFonts w:hint="default"/>
      </w:rPr>
    </w:lvl>
    <w:lvl w:ilvl="6">
      <w:start w:val="0"/>
      <w:numFmt w:val="bullet"/>
      <w:lvlText w:val="•"/>
      <w:lvlJc w:val="left"/>
      <w:pPr>
        <w:ind w:left="3914" w:hanging="423"/>
      </w:pPr>
      <w:rPr>
        <w:rFonts w:hint="default"/>
      </w:rPr>
    </w:lvl>
    <w:lvl w:ilvl="7">
      <w:start w:val="0"/>
      <w:numFmt w:val="bullet"/>
      <w:lvlText w:val="•"/>
      <w:lvlJc w:val="left"/>
      <w:pPr>
        <w:ind w:left="4469" w:hanging="423"/>
      </w:pPr>
      <w:rPr>
        <w:rFonts w:hint="default"/>
      </w:rPr>
    </w:lvl>
    <w:lvl w:ilvl="8">
      <w:start w:val="0"/>
      <w:numFmt w:val="bullet"/>
      <w:lvlText w:val="•"/>
      <w:lvlJc w:val="left"/>
      <w:pPr>
        <w:ind w:left="5025" w:hanging="423"/>
      </w:pPr>
      <w:rPr>
        <w:rFonts w:hint="default"/>
      </w:rPr>
    </w:lvl>
  </w:abstractNum>
  <w:abstractNum w:abstractNumId="6">
    <w:multiLevelType w:val="hybridMultilevel"/>
    <w:lvl w:ilvl="0">
      <w:start w:val="19"/>
      <w:numFmt w:val="decimal"/>
      <w:lvlText w:val="%1."/>
      <w:lvlJc w:val="left"/>
      <w:pPr>
        <w:ind w:left="2081" w:hanging="394"/>
        <w:jc w:val="left"/>
      </w:pPr>
      <w:rPr>
        <w:rFonts w:hint="default" w:ascii="Cambria" w:hAnsi="Cambria" w:eastAsia="Cambria" w:cs="Cambria"/>
        <w:spacing w:val="-2"/>
        <w:w w:val="100"/>
        <w:sz w:val="21"/>
        <w:szCs w:val="21"/>
      </w:rPr>
    </w:lvl>
    <w:lvl w:ilvl="1">
      <w:start w:val="0"/>
      <w:numFmt w:val="bullet"/>
      <w:lvlText w:val="•"/>
      <w:lvlJc w:val="left"/>
      <w:pPr>
        <w:ind w:left="2497" w:hanging="394"/>
      </w:pPr>
      <w:rPr>
        <w:rFonts w:hint="default"/>
      </w:rPr>
    </w:lvl>
    <w:lvl w:ilvl="2">
      <w:start w:val="0"/>
      <w:numFmt w:val="bullet"/>
      <w:lvlText w:val="•"/>
      <w:lvlJc w:val="left"/>
      <w:pPr>
        <w:ind w:left="2914" w:hanging="394"/>
      </w:pPr>
      <w:rPr>
        <w:rFonts w:hint="default"/>
      </w:rPr>
    </w:lvl>
    <w:lvl w:ilvl="3">
      <w:start w:val="0"/>
      <w:numFmt w:val="bullet"/>
      <w:lvlText w:val="•"/>
      <w:lvlJc w:val="left"/>
      <w:pPr>
        <w:ind w:left="3331" w:hanging="394"/>
      </w:pPr>
      <w:rPr>
        <w:rFonts w:hint="default"/>
      </w:rPr>
    </w:lvl>
    <w:lvl w:ilvl="4">
      <w:start w:val="0"/>
      <w:numFmt w:val="bullet"/>
      <w:lvlText w:val="•"/>
      <w:lvlJc w:val="left"/>
      <w:pPr>
        <w:ind w:left="3748" w:hanging="394"/>
      </w:pPr>
      <w:rPr>
        <w:rFonts w:hint="default"/>
      </w:rPr>
    </w:lvl>
    <w:lvl w:ilvl="5">
      <w:start w:val="0"/>
      <w:numFmt w:val="bullet"/>
      <w:lvlText w:val="•"/>
      <w:lvlJc w:val="left"/>
      <w:pPr>
        <w:ind w:left="4165" w:hanging="394"/>
      </w:pPr>
      <w:rPr>
        <w:rFonts w:hint="default"/>
      </w:rPr>
    </w:lvl>
    <w:lvl w:ilvl="6">
      <w:start w:val="0"/>
      <w:numFmt w:val="bullet"/>
      <w:lvlText w:val="•"/>
      <w:lvlJc w:val="left"/>
      <w:pPr>
        <w:ind w:left="4582" w:hanging="394"/>
      </w:pPr>
      <w:rPr>
        <w:rFonts w:hint="default"/>
      </w:rPr>
    </w:lvl>
    <w:lvl w:ilvl="7">
      <w:start w:val="0"/>
      <w:numFmt w:val="bullet"/>
      <w:lvlText w:val="•"/>
      <w:lvlJc w:val="left"/>
      <w:pPr>
        <w:ind w:left="4999" w:hanging="394"/>
      </w:pPr>
      <w:rPr>
        <w:rFonts w:hint="default"/>
      </w:rPr>
    </w:lvl>
    <w:lvl w:ilvl="8">
      <w:start w:val="0"/>
      <w:numFmt w:val="bullet"/>
      <w:lvlText w:val="•"/>
      <w:lvlJc w:val="left"/>
      <w:pPr>
        <w:ind w:left="5416" w:hanging="394"/>
      </w:pPr>
      <w:rPr>
        <w:rFonts w:hint="default"/>
      </w:rPr>
    </w:lvl>
  </w:abstractNum>
  <w:abstractNum w:abstractNumId="5">
    <w:multiLevelType w:val="hybridMultilevel"/>
    <w:lvl w:ilvl="0">
      <w:start w:val="1"/>
      <w:numFmt w:val="decimal"/>
      <w:lvlText w:val="%1."/>
      <w:lvlJc w:val="left"/>
      <w:pPr>
        <w:ind w:left="1952" w:hanging="264"/>
        <w:jc w:val="left"/>
      </w:pPr>
      <w:rPr>
        <w:rFonts w:hint="default" w:ascii="Cambria" w:hAnsi="Cambria" w:eastAsia="Cambria" w:cs="Cambria"/>
        <w:spacing w:val="-2"/>
        <w:w w:val="100"/>
        <w:sz w:val="21"/>
        <w:szCs w:val="21"/>
      </w:rPr>
    </w:lvl>
    <w:lvl w:ilvl="1">
      <w:start w:val="0"/>
      <w:numFmt w:val="bullet"/>
      <w:lvlText w:val="•"/>
      <w:lvlJc w:val="left"/>
      <w:pPr>
        <w:ind w:left="2388" w:hanging="264"/>
      </w:pPr>
      <w:rPr>
        <w:rFonts w:hint="default"/>
      </w:rPr>
    </w:lvl>
    <w:lvl w:ilvl="2">
      <w:start w:val="0"/>
      <w:numFmt w:val="bullet"/>
      <w:lvlText w:val="•"/>
      <w:lvlJc w:val="left"/>
      <w:pPr>
        <w:ind w:left="2816" w:hanging="264"/>
      </w:pPr>
      <w:rPr>
        <w:rFonts w:hint="default"/>
      </w:rPr>
    </w:lvl>
    <w:lvl w:ilvl="3">
      <w:start w:val="0"/>
      <w:numFmt w:val="bullet"/>
      <w:lvlText w:val="•"/>
      <w:lvlJc w:val="left"/>
      <w:pPr>
        <w:ind w:left="3244" w:hanging="264"/>
      </w:pPr>
      <w:rPr>
        <w:rFonts w:hint="default"/>
      </w:rPr>
    </w:lvl>
    <w:lvl w:ilvl="4">
      <w:start w:val="0"/>
      <w:numFmt w:val="bullet"/>
      <w:lvlText w:val="•"/>
      <w:lvlJc w:val="left"/>
      <w:pPr>
        <w:ind w:left="3673" w:hanging="264"/>
      </w:pPr>
      <w:rPr>
        <w:rFonts w:hint="default"/>
      </w:rPr>
    </w:lvl>
    <w:lvl w:ilvl="5">
      <w:start w:val="0"/>
      <w:numFmt w:val="bullet"/>
      <w:lvlText w:val="•"/>
      <w:lvlJc w:val="left"/>
      <w:pPr>
        <w:ind w:left="4101" w:hanging="264"/>
      </w:pPr>
      <w:rPr>
        <w:rFonts w:hint="default"/>
      </w:rPr>
    </w:lvl>
    <w:lvl w:ilvl="6">
      <w:start w:val="0"/>
      <w:numFmt w:val="bullet"/>
      <w:lvlText w:val="•"/>
      <w:lvlJc w:val="left"/>
      <w:pPr>
        <w:ind w:left="4529" w:hanging="264"/>
      </w:pPr>
      <w:rPr>
        <w:rFonts w:hint="default"/>
      </w:rPr>
    </w:lvl>
    <w:lvl w:ilvl="7">
      <w:start w:val="0"/>
      <w:numFmt w:val="bullet"/>
      <w:lvlText w:val="•"/>
      <w:lvlJc w:val="left"/>
      <w:pPr>
        <w:ind w:left="4958" w:hanging="264"/>
      </w:pPr>
      <w:rPr>
        <w:rFonts w:hint="default"/>
      </w:rPr>
    </w:lvl>
    <w:lvl w:ilvl="8">
      <w:start w:val="0"/>
      <w:numFmt w:val="bullet"/>
      <w:lvlText w:val="•"/>
      <w:lvlJc w:val="left"/>
      <w:pPr>
        <w:ind w:left="5386" w:hanging="264"/>
      </w:pPr>
      <w:rPr>
        <w:rFonts w:hint="default"/>
      </w:rPr>
    </w:lvl>
  </w:abstractNum>
  <w:abstractNum w:abstractNumId="4">
    <w:multiLevelType w:val="hybridMultilevel"/>
    <w:lvl w:ilvl="0">
      <w:start w:val="9"/>
      <w:numFmt w:val="decimal"/>
      <w:lvlText w:val="%1"/>
      <w:lvlJc w:val="left"/>
      <w:pPr>
        <w:ind w:left="875" w:hanging="423"/>
        <w:jc w:val="left"/>
      </w:pPr>
      <w:rPr>
        <w:rFonts w:hint="default"/>
      </w:rPr>
    </w:lvl>
    <w:lvl w:ilvl="1">
      <w:start w:val="4"/>
      <w:numFmt w:val="decimal"/>
      <w:lvlText w:val="%1.%2"/>
      <w:lvlJc w:val="left"/>
      <w:pPr>
        <w:ind w:left="1081" w:hanging="423"/>
        <w:jc w:val="left"/>
      </w:pPr>
      <w:rPr>
        <w:rFonts w:hint="default" w:ascii="宋体" w:hAnsi="宋体" w:eastAsia="宋体" w:cs="宋体"/>
        <w:w w:val="100"/>
        <w:sz w:val="21"/>
        <w:szCs w:val="21"/>
      </w:rPr>
    </w:lvl>
    <w:lvl w:ilvl="2">
      <w:start w:val="0"/>
      <w:numFmt w:val="bullet"/>
      <w:lvlText w:val="•"/>
      <w:lvlJc w:val="left"/>
      <w:pPr>
        <w:ind w:left="1340" w:hanging="423"/>
      </w:pPr>
      <w:rPr>
        <w:rFonts w:hint="default"/>
      </w:rPr>
    </w:lvl>
    <w:lvl w:ilvl="3">
      <w:start w:val="0"/>
      <w:numFmt w:val="bullet"/>
      <w:lvlText w:val="•"/>
      <w:lvlJc w:val="left"/>
      <w:pPr>
        <w:ind w:left="160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20" w:hanging="423"/>
      </w:pPr>
      <w:rPr>
        <w:rFonts w:hint="default"/>
      </w:rPr>
    </w:lvl>
    <w:lvl w:ilvl="6">
      <w:start w:val="0"/>
      <w:numFmt w:val="bullet"/>
      <w:lvlText w:val="•"/>
      <w:lvlJc w:val="left"/>
      <w:pPr>
        <w:ind w:left="2380" w:hanging="423"/>
      </w:pPr>
      <w:rPr>
        <w:rFonts w:hint="default"/>
      </w:rPr>
    </w:lvl>
    <w:lvl w:ilvl="7">
      <w:start w:val="0"/>
      <w:numFmt w:val="bullet"/>
      <w:lvlText w:val="•"/>
      <w:lvlJc w:val="left"/>
      <w:pPr>
        <w:ind w:left="2640" w:hanging="423"/>
      </w:pPr>
      <w:rPr>
        <w:rFonts w:hint="default"/>
      </w:rPr>
    </w:lvl>
    <w:lvl w:ilvl="8">
      <w:start w:val="0"/>
      <w:numFmt w:val="bullet"/>
      <w:lvlText w:val="•"/>
      <w:lvlJc w:val="left"/>
      <w:pPr>
        <w:ind w:left="2900" w:hanging="423"/>
      </w:pPr>
      <w:rPr>
        <w:rFonts w:hint="default"/>
      </w:rPr>
    </w:lvl>
  </w:abstractNum>
  <w:abstractNum w:abstractNumId="3">
    <w:multiLevelType w:val="hybridMultilevel"/>
    <w:lvl w:ilvl="0">
      <w:start w:val="9"/>
      <w:numFmt w:val="decimal"/>
      <w:lvlText w:val="%1."/>
      <w:lvlJc w:val="left"/>
      <w:pPr>
        <w:ind w:left="506" w:hanging="317"/>
        <w:jc w:val="left"/>
      </w:pPr>
      <w:rPr>
        <w:rFonts w:hint="default" w:ascii="宋体" w:hAnsi="宋体" w:eastAsia="宋体" w:cs="宋体"/>
        <w:w w:val="100"/>
        <w:sz w:val="21"/>
        <w:szCs w:val="21"/>
      </w:rPr>
    </w:lvl>
    <w:lvl w:ilvl="1">
      <w:start w:val="1"/>
      <w:numFmt w:val="decimal"/>
      <w:lvlText w:val="%1.%2"/>
      <w:lvlJc w:val="left"/>
      <w:pPr>
        <w:ind w:left="929" w:hanging="423"/>
        <w:jc w:val="left"/>
      </w:pPr>
      <w:rPr>
        <w:rFonts w:hint="default" w:ascii="宋体" w:hAnsi="宋体" w:eastAsia="宋体" w:cs="宋体"/>
        <w:w w:val="100"/>
        <w:sz w:val="21"/>
        <w:szCs w:val="21"/>
      </w:rPr>
    </w:lvl>
    <w:lvl w:ilvl="2">
      <w:start w:val="0"/>
      <w:numFmt w:val="bullet"/>
      <w:lvlText w:val="•"/>
      <w:lvlJc w:val="left"/>
      <w:pPr>
        <w:ind w:left="1228" w:hanging="423"/>
      </w:pPr>
      <w:rPr>
        <w:rFonts w:hint="default"/>
      </w:rPr>
    </w:lvl>
    <w:lvl w:ilvl="3">
      <w:start w:val="0"/>
      <w:numFmt w:val="bullet"/>
      <w:lvlText w:val="•"/>
      <w:lvlJc w:val="left"/>
      <w:pPr>
        <w:ind w:left="1536"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461" w:hanging="423"/>
      </w:pPr>
      <w:rPr>
        <w:rFonts w:hint="default"/>
      </w:rPr>
    </w:lvl>
    <w:lvl w:ilvl="7">
      <w:start w:val="0"/>
      <w:numFmt w:val="bullet"/>
      <w:lvlText w:val="•"/>
      <w:lvlJc w:val="left"/>
      <w:pPr>
        <w:ind w:left="2769" w:hanging="423"/>
      </w:pPr>
      <w:rPr>
        <w:rFonts w:hint="default"/>
      </w:rPr>
    </w:lvl>
    <w:lvl w:ilvl="8">
      <w:start w:val="0"/>
      <w:numFmt w:val="bullet"/>
      <w:lvlText w:val="•"/>
      <w:lvlJc w:val="left"/>
      <w:pPr>
        <w:ind w:left="3077" w:hanging="423"/>
      </w:pPr>
      <w:rPr>
        <w:rFonts w:hint="default"/>
      </w:rPr>
    </w:lvl>
  </w:abstractNum>
  <w:abstractNum w:abstractNumId="2">
    <w:multiLevelType w:val="hybridMultilevel"/>
    <w:lvl w:ilvl="0">
      <w:start w:val="5"/>
      <w:numFmt w:val="decimal"/>
      <w:lvlText w:val="%1."/>
      <w:lvlJc w:val="left"/>
      <w:pPr>
        <w:ind w:left="506" w:hanging="317"/>
        <w:jc w:val="left"/>
      </w:pPr>
      <w:rPr>
        <w:rFonts w:hint="default" w:ascii="宋体" w:hAnsi="宋体" w:eastAsia="宋体" w:cs="宋体"/>
        <w:w w:val="100"/>
        <w:sz w:val="21"/>
        <w:szCs w:val="21"/>
      </w:rPr>
    </w:lvl>
    <w:lvl w:ilvl="1">
      <w:start w:val="1"/>
      <w:numFmt w:val="decimal"/>
      <w:lvlText w:val="%1.%2"/>
      <w:lvlJc w:val="left"/>
      <w:pPr>
        <w:ind w:left="929" w:hanging="423"/>
        <w:jc w:val="left"/>
      </w:pPr>
      <w:rPr>
        <w:rFonts w:hint="default" w:ascii="宋体" w:hAnsi="宋体" w:eastAsia="宋体" w:cs="宋体"/>
        <w:w w:val="100"/>
        <w:sz w:val="21"/>
        <w:szCs w:val="21"/>
      </w:rPr>
    </w:lvl>
    <w:lvl w:ilvl="2">
      <w:start w:val="0"/>
      <w:numFmt w:val="bullet"/>
      <w:lvlText w:val="•"/>
      <w:lvlJc w:val="left"/>
      <w:pPr>
        <w:ind w:left="1228" w:hanging="423"/>
      </w:pPr>
      <w:rPr>
        <w:rFonts w:hint="default"/>
      </w:rPr>
    </w:lvl>
    <w:lvl w:ilvl="3">
      <w:start w:val="0"/>
      <w:numFmt w:val="bullet"/>
      <w:lvlText w:val="•"/>
      <w:lvlJc w:val="left"/>
      <w:pPr>
        <w:ind w:left="1536"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461" w:hanging="423"/>
      </w:pPr>
      <w:rPr>
        <w:rFonts w:hint="default"/>
      </w:rPr>
    </w:lvl>
    <w:lvl w:ilvl="7">
      <w:start w:val="0"/>
      <w:numFmt w:val="bullet"/>
      <w:lvlText w:val="•"/>
      <w:lvlJc w:val="left"/>
      <w:pPr>
        <w:ind w:left="2769" w:hanging="423"/>
      </w:pPr>
      <w:rPr>
        <w:rFonts w:hint="default"/>
      </w:rPr>
    </w:lvl>
    <w:lvl w:ilvl="8">
      <w:start w:val="0"/>
      <w:numFmt w:val="bullet"/>
      <w:lvlText w:val="•"/>
      <w:lvlJc w:val="left"/>
      <w:pPr>
        <w:ind w:left="3077"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w w:val="100"/>
        <w:sz w:val="21"/>
        <w:szCs w:val="21"/>
      </w:rPr>
    </w:lvl>
    <w:lvl w:ilvl="1">
      <w:start w:val="1"/>
      <w:numFmt w:val="decimal"/>
      <w:lvlText w:val="%1.%2"/>
      <w:lvlJc w:val="left"/>
      <w:pPr>
        <w:ind w:left="939" w:hanging="423"/>
        <w:jc w:val="left"/>
      </w:pPr>
      <w:rPr>
        <w:rFonts w:hint="default" w:ascii="宋体" w:hAnsi="宋体" w:eastAsia="宋体" w:cs="宋体"/>
        <w:w w:val="100"/>
        <w:sz w:val="21"/>
        <w:szCs w:val="21"/>
      </w:rPr>
    </w:lvl>
    <w:lvl w:ilvl="2">
      <w:start w:val="0"/>
      <w:numFmt w:val="bullet"/>
      <w:lvlText w:val="•"/>
      <w:lvlJc w:val="left"/>
      <w:pPr>
        <w:ind w:left="1124" w:hanging="423"/>
      </w:pPr>
      <w:rPr>
        <w:rFonts w:hint="default"/>
      </w:rPr>
    </w:lvl>
    <w:lvl w:ilvl="3">
      <w:start w:val="0"/>
      <w:numFmt w:val="bullet"/>
      <w:lvlText w:val="•"/>
      <w:lvlJc w:val="left"/>
      <w:pPr>
        <w:ind w:left="1309" w:hanging="423"/>
      </w:pPr>
      <w:rPr>
        <w:rFonts w:hint="default"/>
      </w:rPr>
    </w:lvl>
    <w:lvl w:ilvl="4">
      <w:start w:val="0"/>
      <w:numFmt w:val="bullet"/>
      <w:lvlText w:val="•"/>
      <w:lvlJc w:val="left"/>
      <w:pPr>
        <w:ind w:left="1494" w:hanging="423"/>
      </w:pPr>
      <w:rPr>
        <w:rFonts w:hint="default"/>
      </w:rPr>
    </w:lvl>
    <w:lvl w:ilvl="5">
      <w:start w:val="0"/>
      <w:numFmt w:val="bullet"/>
      <w:lvlText w:val="•"/>
      <w:lvlJc w:val="left"/>
      <w:pPr>
        <w:ind w:left="1679" w:hanging="423"/>
      </w:pPr>
      <w:rPr>
        <w:rFonts w:hint="default"/>
      </w:rPr>
    </w:lvl>
    <w:lvl w:ilvl="6">
      <w:start w:val="0"/>
      <w:numFmt w:val="bullet"/>
      <w:lvlText w:val="•"/>
      <w:lvlJc w:val="left"/>
      <w:pPr>
        <w:ind w:left="1863" w:hanging="423"/>
      </w:pPr>
      <w:rPr>
        <w:rFonts w:hint="default"/>
      </w:rPr>
    </w:lvl>
    <w:lvl w:ilvl="7">
      <w:start w:val="0"/>
      <w:numFmt w:val="bullet"/>
      <w:lvlText w:val="•"/>
      <w:lvlJc w:val="left"/>
      <w:pPr>
        <w:ind w:left="2048" w:hanging="423"/>
      </w:pPr>
      <w:rPr>
        <w:rFonts w:hint="default"/>
      </w:rPr>
    </w:lvl>
    <w:lvl w:ilvl="8">
      <w:start w:val="0"/>
      <w:numFmt w:val="bullet"/>
      <w:lvlText w:val="•"/>
      <w:lvlJc w:val="left"/>
      <w:pPr>
        <w:ind w:left="2233"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40" w:hanging="423"/>
      </w:pPr>
      <w:rPr>
        <w:rFonts w:hint="default"/>
      </w:rPr>
    </w:lvl>
    <w:lvl w:ilvl="2">
      <w:start w:val="0"/>
      <w:numFmt w:val="bullet"/>
      <w:lvlText w:val="•"/>
      <w:lvlJc w:val="left"/>
      <w:pPr>
        <w:ind w:left="2640" w:hanging="423"/>
      </w:pPr>
      <w:rPr>
        <w:rFonts w:hint="default"/>
      </w:rPr>
    </w:lvl>
    <w:lvl w:ilvl="3">
      <w:start w:val="0"/>
      <w:numFmt w:val="bullet"/>
      <w:lvlText w:val="•"/>
      <w:lvlJc w:val="left"/>
      <w:pPr>
        <w:ind w:left="3641" w:hanging="423"/>
      </w:pPr>
      <w:rPr>
        <w:rFonts w:hint="default"/>
      </w:rPr>
    </w:lvl>
    <w:lvl w:ilvl="4">
      <w:start w:val="0"/>
      <w:numFmt w:val="bullet"/>
      <w:lvlText w:val="•"/>
      <w:lvlJc w:val="left"/>
      <w:pPr>
        <w:ind w:left="4641" w:hanging="423"/>
      </w:pPr>
      <w:rPr>
        <w:rFonts w:hint="default"/>
      </w:rPr>
    </w:lvl>
    <w:lvl w:ilvl="5">
      <w:start w:val="0"/>
      <w:numFmt w:val="bullet"/>
      <w:lvlText w:val="•"/>
      <w:lvlJc w:val="left"/>
      <w:pPr>
        <w:ind w:left="5642" w:hanging="423"/>
      </w:pPr>
      <w:rPr>
        <w:rFonts w:hint="default"/>
      </w:rPr>
    </w:lvl>
    <w:lvl w:ilvl="6">
      <w:start w:val="0"/>
      <w:numFmt w:val="bullet"/>
      <w:lvlText w:val="•"/>
      <w:lvlJc w:val="left"/>
      <w:pPr>
        <w:ind w:left="6642" w:hanging="423"/>
      </w:pPr>
      <w:rPr>
        <w:rFonts w:hint="default"/>
      </w:rPr>
    </w:lvl>
    <w:lvl w:ilvl="7">
      <w:start w:val="0"/>
      <w:numFmt w:val="bullet"/>
      <w:lvlText w:val="•"/>
      <w:lvlJc w:val="left"/>
      <w:pPr>
        <w:ind w:left="7642" w:hanging="423"/>
      </w:pPr>
      <w:rPr>
        <w:rFonts w:hint="default"/>
      </w:rPr>
    </w:lvl>
    <w:lvl w:ilvl="8">
      <w:start w:val="0"/>
      <w:numFmt w:val="bullet"/>
      <w:lvlText w:val="•"/>
      <w:lvlJc w:val="left"/>
      <w:pPr>
        <w:ind w:left="8643" w:hanging="423"/>
      </w:pPr>
      <w:rPr>
        <w:rFonts w:hint="default"/>
      </w:rPr>
    </w:lvl>
  </w:abstract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1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2018-10-19T22:14:45Z</dcterms:created>
  <dcterms:modified xsi:type="dcterms:W3CDTF">2018-10-19T22:14:45Z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2016-08-15T00:00:00Z</vt:filetime>
  </property>
  <property fmtid="{D5CDD505-2E9C-101B-9397-08002B2CF9AE}" pid="3" name="Creator">
    <vt:lpwstr>Microsoft® Word 2013</vt:lpwstr>
  </property>
  <property fmtid="{D5CDD505-2E9C-101B-9397-08002B2CF9AE}" pid="4" name="LastSaved">
    <vt:filetime>2018-10-19T00:00:00Z</vt:filetime>
  </property>
</Properties>
</file>