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91" w:lineRule="exact" w:before="0"/>
        <w:ind w:left="1659" w:right="0" w:firstLine="0"/>
        <w:jc w:val="left"/>
        <w:rPr>
          <w:sz w:val="44"/>
        </w:rPr>
      </w:pPr>
      <w:r>
        <w:rPr>
          <w:sz w:val="44"/>
        </w:rPr>
        <w:t>光大永明人寿保险有限公司</w:t>
      </w:r>
    </w:p>
    <w:p>
      <w:pPr>
        <w:spacing w:line="362" w:lineRule="exact" w:before="0"/>
        <w:ind w:left="1900" w:right="0" w:firstLine="0"/>
        <w:jc w:val="left"/>
        <w:rPr>
          <w:sz w:val="30"/>
        </w:rPr>
      </w:pPr>
      <w:r>
        <w:rPr>
          <w:sz w:val="30"/>
        </w:rPr>
        <w:t>光大永明附加鸿祥人生重大疾病保险</w:t>
      </w:r>
    </w:p>
    <w:p>
      <w:pPr>
        <w:pStyle w:val="BodyText"/>
        <w:spacing w:before="10"/>
        <w:rPr>
          <w:sz w:val="28"/>
        </w:rPr>
      </w:pPr>
    </w:p>
    <w:p>
      <w:pPr>
        <w:pStyle w:val="Heading4"/>
        <w:spacing w:line="268" w:lineRule="auto"/>
      </w:pPr>
      <w:r>
        <w:rPr/>
        <w:t>感谢您选择了光大永明人寿。为了帮助您更好的理解本条款，在阅读本条款前， 请您注意阅读提示和名词说明。</w:t>
      </w:r>
    </w:p>
    <w:p>
      <w:pPr>
        <w:pStyle w:val="BodyText"/>
        <w:spacing w:before="8"/>
        <w:rPr>
          <w:sz w:val="23"/>
        </w:rPr>
      </w:pPr>
    </w:p>
    <w:p>
      <w:pPr>
        <w:pStyle w:val="Heading3"/>
      </w:pPr>
      <w:r>
        <w:rPr/>
        <w:pict>
          <v:line style="position:absolute;mso-position-horizontal-relative:page;mso-position-vertical-relative:paragraph;z-index:0;mso-wrap-distance-left:0;mso-wrap-distance-right:0" from="89.879997pt,20.131887pt" to="512.519997pt,20.131887pt" stroked="true" strokeweight=".48pt" strokecolor="#000000">
            <v:stroke dashstyle="solid"/>
            <w10:wrap type="topAndBottom"/>
          </v:line>
        </w:pict>
      </w:r>
      <w:r>
        <w:rPr/>
        <w:t>阅读提示</w:t>
      </w:r>
    </w:p>
    <w:p>
      <w:pPr>
        <w:pStyle w:val="Heading4"/>
        <w:spacing w:before="27"/>
        <w:ind w:left="3249" w:right="3271"/>
        <w:jc w:val="center"/>
      </w:pPr>
      <w:r>
        <w:rPr/>
        <w:t>您所享有的重要权益</w:t>
      </w:r>
    </w:p>
    <w:p>
      <w:pPr>
        <w:pStyle w:val="BodyText"/>
        <w:spacing w:before="11"/>
        <w:rPr>
          <w:sz w:val="10"/>
        </w:rPr>
      </w:pPr>
    </w:p>
    <w:p>
      <w:pPr>
        <w:pStyle w:val="BodyText"/>
        <w:tabs>
          <w:tab w:pos="7244" w:val="left" w:leader="none"/>
          <w:tab w:pos="7750" w:val="left" w:leader="none"/>
          <w:tab w:pos="8257" w:val="left" w:leader="none"/>
        </w:tabs>
        <w:spacing w:line="369" w:lineRule="auto" w:before="43"/>
        <w:ind w:left="225" w:right="248" w:hanging="2"/>
        <w:jc w:val="center"/>
        <w:rPr>
          <w:sz w:val="24"/>
        </w:rPr>
      </w:pPr>
      <w:r>
        <w:rPr/>
        <w:t>本附加合同所提供的保障</w:t>
      </w:r>
      <w:r>
        <w:rPr>
          <w:rFonts w:ascii="Times New Roman" w:hAnsi="Times New Roman" w:eastAsia="Times New Roman"/>
        </w:rPr>
        <w:t>............................................……………………….....</w:t>
        <w:tab/>
      </w:r>
      <w:r>
        <w:rPr/>
        <w:t>第</w:t>
        <w:tab/>
        <w:t>七</w:t>
        <w:tab/>
        <w:t>条签收保险合同后十天内</w:t>
      </w:r>
      <w:r>
        <w:rPr>
          <w:spacing w:val="-74"/>
        </w:rPr>
        <w:t>，</w:t>
      </w:r>
      <w:r>
        <w:rPr/>
        <w:t>您可以要求退还保险费</w:t>
      </w:r>
      <w:r>
        <w:rPr>
          <w:rFonts w:ascii="Times New Roman" w:hAnsi="Times New Roman" w:eastAsia="Times New Roman"/>
        </w:rPr>
        <w:t>..........................…………….</w:t>
        <w:tab/>
      </w:r>
      <w:r>
        <w:rPr/>
        <w:t>第 十</w:t>
      </w:r>
      <w:r>
        <w:rPr>
          <w:spacing w:val="43"/>
        </w:rPr>
        <w:t> </w:t>
      </w:r>
      <w:r>
        <w:rPr/>
        <w:t>四</w:t>
      </w:r>
      <w:r>
        <w:rPr>
          <w:spacing w:val="21"/>
        </w:rPr>
        <w:t> </w:t>
      </w:r>
      <w:r>
        <w:rPr/>
        <w:t>条</w:t>
      </w:r>
      <w:r>
        <w:rPr>
          <w:sz w:val="24"/>
        </w:rPr>
        <w:t>您应当特别注意的事项</w:t>
      </w:r>
    </w:p>
    <w:p>
      <w:pPr>
        <w:pStyle w:val="BodyText"/>
        <w:spacing w:line="384" w:lineRule="auto" w:before="56"/>
        <w:ind w:left="225" w:right="248"/>
        <w:jc w:val="both"/>
      </w:pPr>
      <w:r>
        <w:rPr/>
        <w:t>在某些情况下，我们不承担保险责任</w:t>
      </w:r>
      <w:r>
        <w:rPr>
          <w:rFonts w:ascii="Times New Roman" w:hAnsi="Times New Roman" w:eastAsia="Times New Roman"/>
        </w:rPr>
        <w:t>............................................................…... </w:t>
      </w:r>
      <w:r>
        <w:rPr/>
        <w:t>第  八  条如何申领保险金</w:t>
      </w:r>
      <w:r>
        <w:rPr>
          <w:rFonts w:ascii="Times New Roman" w:hAnsi="Times New Roman" w:eastAsia="Times New Roman"/>
        </w:rPr>
        <w:t>.............................................................................................…… </w:t>
      </w:r>
      <w:r>
        <w:rPr/>
        <w:t>第  十  条您有解除合同的权利，请您慎重决定</w:t>
      </w:r>
      <w:r>
        <w:rPr>
          <w:rFonts w:ascii="Times New Roman" w:hAnsi="Times New Roman" w:eastAsia="Times New Roman"/>
        </w:rPr>
        <w:t>..............................................................….   </w:t>
      </w:r>
      <w:r>
        <w:rPr/>
        <w:t>第 十 四 条</w:t>
      </w:r>
    </w:p>
    <w:p>
      <w:pPr>
        <w:pStyle w:val="BodyText"/>
        <w:rPr>
          <w:sz w:val="22"/>
        </w:rPr>
      </w:pPr>
    </w:p>
    <w:p>
      <w:pPr>
        <w:pStyle w:val="BodyText"/>
        <w:spacing w:before="5"/>
        <w:rPr>
          <w:sz w:val="23"/>
        </w:rPr>
      </w:pPr>
    </w:p>
    <w:p>
      <w:pPr>
        <w:pStyle w:val="Heading3"/>
      </w:pPr>
      <w:r>
        <w:rPr/>
        <w:pict>
          <v:line style="position:absolute;mso-position-horizontal-relative:page;mso-position-vertical-relative:paragraph;z-index:1048;mso-wrap-distance-left:0;mso-wrap-distance-right:0" from="89.879997pt,20.131863pt" to="514.199997pt,20.131863pt" stroked="true" strokeweight=".48pt" strokecolor="#000000">
            <v:stroke dashstyle="solid"/>
            <w10:wrap type="topAndBottom"/>
          </v:line>
        </w:pict>
      </w:r>
      <w:r>
        <w:rPr/>
        <w:t>名词说明</w:t>
      </w:r>
    </w:p>
    <w:p>
      <w:pPr>
        <w:pStyle w:val="BodyText"/>
        <w:tabs>
          <w:tab w:pos="2011" w:val="left" w:leader="none"/>
        </w:tabs>
        <w:spacing w:before="5"/>
        <w:ind w:left="225"/>
        <w:jc w:val="both"/>
      </w:pPr>
      <w:r>
        <w:rPr/>
        <w:t>我们</w:t>
        <w:tab/>
        <w:t>：</w:t>
      </w:r>
      <w:r>
        <w:rPr>
          <w:spacing w:val="-80"/>
        </w:rPr>
        <w:t> </w:t>
      </w:r>
      <w:r>
        <w:rPr/>
        <w:t>指光大永明人寿保险有限公司。</w:t>
      </w:r>
    </w:p>
    <w:p>
      <w:pPr>
        <w:pStyle w:val="BodyText"/>
        <w:tabs>
          <w:tab w:pos="2011" w:val="left" w:leader="none"/>
        </w:tabs>
        <w:spacing w:before="75"/>
        <w:ind w:left="225"/>
        <w:jc w:val="both"/>
      </w:pPr>
      <w:r>
        <w:rPr/>
        <w:t>您</w:t>
        <w:tab/>
        <w:t>：</w:t>
      </w:r>
      <w:r>
        <w:rPr>
          <w:spacing w:val="-80"/>
        </w:rPr>
        <w:t> </w:t>
      </w:r>
      <w:r>
        <w:rPr/>
        <w:t>指投保人。</w:t>
      </w:r>
    </w:p>
    <w:p>
      <w:pPr>
        <w:pStyle w:val="BodyText"/>
        <w:spacing w:before="74"/>
        <w:ind w:left="225"/>
        <w:jc w:val="both"/>
      </w:pPr>
      <w:r>
        <w:rPr/>
        <w:t>保险条款        ： 指本条款。</w:t>
      </w:r>
    </w:p>
    <w:p>
      <w:pPr>
        <w:spacing w:after="0"/>
        <w:jc w:val="both"/>
        <w:sectPr>
          <w:footerReference w:type="default" r:id="rId5"/>
          <w:type w:val="continuous"/>
          <w:pgSz w:w="11900" w:h="16840"/>
          <w:pgMar w:footer="998" w:top="1260" w:bottom="1180" w:left="1680" w:right="1500"/>
          <w:pgNumType w:start="1"/>
        </w:sectPr>
      </w:pPr>
    </w:p>
    <w:p>
      <w:pPr>
        <w:spacing w:line="432" w:lineRule="exact" w:before="0"/>
        <w:ind w:left="3570" w:right="3550" w:firstLine="0"/>
        <w:jc w:val="center"/>
        <w:rPr>
          <w:rFonts w:ascii="黑体" w:eastAsia="黑体" w:hint="eastAsia"/>
          <w:sz w:val="36"/>
        </w:rPr>
      </w:pPr>
      <w:r>
        <w:rPr>
          <w:rFonts w:ascii="黑体" w:eastAsia="黑体" w:hint="eastAsia"/>
          <w:sz w:val="36"/>
        </w:rPr>
        <w:t>条款目录</w:t>
      </w:r>
    </w:p>
    <w:sdt>
      <w:sdtPr>
        <w:docPartObj>
          <w:docPartGallery w:val="Table of Contents"/>
          <w:docPartUnique/>
        </w:docPartObj>
      </w:sdtPr>
      <w:sdtEndPr/>
      <w:sdtContent>
        <w:p>
          <w:pPr>
            <w:pStyle w:val="TOC1"/>
            <w:tabs>
              <w:tab w:pos="1197" w:val="left" w:leader="none"/>
              <w:tab w:pos="8491" w:val="right" w:leader="dot"/>
            </w:tabs>
            <w:spacing w:before="429"/>
            <w:rPr>
              <w:rFonts w:ascii="Times New Roman" w:eastAsia="Times New Roman"/>
              <w:b/>
            </w:rPr>
          </w:pPr>
          <w:r>
            <w:fldChar w:fldCharType="begin"/>
          </w:r>
          <w:r>
            <w:instrText>TOC \o "1-2" \h \z \u </w:instrText>
          </w:r>
          <w:r>
            <w:fldChar w:fldCharType="separate"/>
          </w:r>
          <w:hyperlink w:history="true" w:anchor="_TOC_250020">
            <w:r>
              <w:rPr/>
              <w:t>第一部分</w:t>
              <w:tab/>
              <w:t>您与我们的合同</w:t>
              <w:tab/>
            </w:r>
            <w:r>
              <w:rPr>
                <w:rFonts w:ascii="Times New Roman" w:eastAsia="Times New Roman"/>
                <w:b/>
              </w:rPr>
              <w:t>1</w:t>
            </w:r>
          </w:hyperlink>
        </w:p>
        <w:p>
          <w:pPr>
            <w:pStyle w:val="TOC2"/>
            <w:tabs>
              <w:tab w:pos="1917" w:val="left" w:leader="none"/>
              <w:tab w:pos="8491" w:val="right" w:leader="dot"/>
            </w:tabs>
            <w:rPr>
              <w:rFonts w:ascii="Times New Roman" w:eastAsia="Times New Roman"/>
            </w:rPr>
          </w:pPr>
          <w:hyperlink w:history="true" w:anchor="_TOC_250019">
            <w:r>
              <w:rPr/>
              <w:t>第一条</w:t>
              <w:tab/>
              <w:t>附加保险合同的构成</w:t>
              <w:tab/>
            </w:r>
            <w:r>
              <w:rPr>
                <w:rFonts w:ascii="Times New Roman" w:eastAsia="Times New Roman"/>
              </w:rPr>
              <w:t>1</w:t>
            </w:r>
          </w:hyperlink>
        </w:p>
        <w:p>
          <w:pPr>
            <w:pStyle w:val="TOC2"/>
            <w:tabs>
              <w:tab w:pos="1917" w:val="left" w:leader="none"/>
              <w:tab w:pos="8491" w:val="right" w:leader="dot"/>
            </w:tabs>
            <w:rPr>
              <w:rFonts w:ascii="Times New Roman" w:eastAsia="Times New Roman"/>
            </w:rPr>
          </w:pPr>
          <w:hyperlink w:history="true" w:anchor="_TOC_250018">
            <w:r>
              <w:rPr/>
              <w:t>第二条</w:t>
              <w:tab/>
              <w:t>受益人的指定</w:t>
              <w:tab/>
            </w:r>
            <w:r>
              <w:rPr>
                <w:rFonts w:ascii="Times New Roman" w:eastAsia="Times New Roman"/>
              </w:rPr>
              <w:t>1</w:t>
            </w:r>
          </w:hyperlink>
        </w:p>
        <w:p>
          <w:pPr>
            <w:pStyle w:val="TOC2"/>
            <w:tabs>
              <w:tab w:pos="1917" w:val="left" w:leader="none"/>
              <w:tab w:pos="8491" w:val="right" w:leader="dot"/>
            </w:tabs>
            <w:rPr>
              <w:rFonts w:ascii="Times New Roman" w:eastAsia="Times New Roman"/>
            </w:rPr>
          </w:pPr>
          <w:hyperlink w:history="true" w:anchor="_TOC_250017">
            <w:r>
              <w:rPr/>
              <w:t>第三条</w:t>
              <w:tab/>
              <w:t>保险责任的开始</w:t>
              <w:tab/>
            </w:r>
            <w:r>
              <w:rPr>
                <w:rFonts w:ascii="Times New Roman" w:eastAsia="Times New Roman"/>
              </w:rPr>
              <w:t>1</w:t>
            </w:r>
          </w:hyperlink>
        </w:p>
        <w:p>
          <w:pPr>
            <w:pStyle w:val="TOC2"/>
            <w:tabs>
              <w:tab w:pos="1917" w:val="left" w:leader="none"/>
              <w:tab w:pos="8491" w:val="right" w:leader="dot"/>
            </w:tabs>
            <w:rPr>
              <w:rFonts w:ascii="Times New Roman" w:eastAsia="Times New Roman"/>
            </w:rPr>
          </w:pPr>
          <w:hyperlink w:history="true" w:anchor="_TOC_250016">
            <w:r>
              <w:rPr/>
              <w:t>第四条</w:t>
              <w:tab/>
              <w:t>保险期间</w:t>
              <w:tab/>
            </w:r>
            <w:r>
              <w:rPr>
                <w:rFonts w:ascii="Times New Roman" w:eastAsia="Times New Roman"/>
              </w:rPr>
              <w:t>1</w:t>
            </w:r>
          </w:hyperlink>
        </w:p>
        <w:p>
          <w:pPr>
            <w:pStyle w:val="TOC2"/>
            <w:tabs>
              <w:tab w:pos="1917" w:val="left" w:leader="none"/>
              <w:tab w:pos="8491" w:val="right" w:leader="dot"/>
            </w:tabs>
            <w:rPr>
              <w:rFonts w:ascii="Times New Roman" w:eastAsia="Times New Roman"/>
            </w:rPr>
          </w:pPr>
          <w:hyperlink w:history="true" w:anchor="_TOC_250015">
            <w:r>
              <w:rPr/>
              <w:t>第五条</w:t>
              <w:tab/>
              <w:t>保险合同的中止</w:t>
              <w:tab/>
            </w:r>
            <w:r>
              <w:rPr>
                <w:rFonts w:ascii="Times New Roman" w:eastAsia="Times New Roman"/>
              </w:rPr>
              <w:t>1</w:t>
            </w:r>
          </w:hyperlink>
        </w:p>
        <w:p>
          <w:pPr>
            <w:pStyle w:val="TOC2"/>
            <w:tabs>
              <w:tab w:pos="1917" w:val="left" w:leader="none"/>
              <w:tab w:pos="8491" w:val="right" w:leader="dot"/>
            </w:tabs>
            <w:rPr>
              <w:rFonts w:ascii="Times New Roman" w:eastAsia="Times New Roman"/>
            </w:rPr>
          </w:pPr>
          <w:hyperlink w:history="true" w:anchor="_TOC_250014">
            <w:r>
              <w:rPr/>
              <w:t>第六条</w:t>
              <w:tab/>
              <w:t>保险合同的终止</w:t>
              <w:tab/>
            </w:r>
            <w:r>
              <w:rPr>
                <w:rFonts w:ascii="Times New Roman" w:eastAsia="Times New Roman"/>
              </w:rPr>
              <w:t>1</w:t>
            </w:r>
          </w:hyperlink>
        </w:p>
        <w:p>
          <w:pPr>
            <w:pStyle w:val="TOC1"/>
            <w:tabs>
              <w:tab w:pos="1197" w:val="left" w:leader="none"/>
              <w:tab w:pos="8491" w:val="right" w:leader="dot"/>
            </w:tabs>
            <w:rPr>
              <w:rFonts w:ascii="Times New Roman" w:eastAsia="Times New Roman"/>
              <w:b/>
            </w:rPr>
          </w:pPr>
          <w:hyperlink w:history="true" w:anchor="_TOC_250013">
            <w:r>
              <w:rPr/>
              <w:t>第二部分</w:t>
              <w:tab/>
              <w:t>我们提供的保障</w:t>
              <w:tab/>
            </w:r>
            <w:r>
              <w:rPr>
                <w:rFonts w:ascii="Times New Roman" w:eastAsia="Times New Roman"/>
                <w:b/>
              </w:rPr>
              <w:t>2</w:t>
            </w:r>
          </w:hyperlink>
        </w:p>
        <w:p>
          <w:pPr>
            <w:pStyle w:val="TOC2"/>
            <w:tabs>
              <w:tab w:pos="1917" w:val="left" w:leader="none"/>
              <w:tab w:pos="8491" w:val="right" w:leader="dot"/>
            </w:tabs>
            <w:rPr>
              <w:rFonts w:ascii="Times New Roman" w:eastAsia="Times New Roman"/>
            </w:rPr>
          </w:pPr>
          <w:hyperlink w:history="true" w:anchor="_TOC_250012">
            <w:r>
              <w:rPr/>
              <w:t>第七条</w:t>
              <w:tab/>
              <w:t>保险责任</w:t>
              <w:tab/>
            </w:r>
            <w:r>
              <w:rPr>
                <w:rFonts w:ascii="Times New Roman" w:eastAsia="Times New Roman"/>
              </w:rPr>
              <w:t>2</w:t>
            </w:r>
          </w:hyperlink>
        </w:p>
        <w:p>
          <w:pPr>
            <w:pStyle w:val="TOC2"/>
            <w:tabs>
              <w:tab w:pos="1917" w:val="left" w:leader="none"/>
              <w:tab w:pos="8491" w:val="right" w:leader="dot"/>
            </w:tabs>
            <w:rPr>
              <w:rFonts w:ascii="Times New Roman" w:eastAsia="Times New Roman"/>
            </w:rPr>
          </w:pPr>
          <w:hyperlink w:history="true" w:anchor="_TOC_250011">
            <w:r>
              <w:rPr/>
              <w:t>第八条</w:t>
              <w:tab/>
              <w:t>责任免除</w:t>
              <w:tab/>
            </w:r>
            <w:r>
              <w:rPr>
                <w:rFonts w:ascii="Times New Roman" w:eastAsia="Times New Roman"/>
              </w:rPr>
              <w:t>2</w:t>
            </w:r>
          </w:hyperlink>
        </w:p>
        <w:p>
          <w:pPr>
            <w:pStyle w:val="TOC2"/>
            <w:tabs>
              <w:tab w:pos="1917" w:val="left" w:leader="none"/>
              <w:tab w:pos="8491" w:val="right" w:leader="dot"/>
            </w:tabs>
            <w:rPr>
              <w:rFonts w:ascii="Times New Roman" w:eastAsia="Times New Roman"/>
            </w:rPr>
          </w:pPr>
          <w:hyperlink w:history="true" w:anchor="_TOC_250010">
            <w:r>
              <w:rPr/>
              <w:t>第九条</w:t>
              <w:tab/>
              <w:t>保险金额</w:t>
              <w:tab/>
            </w:r>
            <w:r>
              <w:rPr>
                <w:rFonts w:ascii="Times New Roman" w:eastAsia="Times New Roman"/>
              </w:rPr>
              <w:t>3</w:t>
            </w:r>
          </w:hyperlink>
        </w:p>
        <w:p>
          <w:pPr>
            <w:pStyle w:val="TOC1"/>
            <w:tabs>
              <w:tab w:pos="1197" w:val="left" w:leader="none"/>
              <w:tab w:pos="8490" w:val="right" w:leader="dot"/>
            </w:tabs>
            <w:rPr>
              <w:rFonts w:ascii="Times New Roman" w:eastAsia="Times New Roman"/>
              <w:b/>
            </w:rPr>
          </w:pPr>
          <w:hyperlink w:history="true" w:anchor="_TOC_250009">
            <w:r>
              <w:rPr/>
              <w:t>第三部分</w:t>
              <w:tab/>
              <w:t>如何领取保险金</w:t>
              <w:tab/>
            </w:r>
            <w:r>
              <w:rPr>
                <w:rFonts w:ascii="Times New Roman" w:eastAsia="Times New Roman"/>
                <w:b/>
              </w:rPr>
              <w:t>3</w:t>
            </w:r>
          </w:hyperlink>
        </w:p>
        <w:p>
          <w:pPr>
            <w:pStyle w:val="TOC2"/>
            <w:tabs>
              <w:tab w:pos="1917" w:val="left" w:leader="none"/>
              <w:tab w:pos="8491" w:val="right" w:leader="dot"/>
            </w:tabs>
            <w:rPr>
              <w:rFonts w:ascii="Times New Roman" w:eastAsia="Times New Roman"/>
            </w:rPr>
          </w:pPr>
          <w:hyperlink w:history="true" w:anchor="_TOC_250008">
            <w:r>
              <w:rPr/>
              <w:t>第十条</w:t>
              <w:tab/>
              <w:t>保险金的申领</w:t>
              <w:tab/>
            </w:r>
            <w:r>
              <w:rPr>
                <w:rFonts w:ascii="Times New Roman" w:eastAsia="Times New Roman"/>
              </w:rPr>
              <w:t>3</w:t>
            </w:r>
          </w:hyperlink>
        </w:p>
        <w:p>
          <w:pPr>
            <w:pStyle w:val="TOC2"/>
            <w:tabs>
              <w:tab w:pos="1917" w:val="left" w:leader="none"/>
              <w:tab w:pos="8490" w:val="right" w:leader="dot"/>
            </w:tabs>
            <w:rPr>
              <w:rFonts w:ascii="Times New Roman" w:eastAsia="Times New Roman"/>
            </w:rPr>
          </w:pPr>
          <w:hyperlink w:history="true" w:anchor="_TOC_250007">
            <w:r>
              <w:rPr/>
              <w:t>第十一条</w:t>
              <w:tab/>
              <w:t>索赔时效</w:t>
              <w:tab/>
            </w:r>
            <w:r>
              <w:rPr>
                <w:rFonts w:ascii="Times New Roman" w:eastAsia="Times New Roman"/>
              </w:rPr>
              <w:t>3</w:t>
            </w:r>
          </w:hyperlink>
        </w:p>
        <w:p>
          <w:pPr>
            <w:pStyle w:val="TOC1"/>
            <w:tabs>
              <w:tab w:pos="1197" w:val="left" w:leader="none"/>
              <w:tab w:pos="8490" w:val="right" w:leader="dot"/>
            </w:tabs>
            <w:rPr>
              <w:rFonts w:ascii="Times New Roman" w:eastAsia="Times New Roman"/>
              <w:b/>
            </w:rPr>
          </w:pPr>
          <w:hyperlink w:history="true" w:anchor="_TOC_250006">
            <w:r>
              <w:rPr/>
              <w:t>第四部分</w:t>
              <w:tab/>
              <w:t>保险费的交纳</w:t>
              <w:tab/>
            </w:r>
            <w:r>
              <w:rPr>
                <w:rFonts w:ascii="Times New Roman" w:eastAsia="Times New Roman"/>
                <w:b/>
              </w:rPr>
              <w:t>3</w:t>
            </w:r>
          </w:hyperlink>
        </w:p>
        <w:p>
          <w:pPr>
            <w:pStyle w:val="TOC2"/>
            <w:tabs>
              <w:tab w:pos="1917" w:val="left" w:leader="none"/>
              <w:tab w:pos="8491" w:val="right" w:leader="dot"/>
            </w:tabs>
            <w:rPr>
              <w:rFonts w:ascii="Times New Roman" w:eastAsia="Times New Roman"/>
            </w:rPr>
          </w:pPr>
          <w:hyperlink w:history="true" w:anchor="_TOC_250005">
            <w:r>
              <w:rPr/>
              <w:t>第十二条</w:t>
              <w:tab/>
              <w:t>保险费的交纳</w:t>
              <w:tab/>
            </w:r>
            <w:r>
              <w:rPr>
                <w:rFonts w:ascii="Times New Roman" w:eastAsia="Times New Roman"/>
              </w:rPr>
              <w:t>3</w:t>
            </w:r>
          </w:hyperlink>
        </w:p>
        <w:p>
          <w:pPr>
            <w:pStyle w:val="TOC2"/>
            <w:tabs>
              <w:tab w:pos="1917" w:val="left" w:leader="none"/>
              <w:tab w:pos="8491" w:val="right" w:leader="dot"/>
            </w:tabs>
            <w:rPr>
              <w:rFonts w:ascii="Times New Roman" w:eastAsia="Times New Roman"/>
            </w:rPr>
          </w:pPr>
          <w:hyperlink w:history="true" w:anchor="_TOC_250004">
            <w:r>
              <w:rPr/>
              <w:t>第十三条</w:t>
              <w:tab/>
              <w:t>保险费率调整</w:t>
              <w:tab/>
            </w:r>
            <w:r>
              <w:rPr>
                <w:rFonts w:ascii="Times New Roman" w:eastAsia="Times New Roman"/>
              </w:rPr>
              <w:t>3</w:t>
            </w:r>
          </w:hyperlink>
        </w:p>
        <w:p>
          <w:pPr>
            <w:pStyle w:val="TOC1"/>
            <w:tabs>
              <w:tab w:pos="1197" w:val="left" w:leader="none"/>
              <w:tab w:pos="8490" w:val="right" w:leader="dot"/>
            </w:tabs>
            <w:rPr>
              <w:rFonts w:ascii="Times New Roman" w:eastAsia="Times New Roman"/>
              <w:b/>
            </w:rPr>
          </w:pPr>
          <w:hyperlink w:history="true" w:anchor="_TOC_250003">
            <w:r>
              <w:rPr/>
              <w:t>第五部分</w:t>
              <w:tab/>
              <w:t>您所拥有的重要权益</w:t>
              <w:tab/>
            </w:r>
            <w:r>
              <w:rPr>
                <w:rFonts w:ascii="Times New Roman" w:eastAsia="Times New Roman"/>
                <w:b/>
              </w:rPr>
              <w:t>4</w:t>
            </w:r>
          </w:hyperlink>
        </w:p>
        <w:p>
          <w:pPr>
            <w:pStyle w:val="TOC2"/>
            <w:tabs>
              <w:tab w:pos="1917" w:val="left" w:leader="none"/>
              <w:tab w:pos="8490" w:val="right" w:leader="dot"/>
            </w:tabs>
            <w:rPr>
              <w:rFonts w:ascii="Times New Roman" w:eastAsia="Times New Roman"/>
            </w:rPr>
          </w:pPr>
          <w:hyperlink w:history="true" w:anchor="_TOC_250002">
            <w:r>
              <w:rPr/>
              <w:t>第十四条</w:t>
              <w:tab/>
              <w:t>合同解除权</w:t>
              <w:tab/>
            </w:r>
            <w:r>
              <w:rPr>
                <w:rFonts w:ascii="Times New Roman" w:eastAsia="Times New Roman"/>
              </w:rPr>
              <w:t>4</w:t>
            </w:r>
          </w:hyperlink>
        </w:p>
        <w:p>
          <w:pPr>
            <w:pStyle w:val="TOC1"/>
            <w:tabs>
              <w:tab w:pos="1197" w:val="left" w:leader="none"/>
              <w:tab w:pos="8490" w:val="right" w:leader="dot"/>
            </w:tabs>
            <w:rPr>
              <w:rFonts w:ascii="Times New Roman" w:eastAsia="Times New Roman"/>
              <w:b/>
            </w:rPr>
          </w:pPr>
          <w:hyperlink w:history="true" w:anchor="_TOC_250001">
            <w:r>
              <w:rPr/>
              <w:t>第六部分</w:t>
              <w:tab/>
              <w:t>就医须知</w:t>
              <w:tab/>
            </w:r>
            <w:r>
              <w:rPr>
                <w:rFonts w:ascii="Times New Roman" w:eastAsia="Times New Roman"/>
                <w:b/>
              </w:rPr>
              <w:t>4</w:t>
            </w:r>
          </w:hyperlink>
        </w:p>
        <w:p>
          <w:pPr>
            <w:pStyle w:val="TOC1"/>
            <w:tabs>
              <w:tab w:pos="1197" w:val="left" w:leader="none"/>
              <w:tab w:pos="8490" w:val="right" w:leader="dot"/>
            </w:tabs>
            <w:rPr>
              <w:rFonts w:ascii="Times New Roman" w:eastAsia="Times New Roman"/>
              <w:b/>
            </w:rPr>
          </w:pPr>
          <w:hyperlink w:history="true" w:anchor="_TOC_250000">
            <w:r>
              <w:rPr/>
              <w:t>第七部分</w:t>
              <w:tab/>
              <w:t>名词释义</w:t>
              <w:tab/>
            </w:r>
            <w:r>
              <w:rPr>
                <w:rFonts w:ascii="Times New Roman" w:eastAsia="Times New Roman"/>
                <w:b/>
              </w:rPr>
              <w:t>4</w:t>
            </w:r>
          </w:hyperlink>
        </w:p>
        <w:p>
          <w:pPr/>
          <w:r>
            <w:fldChar w:fldCharType="end"/>
          </w:r>
        </w:p>
      </w:sdtContent>
    </w:sdt>
    <w:p>
      <w:pPr>
        <w:spacing w:after="0"/>
        <w:sectPr>
          <w:pgSz w:w="11900" w:h="16840"/>
          <w:pgMar w:header="0" w:footer="998" w:top="1500" w:bottom="1180" w:left="1680" w:right="1620"/>
        </w:sectPr>
      </w:pPr>
    </w:p>
    <w:p>
      <w:pPr>
        <w:pStyle w:val="BodyText"/>
        <w:spacing w:before="7"/>
        <w:rPr>
          <w:rFonts w:ascii="Times New Roman"/>
          <w:b/>
          <w:sz w:val="35"/>
        </w:rPr>
      </w:pPr>
    </w:p>
    <w:p>
      <w:pPr>
        <w:pStyle w:val="Heading1"/>
        <w:tabs>
          <w:tab w:pos="3675" w:val="left" w:leader="none"/>
        </w:tabs>
        <w:ind w:left="1809"/>
      </w:pPr>
      <w:bookmarkStart w:name="_TOC_250020" w:id="1"/>
      <w:bookmarkEnd w:id="1"/>
      <w:r>
        <w:rPr/>
        <w:t>第一部分</w:t>
        <w:tab/>
        <w:t>您与我们的合同</w:t>
      </w:r>
    </w:p>
    <w:p>
      <w:pPr>
        <w:pStyle w:val="BodyText"/>
        <w:spacing w:before="3"/>
        <w:rPr>
          <w:rFonts w:ascii="黑体"/>
          <w:sz w:val="35"/>
        </w:rPr>
      </w:pPr>
    </w:p>
    <w:p>
      <w:pPr>
        <w:pStyle w:val="Heading2"/>
      </w:pPr>
      <w:bookmarkStart w:name="_TOC_250019" w:id="2"/>
      <w:bookmarkEnd w:id="2"/>
      <w:r>
        <w:rPr/>
        <w:t>第一条 附加保险合同的构成</w:t>
      </w:r>
    </w:p>
    <w:p>
      <w:pPr>
        <w:pStyle w:val="BodyText"/>
        <w:spacing w:before="4"/>
        <w:rPr>
          <w:sz w:val="30"/>
        </w:rPr>
      </w:pPr>
    </w:p>
    <w:p>
      <w:pPr>
        <w:pStyle w:val="BodyText"/>
        <w:spacing w:line="230" w:lineRule="auto"/>
        <w:ind w:left="117" w:right="142" w:firstLine="479"/>
        <w:jc w:val="both"/>
      </w:pPr>
      <w:r>
        <w:rPr>
          <w:spacing w:val="-4"/>
        </w:rPr>
        <w:t>本附加保险合同</w:t>
      </w:r>
      <w:r>
        <w:rPr/>
        <w:t>（以下简称</w:t>
      </w:r>
      <w:r>
        <w:rPr>
          <w:rFonts w:ascii="Times New Roman" w:hAnsi="Times New Roman" w:eastAsia="Times New Roman"/>
        </w:rPr>
        <w:t>“</w:t>
      </w:r>
      <w:r>
        <w:rPr/>
        <w:t>本附加合同</w:t>
      </w:r>
      <w:r>
        <w:rPr>
          <w:rFonts w:ascii="Times New Roman" w:hAnsi="Times New Roman" w:eastAsia="Times New Roman"/>
          <w:spacing w:val="-14"/>
        </w:rPr>
        <w:t>”</w:t>
      </w:r>
      <w:r>
        <w:rPr>
          <w:spacing w:val="-14"/>
        </w:rPr>
        <w:t>）</w:t>
      </w:r>
      <w:r>
        <w:rPr>
          <w:spacing w:val="-4"/>
        </w:rPr>
        <w:t>可附加于主合同</w:t>
      </w:r>
      <w:r>
        <w:rPr/>
        <w:t>（光大永明鸿祥人生定期寿险</w:t>
      </w:r>
      <w:r>
        <w:rPr>
          <w:spacing w:val="-8"/>
        </w:rPr>
        <w:t>）</w:t>
      </w:r>
      <w:r>
        <w:rPr>
          <w:spacing w:val="-7"/>
        </w:rPr>
        <w:t>上。主合同所包含的条款、投保书、合法有效的声明、批注和其他书面协议，凡与本附加合同相关者，均为本附加合同的构成部分。</w:t>
      </w:r>
    </w:p>
    <w:p>
      <w:pPr>
        <w:pStyle w:val="BodyText"/>
        <w:spacing w:before="18"/>
        <w:ind w:left="537"/>
      </w:pPr>
      <w:r>
        <w:rPr/>
        <w:t>除本附加合同另有约定外，主合同条款适用于本附加合同。</w:t>
      </w:r>
    </w:p>
    <w:p>
      <w:pPr>
        <w:pStyle w:val="BodyText"/>
        <w:rPr>
          <w:sz w:val="20"/>
        </w:rPr>
      </w:pPr>
    </w:p>
    <w:p>
      <w:pPr>
        <w:pStyle w:val="BodyText"/>
        <w:spacing w:before="8"/>
        <w:rPr>
          <w:sz w:val="27"/>
        </w:rPr>
      </w:pPr>
    </w:p>
    <w:p>
      <w:pPr>
        <w:pStyle w:val="Heading2"/>
      </w:pPr>
      <w:bookmarkStart w:name="_TOC_250018" w:id="3"/>
      <w:bookmarkEnd w:id="3"/>
      <w:r>
        <w:rPr/>
        <w:t>第二条 受益人的指定</w:t>
      </w:r>
    </w:p>
    <w:p>
      <w:pPr>
        <w:pStyle w:val="BodyText"/>
        <w:spacing w:before="7"/>
        <w:rPr>
          <w:sz w:val="29"/>
        </w:rPr>
      </w:pPr>
    </w:p>
    <w:p>
      <w:pPr>
        <w:pStyle w:val="BodyText"/>
        <w:ind w:left="537"/>
      </w:pPr>
      <w:r>
        <w:rPr/>
        <w:t>本附加合同的受益人应为被保险人本人。</w:t>
      </w:r>
    </w:p>
    <w:p>
      <w:pPr>
        <w:pStyle w:val="BodyText"/>
        <w:spacing w:before="9"/>
        <w:rPr>
          <w:sz w:val="27"/>
        </w:rPr>
      </w:pPr>
    </w:p>
    <w:p>
      <w:pPr>
        <w:pStyle w:val="Heading2"/>
      </w:pPr>
      <w:bookmarkStart w:name="_TOC_250017" w:id="4"/>
      <w:bookmarkEnd w:id="4"/>
      <w:r>
        <w:rPr/>
        <w:t>第三条 保险责任的开始</w:t>
      </w:r>
    </w:p>
    <w:p>
      <w:pPr>
        <w:pStyle w:val="BodyText"/>
        <w:spacing w:before="8"/>
        <w:rPr>
          <w:sz w:val="29"/>
        </w:rPr>
      </w:pPr>
    </w:p>
    <w:p>
      <w:pPr>
        <w:pStyle w:val="BodyText"/>
        <w:spacing w:line="237" w:lineRule="auto"/>
        <w:ind w:left="117" w:right="82" w:firstLine="420"/>
      </w:pPr>
      <w:r>
        <w:rPr/>
        <w:t>我们在收取首期保险费并同意承保后，将签发保险单或批注作为保险凭证。我们自本附加合同即保险单所载的保险单生效日零时起承担保险责任。</w:t>
      </w:r>
    </w:p>
    <w:p>
      <w:pPr>
        <w:pStyle w:val="BodyText"/>
        <w:spacing w:line="271" w:lineRule="exact"/>
        <w:ind w:left="537"/>
      </w:pPr>
      <w:r>
        <w:rPr/>
        <w:t>本附加合同的生效日与主合同相同。</w:t>
      </w:r>
    </w:p>
    <w:p>
      <w:pPr>
        <w:pStyle w:val="BodyText"/>
        <w:spacing w:line="237" w:lineRule="auto" w:before="2"/>
        <w:ind w:left="117" w:right="142" w:firstLine="420"/>
      </w:pPr>
      <w:r>
        <w:rPr>
          <w:w w:val="95"/>
        </w:rPr>
        <w:t>本附加合同的保险单周年日</w:t>
      </w:r>
      <w:r>
        <w:rPr>
          <w:rFonts w:ascii="Courier New" w:eastAsia="Courier New"/>
          <w:w w:val="95"/>
          <w:position w:val="11"/>
          <w:sz w:val="11"/>
        </w:rPr>
        <w:t>1</w:t>
      </w:r>
      <w:r>
        <w:rPr>
          <w:spacing w:val="-11"/>
          <w:w w:val="95"/>
        </w:rPr>
        <w:t>、保险单年度、保险单月份、保险费到期日和保险合同满期  </w:t>
      </w:r>
      <w:r>
        <w:rPr>
          <w:spacing w:val="-11"/>
        </w:rPr>
        <w:t>日均以本附加合同生效日为基础计算。</w:t>
      </w:r>
    </w:p>
    <w:p>
      <w:pPr>
        <w:pStyle w:val="BodyText"/>
        <w:spacing w:line="273" w:lineRule="auto" w:before="18"/>
        <w:ind w:left="117" w:right="68" w:firstLine="420"/>
      </w:pPr>
      <w:r>
        <w:rPr/>
        <w:t>在我们签发保险单之前，如果您符合人身保险临时保险单生效条件，我们将依据人身保险临时保险单的约定承担保险责任。</w:t>
      </w:r>
    </w:p>
    <w:p>
      <w:pPr>
        <w:pStyle w:val="BodyText"/>
        <w:spacing w:line="237" w:lineRule="auto"/>
        <w:ind w:left="117" w:right="100" w:firstLine="420"/>
      </w:pPr>
      <w:r>
        <w:rPr/>
        <w:t>我们在收到您的投保申请之日起六十天内作出是否同意承保的书面决定。因不可抗力、您或被保险人的原因导致的延误除外。</w:t>
      </w:r>
    </w:p>
    <w:p>
      <w:pPr>
        <w:pStyle w:val="BodyText"/>
        <w:spacing w:before="6"/>
        <w:rPr>
          <w:sz w:val="28"/>
        </w:rPr>
      </w:pPr>
    </w:p>
    <w:p>
      <w:pPr>
        <w:pStyle w:val="Heading2"/>
      </w:pPr>
      <w:bookmarkStart w:name="_TOC_250016" w:id="5"/>
      <w:bookmarkEnd w:id="5"/>
      <w:r>
        <w:rPr/>
        <w:t>第四条 保险期间</w:t>
      </w:r>
    </w:p>
    <w:p>
      <w:pPr>
        <w:pStyle w:val="BodyText"/>
        <w:spacing w:before="5"/>
        <w:rPr>
          <w:sz w:val="29"/>
        </w:rPr>
      </w:pPr>
    </w:p>
    <w:p>
      <w:pPr>
        <w:pStyle w:val="BodyText"/>
        <w:spacing w:before="1"/>
        <w:ind w:left="537"/>
      </w:pPr>
      <w:r>
        <w:rPr/>
        <w:t>本附加合同的保险期间与主合同保险期间相同，并在保险单上载明。</w:t>
      </w:r>
    </w:p>
    <w:p>
      <w:pPr>
        <w:pStyle w:val="BodyText"/>
        <w:spacing w:before="9"/>
        <w:rPr>
          <w:sz w:val="27"/>
        </w:rPr>
      </w:pPr>
    </w:p>
    <w:p>
      <w:pPr>
        <w:pStyle w:val="Heading2"/>
      </w:pPr>
      <w:bookmarkStart w:name="_TOC_250015" w:id="6"/>
      <w:bookmarkEnd w:id="6"/>
      <w:r>
        <w:rPr/>
        <w:t>第五条 保险合同的中止</w:t>
      </w:r>
    </w:p>
    <w:p>
      <w:pPr>
        <w:pStyle w:val="BodyText"/>
        <w:spacing w:before="6"/>
        <w:rPr>
          <w:sz w:val="29"/>
        </w:rPr>
      </w:pPr>
    </w:p>
    <w:p>
      <w:pPr>
        <w:pStyle w:val="BodyText"/>
        <w:spacing w:line="264" w:lineRule="auto" w:before="1"/>
        <w:ind w:left="117" w:right="82" w:firstLine="420"/>
      </w:pPr>
      <w:r>
        <w:rPr/>
        <w:t>若本附加合同因其他条款所列情况而导致效力中止，在效力中止期间，我们不承担保险责任。</w:t>
      </w:r>
    </w:p>
    <w:p>
      <w:pPr>
        <w:pStyle w:val="BodyText"/>
        <w:spacing w:before="3"/>
        <w:rPr>
          <w:sz w:val="28"/>
        </w:rPr>
      </w:pPr>
    </w:p>
    <w:p>
      <w:pPr>
        <w:pStyle w:val="Heading2"/>
      </w:pPr>
      <w:bookmarkStart w:name="_TOC_250014" w:id="7"/>
      <w:bookmarkEnd w:id="7"/>
      <w:r>
        <w:rPr/>
        <w:t>第六条 保险合同的终止</w:t>
      </w:r>
    </w:p>
    <w:p>
      <w:pPr>
        <w:pStyle w:val="BodyText"/>
        <w:spacing w:before="12"/>
        <w:rPr>
          <w:sz w:val="29"/>
        </w:rPr>
      </w:pPr>
    </w:p>
    <w:p>
      <w:pPr>
        <w:pStyle w:val="BodyText"/>
        <w:ind w:left="537"/>
      </w:pPr>
      <w:r>
        <w:rPr/>
        <w:t>发生下列情况之一时，本附加合同终止：</w:t>
      </w:r>
    </w:p>
    <w:p>
      <w:pPr>
        <w:pStyle w:val="BodyText"/>
        <w:spacing w:before="1"/>
        <w:rPr>
          <w:sz w:val="16"/>
        </w:rPr>
      </w:pPr>
      <w:r>
        <w:rPr/>
        <w:pict>
          <v:line style="position:absolute;mso-position-horizontal-relative:page;mso-position-vertical-relative:paragraph;z-index:1072;mso-wrap-distance-left:0;mso-wrap-distance-right:0" from="89.879997pt,12.771301pt" to="233.879997pt,12.771301pt" stroked="true" strokeweight=".54pt" strokecolor="#000000">
            <v:stroke dashstyle="solid"/>
            <w10:wrap type="topAndBottom"/>
          </v:line>
        </w:pict>
      </w:r>
    </w:p>
    <w:p>
      <w:pPr>
        <w:spacing w:line="235" w:lineRule="exact" w:before="30"/>
        <w:ind w:left="117" w:right="0" w:firstLine="0"/>
        <w:jc w:val="left"/>
        <w:rPr>
          <w:sz w:val="18"/>
        </w:rPr>
      </w:pPr>
      <w:r>
        <w:rPr>
          <w:rFonts w:ascii="Times New Roman" w:eastAsia="Times New Roman"/>
          <w:position w:val="8"/>
          <w:sz w:val="12"/>
        </w:rPr>
        <w:t>1</w:t>
      </w:r>
      <w:r>
        <w:rPr>
          <w:sz w:val="18"/>
        </w:rPr>
        <w:t>保险单周年日：本合同有效期内的每一个保险单年度内本合同生效日的对应日。第一个保险单周年日是指</w:t>
      </w:r>
    </w:p>
    <w:p>
      <w:pPr>
        <w:spacing w:line="235" w:lineRule="exact" w:before="0"/>
        <w:ind w:left="117" w:right="0" w:firstLine="0"/>
        <w:jc w:val="left"/>
        <w:rPr>
          <w:sz w:val="18"/>
        </w:rPr>
      </w:pPr>
      <w:r>
        <w:rPr>
          <w:sz w:val="18"/>
        </w:rPr>
        <w:t>保险单生效一年后的本合同生效日期的对应日。</w:t>
      </w:r>
    </w:p>
    <w:p>
      <w:pPr>
        <w:spacing w:after="0" w:line="235" w:lineRule="exact"/>
        <w:jc w:val="left"/>
        <w:rPr>
          <w:sz w:val="18"/>
        </w:rPr>
        <w:sectPr>
          <w:headerReference w:type="default" r:id="rId6"/>
          <w:footerReference w:type="default" r:id="rId7"/>
          <w:pgSz w:w="11900" w:h="16840"/>
          <w:pgMar w:header="896" w:footer="1008" w:top="1280" w:bottom="1200" w:left="1680" w:right="1600"/>
          <w:pgNumType w:start="1"/>
        </w:sectPr>
      </w:pPr>
    </w:p>
    <w:p>
      <w:pPr>
        <w:pStyle w:val="ListParagraph"/>
        <w:numPr>
          <w:ilvl w:val="0"/>
          <w:numId w:val="1"/>
        </w:numPr>
        <w:tabs>
          <w:tab w:pos="971" w:val="left" w:leader="none"/>
          <w:tab w:pos="973" w:val="left" w:leader="none"/>
        </w:tabs>
        <w:spacing w:line="240" w:lineRule="auto" w:before="119" w:after="0"/>
        <w:ind w:left="957" w:right="0" w:hanging="420"/>
        <w:jc w:val="left"/>
        <w:rPr>
          <w:sz w:val="21"/>
        </w:rPr>
      </w:pPr>
      <w:r>
        <w:rPr>
          <w:sz w:val="21"/>
        </w:rPr>
        <w:t>被保险人患本附加合同约定的重大疾病；</w:t>
      </w:r>
    </w:p>
    <w:p>
      <w:pPr>
        <w:pStyle w:val="ListParagraph"/>
        <w:numPr>
          <w:ilvl w:val="0"/>
          <w:numId w:val="1"/>
        </w:numPr>
        <w:tabs>
          <w:tab w:pos="957" w:val="left" w:leader="none"/>
          <w:tab w:pos="958" w:val="left" w:leader="none"/>
        </w:tabs>
        <w:spacing w:line="240" w:lineRule="auto" w:before="3" w:after="0"/>
        <w:ind w:left="957" w:right="0" w:hanging="420"/>
        <w:jc w:val="left"/>
        <w:rPr>
          <w:sz w:val="21"/>
        </w:rPr>
      </w:pPr>
      <w:r>
        <w:rPr>
          <w:sz w:val="21"/>
        </w:rPr>
        <w:t>本附加合同保险期间届满；</w:t>
      </w:r>
    </w:p>
    <w:p>
      <w:pPr>
        <w:pStyle w:val="ListParagraph"/>
        <w:numPr>
          <w:ilvl w:val="0"/>
          <w:numId w:val="1"/>
        </w:numPr>
        <w:tabs>
          <w:tab w:pos="957" w:val="left" w:leader="none"/>
          <w:tab w:pos="958" w:val="left" w:leader="none"/>
        </w:tabs>
        <w:spacing w:line="240" w:lineRule="auto" w:before="3" w:after="0"/>
        <w:ind w:left="957" w:right="0" w:hanging="420"/>
        <w:jc w:val="left"/>
        <w:rPr>
          <w:sz w:val="21"/>
        </w:rPr>
      </w:pPr>
      <w:r>
        <w:rPr>
          <w:sz w:val="21"/>
        </w:rPr>
        <w:t>您于本附加合同有效期内向我们申请解除本附加合同；</w:t>
      </w:r>
    </w:p>
    <w:p>
      <w:pPr>
        <w:pStyle w:val="ListParagraph"/>
        <w:numPr>
          <w:ilvl w:val="0"/>
          <w:numId w:val="1"/>
        </w:numPr>
        <w:tabs>
          <w:tab w:pos="957" w:val="left" w:leader="none"/>
          <w:tab w:pos="958" w:val="left" w:leader="none"/>
        </w:tabs>
        <w:spacing w:line="242" w:lineRule="auto" w:before="3" w:after="0"/>
        <w:ind w:left="957" w:right="214" w:hanging="420"/>
        <w:jc w:val="left"/>
        <w:rPr>
          <w:sz w:val="21"/>
        </w:rPr>
      </w:pPr>
      <w:r>
        <w:rPr>
          <w:spacing w:val="-3"/>
          <w:sz w:val="21"/>
        </w:rPr>
        <w:t>本附加合同因其他条款所列情况而效力中止，且未按【合同效力恢复】条款办理复效；</w:t>
      </w:r>
    </w:p>
    <w:p>
      <w:pPr>
        <w:pStyle w:val="ListParagraph"/>
        <w:numPr>
          <w:ilvl w:val="0"/>
          <w:numId w:val="1"/>
        </w:numPr>
        <w:tabs>
          <w:tab w:pos="957" w:val="left" w:leader="none"/>
          <w:tab w:pos="958" w:val="left" w:leader="none"/>
        </w:tabs>
        <w:spacing w:line="240" w:lineRule="auto" w:before="34" w:after="0"/>
        <w:ind w:left="957" w:right="0" w:hanging="420"/>
        <w:jc w:val="left"/>
        <w:rPr>
          <w:sz w:val="21"/>
        </w:rPr>
      </w:pPr>
      <w:r>
        <w:rPr>
          <w:sz w:val="21"/>
        </w:rPr>
        <w:t>因本附加合同其他条款所列情况而终止；</w:t>
      </w:r>
    </w:p>
    <w:p>
      <w:pPr>
        <w:pStyle w:val="ListParagraph"/>
        <w:numPr>
          <w:ilvl w:val="0"/>
          <w:numId w:val="1"/>
        </w:numPr>
        <w:tabs>
          <w:tab w:pos="957" w:val="left" w:leader="none"/>
          <w:tab w:pos="958" w:val="left" w:leader="none"/>
        </w:tabs>
        <w:spacing w:line="240" w:lineRule="auto" w:before="3" w:after="0"/>
        <w:ind w:left="957" w:right="0" w:hanging="420"/>
        <w:jc w:val="left"/>
        <w:rPr>
          <w:sz w:val="21"/>
        </w:rPr>
      </w:pPr>
      <w:r>
        <w:rPr>
          <w:sz w:val="21"/>
        </w:rPr>
        <w:t>主合同终止。</w:t>
      </w:r>
    </w:p>
    <w:p>
      <w:pPr>
        <w:pStyle w:val="BodyText"/>
        <w:spacing w:before="6"/>
        <w:rPr>
          <w:sz w:val="22"/>
        </w:rPr>
      </w:pPr>
    </w:p>
    <w:p>
      <w:pPr>
        <w:pStyle w:val="Heading1"/>
        <w:tabs>
          <w:tab w:pos="3675" w:val="left" w:leader="none"/>
        </w:tabs>
        <w:ind w:left="1809"/>
      </w:pPr>
      <w:bookmarkStart w:name="_TOC_250013" w:id="8"/>
      <w:bookmarkEnd w:id="8"/>
      <w:r>
        <w:rPr/>
        <w:t>第二部分</w:t>
        <w:tab/>
        <w:t>我们提供的保障</w:t>
      </w:r>
    </w:p>
    <w:p>
      <w:pPr>
        <w:pStyle w:val="BodyText"/>
        <w:spacing w:before="3"/>
        <w:rPr>
          <w:rFonts w:ascii="黑体"/>
          <w:sz w:val="35"/>
        </w:rPr>
      </w:pPr>
    </w:p>
    <w:p>
      <w:pPr>
        <w:pStyle w:val="Heading2"/>
      </w:pPr>
      <w:bookmarkStart w:name="_TOC_250012" w:id="9"/>
      <w:bookmarkEnd w:id="9"/>
      <w:r>
        <w:rPr/>
        <w:t>第七条 保险责任</w:t>
      </w:r>
    </w:p>
    <w:p>
      <w:pPr>
        <w:pStyle w:val="BodyText"/>
        <w:spacing w:before="12"/>
        <w:rPr>
          <w:sz w:val="30"/>
        </w:rPr>
      </w:pPr>
    </w:p>
    <w:p>
      <w:pPr>
        <w:pStyle w:val="BodyText"/>
        <w:spacing w:before="1"/>
        <w:ind w:left="535"/>
      </w:pPr>
      <w:r>
        <w:rPr/>
        <w:t>一、重大疾病保险金</w:t>
      </w:r>
    </w:p>
    <w:p>
      <w:pPr>
        <w:pStyle w:val="BodyText"/>
        <w:spacing w:line="273" w:lineRule="auto" w:before="37"/>
        <w:ind w:left="117" w:right="214" w:firstLine="420"/>
        <w:jc w:val="both"/>
      </w:pPr>
      <w:r>
        <w:rPr>
          <w:spacing w:val="-1"/>
        </w:rPr>
        <w:t>若被保险人于本附加合同生效</w:t>
      </w:r>
      <w:r>
        <w:rPr/>
        <w:t>（或复效</w:t>
      </w:r>
      <w:r>
        <w:rPr>
          <w:spacing w:val="-8"/>
        </w:rPr>
        <w:t>）</w:t>
      </w:r>
      <w:r>
        <w:rPr/>
        <w:t>一百八十天后经诊断初次患有本附加合同约定</w:t>
      </w:r>
      <w:r>
        <w:rPr>
          <w:spacing w:val="-2"/>
        </w:rPr>
        <w:t>的重大疾病中的一项或多项，并且确诊三十天后被保险人仍生存时，我们将按照约定的保险金额向被保险人支付重大疾病保险金，本附加合同终止。</w:t>
      </w:r>
    </w:p>
    <w:p>
      <w:pPr>
        <w:pStyle w:val="BodyText"/>
        <w:spacing w:before="7"/>
        <w:ind w:left="535"/>
      </w:pPr>
      <w:r>
        <w:rPr/>
        <w:t>二、重大疾病豁免保险费</w:t>
      </w:r>
    </w:p>
    <w:p>
      <w:pPr>
        <w:pStyle w:val="BodyText"/>
        <w:spacing w:line="225" w:lineRule="auto" w:before="33"/>
        <w:ind w:left="117" w:right="238" w:firstLine="419"/>
      </w:pPr>
      <w:r>
        <w:rPr/>
        <w:t>若被保险人符合上述重大疾病保险金的给付条件</w:t>
      </w:r>
      <w:r>
        <w:rPr>
          <w:rFonts w:ascii="Times New Roman" w:eastAsia="Times New Roman"/>
        </w:rPr>
        <w:t>,</w:t>
      </w:r>
      <w:r>
        <w:rPr/>
        <w:t>那么自该项重大疾病确诊后满三十天的次日起</w:t>
      </w:r>
      <w:r>
        <w:rPr>
          <w:rFonts w:ascii="Times New Roman" w:eastAsia="Times New Roman"/>
        </w:rPr>
        <w:t>,</w:t>
      </w:r>
      <w:r>
        <w:rPr/>
        <w:t>我们将豁免您保险单上所列主合同的以后各期保险费，本附加合同终止。</w:t>
      </w:r>
    </w:p>
    <w:p>
      <w:pPr>
        <w:pStyle w:val="BodyText"/>
        <w:spacing w:before="1"/>
        <w:ind w:left="535"/>
      </w:pPr>
      <w:r>
        <w:rPr/>
        <w:t>三、保险费返还</w:t>
      </w:r>
    </w:p>
    <w:p>
      <w:pPr>
        <w:pStyle w:val="BodyText"/>
        <w:spacing w:line="273" w:lineRule="auto" w:before="36"/>
        <w:ind w:left="117" w:right="214" w:firstLine="417"/>
        <w:jc w:val="both"/>
      </w:pPr>
      <w:r>
        <w:rPr>
          <w:spacing w:val="-1"/>
        </w:rPr>
        <w:t>若被保险人于本附加合同生效</w:t>
      </w:r>
      <w:r>
        <w:rPr/>
        <w:t>（或复效</w:t>
      </w:r>
      <w:r>
        <w:rPr>
          <w:spacing w:val="-7"/>
        </w:rPr>
        <w:t>）</w:t>
      </w:r>
      <w:r>
        <w:rPr/>
        <w:t>一百八十天内经诊断初次患有本附加合同约定</w:t>
      </w:r>
      <w:r>
        <w:rPr>
          <w:spacing w:val="-2"/>
        </w:rPr>
        <w:t>的重大疾病中的一项或多项时，我们将向被保险人无息退还已交的主合同以及本附加合同保险费（复效情况下返还最后一次申请复效时所交保险费</w:t>
      </w:r>
      <w:r>
        <w:rPr>
          <w:spacing w:val="-105"/>
        </w:rPr>
        <w:t>）</w:t>
      </w:r>
      <w:r>
        <w:rPr>
          <w:spacing w:val="-1"/>
        </w:rPr>
        <w:t>，本附加合同及主合同同时终止。</w:t>
      </w:r>
    </w:p>
    <w:p>
      <w:pPr>
        <w:pStyle w:val="BodyText"/>
        <w:spacing w:before="11"/>
        <w:rPr>
          <w:sz w:val="26"/>
        </w:rPr>
      </w:pPr>
    </w:p>
    <w:p>
      <w:pPr>
        <w:pStyle w:val="Heading2"/>
      </w:pPr>
      <w:bookmarkStart w:name="_TOC_250011" w:id="10"/>
      <w:bookmarkEnd w:id="10"/>
      <w:r>
        <w:rPr/>
        <w:t>第八条 责任免除</w:t>
      </w:r>
    </w:p>
    <w:p>
      <w:pPr>
        <w:pStyle w:val="BodyText"/>
        <w:rPr>
          <w:sz w:val="31"/>
        </w:rPr>
      </w:pPr>
    </w:p>
    <w:p>
      <w:pPr>
        <w:pStyle w:val="BodyText"/>
        <w:spacing w:line="273" w:lineRule="auto" w:before="1"/>
        <w:ind w:left="109" w:right="110" w:firstLine="420"/>
        <w:rPr>
          <w:rFonts w:ascii="黑体" w:eastAsia="黑体" w:hint="eastAsia"/>
        </w:rPr>
      </w:pPr>
      <w:r>
        <w:rPr>
          <w:rFonts w:ascii="黑体" w:eastAsia="黑体" w:hint="eastAsia"/>
          <w:spacing w:val="-5"/>
        </w:rPr>
        <w:t>根据中国保险行业协会制定的《重大疾病保险的疾病定义使用规范》，因下列情形之一， 导致被保险人发生疾病、达到疾病状态或进行手术的，我们不承担保险责任：</w:t>
      </w:r>
    </w:p>
    <w:p>
      <w:pPr>
        <w:pStyle w:val="ListParagraph"/>
        <w:numPr>
          <w:ilvl w:val="0"/>
          <w:numId w:val="2"/>
        </w:numPr>
        <w:tabs>
          <w:tab w:pos="949" w:val="left" w:leader="none"/>
          <w:tab w:pos="950" w:val="left" w:leader="none"/>
        </w:tabs>
        <w:spacing w:line="240" w:lineRule="auto" w:before="8" w:after="0"/>
        <w:ind w:left="949" w:right="0" w:hanging="420"/>
        <w:jc w:val="left"/>
        <w:rPr>
          <w:rFonts w:ascii="黑体" w:eastAsia="黑体" w:hint="eastAsia"/>
          <w:sz w:val="21"/>
        </w:rPr>
      </w:pPr>
      <w:r>
        <w:rPr>
          <w:rFonts w:ascii="黑体" w:eastAsia="黑体" w:hint="eastAsia"/>
          <w:sz w:val="21"/>
        </w:rPr>
        <w:t>您、受益人对被保险人的故意杀害、故意伤害；</w:t>
      </w:r>
    </w:p>
    <w:p>
      <w:pPr>
        <w:pStyle w:val="ListParagraph"/>
        <w:numPr>
          <w:ilvl w:val="0"/>
          <w:numId w:val="2"/>
        </w:numPr>
        <w:tabs>
          <w:tab w:pos="949" w:val="left" w:leader="none"/>
          <w:tab w:pos="950" w:val="left" w:leader="none"/>
        </w:tabs>
        <w:spacing w:line="240" w:lineRule="auto" w:before="21" w:after="0"/>
        <w:ind w:left="949" w:right="0" w:hanging="420"/>
        <w:jc w:val="left"/>
        <w:rPr>
          <w:rFonts w:ascii="黑体" w:eastAsia="黑体" w:hint="eastAsia"/>
          <w:sz w:val="21"/>
        </w:rPr>
      </w:pPr>
      <w:r>
        <w:rPr>
          <w:rFonts w:ascii="黑体" w:eastAsia="黑体" w:hint="eastAsia"/>
          <w:sz w:val="21"/>
        </w:rPr>
        <w:t>被保险人故意自伤、故意犯罪或拒捕；</w:t>
      </w:r>
    </w:p>
    <w:p>
      <w:pPr>
        <w:pStyle w:val="ListParagraph"/>
        <w:numPr>
          <w:ilvl w:val="0"/>
          <w:numId w:val="2"/>
        </w:numPr>
        <w:tabs>
          <w:tab w:pos="949" w:val="left" w:leader="none"/>
          <w:tab w:pos="950" w:val="left" w:leader="none"/>
        </w:tabs>
        <w:spacing w:line="240" w:lineRule="auto" w:before="21" w:after="0"/>
        <w:ind w:left="949" w:right="0" w:hanging="420"/>
        <w:jc w:val="left"/>
        <w:rPr>
          <w:rFonts w:ascii="黑体" w:eastAsia="黑体" w:hint="eastAsia"/>
          <w:sz w:val="21"/>
        </w:rPr>
      </w:pPr>
      <w:r>
        <w:rPr>
          <w:rFonts w:ascii="黑体" w:eastAsia="黑体" w:hint="eastAsia"/>
          <w:sz w:val="21"/>
        </w:rPr>
        <w:t>被保险人服用、吸食或注射毒品；</w:t>
      </w:r>
    </w:p>
    <w:p>
      <w:pPr>
        <w:pStyle w:val="ListParagraph"/>
        <w:numPr>
          <w:ilvl w:val="0"/>
          <w:numId w:val="2"/>
        </w:numPr>
        <w:tabs>
          <w:tab w:pos="949" w:val="left" w:leader="none"/>
          <w:tab w:pos="950" w:val="left" w:leader="none"/>
        </w:tabs>
        <w:spacing w:line="240" w:lineRule="auto" w:before="21" w:after="0"/>
        <w:ind w:left="949" w:right="0" w:hanging="420"/>
        <w:jc w:val="left"/>
        <w:rPr>
          <w:rFonts w:ascii="黑体" w:eastAsia="黑体" w:hint="eastAsia"/>
          <w:sz w:val="21"/>
        </w:rPr>
      </w:pPr>
      <w:r>
        <w:rPr>
          <w:rFonts w:ascii="黑体" w:eastAsia="黑体" w:hint="eastAsia"/>
          <w:sz w:val="21"/>
        </w:rPr>
        <w:t>被保险人酒后驾驶、无合法有效驾驶证驾驶，或驾驶无有效行驶证的机动车；</w:t>
      </w:r>
    </w:p>
    <w:p>
      <w:pPr>
        <w:pStyle w:val="ListParagraph"/>
        <w:numPr>
          <w:ilvl w:val="0"/>
          <w:numId w:val="2"/>
        </w:numPr>
        <w:tabs>
          <w:tab w:pos="949" w:val="left" w:leader="none"/>
          <w:tab w:pos="950" w:val="left" w:leader="none"/>
        </w:tabs>
        <w:spacing w:line="240" w:lineRule="auto" w:before="21" w:after="0"/>
        <w:ind w:left="949" w:right="0" w:hanging="420"/>
        <w:jc w:val="left"/>
        <w:rPr>
          <w:rFonts w:ascii="黑体" w:eastAsia="黑体" w:hint="eastAsia"/>
          <w:sz w:val="21"/>
        </w:rPr>
      </w:pPr>
      <w:r>
        <w:rPr>
          <w:rFonts w:ascii="黑体" w:eastAsia="黑体" w:hint="eastAsia"/>
          <w:sz w:val="21"/>
        </w:rPr>
        <w:t>被保险人感染艾滋病病毒或患艾滋病；</w:t>
      </w:r>
    </w:p>
    <w:p>
      <w:pPr>
        <w:pStyle w:val="ListParagraph"/>
        <w:numPr>
          <w:ilvl w:val="0"/>
          <w:numId w:val="2"/>
        </w:numPr>
        <w:tabs>
          <w:tab w:pos="949" w:val="left" w:leader="none"/>
          <w:tab w:pos="950" w:val="left" w:leader="none"/>
        </w:tabs>
        <w:spacing w:line="240" w:lineRule="auto" w:before="21" w:after="0"/>
        <w:ind w:left="949" w:right="0" w:hanging="420"/>
        <w:jc w:val="left"/>
        <w:rPr>
          <w:rFonts w:ascii="黑体" w:eastAsia="黑体" w:hint="eastAsia"/>
          <w:sz w:val="21"/>
        </w:rPr>
      </w:pPr>
      <w:r>
        <w:rPr>
          <w:rFonts w:ascii="黑体" w:eastAsia="黑体" w:hint="eastAsia"/>
          <w:sz w:val="21"/>
        </w:rPr>
        <w:t>战争、军事冲突、暴乱或武装叛乱；</w:t>
      </w:r>
    </w:p>
    <w:p>
      <w:pPr>
        <w:pStyle w:val="ListParagraph"/>
        <w:numPr>
          <w:ilvl w:val="0"/>
          <w:numId w:val="2"/>
        </w:numPr>
        <w:tabs>
          <w:tab w:pos="949" w:val="left" w:leader="none"/>
          <w:tab w:pos="950" w:val="left" w:leader="none"/>
        </w:tabs>
        <w:spacing w:line="240" w:lineRule="auto" w:before="19" w:after="0"/>
        <w:ind w:left="949" w:right="0" w:hanging="420"/>
        <w:jc w:val="left"/>
        <w:rPr>
          <w:rFonts w:ascii="黑体" w:eastAsia="黑体" w:hint="eastAsia"/>
          <w:sz w:val="21"/>
        </w:rPr>
      </w:pPr>
      <w:r>
        <w:rPr>
          <w:rFonts w:ascii="黑体" w:eastAsia="黑体" w:hint="eastAsia"/>
          <w:sz w:val="21"/>
        </w:rPr>
        <w:t>核爆炸、核辐射或核污染；</w:t>
      </w:r>
    </w:p>
    <w:p>
      <w:pPr>
        <w:pStyle w:val="ListParagraph"/>
        <w:numPr>
          <w:ilvl w:val="0"/>
          <w:numId w:val="2"/>
        </w:numPr>
        <w:tabs>
          <w:tab w:pos="949" w:val="left" w:leader="none"/>
          <w:tab w:pos="950" w:val="left" w:leader="none"/>
        </w:tabs>
        <w:spacing w:line="240" w:lineRule="auto" w:before="20" w:after="0"/>
        <w:ind w:left="949" w:right="0" w:hanging="420"/>
        <w:jc w:val="left"/>
        <w:rPr>
          <w:rFonts w:ascii="黑体" w:eastAsia="黑体" w:hint="eastAsia"/>
          <w:sz w:val="21"/>
        </w:rPr>
      </w:pPr>
      <w:r>
        <w:rPr>
          <w:rFonts w:ascii="黑体" w:eastAsia="黑体" w:hint="eastAsia"/>
          <w:sz w:val="21"/>
        </w:rPr>
        <w:t>遗传性疾病，先天性畸形、变形或染色体异常。</w:t>
      </w:r>
    </w:p>
    <w:p>
      <w:pPr>
        <w:pStyle w:val="BodyText"/>
        <w:spacing w:before="5"/>
        <w:rPr>
          <w:rFonts w:ascii="黑体"/>
          <w:sz w:val="25"/>
        </w:rPr>
      </w:pPr>
    </w:p>
    <w:p>
      <w:pPr>
        <w:pStyle w:val="BodyText"/>
        <w:spacing w:line="273" w:lineRule="auto"/>
        <w:ind w:left="109" w:right="171" w:firstLine="420"/>
        <w:rPr>
          <w:rFonts w:ascii="黑体" w:eastAsia="黑体" w:hint="eastAsia"/>
        </w:rPr>
      </w:pPr>
      <w:r>
        <w:rPr>
          <w:rFonts w:ascii="黑体" w:eastAsia="黑体" w:hint="eastAsia"/>
        </w:rPr>
        <w:t>发生上列情形，本附加合同终止。除法律及本附加合同另有规定外，我们将按【合同解除权】第二款处理。</w:t>
      </w:r>
    </w:p>
    <w:p>
      <w:pPr>
        <w:spacing w:after="0" w:line="273" w:lineRule="auto"/>
        <w:rPr>
          <w:rFonts w:ascii="黑体" w:eastAsia="黑体" w:hint="eastAsia"/>
        </w:rPr>
        <w:sectPr>
          <w:footerReference w:type="default" r:id="rId8"/>
          <w:pgSz w:w="11900" w:h="16840"/>
          <w:pgMar w:footer="1008" w:header="896" w:top="1280" w:bottom="1200" w:left="1680" w:right="1500"/>
          <w:pgNumType w:start="2"/>
        </w:sectPr>
      </w:pPr>
    </w:p>
    <w:p>
      <w:pPr>
        <w:pStyle w:val="BodyText"/>
        <w:spacing w:before="1"/>
        <w:rPr>
          <w:rFonts w:ascii="黑体"/>
          <w:sz w:val="16"/>
        </w:rPr>
      </w:pPr>
    </w:p>
    <w:p>
      <w:pPr>
        <w:pStyle w:val="Heading2"/>
        <w:spacing w:before="7"/>
      </w:pPr>
      <w:bookmarkStart w:name="_TOC_250010" w:id="11"/>
      <w:bookmarkEnd w:id="11"/>
      <w:r>
        <w:rPr/>
        <w:t>第九条 保险金额</w:t>
      </w:r>
    </w:p>
    <w:p>
      <w:pPr>
        <w:pStyle w:val="BodyText"/>
        <w:rPr>
          <w:sz w:val="31"/>
        </w:rPr>
      </w:pPr>
    </w:p>
    <w:p>
      <w:pPr>
        <w:pStyle w:val="BodyText"/>
        <w:spacing w:before="1"/>
        <w:ind w:left="529"/>
      </w:pPr>
      <w:r>
        <w:rPr/>
        <w:t>本附加合同所称保险金额由您和我们约定，并在保险单上载明。</w:t>
      </w:r>
    </w:p>
    <w:p>
      <w:pPr>
        <w:pStyle w:val="BodyText"/>
        <w:spacing w:before="12"/>
        <w:rPr>
          <w:sz w:val="23"/>
        </w:rPr>
      </w:pPr>
    </w:p>
    <w:p>
      <w:pPr>
        <w:pStyle w:val="Heading1"/>
        <w:tabs>
          <w:tab w:pos="1865" w:val="left" w:leader="none"/>
        </w:tabs>
        <w:ind w:right="604"/>
        <w:jc w:val="center"/>
      </w:pPr>
      <w:bookmarkStart w:name="_TOC_250009" w:id="12"/>
      <w:bookmarkEnd w:id="12"/>
      <w:r>
        <w:rPr/>
        <w:t>第三部分</w:t>
        <w:tab/>
        <w:t>如何领取保险金</w:t>
      </w:r>
    </w:p>
    <w:p>
      <w:pPr>
        <w:pStyle w:val="BodyText"/>
        <w:spacing w:before="3"/>
        <w:rPr>
          <w:rFonts w:ascii="黑体"/>
          <w:sz w:val="35"/>
        </w:rPr>
      </w:pPr>
    </w:p>
    <w:p>
      <w:pPr>
        <w:pStyle w:val="Heading2"/>
      </w:pPr>
      <w:bookmarkStart w:name="_TOC_250008" w:id="13"/>
      <w:bookmarkEnd w:id="13"/>
      <w:r>
        <w:rPr/>
        <w:t>第十条 保险金的申领</w:t>
      </w:r>
    </w:p>
    <w:p>
      <w:pPr>
        <w:pStyle w:val="BodyText"/>
        <w:spacing w:before="13"/>
        <w:rPr>
          <w:sz w:val="30"/>
        </w:rPr>
      </w:pPr>
    </w:p>
    <w:p>
      <w:pPr>
        <w:pStyle w:val="BodyText"/>
        <w:spacing w:line="273" w:lineRule="auto"/>
        <w:ind w:left="109" w:right="116" w:firstLine="426"/>
        <w:jc w:val="both"/>
      </w:pPr>
      <w:r>
        <w:rPr>
          <w:spacing w:val="-1"/>
        </w:rPr>
        <w:t>若被保险人初次患本附加合同约定的重大疾病，需由被保险人填写保险金给付申请书并凭下列证明材料向我们申请理赔：</w:t>
      </w:r>
    </w:p>
    <w:p>
      <w:pPr>
        <w:pStyle w:val="BodyText"/>
        <w:spacing w:before="7"/>
        <w:ind w:left="537"/>
      </w:pPr>
      <w:r>
        <w:rPr>
          <w:rFonts w:ascii="Times New Roman" w:eastAsia="Times New Roman"/>
        </w:rPr>
        <w:t>1</w:t>
      </w:r>
      <w:r>
        <w:rPr/>
        <w:t>、本附加合同；</w:t>
      </w:r>
    </w:p>
    <w:p>
      <w:pPr>
        <w:pStyle w:val="BodyText"/>
        <w:spacing w:before="20"/>
        <w:ind w:left="537"/>
      </w:pPr>
      <w:r>
        <w:rPr>
          <w:rFonts w:ascii="Times New Roman" w:eastAsia="Times New Roman"/>
        </w:rPr>
        <w:t>2</w:t>
      </w:r>
      <w:r>
        <w:rPr/>
        <w:t>、被保险人的身份证明；</w:t>
      </w:r>
    </w:p>
    <w:p>
      <w:pPr>
        <w:pStyle w:val="BodyText"/>
        <w:spacing w:before="20"/>
        <w:ind w:left="537"/>
      </w:pPr>
      <w:r>
        <w:rPr>
          <w:rFonts w:ascii="Times New Roman" w:eastAsia="Times New Roman"/>
        </w:rPr>
        <w:t>3</w:t>
      </w:r>
      <w:r>
        <w:rPr/>
        <w:t>、定点医疗机构的专科医生出具的医学诊断证明及相关诊治资料；</w:t>
      </w:r>
    </w:p>
    <w:p>
      <w:pPr>
        <w:pStyle w:val="BodyText"/>
        <w:spacing w:before="20"/>
        <w:ind w:left="537"/>
      </w:pPr>
      <w:r>
        <w:rPr>
          <w:rFonts w:ascii="Times New Roman" w:eastAsia="Times New Roman"/>
        </w:rPr>
        <w:t>4</w:t>
      </w:r>
      <w:r>
        <w:rPr/>
        <w:t>、我们所需的并且被保险人能够提供的与事故有关的其他材料。</w:t>
      </w:r>
    </w:p>
    <w:p>
      <w:pPr>
        <w:pStyle w:val="BodyText"/>
        <w:spacing w:line="273" w:lineRule="auto" w:before="20"/>
        <w:ind w:left="117" w:right="114" w:firstLine="420"/>
        <w:jc w:val="both"/>
      </w:pPr>
      <w:r>
        <w:rPr>
          <w:spacing w:val="-2"/>
        </w:rPr>
        <w:t>我们收到申请人保险金给付申请书及相应的证明材料后，对确属保险责任范围的，在与</w:t>
      </w:r>
      <w:r>
        <w:rPr>
          <w:spacing w:val="-4"/>
        </w:rPr>
        <w:t>申请人达成有关给付保险金数额的协议后十日内，履行给付保险金责任；对不属于保险责任范围的，向申请人发出拒绝给付保险金通知书。</w:t>
      </w:r>
    </w:p>
    <w:p>
      <w:pPr>
        <w:pStyle w:val="BodyText"/>
        <w:spacing w:line="237" w:lineRule="auto"/>
        <w:ind w:left="117" w:right="141" w:firstLine="420"/>
        <w:jc w:val="both"/>
      </w:pPr>
      <w:r>
        <w:rPr>
          <w:spacing w:val="-2"/>
        </w:rPr>
        <w:t>我们自收到申请人的保险金给付申请书及相应的证明材料之日起六十日内，对属于保险</w:t>
      </w:r>
      <w:r>
        <w:rPr>
          <w:spacing w:val="-4"/>
        </w:rPr>
        <w:t>责任而给付保险金的数额暂时不能确定的，根据已有的证明材料，按可以确定的最低数额先予支付，我们最终确定给付保险金数额后，再支付相应的差额。</w:t>
      </w:r>
    </w:p>
    <w:p>
      <w:pPr>
        <w:pStyle w:val="BodyText"/>
        <w:spacing w:before="7"/>
        <w:rPr>
          <w:sz w:val="28"/>
        </w:rPr>
      </w:pPr>
    </w:p>
    <w:p>
      <w:pPr>
        <w:pStyle w:val="Heading2"/>
      </w:pPr>
      <w:bookmarkStart w:name="_TOC_250007" w:id="14"/>
      <w:bookmarkEnd w:id="14"/>
      <w:r>
        <w:rPr/>
        <w:t>第十一条索赔时效</w:t>
      </w:r>
    </w:p>
    <w:p>
      <w:pPr>
        <w:pStyle w:val="BodyText"/>
        <w:spacing w:before="8"/>
        <w:rPr>
          <w:sz w:val="29"/>
        </w:rPr>
      </w:pPr>
    </w:p>
    <w:p>
      <w:pPr>
        <w:pStyle w:val="BodyText"/>
        <w:spacing w:line="237" w:lineRule="auto" w:before="1"/>
        <w:ind w:left="117" w:right="141" w:firstLine="420"/>
        <w:jc w:val="both"/>
      </w:pPr>
      <w:r>
        <w:rPr>
          <w:spacing w:val="-2"/>
        </w:rPr>
        <w:t>本附加合同的索赔权利人自其知道保险事故之日起两年内，享有向我们请求保险金的权利，超过两年不行使的，该权利消灭。</w:t>
      </w:r>
    </w:p>
    <w:p>
      <w:pPr>
        <w:pStyle w:val="BodyText"/>
        <w:spacing w:before="6"/>
        <w:rPr>
          <w:sz w:val="22"/>
        </w:rPr>
      </w:pPr>
    </w:p>
    <w:p>
      <w:pPr>
        <w:pStyle w:val="Heading1"/>
        <w:tabs>
          <w:tab w:pos="1865" w:val="left" w:leader="none"/>
        </w:tabs>
        <w:ind w:right="603"/>
        <w:jc w:val="center"/>
      </w:pPr>
      <w:bookmarkStart w:name="_TOC_250006" w:id="15"/>
      <w:bookmarkEnd w:id="15"/>
      <w:r>
        <w:rPr/>
        <w:t>第四部分</w:t>
        <w:tab/>
        <w:t>保险费的交纳</w:t>
      </w:r>
    </w:p>
    <w:p>
      <w:pPr>
        <w:pStyle w:val="BodyText"/>
        <w:spacing w:before="3"/>
        <w:rPr>
          <w:rFonts w:ascii="黑体"/>
          <w:sz w:val="35"/>
        </w:rPr>
      </w:pPr>
    </w:p>
    <w:p>
      <w:pPr>
        <w:pStyle w:val="Heading2"/>
      </w:pPr>
      <w:bookmarkStart w:name="_TOC_250005" w:id="16"/>
      <w:bookmarkEnd w:id="16"/>
      <w:r>
        <w:rPr/>
        <w:t>第十二条保险费的交纳</w:t>
      </w:r>
    </w:p>
    <w:p>
      <w:pPr>
        <w:pStyle w:val="BodyText"/>
        <w:spacing w:before="5"/>
        <w:rPr>
          <w:sz w:val="29"/>
        </w:rPr>
      </w:pPr>
    </w:p>
    <w:p>
      <w:pPr>
        <w:pStyle w:val="BodyText"/>
        <w:ind w:left="537"/>
      </w:pPr>
      <w:r>
        <w:rPr/>
        <w:t>本附加合同的交费方式及交费期限与主合同相同，并在保险单上载明。</w:t>
      </w:r>
    </w:p>
    <w:p>
      <w:pPr>
        <w:pStyle w:val="BodyText"/>
        <w:spacing w:before="8"/>
        <w:rPr>
          <w:sz w:val="27"/>
        </w:rPr>
      </w:pPr>
    </w:p>
    <w:p>
      <w:pPr>
        <w:pStyle w:val="Heading2"/>
        <w:spacing w:before="1"/>
        <w:ind w:left="131"/>
      </w:pPr>
      <w:bookmarkStart w:name="_TOC_250004" w:id="17"/>
      <w:bookmarkEnd w:id="17"/>
      <w:r>
        <w:rPr/>
        <w:t>第十三条保险费率调整</w:t>
      </w:r>
    </w:p>
    <w:p>
      <w:pPr>
        <w:pStyle w:val="BodyText"/>
        <w:spacing w:before="10"/>
        <w:rPr>
          <w:sz w:val="29"/>
        </w:rPr>
      </w:pPr>
    </w:p>
    <w:p>
      <w:pPr>
        <w:pStyle w:val="BodyText"/>
        <w:spacing w:line="237" w:lineRule="auto"/>
        <w:ind w:left="117" w:right="141" w:firstLine="420"/>
        <w:jc w:val="both"/>
      </w:pPr>
      <w:r>
        <w:rPr>
          <w:spacing w:val="-3"/>
        </w:rPr>
        <w:t>在本附加合同的保险期内，我们保留提高或降低保险费率的权利，调整后的费率须符合</w:t>
      </w:r>
      <w:r>
        <w:rPr>
          <w:spacing w:val="-7"/>
        </w:rPr>
        <w:t>保险监管机构的相关规定。保险费率的调整针对所有被保险人或同一投保年龄的所有被保险人。</w:t>
      </w:r>
    </w:p>
    <w:p>
      <w:pPr>
        <w:pStyle w:val="BodyText"/>
        <w:spacing w:line="237" w:lineRule="auto"/>
        <w:ind w:left="117" w:right="141" w:firstLine="420"/>
        <w:jc w:val="both"/>
      </w:pPr>
      <w:r>
        <w:rPr>
          <w:spacing w:val="-3"/>
        </w:rPr>
        <w:t>我们进行保险费率调整后，将以书面形式于保险单周年日前通知您。您须按调整后的保险费率，以投保时的年龄为计算基础，交纳续期保险费。</w:t>
      </w:r>
    </w:p>
    <w:p>
      <w:pPr>
        <w:spacing w:after="0" w:line="237" w:lineRule="auto"/>
        <w:jc w:val="both"/>
        <w:sectPr>
          <w:footerReference w:type="default" r:id="rId9"/>
          <w:pgSz w:w="11900" w:h="16840"/>
          <w:pgMar w:footer="1008" w:header="896" w:top="1280" w:bottom="1200" w:left="1680" w:right="1600"/>
          <w:pgNumType w:start="3"/>
        </w:sectPr>
      </w:pPr>
    </w:p>
    <w:p>
      <w:pPr>
        <w:pStyle w:val="BodyText"/>
        <w:spacing w:before="10"/>
        <w:rPr>
          <w:sz w:val="13"/>
        </w:rPr>
      </w:pPr>
    </w:p>
    <w:p>
      <w:pPr>
        <w:pStyle w:val="Heading1"/>
        <w:tabs>
          <w:tab w:pos="3314" w:val="left" w:leader="none"/>
        </w:tabs>
        <w:spacing w:line="461" w:lineRule="exact"/>
        <w:ind w:left="1448"/>
      </w:pPr>
      <w:bookmarkStart w:name="_TOC_250003" w:id="18"/>
      <w:bookmarkEnd w:id="18"/>
      <w:r>
        <w:rPr/>
        <w:t>第五部分</w:t>
        <w:tab/>
        <w:t>您所拥有的重要权益</w:t>
      </w:r>
    </w:p>
    <w:p>
      <w:pPr>
        <w:pStyle w:val="BodyText"/>
        <w:spacing w:before="3"/>
        <w:rPr>
          <w:rFonts w:ascii="黑体"/>
          <w:sz w:val="35"/>
        </w:rPr>
      </w:pPr>
    </w:p>
    <w:p>
      <w:pPr>
        <w:pStyle w:val="Heading2"/>
      </w:pPr>
      <w:bookmarkStart w:name="_TOC_250002" w:id="19"/>
      <w:bookmarkEnd w:id="19"/>
      <w:r>
        <w:rPr/>
        <w:t>第十四条合同解除权</w:t>
      </w:r>
    </w:p>
    <w:p>
      <w:pPr>
        <w:pStyle w:val="BodyText"/>
        <w:spacing w:before="8"/>
        <w:rPr>
          <w:sz w:val="29"/>
        </w:rPr>
      </w:pPr>
    </w:p>
    <w:p>
      <w:pPr>
        <w:pStyle w:val="BodyText"/>
        <w:spacing w:line="237" w:lineRule="auto"/>
        <w:ind w:left="117" w:right="136" w:firstLine="420"/>
      </w:pPr>
      <w:r>
        <w:rPr>
          <w:spacing w:val="-4"/>
        </w:rPr>
        <w:t>在本附加合同有效期内，您可以申请解除本附加合同。我们收到解除合同申请书时，本</w:t>
      </w:r>
      <w:r>
        <w:rPr>
          <w:spacing w:val="-13"/>
        </w:rPr>
        <w:t>附加合同终止。为了让您能够更清楚地了解相关的保险条款和内容，以及有更多的考虑时间， 我们将您签收本附加合同之日起十天定义为犹豫期。</w:t>
      </w:r>
    </w:p>
    <w:p>
      <w:pPr>
        <w:pStyle w:val="BodyText"/>
        <w:spacing w:line="237" w:lineRule="auto"/>
        <w:ind w:left="117" w:right="242" w:firstLine="420"/>
      </w:pPr>
      <w:r>
        <w:rPr>
          <w:spacing w:val="-6"/>
        </w:rPr>
        <w:t>一、您在犹豫期内要求解除本附加合同的，我们无息退还已收保险费，若被保险人经我们体检，须扣除体检费。</w:t>
      </w:r>
    </w:p>
    <w:p>
      <w:pPr>
        <w:pStyle w:val="BodyText"/>
        <w:spacing w:line="237" w:lineRule="auto"/>
        <w:ind w:left="117" w:right="241" w:firstLine="420"/>
      </w:pPr>
      <w:r>
        <w:rPr>
          <w:spacing w:val="-6"/>
        </w:rPr>
        <w:t>二、您在犹豫期后要求解除本附加合同的，我们将于收到本条第三款所列证明材料后三十日内向您退还本附加合同终止时的现金价值。</w:t>
      </w:r>
    </w:p>
    <w:p>
      <w:pPr>
        <w:pStyle w:val="BodyText"/>
        <w:spacing w:line="271" w:lineRule="exact"/>
        <w:ind w:left="537"/>
      </w:pPr>
      <w:r>
        <w:rPr/>
        <w:t>三、您要求解除本附加合同时，应提供下列证明材料：</w:t>
      </w:r>
    </w:p>
    <w:p>
      <w:pPr>
        <w:pStyle w:val="BodyText"/>
        <w:spacing w:line="280" w:lineRule="exact"/>
        <w:ind w:left="537"/>
      </w:pPr>
      <w:r>
        <w:rPr>
          <w:rFonts w:ascii="Times New Roman" w:eastAsia="Times New Roman"/>
        </w:rPr>
        <w:t>1</w:t>
      </w:r>
      <w:r>
        <w:rPr/>
        <w:t>、 本附加合同；</w:t>
      </w:r>
    </w:p>
    <w:p>
      <w:pPr>
        <w:pStyle w:val="BodyText"/>
        <w:spacing w:line="272" w:lineRule="exact"/>
        <w:ind w:left="537"/>
      </w:pPr>
      <w:r>
        <w:rPr>
          <w:rFonts w:ascii="Times New Roman" w:eastAsia="Times New Roman"/>
        </w:rPr>
        <w:t>2</w:t>
      </w:r>
      <w:r>
        <w:rPr/>
        <w:t>、 解除合同申请书；</w:t>
      </w:r>
    </w:p>
    <w:p>
      <w:pPr>
        <w:pStyle w:val="BodyText"/>
        <w:spacing w:line="272" w:lineRule="exact"/>
        <w:ind w:left="537"/>
      </w:pPr>
      <w:r>
        <w:rPr>
          <w:rFonts w:ascii="Times New Roman" w:eastAsia="Times New Roman"/>
        </w:rPr>
        <w:t>3</w:t>
      </w:r>
      <w:r>
        <w:rPr/>
        <w:t>、 您的身份证明。</w:t>
      </w:r>
    </w:p>
    <w:p>
      <w:pPr>
        <w:pStyle w:val="BodyText"/>
        <w:spacing w:line="266" w:lineRule="exact"/>
        <w:ind w:left="539"/>
      </w:pPr>
      <w:r>
        <w:rPr/>
        <w:t>特别提示您，如您申请解除本附加合同，主合同将同时被解除。</w:t>
      </w:r>
    </w:p>
    <w:p>
      <w:pPr>
        <w:pStyle w:val="BodyText"/>
        <w:rPr>
          <w:sz w:val="20"/>
        </w:rPr>
      </w:pPr>
    </w:p>
    <w:p>
      <w:pPr>
        <w:pStyle w:val="BodyText"/>
        <w:spacing w:before="12"/>
        <w:rPr>
          <w:sz w:val="20"/>
        </w:rPr>
      </w:pPr>
    </w:p>
    <w:p>
      <w:pPr>
        <w:pStyle w:val="Heading1"/>
        <w:tabs>
          <w:tab w:pos="4217" w:val="left" w:leader="none"/>
        </w:tabs>
        <w:ind w:left="2352"/>
      </w:pPr>
      <w:bookmarkStart w:name="_TOC_250001" w:id="20"/>
      <w:bookmarkEnd w:id="20"/>
      <w:r>
        <w:rPr/>
        <w:t>第六部分</w:t>
        <w:tab/>
        <w:t>就医须知</w:t>
      </w:r>
    </w:p>
    <w:p>
      <w:pPr>
        <w:pStyle w:val="BodyText"/>
        <w:spacing w:before="12"/>
        <w:rPr>
          <w:rFonts w:ascii="黑体"/>
          <w:sz w:val="25"/>
        </w:rPr>
      </w:pPr>
    </w:p>
    <w:p>
      <w:pPr>
        <w:pStyle w:val="BodyText"/>
        <w:spacing w:line="237" w:lineRule="auto"/>
        <w:ind w:left="117" w:right="136" w:firstLine="420"/>
      </w:pPr>
      <w:r>
        <w:rPr>
          <w:spacing w:val="-8"/>
        </w:rPr>
        <w:t>被保险人须在定点医疗机构接受治疗，但被保险人紧急抢救不受此限制，在病情稳定后， 应转入定点医疗机构继续治疗。</w:t>
      </w:r>
    </w:p>
    <w:p>
      <w:pPr>
        <w:pStyle w:val="BodyText"/>
        <w:spacing w:before="6"/>
        <w:rPr>
          <w:sz w:val="22"/>
        </w:rPr>
      </w:pPr>
    </w:p>
    <w:p>
      <w:pPr>
        <w:pStyle w:val="Heading1"/>
        <w:tabs>
          <w:tab w:pos="4217" w:val="left" w:leader="none"/>
        </w:tabs>
        <w:ind w:left="2352"/>
      </w:pPr>
      <w:bookmarkStart w:name="_TOC_250000" w:id="21"/>
      <w:bookmarkEnd w:id="21"/>
      <w:r>
        <w:rPr/>
        <w:t>第七部分</w:t>
        <w:tab/>
        <w:t>名词释义</w:t>
      </w:r>
    </w:p>
    <w:p>
      <w:pPr>
        <w:pStyle w:val="BodyText"/>
        <w:spacing w:before="3"/>
        <w:rPr>
          <w:rFonts w:ascii="黑体"/>
          <w:sz w:val="27"/>
        </w:rPr>
      </w:pPr>
    </w:p>
    <w:p>
      <w:pPr>
        <w:pStyle w:val="BodyText"/>
        <w:spacing w:line="273" w:lineRule="auto"/>
        <w:ind w:left="1657" w:right="169" w:hanging="1540"/>
      </w:pPr>
      <w:r>
        <w:rPr/>
        <w:t>定点医疗机构：我们为被保险人提供多家不同层次的专业医疗机构名单，供被保险人在此范围内选择，定点医疗机构名单请见合同附件。</w:t>
      </w:r>
    </w:p>
    <w:p>
      <w:pPr>
        <w:pStyle w:val="BodyText"/>
        <w:tabs>
          <w:tab w:pos="1657" w:val="left" w:leader="none"/>
        </w:tabs>
        <w:spacing w:line="242" w:lineRule="auto" w:before="7"/>
        <w:ind w:left="1657" w:right="110" w:hanging="1540"/>
      </w:pPr>
      <w:r>
        <w:rPr/>
        <w:t>专科医生：</w:t>
        <w:tab/>
      </w:r>
      <w:r>
        <w:rPr>
          <w:w w:val="95"/>
        </w:rPr>
        <w:t>专科医生应当同时满足以下四项资格条件：（</w:t>
      </w:r>
      <w:r>
        <w:rPr>
          <w:rFonts w:ascii="Courier New" w:eastAsia="Courier New"/>
          <w:w w:val="95"/>
        </w:rPr>
        <w:t>1</w:t>
      </w:r>
      <w:r>
        <w:rPr>
          <w:w w:val="95"/>
        </w:rPr>
        <w:t>）具有有效的中华人民共和    </w:t>
      </w:r>
      <w:r>
        <w:rPr>
          <w:spacing w:val="-12"/>
          <w:w w:val="95"/>
        </w:rPr>
        <w:t>国</w:t>
      </w:r>
      <w:r>
        <w:rPr>
          <w:w w:val="95"/>
        </w:rPr>
        <w:t>《医师资格证书</w:t>
      </w:r>
      <w:r>
        <w:rPr>
          <w:spacing w:val="-12"/>
          <w:w w:val="95"/>
        </w:rPr>
        <w:t>》</w:t>
      </w:r>
      <w:r>
        <w:rPr>
          <w:spacing w:val="-10"/>
          <w:w w:val="95"/>
        </w:rPr>
        <w:t>；（</w:t>
      </w:r>
      <w:r>
        <w:rPr>
          <w:rFonts w:ascii="Courier New" w:eastAsia="Courier New"/>
          <w:spacing w:val="-10"/>
          <w:w w:val="95"/>
        </w:rPr>
        <w:t>2</w:t>
      </w:r>
      <w:r>
        <w:rPr>
          <w:spacing w:val="-10"/>
          <w:w w:val="95"/>
        </w:rPr>
        <w:t>）</w:t>
      </w:r>
      <w:r>
        <w:rPr>
          <w:w w:val="95"/>
        </w:rPr>
        <w:t>具有有效的中华人民共和</w:t>
      </w:r>
      <w:r>
        <w:rPr>
          <w:spacing w:val="-12"/>
          <w:w w:val="95"/>
        </w:rPr>
        <w:t>国</w:t>
      </w:r>
      <w:r>
        <w:rPr>
          <w:w w:val="95"/>
        </w:rPr>
        <w:t>《医师执业证书</w:t>
      </w:r>
      <w:r>
        <w:rPr>
          <w:spacing w:val="-12"/>
          <w:w w:val="95"/>
        </w:rPr>
        <w:t>》</w:t>
      </w:r>
      <w:r>
        <w:rPr>
          <w:w w:val="95"/>
        </w:rPr>
        <w:t>，  </w:t>
      </w:r>
      <w:r>
        <w:rPr/>
        <w:t>并按期到相关部门登记注册；（</w:t>
      </w:r>
      <w:r>
        <w:rPr>
          <w:rFonts w:ascii="Courier New" w:eastAsia="Courier New"/>
        </w:rPr>
        <w:t>3</w:t>
      </w:r>
      <w:r>
        <w:rPr/>
        <w:t>）具有有效的中华人民共和国主治医师或主治医师以上职称的《医师职称证书》；（</w:t>
      </w:r>
      <w:r>
        <w:rPr>
          <w:rFonts w:ascii="Courier New" w:eastAsia="Courier New"/>
        </w:rPr>
        <w:t>4</w:t>
      </w:r>
      <w:r>
        <w:rPr/>
        <w:t>）在二级或二级以上医院的相应科室从事临床工作三年以上。</w:t>
      </w:r>
    </w:p>
    <w:p>
      <w:pPr>
        <w:pStyle w:val="BodyText"/>
        <w:spacing w:before="6"/>
        <w:rPr>
          <w:sz w:val="26"/>
        </w:rPr>
      </w:pPr>
    </w:p>
    <w:p>
      <w:pPr>
        <w:pStyle w:val="BodyText"/>
        <w:spacing w:line="273" w:lineRule="auto"/>
        <w:ind w:left="117" w:right="216"/>
      </w:pPr>
      <w:r>
        <w:rPr>
          <w:spacing w:val="-6"/>
        </w:rPr>
        <w:t>重大疾病：被保险人发生符合以下疾病定义所述条件的疾病，应当由定点医疗机构的专科医生明确诊断。</w:t>
      </w:r>
    </w:p>
    <w:p>
      <w:pPr>
        <w:pStyle w:val="BodyText"/>
        <w:spacing w:line="273" w:lineRule="auto" w:before="7"/>
        <w:ind w:left="537" w:right="212" w:firstLine="420"/>
        <w:jc w:val="both"/>
      </w:pPr>
      <w:r>
        <w:rPr>
          <w:spacing w:val="-4"/>
        </w:rPr>
        <w:t>根据中国保险行业协会制定的《重大疾病保险的疾病定义使用规范》，本合同的重</w:t>
      </w:r>
      <w:r>
        <w:rPr>
          <w:spacing w:val="-15"/>
        </w:rPr>
        <w:t>大疾病分为两种类型：《重大疾病保险的疾病定义使用规范》范围以内的疾病种类；《重大疾病保险的疾病定义使用规范》范围以外的疾病种类。</w:t>
      </w:r>
    </w:p>
    <w:p>
      <w:pPr>
        <w:pStyle w:val="BodyText"/>
        <w:spacing w:before="7"/>
        <w:ind w:left="476"/>
      </w:pPr>
      <w:r>
        <w:rPr/>
        <w:t>一、《重大疾病保险的疾病定义使用规范》范围以内的疾病种类</w:t>
      </w:r>
    </w:p>
    <w:p>
      <w:pPr>
        <w:pStyle w:val="BodyText"/>
        <w:spacing w:before="36"/>
        <w:ind w:left="477"/>
      </w:pPr>
      <w:r>
        <w:rPr>
          <w:rFonts w:ascii="Courier New" w:eastAsia="Courier New"/>
        </w:rPr>
        <w:t>1</w:t>
      </w:r>
      <w:r>
        <w:rPr/>
        <w:t>、 恶性肿瘤</w:t>
      </w:r>
    </w:p>
    <w:p>
      <w:pPr>
        <w:pStyle w:val="BodyText"/>
        <w:spacing w:line="273" w:lineRule="auto" w:before="3"/>
        <w:ind w:left="476" w:right="157" w:firstLine="420"/>
        <w:jc w:val="both"/>
      </w:pPr>
      <w:r>
        <w:rPr/>
        <w:t>指恶性细胞不受控制的进行性增长和扩散，浸润和破坏周围正常组织，可以经血管淋巴管和体腔扩散转移到身体其它部位的疾病。经病理学检查结果明确诊断，临床诊断</w:t>
      </w:r>
      <w:r>
        <w:rPr>
          <w:w w:val="95"/>
        </w:rPr>
        <w:t>属于世界卫生组织《疾病和有关健康问题的国际统计分类》（</w:t>
      </w:r>
      <w:r>
        <w:rPr>
          <w:rFonts w:ascii="Courier New" w:eastAsia="Courier New"/>
          <w:w w:val="95"/>
        </w:rPr>
        <w:t>ICD-10</w:t>
      </w:r>
      <w:r>
        <w:rPr>
          <w:w w:val="95"/>
        </w:rPr>
        <w:t>）的恶性肿瘤范畴。</w:t>
      </w:r>
    </w:p>
    <w:p>
      <w:pPr>
        <w:spacing w:after="0" w:line="273" w:lineRule="auto"/>
        <w:jc w:val="both"/>
        <w:sectPr>
          <w:footerReference w:type="default" r:id="rId10"/>
          <w:pgSz w:w="11900" w:h="16840"/>
          <w:pgMar w:footer="1008" w:header="896" w:top="1280" w:bottom="1200" w:left="1680" w:right="1500"/>
          <w:pgNumType w:start="4"/>
        </w:sectPr>
      </w:pPr>
    </w:p>
    <w:p>
      <w:pPr>
        <w:pStyle w:val="BodyText"/>
        <w:spacing w:before="133"/>
        <w:ind w:left="896"/>
      </w:pPr>
      <w:r>
        <w:rPr/>
        <w:t>下列疾病不在保障范围内：</w:t>
      </w:r>
    </w:p>
    <w:p>
      <w:pPr>
        <w:pStyle w:val="ListParagraph"/>
        <w:numPr>
          <w:ilvl w:val="1"/>
          <w:numId w:val="2"/>
        </w:numPr>
        <w:tabs>
          <w:tab w:pos="1678" w:val="left" w:leader="none"/>
        </w:tabs>
        <w:spacing w:line="240" w:lineRule="auto" w:before="36" w:after="0"/>
        <w:ind w:left="1677" w:right="0" w:hanging="720"/>
        <w:jc w:val="left"/>
        <w:rPr>
          <w:sz w:val="21"/>
        </w:rPr>
      </w:pPr>
      <w:r>
        <w:rPr>
          <w:sz w:val="21"/>
        </w:rPr>
        <w:t>原位癌；</w:t>
      </w:r>
    </w:p>
    <w:p>
      <w:pPr>
        <w:pStyle w:val="ListParagraph"/>
        <w:numPr>
          <w:ilvl w:val="1"/>
          <w:numId w:val="2"/>
        </w:numPr>
        <w:tabs>
          <w:tab w:pos="1678" w:val="left" w:leader="none"/>
        </w:tabs>
        <w:spacing w:line="240" w:lineRule="auto" w:before="3" w:after="0"/>
        <w:ind w:left="1677" w:right="0" w:hanging="720"/>
        <w:jc w:val="left"/>
        <w:rPr>
          <w:sz w:val="21"/>
        </w:rPr>
      </w:pPr>
      <w:r>
        <w:rPr>
          <w:spacing w:val="-22"/>
          <w:sz w:val="21"/>
        </w:rPr>
        <w:t>相当于 </w:t>
      </w:r>
      <w:r>
        <w:rPr>
          <w:rFonts w:ascii="Courier New" w:eastAsia="Courier New"/>
          <w:sz w:val="21"/>
        </w:rPr>
        <w:t>Binet</w:t>
      </w:r>
      <w:r>
        <w:rPr>
          <w:rFonts w:ascii="Courier New" w:eastAsia="Courier New"/>
          <w:spacing w:val="-107"/>
          <w:sz w:val="21"/>
        </w:rPr>
        <w:t> </w:t>
      </w:r>
      <w:r>
        <w:rPr>
          <w:spacing w:val="-18"/>
          <w:sz w:val="21"/>
        </w:rPr>
        <w:t>分期方案 </w:t>
      </w:r>
      <w:r>
        <w:rPr>
          <w:rFonts w:ascii="Courier New" w:eastAsia="Courier New"/>
          <w:sz w:val="21"/>
        </w:rPr>
        <w:t>A</w:t>
      </w:r>
      <w:r>
        <w:rPr>
          <w:rFonts w:ascii="Courier New" w:eastAsia="Courier New"/>
          <w:spacing w:val="-107"/>
          <w:sz w:val="21"/>
        </w:rPr>
        <w:t> </w:t>
      </w:r>
      <w:r>
        <w:rPr>
          <w:sz w:val="21"/>
        </w:rPr>
        <w:t>期程度的慢性淋巴细胞白血病；</w:t>
      </w:r>
    </w:p>
    <w:p>
      <w:pPr>
        <w:pStyle w:val="ListParagraph"/>
        <w:numPr>
          <w:ilvl w:val="1"/>
          <w:numId w:val="2"/>
        </w:numPr>
        <w:tabs>
          <w:tab w:pos="1678" w:val="left" w:leader="none"/>
        </w:tabs>
        <w:spacing w:line="240" w:lineRule="auto" w:before="3" w:after="0"/>
        <w:ind w:left="1677" w:right="0" w:hanging="720"/>
        <w:jc w:val="left"/>
        <w:rPr>
          <w:sz w:val="21"/>
        </w:rPr>
      </w:pPr>
      <w:r>
        <w:rPr>
          <w:spacing w:val="-22"/>
          <w:sz w:val="21"/>
        </w:rPr>
        <w:t>相当于 </w:t>
      </w:r>
      <w:r>
        <w:rPr>
          <w:rFonts w:ascii="Courier New" w:eastAsia="Courier New"/>
          <w:sz w:val="21"/>
        </w:rPr>
        <w:t>Ann</w:t>
      </w:r>
      <w:r>
        <w:rPr>
          <w:rFonts w:ascii="Courier New" w:eastAsia="Courier New"/>
          <w:spacing w:val="-87"/>
          <w:sz w:val="21"/>
        </w:rPr>
        <w:t> </w:t>
      </w:r>
      <w:r>
        <w:rPr>
          <w:rFonts w:ascii="Courier New" w:eastAsia="Courier New"/>
          <w:sz w:val="21"/>
        </w:rPr>
        <w:t>Arbor</w:t>
      </w:r>
      <w:r>
        <w:rPr>
          <w:rFonts w:ascii="Courier New" w:eastAsia="Courier New"/>
          <w:spacing w:val="-107"/>
          <w:sz w:val="21"/>
        </w:rPr>
        <w:t> </w:t>
      </w:r>
      <w:r>
        <w:rPr>
          <w:spacing w:val="-18"/>
          <w:sz w:val="21"/>
        </w:rPr>
        <w:t>分期方案 </w:t>
      </w:r>
      <w:r>
        <w:rPr>
          <w:rFonts w:ascii="Courier New" w:eastAsia="Courier New"/>
          <w:sz w:val="21"/>
        </w:rPr>
        <w:t>I</w:t>
      </w:r>
      <w:r>
        <w:rPr>
          <w:rFonts w:ascii="Courier New" w:eastAsia="Courier New"/>
          <w:spacing w:val="-107"/>
          <w:sz w:val="21"/>
        </w:rPr>
        <w:t> </w:t>
      </w:r>
      <w:r>
        <w:rPr>
          <w:sz w:val="21"/>
        </w:rPr>
        <w:t>期程度的何杰金氏病；</w:t>
      </w:r>
    </w:p>
    <w:p>
      <w:pPr>
        <w:pStyle w:val="ListParagraph"/>
        <w:numPr>
          <w:ilvl w:val="1"/>
          <w:numId w:val="2"/>
        </w:numPr>
        <w:tabs>
          <w:tab w:pos="1678" w:val="left" w:leader="none"/>
        </w:tabs>
        <w:spacing w:line="240" w:lineRule="auto" w:before="3" w:after="0"/>
        <w:ind w:left="1677" w:right="0" w:hanging="720"/>
        <w:jc w:val="left"/>
        <w:rPr>
          <w:sz w:val="21"/>
        </w:rPr>
      </w:pPr>
      <w:r>
        <w:rPr>
          <w:sz w:val="21"/>
        </w:rPr>
        <w:t>皮肤癌（不包括恶性黑色素瘤及已发生转移的皮肤癌</w:t>
      </w:r>
      <w:r>
        <w:rPr>
          <w:spacing w:val="-105"/>
          <w:sz w:val="21"/>
        </w:rPr>
        <w:t>）</w:t>
      </w:r>
      <w:r>
        <w:rPr>
          <w:sz w:val="21"/>
        </w:rPr>
        <w:t>；</w:t>
      </w:r>
    </w:p>
    <w:p>
      <w:pPr>
        <w:pStyle w:val="ListParagraph"/>
        <w:numPr>
          <w:ilvl w:val="1"/>
          <w:numId w:val="2"/>
        </w:numPr>
        <w:tabs>
          <w:tab w:pos="1678" w:val="left" w:leader="none"/>
        </w:tabs>
        <w:spacing w:line="240" w:lineRule="auto" w:before="3" w:after="0"/>
        <w:ind w:left="1677" w:right="0" w:hanging="720"/>
        <w:jc w:val="left"/>
        <w:rPr>
          <w:sz w:val="21"/>
        </w:rPr>
      </w:pPr>
      <w:r>
        <w:rPr>
          <w:rFonts w:ascii="Courier New" w:eastAsia="Courier New"/>
          <w:w w:val="95"/>
          <w:position w:val="1"/>
          <w:sz w:val="21"/>
        </w:rPr>
        <w:t>TNM</w:t>
      </w:r>
      <w:r>
        <w:rPr>
          <w:rFonts w:ascii="Courier New" w:eastAsia="Courier New"/>
          <w:spacing w:val="-48"/>
          <w:w w:val="95"/>
          <w:position w:val="1"/>
          <w:sz w:val="21"/>
        </w:rPr>
        <w:t> </w:t>
      </w:r>
      <w:r>
        <w:rPr>
          <w:spacing w:val="-7"/>
          <w:w w:val="95"/>
          <w:position w:val="1"/>
          <w:sz w:val="21"/>
        </w:rPr>
        <w:t>分期为 </w:t>
      </w:r>
      <w:r>
        <w:rPr>
          <w:rFonts w:ascii="Courier New" w:eastAsia="Courier New"/>
          <w:w w:val="95"/>
          <w:position w:val="1"/>
          <w:sz w:val="21"/>
        </w:rPr>
        <w:t>T</w:t>
      </w:r>
      <w:r>
        <w:rPr>
          <w:rFonts w:ascii="Courier New" w:eastAsia="Courier New"/>
          <w:w w:val="95"/>
          <w:sz w:val="11"/>
        </w:rPr>
        <w:t>1</w:t>
      </w:r>
      <w:r>
        <w:rPr>
          <w:rFonts w:ascii="Courier New" w:eastAsia="Courier New"/>
          <w:w w:val="95"/>
          <w:position w:val="1"/>
          <w:sz w:val="21"/>
        </w:rPr>
        <w:t>N</w:t>
      </w:r>
      <w:r>
        <w:rPr>
          <w:rFonts w:ascii="Courier New" w:eastAsia="Courier New"/>
          <w:w w:val="95"/>
          <w:sz w:val="11"/>
        </w:rPr>
        <w:t>0</w:t>
      </w:r>
      <w:r>
        <w:rPr>
          <w:rFonts w:ascii="Courier New" w:eastAsia="Courier New"/>
          <w:w w:val="95"/>
          <w:position w:val="1"/>
          <w:sz w:val="21"/>
        </w:rPr>
        <w:t>M</w:t>
      </w:r>
      <w:r>
        <w:rPr>
          <w:rFonts w:ascii="Courier New" w:eastAsia="Courier New"/>
          <w:w w:val="95"/>
          <w:sz w:val="11"/>
        </w:rPr>
        <w:t>0</w:t>
      </w:r>
      <w:r>
        <w:rPr>
          <w:rFonts w:ascii="Courier New" w:eastAsia="Courier New"/>
          <w:spacing w:val="-45"/>
          <w:w w:val="95"/>
          <w:sz w:val="11"/>
        </w:rPr>
        <w:t> </w:t>
      </w:r>
      <w:r>
        <w:rPr>
          <w:w w:val="95"/>
          <w:position w:val="1"/>
          <w:sz w:val="21"/>
        </w:rPr>
        <w:t>期或更轻分期的前列腺癌；</w:t>
      </w:r>
    </w:p>
    <w:p>
      <w:pPr>
        <w:pStyle w:val="ListParagraph"/>
        <w:numPr>
          <w:ilvl w:val="1"/>
          <w:numId w:val="2"/>
        </w:numPr>
        <w:tabs>
          <w:tab w:pos="1678" w:val="left" w:leader="none"/>
        </w:tabs>
        <w:spacing w:line="240" w:lineRule="auto" w:before="4" w:after="0"/>
        <w:ind w:left="1677" w:right="0" w:hanging="720"/>
        <w:jc w:val="left"/>
        <w:rPr>
          <w:sz w:val="21"/>
        </w:rPr>
      </w:pPr>
      <w:r>
        <w:rPr>
          <w:sz w:val="21"/>
        </w:rPr>
        <w:t>感染艾滋病病毒或患艾滋病期间所患恶性肿瘤。</w:t>
      </w:r>
    </w:p>
    <w:p>
      <w:pPr>
        <w:pStyle w:val="BodyText"/>
        <w:spacing w:before="3"/>
        <w:ind w:left="477"/>
      </w:pPr>
      <w:r>
        <w:rPr>
          <w:rFonts w:ascii="Courier New" w:eastAsia="Courier New"/>
        </w:rPr>
        <w:t>2</w:t>
      </w:r>
      <w:r>
        <w:rPr/>
        <w:t>、 急性心肌梗塞</w:t>
      </w:r>
    </w:p>
    <w:p>
      <w:pPr>
        <w:pStyle w:val="BodyText"/>
        <w:spacing w:line="273" w:lineRule="auto" w:before="3"/>
        <w:ind w:left="476" w:right="170" w:firstLine="478"/>
      </w:pPr>
      <w:r>
        <w:rPr/>
        <w:t>指因冠状动脉阻塞导致的相应区域供血不足造成部分心肌坏死。须满足下列至少三项条件：</w:t>
      </w:r>
    </w:p>
    <w:p>
      <w:pPr>
        <w:pStyle w:val="ListParagraph"/>
        <w:numPr>
          <w:ilvl w:val="0"/>
          <w:numId w:val="3"/>
        </w:numPr>
        <w:tabs>
          <w:tab w:pos="1678" w:val="left" w:leader="none"/>
        </w:tabs>
        <w:spacing w:line="240" w:lineRule="auto" w:before="8" w:after="0"/>
        <w:ind w:left="1677" w:right="0" w:hanging="720"/>
        <w:jc w:val="left"/>
        <w:rPr>
          <w:sz w:val="21"/>
        </w:rPr>
      </w:pPr>
      <w:r>
        <w:rPr>
          <w:sz w:val="21"/>
        </w:rPr>
        <w:t>典型临床表现，例如急性胸痛等；</w:t>
      </w:r>
    </w:p>
    <w:p>
      <w:pPr>
        <w:pStyle w:val="ListParagraph"/>
        <w:numPr>
          <w:ilvl w:val="0"/>
          <w:numId w:val="3"/>
        </w:numPr>
        <w:tabs>
          <w:tab w:pos="1678" w:val="left" w:leader="none"/>
        </w:tabs>
        <w:spacing w:line="240" w:lineRule="auto" w:before="3" w:after="0"/>
        <w:ind w:left="1677" w:right="0" w:hanging="720"/>
        <w:jc w:val="left"/>
        <w:rPr>
          <w:sz w:val="21"/>
        </w:rPr>
      </w:pPr>
      <w:r>
        <w:rPr>
          <w:sz w:val="21"/>
        </w:rPr>
        <w:t>新近的心电图改变提示急性心肌梗塞；</w:t>
      </w:r>
    </w:p>
    <w:p>
      <w:pPr>
        <w:pStyle w:val="ListParagraph"/>
        <w:numPr>
          <w:ilvl w:val="0"/>
          <w:numId w:val="3"/>
        </w:numPr>
        <w:tabs>
          <w:tab w:pos="1678" w:val="left" w:leader="none"/>
        </w:tabs>
        <w:spacing w:line="242" w:lineRule="auto" w:before="3" w:after="0"/>
        <w:ind w:left="1677" w:right="212" w:hanging="720"/>
        <w:jc w:val="left"/>
        <w:rPr>
          <w:sz w:val="21"/>
        </w:rPr>
      </w:pPr>
      <w:r>
        <w:rPr>
          <w:sz w:val="21"/>
        </w:rPr>
        <w:t>心肌酶或肌钙蛋白有诊断意义的升高，或呈符合急性心肌梗塞的动态性变化；</w:t>
      </w:r>
    </w:p>
    <w:p>
      <w:pPr>
        <w:pStyle w:val="ListParagraph"/>
        <w:numPr>
          <w:ilvl w:val="0"/>
          <w:numId w:val="3"/>
        </w:numPr>
        <w:tabs>
          <w:tab w:pos="1678" w:val="left" w:leader="none"/>
        </w:tabs>
        <w:spacing w:line="240" w:lineRule="auto" w:before="35" w:after="0"/>
        <w:ind w:left="1677" w:right="0" w:hanging="720"/>
        <w:jc w:val="left"/>
        <w:rPr>
          <w:sz w:val="21"/>
        </w:rPr>
      </w:pPr>
      <w:r>
        <w:rPr>
          <w:spacing w:val="8"/>
          <w:w w:val="95"/>
          <w:sz w:val="21"/>
        </w:rPr>
        <w:t>发病 </w:t>
      </w:r>
      <w:r>
        <w:rPr>
          <w:rFonts w:ascii="Courier New" w:eastAsia="Courier New"/>
          <w:w w:val="95"/>
          <w:sz w:val="21"/>
        </w:rPr>
        <w:t>90</w:t>
      </w:r>
      <w:r>
        <w:rPr>
          <w:rFonts w:ascii="Courier New" w:eastAsia="Courier New"/>
          <w:spacing w:val="7"/>
          <w:w w:val="95"/>
          <w:sz w:val="21"/>
        </w:rPr>
        <w:t> </w:t>
      </w:r>
      <w:r>
        <w:rPr>
          <w:spacing w:val="0"/>
          <w:w w:val="95"/>
          <w:sz w:val="21"/>
        </w:rPr>
        <w:t>天后，经检查证实左心室功能降低，如左心室射血分数低于 </w:t>
      </w:r>
      <w:r>
        <w:rPr>
          <w:rFonts w:ascii="Courier New" w:eastAsia="Courier New"/>
          <w:w w:val="95"/>
          <w:sz w:val="21"/>
        </w:rPr>
        <w:t>50%</w:t>
      </w:r>
      <w:r>
        <w:rPr>
          <w:w w:val="95"/>
          <w:sz w:val="21"/>
        </w:rPr>
        <w:t>。</w:t>
      </w:r>
    </w:p>
    <w:p>
      <w:pPr>
        <w:pStyle w:val="BodyText"/>
        <w:tabs>
          <w:tab w:pos="1017" w:val="left" w:leader="none"/>
        </w:tabs>
        <w:spacing w:before="3"/>
        <w:ind w:left="477"/>
      </w:pPr>
      <w:r>
        <w:rPr>
          <w:rFonts w:ascii="Courier New" w:eastAsia="Courier New"/>
        </w:rPr>
        <w:t>3</w:t>
      </w:r>
      <w:r>
        <w:rPr/>
        <w:t>、</w:t>
        <w:tab/>
        <w:t>脑中风后遗症</w:t>
      </w:r>
    </w:p>
    <w:p>
      <w:pPr>
        <w:pStyle w:val="BodyText"/>
        <w:spacing w:line="256" w:lineRule="auto" w:before="3"/>
        <w:ind w:left="476" w:right="214" w:firstLine="478"/>
        <w:jc w:val="both"/>
      </w:pPr>
      <w:r>
        <w:rPr>
          <w:spacing w:val="-2"/>
        </w:rPr>
        <w:t>指因脑血管的突发病变引起脑血管出血、栓塞或梗塞，并导致神经系统永久性的功</w:t>
      </w:r>
      <w:r>
        <w:rPr>
          <w:spacing w:val="-5"/>
        </w:rPr>
        <w:t>能障碍。神经系统永久性的功能障碍，指疾病确诊 </w:t>
      </w:r>
      <w:r>
        <w:rPr>
          <w:rFonts w:ascii="Courier New" w:eastAsia="Courier New"/>
        </w:rPr>
        <w:t>180</w:t>
      </w:r>
      <w:r>
        <w:rPr>
          <w:rFonts w:ascii="Courier New" w:eastAsia="Courier New"/>
          <w:spacing w:val="-83"/>
        </w:rPr>
        <w:t> </w:t>
      </w:r>
      <w:r>
        <w:rPr/>
        <w:t>天后，仍遗留下列一种或一种以上障碍：</w:t>
      </w:r>
    </w:p>
    <w:p>
      <w:pPr>
        <w:pStyle w:val="ListParagraph"/>
        <w:numPr>
          <w:ilvl w:val="0"/>
          <w:numId w:val="4"/>
        </w:numPr>
        <w:tabs>
          <w:tab w:pos="1678" w:val="left" w:leader="none"/>
        </w:tabs>
        <w:spacing w:line="240" w:lineRule="auto" w:before="22" w:after="0"/>
        <w:ind w:left="1677" w:right="0" w:hanging="720"/>
        <w:jc w:val="left"/>
        <w:rPr>
          <w:sz w:val="21"/>
        </w:rPr>
      </w:pPr>
      <w:r>
        <w:rPr>
          <w:sz w:val="21"/>
        </w:rPr>
        <w:t>一肢或一肢以上肢体机能完全丧失；</w:t>
      </w:r>
    </w:p>
    <w:p>
      <w:pPr>
        <w:pStyle w:val="ListParagraph"/>
        <w:numPr>
          <w:ilvl w:val="0"/>
          <w:numId w:val="4"/>
        </w:numPr>
        <w:tabs>
          <w:tab w:pos="1678" w:val="left" w:leader="none"/>
        </w:tabs>
        <w:spacing w:line="240" w:lineRule="auto" w:before="3" w:after="0"/>
        <w:ind w:left="1677" w:right="0" w:hanging="720"/>
        <w:jc w:val="left"/>
        <w:rPr>
          <w:sz w:val="21"/>
        </w:rPr>
      </w:pPr>
      <w:r>
        <w:rPr>
          <w:sz w:val="21"/>
        </w:rPr>
        <w:t>语言能力或咀嚼吞咽能力完全丧失；</w:t>
      </w:r>
    </w:p>
    <w:p>
      <w:pPr>
        <w:pStyle w:val="ListParagraph"/>
        <w:numPr>
          <w:ilvl w:val="0"/>
          <w:numId w:val="4"/>
        </w:numPr>
        <w:tabs>
          <w:tab w:pos="1678" w:val="left" w:leader="none"/>
        </w:tabs>
        <w:spacing w:line="242" w:lineRule="auto" w:before="3" w:after="0"/>
        <w:ind w:left="1677" w:right="216" w:hanging="720"/>
        <w:jc w:val="left"/>
        <w:rPr>
          <w:sz w:val="21"/>
        </w:rPr>
      </w:pPr>
      <w:r>
        <w:rPr>
          <w:spacing w:val="-10"/>
          <w:sz w:val="21"/>
        </w:rPr>
        <w:t>自主生活能力完全丧失，无法独立完成六项基本日常生活活动中的三项或三项以上。</w:t>
      </w:r>
    </w:p>
    <w:p>
      <w:pPr>
        <w:pStyle w:val="BodyText"/>
        <w:tabs>
          <w:tab w:pos="1017" w:val="left" w:leader="none"/>
        </w:tabs>
        <w:spacing w:before="34"/>
        <w:ind w:left="477"/>
      </w:pPr>
      <w:r>
        <w:rPr>
          <w:rFonts w:ascii="Courier New" w:eastAsia="Courier New"/>
        </w:rPr>
        <w:t>4</w:t>
      </w:r>
      <w:r>
        <w:rPr/>
        <w:t>、</w:t>
        <w:tab/>
        <w:t>重大器官移植术或造血干细胞移植术</w:t>
      </w:r>
    </w:p>
    <w:p>
      <w:pPr>
        <w:pStyle w:val="BodyText"/>
        <w:spacing w:line="273" w:lineRule="auto" w:before="3"/>
        <w:ind w:left="476" w:right="213" w:firstLine="420"/>
        <w:jc w:val="both"/>
      </w:pPr>
      <w:r>
        <w:rPr/>
        <w:t>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BodyText"/>
        <w:tabs>
          <w:tab w:pos="1017" w:val="left" w:leader="none"/>
        </w:tabs>
        <w:spacing w:before="8"/>
        <w:ind w:left="477"/>
      </w:pPr>
      <w:r>
        <w:rPr>
          <w:rFonts w:ascii="Courier New" w:eastAsia="Courier New"/>
        </w:rPr>
        <w:t>5</w:t>
      </w:r>
      <w:r>
        <w:rPr/>
        <w:t>、</w:t>
        <w:tab/>
        <w:t>冠状动脉搭桥术（或称冠状动脉旁路移植术）</w:t>
      </w:r>
    </w:p>
    <w:p>
      <w:pPr>
        <w:pStyle w:val="BodyText"/>
        <w:spacing w:line="273" w:lineRule="auto" w:before="3"/>
        <w:ind w:left="896" w:right="110"/>
      </w:pPr>
      <w:r>
        <w:rPr/>
        <w:t>指为治疗严重的冠心病，实际实施了开胸进行的冠状动脉血管旁路移植的手术。  </w:t>
      </w:r>
      <w:r>
        <w:rPr>
          <w:spacing w:val="-6"/>
        </w:rPr>
        <w:t>冠状动脉支架植入术、心导管球囊扩张术、激光射频技术及其它非开胸的介入手术、</w:t>
      </w:r>
    </w:p>
    <w:p>
      <w:pPr>
        <w:pStyle w:val="BodyText"/>
        <w:spacing w:before="7"/>
        <w:ind w:left="476"/>
      </w:pPr>
      <w:r>
        <w:rPr/>
        <w:t>腔镜手术不在保障范围内。</w:t>
      </w:r>
    </w:p>
    <w:p>
      <w:pPr>
        <w:pStyle w:val="BodyText"/>
        <w:spacing w:before="37"/>
        <w:ind w:left="477"/>
      </w:pPr>
      <w:r>
        <w:rPr>
          <w:rFonts w:ascii="Courier New" w:eastAsia="Courier New"/>
        </w:rPr>
        <w:t>6</w:t>
      </w:r>
      <w:r>
        <w:rPr/>
        <w:t>、 终末期肾病（或称慢性肾功能衰竭尿毒症期）</w:t>
      </w:r>
    </w:p>
    <w:p>
      <w:pPr>
        <w:pStyle w:val="BodyText"/>
        <w:spacing w:line="242" w:lineRule="auto" w:before="3"/>
        <w:ind w:left="476" w:right="139" w:firstLine="478"/>
      </w:pPr>
      <w:r>
        <w:rPr/>
        <w:t>指双肾功能慢性不可逆性衰竭，达到尿毒症期，经诊断后已经进行了至少 </w:t>
      </w:r>
      <w:r>
        <w:rPr>
          <w:rFonts w:ascii="Courier New" w:eastAsia="Courier New"/>
        </w:rPr>
        <w:t>90 </w:t>
      </w:r>
      <w:r>
        <w:rPr/>
        <w:t>天的规律性透析治疗或实施了肾脏移植手术。</w:t>
      </w:r>
    </w:p>
    <w:p>
      <w:pPr>
        <w:pStyle w:val="BodyText"/>
        <w:spacing w:before="34"/>
        <w:ind w:left="477"/>
      </w:pPr>
      <w:r>
        <w:rPr>
          <w:rFonts w:ascii="Courier New" w:eastAsia="Courier New"/>
        </w:rPr>
        <w:t>7</w:t>
      </w:r>
      <w:r>
        <w:rPr/>
        <w:t>、 严重脑损伤</w:t>
      </w:r>
    </w:p>
    <w:p>
      <w:pPr>
        <w:pStyle w:val="BodyText"/>
        <w:spacing w:line="252" w:lineRule="auto" w:before="3"/>
        <w:ind w:left="476" w:right="110" w:firstLine="478"/>
      </w:pPr>
      <w:r>
        <w:rPr>
          <w:spacing w:val="-8"/>
        </w:rPr>
        <w:t>指因头部遭受机械性外力，引起脑重要部位损伤，导致神经系统永久性的功能障碍。</w:t>
      </w:r>
      <w:r>
        <w:rPr>
          <w:spacing w:val="-9"/>
        </w:rPr>
        <w:t>须由头颅断层扫描</w:t>
      </w:r>
      <w:r>
        <w:rPr/>
        <w:t>（</w:t>
      </w:r>
      <w:r>
        <w:rPr>
          <w:rFonts w:ascii="Courier New" w:eastAsia="Courier New"/>
          <w:w w:val="83"/>
        </w:rPr>
        <w:t>C</w:t>
      </w:r>
      <w:r>
        <w:rPr>
          <w:rFonts w:ascii="Courier New" w:eastAsia="Courier New"/>
          <w:spacing w:val="-1"/>
          <w:w w:val="83"/>
        </w:rPr>
        <w:t>T</w:t>
      </w:r>
      <w:r>
        <w:rPr>
          <w:spacing w:val="-106"/>
        </w:rPr>
        <w:t>）</w:t>
      </w:r>
      <w:r>
        <w:rPr>
          <w:spacing w:val="-4"/>
        </w:rPr>
        <w:t>、核磁共振检查</w:t>
      </w:r>
      <w:r>
        <w:rPr/>
        <w:t>（</w:t>
      </w:r>
      <w:r>
        <w:rPr>
          <w:rFonts w:ascii="Courier New" w:eastAsia="Courier New"/>
          <w:w w:val="83"/>
        </w:rPr>
        <w:t>M</w:t>
      </w:r>
      <w:r>
        <w:rPr>
          <w:rFonts w:ascii="Courier New" w:eastAsia="Courier New"/>
          <w:spacing w:val="-1"/>
          <w:w w:val="83"/>
        </w:rPr>
        <w:t>RI</w:t>
      </w:r>
      <w:r>
        <w:rPr>
          <w:spacing w:val="-10"/>
        </w:rPr>
        <w:t>）</w:t>
      </w:r>
      <w:r>
        <w:rPr>
          <w:spacing w:val="-1"/>
        </w:rPr>
        <w:t>或正电子发射断层扫描</w:t>
      </w:r>
      <w:r>
        <w:rPr/>
        <w:t>（</w:t>
      </w:r>
      <w:r>
        <w:rPr>
          <w:rFonts w:ascii="Courier New" w:eastAsia="Courier New"/>
          <w:w w:val="83"/>
        </w:rPr>
        <w:t>P</w:t>
      </w:r>
      <w:r>
        <w:rPr>
          <w:rFonts w:ascii="Courier New" w:eastAsia="Courier New"/>
          <w:spacing w:val="-1"/>
          <w:w w:val="83"/>
        </w:rPr>
        <w:t>ET</w:t>
      </w:r>
      <w:r>
        <w:rPr>
          <w:spacing w:val="-10"/>
        </w:rPr>
        <w:t>）</w:t>
      </w:r>
      <w:r>
        <w:rPr/>
        <w:t>等影像学</w:t>
      </w:r>
      <w:r>
        <w:rPr>
          <w:spacing w:val="-3"/>
        </w:rPr>
        <w:t>检查证实。神经系统永久性的功能障碍，指脑损伤 </w:t>
      </w:r>
      <w:r>
        <w:rPr>
          <w:rFonts w:ascii="Courier New" w:eastAsia="Courier New"/>
        </w:rPr>
        <w:t>180</w:t>
      </w:r>
      <w:r>
        <w:rPr>
          <w:rFonts w:ascii="Courier New" w:eastAsia="Courier New"/>
          <w:spacing w:val="-71"/>
        </w:rPr>
        <w:t> </w:t>
      </w:r>
      <w:r>
        <w:rPr/>
        <w:t>天后，仍遗留下列一种或一种以上障碍：</w:t>
      </w:r>
    </w:p>
    <w:p>
      <w:pPr>
        <w:pStyle w:val="ListParagraph"/>
        <w:numPr>
          <w:ilvl w:val="0"/>
          <w:numId w:val="5"/>
        </w:numPr>
        <w:tabs>
          <w:tab w:pos="1678" w:val="left" w:leader="none"/>
        </w:tabs>
        <w:spacing w:line="240" w:lineRule="auto" w:before="26" w:after="0"/>
        <w:ind w:left="1677" w:right="0" w:hanging="720"/>
        <w:jc w:val="left"/>
        <w:rPr>
          <w:sz w:val="21"/>
        </w:rPr>
      </w:pPr>
      <w:r>
        <w:rPr>
          <w:sz w:val="21"/>
        </w:rPr>
        <w:t>一肢或一肢以上肢体机能完全丧失；</w:t>
      </w:r>
    </w:p>
    <w:p>
      <w:pPr>
        <w:pStyle w:val="ListParagraph"/>
        <w:numPr>
          <w:ilvl w:val="0"/>
          <w:numId w:val="5"/>
        </w:numPr>
        <w:tabs>
          <w:tab w:pos="1678" w:val="left" w:leader="none"/>
        </w:tabs>
        <w:spacing w:line="240" w:lineRule="auto" w:before="3" w:after="0"/>
        <w:ind w:left="1677" w:right="0" w:hanging="720"/>
        <w:jc w:val="left"/>
        <w:rPr>
          <w:sz w:val="21"/>
        </w:rPr>
      </w:pPr>
      <w:r>
        <w:rPr>
          <w:sz w:val="21"/>
        </w:rPr>
        <w:t>语言能力或咀嚼吞咽能力完全丧失；</w:t>
      </w:r>
    </w:p>
    <w:p>
      <w:pPr>
        <w:pStyle w:val="ListParagraph"/>
        <w:numPr>
          <w:ilvl w:val="0"/>
          <w:numId w:val="5"/>
        </w:numPr>
        <w:tabs>
          <w:tab w:pos="1678" w:val="left" w:leader="none"/>
        </w:tabs>
        <w:spacing w:line="242" w:lineRule="auto" w:before="3" w:after="0"/>
        <w:ind w:left="1677" w:right="216" w:hanging="720"/>
        <w:jc w:val="left"/>
        <w:rPr>
          <w:sz w:val="21"/>
        </w:rPr>
      </w:pPr>
      <w:r>
        <w:rPr>
          <w:spacing w:val="-10"/>
          <w:sz w:val="21"/>
        </w:rPr>
        <w:t>自主生活能力完全丧失，无法独立完成六项基本日常生活活动中的三项或三项以上。</w:t>
      </w:r>
    </w:p>
    <w:p>
      <w:pPr>
        <w:spacing w:after="0" w:line="242" w:lineRule="auto"/>
        <w:jc w:val="left"/>
        <w:rPr>
          <w:sz w:val="21"/>
        </w:rPr>
        <w:sectPr>
          <w:footerReference w:type="default" r:id="rId11"/>
          <w:pgSz w:w="11900" w:h="16840"/>
          <w:pgMar w:footer="1008" w:header="896" w:top="1280" w:bottom="1200" w:left="1680" w:right="1500"/>
          <w:pgNumType w:start="5"/>
        </w:sectPr>
      </w:pPr>
    </w:p>
    <w:p>
      <w:pPr>
        <w:pStyle w:val="BodyText"/>
        <w:spacing w:before="133"/>
        <w:ind w:left="477"/>
      </w:pPr>
      <w:r>
        <w:rPr>
          <w:rFonts w:ascii="Courier New" w:eastAsia="Courier New"/>
        </w:rPr>
        <w:t>8</w:t>
      </w:r>
      <w:r>
        <w:rPr/>
        <w:t>、 重型再生障碍性贫血</w:t>
      </w:r>
    </w:p>
    <w:p>
      <w:pPr>
        <w:pStyle w:val="BodyText"/>
        <w:spacing w:line="273" w:lineRule="auto" w:before="3"/>
        <w:ind w:left="476" w:right="169" w:firstLine="478"/>
      </w:pPr>
      <w:r>
        <w:rPr/>
        <w:t>指因骨髓造血功能慢性持续性衰竭导致的贫血、中性粒细胞减少及血小板减少。须满足下列全部条件：</w:t>
      </w:r>
    </w:p>
    <w:p>
      <w:pPr>
        <w:pStyle w:val="ListParagraph"/>
        <w:numPr>
          <w:ilvl w:val="0"/>
          <w:numId w:val="6"/>
        </w:numPr>
        <w:tabs>
          <w:tab w:pos="1678" w:val="left" w:leader="none"/>
        </w:tabs>
        <w:spacing w:line="240" w:lineRule="auto" w:before="7" w:after="0"/>
        <w:ind w:left="1677" w:right="0" w:hanging="720"/>
        <w:jc w:val="left"/>
        <w:rPr>
          <w:sz w:val="21"/>
        </w:rPr>
      </w:pPr>
      <w:r>
        <w:rPr>
          <w:sz w:val="21"/>
        </w:rPr>
        <w:t>骨髓穿刺检查或骨髓活检结果支持诊断；</w:t>
      </w:r>
    </w:p>
    <w:p>
      <w:pPr>
        <w:pStyle w:val="ListParagraph"/>
        <w:numPr>
          <w:ilvl w:val="0"/>
          <w:numId w:val="6"/>
        </w:numPr>
        <w:tabs>
          <w:tab w:pos="1678" w:val="left" w:leader="none"/>
        </w:tabs>
        <w:spacing w:line="240" w:lineRule="auto" w:before="3" w:after="0"/>
        <w:ind w:left="1677" w:right="0" w:hanging="720"/>
        <w:jc w:val="left"/>
        <w:rPr>
          <w:sz w:val="21"/>
        </w:rPr>
      </w:pPr>
      <w:r>
        <w:rPr>
          <w:sz w:val="21"/>
        </w:rPr>
        <w:t>外周血象须具备以下三项条件：</w:t>
      </w:r>
    </w:p>
    <w:p>
      <w:pPr>
        <w:pStyle w:val="ListParagraph"/>
        <w:numPr>
          <w:ilvl w:val="1"/>
          <w:numId w:val="6"/>
        </w:numPr>
        <w:tabs>
          <w:tab w:pos="2217" w:val="left" w:leader="none"/>
          <w:tab w:pos="2218" w:val="left" w:leader="none"/>
        </w:tabs>
        <w:spacing w:line="240" w:lineRule="auto" w:before="3" w:after="0"/>
        <w:ind w:left="2217" w:right="0" w:hanging="480"/>
        <w:jc w:val="left"/>
        <w:rPr>
          <w:sz w:val="21"/>
        </w:rPr>
      </w:pPr>
      <w:r>
        <w:rPr>
          <w:w w:val="95"/>
          <w:sz w:val="21"/>
        </w:rPr>
        <w:t>中性粒细胞绝对值≤</w:t>
      </w:r>
      <w:r>
        <w:rPr>
          <w:rFonts w:ascii="Courier New" w:hAnsi="Courier New" w:eastAsia="Courier New"/>
          <w:w w:val="95"/>
          <w:sz w:val="21"/>
        </w:rPr>
        <w:t>0.5</w:t>
      </w:r>
      <w:r>
        <w:rPr>
          <w:w w:val="95"/>
          <w:sz w:val="21"/>
        </w:rPr>
        <w:t>×</w:t>
      </w:r>
      <w:r>
        <w:rPr>
          <w:rFonts w:ascii="Courier New" w:hAnsi="Courier New" w:eastAsia="Courier New"/>
          <w:w w:val="95"/>
          <w:sz w:val="21"/>
        </w:rPr>
        <w:t>10</w:t>
      </w:r>
      <w:r>
        <w:rPr>
          <w:rFonts w:ascii="Courier New" w:hAnsi="Courier New" w:eastAsia="Courier New"/>
          <w:w w:val="95"/>
          <w:position w:val="11"/>
          <w:sz w:val="11"/>
        </w:rPr>
        <w:t>9</w:t>
      </w:r>
      <w:r>
        <w:rPr>
          <w:rFonts w:ascii="Courier New" w:hAnsi="Courier New" w:eastAsia="Courier New"/>
          <w:w w:val="95"/>
          <w:sz w:val="21"/>
        </w:rPr>
        <w:t>/L</w:t>
      </w:r>
      <w:r>
        <w:rPr>
          <w:rFonts w:ascii="Courier New" w:hAnsi="Courier New" w:eastAsia="Courier New"/>
          <w:spacing w:val="-15"/>
          <w:w w:val="95"/>
          <w:sz w:val="21"/>
        </w:rPr>
        <w:t> </w:t>
      </w:r>
      <w:r>
        <w:rPr>
          <w:w w:val="95"/>
          <w:sz w:val="21"/>
        </w:rPr>
        <w:t>；</w:t>
      </w:r>
    </w:p>
    <w:p>
      <w:pPr>
        <w:pStyle w:val="ListParagraph"/>
        <w:numPr>
          <w:ilvl w:val="1"/>
          <w:numId w:val="6"/>
        </w:numPr>
        <w:tabs>
          <w:tab w:pos="2217" w:val="left" w:leader="none"/>
          <w:tab w:pos="2218" w:val="left" w:leader="none"/>
        </w:tabs>
        <w:spacing w:line="240" w:lineRule="auto" w:before="3" w:after="0"/>
        <w:ind w:left="2217" w:right="0" w:hanging="480"/>
        <w:jc w:val="left"/>
        <w:rPr>
          <w:sz w:val="21"/>
        </w:rPr>
      </w:pPr>
      <w:r>
        <w:rPr>
          <w:w w:val="95"/>
          <w:sz w:val="21"/>
        </w:rPr>
        <w:t>网织红细胞＜</w:t>
      </w:r>
      <w:r>
        <w:rPr>
          <w:rFonts w:ascii="Courier New" w:eastAsia="Courier New"/>
          <w:w w:val="95"/>
          <w:sz w:val="21"/>
        </w:rPr>
        <w:t>1%</w:t>
      </w:r>
      <w:r>
        <w:rPr>
          <w:w w:val="95"/>
          <w:sz w:val="21"/>
        </w:rPr>
        <w:t>；</w:t>
      </w:r>
    </w:p>
    <w:p>
      <w:pPr>
        <w:pStyle w:val="ListParagraph"/>
        <w:numPr>
          <w:ilvl w:val="1"/>
          <w:numId w:val="6"/>
        </w:numPr>
        <w:tabs>
          <w:tab w:pos="2217" w:val="left" w:leader="none"/>
          <w:tab w:pos="2218" w:val="left" w:leader="none"/>
        </w:tabs>
        <w:spacing w:line="240" w:lineRule="auto" w:before="3" w:after="0"/>
        <w:ind w:left="2217" w:right="0" w:hanging="480"/>
        <w:jc w:val="left"/>
        <w:rPr>
          <w:sz w:val="21"/>
        </w:rPr>
      </w:pPr>
      <w:r>
        <w:rPr>
          <w:w w:val="90"/>
          <w:sz w:val="21"/>
        </w:rPr>
        <w:t>血小板绝对值≤</w:t>
      </w:r>
      <w:r>
        <w:rPr>
          <w:rFonts w:ascii="Courier New" w:hAnsi="Courier New" w:eastAsia="Courier New"/>
          <w:w w:val="90"/>
          <w:sz w:val="21"/>
        </w:rPr>
        <w:t>20</w:t>
      </w:r>
      <w:r>
        <w:rPr>
          <w:w w:val="90"/>
          <w:sz w:val="21"/>
        </w:rPr>
        <w:t>×</w:t>
      </w:r>
      <w:r>
        <w:rPr>
          <w:rFonts w:ascii="Courier New" w:hAnsi="Courier New" w:eastAsia="Courier New"/>
          <w:w w:val="90"/>
          <w:sz w:val="21"/>
        </w:rPr>
        <w:t>10</w:t>
      </w:r>
      <w:r>
        <w:rPr>
          <w:rFonts w:ascii="Courier New" w:hAnsi="Courier New" w:eastAsia="Courier New"/>
          <w:w w:val="90"/>
          <w:position w:val="11"/>
          <w:sz w:val="11"/>
        </w:rPr>
        <w:t>9</w:t>
      </w:r>
      <w:r>
        <w:rPr>
          <w:rFonts w:ascii="Courier New" w:hAnsi="Courier New" w:eastAsia="Courier New"/>
          <w:w w:val="90"/>
          <w:sz w:val="21"/>
        </w:rPr>
        <w:t>/L</w:t>
      </w:r>
      <w:r>
        <w:rPr>
          <w:w w:val="90"/>
          <w:sz w:val="21"/>
        </w:rPr>
        <w:t>。</w:t>
      </w:r>
    </w:p>
    <w:p>
      <w:pPr>
        <w:pStyle w:val="BodyText"/>
        <w:spacing w:before="3"/>
        <w:ind w:left="477"/>
      </w:pPr>
      <w:r>
        <w:rPr>
          <w:rFonts w:ascii="Courier New" w:eastAsia="Courier New"/>
        </w:rPr>
        <w:t>9</w:t>
      </w:r>
      <w:r>
        <w:rPr/>
        <w:t>、 主动脉手术</w:t>
      </w:r>
    </w:p>
    <w:p>
      <w:pPr>
        <w:pStyle w:val="BodyText"/>
        <w:spacing w:line="273" w:lineRule="auto" w:before="3"/>
        <w:ind w:left="476" w:right="170" w:firstLine="478"/>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896"/>
      </w:pPr>
      <w:r>
        <w:rPr/>
        <w:t>动脉内血管成形术不在保障范围内。</w:t>
      </w:r>
    </w:p>
    <w:p>
      <w:pPr>
        <w:pStyle w:val="BodyText"/>
        <w:spacing w:before="37"/>
        <w:ind w:left="475"/>
      </w:pPr>
      <w:r>
        <w:rPr/>
        <w:t>二、《重大疾病保险的疾病定义使用规范》范围以外的疾病种类</w:t>
      </w:r>
    </w:p>
    <w:p>
      <w:pPr>
        <w:pStyle w:val="BodyText"/>
        <w:spacing w:before="37"/>
        <w:ind w:left="477"/>
      </w:pPr>
      <w:r>
        <w:rPr>
          <w:rFonts w:ascii="Courier New" w:eastAsia="Courier New"/>
          <w:w w:val="95"/>
        </w:rPr>
        <w:t>10</w:t>
      </w:r>
      <w:r>
        <w:rPr>
          <w:w w:val="95"/>
        </w:rPr>
        <w:t>、 原发性心肌病</w:t>
      </w:r>
    </w:p>
    <w:p>
      <w:pPr>
        <w:pStyle w:val="BodyText"/>
        <w:spacing w:line="256" w:lineRule="auto" w:before="3"/>
        <w:ind w:left="476" w:right="213" w:firstLine="420"/>
        <w:jc w:val="both"/>
      </w:pPr>
      <w:r>
        <w:rPr/>
        <w:t>指经专科医生确诊被保险人因心肌病包括扩张型心肌病、肥厚型心肌病及限制型心</w:t>
      </w:r>
      <w:r>
        <w:rPr>
          <w:w w:val="95"/>
        </w:rPr>
        <w:t>肌病而导致出现明显的心功能衰竭</w:t>
      </w:r>
      <w:r>
        <w:rPr>
          <w:rFonts w:ascii="Courier New" w:eastAsia="Courier New"/>
          <w:w w:val="95"/>
        </w:rPr>
        <w:t>(</w:t>
      </w:r>
      <w:r>
        <w:rPr>
          <w:w w:val="95"/>
        </w:rPr>
        <w:t>纽约心脏病协会分类标准心功能至少达四级</w:t>
      </w:r>
      <w:r>
        <w:rPr>
          <w:rFonts w:ascii="Courier New" w:eastAsia="Courier New"/>
          <w:w w:val="95"/>
        </w:rPr>
        <w:t>*)</w:t>
      </w:r>
      <w:r>
        <w:rPr>
          <w:spacing w:val="-20"/>
          <w:w w:val="95"/>
        </w:rPr>
        <w:t>。继发  </w:t>
      </w:r>
      <w:r>
        <w:rPr>
          <w:spacing w:val="-20"/>
        </w:rPr>
        <w:t>于酒精滥用性的心肌病不在此保障范围之内。</w:t>
      </w:r>
    </w:p>
    <w:p>
      <w:pPr>
        <w:pStyle w:val="BodyText"/>
        <w:spacing w:line="242" w:lineRule="auto" w:before="22"/>
        <w:ind w:left="117" w:right="213"/>
      </w:pPr>
      <w:r>
        <w:rPr>
          <w:rFonts w:ascii="Courier New" w:eastAsia="Courier New"/>
        </w:rPr>
        <w:t>*</w:t>
      </w:r>
      <w:r>
        <w:rPr/>
        <w:t>纽约心脏病协会分类标准心功能四级是指尽管病人已进行了药物治疗及饮食调节，但其在日常活动中仍出现心衰的症状，并且体检及实验室检查显示有心功能异常的证据。</w:t>
      </w:r>
    </w:p>
    <w:p>
      <w:pPr>
        <w:pStyle w:val="BodyText"/>
        <w:spacing w:before="35"/>
        <w:ind w:left="117"/>
      </w:pPr>
      <w:r>
        <w:rPr/>
        <w:t>术语解释：</w:t>
      </w:r>
    </w:p>
    <w:p>
      <w:pPr>
        <w:pStyle w:val="BodyText"/>
        <w:spacing w:before="37"/>
        <w:ind w:left="537"/>
      </w:pPr>
      <w:r>
        <w:rPr/>
        <w:t>六项基本日常生活活动 ：</w:t>
      </w:r>
    </w:p>
    <w:p>
      <w:pPr>
        <w:pStyle w:val="BodyText"/>
        <w:spacing w:line="242" w:lineRule="auto" w:before="37"/>
        <w:ind w:left="539" w:right="214" w:firstLine="420"/>
        <w:jc w:val="both"/>
      </w:pPr>
      <w:r>
        <w:rPr>
          <w:spacing w:val="-9"/>
        </w:rPr>
        <w:t>六项基本日常生活活动是指：</w:t>
      </w:r>
      <w:r>
        <w:rPr/>
        <w:t>（</w:t>
      </w:r>
      <w:r>
        <w:rPr>
          <w:rFonts w:ascii="Courier New" w:eastAsia="Courier New"/>
          <w:spacing w:val="-1"/>
          <w:w w:val="83"/>
        </w:rPr>
        <w:t>1</w:t>
      </w:r>
      <w:r>
        <w:rPr>
          <w:spacing w:val="-4"/>
        </w:rPr>
        <w:t>）</w:t>
      </w:r>
      <w:r>
        <w:rPr>
          <w:spacing w:val="-10"/>
        </w:rPr>
        <w:t>穿衣：自己能够穿衣及脱衣；</w:t>
      </w:r>
      <w:r>
        <w:rPr/>
        <w:t>（</w:t>
      </w:r>
      <w:r>
        <w:rPr>
          <w:rFonts w:ascii="Courier New" w:eastAsia="Courier New"/>
          <w:spacing w:val="-1"/>
          <w:w w:val="83"/>
        </w:rPr>
        <w:t>2</w:t>
      </w:r>
      <w:r>
        <w:rPr>
          <w:spacing w:val="-4"/>
        </w:rPr>
        <w:t>）</w:t>
      </w:r>
      <w:r>
        <w:rPr>
          <w:spacing w:val="-1"/>
        </w:rPr>
        <w:t>移动：自己从</w:t>
      </w:r>
      <w:r>
        <w:rPr>
          <w:spacing w:val="-11"/>
        </w:rPr>
        <w:t>一个房间到另一个房间；</w:t>
      </w:r>
      <w:r>
        <w:rPr/>
        <w:t>（</w:t>
      </w:r>
      <w:r>
        <w:rPr>
          <w:rFonts w:ascii="Courier New" w:eastAsia="Courier New"/>
          <w:spacing w:val="-1"/>
          <w:w w:val="83"/>
        </w:rPr>
        <w:t>3</w:t>
      </w:r>
      <w:r>
        <w:rPr>
          <w:spacing w:val="-3"/>
        </w:rPr>
        <w:t>）</w:t>
      </w:r>
      <w:r>
        <w:rPr>
          <w:spacing w:val="-10"/>
        </w:rPr>
        <w:t>行动：自己上下床或上下轮椅；</w:t>
      </w:r>
      <w:r>
        <w:rPr/>
        <w:t>（</w:t>
      </w:r>
      <w:r>
        <w:rPr>
          <w:rFonts w:ascii="Courier New" w:eastAsia="Courier New"/>
          <w:spacing w:val="-1"/>
          <w:w w:val="83"/>
        </w:rPr>
        <w:t>4</w:t>
      </w:r>
      <w:r>
        <w:rPr>
          <w:spacing w:val="-3"/>
        </w:rPr>
        <w:t>）</w:t>
      </w:r>
      <w:r>
        <w:rPr>
          <w:spacing w:val="-2"/>
        </w:rPr>
        <w:t>如厕：自己控制进行</w:t>
      </w:r>
      <w:r>
        <w:rPr>
          <w:spacing w:val="-29"/>
        </w:rPr>
        <w:t>大小便；</w:t>
      </w:r>
      <w:r>
        <w:rPr/>
        <w:t>（</w:t>
      </w:r>
      <w:r>
        <w:rPr>
          <w:rFonts w:ascii="Courier New" w:eastAsia="Courier New"/>
          <w:spacing w:val="-1"/>
          <w:w w:val="83"/>
        </w:rPr>
        <w:t>5</w:t>
      </w:r>
      <w:r>
        <w:rPr>
          <w:spacing w:val="-3"/>
        </w:rPr>
        <w:t>）</w:t>
      </w:r>
      <w:r>
        <w:rPr>
          <w:spacing w:val="-7"/>
        </w:rPr>
        <w:t>进食：自己从已准备好的碗或碟中取食物放入口中；</w:t>
      </w:r>
      <w:r>
        <w:rPr/>
        <w:t>（</w:t>
      </w:r>
      <w:r>
        <w:rPr>
          <w:rFonts w:ascii="Courier New" w:eastAsia="Courier New"/>
          <w:spacing w:val="-1"/>
          <w:w w:val="83"/>
        </w:rPr>
        <w:t>6</w:t>
      </w:r>
      <w:r>
        <w:rPr>
          <w:spacing w:val="-3"/>
        </w:rPr>
        <w:t>）</w:t>
      </w:r>
      <w:r>
        <w:rPr>
          <w:spacing w:val="-2"/>
        </w:rPr>
        <w:t>洗澡：自己进行淋浴或盆浴。</w:t>
      </w:r>
    </w:p>
    <w:p>
      <w:pPr>
        <w:pStyle w:val="BodyText"/>
        <w:spacing w:before="35"/>
        <w:ind w:left="537"/>
      </w:pPr>
      <w:r>
        <w:rPr/>
        <w:t>肢体机能完全丧失：</w:t>
      </w:r>
    </w:p>
    <w:p>
      <w:pPr>
        <w:pStyle w:val="BodyText"/>
        <w:spacing w:line="273" w:lineRule="auto" w:before="37"/>
        <w:ind w:left="539" w:right="167" w:firstLine="420"/>
      </w:pPr>
      <w:r>
        <w:rPr/>
        <w:t>指肢体的三大关节中的两大关节僵硬，或不能随意识活动。肢体是指包括肩关节的整个上肢或包括髋关节的整个下肢。</w:t>
      </w:r>
    </w:p>
    <w:p>
      <w:pPr>
        <w:pStyle w:val="BodyText"/>
        <w:spacing w:before="7"/>
        <w:ind w:left="537"/>
      </w:pPr>
      <w:r>
        <w:rPr/>
        <w:t>语言能力或咀嚼吞咽能力完全丧失：</w:t>
      </w:r>
    </w:p>
    <w:p>
      <w:pPr>
        <w:pStyle w:val="BodyText"/>
        <w:spacing w:line="273" w:lineRule="auto" w:before="36"/>
        <w:ind w:left="539" w:right="108" w:firstLine="420"/>
      </w:pPr>
      <w:r>
        <w:rPr>
          <w:spacing w:val="-6"/>
        </w:rPr>
        <w:t>语言能力完全丧失，指无法发出四种语音</w:t>
      </w:r>
      <w:r>
        <w:rPr/>
        <w:t>（</w:t>
      </w:r>
      <w:r>
        <w:rPr>
          <w:spacing w:val="-9"/>
        </w:rPr>
        <w:t>包括口唇音、齿舌音、口盖音和喉头音</w:t>
      </w:r>
      <w:r>
        <w:rPr/>
        <w:t>） 中的任何三种、或声带全部切除，或因大脑语言中枢受伤害而患失语症。</w:t>
      </w:r>
    </w:p>
    <w:p>
      <w:pPr>
        <w:pStyle w:val="BodyText"/>
        <w:spacing w:line="273" w:lineRule="auto" w:before="7"/>
        <w:ind w:left="537" w:right="168" w:firstLine="420"/>
      </w:pPr>
      <w:r>
        <w:rPr/>
        <w:t>咀嚼吞咽能力完全丧失，指因牙齿以外的原因导致器质障碍或机能障碍，以致不能作咀嚼吞咽运动，除流质食物外不能摄取或吞咽的状态。</w:t>
      </w:r>
    </w:p>
    <w:p>
      <w:pPr>
        <w:pStyle w:val="BodyText"/>
        <w:spacing w:before="7"/>
        <w:ind w:left="537"/>
      </w:pPr>
      <w:r>
        <w:rPr/>
        <w:t>感染艾滋病病毒或患艾滋病：</w:t>
      </w:r>
    </w:p>
    <w:p>
      <w:pPr>
        <w:pStyle w:val="BodyText"/>
        <w:spacing w:line="242" w:lineRule="auto" w:before="36"/>
        <w:ind w:left="539" w:right="216" w:firstLine="420"/>
      </w:pPr>
      <w:r>
        <w:rPr>
          <w:w w:val="95"/>
        </w:rPr>
        <w:t>艾滋病病毒指人类免疫缺陷病毒，英文缩写为  </w:t>
      </w:r>
      <w:r>
        <w:rPr>
          <w:rFonts w:ascii="Courier New" w:eastAsia="Courier New"/>
          <w:w w:val="95"/>
        </w:rPr>
        <w:t>HIV</w:t>
      </w:r>
      <w:r>
        <w:rPr>
          <w:w w:val="95"/>
        </w:rPr>
        <w:t>。艾滋病指人类免疫缺陷病毒引起的获得性免疫缺陷综合征，英文缩写为 </w:t>
      </w:r>
      <w:r>
        <w:rPr>
          <w:rFonts w:ascii="Courier New" w:eastAsia="Courier New"/>
          <w:w w:val="95"/>
        </w:rPr>
        <w:t>AIDS</w:t>
      </w:r>
      <w:r>
        <w:rPr>
          <w:w w:val="95"/>
        </w:rPr>
        <w:t>。</w:t>
      </w:r>
    </w:p>
    <w:p>
      <w:pPr>
        <w:pStyle w:val="BodyText"/>
        <w:spacing w:line="273" w:lineRule="auto"/>
        <w:ind w:left="537" w:right="169" w:firstLine="420"/>
      </w:pPr>
      <w:r>
        <w:rPr/>
        <w:t>在人体血液或其它样本中检测到艾滋病病毒或其抗体呈阳性，没有出现临床症状或体征的，为感染艾滋病病毒；如果同时出现了明显临床症状或体征的，为患艾滋病。遗传性疾病</w:t>
      </w:r>
    </w:p>
    <w:p>
      <w:pPr>
        <w:pStyle w:val="BodyText"/>
        <w:spacing w:line="273" w:lineRule="auto" w:before="7"/>
        <w:ind w:left="539" w:right="198" w:firstLine="420"/>
      </w:pPr>
      <w:r>
        <w:rPr/>
        <w:t>指生殖细胞或受精卵的遗传物质（染色体和基因）发生突变或畸变所引起的疾病， 通常具有由亲代传至后代的垂直传递的特征。</w:t>
      </w:r>
    </w:p>
    <w:p>
      <w:pPr>
        <w:pStyle w:val="BodyText"/>
        <w:spacing w:before="7"/>
        <w:ind w:left="537"/>
      </w:pPr>
      <w:r>
        <w:rPr/>
        <w:t>先天性畸形、变形或染色体异常</w:t>
      </w:r>
    </w:p>
    <w:p>
      <w:pPr>
        <w:pStyle w:val="BodyText"/>
        <w:spacing w:line="273" w:lineRule="auto" w:before="36"/>
        <w:ind w:left="539" w:right="168" w:firstLine="420"/>
      </w:pPr>
      <w:r>
        <w:rPr/>
        <w:t>指被保险人出生时就具有的畸形、变形或染色体异常。先天性畸形、变形和染色体</w:t>
      </w:r>
      <w:r>
        <w:rPr>
          <w:w w:val="95"/>
        </w:rPr>
        <w:t>异常依照世界卫生组织《疾病和有关健康问题的国际统计分类》   （</w:t>
      </w:r>
      <w:r>
        <w:rPr>
          <w:rFonts w:ascii="Courier New" w:eastAsia="Courier New"/>
          <w:w w:val="95"/>
        </w:rPr>
        <w:t>ICD-10</w:t>
      </w:r>
      <w:r>
        <w:rPr>
          <w:w w:val="95"/>
        </w:rPr>
        <w:t>）确定。</w:t>
      </w:r>
    </w:p>
    <w:sectPr>
      <w:footerReference w:type="default" r:id="rId12"/>
      <w:pgSz w:w="11900" w:h="16840"/>
      <w:pgMar w:footer="1008" w:header="896" w:top="1280" w:bottom="1200" w:left="1680" w:right="1500"/>
      <w:pgNumType w:start="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Arial">
    <w:altName w:val="Arial"/>
    <w:charset w:val="0"/>
    <w:family w:val="swiss"/>
    <w:pitch w:val="variable"/>
  </w:font>
  <w:font w:name="Courier New">
    <w:altName w:val="Courier New"/>
    <w:charset w:val="0"/>
    <w:family w:val="modern"/>
    <w:pitch w:val="fixed"/>
  </w:font>
  <w:font w:name="Microsoft Sans Serif">
    <w:altName w:val="Microsoft Sans Serif"/>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940613pt;margin-top:781.11969pt;width:9.050pt;height:12pt;mso-position-horizontal-relative:page;mso-position-vertical-relative:page;z-index:-102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3.660004pt;margin-top:780.579651pt;width:71.75pt;height:12pt;mso-position-horizontal-relative:page;mso-position-vertical-relative:page;z-index:-10216"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w:t>
                </w:r>
                <w:r>
                  <w:rPr/>
                  <w:fldChar w:fldCharType="end"/>
                </w:r>
                <w:r>
                  <w:rPr>
                    <w:rFonts w:ascii="Times New Roman" w:eastAsia="Times New Roman"/>
                    <w:sz w:val="18"/>
                  </w:rPr>
                  <w:t>  </w:t>
                </w:r>
                <w:r>
                  <w:rPr>
                    <w:sz w:val="18"/>
                  </w:rPr>
                  <w:t>页，共 </w:t>
                </w:r>
                <w:r>
                  <w:rPr>
                    <w:rFonts w:ascii="Times New Roman" w:eastAsia="Times New Roman"/>
                    <w:sz w:val="18"/>
                  </w:rPr>
                  <w:t>1 </w:t>
                </w:r>
                <w:r>
                  <w:rPr>
                    <w:sz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3.660004pt;margin-top:780.579651pt;width:71.75pt;height:12pt;mso-position-horizontal-relative:page;mso-position-vertical-relative:page;z-index:-1019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2</w:t>
                </w:r>
                <w:r>
                  <w:rPr/>
                  <w:fldChar w:fldCharType="end"/>
                </w:r>
                <w:r>
                  <w:rPr>
                    <w:rFonts w:ascii="Times New Roman" w:eastAsia="Times New Roman"/>
                    <w:sz w:val="18"/>
                  </w:rPr>
                  <w:t>  </w:t>
                </w:r>
                <w:r>
                  <w:rPr>
                    <w:sz w:val="18"/>
                  </w:rPr>
                  <w:t>页，共 </w:t>
                </w:r>
                <w:r>
                  <w:rPr>
                    <w:rFonts w:ascii="Times New Roman" w:eastAsia="Times New Roman"/>
                    <w:sz w:val="18"/>
                  </w:rPr>
                  <w:t>2 </w:t>
                </w:r>
                <w:r>
                  <w:rPr>
                    <w:sz w:val="18"/>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3.660004pt;margin-top:780.579651pt;width:71.75pt;height:12pt;mso-position-horizontal-relative:page;mso-position-vertical-relative:page;z-index:-1016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3</w:t>
                </w:r>
                <w:r>
                  <w:rPr/>
                  <w:fldChar w:fldCharType="end"/>
                </w:r>
                <w:r>
                  <w:rPr>
                    <w:rFonts w:ascii="Times New Roman" w:eastAsia="Times New Roman"/>
                    <w:sz w:val="18"/>
                  </w:rPr>
                  <w:t>  </w:t>
                </w:r>
                <w:r>
                  <w:rPr>
                    <w:sz w:val="18"/>
                  </w:rPr>
                  <w:t>页，共 </w:t>
                </w:r>
                <w:r>
                  <w:rPr>
                    <w:rFonts w:ascii="Times New Roman" w:eastAsia="Times New Roman"/>
                    <w:sz w:val="18"/>
                  </w:rPr>
                  <w:t>3 </w:t>
                </w:r>
                <w:r>
                  <w:rPr>
                    <w:sz w:val="18"/>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3.660004pt;margin-top:780.579651pt;width:71.75pt;height:12pt;mso-position-horizontal-relative:page;mso-position-vertical-relative:page;z-index:-10144"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4</w:t>
                </w:r>
                <w:r>
                  <w:rPr/>
                  <w:fldChar w:fldCharType="end"/>
                </w:r>
                <w:r>
                  <w:rPr>
                    <w:rFonts w:ascii="Times New Roman" w:eastAsia="Times New Roman"/>
                    <w:sz w:val="18"/>
                  </w:rPr>
                  <w:t>  </w:t>
                </w:r>
                <w:r>
                  <w:rPr>
                    <w:sz w:val="18"/>
                  </w:rPr>
                  <w:t>页，共 </w:t>
                </w:r>
                <w:r>
                  <w:rPr>
                    <w:rFonts w:ascii="Times New Roman" w:eastAsia="Times New Roman"/>
                    <w:sz w:val="18"/>
                  </w:rPr>
                  <w:t>4 </w:t>
                </w:r>
                <w:r>
                  <w:rPr>
                    <w:sz w:val="18"/>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3.660004pt;margin-top:780.579651pt;width:71.75pt;height:12pt;mso-position-horizontal-relative:page;mso-position-vertical-relative:page;z-index:-10120"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5</w:t>
                </w:r>
                <w:r>
                  <w:rPr/>
                  <w:fldChar w:fldCharType="end"/>
                </w:r>
                <w:r>
                  <w:rPr>
                    <w:rFonts w:ascii="Times New Roman" w:eastAsia="Times New Roman"/>
                    <w:sz w:val="18"/>
                  </w:rPr>
                  <w:t>  </w:t>
                </w:r>
                <w:r>
                  <w:rPr>
                    <w:sz w:val="18"/>
                  </w:rPr>
                  <w:t>页，共 </w:t>
                </w:r>
                <w:r>
                  <w:rPr>
                    <w:rFonts w:ascii="Times New Roman" w:eastAsia="Times New Roman"/>
                    <w:sz w:val="18"/>
                  </w:rPr>
                  <w:t>5 </w:t>
                </w:r>
                <w:r>
                  <w:rPr>
                    <w:sz w:val="18"/>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3.660004pt;margin-top:780.579651pt;width:71.75pt;height:12pt;mso-position-horizontal-relative:page;mso-position-vertical-relative:page;z-index:-10096"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6</w:t>
                </w:r>
                <w:r>
                  <w:rPr/>
                  <w:fldChar w:fldCharType="end"/>
                </w:r>
                <w:r>
                  <w:rPr>
                    <w:rFonts w:ascii="Times New Roman" w:eastAsia="Times New Roman"/>
                    <w:sz w:val="18"/>
                  </w:rPr>
                  <w:t>  </w:t>
                </w:r>
                <w:r>
                  <w:rPr>
                    <w:sz w:val="18"/>
                  </w:rPr>
                  <w:t>页，共 </w:t>
                </w:r>
                <w:r>
                  <w:rPr>
                    <w:rFonts w:ascii="Times New Roman" w:eastAsia="Times New Roman"/>
                    <w:sz w:val="18"/>
                  </w:rPr>
                  <w:t>6 </w:t>
                </w:r>
                <w:r>
                  <w:rPr>
                    <w:sz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64" from="89.82pt,64.199997pt" to="509.82pt,64.199997pt" stroked="true" strokeweight=".75pt" strokecolor="#000000">
          <v:stroke dashstyle="solid"/>
          <w10:wrap type="none"/>
        </v:line>
      </w:pict>
    </w:r>
    <w:r>
      <w:rPr/>
      <w:pict>
        <v:shape style="position:absolute;margin-left:315.380005pt;margin-top:43.792511pt;width:194.8pt;height:18.05pt;mso-position-horizontal-relative:page;mso-position-vertical-relative:page;z-index:-10240" type="#_x0000_t202" filled="false" stroked="false">
          <v:textbox inset="0,0,0,0">
            <w:txbxContent>
              <w:p>
                <w:pPr>
                  <w:spacing w:line="340" w:lineRule="exact" w:before="0"/>
                  <w:ind w:left="20" w:right="0" w:firstLine="0"/>
                  <w:jc w:val="left"/>
                  <w:rPr>
                    <w:sz w:val="32"/>
                  </w:rPr>
                </w:pPr>
                <w:r>
                  <w:rPr>
                    <w:sz w:val="32"/>
                  </w:rPr>
                  <w:t>光大永明人寿保险有限公司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677" w:hanging="720"/>
        <w:jc w:val="left"/>
      </w:pPr>
      <w:rPr>
        <w:rFonts w:hint="default" w:ascii="宋体" w:hAnsi="宋体" w:eastAsia="宋体" w:cs="宋体"/>
        <w:spacing w:val="-15"/>
        <w:w w:val="83"/>
        <w:sz w:val="21"/>
        <w:szCs w:val="21"/>
      </w:rPr>
    </w:lvl>
    <w:lvl w:ilvl="1">
      <w:start w:val="0"/>
      <w:numFmt w:val="bullet"/>
      <w:lvlText w:val="•"/>
      <w:lvlJc w:val="left"/>
      <w:pPr>
        <w:ind w:left="2217" w:hanging="480"/>
      </w:pPr>
      <w:rPr>
        <w:rFonts w:hint="default" w:ascii="Microsoft Sans Serif" w:hAnsi="Microsoft Sans Serif" w:eastAsia="Microsoft Sans Serif" w:cs="Microsoft Sans Serif"/>
        <w:w w:val="213"/>
        <w:sz w:val="21"/>
        <w:szCs w:val="21"/>
      </w:rPr>
    </w:lvl>
    <w:lvl w:ilvl="2">
      <w:start w:val="0"/>
      <w:numFmt w:val="bullet"/>
      <w:lvlText w:val="•"/>
      <w:lvlJc w:val="left"/>
      <w:pPr>
        <w:ind w:left="2942" w:hanging="480"/>
      </w:pPr>
      <w:rPr>
        <w:rFonts w:hint="default"/>
      </w:rPr>
    </w:lvl>
    <w:lvl w:ilvl="3">
      <w:start w:val="0"/>
      <w:numFmt w:val="bullet"/>
      <w:lvlText w:val="•"/>
      <w:lvlJc w:val="left"/>
      <w:pPr>
        <w:ind w:left="3664" w:hanging="480"/>
      </w:pPr>
      <w:rPr>
        <w:rFonts w:hint="default"/>
      </w:rPr>
    </w:lvl>
    <w:lvl w:ilvl="4">
      <w:start w:val="0"/>
      <w:numFmt w:val="bullet"/>
      <w:lvlText w:val="•"/>
      <w:lvlJc w:val="left"/>
      <w:pPr>
        <w:ind w:left="4386" w:hanging="480"/>
      </w:pPr>
      <w:rPr>
        <w:rFonts w:hint="default"/>
      </w:rPr>
    </w:lvl>
    <w:lvl w:ilvl="5">
      <w:start w:val="0"/>
      <w:numFmt w:val="bullet"/>
      <w:lvlText w:val="•"/>
      <w:lvlJc w:val="left"/>
      <w:pPr>
        <w:ind w:left="5108" w:hanging="480"/>
      </w:pPr>
      <w:rPr>
        <w:rFonts w:hint="default"/>
      </w:rPr>
    </w:lvl>
    <w:lvl w:ilvl="6">
      <w:start w:val="0"/>
      <w:numFmt w:val="bullet"/>
      <w:lvlText w:val="•"/>
      <w:lvlJc w:val="left"/>
      <w:pPr>
        <w:ind w:left="5831" w:hanging="480"/>
      </w:pPr>
      <w:rPr>
        <w:rFonts w:hint="default"/>
      </w:rPr>
    </w:lvl>
    <w:lvl w:ilvl="7">
      <w:start w:val="0"/>
      <w:numFmt w:val="bullet"/>
      <w:lvlText w:val="•"/>
      <w:lvlJc w:val="left"/>
      <w:pPr>
        <w:ind w:left="6553" w:hanging="480"/>
      </w:pPr>
      <w:rPr>
        <w:rFonts w:hint="default"/>
      </w:rPr>
    </w:lvl>
    <w:lvl w:ilvl="8">
      <w:start w:val="0"/>
      <w:numFmt w:val="bullet"/>
      <w:lvlText w:val="•"/>
      <w:lvlJc w:val="left"/>
      <w:pPr>
        <w:ind w:left="7275" w:hanging="480"/>
      </w:pPr>
      <w:rPr>
        <w:rFonts w:hint="default"/>
      </w:rPr>
    </w:lvl>
  </w:abstractNum>
  <w:abstractNum w:abstractNumId="4">
    <w:multiLevelType w:val="hybridMultilevel"/>
    <w:lvl w:ilvl="0">
      <w:start w:val="1"/>
      <w:numFmt w:val="decimal"/>
      <w:lvlText w:val="（%1）"/>
      <w:lvlJc w:val="left"/>
      <w:pPr>
        <w:ind w:left="1677" w:hanging="720"/>
        <w:jc w:val="left"/>
      </w:pPr>
      <w:rPr>
        <w:rFonts w:hint="default" w:ascii="宋体" w:hAnsi="宋体" w:eastAsia="宋体" w:cs="宋体"/>
        <w:spacing w:val="-15"/>
        <w:w w:val="83"/>
        <w:sz w:val="21"/>
        <w:szCs w:val="21"/>
      </w:rPr>
    </w:lvl>
    <w:lvl w:ilvl="1">
      <w:start w:val="0"/>
      <w:numFmt w:val="bullet"/>
      <w:lvlText w:val="•"/>
      <w:lvlJc w:val="left"/>
      <w:pPr>
        <w:ind w:left="2384" w:hanging="720"/>
      </w:pPr>
      <w:rPr>
        <w:rFonts w:hint="default"/>
      </w:rPr>
    </w:lvl>
    <w:lvl w:ilvl="2">
      <w:start w:val="0"/>
      <w:numFmt w:val="bullet"/>
      <w:lvlText w:val="•"/>
      <w:lvlJc w:val="left"/>
      <w:pPr>
        <w:ind w:left="3088" w:hanging="720"/>
      </w:pPr>
      <w:rPr>
        <w:rFonts w:hint="default"/>
      </w:rPr>
    </w:lvl>
    <w:lvl w:ilvl="3">
      <w:start w:val="0"/>
      <w:numFmt w:val="bullet"/>
      <w:lvlText w:val="•"/>
      <w:lvlJc w:val="left"/>
      <w:pPr>
        <w:ind w:left="3792" w:hanging="720"/>
      </w:pPr>
      <w:rPr>
        <w:rFonts w:hint="default"/>
      </w:rPr>
    </w:lvl>
    <w:lvl w:ilvl="4">
      <w:start w:val="0"/>
      <w:numFmt w:val="bullet"/>
      <w:lvlText w:val="•"/>
      <w:lvlJc w:val="left"/>
      <w:pPr>
        <w:ind w:left="4496" w:hanging="720"/>
      </w:pPr>
      <w:rPr>
        <w:rFonts w:hint="default"/>
      </w:rPr>
    </w:lvl>
    <w:lvl w:ilvl="5">
      <w:start w:val="0"/>
      <w:numFmt w:val="bullet"/>
      <w:lvlText w:val="•"/>
      <w:lvlJc w:val="left"/>
      <w:pPr>
        <w:ind w:left="5200" w:hanging="720"/>
      </w:pPr>
      <w:rPr>
        <w:rFonts w:hint="default"/>
      </w:rPr>
    </w:lvl>
    <w:lvl w:ilvl="6">
      <w:start w:val="0"/>
      <w:numFmt w:val="bullet"/>
      <w:lvlText w:val="•"/>
      <w:lvlJc w:val="left"/>
      <w:pPr>
        <w:ind w:left="5904" w:hanging="720"/>
      </w:pPr>
      <w:rPr>
        <w:rFonts w:hint="default"/>
      </w:rPr>
    </w:lvl>
    <w:lvl w:ilvl="7">
      <w:start w:val="0"/>
      <w:numFmt w:val="bullet"/>
      <w:lvlText w:val="•"/>
      <w:lvlJc w:val="left"/>
      <w:pPr>
        <w:ind w:left="6608" w:hanging="720"/>
      </w:pPr>
      <w:rPr>
        <w:rFonts w:hint="default"/>
      </w:rPr>
    </w:lvl>
    <w:lvl w:ilvl="8">
      <w:start w:val="0"/>
      <w:numFmt w:val="bullet"/>
      <w:lvlText w:val="•"/>
      <w:lvlJc w:val="left"/>
      <w:pPr>
        <w:ind w:left="7312" w:hanging="720"/>
      </w:pPr>
      <w:rPr>
        <w:rFonts w:hint="default"/>
      </w:rPr>
    </w:lvl>
  </w:abstractNum>
  <w:abstractNum w:abstractNumId="3">
    <w:multiLevelType w:val="hybridMultilevel"/>
    <w:lvl w:ilvl="0">
      <w:start w:val="1"/>
      <w:numFmt w:val="decimal"/>
      <w:lvlText w:val="（%1）"/>
      <w:lvlJc w:val="left"/>
      <w:pPr>
        <w:ind w:left="1677" w:hanging="720"/>
        <w:jc w:val="left"/>
      </w:pPr>
      <w:rPr>
        <w:rFonts w:hint="default" w:ascii="宋体" w:hAnsi="宋体" w:eastAsia="宋体" w:cs="宋体"/>
        <w:spacing w:val="-15"/>
        <w:w w:val="83"/>
        <w:sz w:val="21"/>
        <w:szCs w:val="21"/>
      </w:rPr>
    </w:lvl>
    <w:lvl w:ilvl="1">
      <w:start w:val="0"/>
      <w:numFmt w:val="bullet"/>
      <w:lvlText w:val="•"/>
      <w:lvlJc w:val="left"/>
      <w:pPr>
        <w:ind w:left="2384" w:hanging="720"/>
      </w:pPr>
      <w:rPr>
        <w:rFonts w:hint="default"/>
      </w:rPr>
    </w:lvl>
    <w:lvl w:ilvl="2">
      <w:start w:val="0"/>
      <w:numFmt w:val="bullet"/>
      <w:lvlText w:val="•"/>
      <w:lvlJc w:val="left"/>
      <w:pPr>
        <w:ind w:left="3088" w:hanging="720"/>
      </w:pPr>
      <w:rPr>
        <w:rFonts w:hint="default"/>
      </w:rPr>
    </w:lvl>
    <w:lvl w:ilvl="3">
      <w:start w:val="0"/>
      <w:numFmt w:val="bullet"/>
      <w:lvlText w:val="•"/>
      <w:lvlJc w:val="left"/>
      <w:pPr>
        <w:ind w:left="3792" w:hanging="720"/>
      </w:pPr>
      <w:rPr>
        <w:rFonts w:hint="default"/>
      </w:rPr>
    </w:lvl>
    <w:lvl w:ilvl="4">
      <w:start w:val="0"/>
      <w:numFmt w:val="bullet"/>
      <w:lvlText w:val="•"/>
      <w:lvlJc w:val="left"/>
      <w:pPr>
        <w:ind w:left="4496" w:hanging="720"/>
      </w:pPr>
      <w:rPr>
        <w:rFonts w:hint="default"/>
      </w:rPr>
    </w:lvl>
    <w:lvl w:ilvl="5">
      <w:start w:val="0"/>
      <w:numFmt w:val="bullet"/>
      <w:lvlText w:val="•"/>
      <w:lvlJc w:val="left"/>
      <w:pPr>
        <w:ind w:left="5200" w:hanging="720"/>
      </w:pPr>
      <w:rPr>
        <w:rFonts w:hint="default"/>
      </w:rPr>
    </w:lvl>
    <w:lvl w:ilvl="6">
      <w:start w:val="0"/>
      <w:numFmt w:val="bullet"/>
      <w:lvlText w:val="•"/>
      <w:lvlJc w:val="left"/>
      <w:pPr>
        <w:ind w:left="5904" w:hanging="720"/>
      </w:pPr>
      <w:rPr>
        <w:rFonts w:hint="default"/>
      </w:rPr>
    </w:lvl>
    <w:lvl w:ilvl="7">
      <w:start w:val="0"/>
      <w:numFmt w:val="bullet"/>
      <w:lvlText w:val="•"/>
      <w:lvlJc w:val="left"/>
      <w:pPr>
        <w:ind w:left="6608" w:hanging="720"/>
      </w:pPr>
      <w:rPr>
        <w:rFonts w:hint="default"/>
      </w:rPr>
    </w:lvl>
    <w:lvl w:ilvl="8">
      <w:start w:val="0"/>
      <w:numFmt w:val="bullet"/>
      <w:lvlText w:val="•"/>
      <w:lvlJc w:val="left"/>
      <w:pPr>
        <w:ind w:left="7312" w:hanging="720"/>
      </w:pPr>
      <w:rPr>
        <w:rFonts w:hint="default"/>
      </w:rPr>
    </w:lvl>
  </w:abstractNum>
  <w:abstractNum w:abstractNumId="2">
    <w:multiLevelType w:val="hybridMultilevel"/>
    <w:lvl w:ilvl="0">
      <w:start w:val="1"/>
      <w:numFmt w:val="decimal"/>
      <w:lvlText w:val="（%1）"/>
      <w:lvlJc w:val="left"/>
      <w:pPr>
        <w:ind w:left="1677" w:hanging="720"/>
        <w:jc w:val="left"/>
      </w:pPr>
      <w:rPr>
        <w:rFonts w:hint="default" w:ascii="宋体" w:hAnsi="宋体" w:eastAsia="宋体" w:cs="宋体"/>
        <w:spacing w:val="-15"/>
        <w:w w:val="83"/>
        <w:sz w:val="21"/>
        <w:szCs w:val="21"/>
      </w:rPr>
    </w:lvl>
    <w:lvl w:ilvl="1">
      <w:start w:val="0"/>
      <w:numFmt w:val="bullet"/>
      <w:lvlText w:val="•"/>
      <w:lvlJc w:val="left"/>
      <w:pPr>
        <w:ind w:left="2384" w:hanging="720"/>
      </w:pPr>
      <w:rPr>
        <w:rFonts w:hint="default"/>
      </w:rPr>
    </w:lvl>
    <w:lvl w:ilvl="2">
      <w:start w:val="0"/>
      <w:numFmt w:val="bullet"/>
      <w:lvlText w:val="•"/>
      <w:lvlJc w:val="left"/>
      <w:pPr>
        <w:ind w:left="3088" w:hanging="720"/>
      </w:pPr>
      <w:rPr>
        <w:rFonts w:hint="default"/>
      </w:rPr>
    </w:lvl>
    <w:lvl w:ilvl="3">
      <w:start w:val="0"/>
      <w:numFmt w:val="bullet"/>
      <w:lvlText w:val="•"/>
      <w:lvlJc w:val="left"/>
      <w:pPr>
        <w:ind w:left="3792" w:hanging="720"/>
      </w:pPr>
      <w:rPr>
        <w:rFonts w:hint="default"/>
      </w:rPr>
    </w:lvl>
    <w:lvl w:ilvl="4">
      <w:start w:val="0"/>
      <w:numFmt w:val="bullet"/>
      <w:lvlText w:val="•"/>
      <w:lvlJc w:val="left"/>
      <w:pPr>
        <w:ind w:left="4496" w:hanging="720"/>
      </w:pPr>
      <w:rPr>
        <w:rFonts w:hint="default"/>
      </w:rPr>
    </w:lvl>
    <w:lvl w:ilvl="5">
      <w:start w:val="0"/>
      <w:numFmt w:val="bullet"/>
      <w:lvlText w:val="•"/>
      <w:lvlJc w:val="left"/>
      <w:pPr>
        <w:ind w:left="5200" w:hanging="720"/>
      </w:pPr>
      <w:rPr>
        <w:rFonts w:hint="default"/>
      </w:rPr>
    </w:lvl>
    <w:lvl w:ilvl="6">
      <w:start w:val="0"/>
      <w:numFmt w:val="bullet"/>
      <w:lvlText w:val="•"/>
      <w:lvlJc w:val="left"/>
      <w:pPr>
        <w:ind w:left="5904" w:hanging="720"/>
      </w:pPr>
      <w:rPr>
        <w:rFonts w:hint="default"/>
      </w:rPr>
    </w:lvl>
    <w:lvl w:ilvl="7">
      <w:start w:val="0"/>
      <w:numFmt w:val="bullet"/>
      <w:lvlText w:val="•"/>
      <w:lvlJc w:val="left"/>
      <w:pPr>
        <w:ind w:left="6608" w:hanging="720"/>
      </w:pPr>
      <w:rPr>
        <w:rFonts w:hint="default"/>
      </w:rPr>
    </w:lvl>
    <w:lvl w:ilvl="8">
      <w:start w:val="0"/>
      <w:numFmt w:val="bullet"/>
      <w:lvlText w:val="•"/>
      <w:lvlJc w:val="left"/>
      <w:pPr>
        <w:ind w:left="7312" w:hanging="720"/>
      </w:pPr>
      <w:rPr>
        <w:rFonts w:hint="default"/>
      </w:rPr>
    </w:lvl>
  </w:abstractNum>
  <w:abstractNum w:abstractNumId="1">
    <w:multiLevelType w:val="hybridMultilevel"/>
    <w:lvl w:ilvl="0">
      <w:start w:val="1"/>
      <w:numFmt w:val="decimal"/>
      <w:lvlText w:val="%1."/>
      <w:lvlJc w:val="left"/>
      <w:pPr>
        <w:ind w:left="949" w:hanging="420"/>
        <w:jc w:val="left"/>
      </w:pPr>
      <w:rPr>
        <w:rFonts w:hint="default" w:ascii="Times New Roman" w:hAnsi="Times New Roman" w:eastAsia="Times New Roman" w:cs="Times New Roman"/>
        <w:w w:val="100"/>
        <w:sz w:val="21"/>
        <w:szCs w:val="21"/>
      </w:rPr>
    </w:lvl>
    <w:lvl w:ilvl="1">
      <w:start w:val="1"/>
      <w:numFmt w:val="decimal"/>
      <w:lvlText w:val="（%2）"/>
      <w:lvlJc w:val="left"/>
      <w:pPr>
        <w:ind w:left="1677" w:hanging="720"/>
        <w:jc w:val="left"/>
      </w:pPr>
      <w:rPr>
        <w:rFonts w:hint="default" w:ascii="宋体" w:hAnsi="宋体" w:eastAsia="宋体" w:cs="宋体"/>
        <w:spacing w:val="-15"/>
        <w:w w:val="83"/>
        <w:sz w:val="21"/>
        <w:szCs w:val="21"/>
      </w:rPr>
    </w:lvl>
    <w:lvl w:ilvl="2">
      <w:start w:val="0"/>
      <w:numFmt w:val="bullet"/>
      <w:lvlText w:val="•"/>
      <w:lvlJc w:val="left"/>
      <w:pPr>
        <w:ind w:left="2462" w:hanging="720"/>
      </w:pPr>
      <w:rPr>
        <w:rFonts w:hint="default"/>
      </w:rPr>
    </w:lvl>
    <w:lvl w:ilvl="3">
      <w:start w:val="0"/>
      <w:numFmt w:val="bullet"/>
      <w:lvlText w:val="•"/>
      <w:lvlJc w:val="left"/>
      <w:pPr>
        <w:ind w:left="3244" w:hanging="720"/>
      </w:pPr>
      <w:rPr>
        <w:rFonts w:hint="default"/>
      </w:rPr>
    </w:lvl>
    <w:lvl w:ilvl="4">
      <w:start w:val="0"/>
      <w:numFmt w:val="bullet"/>
      <w:lvlText w:val="•"/>
      <w:lvlJc w:val="left"/>
      <w:pPr>
        <w:ind w:left="4026" w:hanging="720"/>
      </w:pPr>
      <w:rPr>
        <w:rFonts w:hint="default"/>
      </w:rPr>
    </w:lvl>
    <w:lvl w:ilvl="5">
      <w:start w:val="0"/>
      <w:numFmt w:val="bullet"/>
      <w:lvlText w:val="•"/>
      <w:lvlJc w:val="left"/>
      <w:pPr>
        <w:ind w:left="4808" w:hanging="720"/>
      </w:pPr>
      <w:rPr>
        <w:rFonts w:hint="default"/>
      </w:rPr>
    </w:lvl>
    <w:lvl w:ilvl="6">
      <w:start w:val="0"/>
      <w:numFmt w:val="bullet"/>
      <w:lvlText w:val="•"/>
      <w:lvlJc w:val="left"/>
      <w:pPr>
        <w:ind w:left="5591" w:hanging="720"/>
      </w:pPr>
      <w:rPr>
        <w:rFonts w:hint="default"/>
      </w:rPr>
    </w:lvl>
    <w:lvl w:ilvl="7">
      <w:start w:val="0"/>
      <w:numFmt w:val="bullet"/>
      <w:lvlText w:val="•"/>
      <w:lvlJc w:val="left"/>
      <w:pPr>
        <w:ind w:left="6373" w:hanging="720"/>
      </w:pPr>
      <w:rPr>
        <w:rFonts w:hint="default"/>
      </w:rPr>
    </w:lvl>
    <w:lvl w:ilvl="8">
      <w:start w:val="0"/>
      <w:numFmt w:val="bullet"/>
      <w:lvlText w:val="•"/>
      <w:lvlJc w:val="left"/>
      <w:pPr>
        <w:ind w:left="7155" w:hanging="720"/>
      </w:pPr>
      <w:rPr>
        <w:rFonts w:hint="default"/>
      </w:rPr>
    </w:lvl>
  </w:abstractNum>
  <w:abstractNum w:abstractNumId="0">
    <w:multiLevelType w:val="hybridMultilevel"/>
    <w:lvl w:ilvl="0">
      <w:start w:val="1"/>
      <w:numFmt w:val="decimal"/>
      <w:lvlText w:val="%1."/>
      <w:lvlJc w:val="left"/>
      <w:pPr>
        <w:ind w:left="957" w:hanging="435"/>
        <w:jc w:val="left"/>
      </w:pPr>
      <w:rPr>
        <w:rFonts w:hint="default" w:ascii="Courier New" w:hAnsi="Courier New" w:eastAsia="Courier New" w:cs="Courier New"/>
        <w:w w:val="83"/>
        <w:sz w:val="21"/>
        <w:szCs w:val="21"/>
      </w:rPr>
    </w:lvl>
    <w:lvl w:ilvl="1">
      <w:start w:val="0"/>
      <w:numFmt w:val="bullet"/>
      <w:lvlText w:val="•"/>
      <w:lvlJc w:val="left"/>
      <w:pPr>
        <w:ind w:left="1736" w:hanging="435"/>
      </w:pPr>
      <w:rPr>
        <w:rFonts w:hint="default"/>
      </w:rPr>
    </w:lvl>
    <w:lvl w:ilvl="2">
      <w:start w:val="0"/>
      <w:numFmt w:val="bullet"/>
      <w:lvlText w:val="•"/>
      <w:lvlJc w:val="left"/>
      <w:pPr>
        <w:ind w:left="2512" w:hanging="435"/>
      </w:pPr>
      <w:rPr>
        <w:rFonts w:hint="default"/>
      </w:rPr>
    </w:lvl>
    <w:lvl w:ilvl="3">
      <w:start w:val="0"/>
      <w:numFmt w:val="bullet"/>
      <w:lvlText w:val="•"/>
      <w:lvlJc w:val="left"/>
      <w:pPr>
        <w:ind w:left="3288" w:hanging="435"/>
      </w:pPr>
      <w:rPr>
        <w:rFonts w:hint="default"/>
      </w:rPr>
    </w:lvl>
    <w:lvl w:ilvl="4">
      <w:start w:val="0"/>
      <w:numFmt w:val="bullet"/>
      <w:lvlText w:val="•"/>
      <w:lvlJc w:val="left"/>
      <w:pPr>
        <w:ind w:left="4064" w:hanging="435"/>
      </w:pPr>
      <w:rPr>
        <w:rFonts w:hint="default"/>
      </w:rPr>
    </w:lvl>
    <w:lvl w:ilvl="5">
      <w:start w:val="0"/>
      <w:numFmt w:val="bullet"/>
      <w:lvlText w:val="•"/>
      <w:lvlJc w:val="left"/>
      <w:pPr>
        <w:ind w:left="4840" w:hanging="435"/>
      </w:pPr>
      <w:rPr>
        <w:rFonts w:hint="default"/>
      </w:rPr>
    </w:lvl>
    <w:lvl w:ilvl="6">
      <w:start w:val="0"/>
      <w:numFmt w:val="bullet"/>
      <w:lvlText w:val="•"/>
      <w:lvlJc w:val="left"/>
      <w:pPr>
        <w:ind w:left="5616" w:hanging="435"/>
      </w:pPr>
      <w:rPr>
        <w:rFonts w:hint="default"/>
      </w:rPr>
    </w:lvl>
    <w:lvl w:ilvl="7">
      <w:start w:val="0"/>
      <w:numFmt w:val="bullet"/>
      <w:lvlText w:val="•"/>
      <w:lvlJc w:val="left"/>
      <w:pPr>
        <w:ind w:left="6392" w:hanging="435"/>
      </w:pPr>
      <w:rPr>
        <w:rFonts w:hint="default"/>
      </w:rPr>
    </w:lvl>
    <w:lvl w:ilvl="8">
      <w:start w:val="0"/>
      <w:numFmt w:val="bullet"/>
      <w:lvlText w:val="•"/>
      <w:lvlJc w:val="left"/>
      <w:pPr>
        <w:ind w:left="7168" w:hanging="435"/>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17"/>
    </w:pPr>
    <w:rPr>
      <w:rFonts w:ascii="宋体" w:hAnsi="宋体" w:eastAsia="宋体" w:cs="宋体"/>
      <w:sz w:val="21"/>
      <w:szCs w:val="21"/>
    </w:rPr>
  </w:style>
  <w:style w:styleId="TOC2" w:type="paragraph">
    <w:name w:val="TOC 2"/>
    <w:basedOn w:val="Normal"/>
    <w:uiPriority w:val="1"/>
    <w:qFormat/>
    <w:pPr>
      <w:spacing w:before="21"/>
      <w:ind w:left="747"/>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黑体" w:hAnsi="黑体" w:eastAsia="黑体" w:cs="黑体"/>
      <w:sz w:val="36"/>
      <w:szCs w:val="36"/>
    </w:rPr>
  </w:style>
  <w:style w:styleId="Heading2" w:type="paragraph">
    <w:name w:val="Heading 2"/>
    <w:basedOn w:val="Normal"/>
    <w:uiPriority w:val="1"/>
    <w:qFormat/>
    <w:pPr>
      <w:ind w:left="117"/>
      <w:outlineLvl w:val="2"/>
    </w:pPr>
    <w:rPr>
      <w:rFonts w:ascii="宋体" w:hAnsi="宋体" w:eastAsia="宋体" w:cs="宋体"/>
      <w:sz w:val="30"/>
      <w:szCs w:val="30"/>
    </w:rPr>
  </w:style>
  <w:style w:styleId="Heading3" w:type="paragraph">
    <w:name w:val="Heading 3"/>
    <w:basedOn w:val="Normal"/>
    <w:uiPriority w:val="1"/>
    <w:qFormat/>
    <w:pPr>
      <w:ind w:left="3173" w:right="3271"/>
      <w:jc w:val="center"/>
      <w:outlineLvl w:val="3"/>
    </w:pPr>
    <w:rPr>
      <w:rFonts w:ascii="宋体" w:hAnsi="宋体" w:eastAsia="宋体" w:cs="宋体"/>
      <w:sz w:val="28"/>
      <w:szCs w:val="28"/>
    </w:rPr>
  </w:style>
  <w:style w:styleId="Heading4" w:type="paragraph">
    <w:name w:val="Heading 4"/>
    <w:basedOn w:val="Normal"/>
    <w:uiPriority w:val="1"/>
    <w:qFormat/>
    <w:pPr>
      <w:ind w:left="117" w:right="165"/>
      <w:outlineLvl w:val="4"/>
    </w:pPr>
    <w:rPr>
      <w:rFonts w:ascii="宋体" w:hAnsi="宋体" w:eastAsia="宋体" w:cs="宋体"/>
      <w:sz w:val="24"/>
      <w:szCs w:val="24"/>
    </w:rPr>
  </w:style>
  <w:style w:styleId="ListParagraph" w:type="paragraph">
    <w:name w:val="List Paragraph"/>
    <w:basedOn w:val="Normal"/>
    <w:uiPriority w:val="1"/>
    <w:qFormat/>
    <w:pPr>
      <w:spacing w:before="3"/>
      <w:ind w:left="1677" w:hanging="7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2018-10-19T22:15:27Z</dcterms:created>
  <dcterms:modified xsi:type="dcterms:W3CDTF">2018-10-19T22:15:27Z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2009-03-06T00:00:00Z</vt:filetime>
  </property>
  <property fmtid="{D5CDD505-2E9C-101B-9397-08002B2CF9AE}" pid="3" name="LastSaved">
    <vt:filetime>2018-10-19T00:00:00Z</vt:filetime>
  </property>
</Properties>
</file>