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9"/>
        <w:ind w:left="0" w:right="101" w:firstLine="0"/>
        <w:jc w:val="right"/>
        <w:rPr>
          <w:sz w:val="18"/>
        </w:rPr>
      </w:pPr>
      <w:r>
        <w:rPr/>
        <w:drawing>
          <wp:anchor distT="0" distB="0" distL="0" distR="0" allowOverlap="1" layoutInCell="1" locked="0" behindDoc="0" simplePos="0" relativeHeight="0">
            <wp:simplePos x="0" y="0"/>
            <wp:positionH relativeFrom="page">
              <wp:posOffset>6136004</wp:posOffset>
            </wp:positionH>
            <wp:positionV relativeFrom="paragraph">
              <wp:posOffset>226336</wp:posOffset>
            </wp:positionV>
            <wp:extent cx="723265"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265" cy="723900"/>
                    </a:xfrm>
                    <a:prstGeom prst="rect">
                      <a:avLst/>
                    </a:prstGeom>
                  </pic:spPr>
                </pic:pic>
              </a:graphicData>
            </a:graphic>
          </wp:anchor>
        </w:drawing>
      </w:r>
      <w:r>
        <w:rPr/>
        <w:drawing>
          <wp:anchor distT="0" distB="0" distL="0" distR="0" allowOverlap="1" layoutInCell="1" locked="0" behindDoc="0" simplePos="0" relativeHeight="1048">
            <wp:simplePos x="0" y="0"/>
            <wp:positionH relativeFrom="page">
              <wp:posOffset>2700654</wp:posOffset>
            </wp:positionH>
            <wp:positionV relativeFrom="paragraph">
              <wp:posOffset>729256</wp:posOffset>
            </wp:positionV>
            <wp:extent cx="2160270" cy="349250"/>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60270" cy="349250"/>
                    </a:xfrm>
                    <a:prstGeom prst="rect">
                      <a:avLst/>
                    </a:prstGeom>
                  </pic:spPr>
                </pic:pic>
              </a:graphicData>
            </a:graphic>
          </wp:anchor>
        </w:drawing>
      </w:r>
      <w:r>
        <w:rPr/>
        <w:drawing>
          <wp:anchor distT="0" distB="0" distL="0" distR="0" allowOverlap="1" layoutInCell="1" locked="0" behindDoc="0" simplePos="0" relativeHeight="1072">
            <wp:simplePos x="0" y="0"/>
            <wp:positionH relativeFrom="page">
              <wp:posOffset>389890</wp:posOffset>
            </wp:positionH>
            <wp:positionV relativeFrom="paragraph">
              <wp:posOffset>101241</wp:posOffset>
            </wp:positionV>
            <wp:extent cx="2486025" cy="497840"/>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2486025" cy="497840"/>
                    </a:xfrm>
                    <a:prstGeom prst="rect">
                      <a:avLst/>
                    </a:prstGeom>
                  </pic:spPr>
                </pic:pic>
              </a:graphicData>
            </a:graphic>
          </wp:anchor>
        </w:drawing>
      </w:r>
      <w:r>
        <w:rPr>
          <w:sz w:val="18"/>
        </w:rPr>
        <w:t>太平人寿</w:t>
      </w:r>
      <w:r>
        <w:rPr>
          <w:rFonts w:ascii="Times New Roman" w:eastAsia="Times New Roman"/>
          <w:sz w:val="18"/>
        </w:rPr>
        <w:t>[2017]</w:t>
      </w:r>
      <w:r>
        <w:rPr>
          <w:sz w:val="18"/>
        </w:rPr>
        <w:t>疾病保险 </w:t>
      </w:r>
      <w:r>
        <w:rPr>
          <w:rFonts w:ascii="Times New Roman" w:eastAsia="Times New Roman"/>
          <w:sz w:val="18"/>
        </w:rPr>
        <w:t>016 </w:t>
      </w:r>
      <w:r>
        <w:rPr>
          <w:sz w:val="18"/>
        </w:rPr>
        <w:t>号</w:t>
      </w:r>
    </w:p>
    <w:p>
      <w:pPr>
        <w:spacing w:before="18"/>
        <w:ind w:left="0" w:right="497" w:firstLine="0"/>
        <w:jc w:val="right"/>
        <w:rPr>
          <w:sz w:val="18"/>
        </w:rPr>
      </w:pPr>
      <w:r>
        <w:rPr>
          <w:sz w:val="18"/>
        </w:rPr>
        <w:t>请扫描以查询验证条款</w:t>
      </w:r>
    </w:p>
    <w:p>
      <w:pPr>
        <w:pStyle w:val="BodyText"/>
        <w:spacing w:before="3"/>
        <w:rPr>
          <w:sz w:val="19"/>
        </w:rPr>
      </w:pPr>
    </w:p>
    <w:p>
      <w:pPr>
        <w:spacing w:before="17"/>
        <w:ind w:left="2531" w:right="0" w:firstLine="0"/>
        <w:jc w:val="left"/>
        <w:rPr>
          <w:b/>
          <w:sz w:val="30"/>
        </w:rPr>
      </w:pPr>
      <w:r>
        <w:rPr>
          <w:b/>
          <w:sz w:val="30"/>
        </w:rPr>
        <w:t>太平附加吉祥安康重大疾病保险（</w:t>
      </w:r>
      <w:r>
        <w:rPr>
          <w:rFonts w:ascii="Times New Roman" w:eastAsia="Times New Roman"/>
          <w:b/>
          <w:sz w:val="30"/>
        </w:rPr>
        <w:t>B </w:t>
      </w:r>
      <w:r>
        <w:rPr>
          <w:b/>
          <w:sz w:val="30"/>
        </w:rPr>
        <w:t>款）条款</w:t>
      </w:r>
    </w:p>
    <w:p>
      <w:pPr>
        <w:pStyle w:val="BodyText"/>
        <w:spacing w:before="3"/>
        <w:rPr>
          <w:b/>
          <w:sz w:val="44"/>
        </w:rPr>
      </w:pPr>
    </w:p>
    <w:p>
      <w:pPr>
        <w:spacing w:before="0"/>
        <w:ind w:left="4833" w:right="4455" w:firstLine="0"/>
        <w:jc w:val="center"/>
        <w:rPr>
          <w:b/>
          <w:sz w:val="28"/>
        </w:rPr>
      </w:pPr>
      <w:r>
        <w:rPr>
          <w:b/>
          <w:sz w:val="28"/>
        </w:rPr>
        <w:t>特别提示</w:t>
      </w:r>
    </w:p>
    <w:p>
      <w:pPr>
        <w:pStyle w:val="BodyText"/>
        <w:rPr>
          <w:b/>
          <w:sz w:val="28"/>
        </w:rPr>
      </w:pPr>
    </w:p>
    <w:p>
      <w:pPr>
        <w:pStyle w:val="BodyText"/>
        <w:rPr>
          <w:b/>
          <w:sz w:val="30"/>
        </w:rPr>
      </w:pPr>
    </w:p>
    <w:p>
      <w:pPr>
        <w:spacing w:before="0"/>
        <w:ind w:left="1058" w:right="0" w:firstLine="0"/>
        <w:jc w:val="left"/>
        <w:rPr>
          <w:sz w:val="24"/>
        </w:rPr>
      </w:pPr>
      <w:r>
        <w:rPr>
          <w:sz w:val="24"/>
        </w:rPr>
        <w:t>感谢您选择了太平人寿保险有限公司。</w:t>
      </w:r>
    </w:p>
    <w:p>
      <w:pPr>
        <w:spacing w:line="549" w:lineRule="auto" w:before="46"/>
        <w:ind w:left="1060" w:right="2358" w:hanging="3"/>
        <w:jc w:val="left"/>
        <w:rPr>
          <w:b/>
          <w:sz w:val="24"/>
        </w:rPr>
      </w:pPr>
      <w:r>
        <w:rPr/>
        <w:pict>
          <v:shapetype id="_x0000_t202" o:spt="202" coordsize="21600,21600" path="m,l,21600r21600,l21600,xe">
            <v:stroke joinstyle="miter"/>
            <v:path gradientshapeok="t" o:connecttype="rect"/>
          </v:shapetype>
          <v:shape style="position:absolute;margin-left:67.304001pt;margin-top:59.622242pt;width:486pt;height:141.550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48"/>
                    <w:gridCol w:w="7885"/>
                  </w:tblGrid>
                  <w:tr>
                    <w:trPr>
                      <w:trHeight w:val="859" w:hRule="atLeast"/>
                    </w:trPr>
                    <w:tc>
                      <w:tcPr>
                        <w:tcW w:w="1388" w:type="dxa"/>
                      </w:tcPr>
                      <w:p>
                        <w:pPr>
                          <w:pStyle w:val="TableParagraph"/>
                          <w:spacing w:line="248" w:lineRule="exact"/>
                          <w:ind w:left="200"/>
                          <w:rPr>
                            <w:b/>
                            <w:sz w:val="24"/>
                          </w:rPr>
                        </w:pPr>
                        <w:r>
                          <w:rPr>
                            <w:b/>
                            <w:w w:val="95"/>
                            <w:sz w:val="24"/>
                          </w:rPr>
                          <w:t>投保人</w:t>
                        </w:r>
                      </w:p>
                    </w:tc>
                    <w:tc>
                      <w:tcPr>
                        <w:tcW w:w="448" w:type="dxa"/>
                      </w:tcPr>
                      <w:p>
                        <w:pPr>
                          <w:pStyle w:val="TableParagraph"/>
                          <w:spacing w:line="266" w:lineRule="exact"/>
                          <w:ind w:left="0" w:right="142"/>
                          <w:jc w:val="right"/>
                          <w:rPr>
                            <w:rFonts w:ascii="Times New Roman"/>
                            <w:b/>
                            <w:sz w:val="24"/>
                          </w:rPr>
                        </w:pPr>
                        <w:r>
                          <w:rPr>
                            <w:rFonts w:ascii="Times New Roman"/>
                            <w:b/>
                            <w:w w:val="99"/>
                            <w:sz w:val="24"/>
                          </w:rPr>
                          <w:t>:</w:t>
                        </w:r>
                      </w:p>
                    </w:tc>
                    <w:tc>
                      <w:tcPr>
                        <w:tcW w:w="7885" w:type="dxa"/>
                      </w:tcPr>
                      <w:p>
                        <w:pPr>
                          <w:pStyle w:val="TableParagraph"/>
                          <w:spacing w:line="248" w:lineRule="exact"/>
                          <w:ind w:left="142"/>
                          <w:rPr>
                            <w:sz w:val="24"/>
                          </w:rPr>
                        </w:pPr>
                        <w:r>
                          <w:rPr>
                            <w:sz w:val="24"/>
                          </w:rPr>
                          <w:t>是指与保险公司订立保险合同的人，按照保险合同负有支付保险费的义</w:t>
                        </w:r>
                      </w:p>
                      <w:p>
                        <w:pPr>
                          <w:pStyle w:val="TableParagraph"/>
                          <w:spacing w:before="46"/>
                          <w:ind w:left="142"/>
                          <w:rPr>
                            <w:sz w:val="24"/>
                          </w:rPr>
                        </w:pPr>
                        <w:r>
                          <w:rPr>
                            <w:sz w:val="24"/>
                          </w:rPr>
                          <w:t>务。在本附加合同中以“您”代称。</w:t>
                        </w:r>
                      </w:p>
                    </w:tc>
                  </w:tr>
                  <w:tr>
                    <w:trPr>
                      <w:trHeight w:val="1111" w:hRule="atLeast"/>
                    </w:trPr>
                    <w:tc>
                      <w:tcPr>
                        <w:tcW w:w="1388" w:type="dxa"/>
                      </w:tcPr>
                      <w:p>
                        <w:pPr>
                          <w:pStyle w:val="TableParagraph"/>
                          <w:spacing w:before="185"/>
                          <w:ind w:left="200"/>
                          <w:rPr>
                            <w:b/>
                            <w:sz w:val="24"/>
                          </w:rPr>
                        </w:pPr>
                        <w:r>
                          <w:rPr>
                            <w:b/>
                            <w:sz w:val="24"/>
                          </w:rPr>
                          <w:t>被保险人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276" w:lineRule="auto" w:before="185"/>
                          <w:ind w:left="142" w:right="199"/>
                          <w:rPr>
                            <w:sz w:val="24"/>
                          </w:rPr>
                        </w:pPr>
                        <w:r>
                          <w:rPr>
                            <w:sz w:val="24"/>
                          </w:rPr>
                          <w:t>在人身保险合同中是指人身受保险合同保障，享有保险金请求权的人。投保人也可以为自己投保，成为被保险人。</w:t>
                        </w:r>
                      </w:p>
                    </w:tc>
                  </w:tr>
                  <w:tr>
                    <w:trPr>
                      <w:trHeight w:val="859" w:hRule="atLeast"/>
                    </w:trPr>
                    <w:tc>
                      <w:tcPr>
                        <w:tcW w:w="1388" w:type="dxa"/>
                      </w:tcPr>
                      <w:p>
                        <w:pPr>
                          <w:pStyle w:val="TableParagraph"/>
                          <w:spacing w:before="185"/>
                          <w:ind w:left="200"/>
                          <w:rPr>
                            <w:b/>
                            <w:sz w:val="24"/>
                          </w:rPr>
                        </w:pPr>
                        <w:r>
                          <w:rPr>
                            <w:b/>
                            <w:w w:val="95"/>
                            <w:sz w:val="24"/>
                          </w:rPr>
                          <w:t>受益人</w:t>
                        </w:r>
                      </w:p>
                    </w:tc>
                    <w:tc>
                      <w:tcPr>
                        <w:tcW w:w="448" w:type="dxa"/>
                      </w:tcPr>
                      <w:p>
                        <w:pPr>
                          <w:pStyle w:val="TableParagraph"/>
                          <w:spacing w:before="6"/>
                          <w:ind w:left="0"/>
                          <w:rPr>
                            <w:sz w:val="18"/>
                          </w:rPr>
                        </w:pPr>
                      </w:p>
                      <w:p>
                        <w:pPr>
                          <w:pStyle w:val="TableParagraph"/>
                          <w:ind w:left="0" w:right="142"/>
                          <w:jc w:val="right"/>
                          <w:rPr>
                            <w:rFonts w:ascii="Times New Roman"/>
                            <w:b/>
                            <w:sz w:val="24"/>
                          </w:rPr>
                        </w:pPr>
                        <w:r>
                          <w:rPr>
                            <w:rFonts w:ascii="Times New Roman"/>
                            <w:b/>
                            <w:w w:val="99"/>
                            <w:sz w:val="24"/>
                          </w:rPr>
                          <w:t>:</w:t>
                        </w:r>
                      </w:p>
                    </w:tc>
                    <w:tc>
                      <w:tcPr>
                        <w:tcW w:w="7885" w:type="dxa"/>
                      </w:tcPr>
                      <w:p>
                        <w:pPr>
                          <w:pStyle w:val="TableParagraph"/>
                          <w:spacing w:line="360" w:lineRule="atLeast" w:before="139"/>
                          <w:ind w:left="142" w:right="199"/>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22"/>
        </w:rPr>
      </w:pPr>
    </w:p>
    <w:p>
      <w:pPr>
        <w:spacing w:before="1"/>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59" w:lineRule="auto" w:before="46" w:after="0"/>
        <w:ind w:left="1898" w:right="620" w:hanging="420"/>
        <w:jc w:val="left"/>
        <w:rPr>
          <w:b/>
          <w:sz w:val="24"/>
        </w:rPr>
      </w:pPr>
      <w:r>
        <w:rPr>
          <w:b/>
          <w:spacing w:val="-5"/>
          <w:sz w:val="24"/>
        </w:rPr>
        <w:t>签收本附加合同之日起 </w:t>
      </w:r>
      <w:r>
        <w:rPr>
          <w:rFonts w:ascii="Times New Roman" w:eastAsia="Times New Roman"/>
          <w:b/>
          <w:sz w:val="24"/>
        </w:rPr>
        <w:t>15</w:t>
      </w:r>
      <w:r>
        <w:rPr>
          <w:rFonts w:ascii="Times New Roman" w:eastAsia="Times New Roman"/>
          <w:b/>
          <w:spacing w:val="12"/>
          <w:sz w:val="24"/>
        </w:rPr>
        <w:t> </w:t>
      </w:r>
      <w:r>
        <w:rPr>
          <w:b/>
          <w:sz w:val="24"/>
        </w:rPr>
        <w:t>日（即犹豫期）内您若要求解除保险合同，我们仅扣除</w:t>
      </w:r>
      <w:r>
        <w:rPr>
          <w:b/>
          <w:w w:val="85"/>
          <w:sz w:val="24"/>
        </w:rPr>
        <w:t>工本费</w:t>
      </w:r>
      <w:r>
        <w:rPr>
          <w:rFonts w:ascii="Courier New" w:eastAsia="Courier New"/>
          <w:b/>
          <w:w w:val="85"/>
          <w:sz w:val="24"/>
        </w:rPr>
        <w:t>.........................................................</w:t>
      </w:r>
      <w:r>
        <w:rPr>
          <w:b/>
          <w:w w:val="85"/>
          <w:sz w:val="24"/>
        </w:rPr>
        <w:t>第十三条</w:t>
      </w:r>
    </w:p>
    <w:p>
      <w:pPr>
        <w:pStyle w:val="ListParagraph"/>
        <w:numPr>
          <w:ilvl w:val="0"/>
          <w:numId w:val="1"/>
        </w:numPr>
        <w:tabs>
          <w:tab w:pos="1897" w:val="left" w:leader="none"/>
          <w:tab w:pos="1898" w:val="left" w:leader="none"/>
        </w:tabs>
        <w:spacing w:line="338" w:lineRule="exact" w:before="0" w:after="0"/>
        <w:ind w:left="1898" w:right="0" w:hanging="420"/>
        <w:jc w:val="left"/>
        <w:rPr>
          <w:b/>
          <w:sz w:val="24"/>
        </w:rPr>
      </w:pPr>
      <w:r>
        <w:rPr>
          <w:b/>
          <w:spacing w:val="-9"/>
          <w:w w:val="90"/>
          <w:sz w:val="24"/>
        </w:rPr>
        <w:t>本产品保险责任有等待期，请您留意</w:t>
      </w:r>
      <w:r>
        <w:rPr>
          <w:rFonts w:ascii="Courier New" w:eastAsia="Courier New"/>
          <w:b/>
          <w:w w:val="90"/>
          <w:sz w:val="24"/>
        </w:rPr>
        <w:t>..................................</w:t>
      </w:r>
      <w:r>
        <w:rPr>
          <w:b/>
          <w:w w:val="90"/>
          <w:sz w:val="24"/>
        </w:rPr>
        <w:t>第六条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11"/>
          <w:w w:val="90"/>
          <w:sz w:val="24"/>
        </w:rPr>
        <w:t>在部分情况下，我们不承担保险责任</w:t>
      </w:r>
      <w:r>
        <w:rPr>
          <w:rFonts w:ascii="Courier New" w:eastAsia="Courier New"/>
          <w:b/>
          <w:w w:val="90"/>
          <w:sz w:val="24"/>
        </w:rPr>
        <w:t>..................................</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第十四条</w:t>
      </w:r>
    </w:p>
    <w:p>
      <w:pPr>
        <w:pStyle w:val="BodyText"/>
        <w:rPr>
          <w:b/>
          <w:sz w:val="26"/>
        </w:rPr>
      </w:pPr>
    </w:p>
    <w:p>
      <w:pPr>
        <w:pStyle w:val="BodyText"/>
        <w:spacing w:before="7"/>
        <w:rPr>
          <w:b/>
          <w:sz w:val="29"/>
        </w:rPr>
      </w:pPr>
    </w:p>
    <w:p>
      <w:pPr>
        <w:spacing w:line="276" w:lineRule="auto" w:before="0"/>
        <w:ind w:left="1058" w:right="50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2"/>
          <w:w w:val="95"/>
          <w:position w:val="-8"/>
          <w:sz w:val="24"/>
        </w:rPr>
        <w:t>．</w:t>
      </w:r>
      <w:r>
        <w:rPr>
          <w:b/>
          <w:spacing w:val="-168"/>
          <w:w w:val="95"/>
          <w:sz w:val="24"/>
        </w:rPr>
        <w:t>并</w:t>
      </w:r>
      <w:r>
        <w:rPr>
          <w:spacing w:val="-72"/>
          <w:w w:val="95"/>
          <w:position w:val="-8"/>
          <w:sz w:val="24"/>
        </w:rPr>
        <w:t>．</w:t>
      </w:r>
      <w:r>
        <w:rPr>
          <w:b/>
          <w:spacing w:val="-168"/>
          <w:w w:val="95"/>
          <w:sz w:val="24"/>
        </w:rPr>
        <w:t>关</w:t>
      </w:r>
      <w:r>
        <w:rPr>
          <w:spacing w:val="-70"/>
          <w:w w:val="95"/>
          <w:position w:val="-8"/>
          <w:sz w:val="24"/>
        </w:rPr>
        <w:t>．</w:t>
      </w:r>
      <w:r>
        <w:rPr>
          <w:b/>
          <w:spacing w:val="-168"/>
          <w:w w:val="95"/>
          <w:sz w:val="24"/>
        </w:rPr>
        <w:t>注</w:t>
      </w:r>
      <w:r>
        <w:rPr>
          <w:spacing w:val="-73"/>
          <w:w w:val="95"/>
          <w:position w:val="-8"/>
          <w:sz w:val="24"/>
        </w:rPr>
        <w:t>．</w:t>
      </w:r>
      <w:r>
        <w:rPr>
          <w:b/>
          <w:spacing w:val="-168"/>
          <w:w w:val="95"/>
          <w:sz w:val="24"/>
        </w:rPr>
        <w:t>注</w:t>
      </w:r>
      <w:r>
        <w:rPr>
          <w:spacing w:val="-71"/>
          <w:w w:val="95"/>
          <w:position w:val="-8"/>
          <w:sz w:val="24"/>
        </w:rPr>
        <w:t>．</w:t>
      </w:r>
      <w:r>
        <w:rPr>
          <w:b/>
          <w:spacing w:val="-168"/>
          <w:w w:val="95"/>
          <w:sz w:val="24"/>
        </w:rPr>
        <w:t>释</w:t>
      </w:r>
      <w:r>
        <w:rPr>
          <w:spacing w:val="-73"/>
          <w:w w:val="95"/>
          <w:position w:val="-8"/>
          <w:sz w:val="24"/>
        </w:rPr>
        <w:t>．</w:t>
      </w:r>
      <w:r>
        <w:rPr>
          <w:b/>
          <w:spacing w:val="-168"/>
          <w:w w:val="95"/>
          <w:sz w:val="24"/>
        </w:rPr>
        <w:t>内</w:t>
      </w:r>
      <w:r>
        <w:rPr>
          <w:spacing w:val="-73"/>
          <w:w w:val="95"/>
          <w:position w:val="-8"/>
          <w:sz w:val="24"/>
        </w:rPr>
        <w:t>．</w:t>
      </w:r>
      <w:r>
        <w:rPr>
          <w:b/>
          <w:spacing w:val="-168"/>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8"/>
        </w:rPr>
      </w:pPr>
    </w:p>
    <w:p>
      <w:pPr>
        <w:pStyle w:val="BodyText"/>
        <w:spacing w:before="43"/>
        <w:ind w:left="4744" w:right="4783"/>
        <w:jc w:val="center"/>
      </w:pPr>
      <w:r>
        <w:rPr/>
        <w:t>第</w:t>
      </w:r>
      <w:r>
        <w:rPr>
          <w:rFonts w:ascii="Times New Roman" w:eastAsia="Times New Roman"/>
        </w:rPr>
        <w:t>1</w:t>
      </w:r>
      <w:r>
        <w:rPr/>
        <w:t>页，共</w:t>
      </w:r>
      <w:r>
        <w:rPr>
          <w:rFonts w:ascii="Times New Roman" w:eastAsia="Times New Roman"/>
        </w:rPr>
        <w:t>12</w:t>
      </w:r>
      <w:r>
        <w:rPr/>
        <w:t>页</w:t>
      </w:r>
    </w:p>
    <w:p>
      <w:pPr>
        <w:spacing w:after="0"/>
        <w:jc w:val="center"/>
        <w:sectPr>
          <w:type w:val="continuous"/>
          <w:pgSz w:w="11910" w:h="16160"/>
          <w:pgMar w:top="420" w:bottom="280" w:left="500" w:right="300"/>
        </w:sectPr>
      </w:pPr>
    </w:p>
    <w:p>
      <w:pPr>
        <w:pStyle w:val="BodyText"/>
        <w:spacing w:before="10"/>
        <w:rPr>
          <w:sz w:val="11"/>
        </w:rPr>
      </w:pPr>
    </w:p>
    <w:p>
      <w:pPr>
        <w:tabs>
          <w:tab w:pos="1118" w:val="left" w:leader="none"/>
        </w:tabs>
        <w:spacing w:before="26"/>
        <w:ind w:left="275"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9748" w:val="right" w:leader="dot"/>
            </w:tabs>
            <w:spacing w:before="613"/>
            <w:rPr>
              <w:rFonts w:ascii="Times New Roman" w:eastAsia="Times New Roman"/>
            </w:rPr>
          </w:pPr>
          <w:r>
            <w:fldChar w:fldCharType="begin"/>
          </w:r>
          <w:r>
            <w:instrText>TOC \o "1-2" \h \z \u </w:instrText>
          </w:r>
          <w:r>
            <w:fldChar w:fldCharType="separate"/>
          </w:r>
          <w:hyperlink w:history="true" w:anchor="_bookmark0">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737" w:val="left" w:leader="none"/>
              <w:tab w:pos="9747"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9748" w:val="right" w:leader="dot"/>
            </w:tabs>
            <w:spacing w:before="41"/>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37" w:val="left" w:leader="none"/>
              <w:tab w:pos="9747" w:val="right" w:leader="dot"/>
            </w:tabs>
            <w:spacing w:before="41"/>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37" w:val="left" w:leader="none"/>
              <w:tab w:pos="9747" w:val="right" w:leader="dot"/>
            </w:tabs>
            <w:spacing w:before="63"/>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37" w:val="left" w:leader="none"/>
              <w:tab w:pos="9747" w:val="right" w:leader="dot"/>
            </w:tabs>
            <w:rPr>
              <w:rFonts w:ascii="Times New Roman" w:eastAsia="Times New Roman"/>
            </w:rPr>
          </w:pPr>
          <w:hyperlink w:history="true" w:anchor="_bookmark9">
            <w:r>
              <w:rPr/>
              <w:t>第八条</w:t>
              <w:tab/>
              <w:t>责任免除</w:t>
              <w:tab/>
            </w:r>
            <w:r>
              <w:rPr>
                <w:rFonts w:ascii="Times New Roman" w:eastAsia="Times New Roman"/>
              </w:rPr>
              <w:t>4</w:t>
            </w:r>
          </w:hyperlink>
        </w:p>
        <w:p>
          <w:pPr>
            <w:pStyle w:val="TOC1"/>
            <w:tabs>
              <w:tab w:pos="1377" w:val="left" w:leader="none"/>
              <w:tab w:pos="9748" w:val="right" w:leader="dot"/>
            </w:tabs>
            <w:rPr>
              <w:rFonts w:ascii="Times New Roman" w:eastAsia="Times New Roman"/>
            </w:rPr>
          </w:pPr>
          <w:hyperlink w:history="true" w:anchor="_bookmark10">
            <w:r>
              <w:rPr/>
              <w:t>第三部分</w:t>
              <w:tab/>
              <w:t>如何支付保险费</w:t>
              <w:tab/>
            </w:r>
            <w:r>
              <w:rPr>
                <w:rFonts w:ascii="Times New Roman" w:eastAsia="Times New Roman"/>
              </w:rPr>
              <w:t>5</w:t>
            </w:r>
          </w:hyperlink>
        </w:p>
        <w:p>
          <w:pPr>
            <w:pStyle w:val="TOC2"/>
            <w:tabs>
              <w:tab w:pos="1737" w:val="left" w:leader="none"/>
              <w:tab w:pos="9747" w:val="right" w:leader="dot"/>
            </w:tabs>
            <w:spacing w:before="42"/>
            <w:rPr>
              <w:rFonts w:ascii="Times New Roman" w:eastAsia="Times New Roman"/>
            </w:rPr>
          </w:pPr>
          <w:hyperlink w:history="true" w:anchor="_bookmark11">
            <w:r>
              <w:rPr/>
              <w:t>第九条</w:t>
              <w:tab/>
              <w:t>保险费的支付</w:t>
              <w:tab/>
            </w:r>
            <w:r>
              <w:rPr>
                <w:rFonts w:ascii="Times New Roman" w:eastAsia="Times New Roman"/>
              </w:rPr>
              <w:t>5</w:t>
            </w:r>
          </w:hyperlink>
        </w:p>
        <w:p>
          <w:pPr>
            <w:pStyle w:val="TOC1"/>
            <w:tabs>
              <w:tab w:pos="1377" w:val="left" w:leader="none"/>
              <w:tab w:pos="9748" w:val="right" w:leader="dot"/>
            </w:tabs>
            <w:rPr>
              <w:rFonts w:ascii="Times New Roman" w:eastAsia="Times New Roman"/>
            </w:rPr>
          </w:pPr>
          <w:hyperlink w:history="true" w:anchor="_bookmark12">
            <w:r>
              <w:rPr/>
              <w:t>第四部分</w:t>
              <w:tab/>
              <w:t>如何申请保险金</w:t>
              <w:tab/>
            </w:r>
            <w:r>
              <w:rPr>
                <w:rFonts w:ascii="Times New Roman" w:eastAsia="Times New Roman"/>
              </w:rPr>
              <w:t>5</w:t>
            </w:r>
          </w:hyperlink>
        </w:p>
        <w:p>
          <w:pPr>
            <w:pStyle w:val="TOC2"/>
            <w:tabs>
              <w:tab w:pos="1737" w:val="left" w:leader="none"/>
              <w:tab w:pos="9747" w:val="right" w:leader="dot"/>
            </w:tabs>
            <w:spacing w:before="41"/>
            <w:rPr>
              <w:rFonts w:ascii="Times New Roman" w:eastAsia="Times New Roman"/>
            </w:rPr>
          </w:pPr>
          <w:hyperlink w:history="true" w:anchor="_bookmark13">
            <w:r>
              <w:rPr/>
              <w:t>第十条</w:t>
              <w:tab/>
              <w:t>受益人</w:t>
              <w:tab/>
            </w:r>
            <w:r>
              <w:rPr>
                <w:rFonts w:ascii="Times New Roman" w:eastAsia="Times New Roman"/>
              </w:rPr>
              <w:t>5</w:t>
            </w:r>
          </w:hyperlink>
        </w:p>
        <w:p>
          <w:pPr>
            <w:pStyle w:val="TOC2"/>
            <w:tabs>
              <w:tab w:pos="1737" w:val="left" w:leader="none"/>
              <w:tab w:pos="9747" w:val="right" w:leader="dot"/>
            </w:tabs>
            <w:rPr>
              <w:rFonts w:ascii="Times New Roman" w:eastAsia="Times New Roman"/>
            </w:rPr>
          </w:pPr>
          <w:hyperlink w:history="true" w:anchor="_bookmark14">
            <w:r>
              <w:rPr/>
              <w:t>第十一条</w:t>
              <w:tab/>
              <w:t>诉讼时效</w:t>
              <w:tab/>
            </w:r>
            <w:r>
              <w:rPr>
                <w:rFonts w:ascii="Times New Roman" w:eastAsia="Times New Roman"/>
              </w:rPr>
              <w:t>5</w:t>
            </w:r>
          </w:hyperlink>
        </w:p>
        <w:p>
          <w:pPr>
            <w:pStyle w:val="TOC2"/>
            <w:tabs>
              <w:tab w:pos="1737" w:val="left" w:leader="none"/>
              <w:tab w:pos="9747" w:val="right" w:leader="dot"/>
            </w:tabs>
            <w:rPr>
              <w:rFonts w:ascii="Times New Roman" w:eastAsia="Times New Roman"/>
            </w:rPr>
          </w:pPr>
          <w:hyperlink w:history="true" w:anchor="_bookmark15">
            <w:r>
              <w:rPr/>
              <w:t>第十二条</w:t>
              <w:tab/>
              <w:t>保险金申请</w:t>
              <w:tab/>
            </w:r>
            <w:r>
              <w:rPr>
                <w:rFonts w:ascii="Times New Roman" w:eastAsia="Times New Roman"/>
              </w:rPr>
              <w:t>5</w:t>
            </w:r>
          </w:hyperlink>
        </w:p>
        <w:p>
          <w:pPr>
            <w:pStyle w:val="TOC1"/>
            <w:tabs>
              <w:tab w:pos="1377" w:val="left" w:leader="none"/>
              <w:tab w:pos="9748" w:val="right" w:leader="dot"/>
            </w:tabs>
            <w:spacing w:before="41"/>
            <w:rPr>
              <w:rFonts w:ascii="Times New Roman" w:eastAsia="Times New Roman"/>
            </w:rPr>
          </w:pPr>
          <w:hyperlink w:history="true" w:anchor="_bookmark16">
            <w:r>
              <w:rPr/>
              <w:t>第五部分</w:t>
              <w:tab/>
              <w:t>您还享有哪些权益</w:t>
              <w:tab/>
            </w:r>
            <w:r>
              <w:rPr>
                <w:rFonts w:ascii="Times New Roman" w:eastAsia="Times New Roman"/>
              </w:rPr>
              <w:t>6</w:t>
            </w:r>
          </w:hyperlink>
        </w:p>
        <w:p>
          <w:pPr>
            <w:pStyle w:val="TOC2"/>
            <w:tabs>
              <w:tab w:pos="1737" w:val="left" w:leader="none"/>
              <w:tab w:pos="9747" w:val="right" w:leader="dot"/>
            </w:tabs>
            <w:spacing w:before="41"/>
            <w:rPr>
              <w:rFonts w:ascii="Times New Roman" w:eastAsia="Times New Roman"/>
            </w:rPr>
          </w:pPr>
          <w:hyperlink w:history="true" w:anchor="_bookmark17">
            <w:r>
              <w:rPr/>
              <w:t>第十三条</w:t>
              <w:tab/>
              <w:t>犹豫期</w:t>
              <w:tab/>
            </w:r>
            <w:r>
              <w:rPr>
                <w:rFonts w:ascii="Times New Roman" w:eastAsia="Times New Roman"/>
              </w:rPr>
              <w:t>6</w:t>
            </w:r>
          </w:hyperlink>
        </w:p>
        <w:p>
          <w:pPr>
            <w:pStyle w:val="TOC2"/>
            <w:tabs>
              <w:tab w:pos="1737" w:val="left" w:leader="none"/>
              <w:tab w:pos="9747" w:val="right" w:leader="dot"/>
            </w:tabs>
            <w:spacing w:before="63"/>
            <w:rPr>
              <w:rFonts w:ascii="Times New Roman" w:eastAsia="Times New Roman"/>
            </w:rPr>
          </w:pPr>
          <w:hyperlink w:history="true" w:anchor="_bookmark18">
            <w:r>
              <w:rPr/>
              <w:t>第十四条</w:t>
              <w:tab/>
              <w:t>您解除合同的手续及风险</w:t>
              <w:tab/>
            </w:r>
            <w:r>
              <w:rPr>
                <w:rFonts w:ascii="Times New Roman" w:eastAsia="Times New Roman"/>
              </w:rPr>
              <w:t>6</w:t>
            </w:r>
          </w:hyperlink>
        </w:p>
        <w:p>
          <w:pPr>
            <w:pStyle w:val="TOC1"/>
            <w:tabs>
              <w:tab w:pos="1377" w:val="left" w:leader="none"/>
              <w:tab w:pos="9748" w:val="right" w:leader="dot"/>
            </w:tabs>
            <w:rPr>
              <w:rFonts w:ascii="Times New Roman" w:eastAsia="Times New Roman"/>
            </w:rPr>
          </w:pPr>
          <w:hyperlink w:history="true" w:anchor="_bookmark19">
            <w:r>
              <w:rPr/>
              <w:t>第六部分</w:t>
              <w:tab/>
              <w:t>您必须了解的其他</w:t>
            </w:r>
            <w:r>
              <w:rPr>
                <w:spacing w:val="-3"/>
              </w:rPr>
              <w:t>事</w:t>
            </w:r>
            <w:r>
              <w:rPr/>
              <w:t>项</w:t>
              <w:tab/>
            </w:r>
            <w:r>
              <w:rPr>
                <w:rFonts w:ascii="Times New Roman" w:eastAsia="Times New Roman"/>
              </w:rPr>
              <w:t>6</w:t>
            </w:r>
          </w:hyperlink>
        </w:p>
        <w:p>
          <w:pPr>
            <w:pStyle w:val="TOC2"/>
            <w:tabs>
              <w:tab w:pos="1737" w:val="left" w:leader="none"/>
              <w:tab w:pos="9747" w:val="right" w:leader="dot"/>
            </w:tabs>
            <w:spacing w:before="41"/>
            <w:rPr>
              <w:rFonts w:ascii="Times New Roman" w:eastAsia="Times New Roman"/>
            </w:rPr>
          </w:pPr>
          <w:hyperlink w:history="true" w:anchor="_bookmark20">
            <w:r>
              <w:rPr/>
              <w:t>第十五条</w:t>
              <w:tab/>
              <w:t>保险合同的终止</w:t>
              <w:tab/>
            </w:r>
            <w:r>
              <w:rPr>
                <w:rFonts w:ascii="Times New Roman" w:eastAsia="Times New Roman"/>
              </w:rPr>
              <w:t>6</w:t>
            </w:r>
          </w:hyperlink>
        </w:p>
        <w:p>
          <w:pPr>
            <w:pStyle w:val="TOC2"/>
            <w:tabs>
              <w:tab w:pos="1737" w:val="left" w:leader="none"/>
              <w:tab w:pos="9747" w:val="right" w:leader="dot"/>
            </w:tabs>
            <w:rPr>
              <w:rFonts w:ascii="Times New Roman" w:eastAsia="Times New Roman"/>
            </w:rPr>
          </w:pPr>
          <w:hyperlink w:history="true" w:anchor="_bookmark21">
            <w:r>
              <w:rPr/>
              <w:t>第十六条</w:t>
              <w:tab/>
              <w:t>重大疾病的种类及定义</w:t>
              <w:tab/>
            </w:r>
            <w:r>
              <w:rPr>
                <w:rFonts w:ascii="Times New Roman" w:eastAsia="Times New Roman"/>
              </w:rPr>
              <w:t>6</w:t>
            </w:r>
          </w:hyperlink>
        </w:p>
        <w:p>
          <w:pPr>
            <w:pStyle w:val="TOC2"/>
            <w:tabs>
              <w:tab w:pos="1737" w:val="left" w:leader="none"/>
              <w:tab w:pos="9743" w:val="right" w:leader="dot"/>
            </w:tabs>
            <w:rPr>
              <w:rFonts w:ascii="Times New Roman" w:eastAsia="Times New Roman"/>
            </w:rPr>
          </w:pPr>
          <w:hyperlink w:history="true" w:anchor="_bookmark22">
            <w:r>
              <w:rPr/>
              <w:t>第十七条</w:t>
              <w:tab/>
              <w:t>高发重大疾病的种类及定义</w:t>
              <w:tab/>
            </w:r>
            <w:r>
              <w:rPr>
                <w:rFonts w:ascii="Times New Roman" w:eastAsia="Times New Roman"/>
                <w:spacing w:val="-6"/>
              </w:rPr>
              <w:t>11</w:t>
            </w:r>
          </w:hyperlink>
        </w:p>
        <w:p>
          <w:pPr/>
          <w:r>
            <w:fldChar w:fldCharType="end"/>
          </w:r>
        </w:p>
      </w:sdtContent>
    </w:sdt>
    <w:p>
      <w:pPr>
        <w:spacing w:after="0"/>
        <w:sectPr>
          <w:footerReference w:type="default" r:id="rId8"/>
          <w:pgSz w:w="11910" w:h="16160"/>
          <w:pgMar w:footer="1057" w:header="0" w:top="1520" w:bottom="1240" w:left="960" w:right="1080"/>
          <w:pgNumType w:start="2"/>
        </w:sectPr>
      </w:pPr>
    </w:p>
    <w:p>
      <w:pPr>
        <w:pStyle w:val="Heading1"/>
        <w:tabs>
          <w:tab w:pos="2888" w:val="left" w:leader="none"/>
        </w:tabs>
        <w:spacing w:line="314" w:lineRule="exact"/>
        <w:ind w:left="1469"/>
      </w:pPr>
      <w:bookmarkStart w:name="_bookmark0" w:id="1"/>
      <w:bookmarkEnd w:id="1"/>
      <w:r>
        <w:rPr>
          <w:b w:val="0"/>
        </w:rPr>
      </w:r>
      <w:r>
        <w:rPr/>
        <w:t>第一部分</w:t>
        <w:tab/>
      </w:r>
      <w:r>
        <w:rPr>
          <w:w w:val="95"/>
        </w:rPr>
        <w:t>您（投保人）与我们（太平人寿保险有限公司）的合同</w:t>
      </w:r>
    </w:p>
    <w:p>
      <w:pPr>
        <w:pStyle w:val="BodyText"/>
        <w:spacing w:before="11"/>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56" w:lineRule="auto" w:before="37"/>
        <w:ind w:left="117" w:right="114" w:firstLine="420"/>
      </w:pPr>
      <w:r>
        <w:rPr>
          <w:spacing w:val="-3"/>
        </w:rPr>
        <w:t>本附加合同依您的申请，可附加于我们提供的主合同《太平吉祥安康两全保险</w:t>
      </w:r>
      <w:r>
        <w:rPr/>
        <w:t>（</w:t>
      </w:r>
      <w:r>
        <w:rPr>
          <w:rFonts w:ascii="Times New Roman" w:hAnsi="Times New Roman" w:eastAsia="Times New Roman"/>
        </w:rPr>
        <w:t>B </w:t>
      </w:r>
      <w:r>
        <w:rPr>
          <w:spacing w:val="-3"/>
        </w:rPr>
        <w:t>款</w:t>
      </w:r>
      <w:r>
        <w:rPr>
          <w:spacing w:val="-106"/>
        </w:rPr>
        <w:t>）》</w:t>
      </w:r>
      <w:r>
        <w:rPr>
          <w:spacing w:val="-3"/>
        </w:rPr>
        <w:t>（以下简称“主</w:t>
      </w:r>
      <w:r>
        <w:rPr>
          <w:spacing w:val="-38"/>
          <w:w w:val="100"/>
        </w:rPr>
        <w:t>合同”</w:t>
      </w:r>
      <w:r>
        <w:rPr>
          <w:w w:val="100"/>
        </w:rPr>
        <w:t>）</w:t>
      </w:r>
      <w:r>
        <w:rPr>
          <w:spacing w:val="-3"/>
          <w:w w:val="100"/>
        </w:rPr>
        <w:t>之上，经我们审核同意，并在保险单或批注中列明后生效。</w:t>
      </w:r>
    </w:p>
    <w:p>
      <w:pPr>
        <w:pStyle w:val="BodyText"/>
        <w:spacing w:line="273" w:lineRule="auto" w:before="22"/>
        <w:ind w:left="117" w:right="119" w:firstLine="420"/>
      </w:pPr>
      <w:r>
        <w:rPr/>
        <w:t>主合同的条款中与本附加合同相关的部分均为本附加合同的构成部分，如果主合同与本附加合同的条款内容互有冲突，则以本附加合同为准。</w:t>
      </w:r>
    </w:p>
    <w:p>
      <w:pPr>
        <w:pStyle w:val="BodyText"/>
        <w:spacing w:before="5"/>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本附加合同接受的被保险人的投保年龄为出生满 </w:t>
      </w:r>
      <w:r>
        <w:rPr>
          <w:rFonts w:ascii="Times New Roman" w:eastAsia="Times New Roman"/>
        </w:rPr>
        <w:t>30 </w:t>
      </w:r>
      <w:r>
        <w:rPr/>
        <w:t>日至 </w:t>
      </w:r>
      <w:r>
        <w:rPr>
          <w:rFonts w:ascii="Times New Roman" w:eastAsia="Times New Roman"/>
        </w:rPr>
        <w:t>45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5"/>
        <w:rPr>
          <w:sz w:val="25"/>
        </w:rPr>
      </w:pPr>
    </w:p>
    <w:p>
      <w:pPr>
        <w:pStyle w:val="Heading2"/>
        <w:tabs>
          <w:tab w:pos="969" w:val="left" w:leader="none"/>
        </w:tabs>
        <w:spacing w:before="1"/>
      </w:pPr>
      <w:bookmarkStart w:name="_bookmark3" w:id="4"/>
      <w:bookmarkEnd w:id="4"/>
      <w:r>
        <w:rPr>
          <w:b w:val="0"/>
        </w:rPr>
      </w:r>
      <w:r>
        <w:rPr/>
        <w:t>第三条</w:t>
        <w:tab/>
        <w:t>保险合同成立与生效</w:t>
      </w:r>
    </w:p>
    <w:p>
      <w:pPr>
        <w:pStyle w:val="BodyText"/>
        <w:spacing w:before="37"/>
        <w:ind w:left="538"/>
      </w:pPr>
      <w:r>
        <w:rPr/>
        <w:t>您提出保险申请、我们同意承保，本附加合同成立。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6"/>
        <w:rPr>
          <w:sz w:val="25"/>
        </w:rPr>
      </w:pPr>
    </w:p>
    <w:p>
      <w:pPr>
        <w:pStyle w:val="Heading2"/>
        <w:tabs>
          <w:tab w:pos="969" w:val="left" w:leader="none"/>
        </w:tabs>
      </w:pPr>
      <w:bookmarkStart w:name="_bookmark4" w:id="5"/>
      <w:bookmarkEnd w:id="5"/>
      <w:r>
        <w:rPr>
          <w:b w:val="0"/>
        </w:rPr>
      </w:r>
      <w:r>
        <w:rPr/>
        <w:t>第四条</w:t>
        <w:tab/>
        <w:t>保险期间</w:t>
      </w:r>
    </w:p>
    <w:p>
      <w:pPr>
        <w:pStyle w:val="BodyText"/>
        <w:spacing w:before="37"/>
        <w:ind w:left="538"/>
      </w:pPr>
      <w:r>
        <w:rPr/>
        <w:t>本附加合同的保险期间与主合同保持一致。</w:t>
      </w:r>
    </w:p>
    <w:p>
      <w:pPr>
        <w:pStyle w:val="BodyText"/>
        <w:spacing w:before="7"/>
        <w:rPr>
          <w:sz w:val="24"/>
        </w:rPr>
      </w:pPr>
    </w:p>
    <w:p>
      <w:pPr>
        <w:pStyle w:val="Heading1"/>
        <w:tabs>
          <w:tab w:pos="1418" w:val="left" w:leader="none"/>
        </w:tabs>
        <w:ind w:right="2"/>
        <w:jc w:val="center"/>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before="37"/>
        <w:ind w:left="538"/>
      </w:pPr>
      <w:r>
        <w:rPr/>
        <w:t>在本附加合同保险期间内，本附加合同的基本保险金额与主合同的基本保险金额保持一致。</w:t>
      </w:r>
    </w:p>
    <w:p>
      <w:pPr>
        <w:pStyle w:val="BodyText"/>
        <w:spacing w:before="9"/>
        <w:rPr>
          <w:sz w:val="26"/>
        </w:rPr>
      </w:pPr>
    </w:p>
    <w:p>
      <w:pPr>
        <w:pStyle w:val="Heading2"/>
        <w:tabs>
          <w:tab w:pos="957" w:val="left" w:leader="none"/>
        </w:tabs>
      </w:pPr>
      <w:bookmarkStart w:name="_bookmark7" w:id="8"/>
      <w:bookmarkEnd w:id="8"/>
      <w:r>
        <w:rPr>
          <w:b w:val="0"/>
        </w:rPr>
      </w:r>
      <w:r>
        <w:rPr/>
        <w:t>第六条</w:t>
        <w:tab/>
        <w:t>等待期</w:t>
      </w:r>
    </w:p>
    <w:p>
      <w:pPr>
        <w:pStyle w:val="BodyText"/>
        <w:spacing w:before="36"/>
        <w:ind w:left="538"/>
      </w:pPr>
      <w:r>
        <w:rPr/>
        <w:t>自本附加合同生效日零时起 </w:t>
      </w:r>
      <w:r>
        <w:rPr>
          <w:rFonts w:ascii="Times New Roman" w:eastAsia="Times New Roman"/>
        </w:rPr>
        <w:t>90 </w:t>
      </w:r>
      <w:r>
        <w:rPr/>
        <w:t>日为等待期。如果本附加合同曾一次或多次恢复效力，则自每次合同效力</w:t>
      </w:r>
    </w:p>
    <w:p>
      <w:pPr>
        <w:pStyle w:val="BodyText"/>
        <w:spacing w:before="20"/>
        <w:ind w:left="117"/>
      </w:pPr>
      <w:r>
        <w:rPr/>
        <w:t>恢复之日零时起 </w:t>
      </w:r>
      <w:r>
        <w:rPr>
          <w:rFonts w:ascii="Times New Roman" w:eastAsia="Times New Roman"/>
        </w:rPr>
        <w:t>90 </w:t>
      </w:r>
      <w:r>
        <w:rPr/>
        <w:t>日均为等待期。</w:t>
      </w:r>
    </w:p>
    <w:p>
      <w:pPr>
        <w:pStyle w:val="BodyText"/>
        <w:spacing w:before="5"/>
        <w:rPr>
          <w:sz w:val="25"/>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6"/>
        <w:ind w:left="538" w:right="988"/>
      </w:pPr>
      <w:r>
        <w:rPr/>
        <w:t>在本附加合同保险期间内且本附加合同有效，我们按照下列约定承担给付相应保险金的责任： 一、重大疾病保险金</w:t>
      </w:r>
    </w:p>
    <w:p>
      <w:pPr>
        <w:spacing w:line="256" w:lineRule="auto" w:before="7"/>
        <w:ind w:left="117" w:right="118" w:firstLine="420"/>
        <w:jc w:val="left"/>
        <w:rPr>
          <w:sz w:val="21"/>
        </w:rPr>
      </w:pPr>
      <w:r>
        <w:rPr>
          <w:sz w:val="21"/>
        </w:rPr>
        <w:t>如果被保险人等待期后首次</w:t>
      </w:r>
      <w:r>
        <w:rPr>
          <w:b/>
          <w:sz w:val="21"/>
        </w:rPr>
        <w:t>发病</w:t>
      </w:r>
      <w:r>
        <w:rPr>
          <w:rFonts w:ascii="Times New Roman" w:eastAsia="Times New Roman"/>
          <w:b/>
          <w:sz w:val="21"/>
          <w:vertAlign w:val="superscript"/>
        </w:rPr>
        <w:t>4</w:t>
      </w:r>
      <w:r>
        <w:rPr>
          <w:rFonts w:ascii="Times New Roman" w:eastAsia="Times New Roman"/>
          <w:b/>
          <w:sz w:val="21"/>
          <w:vertAlign w:val="baseline"/>
        </w:rPr>
      </w:r>
      <w:r>
        <w:rPr>
          <w:sz w:val="21"/>
          <w:vertAlign w:val="baseline"/>
        </w:rPr>
        <w:t>并经</w:t>
      </w:r>
      <w:r>
        <w:rPr>
          <w:b/>
          <w:sz w:val="21"/>
          <w:vertAlign w:val="baseline"/>
        </w:rPr>
        <w:t>医院</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确诊初次患上一种或多种本附加合同第十六条所定义的重大疾病，我们按本附加合同当时的基本保险金额给付重大疾病保险金，</w:t>
      </w:r>
      <w:r>
        <w:rPr>
          <w:b/>
          <w:sz w:val="21"/>
          <w:vertAlign w:val="baseline"/>
        </w:rPr>
        <w:t>同时主合同及本附加合同终止</w:t>
      </w:r>
      <w:r>
        <w:rPr>
          <w:sz w:val="21"/>
          <w:vertAlign w:val="baseline"/>
        </w:rPr>
        <w:t>。</w:t>
      </w:r>
    </w:p>
    <w:p>
      <w:pPr>
        <w:pStyle w:val="BodyText"/>
        <w:spacing w:before="5"/>
        <w:rPr>
          <w:sz w:val="20"/>
        </w:rPr>
      </w:pPr>
      <w:r>
        <w:rPr/>
        <w:pict>
          <v:line style="position:absolute;mso-position-horizontal-relative:page;mso-position-vertical-relative:paragraph;z-index:1120;mso-wrap-distance-left:0;mso-wrap-distance-right:0" from="53.880001pt,15.541378pt" to="197.930001pt,15.541378pt" stroked="true" strokeweight=".47998pt" strokecolor="#000000">
            <v:stroke dashstyle="solid"/>
            <w10:wrap type="topAndBottom"/>
          </v:line>
        </w:pict>
      </w:r>
    </w:p>
    <w:p>
      <w:pPr>
        <w:pStyle w:val="BodyText"/>
        <w:spacing w:line="319" w:lineRule="exact"/>
        <w:ind w:left="117"/>
      </w:pPr>
      <w:r>
        <w:rPr>
          <w:rFonts w:ascii="Times New Roman" w:eastAsia="Times New Roman"/>
          <w:position w:val="10"/>
          <w:sz w:val="14"/>
        </w:rPr>
        <w:t>1</w:t>
      </w:r>
      <w:r>
        <w:rPr>
          <w:rFonts w:ascii="Microsoft JhengHei" w:eastAsia="Microsoft JhengHei" w:hint="eastAsia"/>
          <w:b/>
        </w:rPr>
        <w:t>周岁：</w:t>
      </w:r>
      <w:r>
        <w:rPr/>
        <w:t>指按照居民身份证、军官证、警官证、士兵证等有效身份证件中记载的出生日期计算的年龄，自出生</w:t>
      </w:r>
    </w:p>
    <w:p>
      <w:pPr>
        <w:pStyle w:val="BodyText"/>
        <w:spacing w:line="238" w:lineRule="exact"/>
        <w:ind w:left="117"/>
      </w:pPr>
      <w:r>
        <w:rPr/>
        <w:t>之日起为零周岁，每经过一年增加一岁，不足一年的不计。</w:t>
      </w:r>
    </w:p>
    <w:p>
      <w:pPr>
        <w:pStyle w:val="BodyText"/>
        <w:spacing w:line="341" w:lineRule="exact"/>
        <w:ind w:left="117"/>
      </w:pPr>
      <w:r>
        <w:rPr>
          <w:rFonts w:ascii="Times New Roman" w:eastAsia="Times New Roman"/>
          <w:position w:val="10"/>
          <w:sz w:val="14"/>
        </w:rPr>
        <w:t>2</w:t>
      </w:r>
      <w:r>
        <w:rPr>
          <w:rFonts w:ascii="Microsoft JhengHei" w:eastAsia="Microsoft JhengHei" w:hint="eastAsia"/>
          <w:b/>
        </w:rPr>
        <w:t>保单年度</w:t>
      </w:r>
      <w:r>
        <w:rPr>
          <w:b/>
        </w:rPr>
        <w:t>：</w:t>
      </w:r>
      <w:r>
        <w:rPr/>
        <w:t>从保险合同生效日或年生效对应日零时起至下一年度保险合同生效对应日零时止为一个保单年</w:t>
      </w:r>
    </w:p>
    <w:p>
      <w:pPr>
        <w:pStyle w:val="BodyText"/>
        <w:spacing w:line="249" w:lineRule="exact" w:before="13"/>
        <w:ind w:left="117"/>
      </w:pPr>
      <w:r>
        <w:rPr/>
        <w:t>度。如果当月无对应的同一日，则以该月最后一日为对应日。</w:t>
      </w:r>
    </w:p>
    <w:p>
      <w:pPr>
        <w:spacing w:line="327" w:lineRule="exact" w:before="0"/>
        <w:ind w:left="117" w:right="0" w:firstLine="0"/>
        <w:jc w:val="left"/>
        <w:rPr>
          <w:sz w:val="21"/>
        </w:rPr>
      </w:pPr>
      <w:r>
        <w:rPr>
          <w:rFonts w:ascii="Times New Roman" w:eastAsia="Times New Roman"/>
          <w:position w:val="10"/>
          <w:sz w:val="14"/>
        </w:rPr>
        <w:t>3</w:t>
      </w:r>
      <w:r>
        <w:rPr>
          <w:rFonts w:ascii="Microsoft JhengHei" w:eastAsia="Microsoft JhengHei" w:hint="eastAsia"/>
          <w:b/>
          <w:sz w:val="21"/>
        </w:rPr>
        <w:t>保险费约定支付日：</w:t>
      </w:r>
      <w:r>
        <w:rPr>
          <w:sz w:val="21"/>
        </w:rPr>
        <w:t>指在本附加合同交费期限内，保险单或批注上列明的合同生效日在每月、每季、每半年</w:t>
      </w:r>
    </w:p>
    <w:p>
      <w:pPr>
        <w:pStyle w:val="BodyText"/>
        <w:spacing w:line="227" w:lineRule="exact"/>
        <w:ind w:left="117"/>
      </w:pPr>
      <w:r>
        <w:rPr/>
        <w:t>或每年（根据交费方式确定）的对应日。如果当月无对应的同一日，则以该月最后一日作为对应日。</w:t>
      </w:r>
    </w:p>
    <w:p>
      <w:pPr>
        <w:pStyle w:val="BodyText"/>
        <w:spacing w:line="318" w:lineRule="exact"/>
        <w:ind w:left="117"/>
      </w:pPr>
      <w:r>
        <w:rPr>
          <w:rFonts w:ascii="Times New Roman" w:eastAsia="Times New Roman"/>
          <w:position w:val="10"/>
          <w:sz w:val="14"/>
        </w:rPr>
        <w:t>4</w:t>
      </w:r>
      <w:r>
        <w:rPr>
          <w:rFonts w:ascii="Microsoft JhengHei" w:eastAsia="Microsoft JhengHei" w:hint="eastAsia"/>
          <w:b/>
        </w:rPr>
        <w:t>发病：</w:t>
      </w:r>
      <w:r>
        <w:rPr/>
        <w:t>指被保险人出现本附加合同所界定疾病的前兆或异常的身体状况，且已经显现足以使一般人士引起注</w:t>
      </w:r>
    </w:p>
    <w:p>
      <w:pPr>
        <w:pStyle w:val="BodyText"/>
        <w:spacing w:line="227" w:lineRule="exact"/>
        <w:ind w:left="117"/>
      </w:pPr>
      <w:r>
        <w:rPr/>
        <w:t>意并寻求诊断、治疗或护理的病症。</w:t>
      </w:r>
    </w:p>
    <w:p>
      <w:pPr>
        <w:pStyle w:val="BodyText"/>
        <w:spacing w:line="318" w:lineRule="exact"/>
        <w:ind w:left="117"/>
      </w:pPr>
      <w:r>
        <w:rPr>
          <w:rFonts w:ascii="Times New Roman" w:eastAsia="Times New Roman"/>
          <w:position w:val="10"/>
          <w:sz w:val="14"/>
        </w:rPr>
        <w:t>5</w:t>
      </w:r>
      <w:r>
        <w:rPr>
          <w:rFonts w:ascii="Microsoft JhengHei" w:eastAsia="Microsoft JhengHei" w:hint="eastAsia"/>
          <w:b/>
        </w:rPr>
        <w:t>医院：</w:t>
      </w:r>
      <w:r>
        <w:rPr/>
        <w:t>国家卫生部医院等级分类中的二级或二级以上的医院，但不包括主要为门诊、康复、护理、疗养、戒</w:t>
      </w:r>
    </w:p>
    <w:p>
      <w:pPr>
        <w:pStyle w:val="BodyText"/>
        <w:spacing w:line="260" w:lineRule="exact"/>
        <w:ind w:left="117"/>
      </w:pPr>
      <w:r>
        <w:rPr/>
        <w:t>酒、戒毒或相类似的医疗机构。同时该医院必须具有符合有关医院管理规定设置标准的医疗设备，并且提供</w:t>
      </w:r>
    </w:p>
    <w:p>
      <w:pPr>
        <w:pStyle w:val="BodyText"/>
        <w:spacing w:line="289" w:lineRule="exact"/>
        <w:ind w:left="117"/>
      </w:pPr>
      <w:r>
        <w:rPr>
          <w:rFonts w:ascii="Times New Roman" w:eastAsia="Times New Roman"/>
        </w:rPr>
        <w:t>24 </w:t>
      </w:r>
      <w:r>
        <w:rPr/>
        <w:t>小时有合格医师及护士驻院的医疗和护理等服务。</w:t>
      </w:r>
    </w:p>
    <w:p>
      <w:pPr>
        <w:spacing w:after="0" w:line="289" w:lineRule="exact"/>
        <w:sectPr>
          <w:pgSz w:w="11910" w:h="16160"/>
          <w:pgMar w:header="0" w:footer="1057" w:top="1340" w:bottom="1240" w:left="960" w:right="800"/>
        </w:sectPr>
      </w:pPr>
    </w:p>
    <w:p>
      <w:pPr>
        <w:pStyle w:val="BodyText"/>
        <w:spacing w:line="273" w:lineRule="auto" w:before="7"/>
        <w:ind w:left="117" w:right="159" w:firstLine="420"/>
      </w:pPr>
      <w:r>
        <w:rPr/>
        <w:t>如果被保险人经医院确诊初次患上本附加合同第十六条所定义的重大疾病，并且首次发病时间在等待期内，我们按主合同及本附加合同的已交保险费给付重大疾病保险金，</w:t>
      </w:r>
      <w:r>
        <w:rPr>
          <w:b/>
        </w:rPr>
        <w:t>同时主合同及本附加合同终止</w:t>
      </w:r>
      <w:r>
        <w:rPr/>
        <w:t>。</w:t>
      </w:r>
    </w:p>
    <w:p>
      <w:pPr>
        <w:pStyle w:val="BodyText"/>
        <w:spacing w:line="256" w:lineRule="auto" w:before="7"/>
        <w:ind w:left="538" w:right="3268"/>
      </w:pPr>
      <w:r>
        <w:rPr/>
        <w:t>被保险人因遭受</w:t>
      </w:r>
      <w:r>
        <w:rPr>
          <w:b/>
        </w:rPr>
        <w:t>意外伤害事故</w:t>
      </w:r>
      <w:r>
        <w:rPr>
          <w:rFonts w:ascii="Times New Roman" w:eastAsia="Times New Roman"/>
          <w:b/>
          <w:vertAlign w:val="superscript"/>
        </w:rPr>
        <w:t>6</w:t>
      </w:r>
      <w:r>
        <w:rPr>
          <w:rFonts w:ascii="Times New Roman" w:eastAsia="Times New Roman"/>
          <w:b/>
          <w:vertAlign w:val="baseline"/>
        </w:rPr>
      </w:r>
      <w:r>
        <w:rPr>
          <w:vertAlign w:val="baseline"/>
        </w:rPr>
        <w:t>导致重大疾病的，不受等待期的限制。二、高发重大疾病额外给付保险金</w:t>
      </w:r>
    </w:p>
    <w:p>
      <w:pPr>
        <w:pStyle w:val="BodyText"/>
        <w:spacing w:line="264" w:lineRule="auto" w:before="22"/>
        <w:ind w:left="117" w:right="152" w:firstLine="420"/>
        <w:jc w:val="both"/>
      </w:pPr>
      <w:r>
        <w:rPr>
          <w:spacing w:val="-3"/>
        </w:rPr>
        <w:t>如果被保险人等待期后首次发病并经医院确诊初次患上一种或多种本附加合同第十七条所定义的高发重大疾病，我们在按上述第七条第一款规定的保险责任给付的同时，额外按本附加合同基本保险金额的 </w:t>
      </w:r>
      <w:r>
        <w:rPr>
          <w:rFonts w:ascii="Times New Roman" w:eastAsia="Times New Roman"/>
        </w:rPr>
        <w:t>50%</w:t>
      </w:r>
      <w:r>
        <w:rPr/>
        <w:t>给</w:t>
      </w:r>
      <w:r>
        <w:rPr>
          <w:spacing w:val="-3"/>
        </w:rPr>
        <w:t>付高发重大疾病保险金，</w:t>
      </w:r>
      <w:r>
        <w:rPr>
          <w:b/>
          <w:spacing w:val="-2"/>
        </w:rPr>
        <w:t>同时主合同及本附加合同终止</w:t>
      </w:r>
      <w:r>
        <w:rPr/>
        <w:t>。</w:t>
      </w:r>
    </w:p>
    <w:p>
      <w:pPr>
        <w:pStyle w:val="BodyText"/>
        <w:spacing w:line="273" w:lineRule="auto" w:before="16"/>
        <w:ind w:left="117" w:right="159" w:firstLine="420"/>
      </w:pPr>
      <w:r>
        <w:rPr/>
        <w:t>如果被保险人经医院确诊初次患上本附加合同第十七条所定义的高发重大疾病，并且首次发病时间在等待期内，我们按主合同及本附加合同的已交保险费给付重大疾病保险金，</w:t>
      </w:r>
      <w:r>
        <w:rPr>
          <w:b/>
        </w:rPr>
        <w:t>同时主合同及本附加合同终止</w:t>
      </w:r>
      <w:r>
        <w:rPr/>
        <w:t>。</w:t>
      </w:r>
    </w:p>
    <w:p>
      <w:pPr>
        <w:pStyle w:val="BodyText"/>
        <w:spacing w:before="8"/>
        <w:ind w:left="538"/>
      </w:pPr>
      <w:r>
        <w:rPr/>
        <w:t>被保险人因遭受意外伤害事故导致高发重大疾病的，不受等待期的限制。</w:t>
      </w:r>
    </w:p>
    <w:p>
      <w:pPr>
        <w:pStyle w:val="BodyText"/>
        <w:spacing w:before="9"/>
        <w:rPr>
          <w:sz w:val="26"/>
        </w:rPr>
      </w:pPr>
    </w:p>
    <w:p>
      <w:pPr>
        <w:spacing w:line="273" w:lineRule="auto" w:before="0"/>
        <w:ind w:left="117" w:right="159" w:firstLine="420"/>
        <w:jc w:val="left"/>
        <w:rPr>
          <w:b/>
          <w:sz w:val="21"/>
        </w:rPr>
      </w:pPr>
      <w:r>
        <w:rPr>
          <w:b/>
          <w:sz w:val="21"/>
        </w:rPr>
        <w:t>我们只给付主合同及本附加合同保险责任中约定的身故保险金、满期生存保险金和重大疾病保险金的其中一项保险金，且以一次为限。</w:t>
      </w:r>
    </w:p>
    <w:p>
      <w:pPr>
        <w:pStyle w:val="BodyText"/>
        <w:spacing w:before="5"/>
        <w:rPr>
          <w:b/>
          <w:sz w:val="24"/>
        </w:rPr>
      </w:pPr>
    </w:p>
    <w:p>
      <w:pPr>
        <w:pStyle w:val="Heading2"/>
        <w:tabs>
          <w:tab w:pos="969" w:val="left" w:leader="none"/>
        </w:tabs>
      </w:pPr>
      <w:bookmarkStart w:name="_bookmark9" w:id="10"/>
      <w:bookmarkEnd w:id="10"/>
      <w:r>
        <w:rPr>
          <w:b w:val="0"/>
        </w:rPr>
      </w:r>
      <w:r>
        <w:rPr/>
        <w:t>第八条</w:t>
        <w:tab/>
        <w:t>责任免除</w:t>
      </w:r>
    </w:p>
    <w:p>
      <w:pPr>
        <w:pStyle w:val="BodyText"/>
        <w:spacing w:before="15"/>
        <w:ind w:left="117" w:right="159" w:firstLine="420"/>
        <w:rPr>
          <w:rFonts w:ascii="黑体" w:eastAsia="黑体" w:hint="eastAsia"/>
        </w:rPr>
      </w:pPr>
      <w:r>
        <w:rPr>
          <w:rFonts w:ascii="黑体" w:eastAsia="黑体" w:hint="eastAsia"/>
        </w:rPr>
        <w:t>因下列情形之一导致被保险人患上本附加合同所定义的重大疾病或高发重大疾病的，我们不承担给付相应保险金的责任：</w:t>
      </w:r>
    </w:p>
    <w:p>
      <w:pPr>
        <w:pStyle w:val="ListParagraph"/>
        <w:numPr>
          <w:ilvl w:val="0"/>
          <w:numId w:val="2"/>
        </w:numPr>
        <w:tabs>
          <w:tab w:pos="803" w:val="left" w:leader="none"/>
        </w:tabs>
        <w:spacing w:line="279" w:lineRule="exact" w:before="0"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2"/>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2"/>
        </w:numPr>
        <w:tabs>
          <w:tab w:pos="803" w:val="left" w:leader="none"/>
        </w:tabs>
        <w:spacing w:line="272" w:lineRule="exact" w:before="0"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7</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2"/>
        </w:numPr>
        <w:tabs>
          <w:tab w:pos="803" w:val="left" w:leader="none"/>
        </w:tabs>
        <w:spacing w:line="282" w:lineRule="exact" w:before="0"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9</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10</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11</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2"/>
        </w:numPr>
        <w:tabs>
          <w:tab w:pos="803" w:val="left" w:leader="none"/>
        </w:tabs>
        <w:spacing w:line="291" w:lineRule="exact" w:before="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2"/>
        </w:numPr>
        <w:tabs>
          <w:tab w:pos="803" w:val="left" w:leader="none"/>
        </w:tabs>
        <w:spacing w:line="282" w:lineRule="exact" w:before="0"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2"/>
        </w:numPr>
        <w:tabs>
          <w:tab w:pos="803" w:val="left" w:leader="none"/>
        </w:tabs>
        <w:spacing w:line="282" w:lineRule="exact" w:before="0"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2"/>
        </w:numPr>
        <w:tabs>
          <w:tab w:pos="800" w:val="left" w:leader="none"/>
        </w:tabs>
        <w:spacing w:line="240" w:lineRule="auto" w:before="1"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2"/>
          <w:sz w:val="21"/>
          <w:vertAlign w:val="baseline"/>
        </w:rPr>
        <w:t>先天性畸形、变形或染色体异常</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z w:val="21"/>
          <w:vertAlign w:val="baseline"/>
        </w:rPr>
        <w:t>。</w:t>
      </w:r>
    </w:p>
    <w:p>
      <w:pPr>
        <w:pStyle w:val="BodyText"/>
        <w:spacing w:before="12"/>
        <w:rPr>
          <w:rFonts w:ascii="黑体"/>
          <w:sz w:val="29"/>
        </w:rPr>
      </w:pPr>
      <w:r>
        <w:rPr/>
        <w:pict>
          <v:line style="position:absolute;mso-position-horizontal-relative:page;mso-position-vertical-relative:paragraph;z-index:1144;mso-wrap-distance-left:0;mso-wrap-distance-right:0" from="53.880001pt,21.818995pt" to="197.930001pt,21.818995pt" stroked="true" strokeweight=".47998pt" strokecolor="#000000">
            <v:stroke dashstyle="solid"/>
            <w10:wrap type="topAndBottom"/>
          </v:line>
        </w:pict>
      </w:r>
    </w:p>
    <w:p>
      <w:pPr>
        <w:spacing w:line="287" w:lineRule="exact" w:before="0"/>
        <w:ind w:left="117" w:right="0" w:firstLine="0"/>
        <w:jc w:val="left"/>
        <w:rPr>
          <w:sz w:val="21"/>
        </w:rPr>
      </w:pPr>
      <w:r>
        <w:rPr>
          <w:rFonts w:ascii="Times New Roman" w:eastAsia="Times New Roman"/>
          <w:position w:val="10"/>
          <w:sz w:val="14"/>
        </w:rPr>
        <w:t>6</w:t>
      </w:r>
      <w:r>
        <w:rPr>
          <w:rFonts w:ascii="Microsoft JhengHei" w:eastAsia="Microsoft JhengHei" w:hint="eastAsia"/>
          <w:b/>
          <w:sz w:val="21"/>
        </w:rPr>
        <w:t>意外伤害事故：</w:t>
      </w:r>
      <w:r>
        <w:rPr>
          <w:sz w:val="21"/>
        </w:rPr>
        <w:t>指外来的、突发的、非本意的、非疾病的使身体受到伤害的客观事件。</w:t>
      </w:r>
    </w:p>
    <w:p>
      <w:pPr>
        <w:pStyle w:val="BodyText"/>
        <w:spacing w:line="306" w:lineRule="exact"/>
        <w:ind w:left="117"/>
      </w:pPr>
      <w:r>
        <w:rPr>
          <w:rFonts w:ascii="Times New Roman" w:eastAsia="Times New Roman"/>
          <w:position w:val="10"/>
          <w:sz w:val="14"/>
        </w:rPr>
        <w:t>7</w:t>
      </w:r>
      <w:r>
        <w:rPr>
          <w:rFonts w:ascii="Microsoft JhengHei" w:eastAsia="Microsoft JhengHei" w:hint="eastAsia"/>
          <w:b/>
        </w:rPr>
        <w:t>毒品：</w:t>
      </w:r>
      <w:r>
        <w:rPr>
          <w:spacing w:val="-3"/>
        </w:rPr>
        <w:t>指《中华人民共和国刑法》规定的鸦片、海洛因、甲基苯丙胺（</w:t>
      </w:r>
      <w:r>
        <w:rPr>
          <w:spacing w:val="-2"/>
        </w:rPr>
        <w:t>冰毒</w:t>
      </w:r>
      <w:r>
        <w:rPr>
          <w:spacing w:val="-108"/>
        </w:rPr>
        <w:t>）</w:t>
      </w:r>
      <w:r>
        <w:rPr>
          <w:spacing w:val="-3"/>
        </w:rPr>
        <w:t>、吗啡、大麻、可卡因以及国</w:t>
      </w:r>
    </w:p>
    <w:p>
      <w:pPr>
        <w:pStyle w:val="BodyText"/>
        <w:spacing w:line="237" w:lineRule="auto"/>
        <w:ind w:left="117" w:right="186"/>
      </w:pPr>
      <w:r>
        <w:rPr/>
        <w:t>家规定管制的其他能够使人形成瘾癖的麻醉药品和精神药品，但不包括由医生开具并遵医嘱使用的用于治疗疾病但含有毒品成分的处方药品。</w:t>
      </w:r>
    </w:p>
    <w:p>
      <w:pPr>
        <w:pStyle w:val="BodyText"/>
        <w:spacing w:line="284" w:lineRule="exact" w:before="10"/>
        <w:ind w:left="117"/>
      </w:pPr>
      <w:r>
        <w:rPr>
          <w:rFonts w:ascii="Times New Roman" w:eastAsia="Times New Roman"/>
          <w:position w:val="10"/>
          <w:sz w:val="14"/>
        </w:rPr>
        <w:t>8</w:t>
      </w:r>
      <w:r>
        <w:rPr>
          <w:rFonts w:ascii="Microsoft JhengHei" w:eastAsia="Microsoft JhengHei" w:hint="eastAsia"/>
          <w:b/>
        </w:rPr>
        <w:t>酒后驾驶：</w:t>
      </w:r>
      <w:r>
        <w:rPr/>
        <w:t>指经检测或鉴定，发生事故时车辆驾驶人员每百毫升血液中的酒精含量达到或超过一定的标准，</w:t>
      </w:r>
    </w:p>
    <w:p>
      <w:pPr>
        <w:pStyle w:val="BodyText"/>
        <w:spacing w:line="227" w:lineRule="exact"/>
        <w:ind w:left="117"/>
      </w:pPr>
      <w:r>
        <w:rPr/>
        <w:t>公安机关交通管理部门依据《道路交通安全法》的规定认定为饮酒后驾驶或醉酒驾驶。</w:t>
      </w:r>
    </w:p>
    <w:p>
      <w:pPr>
        <w:spacing w:line="318" w:lineRule="exact" w:before="0"/>
        <w:ind w:left="117" w:right="0" w:firstLine="0"/>
        <w:jc w:val="left"/>
        <w:rPr>
          <w:sz w:val="21"/>
        </w:rPr>
      </w:pPr>
      <w:r>
        <w:rPr>
          <w:rFonts w:ascii="Times New Roman" w:eastAsia="Times New Roman"/>
          <w:w w:val="99"/>
          <w:position w:val="10"/>
          <w:sz w:val="14"/>
        </w:rPr>
        <w:t>9</w:t>
      </w:r>
      <w:r>
        <w:rPr>
          <w:rFonts w:ascii="Microsoft JhengHei" w:eastAsia="Microsoft JhengHei" w:hint="eastAsia"/>
          <w:b/>
          <w:spacing w:val="-2"/>
          <w:w w:val="100"/>
          <w:sz w:val="21"/>
        </w:rPr>
        <w:t>无合法有效驾驶证驾驶：</w:t>
      </w:r>
      <w:r>
        <w:rPr>
          <w:spacing w:val="-18"/>
          <w:w w:val="100"/>
          <w:sz w:val="21"/>
        </w:rPr>
        <w:t>指下列情形之一：</w:t>
      </w:r>
      <w:r>
        <w:rPr>
          <w:spacing w:val="-1"/>
          <w:w w:val="100"/>
          <w:sz w:val="21"/>
        </w:rPr>
        <w:t>（</w:t>
      </w:r>
      <w:r>
        <w:rPr>
          <w:rFonts w:ascii="Times New Roman" w:eastAsia="Times New Roman"/>
          <w:w w:val="100"/>
          <w:sz w:val="21"/>
        </w:rPr>
        <w:t>1</w:t>
      </w:r>
      <w:r>
        <w:rPr>
          <w:spacing w:val="-13"/>
          <w:w w:val="100"/>
          <w:sz w:val="21"/>
        </w:rPr>
        <w:t>）</w:t>
      </w:r>
      <w:r>
        <w:rPr>
          <w:spacing w:val="-16"/>
          <w:w w:val="100"/>
          <w:sz w:val="21"/>
        </w:rPr>
        <w:t>没有取得驾驶资格；</w:t>
      </w:r>
      <w:r>
        <w:rPr>
          <w:w w:val="100"/>
          <w:sz w:val="21"/>
        </w:rPr>
        <w:t>（</w:t>
      </w:r>
      <w:r>
        <w:rPr>
          <w:rFonts w:ascii="Times New Roman" w:eastAsia="Times New Roman"/>
          <w:w w:val="100"/>
          <w:sz w:val="21"/>
        </w:rPr>
        <w:t>2</w:t>
      </w:r>
      <w:r>
        <w:rPr>
          <w:spacing w:val="-13"/>
          <w:w w:val="100"/>
          <w:sz w:val="21"/>
        </w:rPr>
        <w:t>）</w:t>
      </w:r>
      <w:r>
        <w:rPr>
          <w:spacing w:val="-3"/>
          <w:w w:val="100"/>
          <w:sz w:val="21"/>
        </w:rPr>
        <w:t>驾驶与驾驶证准驾车型不相符合的</w:t>
      </w:r>
    </w:p>
    <w:p>
      <w:pPr>
        <w:pStyle w:val="BodyText"/>
        <w:spacing w:line="225" w:lineRule="auto" w:before="4"/>
        <w:ind w:left="117" w:right="186"/>
      </w:pPr>
      <w:r>
        <w:rPr>
          <w:spacing w:val="-36"/>
          <w:w w:val="100"/>
        </w:rPr>
        <w:t>车辆；</w:t>
      </w:r>
      <w:r>
        <w:rPr>
          <w:w w:val="100"/>
        </w:rPr>
        <w:t>（</w:t>
      </w:r>
      <w:r>
        <w:rPr>
          <w:rFonts w:ascii="Times New Roman" w:eastAsia="Times New Roman"/>
          <w:w w:val="100"/>
        </w:rPr>
        <w:t>3</w:t>
      </w:r>
      <w:r>
        <w:rPr>
          <w:spacing w:val="-3"/>
          <w:w w:val="100"/>
        </w:rPr>
        <w:t>）</w:t>
      </w:r>
      <w:r>
        <w:rPr>
          <w:spacing w:val="-12"/>
          <w:w w:val="100"/>
        </w:rPr>
        <w:t>持审验不合格的驾驶证驾驶；</w:t>
      </w:r>
      <w:r>
        <w:rPr>
          <w:spacing w:val="-1"/>
          <w:w w:val="100"/>
        </w:rPr>
        <w:t>（</w:t>
      </w:r>
      <w:r>
        <w:rPr>
          <w:rFonts w:ascii="Times New Roman" w:eastAsia="Times New Roman"/>
          <w:w w:val="100"/>
        </w:rPr>
        <w:t>4</w:t>
      </w:r>
      <w:r>
        <w:rPr>
          <w:spacing w:val="-3"/>
          <w:w w:val="100"/>
        </w:rPr>
        <w:t>）持学习驾驶证学习驾车时，无教练员随车指导，或不按指定时</w:t>
      </w:r>
      <w:r>
        <w:rPr>
          <w:spacing w:val="-3"/>
        </w:rPr>
        <w:t>间、路线学习驾车。</w:t>
      </w:r>
    </w:p>
    <w:p>
      <w:pPr>
        <w:pStyle w:val="BodyText"/>
        <w:spacing w:line="283" w:lineRule="exact"/>
        <w:ind w:left="117"/>
      </w:pPr>
      <w:r>
        <w:rPr>
          <w:rFonts w:ascii="Times New Roman" w:eastAsia="Times New Roman"/>
          <w:position w:val="10"/>
          <w:sz w:val="14"/>
        </w:rPr>
        <w:t>10</w:t>
      </w:r>
      <w:r>
        <w:rPr>
          <w:rFonts w:ascii="Microsoft JhengHei" w:eastAsia="Microsoft JhengHei" w:hint="eastAsia"/>
          <w:b/>
        </w:rPr>
        <w:t>无有效行驶证：</w:t>
      </w:r>
      <w:r>
        <w:rPr/>
        <w:t>指发生保险事故时没有按照公安机关交通管理部门机动车登记制度的规定进行登记并领取</w:t>
      </w:r>
    </w:p>
    <w:p>
      <w:pPr>
        <w:pStyle w:val="BodyText"/>
        <w:spacing w:line="225" w:lineRule="auto" w:before="4"/>
        <w:ind w:left="117" w:right="186"/>
        <w:jc w:val="both"/>
      </w:pPr>
      <w:r>
        <w:rPr>
          <w:spacing w:val="-7"/>
          <w:w w:val="100"/>
        </w:rPr>
        <w:t>机动车行驶证或者临时通行牌证等法定证件。包括下列情形之一：</w:t>
      </w:r>
      <w:r>
        <w:rPr>
          <w:w w:val="100"/>
        </w:rPr>
        <w:t>（</w:t>
      </w:r>
      <w:r>
        <w:rPr>
          <w:rFonts w:ascii="Times New Roman" w:eastAsia="Times New Roman"/>
          <w:w w:val="100"/>
        </w:rPr>
        <w:t>1</w:t>
      </w:r>
      <w:r>
        <w:rPr>
          <w:spacing w:val="-3"/>
          <w:w w:val="100"/>
        </w:rPr>
        <w:t>）未办理行驶证或者行驶证在申办过程</w:t>
      </w:r>
      <w:r>
        <w:rPr>
          <w:spacing w:val="-38"/>
          <w:w w:val="100"/>
        </w:rPr>
        <w:t>中的；</w:t>
      </w:r>
      <w:r>
        <w:rPr>
          <w:w w:val="100"/>
        </w:rPr>
        <w:t>（</w:t>
      </w:r>
      <w:r>
        <w:rPr>
          <w:rFonts w:ascii="Times New Roman" w:eastAsia="Times New Roman"/>
          <w:w w:val="100"/>
        </w:rPr>
        <w:t>2</w:t>
      </w:r>
      <w:r>
        <w:rPr>
          <w:spacing w:val="-3"/>
          <w:w w:val="100"/>
        </w:rPr>
        <w:t>）</w:t>
      </w:r>
      <w:r>
        <w:rPr>
          <w:spacing w:val="-10"/>
          <w:w w:val="100"/>
        </w:rPr>
        <w:t>机动车行驶证被依法注销登记的；</w:t>
      </w:r>
      <w:r>
        <w:rPr>
          <w:spacing w:val="-1"/>
          <w:w w:val="100"/>
        </w:rPr>
        <w:t>（</w:t>
      </w:r>
      <w:r>
        <w:rPr>
          <w:rFonts w:ascii="Times New Roman" w:eastAsia="Times New Roman"/>
          <w:w w:val="100"/>
        </w:rPr>
        <w:t>3</w:t>
      </w:r>
      <w:r>
        <w:rPr>
          <w:spacing w:val="-3"/>
          <w:w w:val="100"/>
        </w:rPr>
        <w:t>）未在行驶证检验有效期内依法按时进行或者未通过机动车</w:t>
      </w:r>
      <w:r>
        <w:rPr>
          <w:spacing w:val="-3"/>
        </w:rPr>
        <w:t>安全技术检验的。</w:t>
      </w:r>
    </w:p>
    <w:p>
      <w:pPr>
        <w:pStyle w:val="BodyText"/>
        <w:spacing w:line="283" w:lineRule="exact"/>
        <w:ind w:left="117"/>
      </w:pPr>
      <w:r>
        <w:rPr>
          <w:rFonts w:ascii="Times New Roman" w:eastAsia="Times New Roman"/>
          <w:position w:val="10"/>
          <w:sz w:val="14"/>
        </w:rPr>
        <w:t>11</w:t>
      </w:r>
      <w:r>
        <w:rPr>
          <w:rFonts w:ascii="Microsoft JhengHei" w:eastAsia="Microsoft JhengHei" w:hint="eastAsia"/>
          <w:b/>
        </w:rPr>
        <w:t>机动车：</w:t>
      </w:r>
      <w:r>
        <w:rPr/>
        <w:t>指以动力装置驱动或者牵引，上道路行驶的供人员乘用或者用于运送物品以及进行工程专项作业</w:t>
      </w:r>
    </w:p>
    <w:p>
      <w:pPr>
        <w:pStyle w:val="BodyText"/>
        <w:spacing w:line="227" w:lineRule="exact"/>
        <w:ind w:left="117"/>
      </w:pPr>
      <w:r>
        <w:rPr/>
        <w:t>的轮式车辆。</w:t>
      </w:r>
    </w:p>
    <w:p>
      <w:pPr>
        <w:pStyle w:val="BodyText"/>
        <w:spacing w:line="220" w:lineRule="auto"/>
        <w:ind w:left="117" w:right="152"/>
      </w:pPr>
      <w:r>
        <w:rPr>
          <w:rFonts w:ascii="Times New Roman" w:eastAsia="Times New Roman"/>
          <w:position w:val="10"/>
          <w:sz w:val="14"/>
        </w:rPr>
        <w:t>12</w:t>
      </w:r>
      <w:r>
        <w:rPr>
          <w:rFonts w:ascii="Microsoft JhengHei" w:eastAsia="Microsoft JhengHei" w:hint="eastAsia"/>
          <w:b/>
          <w:spacing w:val="-2"/>
        </w:rPr>
        <w:t>感染艾滋病病毒或患艾滋病：</w:t>
      </w:r>
      <w:r>
        <w:rPr>
          <w:spacing w:val="-5"/>
        </w:rPr>
        <w:t>艾滋病病毒指人类免疫缺陷病毒，英文缩写为 </w:t>
      </w:r>
      <w:r>
        <w:rPr>
          <w:rFonts w:ascii="Times New Roman" w:eastAsia="Times New Roman"/>
        </w:rPr>
        <w:t>HIV</w:t>
      </w:r>
      <w:r>
        <w:rPr>
          <w:spacing w:val="-3"/>
        </w:rPr>
        <w:t>。艾滋病指人类免疫缺陷</w:t>
      </w:r>
      <w:r>
        <w:rPr>
          <w:spacing w:val="-7"/>
        </w:rPr>
        <w:t>病毒引起的获得性免疫缺陷综合征，英文缩写为 </w:t>
      </w:r>
      <w:r>
        <w:rPr>
          <w:rFonts w:ascii="Times New Roman" w:eastAsia="Times New Roman"/>
        </w:rPr>
        <w:t>AIDS</w:t>
      </w:r>
      <w:r>
        <w:rPr>
          <w:spacing w:val="-8"/>
        </w:rPr>
        <w:t>。在人体血液或其他样本中检测到艾滋病病毒或其抗体</w:t>
      </w:r>
      <w:r>
        <w:rPr>
          <w:spacing w:val="-5"/>
        </w:rPr>
        <w:t>呈阳性，没有出现临床症状或体征的，为感染艾滋病病毒；如果同时出现了明显临床症状或体征的，为患艾</w:t>
      </w:r>
    </w:p>
    <w:p>
      <w:pPr>
        <w:pStyle w:val="BodyText"/>
        <w:spacing w:line="238" w:lineRule="exact" w:before="6"/>
        <w:ind w:left="117"/>
      </w:pPr>
      <w:r>
        <w:rPr/>
        <w:t>滋病。</w:t>
      </w:r>
    </w:p>
    <w:p>
      <w:pPr>
        <w:pStyle w:val="BodyText"/>
        <w:spacing w:line="330" w:lineRule="exact"/>
        <w:ind w:left="117"/>
      </w:pPr>
      <w:r>
        <w:rPr>
          <w:rFonts w:ascii="Times New Roman" w:eastAsia="Times New Roman"/>
          <w:position w:val="10"/>
          <w:sz w:val="14"/>
        </w:rPr>
        <w:t>13</w:t>
      </w:r>
      <w:r>
        <w:rPr>
          <w:rFonts w:ascii="Microsoft JhengHei" w:eastAsia="Microsoft JhengHei" w:hint="eastAsia"/>
          <w:b/>
        </w:rPr>
        <w:t>遗传性疾病：</w:t>
      </w:r>
      <w:r>
        <w:rPr/>
        <w:t>指生殖细胞或受精卵的遗传物质（染色体和基因）发生突变或畸变所引起的疾病，通常具有</w:t>
      </w:r>
    </w:p>
    <w:p>
      <w:pPr>
        <w:spacing w:after="0" w:line="330" w:lineRule="exact"/>
        <w:sectPr>
          <w:pgSz w:w="11910" w:h="16160"/>
          <w:pgMar w:header="0" w:footer="1057" w:top="1360" w:bottom="1260" w:left="960" w:right="760"/>
        </w:sectPr>
      </w:pPr>
    </w:p>
    <w:p>
      <w:pPr>
        <w:pStyle w:val="BodyText"/>
        <w:spacing w:before="27"/>
        <w:ind w:left="538"/>
        <w:rPr>
          <w:rFonts w:ascii="黑体" w:eastAsia="黑体" w:hint="eastAsia"/>
        </w:rPr>
      </w:pPr>
      <w:r>
        <w:rPr>
          <w:rFonts w:ascii="黑体" w:eastAsia="黑体" w:hint="eastAsia"/>
        </w:rPr>
        <w:t>发Th上述第 </w:t>
      </w:r>
      <w:r>
        <w:rPr>
          <w:rFonts w:ascii="Times New Roman" w:eastAsia="Times New Roman"/>
        </w:rPr>
        <w:t>1 </w:t>
      </w:r>
      <w:r>
        <w:rPr>
          <w:rFonts w:ascii="黑体" w:eastAsia="黑体" w:hint="eastAsia"/>
        </w:rPr>
        <w:t>项情形导致被保险人患上本附加合同所定义的重大疾病或高发重大疾病的，本附加合同终</w:t>
      </w:r>
    </w:p>
    <w:p>
      <w:pPr>
        <w:pStyle w:val="BodyText"/>
        <w:spacing w:before="21"/>
        <w:ind w:left="117"/>
        <w:rPr>
          <w:rFonts w:ascii="黑体" w:eastAsia="黑体" w:hint="eastAsia"/>
        </w:rPr>
      </w:pPr>
      <w:r>
        <w:rPr>
          <w:rFonts w:ascii="黑体" w:eastAsia="黑体" w:hint="eastAsia"/>
        </w:rPr>
        <w:t>止，您已交足 </w:t>
      </w:r>
      <w:r>
        <w:rPr>
          <w:rFonts w:ascii="Times New Roman" w:eastAsia="Times New Roman"/>
        </w:rPr>
        <w:t>2 </w:t>
      </w:r>
      <w:r>
        <w:rPr>
          <w:rFonts w:ascii="黑体" w:eastAsia="黑体" w:hint="eastAsia"/>
        </w:rPr>
        <w:t>年以上保险费的，我们向其他权利人退还保险单的</w:t>
      </w:r>
      <w:r>
        <w:rPr>
          <w:rFonts w:ascii="黑体" w:eastAsia="黑体" w:hint="eastAsia"/>
          <w:b/>
        </w:rPr>
        <w:t>现金价值</w:t>
      </w:r>
      <w:r>
        <w:rPr>
          <w:rFonts w:ascii="Times New Roman" w:eastAsia="Times New Roman"/>
          <w:b/>
          <w:vertAlign w:val="superscript"/>
        </w:rPr>
        <w:t>15</w:t>
      </w:r>
      <w:r>
        <w:rPr>
          <w:rFonts w:ascii="Times New Roman" w:eastAsia="Times New Roman"/>
          <w:b/>
          <w:vertAlign w:val="baseline"/>
        </w:rPr>
      </w:r>
      <w:r>
        <w:rPr>
          <w:rFonts w:ascii="黑体" w:eastAsia="黑体" w:hint="eastAsia"/>
          <w:vertAlign w:val="baseline"/>
        </w:rPr>
        <w:t>。</w:t>
      </w:r>
    </w:p>
    <w:p>
      <w:pPr>
        <w:pStyle w:val="BodyText"/>
        <w:spacing w:line="273" w:lineRule="auto" w:before="21"/>
        <w:ind w:left="117" w:right="109" w:firstLine="420"/>
        <w:rPr>
          <w:rFonts w:ascii="黑体" w:eastAsia="黑体" w:hint="eastAsia"/>
        </w:rPr>
      </w:pPr>
      <w:r>
        <w:rPr>
          <w:rFonts w:ascii="黑体" w:eastAsia="黑体" w:hint="eastAsia"/>
        </w:rPr>
        <w:t>发Th</w:t>
      </w:r>
      <w:r>
        <w:rPr>
          <w:rFonts w:ascii="黑体" w:eastAsia="黑体" w:hint="eastAsia"/>
          <w:spacing w:val="-5"/>
        </w:rPr>
        <w:t>上述其他情形导致被保险人患上本附加合同所定义的重大疾病或高发重大疾病的，本附加合同终止， </w:t>
      </w:r>
      <w:r>
        <w:rPr>
          <w:rFonts w:ascii="黑体" w:eastAsia="黑体" w:hint="eastAsia"/>
          <w:spacing w:val="-4"/>
        </w:rPr>
        <w:t>我们向您退还保险单的现金价值。</w:t>
      </w:r>
    </w:p>
    <w:p>
      <w:pPr>
        <w:pStyle w:val="BodyText"/>
        <w:spacing w:before="3"/>
        <w:rPr>
          <w:rFonts w:ascii="黑体"/>
          <w:sz w:val="22"/>
        </w:rPr>
      </w:pPr>
    </w:p>
    <w:p>
      <w:pPr>
        <w:pStyle w:val="Heading1"/>
        <w:tabs>
          <w:tab w:pos="1418" w:val="left" w:leader="none"/>
        </w:tabs>
        <w:spacing w:before="1"/>
        <w:ind w:right="99"/>
        <w:jc w:val="center"/>
      </w:pPr>
      <w:bookmarkStart w:name="_bookmark10" w:id="11"/>
      <w:bookmarkEnd w:id="11"/>
      <w:r>
        <w:rPr>
          <w:b w:val="0"/>
        </w:rPr>
      </w:r>
      <w:r>
        <w:rPr/>
        <w:t>第三部分</w:t>
        <w:tab/>
      </w:r>
      <w:r>
        <w:rPr>
          <w:w w:val="95"/>
        </w:rPr>
        <w:t>如何支付保险费</w:t>
      </w:r>
    </w:p>
    <w:p>
      <w:pPr>
        <w:pStyle w:val="BodyText"/>
        <w:spacing w:before="1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6"/>
        <w:ind w:left="538"/>
      </w:pPr>
      <w:r>
        <w:rPr/>
        <w:t>本附加合同的保险费交费方式、交费期限及保险费约定支付日与主合同一致。</w:t>
      </w:r>
    </w:p>
    <w:p>
      <w:pPr>
        <w:pStyle w:val="BodyText"/>
        <w:spacing w:before="6"/>
        <w:rPr>
          <w:sz w:val="24"/>
        </w:rPr>
      </w:pPr>
    </w:p>
    <w:p>
      <w:pPr>
        <w:pStyle w:val="Heading1"/>
        <w:tabs>
          <w:tab w:pos="1418" w:val="left" w:leader="none"/>
        </w:tabs>
        <w:ind w:right="100"/>
        <w:jc w:val="center"/>
      </w:pPr>
      <w:bookmarkStart w:name="_bookmark12" w:id="13"/>
      <w:bookmarkEnd w:id="13"/>
      <w:r>
        <w:rPr>
          <w:b w:val="0"/>
        </w:rPr>
      </w:r>
      <w:r>
        <w:rPr/>
        <w:t>第四部分</w:t>
        <w:tab/>
      </w:r>
      <w:r>
        <w:rPr>
          <w:w w:val="95"/>
        </w:rPr>
        <w:t>如何申请保险金</w:t>
      </w:r>
    </w:p>
    <w:p>
      <w:pPr>
        <w:pStyle w:val="BodyText"/>
        <w:spacing w:before="10"/>
        <w:rPr>
          <w:b/>
          <w:sz w:val="25"/>
        </w:rPr>
      </w:pPr>
    </w:p>
    <w:p>
      <w:pPr>
        <w:pStyle w:val="Heading2"/>
        <w:tabs>
          <w:tab w:pos="969" w:val="left" w:leader="none"/>
        </w:tabs>
      </w:pPr>
      <w:bookmarkStart w:name="_bookmark13" w:id="14"/>
      <w:bookmarkEnd w:id="14"/>
      <w:r>
        <w:rPr>
          <w:b w:val="0"/>
        </w:rPr>
      </w:r>
      <w:r>
        <w:rPr/>
        <w:t>第十条</w:t>
        <w:tab/>
        <w:t>受益人</w:t>
      </w:r>
    </w:p>
    <w:p>
      <w:pPr>
        <w:pStyle w:val="BodyText"/>
        <w:spacing w:before="36"/>
        <w:ind w:left="538"/>
      </w:pPr>
      <w:r>
        <w:rPr/>
        <w:t>除另有约定外，重大疾病保险金和高发重大疾病额外给付保险金的受益人为被保险人本人。</w:t>
      </w:r>
    </w:p>
    <w:p>
      <w:pPr>
        <w:pStyle w:val="BodyText"/>
        <w:spacing w:before="8"/>
        <w:rPr>
          <w:sz w:val="26"/>
        </w:rPr>
      </w:pPr>
    </w:p>
    <w:p>
      <w:pPr>
        <w:pStyle w:val="Heading2"/>
        <w:tabs>
          <w:tab w:pos="1197" w:val="left" w:leader="none"/>
        </w:tabs>
      </w:pPr>
      <w:bookmarkStart w:name="_bookmark14" w:id="15"/>
      <w:bookmarkEnd w:id="15"/>
      <w:r>
        <w:rPr>
          <w:b w:val="0"/>
        </w:rPr>
      </w:r>
      <w:r>
        <w:rPr/>
        <w:t>第十一条</w:t>
        <w:tab/>
        <w:t>诉讼时效</w:t>
      </w:r>
    </w:p>
    <w:p>
      <w:pPr>
        <w:pStyle w:val="BodyText"/>
        <w:spacing w:line="256" w:lineRule="auto" w:before="37"/>
        <w:ind w:left="117" w:right="215" w:firstLine="420"/>
      </w:pPr>
      <w:r>
        <w:rPr/>
        <w:t>受益人向我们请求给付保险金的诉讼时效期间为 </w:t>
      </w:r>
      <w:r>
        <w:rPr>
          <w:rFonts w:ascii="Times New Roman" w:eastAsia="Times New Roman"/>
        </w:rPr>
        <w:t>2 </w:t>
      </w:r>
      <w:r>
        <w:rPr/>
        <w:t>年，自其知道或者应当知道</w:t>
      </w:r>
      <w:r>
        <w:rPr>
          <w:b/>
        </w:rPr>
        <w:t>保险事故</w:t>
      </w:r>
      <w:r>
        <w:rPr>
          <w:rFonts w:ascii="Times New Roman" w:eastAsia="Times New Roman"/>
          <w:b/>
          <w:vertAlign w:val="superscript"/>
        </w:rPr>
        <w:t>16</w:t>
      </w:r>
      <w:r>
        <w:rPr>
          <w:rFonts w:ascii="Times New Roman" w:eastAsia="Times New Roman"/>
          <w:b/>
          <w:vertAlign w:val="baseline"/>
        </w:rPr>
      </w:r>
      <w:r>
        <w:rPr>
          <w:vertAlign w:val="baseline"/>
        </w:rPr>
        <w:t>发生之日起计算。</w:t>
      </w:r>
    </w:p>
    <w:p>
      <w:pPr>
        <w:pStyle w:val="BodyText"/>
        <w:spacing w:before="7"/>
        <w:rPr>
          <w:sz w:val="25"/>
        </w:rPr>
      </w:pPr>
    </w:p>
    <w:p>
      <w:pPr>
        <w:pStyle w:val="Heading2"/>
        <w:tabs>
          <w:tab w:pos="1197" w:val="left" w:leader="none"/>
        </w:tabs>
      </w:pPr>
      <w:bookmarkStart w:name="_bookmark15" w:id="16"/>
      <w:bookmarkEnd w:id="16"/>
      <w:r>
        <w:rPr>
          <w:b w:val="0"/>
        </w:rPr>
      </w:r>
      <w:r>
        <w:rPr/>
        <w:t>第十二条</w:t>
        <w:tab/>
        <w:t>保险金申请</w:t>
      </w:r>
    </w:p>
    <w:p>
      <w:pPr>
        <w:pStyle w:val="BodyText"/>
        <w:spacing w:line="273" w:lineRule="auto" w:before="37"/>
        <w:ind w:left="117" w:right="219" w:firstLine="420"/>
      </w:pPr>
      <w:r>
        <w:rPr/>
        <w:t>在申请重大疾病保险金或高发重大疾病额外给付保险金时，由相应保险金的受益人作为申请人填写保险金给付申请书，并提供下列证明和资料：</w:t>
      </w:r>
    </w:p>
    <w:p>
      <w:pPr>
        <w:pStyle w:val="ListParagraph"/>
        <w:numPr>
          <w:ilvl w:val="0"/>
          <w:numId w:val="3"/>
        </w:numPr>
        <w:tabs>
          <w:tab w:pos="803" w:val="left" w:leader="none"/>
        </w:tabs>
        <w:spacing w:line="240" w:lineRule="auto" w:before="8" w:after="0"/>
        <w:ind w:left="802" w:right="0" w:hanging="264"/>
        <w:jc w:val="left"/>
        <w:rPr>
          <w:sz w:val="21"/>
        </w:rPr>
      </w:pPr>
      <w:r>
        <w:rPr>
          <w:spacing w:val="-3"/>
          <w:sz w:val="21"/>
        </w:rPr>
        <w:t>保险合同；</w:t>
      </w:r>
    </w:p>
    <w:p>
      <w:pPr>
        <w:pStyle w:val="ListParagraph"/>
        <w:numPr>
          <w:ilvl w:val="0"/>
          <w:numId w:val="3"/>
        </w:numPr>
        <w:tabs>
          <w:tab w:pos="803" w:val="left" w:leader="none"/>
        </w:tabs>
        <w:spacing w:line="240" w:lineRule="auto" w:before="21" w:after="0"/>
        <w:ind w:left="802" w:right="0" w:hanging="264"/>
        <w:jc w:val="left"/>
        <w:rPr>
          <w:sz w:val="21"/>
        </w:rPr>
      </w:pPr>
      <w:r>
        <w:rPr>
          <w:spacing w:val="-3"/>
          <w:sz w:val="21"/>
        </w:rPr>
        <w:t>受益人的</w:t>
      </w:r>
      <w:r>
        <w:rPr>
          <w:b/>
          <w:sz w:val="21"/>
        </w:rPr>
        <w:t>有效身份证件</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w:t>
      </w:r>
    </w:p>
    <w:p>
      <w:pPr>
        <w:pStyle w:val="ListParagraph"/>
        <w:numPr>
          <w:ilvl w:val="0"/>
          <w:numId w:val="3"/>
        </w:numPr>
        <w:tabs>
          <w:tab w:pos="803" w:val="left" w:leader="none"/>
        </w:tabs>
        <w:spacing w:line="240" w:lineRule="auto" w:before="21" w:after="0"/>
        <w:ind w:left="802" w:right="0" w:hanging="264"/>
        <w:jc w:val="left"/>
        <w:rPr>
          <w:sz w:val="21"/>
        </w:rPr>
      </w:pPr>
      <w:r>
        <w:rPr>
          <w:spacing w:val="-3"/>
          <w:sz w:val="21"/>
        </w:rPr>
        <w:t>医院出具的附有被保险人病理、血液及其他科学方法检验报告等诊断证明文件；</w:t>
      </w:r>
    </w:p>
    <w:p>
      <w:pPr>
        <w:pStyle w:val="ListParagraph"/>
        <w:numPr>
          <w:ilvl w:val="0"/>
          <w:numId w:val="3"/>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6"/>
        <w:rPr>
          <w:sz w:val="25"/>
        </w:rPr>
      </w:pPr>
    </w:p>
    <w:p>
      <w:pPr>
        <w:pStyle w:val="BodyText"/>
        <w:spacing w:line="268" w:lineRule="auto"/>
        <w:ind w:left="117" w:right="215" w:firstLine="408"/>
        <w:jc w:val="both"/>
      </w:pPr>
      <w:r>
        <w:rPr>
          <w:spacing w:val="-1"/>
        </w:rPr>
        <w:t>如果委托他人代为申请，除上述证明和资料外，还须提供相关保险金受益人的授权委托书、受托人有效</w:t>
      </w:r>
      <w:r>
        <w:rPr>
          <w:spacing w:val="-3"/>
        </w:rPr>
        <w:t>身份证件等相关证明文件。保险金作为被保险人遗产时，还须提供可证明合法继承权的相关权利文件。受益人或继承人为未成年人或</w:t>
      </w:r>
      <w:r>
        <w:rPr>
          <w:b/>
          <w:spacing w:val="-3"/>
        </w:rPr>
        <w:t>无民事行为能力人</w:t>
      </w:r>
      <w:r>
        <w:rPr>
          <w:rFonts w:ascii="Times New Roman" w:eastAsia="Times New Roman"/>
          <w:b/>
          <w:spacing w:val="-3"/>
          <w:vertAlign w:val="superscript"/>
        </w:rPr>
        <w:t>1</w:t>
      </w:r>
      <w:r>
        <w:rPr>
          <w:rFonts w:ascii="Times New Roman" w:eastAsia="Times New Roman"/>
          <w:b/>
          <w:spacing w:val="-3"/>
          <w:vertAlign w:val="superscript"/>
        </w:rPr>
        <w:t>8</w:t>
      </w:r>
      <w:r>
        <w:rPr>
          <w:rFonts w:ascii="Times New Roman" w:eastAsia="Times New Roman"/>
          <w:b/>
          <w:spacing w:val="-3"/>
          <w:vertAlign w:val="baseline"/>
        </w:rPr>
      </w:r>
      <w:r>
        <w:rPr>
          <w:spacing w:val="-3"/>
          <w:vertAlign w:val="baseline"/>
        </w:rPr>
        <w:t>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spacing w:before="8"/>
        <w:rPr>
          <w:sz w:val="25"/>
        </w:rPr>
      </w:pPr>
      <w:r>
        <w:rPr/>
        <w:pict>
          <v:line style="position:absolute;mso-position-horizontal-relative:page;mso-position-vertical-relative:paragraph;z-index:1168;mso-wrap-distance-left:0;mso-wrap-distance-right:0" from="53.880001pt,19.002934pt" to="197.930001pt,19.002934pt" stroked="true" strokeweight=".47998pt" strokecolor="#000000">
            <v:stroke dashstyle="solid"/>
            <w10:wrap type="topAndBottom"/>
          </v:line>
        </w:pict>
      </w:r>
    </w:p>
    <w:p>
      <w:pPr>
        <w:pStyle w:val="BodyText"/>
        <w:spacing w:line="241" w:lineRule="exact" w:before="32"/>
        <w:ind w:left="117"/>
      </w:pPr>
      <w:r>
        <w:rPr/>
        <w:t>由亲代传至后代的垂直传递的特征。</w:t>
      </w:r>
    </w:p>
    <w:p>
      <w:pPr>
        <w:spacing w:line="318" w:lineRule="exact" w:before="0"/>
        <w:ind w:left="117" w:right="0" w:firstLine="0"/>
        <w:jc w:val="left"/>
        <w:rPr>
          <w:sz w:val="21"/>
        </w:rPr>
      </w:pPr>
      <w:r>
        <w:rPr>
          <w:rFonts w:ascii="Times New Roman" w:eastAsia="Times New Roman"/>
          <w:position w:val="10"/>
          <w:sz w:val="14"/>
        </w:rPr>
        <w:t>14</w:t>
      </w:r>
      <w:r>
        <w:rPr>
          <w:rFonts w:ascii="Microsoft JhengHei" w:eastAsia="Microsoft JhengHei" w:hint="eastAsia"/>
          <w:b/>
          <w:sz w:val="21"/>
        </w:rPr>
        <w:t>先天性畸形、变形或染色体异常：</w:t>
      </w:r>
      <w:r>
        <w:rPr>
          <w:sz w:val="21"/>
        </w:rPr>
        <w:t>指被保险人出生时就具有的畸形、变形或染色体异常。先天性畸形、变</w:t>
      </w:r>
    </w:p>
    <w:p>
      <w:pPr>
        <w:pStyle w:val="BodyText"/>
        <w:spacing w:line="235" w:lineRule="exact"/>
        <w:ind w:left="117"/>
      </w:pPr>
      <w:r>
        <w:rPr/>
        <w:t>形和染色体异常依照世界卫生组织《疾病和有关健康问题的国际统计分类》（</w:t>
      </w:r>
      <w:r>
        <w:rPr>
          <w:rFonts w:ascii="Times New Roman" w:eastAsia="Times New Roman"/>
        </w:rPr>
        <w:t>ICD-10</w:t>
      </w:r>
      <w:r>
        <w:rPr/>
        <w:t>）确定。</w:t>
      </w:r>
    </w:p>
    <w:p>
      <w:pPr>
        <w:pStyle w:val="BodyText"/>
        <w:spacing w:line="310" w:lineRule="exact"/>
        <w:ind w:left="117"/>
      </w:pPr>
      <w:r>
        <w:rPr>
          <w:rFonts w:ascii="Times New Roman" w:eastAsia="Times New Roman"/>
          <w:position w:val="10"/>
          <w:sz w:val="14"/>
        </w:rPr>
        <w:t>15</w:t>
      </w:r>
      <w:r>
        <w:rPr>
          <w:rFonts w:ascii="Microsoft JhengHei" w:eastAsia="Microsoft JhengHei" w:hint="eastAsia"/>
          <w:b/>
        </w:rPr>
        <w:t>现金价值：</w:t>
      </w:r>
      <w:r>
        <w:rPr/>
        <w:t>指保险单所具有的价值，通常体现为解除合同时，根据精算原理计算的，由我们退还的那部分</w:t>
      </w:r>
    </w:p>
    <w:p>
      <w:pPr>
        <w:pStyle w:val="BodyText"/>
        <w:spacing w:line="274" w:lineRule="exact" w:before="13"/>
        <w:ind w:left="117" w:right="246"/>
      </w:pPr>
      <w:r>
        <w:rPr/>
        <w:t>金额。保单年度末本附加合同所具有的现金价值在保险单或批注上列明。每个保单年度中，本附加合同所具有的现金价值根据本附加合同实际经过的日数计算。</w:t>
      </w:r>
    </w:p>
    <w:p>
      <w:pPr>
        <w:spacing w:line="224" w:lineRule="exact" w:before="0"/>
        <w:ind w:left="117" w:right="0" w:firstLine="0"/>
        <w:jc w:val="left"/>
        <w:rPr>
          <w:sz w:val="21"/>
        </w:rPr>
      </w:pPr>
      <w:r>
        <w:rPr>
          <w:rFonts w:ascii="Times New Roman" w:eastAsia="Times New Roman"/>
          <w:position w:val="10"/>
          <w:sz w:val="14"/>
        </w:rPr>
        <w:t>16</w:t>
      </w:r>
      <w:r>
        <w:rPr>
          <w:rFonts w:ascii="Microsoft JhengHei" w:eastAsia="Microsoft JhengHei" w:hint="eastAsia"/>
          <w:b/>
          <w:sz w:val="21"/>
        </w:rPr>
        <w:t>保险事故：</w:t>
      </w:r>
      <w:r>
        <w:rPr>
          <w:sz w:val="21"/>
        </w:rPr>
        <w:t>指本附加合同约定的保险责任范围内的事故。</w:t>
      </w:r>
    </w:p>
    <w:p>
      <w:pPr>
        <w:pStyle w:val="BodyText"/>
        <w:spacing w:line="306" w:lineRule="exact"/>
        <w:ind w:left="117"/>
      </w:pPr>
      <w:r>
        <w:rPr>
          <w:rFonts w:ascii="Times New Roman" w:eastAsia="Times New Roman"/>
          <w:position w:val="10"/>
          <w:sz w:val="14"/>
        </w:rPr>
        <w:t>17</w:t>
      </w:r>
      <w:r>
        <w:rPr>
          <w:rFonts w:ascii="Microsoft JhengHei" w:eastAsia="Microsoft JhengHei" w:hint="eastAsia"/>
          <w:b/>
        </w:rPr>
        <w:t>有效身份证件：</w:t>
      </w:r>
      <w:r>
        <w:rPr/>
        <w:t>指由政府主管部门规定的证明其身份的证件，如居民身份证、军官证、警官证、士兵证等</w:t>
      </w:r>
    </w:p>
    <w:p>
      <w:pPr>
        <w:pStyle w:val="BodyText"/>
        <w:spacing w:line="227" w:lineRule="exact"/>
        <w:ind w:left="117"/>
      </w:pPr>
      <w:r>
        <w:rPr/>
        <w:t>证件。</w:t>
      </w:r>
    </w:p>
    <w:p>
      <w:pPr>
        <w:pStyle w:val="BodyText"/>
        <w:spacing w:line="218" w:lineRule="auto"/>
        <w:ind w:left="117" w:right="214"/>
      </w:pPr>
      <w:r>
        <w:rPr>
          <w:rFonts w:ascii="Times New Roman" w:eastAsia="Times New Roman"/>
          <w:position w:val="10"/>
          <w:sz w:val="14"/>
        </w:rPr>
        <w:t>18</w:t>
      </w:r>
      <w:r>
        <w:rPr>
          <w:rFonts w:ascii="Microsoft JhengHei" w:eastAsia="Microsoft JhengHei" w:hint="eastAsia"/>
          <w:b/>
          <w:spacing w:val="-7"/>
        </w:rPr>
        <w:t>无民事行为能力人：</w:t>
      </w:r>
      <w:r>
        <w:rPr>
          <w:spacing w:val="-7"/>
        </w:rPr>
        <w:t>一种是指不满十周岁的未成年人，另一种是指不能辨认自己行为的精神病人</w:t>
      </w:r>
      <w:r>
        <w:rPr>
          <w:spacing w:val="-161"/>
        </w:rPr>
        <w:t>。</w:t>
      </w:r>
      <w:r>
        <w:rPr/>
        <w:t>（</w:t>
      </w:r>
      <w:r>
        <w:rPr>
          <w:spacing w:val="-15"/>
        </w:rPr>
        <w:t>根据《中</w:t>
      </w:r>
      <w:r>
        <w:rPr>
          <w:spacing w:val="-7"/>
        </w:rPr>
        <w:t>华人民共和国民法通则》第十二条及第十三条规定</w:t>
      </w:r>
      <w:r>
        <w:rPr/>
        <w:t>）</w:t>
      </w:r>
    </w:p>
    <w:p>
      <w:pPr>
        <w:spacing w:after="0" w:line="218" w:lineRule="auto"/>
        <w:sectPr>
          <w:pgSz w:w="11910" w:h="16160"/>
          <w:pgMar w:header="0" w:footer="1057" w:top="1340" w:bottom="1260" w:left="960" w:right="700"/>
        </w:sectPr>
      </w:pPr>
    </w:p>
    <w:p>
      <w:pPr>
        <w:pStyle w:val="BodyText"/>
        <w:spacing w:before="1"/>
        <w:rPr>
          <w:sz w:val="8"/>
        </w:rPr>
      </w:pPr>
    </w:p>
    <w:p>
      <w:pPr>
        <w:pStyle w:val="Heading1"/>
        <w:tabs>
          <w:tab w:pos="1418" w:val="left" w:leader="none"/>
        </w:tabs>
        <w:spacing w:before="26"/>
        <w:ind w:right="100"/>
        <w:jc w:val="center"/>
      </w:pPr>
      <w:bookmarkStart w:name="_bookmark16" w:id="17"/>
      <w:bookmarkEnd w:id="17"/>
      <w:r>
        <w:rPr>
          <w:b w:val="0"/>
        </w:rPr>
      </w:r>
      <w:r>
        <w:rPr/>
        <w:t>第五部分</w:t>
        <w:tab/>
      </w:r>
      <w:r>
        <w:rPr>
          <w:w w:val="95"/>
        </w:rPr>
        <w:t>您还享有哪些权益</w:t>
      </w:r>
    </w:p>
    <w:p>
      <w:pPr>
        <w:pStyle w:val="BodyText"/>
        <w:spacing w:before="10"/>
        <w:rPr>
          <w:b/>
          <w:sz w:val="25"/>
        </w:rPr>
      </w:pPr>
    </w:p>
    <w:p>
      <w:pPr>
        <w:pStyle w:val="Heading2"/>
        <w:tabs>
          <w:tab w:pos="1457" w:val="left" w:leader="none"/>
        </w:tabs>
        <w:ind w:left="377"/>
      </w:pPr>
      <w:bookmarkStart w:name="_bookmark17" w:id="18"/>
      <w:bookmarkEnd w:id="18"/>
      <w:r>
        <w:rPr>
          <w:b w:val="0"/>
        </w:rPr>
      </w:r>
      <w:r>
        <w:rPr/>
        <w:t>第十三条</w:t>
        <w:tab/>
        <w:t>犹豫期</w:t>
      </w:r>
    </w:p>
    <w:p>
      <w:pPr>
        <w:pStyle w:val="BodyText"/>
        <w:spacing w:before="37"/>
        <w:ind w:left="798"/>
      </w:pPr>
      <w:r>
        <w:rPr/>
        <w:t>您在收到本附加合同并书面签收之日起可享有 </w:t>
      </w:r>
      <w:r>
        <w:rPr>
          <w:rFonts w:ascii="Times New Roman" w:eastAsia="Times New Roman"/>
        </w:rPr>
        <w:t>15 </w:t>
      </w:r>
      <w:r>
        <w:rPr/>
        <w:t>日的犹豫期，在犹豫期内要求解除本附加合同的，在我</w:t>
      </w:r>
    </w:p>
    <w:p>
      <w:pPr>
        <w:pStyle w:val="BodyText"/>
        <w:spacing w:line="256" w:lineRule="auto" w:before="21"/>
        <w:ind w:left="377" w:right="472"/>
      </w:pPr>
      <w:r>
        <w:rPr>
          <w:spacing w:val="-6"/>
        </w:rPr>
        <w:t>们收齐相关文件和资料的次日零时，本附加合同即被解除，</w:t>
      </w:r>
      <w:r>
        <w:rPr>
          <w:b/>
          <w:spacing w:val="-1"/>
        </w:rPr>
        <w:t>我们自始不承担保险责任</w:t>
      </w:r>
      <w:r>
        <w:rPr>
          <w:spacing w:val="-11"/>
        </w:rPr>
        <w:t>。我们在扣除 </w:t>
      </w:r>
      <w:r>
        <w:rPr>
          <w:rFonts w:ascii="Times New Roman" w:eastAsia="Times New Roman"/>
        </w:rPr>
        <w:t>10 </w:t>
      </w:r>
      <w:r>
        <w:rPr/>
        <w:t>元工本</w:t>
      </w:r>
      <w:r>
        <w:rPr>
          <w:spacing w:val="-3"/>
        </w:rPr>
        <w:t>费后，无息退还已交保险费。</w:t>
      </w:r>
    </w:p>
    <w:p>
      <w:pPr>
        <w:pStyle w:val="BodyText"/>
        <w:spacing w:before="22"/>
        <w:ind w:left="798"/>
      </w:pPr>
      <w:r>
        <w:rPr/>
        <w:t>在申请解除本附加合同的同时必须申请解除主合同。</w:t>
      </w:r>
    </w:p>
    <w:p>
      <w:pPr>
        <w:pStyle w:val="BodyText"/>
        <w:spacing w:before="8"/>
        <w:rPr>
          <w:sz w:val="26"/>
        </w:rPr>
      </w:pPr>
    </w:p>
    <w:p>
      <w:pPr>
        <w:pStyle w:val="Heading2"/>
        <w:tabs>
          <w:tab w:pos="1457" w:val="left" w:leader="none"/>
        </w:tabs>
        <w:spacing w:before="1"/>
        <w:ind w:left="377"/>
      </w:pPr>
      <w:bookmarkStart w:name="_bookmark18" w:id="19"/>
      <w:bookmarkEnd w:id="19"/>
      <w:r>
        <w:rPr>
          <w:b w:val="0"/>
        </w:rPr>
      </w:r>
      <w:r>
        <w:rPr/>
        <w:t>第十四条</w:t>
        <w:tab/>
        <w:t>您解除合同的手续</w:t>
      </w:r>
      <w:r>
        <w:rPr>
          <w:spacing w:val="-3"/>
        </w:rPr>
        <w:t>及</w:t>
      </w:r>
      <w:r>
        <w:rPr/>
        <w:t>风险</w:t>
      </w:r>
    </w:p>
    <w:p>
      <w:pPr>
        <w:pStyle w:val="BodyText"/>
        <w:spacing w:line="273" w:lineRule="auto" w:before="37"/>
        <w:ind w:left="798" w:right="1977"/>
      </w:pPr>
      <w:r>
        <w:rPr/>
        <w:t>如您在犹豫期后申请解除本附加合同，请填写解除合同申请书并向我们提供下列资料： 一、保险合同；</w:t>
      </w:r>
    </w:p>
    <w:p>
      <w:pPr>
        <w:pStyle w:val="BodyText"/>
        <w:spacing w:before="7"/>
        <w:ind w:left="798"/>
      </w:pPr>
      <w:r>
        <w:rPr/>
        <w:t>二、您的有效身份证件。</w:t>
      </w:r>
    </w:p>
    <w:p>
      <w:pPr>
        <w:pStyle w:val="BodyText"/>
        <w:spacing w:line="256" w:lineRule="auto" w:before="36"/>
        <w:ind w:left="377" w:right="474" w:firstLine="420"/>
      </w:pPr>
      <w:r>
        <w:rPr>
          <w:spacing w:val="-9"/>
        </w:rPr>
        <w:t>自我们收到解除合同申请书时起，本附加合同终止。我们自收到解除合同申请书之日起 </w:t>
      </w:r>
      <w:r>
        <w:rPr>
          <w:rFonts w:ascii="Times New Roman" w:eastAsia="Times New Roman"/>
        </w:rPr>
        <w:t>30 </w:t>
      </w:r>
      <w:r>
        <w:rPr>
          <w:spacing w:val="-3"/>
        </w:rPr>
        <w:t>日内向您退还保险单的现金价值。</w:t>
      </w:r>
    </w:p>
    <w:p>
      <w:pPr>
        <w:pStyle w:val="BodyText"/>
        <w:spacing w:line="273" w:lineRule="auto" w:before="21"/>
        <w:ind w:left="798" w:right="5131"/>
      </w:pPr>
      <w:r>
        <w:rPr/>
        <w:t>在申请解除本附加合同的同时必须申请解除主合同。您犹豫期后解除合同会遭受一定损失。</w:t>
      </w:r>
    </w:p>
    <w:p>
      <w:pPr>
        <w:pStyle w:val="BodyText"/>
        <w:spacing w:before="3"/>
        <w:rPr>
          <w:sz w:val="22"/>
        </w:rPr>
      </w:pPr>
    </w:p>
    <w:p>
      <w:pPr>
        <w:pStyle w:val="Heading1"/>
        <w:tabs>
          <w:tab w:pos="1418" w:val="left" w:leader="none"/>
        </w:tabs>
        <w:ind w:right="102"/>
        <w:jc w:val="center"/>
      </w:pPr>
      <w:bookmarkStart w:name="_bookmark19" w:id="20"/>
      <w:bookmarkEnd w:id="20"/>
      <w:r>
        <w:rPr>
          <w:b w:val="0"/>
        </w:rPr>
      </w:r>
      <w:r>
        <w:rPr/>
        <w:t>第六部分</w:t>
        <w:tab/>
      </w:r>
      <w:r>
        <w:rPr>
          <w:w w:val="95"/>
        </w:rPr>
        <w:t>您必须了解的其他事项</w:t>
      </w:r>
    </w:p>
    <w:p>
      <w:pPr>
        <w:pStyle w:val="BodyText"/>
        <w:spacing w:before="10"/>
        <w:rPr>
          <w:b/>
          <w:sz w:val="25"/>
        </w:rPr>
      </w:pPr>
    </w:p>
    <w:p>
      <w:pPr>
        <w:pStyle w:val="Heading2"/>
        <w:tabs>
          <w:tab w:pos="1457" w:val="left" w:leader="none"/>
        </w:tabs>
        <w:ind w:left="377"/>
      </w:pPr>
      <w:bookmarkStart w:name="_bookmark20" w:id="21"/>
      <w:bookmarkEnd w:id="21"/>
      <w:r>
        <w:rPr>
          <w:b w:val="0"/>
        </w:rPr>
      </w:r>
      <w:r>
        <w:rPr/>
        <w:t>第十五条</w:t>
        <w:tab/>
        <w:t>保险合同的终止</w:t>
      </w:r>
    </w:p>
    <w:p>
      <w:pPr>
        <w:spacing w:line="273" w:lineRule="auto" w:before="37"/>
        <w:ind w:left="798" w:right="3240" w:firstLine="0"/>
        <w:jc w:val="left"/>
        <w:rPr>
          <w:sz w:val="21"/>
        </w:rPr>
      </w:pPr>
      <w:r>
        <w:rPr>
          <w:sz w:val="21"/>
        </w:rPr>
        <w:t>除本附加合同另有约定外，本附加合同在发生下列情况之一时自动终止： 一、</w:t>
      </w:r>
      <w:r>
        <w:rPr>
          <w:b/>
          <w:sz w:val="21"/>
        </w:rPr>
        <w:t>本附加合同期满日</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零时；</w:t>
      </w:r>
    </w:p>
    <w:p>
      <w:pPr>
        <w:pStyle w:val="BodyText"/>
        <w:spacing w:line="273" w:lineRule="auto"/>
        <w:ind w:left="798" w:right="1977"/>
      </w:pPr>
      <w:r>
        <w:rPr/>
        <w:t>二、我们已按本附加合同的约定给付重大疾病保险金或高发重大疾病额外给付保险金； 三、主合同解除、期满或终止；</w:t>
      </w:r>
    </w:p>
    <w:p>
      <w:pPr>
        <w:pStyle w:val="BodyText"/>
        <w:spacing w:before="19"/>
        <w:ind w:left="798"/>
      </w:pPr>
      <w:r>
        <w:rPr/>
        <w:t>四、本附加合同内约定的其他终止情况。</w:t>
      </w:r>
    </w:p>
    <w:p>
      <w:pPr>
        <w:pStyle w:val="BodyText"/>
        <w:spacing w:before="8"/>
        <w:rPr>
          <w:sz w:val="26"/>
        </w:rPr>
      </w:pPr>
    </w:p>
    <w:p>
      <w:pPr>
        <w:pStyle w:val="Heading2"/>
        <w:tabs>
          <w:tab w:pos="1457" w:val="left" w:leader="none"/>
        </w:tabs>
        <w:spacing w:before="1"/>
        <w:ind w:left="377"/>
      </w:pPr>
      <w:bookmarkStart w:name="_bookmark21" w:id="22"/>
      <w:bookmarkEnd w:id="22"/>
      <w:r>
        <w:rPr>
          <w:b w:val="0"/>
        </w:rPr>
      </w:r>
      <w:r>
        <w:rPr/>
        <w:t>第十六条</w:t>
        <w:tab/>
        <w:t>重大疾病的种类及</w:t>
      </w:r>
      <w:r>
        <w:rPr>
          <w:spacing w:val="-3"/>
        </w:rPr>
        <w:t>定</w:t>
      </w:r>
      <w:r>
        <w:rPr/>
        <w:t>义</w:t>
      </w:r>
    </w:p>
    <w:p>
      <w:pPr>
        <w:pStyle w:val="BodyText"/>
        <w:spacing w:line="256" w:lineRule="auto" w:before="37"/>
        <w:ind w:left="377" w:right="480" w:firstLine="420"/>
      </w:pPr>
      <w:r>
        <w:rPr/>
        <w:t>本附加合同所保障的重大疾病，是指被保险人经</w:t>
      </w:r>
      <w:r>
        <w:rPr>
          <w:b/>
        </w:rPr>
        <w:t>专科医生</w:t>
      </w:r>
      <w:r>
        <w:rPr>
          <w:rFonts w:ascii="Times New Roman" w:eastAsia="Times New Roman"/>
          <w:b/>
          <w:vertAlign w:val="superscript"/>
        </w:rPr>
        <w:t>2</w:t>
      </w:r>
      <w:r>
        <w:rPr>
          <w:rFonts w:ascii="Times New Roman" w:eastAsia="Times New Roman"/>
          <w:b/>
          <w:vertAlign w:val="superscript"/>
        </w:rPr>
        <w:t>0</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line="256" w:lineRule="auto" w:before="22"/>
        <w:ind w:left="377" w:right="474" w:firstLine="420"/>
      </w:pPr>
      <w:r>
        <w:rPr>
          <w:spacing w:val="-7"/>
        </w:rPr>
        <w:t>本附加合同所保障的重大疾病共 </w:t>
      </w:r>
      <w:r>
        <w:rPr>
          <w:rFonts w:ascii="Times New Roman" w:eastAsia="Times New Roman"/>
        </w:rPr>
        <w:t>35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5"/>
        </w:rPr>
        <w:t>年 </w:t>
      </w:r>
      <w:r>
        <w:rPr>
          <w:rFonts w:ascii="Times New Roman" w:eastAsia="Times New Roman"/>
        </w:rPr>
        <w:t>4 </w:t>
      </w:r>
      <w:r>
        <w:rPr>
          <w:spacing w:val="-25"/>
        </w:rPr>
        <w:t>月 </w:t>
      </w:r>
      <w:r>
        <w:rPr>
          <w:rFonts w:ascii="Times New Roman" w:eastAsia="Times New Roman"/>
        </w:rPr>
        <w:t>3 </w:t>
      </w:r>
      <w:r>
        <w:rPr>
          <w:spacing w:val="-6"/>
        </w:rPr>
        <w:t>日启用的《重大疾病保险的疾病定</w:t>
      </w:r>
      <w:r>
        <w:rPr>
          <w:spacing w:val="-4"/>
        </w:rPr>
        <w:t>义使用规范》中列明的重大疾病，该规范由中国保险行业协会制定，其他为我们增加的重大疾病。</w:t>
      </w:r>
    </w:p>
    <w:p>
      <w:pPr>
        <w:pStyle w:val="BodyText"/>
        <w:rPr>
          <w:sz w:val="6"/>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3"/>
        <w:gridCol w:w="842"/>
        <w:gridCol w:w="7791"/>
      </w:tblGrid>
      <w:tr>
        <w:trPr>
          <w:trHeight w:val="1466" w:hRule="atLeast"/>
        </w:trPr>
        <w:tc>
          <w:tcPr>
            <w:tcW w:w="1923" w:type="dxa"/>
          </w:tcPr>
          <w:p>
            <w:pPr>
              <w:pStyle w:val="TableParagraph"/>
              <w:spacing w:line="234" w:lineRule="exact"/>
              <w:ind w:left="200"/>
              <w:rPr>
                <w:sz w:val="21"/>
              </w:rPr>
            </w:pPr>
            <w:r>
              <w:rPr>
                <w:rFonts w:ascii="Times New Roman" w:eastAsia="Times New Roman"/>
                <w:sz w:val="21"/>
              </w:rPr>
              <w:t>1.  </w:t>
            </w:r>
            <w:r>
              <w:rPr>
                <w:sz w:val="21"/>
              </w:rPr>
              <w:t>恶性肿瘤</w:t>
            </w:r>
          </w:p>
        </w:tc>
        <w:tc>
          <w:tcPr>
            <w:tcW w:w="842" w:type="dxa"/>
          </w:tcPr>
          <w:p>
            <w:pPr>
              <w:pStyle w:val="TableParagraph"/>
              <w:spacing w:line="215" w:lineRule="exact"/>
              <w:ind w:left="0" w:right="10"/>
              <w:jc w:val="right"/>
              <w:rPr>
                <w:sz w:val="21"/>
              </w:rPr>
            </w:pPr>
            <w:r>
              <w:rPr>
                <w:w w:val="100"/>
                <w:sz w:val="21"/>
              </w:rPr>
              <w:t>：</w:t>
            </w:r>
          </w:p>
        </w:tc>
        <w:tc>
          <w:tcPr>
            <w:tcW w:w="7791" w:type="dxa"/>
          </w:tcPr>
          <w:p>
            <w:pPr>
              <w:pStyle w:val="TableParagraph"/>
              <w:spacing w:line="218" w:lineRule="exact"/>
              <w:ind w:left="11"/>
              <w:rPr>
                <w:sz w:val="21"/>
              </w:rPr>
            </w:pPr>
            <w:r>
              <w:rPr>
                <w:sz w:val="21"/>
              </w:rPr>
              <w:t>指恶性细胞不受控制的进行性增长和扩散，浸润和破坏周围正常组织，可以经血管、</w:t>
            </w:r>
          </w:p>
          <w:p>
            <w:pPr>
              <w:pStyle w:val="TableParagraph"/>
              <w:spacing w:line="264" w:lineRule="auto" w:before="37"/>
              <w:ind w:left="11" w:right="305"/>
              <w:jc w:val="both"/>
              <w:rPr>
                <w:sz w:val="21"/>
              </w:rPr>
            </w:pPr>
            <w:r>
              <w:rPr>
                <w:spacing w:val="-8"/>
                <w:sz w:val="21"/>
              </w:rPr>
              <w:t>淋巴管和体腔扩散转移到身体其他部位的疾病。经病理学检查结果明确诊断，临床</w:t>
            </w:r>
            <w:r>
              <w:rPr>
                <w:spacing w:val="-9"/>
                <w:sz w:val="21"/>
              </w:rPr>
              <w:t>诊断属于世界卫生组织《疾病和有关健康问题的国际统计分类》</w:t>
            </w:r>
            <w:r>
              <w:rPr>
                <w:sz w:val="21"/>
              </w:rPr>
              <w:t>（</w:t>
            </w:r>
            <w:r>
              <w:rPr>
                <w:rFonts w:ascii="Times New Roman" w:eastAsia="Times New Roman"/>
                <w:sz w:val="21"/>
              </w:rPr>
              <w:t>ICD-10</w:t>
            </w:r>
            <w:r>
              <w:rPr>
                <w:sz w:val="21"/>
              </w:rPr>
              <w:t>）</w:t>
            </w:r>
            <w:r>
              <w:rPr>
                <w:spacing w:val="-2"/>
                <w:sz w:val="21"/>
              </w:rPr>
              <w:t>的恶性</w:t>
            </w:r>
            <w:r>
              <w:rPr>
                <w:spacing w:val="-3"/>
                <w:sz w:val="21"/>
              </w:rPr>
              <w:t>肿瘤范畴。</w:t>
            </w:r>
          </w:p>
          <w:p>
            <w:pPr>
              <w:pStyle w:val="TableParagraph"/>
              <w:spacing w:line="255" w:lineRule="exact" w:before="15"/>
              <w:ind w:left="11"/>
              <w:jc w:val="both"/>
              <w:rPr>
                <w:b/>
                <w:sz w:val="21"/>
              </w:rPr>
            </w:pPr>
            <w:r>
              <w:rPr>
                <w:b/>
                <w:sz w:val="21"/>
              </w:rPr>
              <w:t>下列疾病不在保障范围内：</w:t>
            </w:r>
          </w:p>
        </w:tc>
      </w:tr>
    </w:tbl>
    <w:p>
      <w:pPr>
        <w:pStyle w:val="BodyText"/>
        <w:spacing w:before="5"/>
        <w:rPr>
          <w:sz w:val="12"/>
        </w:rPr>
      </w:pPr>
      <w:r>
        <w:rPr/>
        <w:pict>
          <v:line style="position:absolute;mso-position-horizontal-relative:page;mso-position-vertical-relative:paragraph;z-index:1192;mso-wrap-distance-left:0;mso-wrap-distance-right:0" from="53.880001pt,10.313519pt" to="197.930001pt,10.313519pt" stroked="true" strokeweight=".47998pt" strokecolor="#000000">
            <v:stroke dashstyle="solid"/>
            <w10:wrap type="topAndBottom"/>
          </v:line>
        </w:pict>
      </w:r>
    </w:p>
    <w:p>
      <w:pPr>
        <w:spacing w:line="320" w:lineRule="exact" w:before="0"/>
        <w:ind w:left="377" w:right="0" w:firstLine="0"/>
        <w:jc w:val="left"/>
        <w:rPr>
          <w:sz w:val="21"/>
        </w:rPr>
      </w:pPr>
      <w:r>
        <w:rPr>
          <w:rFonts w:ascii="Times New Roman" w:eastAsia="Times New Roman"/>
          <w:position w:val="10"/>
          <w:sz w:val="14"/>
        </w:rPr>
        <w:t>19</w:t>
      </w:r>
      <w:r>
        <w:rPr>
          <w:rFonts w:ascii="Microsoft JhengHei" w:eastAsia="Microsoft JhengHei" w:hint="eastAsia"/>
          <w:b/>
          <w:sz w:val="21"/>
        </w:rPr>
        <w:t>本附加合同期满日：</w:t>
      </w:r>
      <w:r>
        <w:rPr>
          <w:sz w:val="21"/>
        </w:rPr>
        <w:t>指保险单或批注上列明的合同生效日经过保险期间后的对应日。如果当月无对应的同</w:t>
      </w:r>
    </w:p>
    <w:p>
      <w:pPr>
        <w:pStyle w:val="BodyText"/>
        <w:spacing w:line="227" w:lineRule="exact"/>
        <w:ind w:left="377"/>
      </w:pPr>
      <w:r>
        <w:rPr/>
        <w:t>一日，则以该月最后一日作为对应日。</w:t>
      </w:r>
    </w:p>
    <w:p>
      <w:pPr>
        <w:pStyle w:val="BodyText"/>
        <w:spacing w:line="318" w:lineRule="exact"/>
        <w:ind w:left="377"/>
      </w:pPr>
      <w:r>
        <w:rPr>
          <w:rFonts w:ascii="Times New Roman" w:eastAsia="Times New Roman"/>
          <w:w w:val="99"/>
          <w:position w:val="10"/>
          <w:sz w:val="14"/>
        </w:rPr>
        <w:t>2</w:t>
      </w:r>
      <w:r>
        <w:rPr>
          <w:rFonts w:ascii="Times New Roman" w:eastAsia="Times New Roman"/>
          <w:spacing w:val="1"/>
          <w:w w:val="99"/>
          <w:position w:val="10"/>
          <w:sz w:val="14"/>
        </w:rPr>
        <w:t>0</w:t>
      </w:r>
      <w:r>
        <w:rPr>
          <w:rFonts w:ascii="Microsoft JhengHei" w:eastAsia="Microsoft JhengHei" w:hint="eastAsia"/>
          <w:b/>
          <w:spacing w:val="1"/>
          <w:w w:val="100"/>
        </w:rPr>
        <w:t>专科医生：</w:t>
      </w:r>
      <w:r>
        <w:rPr>
          <w:spacing w:val="-6"/>
          <w:w w:val="100"/>
        </w:rPr>
        <w:t>专科医生应当同时满足以下四项资格条件：</w:t>
      </w:r>
      <w:r>
        <w:rPr>
          <w:spacing w:val="5"/>
          <w:w w:val="100"/>
        </w:rPr>
        <w:t>（</w:t>
      </w:r>
      <w:r>
        <w:rPr>
          <w:rFonts w:ascii="Times New Roman" w:eastAsia="Times New Roman"/>
          <w:w w:val="100"/>
        </w:rPr>
        <w:t>1</w:t>
      </w:r>
      <w:r>
        <w:rPr>
          <w:spacing w:val="1"/>
          <w:w w:val="100"/>
        </w:rPr>
        <w:t>）</w:t>
      </w:r>
      <w:r>
        <w:rPr>
          <w:spacing w:val="-6"/>
          <w:w w:val="100"/>
        </w:rPr>
        <w:t>具有有效的中华人民共和国《医师资格证书》；</w:t>
      </w:r>
    </w:p>
    <w:p>
      <w:pPr>
        <w:pStyle w:val="BodyText"/>
        <w:spacing w:line="225" w:lineRule="auto" w:before="3"/>
        <w:ind w:left="377" w:right="472"/>
        <w:jc w:val="both"/>
      </w:pPr>
      <w:r>
        <w:rPr>
          <w:w w:val="100"/>
        </w:rPr>
        <w:t>（</w:t>
      </w:r>
      <w:r>
        <w:rPr>
          <w:rFonts w:ascii="Times New Roman" w:eastAsia="Times New Roman"/>
          <w:w w:val="100"/>
        </w:rPr>
        <w:t>2</w:t>
      </w:r>
      <w:r>
        <w:rPr>
          <w:w w:val="100"/>
        </w:rPr>
        <w:t>）</w:t>
      </w:r>
      <w:r>
        <w:rPr>
          <w:spacing w:val="-12"/>
          <w:w w:val="100"/>
        </w:rPr>
        <w:t>具有有效的中华人民共和国《医师执业证书》，并按期到相关部门登记注册；</w:t>
      </w:r>
      <w:r>
        <w:rPr>
          <w:spacing w:val="0"/>
          <w:w w:val="100"/>
        </w:rPr>
        <w:t>（</w:t>
      </w:r>
      <w:r>
        <w:rPr>
          <w:rFonts w:ascii="Times New Roman" w:eastAsia="Times New Roman"/>
          <w:w w:val="100"/>
        </w:rPr>
        <w:t>3</w:t>
      </w:r>
      <w:r>
        <w:rPr>
          <w:spacing w:val="-3"/>
          <w:w w:val="100"/>
        </w:rPr>
        <w:t>）</w:t>
      </w:r>
      <w:r>
        <w:rPr>
          <w:spacing w:val="-2"/>
          <w:w w:val="100"/>
        </w:rPr>
        <w:t>具有有效的中华人民</w:t>
      </w:r>
      <w:r>
        <w:rPr>
          <w:spacing w:val="-10"/>
          <w:w w:val="100"/>
        </w:rPr>
        <w:t>共和国主治医师或主治医师以上职称的《医师职称证书》</w:t>
      </w:r>
      <w:r>
        <w:rPr>
          <w:spacing w:val="-132"/>
          <w:w w:val="100"/>
        </w:rPr>
        <w:t>；</w:t>
      </w:r>
      <w:r>
        <w:rPr>
          <w:w w:val="100"/>
        </w:rPr>
        <w:t>（</w:t>
      </w:r>
      <w:r>
        <w:rPr>
          <w:rFonts w:ascii="Times New Roman" w:eastAsia="Times New Roman"/>
          <w:w w:val="100"/>
        </w:rPr>
        <w:t>4</w:t>
      </w:r>
      <w:r>
        <w:rPr>
          <w:spacing w:val="-25"/>
          <w:w w:val="100"/>
        </w:rPr>
        <w:t>）</w:t>
      </w:r>
      <w:r>
        <w:rPr>
          <w:spacing w:val="-3"/>
          <w:w w:val="100"/>
        </w:rPr>
        <w:t>在二级或二级以上医院的相应科室从事临床工</w:t>
      </w:r>
      <w:r>
        <w:rPr>
          <w:spacing w:val="-3"/>
        </w:rPr>
        <w:t>作三年以上。</w:t>
      </w:r>
    </w:p>
    <w:p>
      <w:pPr>
        <w:pStyle w:val="BodyText"/>
        <w:spacing w:line="289" w:lineRule="exact"/>
        <w:ind w:left="2687"/>
      </w:pPr>
      <w:r>
        <w:rPr/>
        <w:t>太平附加吉祥安康重大疾病保险（</w:t>
      </w:r>
      <w:r>
        <w:rPr>
          <w:rFonts w:ascii="Times New Roman" w:eastAsia="Times New Roman"/>
        </w:rPr>
        <w:t>B</w:t>
      </w:r>
      <w:r>
        <w:rPr/>
        <w:t>款），第</w:t>
      </w:r>
      <w:r>
        <w:rPr>
          <w:rFonts w:ascii="Times New Roman" w:eastAsia="Times New Roman"/>
        </w:rPr>
        <w:t>6</w:t>
      </w:r>
      <w:r>
        <w:rPr/>
        <w:t>页，共</w:t>
      </w:r>
      <w:r>
        <w:rPr>
          <w:rFonts w:ascii="Times New Roman" w:eastAsia="Times New Roman"/>
        </w:rPr>
        <w:t>12</w:t>
      </w:r>
      <w:r>
        <w:rPr/>
        <w:t>页</w:t>
      </w:r>
    </w:p>
    <w:p>
      <w:pPr>
        <w:spacing w:after="0" w:line="289" w:lineRule="exact"/>
        <w:sectPr>
          <w:footerReference w:type="default" r:id="rId9"/>
          <w:pgSz w:w="11910" w:h="16160"/>
          <w:pgMar w:footer="0" w:header="0" w:top="1520" w:bottom="280" w:left="700" w:right="4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5"/>
        <w:gridCol w:w="320"/>
        <w:gridCol w:w="7791"/>
      </w:tblGrid>
      <w:tr>
        <w:trPr>
          <w:trHeight w:val="2145" w:hRule="atLeast"/>
        </w:trPr>
        <w:tc>
          <w:tcPr>
            <w:tcW w:w="2445" w:type="dxa"/>
          </w:tcPr>
          <w:p>
            <w:pPr>
              <w:pStyle w:val="TableParagraph"/>
              <w:ind w:left="0"/>
              <w:rPr>
                <w:rFonts w:ascii="Times New Roman"/>
                <w:sz w:val="20"/>
              </w:rPr>
            </w:pPr>
          </w:p>
        </w:tc>
        <w:tc>
          <w:tcPr>
            <w:tcW w:w="320" w:type="dxa"/>
          </w:tcPr>
          <w:p>
            <w:pPr>
              <w:pStyle w:val="TableParagraph"/>
              <w:ind w:left="0"/>
              <w:rPr>
                <w:rFonts w:ascii="Times New Roman"/>
                <w:sz w:val="20"/>
              </w:rPr>
            </w:pPr>
          </w:p>
        </w:tc>
        <w:tc>
          <w:tcPr>
            <w:tcW w:w="7791" w:type="dxa"/>
          </w:tcPr>
          <w:p>
            <w:pPr>
              <w:pStyle w:val="TableParagraph"/>
              <w:spacing w:line="234" w:lineRule="exact"/>
              <w:ind w:left="11"/>
              <w:rPr>
                <w:b/>
                <w:sz w:val="21"/>
              </w:rPr>
            </w:pPr>
            <w:r>
              <w:rPr>
                <w:b/>
                <w:sz w:val="21"/>
              </w:rPr>
              <w:t>（</w:t>
            </w:r>
            <w:r>
              <w:rPr>
                <w:rFonts w:ascii="Times New Roman" w:eastAsia="Times New Roman"/>
                <w:b/>
                <w:sz w:val="21"/>
              </w:rPr>
              <w:t>1</w:t>
            </w:r>
            <w:r>
              <w:rPr>
                <w:b/>
                <w:sz w:val="21"/>
              </w:rPr>
              <w:t>）原位癌；</w:t>
            </w:r>
          </w:p>
          <w:p>
            <w:pPr>
              <w:pStyle w:val="TableParagraph"/>
              <w:spacing w:before="21"/>
              <w:ind w:left="11"/>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0"/>
              <w:ind w:left="11"/>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0"/>
              <w:ind w:left="11"/>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56" w:lineRule="auto" w:before="20"/>
              <w:ind w:left="11" w:right="307"/>
              <w:rPr>
                <w:b/>
                <w:sz w:val="21"/>
              </w:rPr>
            </w:pPr>
            <w:r>
              <w:rPr>
                <w:b/>
                <w:spacing w:val="-6"/>
                <w:sz w:val="21"/>
              </w:rPr>
              <w:t>（</w:t>
            </w:r>
            <w:r>
              <w:rPr>
                <w:rFonts w:ascii="Times New Roman" w:eastAsia="Times New Roman"/>
                <w:b/>
                <w:spacing w:val="-6"/>
                <w:sz w:val="21"/>
              </w:rPr>
              <w:t>5</w:t>
            </w:r>
            <w:r>
              <w:rPr>
                <w:b/>
                <w:spacing w:val="-6"/>
                <w:sz w:val="21"/>
              </w:rPr>
              <w:t>）</w:t>
            </w:r>
            <w:r>
              <w:rPr>
                <w:rFonts w:ascii="Times New Roman" w:eastAsia="Times New Roman"/>
                <w:b/>
                <w:spacing w:val="-6"/>
                <w:sz w:val="21"/>
              </w:rPr>
              <w:t>TNM </w:t>
            </w:r>
            <w:r>
              <w:rPr>
                <w:b/>
                <w:spacing w:val="-13"/>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3"/>
                <w:sz w:val="21"/>
                <w:vertAlign w:val="baseline"/>
              </w:rPr>
              <w:t>期或更轻分期的前列腺癌</w:t>
            </w:r>
            <w:r>
              <w:rPr>
                <w:b/>
                <w:sz w:val="21"/>
                <w:vertAlign w:val="baseline"/>
              </w:rPr>
              <w:t>（</w:t>
            </w:r>
            <w:r>
              <w:rPr>
                <w:b/>
                <w:spacing w:val="-6"/>
                <w:sz w:val="21"/>
                <w:vertAlign w:val="baseline"/>
              </w:rPr>
              <w:t>注：如果为女性重大疾病保险，则不包括此项</w:t>
            </w:r>
            <w:r>
              <w:rPr>
                <w:b/>
                <w:spacing w:val="-106"/>
                <w:sz w:val="21"/>
                <w:vertAlign w:val="baseline"/>
              </w:rPr>
              <w:t>）；</w:t>
            </w:r>
          </w:p>
          <w:p>
            <w:pPr>
              <w:pStyle w:val="TableParagraph"/>
              <w:spacing w:before="22"/>
              <w:ind w:left="11"/>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1872" w:hRule="atLeast"/>
        </w:trPr>
        <w:tc>
          <w:tcPr>
            <w:tcW w:w="2445" w:type="dxa"/>
          </w:tcPr>
          <w:p>
            <w:pPr>
              <w:pStyle w:val="TableParagraph"/>
              <w:spacing w:line="273" w:lineRule="exact"/>
              <w:ind w:left="200"/>
              <w:rPr>
                <w:sz w:val="21"/>
              </w:rPr>
            </w:pPr>
            <w:r>
              <w:rPr>
                <w:rFonts w:ascii="Times New Roman" w:eastAsia="Times New Roman"/>
                <w:sz w:val="21"/>
              </w:rPr>
              <w:t>2.  </w:t>
            </w:r>
            <w:r>
              <w:rPr>
                <w:sz w:val="21"/>
              </w:rPr>
              <w:t>急性心肌梗塞</w:t>
            </w:r>
          </w:p>
        </w:tc>
        <w:tc>
          <w:tcPr>
            <w:tcW w:w="320" w:type="dxa"/>
          </w:tcPr>
          <w:p>
            <w:pPr>
              <w:pStyle w:val="TableParagraph"/>
              <w:spacing w:line="254" w:lineRule="exact"/>
              <w:ind w:left="83"/>
              <w:jc w:val="center"/>
              <w:rPr>
                <w:sz w:val="21"/>
              </w:rPr>
            </w:pPr>
            <w:r>
              <w:rPr>
                <w:w w:val="100"/>
                <w:sz w:val="21"/>
              </w:rPr>
              <w:t>：</w:t>
            </w:r>
          </w:p>
        </w:tc>
        <w:tc>
          <w:tcPr>
            <w:tcW w:w="7791" w:type="dxa"/>
          </w:tcPr>
          <w:p>
            <w:pPr>
              <w:pStyle w:val="TableParagraph"/>
              <w:spacing w:line="257" w:lineRule="exact"/>
              <w:ind w:left="11"/>
              <w:rPr>
                <w:sz w:val="21"/>
              </w:rPr>
            </w:pPr>
            <w:r>
              <w:rPr>
                <w:sz w:val="21"/>
              </w:rPr>
              <w:t>指因冠状动脉阻塞导致的相应区域供血不足造成部分心肌坏死。须满足下列至少三</w:t>
            </w:r>
          </w:p>
          <w:p>
            <w:pPr>
              <w:pStyle w:val="TableParagraph"/>
              <w:spacing w:before="37"/>
              <w:ind w:left="11"/>
              <w:rPr>
                <w:sz w:val="21"/>
              </w:rPr>
            </w:pPr>
            <w:r>
              <w:rPr>
                <w:sz w:val="21"/>
              </w:rPr>
              <w:t>项条件：</w:t>
            </w:r>
          </w:p>
          <w:p>
            <w:pPr>
              <w:pStyle w:val="TableParagraph"/>
              <w:spacing w:before="37"/>
              <w:ind w:left="11"/>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11"/>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21"/>
              <w:ind w:left="11"/>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0"/>
              <w:ind w:left="11"/>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日后，经检查证实左心室功能降低，如左心室射血分数低于 </w:t>
            </w:r>
            <w:r>
              <w:rPr>
                <w:rFonts w:ascii="Times New Roman" w:eastAsia="Times New Roman"/>
                <w:sz w:val="21"/>
              </w:rPr>
              <w:t>50%</w:t>
            </w:r>
            <w:r>
              <w:rPr>
                <w:sz w:val="21"/>
              </w:rPr>
              <w:t>。</w:t>
            </w:r>
          </w:p>
        </w:tc>
      </w:tr>
      <w:tr>
        <w:trPr>
          <w:trHeight w:val="2176" w:hRule="atLeast"/>
        </w:trPr>
        <w:tc>
          <w:tcPr>
            <w:tcW w:w="2445" w:type="dxa"/>
          </w:tcPr>
          <w:p>
            <w:pPr>
              <w:pStyle w:val="TableParagraph"/>
              <w:spacing w:line="273" w:lineRule="exact"/>
              <w:ind w:left="200"/>
              <w:rPr>
                <w:sz w:val="21"/>
              </w:rPr>
            </w:pPr>
            <w:r>
              <w:rPr>
                <w:rFonts w:ascii="Times New Roman" w:eastAsia="Times New Roman"/>
                <w:sz w:val="21"/>
              </w:rPr>
              <w:t>3.  </w:t>
            </w:r>
            <w:r>
              <w:rPr>
                <w:sz w:val="21"/>
              </w:rPr>
              <w:t>脑中风后遗症</w:t>
            </w:r>
          </w:p>
        </w:tc>
        <w:tc>
          <w:tcPr>
            <w:tcW w:w="320" w:type="dxa"/>
          </w:tcPr>
          <w:p>
            <w:pPr>
              <w:pStyle w:val="TableParagraph"/>
              <w:spacing w:line="254" w:lineRule="exact"/>
              <w:ind w:left="83"/>
              <w:jc w:val="center"/>
              <w:rPr>
                <w:sz w:val="21"/>
              </w:rPr>
            </w:pPr>
            <w:r>
              <w:rPr>
                <w:w w:val="100"/>
                <w:sz w:val="21"/>
              </w:rPr>
              <w:t>：</w:t>
            </w:r>
          </w:p>
        </w:tc>
        <w:tc>
          <w:tcPr>
            <w:tcW w:w="7791" w:type="dxa"/>
          </w:tcPr>
          <w:p>
            <w:pPr>
              <w:pStyle w:val="TableParagraph"/>
              <w:spacing w:line="257" w:lineRule="exact"/>
              <w:ind w:left="11"/>
              <w:rPr>
                <w:sz w:val="21"/>
              </w:rPr>
            </w:pPr>
            <w:r>
              <w:rPr>
                <w:sz w:val="21"/>
              </w:rPr>
              <w:t>指因脑血管的突发病变引起脑血管出血、栓塞或梗塞，并导致神经系统永久性的功</w:t>
            </w:r>
          </w:p>
          <w:p>
            <w:pPr>
              <w:pStyle w:val="TableParagraph"/>
              <w:spacing w:line="256" w:lineRule="auto" w:before="37"/>
              <w:ind w:left="11" w:right="305"/>
              <w:rPr>
                <w:sz w:val="21"/>
              </w:rPr>
            </w:pPr>
            <w:r>
              <w:rPr>
                <w:spacing w:val="-11"/>
                <w:sz w:val="21"/>
              </w:rPr>
              <w:t>能障碍。神经系统永久性的功能障碍，指疾病确诊 </w:t>
            </w:r>
            <w:r>
              <w:rPr>
                <w:rFonts w:ascii="Times New Roman" w:eastAsia="Times New Roman"/>
                <w:sz w:val="21"/>
              </w:rPr>
              <w:t>180 </w:t>
            </w:r>
            <w:r>
              <w:rPr>
                <w:spacing w:val="-7"/>
                <w:sz w:val="21"/>
              </w:rPr>
              <w:t>日后，仍遗留下列一种或一</w:t>
            </w:r>
            <w:r>
              <w:rPr>
                <w:spacing w:val="-5"/>
                <w:sz w:val="21"/>
              </w:rPr>
              <w:t>种以上障碍：</w:t>
            </w:r>
          </w:p>
          <w:p>
            <w:pPr>
              <w:pStyle w:val="TableParagraph"/>
              <w:spacing w:before="22"/>
              <w:ind w:left="11"/>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21</w:t>
            </w:r>
            <w:r>
              <w:rPr>
                <w:rFonts w:ascii="Times New Roman" w:eastAsia="Times New Roman"/>
                <w:b/>
                <w:sz w:val="21"/>
                <w:vertAlign w:val="baseline"/>
              </w:rPr>
            </w:r>
            <w:r>
              <w:rPr>
                <w:sz w:val="21"/>
                <w:vertAlign w:val="baseline"/>
              </w:rPr>
              <w:t>；</w:t>
            </w:r>
          </w:p>
          <w:p>
            <w:pPr>
              <w:pStyle w:val="TableParagraph"/>
              <w:spacing w:before="21"/>
              <w:ind w:left="11"/>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w:t>
            </w:r>
          </w:p>
          <w:p>
            <w:pPr>
              <w:pStyle w:val="TableParagraph"/>
              <w:spacing w:line="256" w:lineRule="auto" w:before="21"/>
              <w:ind w:left="11" w:right="382"/>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中的三项或三项以上。</w:t>
            </w:r>
          </w:p>
        </w:tc>
      </w:tr>
      <w:tr>
        <w:trPr>
          <w:trHeight w:val="1248" w:hRule="atLeast"/>
        </w:trPr>
        <w:tc>
          <w:tcPr>
            <w:tcW w:w="2445" w:type="dxa"/>
          </w:tcPr>
          <w:p>
            <w:pPr>
              <w:pStyle w:val="TableParagraph"/>
              <w:spacing w:line="256" w:lineRule="auto"/>
              <w:ind w:left="200" w:right="94"/>
              <w:rPr>
                <w:sz w:val="21"/>
              </w:rPr>
            </w:pPr>
            <w:r>
              <w:rPr>
                <w:rFonts w:ascii="Times New Roman" w:eastAsia="Times New Roman"/>
                <w:sz w:val="21"/>
              </w:rPr>
              <w:t>4. </w:t>
            </w:r>
            <w:r>
              <w:rPr>
                <w:sz w:val="21"/>
              </w:rPr>
              <w:t>重大器官移植术或造血干细胞移植术</w:t>
            </w:r>
          </w:p>
        </w:tc>
        <w:tc>
          <w:tcPr>
            <w:tcW w:w="320" w:type="dxa"/>
          </w:tcPr>
          <w:p>
            <w:pPr>
              <w:pStyle w:val="TableParagraph"/>
              <w:spacing w:line="262" w:lineRule="exact"/>
              <w:ind w:left="83"/>
              <w:jc w:val="center"/>
              <w:rPr>
                <w:sz w:val="21"/>
              </w:rPr>
            </w:pPr>
            <w:r>
              <w:rPr>
                <w:w w:val="100"/>
                <w:sz w:val="21"/>
              </w:rPr>
              <w:t>：</w:t>
            </w:r>
          </w:p>
        </w:tc>
        <w:tc>
          <w:tcPr>
            <w:tcW w:w="7791" w:type="dxa"/>
          </w:tcPr>
          <w:p>
            <w:pPr>
              <w:pStyle w:val="TableParagraph"/>
              <w:spacing w:line="273" w:lineRule="auto"/>
              <w:ind w:left="11" w:right="305"/>
              <w:rPr>
                <w:sz w:val="21"/>
              </w:rPr>
            </w:pPr>
            <w:r>
              <w:rPr>
                <w:spacing w:val="-9"/>
                <w:sz w:val="21"/>
              </w:rPr>
              <w:t>重大器官移植术，指因相应器官功能衰竭，已经实施了肾脏、肝脏、心脏或肺脏的</w:t>
            </w:r>
            <w:r>
              <w:rPr>
                <w:spacing w:val="-5"/>
                <w:sz w:val="21"/>
              </w:rPr>
              <w:t>异体移植手术。</w:t>
            </w:r>
          </w:p>
          <w:p>
            <w:pPr>
              <w:pStyle w:val="TableParagraph"/>
              <w:spacing w:line="312" w:lineRule="exact" w:before="14"/>
              <w:ind w:left="11" w:right="199"/>
              <w:rPr>
                <w:sz w:val="21"/>
              </w:rPr>
            </w:pPr>
            <w:r>
              <w:rPr>
                <w:spacing w:val="-10"/>
                <w:sz w:val="21"/>
              </w:rPr>
              <w:t>造血干细胞移植术，指因造血功能损害或造血系统恶性肿瘤，已经实施了造血干细 </w:t>
            </w:r>
            <w:r>
              <w:rPr>
                <w:spacing w:val="-65"/>
                <w:sz w:val="21"/>
              </w:rPr>
              <w:t>胞</w:t>
            </w:r>
            <w:r>
              <w:rPr>
                <w:spacing w:val="-3"/>
                <w:sz w:val="21"/>
              </w:rPr>
              <w:t>（</w:t>
            </w:r>
            <w:r>
              <w:rPr>
                <w:spacing w:val="-10"/>
                <w:sz w:val="21"/>
              </w:rPr>
              <w:t>包括骨髓造血干细胞、外周血造血干细胞和脐血造血干细胞</w:t>
            </w:r>
            <w:r>
              <w:rPr>
                <w:spacing w:val="-68"/>
                <w:sz w:val="21"/>
              </w:rPr>
              <w:t>）</w:t>
            </w:r>
            <w:r>
              <w:rPr>
                <w:spacing w:val="-3"/>
                <w:sz w:val="21"/>
              </w:rPr>
              <w:t>的异体移植手术。</w:t>
            </w:r>
          </w:p>
        </w:tc>
      </w:tr>
      <w:tr>
        <w:trPr>
          <w:trHeight w:val="936" w:hRule="atLeast"/>
        </w:trPr>
        <w:tc>
          <w:tcPr>
            <w:tcW w:w="2445" w:type="dxa"/>
          </w:tcPr>
          <w:p>
            <w:pPr>
              <w:pStyle w:val="TableParagraph"/>
              <w:spacing w:line="264" w:lineRule="auto"/>
              <w:ind w:left="200" w:right="118"/>
              <w:jc w:val="both"/>
              <w:rPr>
                <w:sz w:val="21"/>
              </w:rPr>
            </w:pPr>
            <w:r>
              <w:rPr>
                <w:rFonts w:ascii="Times New Roman" w:eastAsia="Times New Roman"/>
                <w:sz w:val="21"/>
              </w:rPr>
              <w:t>5. </w:t>
            </w:r>
            <w:r>
              <w:rPr>
                <w:sz w:val="21"/>
              </w:rPr>
              <w:t>冠状动脉搭桥术（或称冠状动脉旁路移植术）</w:t>
            </w:r>
          </w:p>
        </w:tc>
        <w:tc>
          <w:tcPr>
            <w:tcW w:w="320" w:type="dxa"/>
          </w:tcPr>
          <w:p>
            <w:pPr>
              <w:pStyle w:val="TableParagraph"/>
              <w:spacing w:line="262" w:lineRule="exact"/>
              <w:ind w:left="83"/>
              <w:jc w:val="center"/>
              <w:rPr>
                <w:sz w:val="21"/>
              </w:rPr>
            </w:pPr>
            <w:r>
              <w:rPr>
                <w:w w:val="100"/>
                <w:sz w:val="21"/>
              </w:rPr>
              <w:t>：</w:t>
            </w:r>
          </w:p>
        </w:tc>
        <w:tc>
          <w:tcPr>
            <w:tcW w:w="7791" w:type="dxa"/>
          </w:tcPr>
          <w:p>
            <w:pPr>
              <w:pStyle w:val="TableParagraph"/>
              <w:spacing w:line="273" w:lineRule="auto"/>
              <w:ind w:left="11" w:right="399"/>
              <w:rPr>
                <w:b/>
                <w:sz w:val="21"/>
              </w:rPr>
            </w:pPr>
            <w:r>
              <w:rPr>
                <w:sz w:val="21"/>
              </w:rPr>
              <w:t>指为治疗严重的冠心病，实际实施了开胸进行的冠状动脉血管旁路移植的手术。</w:t>
            </w:r>
            <w:r>
              <w:rPr>
                <w:b/>
                <w:sz w:val="21"/>
              </w:rPr>
              <w:t>冠状动脉支架植入术、心导管球囊扩张术、激光射频技术及其他非开胸的介入手</w:t>
            </w:r>
          </w:p>
          <w:p>
            <w:pPr>
              <w:pStyle w:val="TableParagraph"/>
              <w:spacing w:before="18"/>
              <w:ind w:left="11"/>
              <w:rPr>
                <w:b/>
                <w:sz w:val="21"/>
              </w:rPr>
            </w:pPr>
            <w:r>
              <w:rPr>
                <w:b/>
                <w:sz w:val="21"/>
              </w:rPr>
              <w:t>术、腔镜手术不在保障范围内。</w:t>
            </w:r>
          </w:p>
        </w:tc>
      </w:tr>
      <w:tr>
        <w:trPr>
          <w:trHeight w:val="936" w:hRule="atLeast"/>
        </w:trPr>
        <w:tc>
          <w:tcPr>
            <w:tcW w:w="2445" w:type="dxa"/>
          </w:tcPr>
          <w:p>
            <w:pPr>
              <w:pStyle w:val="TableParagraph"/>
              <w:spacing w:line="264" w:lineRule="auto"/>
              <w:ind w:left="200" w:right="115"/>
              <w:jc w:val="both"/>
              <w:rPr>
                <w:sz w:val="21"/>
              </w:rPr>
            </w:pPr>
            <w:r>
              <w:rPr>
                <w:rFonts w:ascii="Times New Roman" w:eastAsia="Times New Roman"/>
                <w:sz w:val="21"/>
              </w:rPr>
              <w:t>6. </w:t>
            </w:r>
            <w:r>
              <w:rPr>
                <w:sz w:val="21"/>
              </w:rPr>
              <w:t>终末期肾病（或称慢性肾功能衰竭尿毒症期）</w:t>
            </w:r>
          </w:p>
        </w:tc>
        <w:tc>
          <w:tcPr>
            <w:tcW w:w="320" w:type="dxa"/>
          </w:tcPr>
          <w:p>
            <w:pPr>
              <w:pStyle w:val="TableParagraph"/>
              <w:spacing w:line="262" w:lineRule="exact"/>
              <w:ind w:left="83"/>
              <w:jc w:val="center"/>
              <w:rPr>
                <w:sz w:val="21"/>
              </w:rPr>
            </w:pPr>
            <w:r>
              <w:rPr>
                <w:w w:val="100"/>
                <w:sz w:val="21"/>
              </w:rPr>
              <w:t>：</w:t>
            </w:r>
          </w:p>
        </w:tc>
        <w:tc>
          <w:tcPr>
            <w:tcW w:w="7791" w:type="dxa"/>
          </w:tcPr>
          <w:p>
            <w:pPr>
              <w:pStyle w:val="TableParagraph"/>
              <w:spacing w:line="256" w:lineRule="auto"/>
              <w:ind w:left="11" w:right="253"/>
              <w:rPr>
                <w:sz w:val="21"/>
              </w:rPr>
            </w:pPr>
            <w:r>
              <w:rPr>
                <w:sz w:val="21"/>
              </w:rPr>
              <w:t>指双肾功能慢性不可逆性衰竭，达到尿毒症期，经诊断后已经进行了至少 </w:t>
            </w:r>
            <w:r>
              <w:rPr>
                <w:rFonts w:ascii="Times New Roman" w:eastAsia="Times New Roman"/>
                <w:sz w:val="21"/>
              </w:rPr>
              <w:t>90 </w:t>
            </w:r>
            <w:r>
              <w:rPr>
                <w:sz w:val="21"/>
              </w:rPr>
              <w:t>日的规律性透析治疗或实施了肾脏移植手术。</w:t>
            </w:r>
          </w:p>
        </w:tc>
      </w:tr>
      <w:tr>
        <w:trPr>
          <w:trHeight w:val="623" w:hRule="atLeast"/>
        </w:trPr>
        <w:tc>
          <w:tcPr>
            <w:tcW w:w="2445" w:type="dxa"/>
          </w:tcPr>
          <w:p>
            <w:pPr>
              <w:pStyle w:val="TableParagraph"/>
              <w:spacing w:line="281" w:lineRule="exact"/>
              <w:ind w:left="200"/>
              <w:rPr>
                <w:sz w:val="21"/>
              </w:rPr>
            </w:pPr>
            <w:r>
              <w:rPr>
                <w:rFonts w:ascii="Times New Roman" w:eastAsia="Times New Roman"/>
                <w:sz w:val="21"/>
              </w:rPr>
              <w:t>7.  </w:t>
            </w:r>
            <w:r>
              <w:rPr>
                <w:sz w:val="21"/>
              </w:rPr>
              <w:t>多个肢体缺失</w:t>
            </w:r>
          </w:p>
        </w:tc>
        <w:tc>
          <w:tcPr>
            <w:tcW w:w="320" w:type="dxa"/>
          </w:tcPr>
          <w:p>
            <w:pPr>
              <w:pStyle w:val="TableParagraph"/>
              <w:spacing w:line="262" w:lineRule="exact"/>
              <w:ind w:left="83"/>
              <w:jc w:val="center"/>
              <w:rPr>
                <w:sz w:val="21"/>
              </w:rPr>
            </w:pPr>
            <w:r>
              <w:rPr>
                <w:w w:val="100"/>
                <w:sz w:val="21"/>
              </w:rPr>
              <w:t>：</w:t>
            </w:r>
          </w:p>
        </w:tc>
        <w:tc>
          <w:tcPr>
            <w:tcW w:w="7791" w:type="dxa"/>
          </w:tcPr>
          <w:p>
            <w:pPr>
              <w:pStyle w:val="TableParagraph"/>
              <w:spacing w:line="265" w:lineRule="exact"/>
              <w:ind w:left="11"/>
              <w:rPr>
                <w:sz w:val="21"/>
              </w:rPr>
            </w:pPr>
            <w:r>
              <w:rPr>
                <w:sz w:val="21"/>
              </w:rPr>
              <w:t>指因疾病或意外伤害导致两个或两个以上肢体自腕关节或踝关节近端（靠近躯干</w:t>
            </w:r>
          </w:p>
          <w:p>
            <w:pPr>
              <w:pStyle w:val="TableParagraph"/>
              <w:spacing w:before="37"/>
              <w:ind w:left="11"/>
              <w:rPr>
                <w:sz w:val="21"/>
              </w:rPr>
            </w:pPr>
            <w:r>
              <w:rPr>
                <w:sz w:val="21"/>
              </w:rPr>
              <w:t>端）以上完全性断离。</w:t>
            </w:r>
          </w:p>
        </w:tc>
      </w:tr>
      <w:tr>
        <w:trPr>
          <w:trHeight w:val="577" w:hRule="atLeast"/>
        </w:trPr>
        <w:tc>
          <w:tcPr>
            <w:tcW w:w="2445" w:type="dxa"/>
          </w:tcPr>
          <w:p>
            <w:pPr>
              <w:pStyle w:val="TableParagraph"/>
              <w:spacing w:line="281" w:lineRule="exact"/>
              <w:ind w:left="200"/>
              <w:rPr>
                <w:sz w:val="21"/>
              </w:rPr>
            </w:pPr>
            <w:r>
              <w:rPr>
                <w:rFonts w:ascii="Times New Roman" w:eastAsia="Times New Roman"/>
                <w:sz w:val="21"/>
              </w:rPr>
              <w:t>8.  </w:t>
            </w:r>
            <w:r>
              <w:rPr>
                <w:sz w:val="21"/>
              </w:rPr>
              <w:t>急性或亚急性重症</w:t>
            </w:r>
          </w:p>
          <w:p>
            <w:pPr>
              <w:pStyle w:val="TableParagraph"/>
              <w:spacing w:line="255" w:lineRule="exact" w:before="22"/>
              <w:ind w:left="200"/>
              <w:rPr>
                <w:sz w:val="21"/>
              </w:rPr>
            </w:pPr>
            <w:r>
              <w:rPr>
                <w:sz w:val="21"/>
              </w:rPr>
              <w:t>肝炎</w:t>
            </w:r>
          </w:p>
        </w:tc>
        <w:tc>
          <w:tcPr>
            <w:tcW w:w="320" w:type="dxa"/>
          </w:tcPr>
          <w:p>
            <w:pPr>
              <w:pStyle w:val="TableParagraph"/>
              <w:spacing w:line="262" w:lineRule="exact"/>
              <w:ind w:left="83"/>
              <w:jc w:val="center"/>
              <w:rPr>
                <w:sz w:val="21"/>
              </w:rPr>
            </w:pPr>
            <w:r>
              <w:rPr>
                <w:w w:val="100"/>
                <w:sz w:val="21"/>
              </w:rPr>
              <w:t>：</w:t>
            </w:r>
          </w:p>
        </w:tc>
        <w:tc>
          <w:tcPr>
            <w:tcW w:w="7791" w:type="dxa"/>
          </w:tcPr>
          <w:p>
            <w:pPr>
              <w:pStyle w:val="TableParagraph"/>
              <w:spacing w:line="265" w:lineRule="exact"/>
              <w:ind w:left="11"/>
              <w:rPr>
                <w:sz w:val="21"/>
              </w:rPr>
            </w:pPr>
            <w:r>
              <w:rPr>
                <w:sz w:val="21"/>
              </w:rPr>
              <w:t>指因肝炎病毒感染引起肝脏组织弥漫性坏死，导致急性肝功能衰竭，且经血清学或</w:t>
            </w:r>
          </w:p>
          <w:p>
            <w:pPr>
              <w:pStyle w:val="TableParagraph"/>
              <w:spacing w:line="255" w:lineRule="exact" w:before="37"/>
              <w:ind w:left="11"/>
              <w:rPr>
                <w:sz w:val="21"/>
              </w:rPr>
            </w:pPr>
            <w:r>
              <w:rPr>
                <w:sz w:val="21"/>
              </w:rPr>
              <w:t>病毒学检查证实，并须满足下列全部条件：</w:t>
            </w:r>
          </w:p>
        </w:tc>
      </w:tr>
    </w:tbl>
    <w:p>
      <w:pPr>
        <w:pStyle w:val="BodyText"/>
        <w:spacing w:before="11"/>
      </w:pPr>
      <w:r>
        <w:rPr/>
        <w:pict>
          <v:line style="position:absolute;mso-position-horizontal-relative:page;mso-position-vertical-relative:paragraph;z-index:1216;mso-wrap-distance-left:0;mso-wrap-distance-right:0" from="53.880001pt,16.504854pt" to="197.930001pt,16.504854pt" stroked="true" strokeweight=".47998pt" strokecolor="#000000">
            <v:stroke dashstyle="solid"/>
            <w10:wrap type="topAndBottom"/>
          </v:line>
        </w:pict>
      </w:r>
    </w:p>
    <w:p>
      <w:pPr>
        <w:spacing w:line="319" w:lineRule="exact" w:before="0"/>
        <w:ind w:left="377" w:right="0" w:firstLine="0"/>
        <w:jc w:val="left"/>
        <w:rPr>
          <w:sz w:val="21"/>
        </w:rPr>
      </w:pPr>
      <w:r>
        <w:rPr>
          <w:rFonts w:ascii="Times New Roman" w:eastAsia="Times New Roman"/>
          <w:position w:val="10"/>
          <w:sz w:val="14"/>
        </w:rPr>
        <w:t>21</w:t>
      </w:r>
      <w:r>
        <w:rPr>
          <w:rFonts w:ascii="Microsoft JhengHei" w:eastAsia="Microsoft JhengHei" w:hint="eastAsia"/>
          <w:b/>
          <w:sz w:val="21"/>
        </w:rPr>
        <w:t>肢体机能完全丧失</w:t>
      </w:r>
      <w:r>
        <w:rPr>
          <w:sz w:val="21"/>
        </w:rPr>
        <w:t>：指肢体的三大关节中的两大关节僵硬，或不能随意识活动。肢体是指包括肩关节的整</w:t>
      </w:r>
    </w:p>
    <w:p>
      <w:pPr>
        <w:pStyle w:val="BodyText"/>
        <w:spacing w:line="227" w:lineRule="exact"/>
        <w:ind w:left="377"/>
      </w:pPr>
      <w:r>
        <w:rPr/>
        <w:t>个上肢或包括髋关节的整个下肢。</w:t>
      </w:r>
    </w:p>
    <w:p>
      <w:pPr>
        <w:spacing w:line="318" w:lineRule="exact" w:before="0"/>
        <w:ind w:left="377" w:right="0" w:firstLine="0"/>
        <w:jc w:val="left"/>
        <w:rPr>
          <w:sz w:val="21"/>
        </w:rPr>
      </w:pPr>
      <w:r>
        <w:rPr>
          <w:rFonts w:ascii="Times New Roman" w:eastAsia="Times New Roman"/>
          <w:position w:val="10"/>
          <w:sz w:val="14"/>
        </w:rPr>
        <w:t>22</w:t>
      </w:r>
      <w:r>
        <w:rPr>
          <w:rFonts w:ascii="Microsoft JhengHei" w:eastAsia="Microsoft JhengHei" w:hint="eastAsia"/>
          <w:b/>
          <w:sz w:val="21"/>
        </w:rPr>
        <w:t>语言能力或咀嚼吞咽能力完全丧失</w:t>
      </w:r>
      <w:r>
        <w:rPr>
          <w:sz w:val="21"/>
        </w:rPr>
        <w:t>：语言能力完全丧失，指无法发出四种语音（包括口唇音、齿舌音、口</w:t>
      </w:r>
    </w:p>
    <w:p>
      <w:pPr>
        <w:pStyle w:val="BodyText"/>
        <w:spacing w:line="237" w:lineRule="auto"/>
        <w:ind w:left="377" w:right="506"/>
        <w:jc w:val="both"/>
      </w:pPr>
      <w:r>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82" w:lineRule="exact" w:before="10"/>
        <w:ind w:left="377" w:right="0" w:firstLine="0"/>
        <w:jc w:val="left"/>
        <w:rPr>
          <w:sz w:val="21"/>
        </w:rPr>
      </w:pPr>
      <w:r>
        <w:rPr>
          <w:rFonts w:ascii="Times New Roman" w:eastAsia="Times New Roman"/>
          <w:w w:val="99"/>
          <w:position w:val="10"/>
          <w:sz w:val="14"/>
        </w:rPr>
        <w:t>23</w:t>
      </w:r>
      <w:r>
        <w:rPr>
          <w:rFonts w:ascii="Microsoft JhengHei" w:eastAsia="Microsoft JhengHei" w:hint="eastAsia"/>
          <w:b/>
          <w:spacing w:val="-1"/>
          <w:w w:val="100"/>
          <w:sz w:val="21"/>
        </w:rPr>
        <w:t>六项基本日常生活活动</w:t>
      </w:r>
      <w:r>
        <w:rPr>
          <w:spacing w:val="-2"/>
          <w:w w:val="100"/>
          <w:sz w:val="21"/>
        </w:rPr>
        <w:t>：指</w:t>
      </w:r>
      <w:r>
        <w:rPr>
          <w:spacing w:val="-1"/>
          <w:w w:val="100"/>
          <w:sz w:val="21"/>
        </w:rPr>
        <w:t>（</w:t>
      </w:r>
      <w:r>
        <w:rPr>
          <w:rFonts w:ascii="Times New Roman" w:eastAsia="Times New Roman"/>
          <w:spacing w:val="-3"/>
          <w:w w:val="100"/>
          <w:sz w:val="21"/>
        </w:rPr>
        <w:t>1</w:t>
      </w:r>
      <w:r>
        <w:rPr>
          <w:w w:val="100"/>
          <w:sz w:val="21"/>
        </w:rPr>
        <w:t>）</w:t>
      </w:r>
      <w:r>
        <w:rPr>
          <w:spacing w:val="-12"/>
          <w:w w:val="100"/>
          <w:sz w:val="21"/>
        </w:rPr>
        <w:t>穿衣：自己能够穿衣及脱衣；</w:t>
      </w:r>
      <w:r>
        <w:rPr>
          <w:spacing w:val="-1"/>
          <w:w w:val="100"/>
          <w:sz w:val="21"/>
        </w:rPr>
        <w:t>（</w:t>
      </w:r>
      <w:r>
        <w:rPr>
          <w:rFonts w:ascii="Times New Roman" w:eastAsia="Times New Roman"/>
          <w:w w:val="100"/>
          <w:sz w:val="21"/>
        </w:rPr>
        <w:t>2</w:t>
      </w:r>
      <w:r>
        <w:rPr>
          <w:spacing w:val="-3"/>
          <w:w w:val="100"/>
          <w:sz w:val="21"/>
        </w:rPr>
        <w:t>）移动：自己从一个房间到另一个房间；</w:t>
      </w:r>
    </w:p>
    <w:p>
      <w:pPr>
        <w:pStyle w:val="BodyText"/>
        <w:spacing w:line="223" w:lineRule="auto" w:before="8"/>
        <w:ind w:left="377" w:right="474"/>
      </w:pPr>
      <w:r>
        <w:rPr>
          <w:w w:val="100"/>
        </w:rPr>
        <w:t>（</w:t>
      </w:r>
      <w:r>
        <w:rPr>
          <w:rFonts w:ascii="Times New Roman" w:eastAsia="Times New Roman"/>
          <w:w w:val="100"/>
        </w:rPr>
        <w:t>3</w:t>
      </w:r>
      <w:r>
        <w:rPr>
          <w:spacing w:val="-10"/>
          <w:w w:val="100"/>
        </w:rPr>
        <w:t>）</w:t>
      </w:r>
      <w:r>
        <w:rPr>
          <w:spacing w:val="-12"/>
          <w:w w:val="100"/>
        </w:rPr>
        <w:t>行动：自己上下床或上下轮椅；</w:t>
      </w:r>
      <w:r>
        <w:rPr>
          <w:spacing w:val="-3"/>
          <w:w w:val="100"/>
        </w:rPr>
        <w:t>（</w:t>
      </w:r>
      <w:r>
        <w:rPr>
          <w:rFonts w:ascii="Times New Roman" w:eastAsia="Times New Roman"/>
          <w:w w:val="100"/>
        </w:rPr>
        <w:t>4</w:t>
      </w:r>
      <w:r>
        <w:rPr>
          <w:spacing w:val="-10"/>
          <w:w w:val="100"/>
        </w:rPr>
        <w:t>）</w:t>
      </w:r>
      <w:r>
        <w:rPr>
          <w:spacing w:val="-13"/>
          <w:w w:val="100"/>
        </w:rPr>
        <w:t>如厕：自己控制进行大小便；</w:t>
      </w:r>
      <w:r>
        <w:rPr>
          <w:spacing w:val="-3"/>
          <w:w w:val="100"/>
        </w:rPr>
        <w:t>（</w:t>
      </w:r>
      <w:r>
        <w:rPr>
          <w:rFonts w:ascii="Times New Roman" w:eastAsia="Times New Roman"/>
          <w:w w:val="100"/>
        </w:rPr>
        <w:t>5</w:t>
      </w:r>
      <w:r>
        <w:rPr>
          <w:spacing w:val="-13"/>
          <w:w w:val="100"/>
        </w:rPr>
        <w:t>）</w:t>
      </w:r>
      <w:r>
        <w:rPr>
          <w:spacing w:val="-4"/>
          <w:w w:val="100"/>
        </w:rPr>
        <w:t>进食：自己从已准备好的碗或碟</w:t>
      </w:r>
      <w:r>
        <w:rPr>
          <w:spacing w:val="-15"/>
          <w:w w:val="100"/>
        </w:rPr>
        <w:t>中取食物放入口中；</w:t>
      </w:r>
      <w:r>
        <w:rPr>
          <w:spacing w:val="-1"/>
          <w:w w:val="100"/>
        </w:rPr>
        <w:t>（</w:t>
      </w:r>
      <w:r>
        <w:rPr>
          <w:rFonts w:ascii="Times New Roman" w:eastAsia="Times New Roman"/>
          <w:w w:val="100"/>
        </w:rPr>
        <w:t>6</w:t>
      </w:r>
      <w:r>
        <w:rPr>
          <w:spacing w:val="-3"/>
          <w:w w:val="100"/>
        </w:rPr>
        <w:t>）洗澡：自己进行淋浴或盆浴。</w:t>
      </w:r>
    </w:p>
    <w:p>
      <w:pPr>
        <w:pStyle w:val="BodyText"/>
        <w:spacing w:line="274" w:lineRule="exact"/>
        <w:ind w:right="99"/>
        <w:jc w:val="center"/>
      </w:pPr>
      <w:r>
        <w:rPr/>
        <w:t>太平附加吉祥安康重大疾病保险（</w:t>
      </w:r>
      <w:r>
        <w:rPr>
          <w:rFonts w:ascii="Times New Roman" w:eastAsia="Times New Roman"/>
        </w:rPr>
        <w:t>B</w:t>
      </w:r>
      <w:r>
        <w:rPr/>
        <w:t>款），第</w:t>
      </w:r>
      <w:r>
        <w:rPr>
          <w:rFonts w:ascii="Times New Roman" w:eastAsia="Times New Roman"/>
        </w:rPr>
        <w:t>7</w:t>
      </w:r>
      <w:r>
        <w:rPr/>
        <w:t>页，共</w:t>
      </w:r>
      <w:r>
        <w:rPr>
          <w:rFonts w:ascii="Times New Roman" w:eastAsia="Times New Roman"/>
        </w:rPr>
        <w:t>12</w:t>
      </w:r>
      <w:r>
        <w:rPr/>
        <w:t>页</w:t>
      </w:r>
    </w:p>
    <w:p>
      <w:pPr>
        <w:spacing w:after="0" w:line="274" w:lineRule="exact"/>
        <w:jc w:val="center"/>
        <w:sectPr>
          <w:footerReference w:type="default" r:id="rId10"/>
          <w:pgSz w:w="11910" w:h="16160"/>
          <w:pgMar w:footer="0" w:header="0" w:top="1420" w:bottom="280" w:left="700" w:right="4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331"/>
        <w:gridCol w:w="7790"/>
      </w:tblGrid>
      <w:tr>
        <w:trPr>
          <w:trHeight w:val="1209" w:hRule="atLeast"/>
        </w:trPr>
        <w:tc>
          <w:tcPr>
            <w:tcW w:w="2433" w:type="dxa"/>
          </w:tcPr>
          <w:p>
            <w:pPr>
              <w:pStyle w:val="TableParagraph"/>
              <w:ind w:left="0"/>
              <w:rPr>
                <w:rFonts w:ascii="Times New Roman"/>
                <w:sz w:val="20"/>
              </w:rPr>
            </w:pPr>
          </w:p>
        </w:tc>
        <w:tc>
          <w:tcPr>
            <w:tcW w:w="331" w:type="dxa"/>
          </w:tcPr>
          <w:p>
            <w:pPr>
              <w:pStyle w:val="TableParagraph"/>
              <w:ind w:left="0"/>
              <w:rPr>
                <w:rFonts w:ascii="Times New Roman"/>
                <w:sz w:val="20"/>
              </w:rPr>
            </w:pPr>
          </w:p>
        </w:tc>
        <w:tc>
          <w:tcPr>
            <w:tcW w:w="7790" w:type="dxa"/>
          </w:tcPr>
          <w:p>
            <w:pPr>
              <w:pStyle w:val="TableParagraph"/>
              <w:spacing w:line="234" w:lineRule="exact"/>
              <w:rPr>
                <w:sz w:val="21"/>
              </w:rPr>
            </w:pPr>
            <w:r>
              <w:rPr>
                <w:sz w:val="21"/>
              </w:rPr>
              <w:t>（</w:t>
            </w:r>
            <w:r>
              <w:rPr>
                <w:rFonts w:ascii="Times New Roman" w:eastAsia="Times New Roman"/>
                <w:sz w:val="21"/>
              </w:rPr>
              <w:t>1</w:t>
            </w:r>
            <w:r>
              <w:rPr>
                <w:sz w:val="21"/>
              </w:rPr>
              <w:t>）重度黄疸或黄疸迅速加重；</w:t>
            </w:r>
          </w:p>
          <w:p>
            <w:pPr>
              <w:pStyle w:val="TableParagraph"/>
              <w:spacing w:before="21"/>
              <w:rPr>
                <w:sz w:val="21"/>
              </w:rPr>
            </w:pPr>
            <w:r>
              <w:rPr>
                <w:sz w:val="21"/>
              </w:rPr>
              <w:t>（</w:t>
            </w:r>
            <w:r>
              <w:rPr>
                <w:rFonts w:ascii="Times New Roman" w:eastAsia="Times New Roman"/>
                <w:sz w:val="21"/>
              </w:rPr>
              <w:t>2</w:t>
            </w:r>
            <w:r>
              <w:rPr>
                <w:sz w:val="21"/>
              </w:rPr>
              <w:t>）肝性脑病；</w:t>
            </w:r>
          </w:p>
          <w:p>
            <w:pPr>
              <w:pStyle w:val="TableParagraph"/>
              <w:spacing w:before="20"/>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0"/>
              <w:rPr>
                <w:sz w:val="21"/>
              </w:rPr>
            </w:pPr>
            <w:r>
              <w:rPr>
                <w:sz w:val="21"/>
              </w:rPr>
              <w:t>（</w:t>
            </w:r>
            <w:r>
              <w:rPr>
                <w:rFonts w:ascii="Times New Roman" w:eastAsia="Times New Roman"/>
                <w:sz w:val="21"/>
              </w:rPr>
              <w:t>4</w:t>
            </w:r>
            <w:r>
              <w:rPr>
                <w:sz w:val="21"/>
              </w:rPr>
              <w:t>）肝功能指标进行性恶化。</w:t>
            </w:r>
          </w:p>
        </w:tc>
      </w:tr>
      <w:tr>
        <w:trPr>
          <w:trHeight w:val="2176" w:hRule="atLeast"/>
        </w:trPr>
        <w:tc>
          <w:tcPr>
            <w:tcW w:w="2433" w:type="dxa"/>
          </w:tcPr>
          <w:p>
            <w:pPr>
              <w:pStyle w:val="TableParagraph"/>
              <w:spacing w:line="273" w:lineRule="exact"/>
              <w:ind w:left="200"/>
              <w:rPr>
                <w:sz w:val="21"/>
              </w:rPr>
            </w:pPr>
            <w:r>
              <w:rPr>
                <w:rFonts w:ascii="Times New Roman" w:eastAsia="Times New Roman"/>
                <w:sz w:val="21"/>
              </w:rPr>
              <w:t>9.  </w:t>
            </w:r>
            <w:r>
              <w:rPr>
                <w:sz w:val="21"/>
              </w:rPr>
              <w:t>良性脑肿瘤</w:t>
            </w:r>
          </w:p>
        </w:tc>
        <w:tc>
          <w:tcPr>
            <w:tcW w:w="331" w:type="dxa"/>
          </w:tcPr>
          <w:p>
            <w:pPr>
              <w:pStyle w:val="TableParagraph"/>
              <w:spacing w:line="254" w:lineRule="exact"/>
              <w:ind w:left="0" w:right="9"/>
              <w:jc w:val="right"/>
              <w:rPr>
                <w:sz w:val="21"/>
              </w:rPr>
            </w:pPr>
            <w:r>
              <w:rPr>
                <w:w w:val="100"/>
                <w:sz w:val="21"/>
              </w:rPr>
              <w:t>：</w:t>
            </w:r>
          </w:p>
        </w:tc>
        <w:tc>
          <w:tcPr>
            <w:tcW w:w="7790" w:type="dxa"/>
          </w:tcPr>
          <w:p>
            <w:pPr>
              <w:pStyle w:val="TableParagraph"/>
              <w:spacing w:line="257" w:lineRule="exact"/>
              <w:rPr>
                <w:sz w:val="21"/>
              </w:rPr>
            </w:pPr>
            <w:r>
              <w:rPr>
                <w:sz w:val="21"/>
              </w:rPr>
              <w:t>指脑的良性肿瘤，已经引起颅内压增高，临床表现为视神经乳头水肿、精神症状、</w:t>
            </w:r>
          </w:p>
          <w:p>
            <w:pPr>
              <w:pStyle w:val="TableParagraph"/>
              <w:spacing w:before="37"/>
              <w:rPr>
                <w:sz w:val="21"/>
              </w:rPr>
            </w:pPr>
            <w:r>
              <w:rPr>
                <w:spacing w:val="-3"/>
                <w:w w:val="100"/>
                <w:sz w:val="21"/>
              </w:rPr>
              <w:t>癫痫及运动感觉障碍等，并危及生命。须由头颅断层扫描（</w:t>
            </w:r>
            <w:r>
              <w:rPr>
                <w:rFonts w:ascii="Times New Roman" w:eastAsia="Times New Roman"/>
                <w:w w:val="100"/>
                <w:sz w:val="21"/>
              </w:rPr>
              <w:t>CT</w:t>
            </w:r>
            <w:r>
              <w:rPr>
                <w:spacing w:val="-108"/>
                <w:w w:val="100"/>
                <w:sz w:val="21"/>
              </w:rPr>
              <w:t>）</w:t>
            </w:r>
            <w:r>
              <w:rPr>
                <w:spacing w:val="-3"/>
                <w:w w:val="100"/>
                <w:sz w:val="21"/>
              </w:rPr>
              <w:t>、核磁共振检查</w:t>
            </w:r>
          </w:p>
          <w:p>
            <w:pPr>
              <w:pStyle w:val="TableParagraph"/>
              <w:spacing w:line="256" w:lineRule="auto" w:before="21"/>
              <w:ind w:right="254"/>
              <w:rPr>
                <w:sz w:val="21"/>
              </w:rPr>
            </w:pPr>
            <w:r>
              <w:rPr>
                <w:sz w:val="21"/>
              </w:rPr>
              <w:t>（</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）等影像学检查证实，并须满足下列至少一项条件：</w:t>
            </w:r>
          </w:p>
          <w:p>
            <w:pPr>
              <w:pStyle w:val="TableParagraph"/>
              <w:spacing w:before="22"/>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rPr>
                <w:b/>
                <w:sz w:val="21"/>
              </w:rPr>
            </w:pPr>
            <w:r>
              <w:rPr>
                <w:b/>
                <w:sz w:val="21"/>
              </w:rPr>
              <w:t>脑垂体瘤、脑囊肿、脑血管性疾病不在保障范围内。</w:t>
            </w:r>
          </w:p>
        </w:tc>
      </w:tr>
      <w:tr>
        <w:trPr>
          <w:trHeight w:val="1872" w:hRule="atLeast"/>
        </w:trPr>
        <w:tc>
          <w:tcPr>
            <w:tcW w:w="2433" w:type="dxa"/>
          </w:tcPr>
          <w:p>
            <w:pPr>
              <w:pStyle w:val="TableParagraph"/>
              <w:spacing w:line="256" w:lineRule="auto"/>
              <w:ind w:left="200" w:right="105"/>
              <w:rPr>
                <w:sz w:val="21"/>
              </w:rPr>
            </w:pPr>
            <w:r>
              <w:rPr>
                <w:rFonts w:ascii="Times New Roman" w:eastAsia="Times New Roman"/>
                <w:sz w:val="21"/>
              </w:rPr>
              <w:t>10. </w:t>
            </w:r>
            <w:r>
              <w:rPr>
                <w:sz w:val="21"/>
              </w:rPr>
              <w:t>慢性肝功能衰竭失代偿期</w:t>
            </w:r>
          </w:p>
        </w:tc>
        <w:tc>
          <w:tcPr>
            <w:tcW w:w="331" w:type="dxa"/>
          </w:tcPr>
          <w:p>
            <w:pPr>
              <w:pStyle w:val="TableParagraph"/>
              <w:spacing w:line="263" w:lineRule="exact"/>
              <w:ind w:left="0" w:right="9"/>
              <w:jc w:val="right"/>
              <w:rPr>
                <w:sz w:val="21"/>
              </w:rPr>
            </w:pPr>
            <w:r>
              <w:rPr>
                <w:w w:val="100"/>
                <w:sz w:val="21"/>
              </w:rPr>
              <w:t>：</w:t>
            </w:r>
          </w:p>
        </w:tc>
        <w:tc>
          <w:tcPr>
            <w:tcW w:w="7790" w:type="dxa"/>
          </w:tcPr>
          <w:p>
            <w:pPr>
              <w:pStyle w:val="TableParagraph"/>
              <w:spacing w:line="265" w:lineRule="exact"/>
              <w:rPr>
                <w:sz w:val="21"/>
              </w:rPr>
            </w:pPr>
            <w:r>
              <w:rPr>
                <w:sz w:val="21"/>
              </w:rPr>
              <w:t>指因慢性肝脏疾病导致肝功能衰竭。须满足下列全部条件：</w:t>
            </w:r>
          </w:p>
          <w:p>
            <w:pPr>
              <w:pStyle w:val="TableParagraph"/>
              <w:spacing w:before="37"/>
              <w:rPr>
                <w:sz w:val="21"/>
              </w:rPr>
            </w:pPr>
            <w:r>
              <w:rPr>
                <w:sz w:val="21"/>
              </w:rPr>
              <w:t>（</w:t>
            </w:r>
            <w:r>
              <w:rPr>
                <w:rFonts w:ascii="Times New Roman" w:eastAsia="Times New Roman"/>
                <w:sz w:val="21"/>
              </w:rPr>
              <w:t>1</w:t>
            </w:r>
            <w:r>
              <w:rPr>
                <w:sz w:val="21"/>
              </w:rPr>
              <w:t>）持续性黄疸；</w:t>
            </w:r>
          </w:p>
          <w:p>
            <w:pPr>
              <w:pStyle w:val="TableParagraph"/>
              <w:spacing w:before="21"/>
              <w:rPr>
                <w:sz w:val="21"/>
              </w:rPr>
            </w:pPr>
            <w:r>
              <w:rPr>
                <w:sz w:val="21"/>
              </w:rPr>
              <w:t>（</w:t>
            </w:r>
            <w:r>
              <w:rPr>
                <w:rFonts w:ascii="Times New Roman" w:eastAsia="Times New Roman"/>
                <w:sz w:val="21"/>
              </w:rPr>
              <w:t>2</w:t>
            </w:r>
            <w:r>
              <w:rPr>
                <w:sz w:val="21"/>
              </w:rPr>
              <w:t>）腹水；</w:t>
            </w:r>
          </w:p>
          <w:p>
            <w:pPr>
              <w:pStyle w:val="TableParagraph"/>
              <w:spacing w:before="21"/>
              <w:rPr>
                <w:sz w:val="21"/>
              </w:rPr>
            </w:pPr>
            <w:r>
              <w:rPr>
                <w:sz w:val="21"/>
              </w:rPr>
              <w:t>（</w:t>
            </w:r>
            <w:r>
              <w:rPr>
                <w:rFonts w:ascii="Times New Roman" w:eastAsia="Times New Roman"/>
                <w:sz w:val="21"/>
              </w:rPr>
              <w:t>3</w:t>
            </w:r>
            <w:r>
              <w:rPr>
                <w:sz w:val="21"/>
              </w:rPr>
              <w:t>）肝性脑病；</w:t>
            </w:r>
          </w:p>
          <w:p>
            <w:pPr>
              <w:pStyle w:val="TableParagraph"/>
              <w:spacing w:line="256" w:lineRule="auto" w:before="21"/>
              <w:ind w:right="2626"/>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2433" w:type="dxa"/>
          </w:tcPr>
          <w:p>
            <w:pPr>
              <w:pStyle w:val="TableParagraph"/>
              <w:spacing w:line="256" w:lineRule="auto"/>
              <w:ind w:left="200" w:right="106"/>
              <w:rPr>
                <w:sz w:val="21"/>
              </w:rPr>
            </w:pPr>
            <w:r>
              <w:rPr>
                <w:rFonts w:ascii="Times New Roman" w:eastAsia="Times New Roman"/>
                <w:sz w:val="21"/>
              </w:rPr>
              <w:t>11. </w:t>
            </w:r>
            <w:r>
              <w:rPr>
                <w:sz w:val="21"/>
              </w:rPr>
              <w:t>脑炎后遗症或脑膜炎后遗症</w:t>
            </w:r>
          </w:p>
        </w:tc>
        <w:tc>
          <w:tcPr>
            <w:tcW w:w="331" w:type="dxa"/>
          </w:tcPr>
          <w:p>
            <w:pPr>
              <w:pStyle w:val="TableParagraph"/>
              <w:spacing w:line="262" w:lineRule="exact"/>
              <w:ind w:left="0" w:right="9"/>
              <w:jc w:val="right"/>
              <w:rPr>
                <w:sz w:val="21"/>
              </w:rPr>
            </w:pPr>
            <w:r>
              <w:rPr>
                <w:w w:val="100"/>
                <w:sz w:val="21"/>
              </w:rPr>
              <w:t>：</w:t>
            </w:r>
          </w:p>
        </w:tc>
        <w:tc>
          <w:tcPr>
            <w:tcW w:w="7790" w:type="dxa"/>
          </w:tcPr>
          <w:p>
            <w:pPr>
              <w:pStyle w:val="TableParagraph"/>
              <w:spacing w:line="273" w:lineRule="auto"/>
              <w:ind w:right="301"/>
              <w:rPr>
                <w:sz w:val="21"/>
              </w:rPr>
            </w:pPr>
            <w:r>
              <w:rPr>
                <w:spacing w:val="-7"/>
                <w:sz w:val="21"/>
              </w:rPr>
              <w:t>指因患脑炎或脑膜炎导致的神经系统永久性的功能障碍。神经系统永久性的功能障</w:t>
            </w:r>
            <w:r>
              <w:rPr>
                <w:spacing w:val="-9"/>
                <w:sz w:val="21"/>
              </w:rPr>
              <w:t>碍，指疾病确诊 </w:t>
            </w:r>
            <w:r>
              <w:rPr>
                <w:rFonts w:ascii="Times New Roman" w:eastAsia="Times New Roman"/>
                <w:sz w:val="21"/>
              </w:rPr>
              <w:t>180 </w:t>
            </w:r>
            <w:r>
              <w:rPr>
                <w:spacing w:val="-3"/>
                <w:sz w:val="21"/>
              </w:rPr>
              <w:t>日后，仍遗留下列一种或一种以上障碍：</w:t>
            </w:r>
          </w:p>
          <w:p>
            <w:pPr>
              <w:pStyle w:val="TableParagraph"/>
              <w:spacing w:line="279" w:lineRule="exact" w:before="10"/>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537" w:right="315" w:hanging="52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29" w:hRule="atLeast"/>
        </w:trPr>
        <w:tc>
          <w:tcPr>
            <w:tcW w:w="2433" w:type="dxa"/>
          </w:tcPr>
          <w:p>
            <w:pPr>
              <w:pStyle w:val="TableParagraph"/>
              <w:spacing w:line="281" w:lineRule="exact"/>
              <w:ind w:left="200"/>
              <w:rPr>
                <w:sz w:val="21"/>
              </w:rPr>
            </w:pPr>
            <w:r>
              <w:rPr>
                <w:rFonts w:ascii="Times New Roman" w:eastAsia="Times New Roman"/>
                <w:sz w:val="21"/>
              </w:rPr>
              <w:t>12.  </w:t>
            </w:r>
            <w:r>
              <w:rPr>
                <w:sz w:val="21"/>
              </w:rPr>
              <w:t>深度昏迷</w:t>
            </w:r>
          </w:p>
        </w:tc>
        <w:tc>
          <w:tcPr>
            <w:tcW w:w="331" w:type="dxa"/>
          </w:tcPr>
          <w:p>
            <w:pPr>
              <w:pStyle w:val="TableParagraph"/>
              <w:spacing w:line="262" w:lineRule="exact"/>
              <w:ind w:left="0" w:right="9"/>
              <w:jc w:val="right"/>
              <w:rPr>
                <w:sz w:val="21"/>
              </w:rPr>
            </w:pPr>
            <w:r>
              <w:rPr>
                <w:w w:val="100"/>
                <w:sz w:val="21"/>
              </w:rPr>
              <w:t>：</w:t>
            </w:r>
          </w:p>
        </w:tc>
        <w:tc>
          <w:tcPr>
            <w:tcW w:w="7790" w:type="dxa"/>
          </w:tcPr>
          <w:p>
            <w:pPr>
              <w:pStyle w:val="TableParagraph"/>
              <w:spacing w:line="256" w:lineRule="auto"/>
              <w:ind w:right="367"/>
              <w:jc w:val="both"/>
              <w:rPr>
                <w:sz w:val="21"/>
              </w:rPr>
            </w:pPr>
            <w:r>
              <w:rPr>
                <w:spacing w:val="-3"/>
                <w:sz w:val="21"/>
              </w:rPr>
              <w:t>指因疾病或意外伤害导致意识丧失，对外界刺激和体内需求均无反应</w:t>
            </w:r>
            <w:r>
              <w:rPr>
                <w:rFonts w:ascii="Times New Roman" w:eastAsia="Times New Roman"/>
                <w:sz w:val="21"/>
              </w:rPr>
              <w:t>,</w:t>
            </w:r>
            <w:r>
              <w:rPr>
                <w:spacing w:val="-3"/>
                <w:sz w:val="21"/>
              </w:rPr>
              <w:t>昏迷程度按照格拉斯哥昏迷分级</w:t>
            </w:r>
            <w:r>
              <w:rPr>
                <w:sz w:val="21"/>
              </w:rPr>
              <w:t>（</w:t>
            </w:r>
            <w:r>
              <w:rPr>
                <w:rFonts w:ascii="Times New Roman" w:eastAsia="Times New Roman"/>
                <w:sz w:val="21"/>
              </w:rPr>
              <w:t>Glasgow coma scale</w:t>
            </w:r>
            <w:r>
              <w:rPr>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3"/>
                <w:sz w:val="21"/>
              </w:rPr>
              <w:t>分以下，且已经持续</w:t>
            </w:r>
            <w:r>
              <w:rPr>
                <w:spacing w:val="-6"/>
                <w:sz w:val="21"/>
              </w:rPr>
              <w:t>使用呼吸机及其他生命维持系统 </w:t>
            </w:r>
            <w:r>
              <w:rPr>
                <w:rFonts w:ascii="Times New Roman" w:eastAsia="Times New Roman"/>
                <w:sz w:val="21"/>
              </w:rPr>
              <w:t>96 </w:t>
            </w:r>
            <w:r>
              <w:rPr>
                <w:spacing w:val="-3"/>
                <w:sz w:val="21"/>
              </w:rPr>
              <w:t>小时以上。</w:t>
            </w:r>
          </w:p>
          <w:p>
            <w:pPr>
              <w:pStyle w:val="TableParagraph"/>
              <w:spacing w:before="15"/>
              <w:jc w:val="both"/>
              <w:rPr>
                <w:b/>
                <w:sz w:val="21"/>
              </w:rPr>
            </w:pPr>
            <w:r>
              <w:rPr>
                <w:b/>
                <w:sz w:val="21"/>
              </w:rPr>
              <w:t>因酗酒或药物滥用导致的深度昏迷不在保障范围内。</w:t>
            </w:r>
          </w:p>
        </w:tc>
      </w:tr>
      <w:tr>
        <w:trPr>
          <w:trHeight w:val="1578" w:hRule="atLeast"/>
        </w:trPr>
        <w:tc>
          <w:tcPr>
            <w:tcW w:w="2433" w:type="dxa"/>
          </w:tcPr>
          <w:p>
            <w:pPr>
              <w:pStyle w:val="TableParagraph"/>
              <w:spacing w:line="256" w:lineRule="auto" w:before="8"/>
              <w:ind w:left="200" w:right="106"/>
              <w:rPr>
                <w:b/>
                <w:sz w:val="21"/>
              </w:rPr>
            </w:pPr>
            <w:r>
              <w:rPr>
                <w:rFonts w:ascii="Times New Roman" w:eastAsia="Times New Roman"/>
                <w:sz w:val="21"/>
              </w:rPr>
              <w:t>13. </w:t>
            </w:r>
            <w:r>
              <w:rPr>
                <w:sz w:val="21"/>
              </w:rPr>
              <w:t>双耳失聪 </w:t>
            </w:r>
            <w:r>
              <w:rPr>
                <w:rFonts w:ascii="Times New Roman" w:eastAsia="Times New Roman"/>
                <w:sz w:val="21"/>
              </w:rPr>
              <w:t>- </w:t>
            </w:r>
            <w:r>
              <w:rPr>
                <w:b/>
                <w:sz w:val="21"/>
              </w:rPr>
              <w:t>三岁始理赔</w:t>
            </w:r>
          </w:p>
        </w:tc>
        <w:tc>
          <w:tcPr>
            <w:tcW w:w="331" w:type="dxa"/>
          </w:tcPr>
          <w:p>
            <w:pPr>
              <w:pStyle w:val="TableParagraph"/>
              <w:spacing w:before="6"/>
              <w:ind w:left="0" w:right="9"/>
              <w:jc w:val="right"/>
              <w:rPr>
                <w:sz w:val="21"/>
              </w:rPr>
            </w:pPr>
            <w:r>
              <w:rPr>
                <w:w w:val="100"/>
                <w:sz w:val="21"/>
              </w:rPr>
              <w:t>：</w:t>
            </w:r>
          </w:p>
        </w:tc>
        <w:tc>
          <w:tcPr>
            <w:tcW w:w="7790" w:type="dxa"/>
          </w:tcPr>
          <w:p>
            <w:pPr>
              <w:pStyle w:val="TableParagraph"/>
              <w:spacing w:before="8"/>
              <w:rPr>
                <w:sz w:val="21"/>
              </w:rPr>
            </w:pPr>
            <w:r>
              <w:rPr>
                <w:sz w:val="21"/>
              </w:rPr>
              <w:t>指因疾病或意外伤害导致双耳听力</w:t>
            </w:r>
            <w:r>
              <w:rPr>
                <w:b/>
                <w:sz w:val="21"/>
              </w:rPr>
              <w:t>永久不可逆</w:t>
            </w:r>
            <w:r>
              <w:rPr>
                <w:rFonts w:ascii="Times New Roman" w:eastAsia="Times New Roman"/>
                <w:b/>
                <w:sz w:val="21"/>
                <w:vertAlign w:val="superscript"/>
              </w:rPr>
              <w:t>24</w:t>
            </w:r>
            <w:r>
              <w:rPr>
                <w:rFonts w:ascii="Times New Roman" w:eastAsia="Times New Roman"/>
                <w:b/>
                <w:sz w:val="21"/>
                <w:vertAlign w:val="baseline"/>
              </w:rPr>
            </w:r>
            <w:r>
              <w:rPr>
                <w:sz w:val="21"/>
                <w:vertAlign w:val="baseline"/>
              </w:rPr>
              <w:t>性丧失，在 </w:t>
            </w:r>
            <w:r>
              <w:rPr>
                <w:rFonts w:ascii="Times New Roman" w:eastAsia="Times New Roman"/>
                <w:sz w:val="21"/>
                <w:vertAlign w:val="baseline"/>
              </w:rPr>
              <w:t>500 </w:t>
            </w:r>
            <w:r>
              <w:rPr>
                <w:sz w:val="21"/>
                <w:vertAlign w:val="baseline"/>
              </w:rPr>
              <w:t>赫兹、</w:t>
            </w:r>
            <w:r>
              <w:rPr>
                <w:rFonts w:ascii="Times New Roman" w:eastAsia="Times New Roman"/>
                <w:sz w:val="21"/>
                <w:vertAlign w:val="baseline"/>
              </w:rPr>
              <w:t>1000 </w:t>
            </w:r>
            <w:r>
              <w:rPr>
                <w:sz w:val="21"/>
                <w:vertAlign w:val="baseline"/>
              </w:rPr>
              <w:t>赫兹和</w:t>
            </w:r>
          </w:p>
          <w:p>
            <w:pPr>
              <w:pStyle w:val="TableParagraph"/>
              <w:spacing w:line="256" w:lineRule="auto" w:before="21"/>
              <w:ind w:right="303"/>
              <w:rPr>
                <w:sz w:val="21"/>
              </w:rPr>
            </w:pPr>
            <w:r>
              <w:rPr>
                <w:rFonts w:ascii="Times New Roman" w:eastAsia="Times New Roman"/>
                <w:sz w:val="21"/>
              </w:rPr>
              <w:t>2000 </w:t>
            </w:r>
            <w:r>
              <w:rPr>
                <w:spacing w:val="-8"/>
                <w:sz w:val="21"/>
              </w:rPr>
              <w:t>赫兹语音频率下，平均听阈大于 </w:t>
            </w:r>
            <w:r>
              <w:rPr>
                <w:rFonts w:ascii="Times New Roman" w:eastAsia="Times New Roman"/>
                <w:sz w:val="21"/>
              </w:rPr>
              <w:t>90 </w:t>
            </w:r>
            <w:r>
              <w:rPr>
                <w:spacing w:val="-6"/>
                <w:sz w:val="21"/>
              </w:rPr>
              <w:t>分贝，且经纯音听力测试、声导抗检测或</w:t>
            </w:r>
            <w:r>
              <w:rPr>
                <w:spacing w:val="-4"/>
                <w:sz w:val="21"/>
              </w:rPr>
              <w:t>听觉诱发电位检测等证实。</w:t>
            </w:r>
          </w:p>
          <w:p>
            <w:pPr>
              <w:pStyle w:val="TableParagraph"/>
              <w:spacing w:line="312" w:lineRule="exact" w:before="18"/>
              <w:ind w:right="301"/>
              <w:rPr>
                <w:sz w:val="21"/>
              </w:rPr>
            </w:pPr>
            <w:r>
              <w:rPr>
                <w:spacing w:val="-8"/>
                <w:sz w:val="21"/>
              </w:rPr>
              <w:t>被保险人申请理赔时年龄必须在三周岁以上，并且提供理赔当时的听力丧失诊断及</w:t>
            </w:r>
            <w:r>
              <w:rPr>
                <w:spacing w:val="-5"/>
                <w:sz w:val="21"/>
              </w:rPr>
              <w:t>检查证据。</w:t>
            </w:r>
          </w:p>
        </w:tc>
      </w:tr>
      <w:tr>
        <w:trPr>
          <w:trHeight w:val="2184" w:hRule="atLeast"/>
        </w:trPr>
        <w:tc>
          <w:tcPr>
            <w:tcW w:w="2433" w:type="dxa"/>
          </w:tcPr>
          <w:p>
            <w:pPr>
              <w:pStyle w:val="TableParagraph"/>
              <w:spacing w:line="259" w:lineRule="auto"/>
              <w:ind w:left="200" w:right="106"/>
              <w:rPr>
                <w:b/>
                <w:sz w:val="21"/>
              </w:rPr>
            </w:pPr>
            <w:r>
              <w:rPr>
                <w:rFonts w:ascii="Times New Roman" w:eastAsia="Times New Roman"/>
                <w:sz w:val="21"/>
              </w:rPr>
              <w:t>14. </w:t>
            </w:r>
            <w:r>
              <w:rPr>
                <w:sz w:val="21"/>
              </w:rPr>
              <w:t>双目失明 </w:t>
            </w:r>
            <w:r>
              <w:rPr>
                <w:rFonts w:ascii="Times New Roman" w:eastAsia="Times New Roman"/>
                <w:sz w:val="21"/>
              </w:rPr>
              <w:t>- </w:t>
            </w:r>
            <w:r>
              <w:rPr>
                <w:b/>
                <w:sz w:val="21"/>
              </w:rPr>
              <w:t>三岁始理赔</w:t>
            </w:r>
          </w:p>
        </w:tc>
        <w:tc>
          <w:tcPr>
            <w:tcW w:w="331" w:type="dxa"/>
          </w:tcPr>
          <w:p>
            <w:pPr>
              <w:pStyle w:val="TableParagraph"/>
              <w:spacing w:line="262" w:lineRule="exact"/>
              <w:ind w:left="0" w:right="9"/>
              <w:jc w:val="right"/>
              <w:rPr>
                <w:sz w:val="21"/>
              </w:rPr>
            </w:pPr>
            <w:r>
              <w:rPr>
                <w:w w:val="100"/>
                <w:sz w:val="21"/>
              </w:rPr>
              <w:t>：</w:t>
            </w:r>
          </w:p>
        </w:tc>
        <w:tc>
          <w:tcPr>
            <w:tcW w:w="7790" w:type="dxa"/>
          </w:tcPr>
          <w:p>
            <w:pPr>
              <w:pStyle w:val="TableParagraph"/>
              <w:spacing w:line="273" w:lineRule="auto"/>
              <w:ind w:right="301"/>
              <w:rPr>
                <w:sz w:val="21"/>
              </w:rPr>
            </w:pPr>
            <w:r>
              <w:rPr>
                <w:spacing w:val="-7"/>
                <w:sz w:val="21"/>
              </w:rPr>
              <w:t>指因疾病或意外伤害导致双眼视力永久不可逆性丧失，双眼中较好眼须满足下列至</w:t>
            </w:r>
            <w:r>
              <w:rPr>
                <w:spacing w:val="-5"/>
                <w:sz w:val="21"/>
              </w:rPr>
              <w:t>少一项条件：</w:t>
            </w:r>
          </w:p>
          <w:p>
            <w:pPr>
              <w:pStyle w:val="TableParagraph"/>
              <w:spacing w:before="18"/>
              <w:rPr>
                <w:sz w:val="21"/>
              </w:rPr>
            </w:pPr>
            <w:r>
              <w:rPr>
                <w:sz w:val="21"/>
              </w:rPr>
              <w:t>（</w:t>
            </w:r>
            <w:r>
              <w:rPr>
                <w:rFonts w:ascii="Times New Roman" w:eastAsia="Times New Roman"/>
                <w:sz w:val="21"/>
              </w:rPr>
              <w:t>1</w:t>
            </w:r>
            <w:r>
              <w:rPr>
                <w:sz w:val="21"/>
              </w:rPr>
              <w:t>）眼球缺失或摘除；</w:t>
            </w:r>
          </w:p>
          <w:p>
            <w:pPr>
              <w:pStyle w:val="TableParagraph"/>
              <w:spacing w:before="21"/>
              <w:rPr>
                <w:sz w:val="21"/>
              </w:rPr>
            </w:pPr>
            <w:r>
              <w:rPr>
                <w:w w:val="100"/>
                <w:sz w:val="21"/>
              </w:rPr>
              <w:t>（</w:t>
            </w:r>
            <w:r>
              <w:rPr>
                <w:rFonts w:ascii="Times New Roman" w:eastAsia="Times New Roman"/>
                <w:spacing w:val="-3"/>
                <w:w w:val="100"/>
                <w:sz w:val="21"/>
              </w:rPr>
              <w:t>2</w:t>
            </w:r>
            <w:r>
              <w:rPr>
                <w:spacing w:val="-65"/>
                <w:w w:val="100"/>
                <w:sz w:val="21"/>
              </w:rPr>
              <w:t>）</w:t>
            </w:r>
            <w:r>
              <w:rPr>
                <w:spacing w:val="-3"/>
                <w:w w:val="100"/>
                <w:sz w:val="21"/>
              </w:rPr>
              <w:t>矫正视力低于</w:t>
            </w:r>
            <w:r>
              <w:rPr>
                <w:spacing w:val="-53"/>
                <w:sz w:val="21"/>
              </w:rPr>
              <w:t> </w:t>
            </w:r>
            <w:r>
              <w:rPr>
                <w:rFonts w:ascii="Times New Roman" w:eastAsia="Times New Roman"/>
                <w:w w:val="100"/>
                <w:sz w:val="21"/>
              </w:rPr>
              <w:t>0.</w:t>
            </w:r>
            <w:r>
              <w:rPr>
                <w:rFonts w:ascii="Times New Roman" w:eastAsia="Times New Roman"/>
                <w:spacing w:val="-3"/>
                <w:w w:val="100"/>
                <w:sz w:val="21"/>
              </w:rPr>
              <w:t>0</w:t>
            </w:r>
            <w:r>
              <w:rPr>
                <w:rFonts w:ascii="Times New Roman" w:eastAsia="Times New Roman"/>
                <w:spacing w:val="-65"/>
                <w:w w:val="100"/>
                <w:sz w:val="21"/>
              </w:rPr>
              <w:t>2</w:t>
            </w:r>
            <w:r>
              <w:rPr>
                <w:spacing w:val="-3"/>
                <w:w w:val="100"/>
                <w:sz w:val="21"/>
              </w:rPr>
              <w:t>（</w:t>
            </w:r>
            <w:r>
              <w:rPr>
                <w:spacing w:val="-10"/>
                <w:w w:val="100"/>
                <w:sz w:val="21"/>
              </w:rPr>
              <w:t>采用国际标准视力表，如果使用其他视力表应进行换算</w:t>
            </w:r>
            <w:r>
              <w:rPr>
                <w:spacing w:val="-108"/>
                <w:w w:val="100"/>
                <w:sz w:val="21"/>
              </w:rPr>
              <w:t>）</w:t>
            </w:r>
            <w:r>
              <w:rPr>
                <w:w w:val="100"/>
                <w:sz w:val="21"/>
              </w:rPr>
              <w:t>；</w:t>
            </w:r>
          </w:p>
          <w:p>
            <w:pPr>
              <w:pStyle w:val="TableParagraph"/>
              <w:spacing w:before="21"/>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right="301"/>
              <w:rPr>
                <w:sz w:val="21"/>
              </w:rPr>
            </w:pPr>
            <w:r>
              <w:rPr>
                <w:spacing w:val="-8"/>
                <w:sz w:val="21"/>
              </w:rPr>
              <w:t>被保险人申请理赔时年龄必须在三周岁以上，并且提供理赔当时的视力丧失诊断及</w:t>
            </w:r>
            <w:r>
              <w:rPr>
                <w:spacing w:val="-5"/>
                <w:sz w:val="21"/>
              </w:rPr>
              <w:t>检查证据。</w:t>
            </w:r>
          </w:p>
        </w:tc>
      </w:tr>
      <w:tr>
        <w:trPr>
          <w:trHeight w:val="280" w:hRule="atLeast"/>
        </w:trPr>
        <w:tc>
          <w:tcPr>
            <w:tcW w:w="2433" w:type="dxa"/>
          </w:tcPr>
          <w:p>
            <w:pPr>
              <w:pStyle w:val="TableParagraph"/>
              <w:spacing w:line="261" w:lineRule="exact"/>
              <w:ind w:left="200"/>
              <w:rPr>
                <w:sz w:val="21"/>
              </w:rPr>
            </w:pPr>
            <w:r>
              <w:rPr>
                <w:rFonts w:ascii="Times New Roman" w:eastAsia="Times New Roman"/>
                <w:sz w:val="21"/>
              </w:rPr>
              <w:t>15.  </w:t>
            </w:r>
            <w:r>
              <w:rPr>
                <w:sz w:val="21"/>
              </w:rPr>
              <w:t>瘫痪</w:t>
            </w:r>
          </w:p>
        </w:tc>
        <w:tc>
          <w:tcPr>
            <w:tcW w:w="331" w:type="dxa"/>
          </w:tcPr>
          <w:p>
            <w:pPr>
              <w:pStyle w:val="TableParagraph"/>
              <w:spacing w:line="261" w:lineRule="exact"/>
              <w:ind w:left="0" w:right="9"/>
              <w:jc w:val="right"/>
              <w:rPr>
                <w:sz w:val="21"/>
              </w:rPr>
            </w:pPr>
            <w:r>
              <w:rPr>
                <w:w w:val="100"/>
                <w:sz w:val="21"/>
              </w:rPr>
              <w:t>：</w:t>
            </w:r>
          </w:p>
        </w:tc>
        <w:tc>
          <w:tcPr>
            <w:tcW w:w="7790" w:type="dxa"/>
          </w:tcPr>
          <w:p>
            <w:pPr>
              <w:pStyle w:val="TableParagraph"/>
              <w:spacing w:line="261" w:lineRule="exact"/>
              <w:rPr>
                <w:sz w:val="21"/>
              </w:rPr>
            </w:pPr>
            <w:r>
              <w:rPr>
                <w:sz w:val="21"/>
              </w:rPr>
              <w:t>指因疾病或意外伤害导致两肢或两肢以上肢体机能永久完全丧失。肢体机能永久完</w:t>
            </w:r>
          </w:p>
        </w:tc>
      </w:tr>
    </w:tbl>
    <w:p>
      <w:pPr>
        <w:pStyle w:val="BodyText"/>
        <w:spacing w:before="2"/>
        <w:rPr>
          <w:sz w:val="23"/>
        </w:rPr>
      </w:pPr>
      <w:r>
        <w:rPr/>
        <w:pict>
          <v:line style="position:absolute;mso-position-horizontal-relative:page;mso-position-vertical-relative:paragraph;z-index:1240;mso-wrap-distance-left:0;mso-wrap-distance-right:0" from="53.880001pt,17.381605pt" to="197.930001pt,17.381605pt" stroked="true" strokeweight=".48004pt" strokecolor="#000000">
            <v:stroke dashstyle="solid"/>
            <w10:wrap type="topAndBottom"/>
          </v:line>
        </w:pict>
      </w:r>
    </w:p>
    <w:p>
      <w:pPr>
        <w:pStyle w:val="BodyText"/>
        <w:spacing w:line="218" w:lineRule="auto" w:before="1"/>
        <w:ind w:left="377" w:right="517"/>
      </w:pPr>
      <w:r>
        <w:rPr>
          <w:rFonts w:ascii="Times New Roman" w:eastAsia="Times New Roman"/>
          <w:position w:val="10"/>
          <w:sz w:val="14"/>
        </w:rPr>
        <w:t>24</w:t>
      </w:r>
      <w:r>
        <w:rPr>
          <w:rFonts w:ascii="Microsoft JhengHei" w:eastAsia="Microsoft JhengHei" w:hint="eastAsia"/>
          <w:b/>
        </w:rPr>
        <w:t>永久不可逆</w:t>
      </w:r>
      <w:r>
        <w:rPr/>
        <w:t>：指自疾病确诊或意外伤害发生之日起，经过积极治疗 </w:t>
      </w:r>
      <w:r>
        <w:rPr>
          <w:rFonts w:ascii="Times New Roman" w:eastAsia="Times New Roman"/>
        </w:rPr>
        <w:t>180 </w:t>
      </w:r>
      <w:r>
        <w:rPr/>
        <w:t>日后，仍无法通过现有医疗手段恢复。</w:t>
      </w:r>
    </w:p>
    <w:p>
      <w:pPr>
        <w:spacing w:after="0" w:line="218" w:lineRule="auto"/>
        <w:sectPr>
          <w:footerReference w:type="default" r:id="rId11"/>
          <w:pgSz w:w="11910" w:h="16160"/>
          <w:pgMar w:footer="1017" w:header="0" w:top="1420" w:bottom="1200" w:left="700" w:right="440"/>
          <w:pgNumType w:start="8"/>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331"/>
        <w:gridCol w:w="7790"/>
      </w:tblGrid>
      <w:tr>
        <w:trPr>
          <w:trHeight w:val="577" w:hRule="atLeast"/>
        </w:trPr>
        <w:tc>
          <w:tcPr>
            <w:tcW w:w="2433" w:type="dxa"/>
          </w:tcPr>
          <w:p>
            <w:pPr>
              <w:pStyle w:val="TableParagraph"/>
              <w:ind w:left="0"/>
              <w:rPr>
                <w:rFonts w:ascii="Times New Roman"/>
                <w:sz w:val="20"/>
              </w:rPr>
            </w:pPr>
          </w:p>
        </w:tc>
        <w:tc>
          <w:tcPr>
            <w:tcW w:w="331" w:type="dxa"/>
          </w:tcPr>
          <w:p>
            <w:pPr>
              <w:pStyle w:val="TableParagraph"/>
              <w:ind w:left="0"/>
              <w:rPr>
                <w:rFonts w:ascii="Times New Roman"/>
                <w:sz w:val="20"/>
              </w:rPr>
            </w:pPr>
          </w:p>
        </w:tc>
        <w:tc>
          <w:tcPr>
            <w:tcW w:w="7790" w:type="dxa"/>
          </w:tcPr>
          <w:p>
            <w:pPr>
              <w:pStyle w:val="TableParagraph"/>
              <w:spacing w:line="234" w:lineRule="exact"/>
              <w:rPr>
                <w:sz w:val="21"/>
              </w:rPr>
            </w:pPr>
            <w:r>
              <w:rPr>
                <w:sz w:val="21"/>
              </w:rPr>
              <w:t>全丧失，指疾病确诊 </w:t>
            </w:r>
            <w:r>
              <w:rPr>
                <w:rFonts w:ascii="Times New Roman" w:eastAsia="Times New Roman"/>
                <w:sz w:val="21"/>
              </w:rPr>
              <w:t>180 </w:t>
            </w:r>
            <w:r>
              <w:rPr>
                <w:sz w:val="21"/>
              </w:rPr>
              <w:t>日后或意外伤害发生 </w:t>
            </w:r>
            <w:r>
              <w:rPr>
                <w:rFonts w:ascii="Times New Roman" w:eastAsia="Times New Roman"/>
                <w:sz w:val="21"/>
              </w:rPr>
              <w:t>180 </w:t>
            </w:r>
            <w:r>
              <w:rPr>
                <w:sz w:val="21"/>
              </w:rPr>
              <w:t>日后，每肢三大关节中的两大关</w:t>
            </w:r>
          </w:p>
          <w:p>
            <w:pPr>
              <w:pStyle w:val="TableParagraph"/>
              <w:spacing w:before="21"/>
              <w:rPr>
                <w:sz w:val="21"/>
              </w:rPr>
            </w:pPr>
            <w:r>
              <w:rPr>
                <w:sz w:val="21"/>
              </w:rPr>
              <w:t>节仍然完全僵硬，或不能随意识活动。</w:t>
            </w:r>
          </w:p>
        </w:tc>
      </w:tr>
      <w:tr>
        <w:trPr>
          <w:trHeight w:val="319" w:hRule="atLeast"/>
        </w:trPr>
        <w:tc>
          <w:tcPr>
            <w:tcW w:w="2433" w:type="dxa"/>
          </w:tcPr>
          <w:p>
            <w:pPr>
              <w:pStyle w:val="TableParagraph"/>
              <w:spacing w:line="281" w:lineRule="exact"/>
              <w:ind w:left="200"/>
              <w:rPr>
                <w:sz w:val="21"/>
              </w:rPr>
            </w:pPr>
            <w:r>
              <w:rPr>
                <w:rFonts w:ascii="Times New Roman" w:eastAsia="Times New Roman"/>
                <w:sz w:val="21"/>
              </w:rPr>
              <w:t>16.  </w:t>
            </w:r>
            <w:r>
              <w:rPr>
                <w:sz w:val="21"/>
              </w:rPr>
              <w:t>心脏瓣膜手术</w:t>
            </w:r>
          </w:p>
        </w:tc>
        <w:tc>
          <w:tcPr>
            <w:tcW w:w="331" w:type="dxa"/>
          </w:tcPr>
          <w:p>
            <w:pPr>
              <w:pStyle w:val="TableParagraph"/>
              <w:spacing w:line="262" w:lineRule="exact"/>
              <w:ind w:left="0" w:right="9"/>
              <w:jc w:val="right"/>
              <w:rPr>
                <w:sz w:val="21"/>
              </w:rPr>
            </w:pPr>
            <w:r>
              <w:rPr>
                <w:w w:val="100"/>
                <w:sz w:val="21"/>
              </w:rPr>
              <w:t>：</w:t>
            </w:r>
          </w:p>
        </w:tc>
        <w:tc>
          <w:tcPr>
            <w:tcW w:w="7790" w:type="dxa"/>
          </w:tcPr>
          <w:p>
            <w:pPr>
              <w:pStyle w:val="TableParagraph"/>
              <w:spacing w:line="265" w:lineRule="exact"/>
              <w:rPr>
                <w:sz w:val="21"/>
              </w:rPr>
            </w:pPr>
            <w:r>
              <w:rPr>
                <w:sz w:val="21"/>
              </w:rPr>
              <w:t>指为治疗心脏瓣膜疾病，实际实施了开胸进行的心脏瓣膜置换或修复的手术。</w:t>
            </w:r>
          </w:p>
        </w:tc>
      </w:tr>
      <w:tr>
        <w:trPr>
          <w:trHeight w:val="1864" w:hRule="atLeast"/>
        </w:trPr>
        <w:tc>
          <w:tcPr>
            <w:tcW w:w="2433" w:type="dxa"/>
          </w:tcPr>
          <w:p>
            <w:pPr>
              <w:pStyle w:val="TableParagraph"/>
              <w:spacing w:line="273" w:lineRule="exact"/>
              <w:ind w:left="200"/>
              <w:rPr>
                <w:sz w:val="21"/>
              </w:rPr>
            </w:pPr>
            <w:r>
              <w:rPr>
                <w:rFonts w:ascii="Times New Roman" w:eastAsia="Times New Roman"/>
                <w:sz w:val="21"/>
              </w:rPr>
              <w:t>17.  </w:t>
            </w:r>
            <w:r>
              <w:rPr>
                <w:sz w:val="21"/>
              </w:rPr>
              <w:t>严重阿尔茨海默病</w:t>
            </w:r>
          </w:p>
        </w:tc>
        <w:tc>
          <w:tcPr>
            <w:tcW w:w="331" w:type="dxa"/>
          </w:tcPr>
          <w:p>
            <w:pPr>
              <w:pStyle w:val="TableParagraph"/>
              <w:spacing w:line="254" w:lineRule="exact"/>
              <w:ind w:left="0" w:right="9"/>
              <w:jc w:val="right"/>
              <w:rPr>
                <w:sz w:val="21"/>
              </w:rPr>
            </w:pPr>
            <w:r>
              <w:rPr>
                <w:w w:val="100"/>
                <w:sz w:val="21"/>
              </w:rPr>
              <w:t>：</w:t>
            </w:r>
          </w:p>
        </w:tc>
        <w:tc>
          <w:tcPr>
            <w:tcW w:w="7790" w:type="dxa"/>
          </w:tcPr>
          <w:p>
            <w:pPr>
              <w:pStyle w:val="TableParagraph"/>
              <w:spacing w:line="257" w:lineRule="exact"/>
              <w:rPr>
                <w:sz w:val="21"/>
              </w:rPr>
            </w:pPr>
            <w:r>
              <w:rPr>
                <w:sz w:val="21"/>
              </w:rPr>
              <w:t>指因大脑进行性、不可逆性改变导致智能严重衰退或丧失，临床表现为明显的认知</w:t>
            </w:r>
          </w:p>
          <w:p>
            <w:pPr>
              <w:pStyle w:val="TableParagraph"/>
              <w:spacing w:line="266" w:lineRule="auto" w:before="37"/>
              <w:ind w:right="301"/>
              <w:jc w:val="both"/>
              <w:rPr>
                <w:sz w:val="21"/>
              </w:rPr>
            </w:pPr>
            <w:r>
              <w:rPr>
                <w:spacing w:val="-10"/>
                <w:sz w:val="21"/>
              </w:rPr>
              <w:t>能力障碍、行为异常和社交能力减退，其日常生活必须持续受到他人监护。须由头</w:t>
            </w:r>
            <w:r>
              <w:rPr>
                <w:spacing w:val="-6"/>
                <w:w w:val="100"/>
                <w:sz w:val="21"/>
              </w:rPr>
              <w:t>颅断层扫描</w:t>
            </w:r>
            <w:r>
              <w:rPr>
                <w:spacing w:val="-3"/>
                <w:w w:val="100"/>
                <w:sz w:val="21"/>
              </w:rPr>
              <w:t>（</w:t>
            </w:r>
            <w:r>
              <w:rPr>
                <w:rFonts w:ascii="Times New Roman" w:eastAsia="Times New Roman"/>
                <w:w w:val="100"/>
                <w:sz w:val="21"/>
              </w:rPr>
              <w:t>CT</w:t>
            </w:r>
            <w:r>
              <w:rPr>
                <w:spacing w:val="-108"/>
                <w:w w:val="100"/>
                <w:sz w:val="21"/>
              </w:rPr>
              <w:t>）</w:t>
            </w:r>
            <w:r>
              <w:rPr>
                <w:spacing w:val="-3"/>
                <w:w w:val="100"/>
                <w:sz w:val="21"/>
              </w:rPr>
              <w:t>、核磁共振检查（</w:t>
            </w:r>
            <w:r>
              <w:rPr>
                <w:rFonts w:ascii="Times New Roman" w:eastAsia="Times New Roman"/>
                <w:w w:val="100"/>
                <w:sz w:val="21"/>
              </w:rPr>
              <w:t>MR</w:t>
            </w:r>
            <w:r>
              <w:rPr>
                <w:rFonts w:ascii="Times New Roman" w:eastAsia="Times New Roman"/>
                <w:spacing w:val="-3"/>
                <w:w w:val="100"/>
                <w:sz w:val="21"/>
              </w:rPr>
              <w:t>I</w:t>
            </w:r>
            <w:r>
              <w:rPr>
                <w:w w:val="100"/>
                <w:sz w:val="21"/>
              </w:rPr>
              <w:t>）</w:t>
            </w:r>
            <w:r>
              <w:rPr>
                <w:spacing w:val="-3"/>
                <w:w w:val="100"/>
                <w:sz w:val="21"/>
              </w:rPr>
              <w:t>或正电子发射断层扫描（</w:t>
            </w:r>
            <w:r>
              <w:rPr>
                <w:rFonts w:ascii="Times New Roman" w:eastAsia="Times New Roman"/>
                <w:w w:val="100"/>
                <w:sz w:val="21"/>
              </w:rPr>
              <w:t>PE</w:t>
            </w:r>
            <w:r>
              <w:rPr>
                <w:rFonts w:ascii="Times New Roman" w:eastAsia="Times New Roman"/>
                <w:spacing w:val="-2"/>
                <w:w w:val="100"/>
                <w:sz w:val="21"/>
              </w:rPr>
              <w:t>T</w:t>
            </w:r>
            <w:r>
              <w:rPr>
                <w:spacing w:val="-3"/>
                <w:w w:val="100"/>
                <w:sz w:val="21"/>
              </w:rPr>
              <w:t>）</w:t>
            </w:r>
            <w:r>
              <w:rPr>
                <w:w w:val="100"/>
                <w:sz w:val="21"/>
              </w:rPr>
              <w:t>等影像</w:t>
            </w:r>
            <w:r>
              <w:rPr>
                <w:spacing w:val="-11"/>
                <w:sz w:val="21"/>
              </w:rPr>
              <w:t>学检查证实，且自主生活能力完全丧失，无法独立完成六项基本日常生活活动中的</w:t>
            </w:r>
            <w:r>
              <w:rPr>
                <w:spacing w:val="-6"/>
                <w:sz w:val="21"/>
              </w:rPr>
              <w:t>三项或三项以上。</w:t>
            </w:r>
          </w:p>
          <w:p>
            <w:pPr>
              <w:pStyle w:val="TableParagraph"/>
              <w:spacing w:before="14"/>
              <w:jc w:val="both"/>
              <w:rPr>
                <w:b/>
                <w:sz w:val="21"/>
              </w:rPr>
            </w:pPr>
            <w:r>
              <w:rPr>
                <w:b/>
                <w:sz w:val="21"/>
              </w:rPr>
              <w:t>神经官能症和精神疾病不在保障范围内。</w:t>
            </w:r>
          </w:p>
        </w:tc>
      </w:tr>
      <w:tr>
        <w:trPr>
          <w:trHeight w:val="2496" w:hRule="atLeast"/>
        </w:trPr>
        <w:tc>
          <w:tcPr>
            <w:tcW w:w="2433" w:type="dxa"/>
          </w:tcPr>
          <w:p>
            <w:pPr>
              <w:pStyle w:val="TableParagraph"/>
              <w:spacing w:line="281" w:lineRule="exact"/>
              <w:ind w:left="200"/>
              <w:rPr>
                <w:sz w:val="21"/>
              </w:rPr>
            </w:pPr>
            <w:r>
              <w:rPr>
                <w:rFonts w:ascii="Times New Roman" w:eastAsia="Times New Roman"/>
                <w:sz w:val="21"/>
              </w:rPr>
              <w:t>18.  </w:t>
            </w:r>
            <w:r>
              <w:rPr>
                <w:sz w:val="21"/>
              </w:rPr>
              <w:t>严重脑损伤</w:t>
            </w:r>
          </w:p>
        </w:tc>
        <w:tc>
          <w:tcPr>
            <w:tcW w:w="331" w:type="dxa"/>
          </w:tcPr>
          <w:p>
            <w:pPr>
              <w:pStyle w:val="TableParagraph"/>
              <w:spacing w:line="262" w:lineRule="exact"/>
              <w:ind w:left="0" w:right="9"/>
              <w:jc w:val="right"/>
              <w:rPr>
                <w:sz w:val="21"/>
              </w:rPr>
            </w:pPr>
            <w:r>
              <w:rPr>
                <w:w w:val="100"/>
                <w:sz w:val="21"/>
              </w:rPr>
              <w:t>：</w:t>
            </w:r>
          </w:p>
        </w:tc>
        <w:tc>
          <w:tcPr>
            <w:tcW w:w="7790" w:type="dxa"/>
          </w:tcPr>
          <w:p>
            <w:pPr>
              <w:pStyle w:val="TableParagraph"/>
              <w:spacing w:line="261" w:lineRule="auto"/>
              <w:ind w:right="197"/>
              <w:rPr>
                <w:sz w:val="21"/>
              </w:rPr>
            </w:pPr>
            <w:r>
              <w:rPr>
                <w:spacing w:val="-16"/>
                <w:sz w:val="21"/>
              </w:rPr>
              <w:t>指因头部遭受机械性外力，引起脑重要部位损伤，导致神经系统永久性的功能障碍。</w:t>
            </w:r>
            <w:r>
              <w:rPr>
                <w:spacing w:val="-7"/>
                <w:w w:val="100"/>
                <w:sz w:val="21"/>
              </w:rPr>
              <w:t>须由头颅断层扫描</w:t>
            </w:r>
            <w:r>
              <w:rPr>
                <w:spacing w:val="-3"/>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3"/>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3"/>
                <w:w w:val="100"/>
                <w:sz w:val="21"/>
              </w:rPr>
              <w:t>或正电子发射断层扫描（</w:t>
            </w:r>
            <w:r>
              <w:rPr>
                <w:rFonts w:ascii="Times New Roman" w:eastAsia="Times New Roman"/>
                <w:spacing w:val="-3"/>
                <w:w w:val="100"/>
                <w:sz w:val="21"/>
              </w:rPr>
              <w:t>P</w:t>
            </w:r>
            <w:r>
              <w:rPr>
                <w:rFonts w:ascii="Times New Roman" w:eastAsia="Times New Roman"/>
                <w:w w:val="100"/>
                <w:sz w:val="21"/>
              </w:rPr>
              <w:t>E</w:t>
            </w:r>
            <w:r>
              <w:rPr>
                <w:rFonts w:ascii="Times New Roman" w:eastAsia="Times New Roman"/>
                <w:spacing w:val="-2"/>
                <w:w w:val="100"/>
                <w:sz w:val="21"/>
              </w:rPr>
              <w:t>T</w:t>
            </w:r>
            <w:r>
              <w:rPr>
                <w:w w:val="100"/>
                <w:sz w:val="21"/>
              </w:rPr>
              <w:t>）</w:t>
            </w:r>
            <w:r>
              <w:rPr>
                <w:spacing w:val="-11"/>
                <w:sz w:val="21"/>
              </w:rPr>
              <w:t>等影像学检查证实。神经系统永久性的功能障碍，指脑损伤 </w:t>
            </w:r>
            <w:r>
              <w:rPr>
                <w:rFonts w:ascii="Times New Roman" w:eastAsia="Times New Roman"/>
                <w:sz w:val="21"/>
              </w:rPr>
              <w:t>180 </w:t>
            </w:r>
            <w:r>
              <w:rPr>
                <w:spacing w:val="-7"/>
                <w:sz w:val="21"/>
              </w:rPr>
              <w:t>日后，仍遗留下列</w:t>
            </w:r>
            <w:r>
              <w:rPr>
                <w:spacing w:val="-5"/>
                <w:sz w:val="21"/>
              </w:rPr>
              <w:t>一种或一种以上障碍：</w:t>
            </w:r>
          </w:p>
          <w:p>
            <w:pPr>
              <w:pStyle w:val="TableParagraph"/>
              <w:spacing w:before="28"/>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537" w:right="315" w:hanging="526"/>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2433" w:type="dxa"/>
          </w:tcPr>
          <w:p>
            <w:pPr>
              <w:pStyle w:val="TableParagraph"/>
              <w:spacing w:line="281" w:lineRule="exact"/>
              <w:ind w:left="200"/>
              <w:rPr>
                <w:sz w:val="21"/>
              </w:rPr>
            </w:pPr>
            <w:r>
              <w:rPr>
                <w:rFonts w:ascii="Times New Roman" w:eastAsia="Times New Roman"/>
                <w:sz w:val="21"/>
              </w:rPr>
              <w:t>19.  </w:t>
            </w:r>
            <w:r>
              <w:rPr>
                <w:sz w:val="21"/>
              </w:rPr>
              <w:t>严重帕金森病</w:t>
            </w:r>
          </w:p>
        </w:tc>
        <w:tc>
          <w:tcPr>
            <w:tcW w:w="331" w:type="dxa"/>
          </w:tcPr>
          <w:p>
            <w:pPr>
              <w:pStyle w:val="TableParagraph"/>
              <w:spacing w:line="262" w:lineRule="exact"/>
              <w:ind w:left="0" w:right="9"/>
              <w:jc w:val="right"/>
              <w:rPr>
                <w:sz w:val="21"/>
              </w:rPr>
            </w:pPr>
            <w:r>
              <w:rPr>
                <w:w w:val="100"/>
                <w:sz w:val="21"/>
              </w:rPr>
              <w:t>：</w:t>
            </w:r>
          </w:p>
        </w:tc>
        <w:tc>
          <w:tcPr>
            <w:tcW w:w="7790" w:type="dxa"/>
          </w:tcPr>
          <w:p>
            <w:pPr>
              <w:pStyle w:val="TableParagraph"/>
              <w:spacing w:line="273" w:lineRule="auto"/>
              <w:ind w:right="301"/>
              <w:rPr>
                <w:sz w:val="21"/>
              </w:rPr>
            </w:pPr>
            <w:r>
              <w:rPr>
                <w:spacing w:val="-8"/>
                <w:sz w:val="21"/>
              </w:rPr>
              <w:t>是一种中枢神经系统的退行性疾病，临床表现为震颤麻痹、共济失调等。须满足下</w:t>
            </w:r>
            <w:r>
              <w:rPr>
                <w:spacing w:val="-5"/>
                <w:sz w:val="21"/>
              </w:rPr>
              <w:t>列全部条件：</w:t>
            </w:r>
          </w:p>
          <w:p>
            <w:pPr>
              <w:pStyle w:val="TableParagraph"/>
              <w:spacing w:before="18"/>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left="537" w:right="315" w:hanging="526"/>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rPr>
                <w:b/>
                <w:sz w:val="21"/>
              </w:rPr>
            </w:pPr>
            <w:r>
              <w:rPr>
                <w:b/>
                <w:sz w:val="21"/>
              </w:rPr>
              <w:t>继发性帕金森综合征不在保障范围内。</w:t>
            </w:r>
          </w:p>
        </w:tc>
      </w:tr>
      <w:tr>
        <w:trPr>
          <w:trHeight w:val="624" w:hRule="atLeast"/>
        </w:trPr>
        <w:tc>
          <w:tcPr>
            <w:tcW w:w="2433" w:type="dxa"/>
          </w:tcPr>
          <w:p>
            <w:pPr>
              <w:pStyle w:val="TableParagraph"/>
              <w:spacing w:line="281" w:lineRule="exact"/>
              <w:ind w:left="200"/>
              <w:rPr>
                <w:sz w:val="21"/>
              </w:rPr>
            </w:pPr>
            <w:r>
              <w:rPr>
                <w:rFonts w:ascii="Times New Roman" w:hAnsi="Times New Roman" w:eastAsia="Times New Roman"/>
                <w:sz w:val="21"/>
              </w:rPr>
              <w:t>20.  </w:t>
            </w:r>
            <w:r>
              <w:rPr>
                <w:sz w:val="21"/>
              </w:rPr>
              <w:t>严重Ⅲ度烧伤</w:t>
            </w:r>
          </w:p>
        </w:tc>
        <w:tc>
          <w:tcPr>
            <w:tcW w:w="331" w:type="dxa"/>
          </w:tcPr>
          <w:p>
            <w:pPr>
              <w:pStyle w:val="TableParagraph"/>
              <w:spacing w:line="262" w:lineRule="exact"/>
              <w:ind w:left="0" w:right="9"/>
              <w:jc w:val="right"/>
              <w:rPr>
                <w:sz w:val="21"/>
              </w:rPr>
            </w:pPr>
            <w:r>
              <w:rPr>
                <w:w w:val="100"/>
                <w:sz w:val="21"/>
              </w:rPr>
              <w:t>：</w:t>
            </w:r>
          </w:p>
        </w:tc>
        <w:tc>
          <w:tcPr>
            <w:tcW w:w="7790" w:type="dxa"/>
          </w:tcPr>
          <w:p>
            <w:pPr>
              <w:pStyle w:val="TableParagraph"/>
              <w:spacing w:line="256" w:lineRule="auto"/>
              <w:ind w:right="315"/>
              <w:rPr>
                <w:sz w:val="21"/>
              </w:rPr>
            </w:pPr>
            <w:r>
              <w:rPr>
                <w:spacing w:val="-5"/>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3"/>
                <w:sz w:val="21"/>
              </w:rPr>
              <w:t>％以上。体表面积根据《中国新九分法》计算。</w:t>
            </w:r>
          </w:p>
        </w:tc>
      </w:tr>
      <w:tr>
        <w:trPr>
          <w:trHeight w:val="943" w:hRule="atLeast"/>
        </w:trPr>
        <w:tc>
          <w:tcPr>
            <w:tcW w:w="2433" w:type="dxa"/>
          </w:tcPr>
          <w:p>
            <w:pPr>
              <w:pStyle w:val="TableParagraph"/>
              <w:spacing w:line="256" w:lineRule="auto"/>
              <w:ind w:left="200" w:right="105"/>
              <w:rPr>
                <w:sz w:val="21"/>
              </w:rPr>
            </w:pPr>
            <w:r>
              <w:rPr>
                <w:rFonts w:ascii="Times New Roman" w:eastAsia="Times New Roman"/>
                <w:sz w:val="21"/>
              </w:rPr>
              <w:t>21. </w:t>
            </w:r>
            <w:r>
              <w:rPr>
                <w:sz w:val="21"/>
              </w:rPr>
              <w:t>严重原发性肺动脉高压</w:t>
            </w:r>
          </w:p>
        </w:tc>
        <w:tc>
          <w:tcPr>
            <w:tcW w:w="331" w:type="dxa"/>
          </w:tcPr>
          <w:p>
            <w:pPr>
              <w:pStyle w:val="TableParagraph"/>
              <w:spacing w:line="262" w:lineRule="exact"/>
              <w:ind w:left="0" w:right="9"/>
              <w:jc w:val="right"/>
              <w:rPr>
                <w:sz w:val="21"/>
              </w:rPr>
            </w:pPr>
            <w:r>
              <w:rPr>
                <w:w w:val="100"/>
                <w:sz w:val="21"/>
              </w:rPr>
              <w:t>：</w:t>
            </w:r>
          </w:p>
        </w:tc>
        <w:tc>
          <w:tcPr>
            <w:tcW w:w="7790" w:type="dxa"/>
          </w:tcPr>
          <w:p>
            <w:pPr>
              <w:pStyle w:val="TableParagraph"/>
              <w:spacing w:line="273" w:lineRule="auto"/>
              <w:ind w:right="197"/>
              <w:rPr>
                <w:sz w:val="21"/>
              </w:rPr>
            </w:pPr>
            <w:r>
              <w:rPr>
                <w:spacing w:val="-8"/>
                <w:sz w:val="21"/>
              </w:rPr>
              <w:t>指不明原因的肺动脉压力持续性增高，进行性发展而导致的慢性疾病，已经造成永</w:t>
            </w:r>
            <w:r>
              <w:rPr>
                <w:spacing w:val="-13"/>
                <w:sz w:val="21"/>
              </w:rPr>
              <w:t>久不可逆性的体力活动能力受限，达到美国纽约心脏病学会心功能状态分级 </w:t>
            </w:r>
            <w:r>
              <w:rPr>
                <w:rFonts w:ascii="Times New Roman" w:eastAsia="Times New Roman"/>
                <w:sz w:val="21"/>
              </w:rPr>
              <w:t>IV </w:t>
            </w:r>
            <w:r>
              <w:rPr>
                <w:sz w:val="21"/>
              </w:rPr>
              <w:t>级，</w:t>
            </w:r>
          </w:p>
          <w:p>
            <w:pPr>
              <w:pStyle w:val="TableParagraph"/>
              <w:spacing w:line="279" w:lineRule="exact" w:before="10"/>
              <w:rPr>
                <w:sz w:val="21"/>
              </w:rPr>
            </w:pPr>
            <w:r>
              <w:rPr>
                <w:sz w:val="21"/>
              </w:rPr>
              <w:t>且静息状态下肺动脉平均压超过 </w:t>
            </w:r>
            <w:r>
              <w:rPr>
                <w:rFonts w:ascii="Times New Roman" w:eastAsia="Times New Roman"/>
                <w:sz w:val="21"/>
              </w:rPr>
              <w:t>30mmHg</w:t>
            </w:r>
            <w:r>
              <w:rPr>
                <w:sz w:val="21"/>
              </w:rPr>
              <w:t>。</w:t>
            </w:r>
          </w:p>
        </w:tc>
      </w:tr>
      <w:tr>
        <w:trPr>
          <w:trHeight w:val="928" w:hRule="atLeast"/>
        </w:trPr>
        <w:tc>
          <w:tcPr>
            <w:tcW w:w="2433" w:type="dxa"/>
          </w:tcPr>
          <w:p>
            <w:pPr>
              <w:pStyle w:val="TableParagraph"/>
              <w:spacing w:line="273" w:lineRule="exact"/>
              <w:ind w:left="200"/>
              <w:rPr>
                <w:sz w:val="21"/>
              </w:rPr>
            </w:pPr>
            <w:r>
              <w:rPr>
                <w:rFonts w:ascii="Times New Roman" w:eastAsia="Times New Roman"/>
                <w:sz w:val="21"/>
              </w:rPr>
              <w:t>22.  </w:t>
            </w:r>
            <w:r>
              <w:rPr>
                <w:sz w:val="21"/>
              </w:rPr>
              <w:t>严重运动神经元病</w:t>
            </w:r>
          </w:p>
        </w:tc>
        <w:tc>
          <w:tcPr>
            <w:tcW w:w="331" w:type="dxa"/>
          </w:tcPr>
          <w:p>
            <w:pPr>
              <w:pStyle w:val="TableParagraph"/>
              <w:spacing w:line="254" w:lineRule="exact"/>
              <w:ind w:left="0" w:right="9"/>
              <w:jc w:val="right"/>
              <w:rPr>
                <w:sz w:val="21"/>
              </w:rPr>
            </w:pPr>
            <w:r>
              <w:rPr>
                <w:w w:val="100"/>
                <w:sz w:val="21"/>
              </w:rPr>
              <w:t>：</w:t>
            </w:r>
          </w:p>
        </w:tc>
        <w:tc>
          <w:tcPr>
            <w:tcW w:w="7790" w:type="dxa"/>
          </w:tcPr>
          <w:p>
            <w:pPr>
              <w:pStyle w:val="TableParagraph"/>
              <w:spacing w:line="257" w:lineRule="exact"/>
              <w:rPr>
                <w:sz w:val="21"/>
              </w:rPr>
            </w:pPr>
            <w:r>
              <w:rPr>
                <w:sz w:val="21"/>
              </w:rPr>
              <w:t>是一组中枢神经系统运动神经元的进行性变性疾病，包括进行性脊肌萎缩症、进行</w:t>
            </w:r>
          </w:p>
          <w:p>
            <w:pPr>
              <w:pStyle w:val="TableParagraph"/>
              <w:spacing w:line="310" w:lineRule="atLeast" w:before="2"/>
              <w:ind w:right="301"/>
              <w:rPr>
                <w:sz w:val="21"/>
              </w:rPr>
            </w:pPr>
            <w:r>
              <w:rPr>
                <w:spacing w:val="-10"/>
                <w:sz w:val="21"/>
              </w:rPr>
              <w:t>性延髓麻痹症、原发性侧索硬化症、肌萎缩性侧索硬化症。须满足自主生活能力完</w:t>
            </w:r>
            <w:r>
              <w:rPr>
                <w:spacing w:val="-5"/>
                <w:sz w:val="21"/>
              </w:rPr>
              <w:t>全丧失，无法独立完成六项基本日常生活活动中的三项或三项以上的条件。</w:t>
            </w:r>
          </w:p>
        </w:tc>
      </w:tr>
      <w:tr>
        <w:trPr>
          <w:trHeight w:val="1560" w:hRule="atLeast"/>
        </w:trPr>
        <w:tc>
          <w:tcPr>
            <w:tcW w:w="2433" w:type="dxa"/>
          </w:tcPr>
          <w:p>
            <w:pPr>
              <w:pStyle w:val="TableParagraph"/>
              <w:spacing w:line="256" w:lineRule="auto"/>
              <w:ind w:left="200" w:right="106"/>
              <w:rPr>
                <w:b/>
                <w:sz w:val="21"/>
              </w:rPr>
            </w:pPr>
            <w:r>
              <w:rPr>
                <w:rFonts w:ascii="Times New Roman" w:eastAsia="Times New Roman"/>
                <w:sz w:val="21"/>
              </w:rPr>
              <w:t>23. </w:t>
            </w:r>
            <w:r>
              <w:rPr>
                <w:sz w:val="21"/>
              </w:rPr>
              <w:t>语言能力丧失 </w:t>
            </w:r>
            <w:r>
              <w:rPr>
                <w:rFonts w:ascii="Times New Roman" w:eastAsia="Times New Roman"/>
                <w:sz w:val="21"/>
              </w:rPr>
              <w:t>- </w:t>
            </w:r>
            <w:r>
              <w:rPr>
                <w:b/>
                <w:sz w:val="21"/>
              </w:rPr>
              <w:t>三岁始理赔</w:t>
            </w:r>
          </w:p>
        </w:tc>
        <w:tc>
          <w:tcPr>
            <w:tcW w:w="331" w:type="dxa"/>
          </w:tcPr>
          <w:p>
            <w:pPr>
              <w:pStyle w:val="TableParagraph"/>
              <w:spacing w:line="262" w:lineRule="exact"/>
              <w:ind w:left="0" w:right="9"/>
              <w:jc w:val="right"/>
              <w:rPr>
                <w:sz w:val="21"/>
              </w:rPr>
            </w:pPr>
            <w:r>
              <w:rPr>
                <w:w w:val="100"/>
                <w:sz w:val="21"/>
              </w:rPr>
              <w:t>：</w:t>
            </w:r>
          </w:p>
        </w:tc>
        <w:tc>
          <w:tcPr>
            <w:tcW w:w="7790" w:type="dxa"/>
          </w:tcPr>
          <w:p>
            <w:pPr>
              <w:pStyle w:val="TableParagraph"/>
              <w:spacing w:line="256" w:lineRule="auto"/>
              <w:ind w:right="315"/>
              <w:rPr>
                <w:sz w:val="21"/>
              </w:rPr>
            </w:pPr>
            <w:r>
              <w:rPr>
                <w:spacing w:val="-5"/>
                <w:sz w:val="21"/>
              </w:rPr>
              <w:t>指因疾病或意外伤害导致完全丧失语言能力，经过积极治疗至少 </w:t>
            </w:r>
            <w:r>
              <w:rPr>
                <w:rFonts w:ascii="Times New Roman" w:eastAsia="Times New Roman"/>
                <w:sz w:val="21"/>
              </w:rPr>
              <w:t>12 </w:t>
            </w:r>
            <w:r>
              <w:rPr>
                <w:spacing w:val="-2"/>
                <w:sz w:val="21"/>
              </w:rPr>
              <w:t>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33"/>
              <w:rPr>
                <w:b/>
                <w:sz w:val="21"/>
              </w:rPr>
            </w:pPr>
            <w:r>
              <w:rPr>
                <w:b/>
                <w:sz w:val="21"/>
              </w:rPr>
              <w:t>精神心理因素所致的语言能力丧失不在保障范围内。</w:t>
            </w:r>
          </w:p>
          <w:p>
            <w:pPr>
              <w:pStyle w:val="TableParagraph"/>
              <w:spacing w:line="310" w:lineRule="atLeast" w:before="2"/>
              <w:ind w:right="301"/>
              <w:rPr>
                <w:sz w:val="21"/>
              </w:rPr>
            </w:pPr>
            <w:r>
              <w:rPr>
                <w:spacing w:val="-8"/>
                <w:sz w:val="21"/>
              </w:rPr>
              <w:t>被保险人申请理赔时年龄必须在三周岁以上，并且提供理赔当时的语言能力丧失诊</w:t>
            </w:r>
            <w:r>
              <w:rPr>
                <w:spacing w:val="-5"/>
                <w:sz w:val="21"/>
              </w:rPr>
              <w:t>断及检查证据。</w:t>
            </w:r>
          </w:p>
        </w:tc>
      </w:tr>
      <w:tr>
        <w:trPr>
          <w:trHeight w:val="2152" w:hRule="atLeast"/>
        </w:trPr>
        <w:tc>
          <w:tcPr>
            <w:tcW w:w="2433" w:type="dxa"/>
          </w:tcPr>
          <w:p>
            <w:pPr>
              <w:pStyle w:val="TableParagraph"/>
              <w:spacing w:line="256" w:lineRule="auto"/>
              <w:ind w:left="200" w:right="105"/>
              <w:rPr>
                <w:sz w:val="21"/>
              </w:rPr>
            </w:pPr>
            <w:r>
              <w:rPr>
                <w:rFonts w:ascii="Times New Roman" w:eastAsia="Times New Roman"/>
                <w:sz w:val="21"/>
              </w:rPr>
              <w:t>24. </w:t>
            </w:r>
            <w:r>
              <w:rPr>
                <w:sz w:val="21"/>
              </w:rPr>
              <w:t>重型再生障碍性贫血</w:t>
            </w:r>
          </w:p>
        </w:tc>
        <w:tc>
          <w:tcPr>
            <w:tcW w:w="331" w:type="dxa"/>
          </w:tcPr>
          <w:p>
            <w:pPr>
              <w:pStyle w:val="TableParagraph"/>
              <w:spacing w:line="262" w:lineRule="exact"/>
              <w:ind w:left="0" w:right="9"/>
              <w:jc w:val="right"/>
              <w:rPr>
                <w:sz w:val="21"/>
              </w:rPr>
            </w:pPr>
            <w:r>
              <w:rPr>
                <w:w w:val="100"/>
                <w:sz w:val="21"/>
              </w:rPr>
              <w:t>：</w:t>
            </w:r>
          </w:p>
        </w:tc>
        <w:tc>
          <w:tcPr>
            <w:tcW w:w="7790" w:type="dxa"/>
          </w:tcPr>
          <w:p>
            <w:pPr>
              <w:pStyle w:val="TableParagraph"/>
              <w:spacing w:line="273" w:lineRule="auto"/>
              <w:ind w:right="303"/>
              <w:rPr>
                <w:sz w:val="21"/>
              </w:rPr>
            </w:pPr>
            <w:r>
              <w:rPr>
                <w:spacing w:val="-8"/>
                <w:sz w:val="21"/>
              </w:rPr>
              <w:t>指因骨髓造血功能慢性持续性衰竭导致的贫血、中性粒细胞减少及血小板减少。须</w:t>
            </w:r>
            <w:r>
              <w:rPr>
                <w:spacing w:val="-5"/>
                <w:sz w:val="21"/>
              </w:rPr>
              <w:t>满足下列全部条件：</w:t>
            </w:r>
          </w:p>
          <w:p>
            <w:pPr>
              <w:pStyle w:val="TableParagraph"/>
              <w:spacing w:before="18"/>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1"/>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1063"/>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1"/>
              <w:ind w:left="1063"/>
              <w:rPr>
                <w:sz w:val="21"/>
              </w:rPr>
            </w:pPr>
            <w:r>
              <w:rPr>
                <w:sz w:val="21"/>
              </w:rPr>
              <w:t>② 网织红细胞＜</w:t>
            </w:r>
            <w:r>
              <w:rPr>
                <w:rFonts w:ascii="Times New Roman" w:hAnsi="Times New Roman" w:eastAsia="Times New Roman"/>
                <w:sz w:val="21"/>
              </w:rPr>
              <w:t>1%</w:t>
            </w:r>
            <w:r>
              <w:rPr>
                <w:sz w:val="21"/>
              </w:rPr>
              <w:t>；</w:t>
            </w:r>
          </w:p>
          <w:p>
            <w:pPr>
              <w:pStyle w:val="TableParagraph"/>
              <w:spacing w:line="271" w:lineRule="exact" w:before="21"/>
              <w:ind w:left="1063"/>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bl>
    <w:p>
      <w:pPr>
        <w:spacing w:after="0" w:line="271" w:lineRule="exact"/>
        <w:rPr>
          <w:sz w:val="21"/>
        </w:rPr>
        <w:sectPr>
          <w:pgSz w:w="11910" w:h="16160"/>
          <w:pgMar w:header="0" w:footer="1017" w:top="1420" w:bottom="1200" w:left="700" w:right="440"/>
        </w:sectPr>
      </w:pPr>
    </w:p>
    <w:p>
      <w:pPr>
        <w:pStyle w:val="ListParagraph"/>
        <w:numPr>
          <w:ilvl w:val="0"/>
          <w:numId w:val="4"/>
        </w:numPr>
        <w:tabs>
          <w:tab w:pos="476" w:val="left" w:leader="none"/>
        </w:tabs>
        <w:spacing w:line="264" w:lineRule="auto" w:before="27" w:after="0"/>
        <w:ind w:left="2681" w:right="208" w:hanging="2576"/>
        <w:jc w:val="both"/>
        <w:rPr>
          <w:sz w:val="21"/>
        </w:rPr>
      </w:pPr>
      <w:r>
        <w:rPr>
          <w:spacing w:val="-10"/>
          <w:sz w:val="21"/>
        </w:rPr>
        <w:t>主动脉手术        ： 指为治疗主动脉疾病，实际实施了开胸或开腹进行的切除、置换、修补病损主动脉</w:t>
      </w:r>
      <w:r>
        <w:rPr>
          <w:spacing w:val="-12"/>
          <w:sz w:val="21"/>
        </w:rPr>
        <w:t>血管的手术。主动脉指胸主动脉和腹主动脉，不包括胸主动脉和腹主动脉的分支血管。</w:t>
      </w:r>
    </w:p>
    <w:p>
      <w:pPr>
        <w:spacing w:before="15"/>
        <w:ind w:left="2681" w:right="0" w:firstLine="0"/>
        <w:jc w:val="left"/>
        <w:rPr>
          <w:b/>
          <w:sz w:val="21"/>
        </w:rPr>
      </w:pPr>
      <w:r>
        <w:rPr>
          <w:b/>
          <w:sz w:val="21"/>
        </w:rPr>
        <w:t>动脉内血管成形术不在保障范围内。</w:t>
      </w:r>
    </w:p>
    <w:p>
      <w:pPr>
        <w:pStyle w:val="ListParagraph"/>
        <w:numPr>
          <w:ilvl w:val="0"/>
          <w:numId w:val="4"/>
        </w:numPr>
        <w:tabs>
          <w:tab w:pos="476" w:val="left" w:leader="none"/>
          <w:tab w:pos="2446" w:val="left" w:leader="none"/>
        </w:tabs>
        <w:spacing w:line="261" w:lineRule="auto" w:before="36" w:after="0"/>
        <w:ind w:left="2681" w:right="104" w:hanging="2576"/>
        <w:jc w:val="left"/>
        <w:rPr>
          <w:sz w:val="21"/>
        </w:rPr>
      </w:pPr>
      <w:r>
        <w:rPr>
          <w:spacing w:val="-3"/>
          <w:sz w:val="21"/>
        </w:rPr>
        <w:t>严</w:t>
      </w:r>
      <w:r>
        <w:rPr>
          <w:sz w:val="21"/>
        </w:rPr>
        <w:t>重</w:t>
      </w:r>
      <w:r>
        <w:rPr>
          <w:spacing w:val="-3"/>
          <w:sz w:val="21"/>
        </w:rPr>
        <w:t>多</w:t>
      </w:r>
      <w:r>
        <w:rPr>
          <w:sz w:val="21"/>
        </w:rPr>
        <w:t>发</w:t>
      </w:r>
      <w:r>
        <w:rPr>
          <w:spacing w:val="-3"/>
          <w:sz w:val="21"/>
        </w:rPr>
        <w:t>性</w:t>
      </w:r>
      <w:r>
        <w:rPr>
          <w:sz w:val="21"/>
        </w:rPr>
        <w:t>硬化</w:t>
        <w:tab/>
        <w:t>：</w:t>
      </w:r>
      <w:r>
        <w:rPr>
          <w:spacing w:val="-37"/>
          <w:sz w:val="21"/>
        </w:rPr>
        <w:t> </w:t>
      </w:r>
      <w:r>
        <w:rPr>
          <w:sz w:val="21"/>
        </w:rPr>
        <w:t>多发</w:t>
      </w:r>
      <w:r>
        <w:rPr>
          <w:spacing w:val="-3"/>
          <w:sz w:val="21"/>
        </w:rPr>
        <w:t>性</w:t>
      </w:r>
      <w:r>
        <w:rPr>
          <w:sz w:val="21"/>
        </w:rPr>
        <w:t>硬</w:t>
      </w:r>
      <w:r>
        <w:rPr>
          <w:spacing w:val="-3"/>
          <w:sz w:val="21"/>
        </w:rPr>
        <w:t>化</w:t>
      </w:r>
      <w:r>
        <w:rPr>
          <w:sz w:val="21"/>
        </w:rPr>
        <w:t>为</w:t>
      </w:r>
      <w:r>
        <w:rPr>
          <w:spacing w:val="-3"/>
          <w:sz w:val="21"/>
        </w:rPr>
        <w:t>中</w:t>
      </w:r>
      <w:r>
        <w:rPr>
          <w:sz w:val="21"/>
        </w:rPr>
        <w:t>枢</w:t>
      </w:r>
      <w:r>
        <w:rPr>
          <w:spacing w:val="-3"/>
          <w:sz w:val="21"/>
        </w:rPr>
        <w:t>神</w:t>
      </w:r>
      <w:r>
        <w:rPr>
          <w:sz w:val="21"/>
        </w:rPr>
        <w:t>经</w:t>
      </w:r>
      <w:r>
        <w:rPr>
          <w:spacing w:val="-3"/>
          <w:sz w:val="21"/>
        </w:rPr>
        <w:t>系</w:t>
      </w:r>
      <w:r>
        <w:rPr>
          <w:sz w:val="21"/>
        </w:rPr>
        <w:t>统白</w:t>
      </w:r>
      <w:r>
        <w:rPr>
          <w:spacing w:val="-3"/>
          <w:sz w:val="21"/>
        </w:rPr>
        <w:t>质</w:t>
      </w:r>
      <w:r>
        <w:rPr>
          <w:sz w:val="21"/>
        </w:rPr>
        <w:t>多</w:t>
      </w:r>
      <w:r>
        <w:rPr>
          <w:spacing w:val="-3"/>
          <w:sz w:val="21"/>
        </w:rPr>
        <w:t>灶</w:t>
      </w:r>
      <w:r>
        <w:rPr>
          <w:sz w:val="21"/>
        </w:rPr>
        <w:t>性</w:t>
      </w:r>
      <w:r>
        <w:rPr>
          <w:spacing w:val="-3"/>
          <w:sz w:val="21"/>
        </w:rPr>
        <w:t>脱</w:t>
      </w:r>
      <w:r>
        <w:rPr>
          <w:sz w:val="21"/>
        </w:rPr>
        <w:t>髓</w:t>
      </w:r>
      <w:r>
        <w:rPr>
          <w:spacing w:val="-3"/>
          <w:sz w:val="21"/>
        </w:rPr>
        <w:t>鞘</w:t>
      </w:r>
      <w:r>
        <w:rPr>
          <w:sz w:val="21"/>
        </w:rPr>
        <w:t>病</w:t>
      </w:r>
      <w:r>
        <w:rPr>
          <w:spacing w:val="-3"/>
          <w:sz w:val="21"/>
        </w:rPr>
        <w:t>变</w:t>
      </w:r>
      <w:r>
        <w:rPr>
          <w:spacing w:val="-46"/>
          <w:sz w:val="21"/>
        </w:rPr>
        <w:t>，</w:t>
      </w:r>
      <w:r>
        <w:rPr>
          <w:spacing w:val="-3"/>
          <w:sz w:val="21"/>
        </w:rPr>
        <w:t>病</w:t>
      </w:r>
      <w:r>
        <w:rPr>
          <w:sz w:val="21"/>
        </w:rPr>
        <w:t>变</w:t>
      </w:r>
      <w:r>
        <w:rPr>
          <w:spacing w:val="-3"/>
          <w:sz w:val="21"/>
        </w:rPr>
        <w:t>有</w:t>
      </w:r>
      <w:r>
        <w:rPr>
          <w:sz w:val="21"/>
        </w:rPr>
        <w:t>时</w:t>
      </w:r>
      <w:r>
        <w:rPr>
          <w:spacing w:val="-3"/>
          <w:sz w:val="21"/>
        </w:rPr>
        <w:t>累</w:t>
      </w:r>
      <w:r>
        <w:rPr>
          <w:sz w:val="21"/>
        </w:rPr>
        <w:t>及</w:t>
      </w:r>
      <w:r>
        <w:rPr>
          <w:spacing w:val="-3"/>
          <w:sz w:val="21"/>
        </w:rPr>
        <w:t>灰</w:t>
      </w:r>
      <w:r>
        <w:rPr>
          <w:sz w:val="21"/>
        </w:rPr>
        <w:t>质</w:t>
      </w:r>
      <w:r>
        <w:rPr>
          <w:spacing w:val="-48"/>
          <w:sz w:val="21"/>
        </w:rPr>
        <w:t>。</w:t>
      </w:r>
      <w:r>
        <w:rPr>
          <w:sz w:val="21"/>
        </w:rPr>
        <w:t>多</w:t>
      </w:r>
      <w:r>
        <w:rPr>
          <w:spacing w:val="-3"/>
          <w:sz w:val="21"/>
        </w:rPr>
        <w:t>发</w:t>
      </w:r>
      <w:r>
        <w:rPr>
          <w:sz w:val="21"/>
        </w:rPr>
        <w:t>性硬化须</w:t>
      </w:r>
      <w:r>
        <w:rPr>
          <w:spacing w:val="-3"/>
          <w:sz w:val="21"/>
        </w:rPr>
        <w:t>由</w:t>
      </w:r>
      <w:r>
        <w:rPr>
          <w:sz w:val="21"/>
        </w:rPr>
        <w:t>核</w:t>
      </w:r>
      <w:r>
        <w:rPr>
          <w:spacing w:val="-3"/>
          <w:sz w:val="21"/>
        </w:rPr>
        <w:t>磁</w:t>
      </w:r>
      <w:r>
        <w:rPr>
          <w:sz w:val="21"/>
        </w:rPr>
        <w:t>共</w:t>
      </w:r>
      <w:r>
        <w:rPr>
          <w:spacing w:val="-60"/>
          <w:sz w:val="21"/>
        </w:rPr>
        <w:t>振</w:t>
      </w:r>
      <w:r>
        <w:rPr>
          <w:spacing w:val="-13"/>
          <w:sz w:val="21"/>
        </w:rPr>
        <w:t>（</w:t>
      </w:r>
      <w:r>
        <w:rPr>
          <w:rFonts w:ascii="Times New Roman" w:eastAsia="Times New Roman"/>
          <w:spacing w:val="-13"/>
          <w:sz w:val="21"/>
        </w:rPr>
        <w:t>MRI</w:t>
      </w:r>
      <w:r>
        <w:rPr>
          <w:spacing w:val="-13"/>
          <w:sz w:val="21"/>
        </w:rPr>
        <w:t>）</w:t>
      </w:r>
      <w:r>
        <w:rPr>
          <w:spacing w:val="-3"/>
          <w:sz w:val="21"/>
        </w:rPr>
        <w:t>等</w:t>
      </w:r>
      <w:r>
        <w:rPr>
          <w:sz w:val="21"/>
        </w:rPr>
        <w:t>影像</w:t>
      </w:r>
      <w:r>
        <w:rPr>
          <w:spacing w:val="-3"/>
          <w:sz w:val="21"/>
        </w:rPr>
        <w:t>学</w:t>
      </w:r>
      <w:r>
        <w:rPr>
          <w:sz w:val="21"/>
        </w:rPr>
        <w:t>检</w:t>
      </w:r>
      <w:r>
        <w:rPr>
          <w:spacing w:val="-3"/>
          <w:sz w:val="21"/>
        </w:rPr>
        <w:t>查</w:t>
      </w:r>
      <w:r>
        <w:rPr>
          <w:sz w:val="21"/>
        </w:rPr>
        <w:t>证</w:t>
      </w:r>
      <w:r>
        <w:rPr>
          <w:spacing w:val="-3"/>
          <w:sz w:val="21"/>
        </w:rPr>
        <w:t>实</w:t>
      </w:r>
      <w:r>
        <w:rPr>
          <w:spacing w:val="-60"/>
          <w:sz w:val="21"/>
        </w:rPr>
        <w:t>，</w:t>
      </w:r>
      <w:r>
        <w:rPr>
          <w:sz w:val="21"/>
        </w:rPr>
        <w:t>经</w:t>
      </w:r>
      <w:r>
        <w:rPr>
          <w:spacing w:val="-3"/>
          <w:sz w:val="21"/>
        </w:rPr>
        <w:t>三级</w:t>
      </w:r>
      <w:r>
        <w:rPr>
          <w:sz w:val="21"/>
        </w:rPr>
        <w:t>医院</w:t>
      </w:r>
      <w:r>
        <w:rPr>
          <w:spacing w:val="-3"/>
          <w:sz w:val="21"/>
        </w:rPr>
        <w:t>神</w:t>
      </w:r>
      <w:r>
        <w:rPr>
          <w:sz w:val="21"/>
        </w:rPr>
        <w:t>经</w:t>
      </w:r>
      <w:r>
        <w:rPr>
          <w:spacing w:val="-3"/>
          <w:sz w:val="21"/>
        </w:rPr>
        <w:t>科</w:t>
      </w:r>
      <w:r>
        <w:rPr>
          <w:sz w:val="21"/>
        </w:rPr>
        <w:t>专</w:t>
      </w:r>
      <w:r>
        <w:rPr>
          <w:spacing w:val="-3"/>
          <w:sz w:val="21"/>
        </w:rPr>
        <w:t>科</w:t>
      </w:r>
      <w:r>
        <w:rPr>
          <w:sz w:val="21"/>
        </w:rPr>
        <w:t>医</w:t>
      </w:r>
      <w:r>
        <w:rPr>
          <w:spacing w:val="-3"/>
          <w:sz w:val="21"/>
        </w:rPr>
        <w:t>生</w:t>
      </w:r>
      <w:r>
        <w:rPr>
          <w:sz w:val="21"/>
        </w:rPr>
        <w:t>明</w:t>
      </w:r>
      <w:r>
        <w:rPr>
          <w:spacing w:val="-3"/>
          <w:sz w:val="21"/>
        </w:rPr>
        <w:t>确</w:t>
      </w:r>
      <w:r>
        <w:rPr>
          <w:sz w:val="21"/>
        </w:rPr>
        <w:t>诊断， 并且</w:t>
      </w:r>
      <w:r>
        <w:rPr>
          <w:spacing w:val="-3"/>
          <w:sz w:val="21"/>
        </w:rPr>
        <w:t>已</w:t>
      </w:r>
      <w:r>
        <w:rPr>
          <w:sz w:val="21"/>
        </w:rPr>
        <w:t>经</w:t>
      </w:r>
      <w:r>
        <w:rPr>
          <w:spacing w:val="-3"/>
          <w:sz w:val="21"/>
        </w:rPr>
        <w:t>造</w:t>
      </w:r>
      <w:r>
        <w:rPr>
          <w:sz w:val="21"/>
        </w:rPr>
        <w:t>成</w:t>
      </w:r>
      <w:r>
        <w:rPr>
          <w:spacing w:val="-3"/>
          <w:sz w:val="21"/>
        </w:rPr>
        <w:t>永</w:t>
      </w:r>
      <w:r>
        <w:rPr>
          <w:sz w:val="21"/>
        </w:rPr>
        <w:t>久</w:t>
      </w:r>
      <w:r>
        <w:rPr>
          <w:spacing w:val="-3"/>
          <w:sz w:val="21"/>
        </w:rPr>
        <w:t>不</w:t>
      </w:r>
      <w:r>
        <w:rPr>
          <w:sz w:val="21"/>
        </w:rPr>
        <w:t>可</w:t>
      </w:r>
      <w:r>
        <w:rPr>
          <w:spacing w:val="-3"/>
          <w:sz w:val="21"/>
        </w:rPr>
        <w:t>逆</w:t>
      </w:r>
      <w:r>
        <w:rPr>
          <w:sz w:val="21"/>
        </w:rPr>
        <w:t>的神</w:t>
      </w:r>
      <w:r>
        <w:rPr>
          <w:spacing w:val="-3"/>
          <w:sz w:val="21"/>
        </w:rPr>
        <w:t>经</w:t>
      </w:r>
      <w:r>
        <w:rPr>
          <w:sz w:val="21"/>
        </w:rPr>
        <w:t>系</w:t>
      </w:r>
      <w:r>
        <w:rPr>
          <w:spacing w:val="-3"/>
          <w:sz w:val="21"/>
        </w:rPr>
        <w:t>统</w:t>
      </w:r>
      <w:r>
        <w:rPr>
          <w:sz w:val="21"/>
        </w:rPr>
        <w:t>功</w:t>
      </w:r>
      <w:r>
        <w:rPr>
          <w:spacing w:val="-3"/>
          <w:sz w:val="21"/>
        </w:rPr>
        <w:t>能</w:t>
      </w:r>
      <w:r>
        <w:rPr>
          <w:sz w:val="21"/>
        </w:rPr>
        <w:t>损</w:t>
      </w:r>
      <w:r>
        <w:rPr>
          <w:spacing w:val="-3"/>
          <w:sz w:val="21"/>
        </w:rPr>
        <w:t>害</w:t>
      </w:r>
      <w:r>
        <w:rPr>
          <w:spacing w:val="-94"/>
          <w:sz w:val="21"/>
        </w:rPr>
        <w:t>。</w:t>
      </w:r>
      <w:r>
        <w:rPr>
          <w:sz w:val="21"/>
        </w:rPr>
        <w:t>永</w:t>
      </w:r>
      <w:r>
        <w:rPr>
          <w:spacing w:val="-3"/>
          <w:sz w:val="21"/>
        </w:rPr>
        <w:t>久</w:t>
      </w:r>
      <w:r>
        <w:rPr>
          <w:sz w:val="21"/>
        </w:rPr>
        <w:t>不可</w:t>
      </w:r>
      <w:r>
        <w:rPr>
          <w:spacing w:val="-3"/>
          <w:sz w:val="21"/>
        </w:rPr>
        <w:t>逆</w:t>
      </w:r>
      <w:r>
        <w:rPr>
          <w:sz w:val="21"/>
        </w:rPr>
        <w:t>神</w:t>
      </w:r>
      <w:r>
        <w:rPr>
          <w:spacing w:val="-3"/>
          <w:sz w:val="21"/>
        </w:rPr>
        <w:t>经</w:t>
      </w:r>
      <w:r>
        <w:rPr>
          <w:sz w:val="21"/>
        </w:rPr>
        <w:t>系</w:t>
      </w:r>
      <w:r>
        <w:rPr>
          <w:spacing w:val="-3"/>
          <w:sz w:val="21"/>
        </w:rPr>
        <w:t>统</w:t>
      </w:r>
      <w:r>
        <w:rPr>
          <w:sz w:val="21"/>
        </w:rPr>
        <w:t>功</w:t>
      </w:r>
      <w:r>
        <w:rPr>
          <w:spacing w:val="-3"/>
          <w:sz w:val="21"/>
        </w:rPr>
        <w:t>能</w:t>
      </w:r>
      <w:r>
        <w:rPr>
          <w:sz w:val="21"/>
        </w:rPr>
        <w:t>损</w:t>
      </w:r>
      <w:r>
        <w:rPr>
          <w:spacing w:val="-3"/>
          <w:sz w:val="21"/>
        </w:rPr>
        <w:t>害</w:t>
      </w:r>
      <w:r>
        <w:rPr>
          <w:sz w:val="21"/>
        </w:rPr>
        <w:t>指被保险</w:t>
      </w:r>
      <w:r>
        <w:rPr>
          <w:spacing w:val="-3"/>
          <w:sz w:val="21"/>
        </w:rPr>
        <w:t>人持</w:t>
      </w:r>
      <w:r>
        <w:rPr>
          <w:sz w:val="21"/>
        </w:rPr>
        <w:t>续</w:t>
      </w:r>
      <w:r>
        <w:rPr>
          <w:spacing w:val="-38"/>
          <w:sz w:val="21"/>
        </w:rPr>
        <w:t> </w:t>
      </w:r>
      <w:r>
        <w:rPr>
          <w:rFonts w:ascii="Times New Roman" w:eastAsia="Times New Roman"/>
          <w:sz w:val="21"/>
        </w:rPr>
        <w:t>180</w:t>
      </w:r>
      <w:r>
        <w:rPr>
          <w:rFonts w:ascii="Times New Roman" w:eastAsia="Times New Roman"/>
          <w:spacing w:val="10"/>
          <w:sz w:val="21"/>
        </w:rPr>
        <w:t> </w:t>
      </w:r>
      <w:r>
        <w:rPr>
          <w:sz w:val="21"/>
        </w:rPr>
        <w:t>日</w:t>
      </w:r>
      <w:r>
        <w:rPr>
          <w:spacing w:val="-3"/>
          <w:sz w:val="21"/>
        </w:rPr>
        <w:t>无</w:t>
      </w:r>
      <w:r>
        <w:rPr>
          <w:sz w:val="21"/>
        </w:rPr>
        <w:t>法</w:t>
      </w:r>
      <w:r>
        <w:rPr>
          <w:spacing w:val="-3"/>
          <w:sz w:val="21"/>
        </w:rPr>
        <w:t>独</w:t>
      </w:r>
      <w:r>
        <w:rPr>
          <w:sz w:val="21"/>
        </w:rPr>
        <w:t>立完</w:t>
      </w:r>
      <w:r>
        <w:rPr>
          <w:spacing w:val="-3"/>
          <w:sz w:val="21"/>
        </w:rPr>
        <w:t>成</w:t>
      </w:r>
      <w:r>
        <w:rPr>
          <w:sz w:val="21"/>
        </w:rPr>
        <w:t>下</w:t>
      </w:r>
      <w:r>
        <w:rPr>
          <w:spacing w:val="-3"/>
          <w:sz w:val="21"/>
        </w:rPr>
        <w:t>列</w:t>
      </w:r>
      <w:r>
        <w:rPr>
          <w:sz w:val="21"/>
        </w:rPr>
        <w:t>基</w:t>
      </w:r>
      <w:r>
        <w:rPr>
          <w:spacing w:val="-3"/>
          <w:sz w:val="21"/>
        </w:rPr>
        <w:t>本</w:t>
      </w:r>
      <w:r>
        <w:rPr>
          <w:sz w:val="21"/>
        </w:rPr>
        <w:t>日</w:t>
      </w:r>
      <w:r>
        <w:rPr>
          <w:spacing w:val="-3"/>
          <w:sz w:val="21"/>
        </w:rPr>
        <w:t>常</w:t>
      </w:r>
      <w:r>
        <w:rPr>
          <w:sz w:val="21"/>
        </w:rPr>
        <w:t>生</w:t>
      </w:r>
      <w:r>
        <w:rPr>
          <w:spacing w:val="-3"/>
          <w:sz w:val="21"/>
        </w:rPr>
        <w:t>活</w:t>
      </w:r>
      <w:r>
        <w:rPr>
          <w:sz w:val="21"/>
        </w:rPr>
        <w:t>活动：</w:t>
      </w:r>
    </w:p>
    <w:p>
      <w:pPr>
        <w:pStyle w:val="BodyText"/>
        <w:ind w:left="2681"/>
      </w:pPr>
      <w:r>
        <w:rPr/>
        <w:t>（</w:t>
      </w:r>
      <w:r>
        <w:rPr>
          <w:rFonts w:ascii="Times New Roman" w:eastAsia="Times New Roman"/>
        </w:rPr>
        <w:t>1</w:t>
      </w:r>
      <w:r>
        <w:rPr/>
        <w:t>）移动：自己从一个房间移动到另一个房间；或者</w:t>
      </w:r>
    </w:p>
    <w:p>
      <w:pPr>
        <w:pStyle w:val="BodyText"/>
        <w:spacing w:before="21"/>
        <w:ind w:left="2681"/>
      </w:pPr>
      <w:r>
        <w:rPr/>
        <w:t>（</w:t>
      </w:r>
      <w:r>
        <w:rPr>
          <w:rFonts w:ascii="Times New Roman" w:eastAsia="Times New Roman"/>
        </w:rPr>
        <w:t>2</w:t>
      </w:r>
      <w:r>
        <w:rPr/>
        <w:t>）进食：自己从已准备好的碗或碟中取食物放入口中。</w:t>
      </w:r>
    </w:p>
    <w:p>
      <w:pPr>
        <w:spacing w:after="0"/>
        <w:sectPr>
          <w:pgSz w:w="11910" w:h="16160"/>
          <w:pgMar w:header="0" w:footer="1017" w:top="1340" w:bottom="1200" w:left="900" w:right="640"/>
        </w:sectPr>
      </w:pPr>
    </w:p>
    <w:p>
      <w:pPr>
        <w:pStyle w:val="ListParagraph"/>
        <w:numPr>
          <w:ilvl w:val="0"/>
          <w:numId w:val="4"/>
        </w:numPr>
        <w:tabs>
          <w:tab w:pos="486" w:val="left" w:leader="none"/>
        </w:tabs>
        <w:spacing w:line="240" w:lineRule="auto" w:before="21" w:after="0"/>
        <w:ind w:left="485" w:right="0" w:hanging="380"/>
        <w:jc w:val="left"/>
        <w:rPr>
          <w:sz w:val="21"/>
        </w:rPr>
      </w:pPr>
      <w:r>
        <w:rPr>
          <w:spacing w:val="3"/>
          <w:sz w:val="21"/>
        </w:rPr>
        <w:t>因职业关系导致的</w:t>
      </w:r>
    </w:p>
    <w:p>
      <w:pPr>
        <w:pStyle w:val="BodyText"/>
        <w:spacing w:before="22"/>
        <w:ind w:left="105"/>
      </w:pPr>
      <w:r>
        <w:rPr>
          <w:rFonts w:ascii="Times New Roman" w:eastAsia="Times New Roman"/>
        </w:rPr>
        <w:t>HIV </w:t>
      </w:r>
      <w:r>
        <w:rPr/>
        <w:t>感染</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0"/>
          <w:numId w:val="4"/>
        </w:numPr>
        <w:tabs>
          <w:tab w:pos="486" w:val="left" w:leader="none"/>
        </w:tabs>
        <w:spacing w:line="256" w:lineRule="auto" w:before="153" w:after="0"/>
        <w:ind w:left="105" w:right="0" w:firstLine="0"/>
        <w:jc w:val="left"/>
        <w:rPr>
          <w:sz w:val="21"/>
        </w:rPr>
      </w:pPr>
      <w:r>
        <w:rPr>
          <w:spacing w:val="3"/>
          <w:sz w:val="21"/>
        </w:rPr>
        <w:t>严重慢性呼吸功能衰竭</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7"/>
        </w:rPr>
      </w:pPr>
    </w:p>
    <w:p>
      <w:pPr>
        <w:pStyle w:val="ListParagraph"/>
        <w:numPr>
          <w:ilvl w:val="0"/>
          <w:numId w:val="4"/>
        </w:numPr>
        <w:tabs>
          <w:tab w:pos="486" w:val="left" w:leader="none"/>
        </w:tabs>
        <w:spacing w:line="259" w:lineRule="auto" w:before="0" w:after="0"/>
        <w:ind w:left="105" w:right="0" w:firstLine="0"/>
        <w:jc w:val="left"/>
        <w:rPr>
          <w:sz w:val="21"/>
        </w:rPr>
      </w:pPr>
      <w:r>
        <w:rPr>
          <w:spacing w:val="3"/>
          <w:sz w:val="21"/>
        </w:rPr>
        <w:t>严重冠状动脉粥样</w:t>
      </w:r>
      <w:r>
        <w:rPr>
          <w:spacing w:val="-1"/>
          <w:sz w:val="21"/>
        </w:rPr>
        <w:t>硬化性心脏病</w:t>
      </w:r>
    </w:p>
    <w:p>
      <w:pPr>
        <w:pStyle w:val="BodyText"/>
        <w:spacing w:line="273" w:lineRule="auto" w:before="21"/>
        <w:ind w:left="340" w:right="207" w:hanging="236"/>
        <w:jc w:val="both"/>
      </w:pPr>
      <w:r>
        <w:rPr/>
        <w:br w:type="column"/>
      </w:r>
      <w:r>
        <w:rPr>
          <w:spacing w:val="-13"/>
        </w:rPr>
        <w:t>： 被保险人在其常规职业工作过程中遭遇外伤，或者职业需要处理血液或者其他体液</w:t>
      </w:r>
      <w:r>
        <w:rPr>
          <w:spacing w:val="-6"/>
          <w:w w:val="100"/>
        </w:rPr>
        <w:t>时感染上人类免疫缺陷病毒</w:t>
      </w:r>
      <w:r>
        <w:rPr>
          <w:spacing w:val="-3"/>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p>
    <w:p>
      <w:pPr>
        <w:pStyle w:val="BodyText"/>
        <w:spacing w:line="264" w:lineRule="exact"/>
        <w:ind w:left="340"/>
      </w:pPr>
      <w:r>
        <w:rPr/>
        <w:t>理赔必须符合下列所有条件：</w:t>
      </w:r>
    </w:p>
    <w:p>
      <w:pPr>
        <w:pStyle w:val="BodyText"/>
        <w:spacing w:line="256" w:lineRule="auto" w:before="37"/>
        <w:ind w:left="895" w:right="210" w:hanging="540"/>
      </w:pPr>
      <w:r>
        <w:rPr/>
        <w:t>（</w:t>
      </w:r>
      <w:r>
        <w:rPr>
          <w:rFonts w:ascii="Times New Roman" w:eastAsia="Times New Roman"/>
        </w:rPr>
        <w:t>1</w:t>
      </w:r>
      <w:r>
        <w:rPr/>
        <w:t>）感染必须是在被保险人正在从事其职业工作中发生，该职业必须属于以下列表内的职业。</w:t>
      </w:r>
    </w:p>
    <w:p>
      <w:pPr>
        <w:pStyle w:val="BodyText"/>
        <w:rPr>
          <w:sz w:val="2"/>
        </w:rPr>
      </w:pPr>
    </w:p>
    <w:tbl>
      <w:tblPr>
        <w:tblW w:w="0" w:type="auto"/>
        <w:jc w:val="left"/>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70" w:lineRule="exact"/>
              <w:ind w:left="69"/>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70" w:lineRule="exact"/>
              <w:ind w:left="66"/>
              <w:rPr>
                <w:sz w:val="21"/>
              </w:rPr>
            </w:pPr>
            <w:r>
              <w:rPr>
                <w:sz w:val="21"/>
              </w:rPr>
              <w:t>护士</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73" w:lineRule="exact"/>
              <w:ind w:left="69"/>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73" w:lineRule="exact"/>
              <w:ind w:left="66"/>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70" w:lineRule="exact"/>
              <w:ind w:left="69"/>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70" w:lineRule="exact"/>
              <w:ind w:left="66"/>
              <w:rPr>
                <w:sz w:val="21"/>
              </w:rPr>
            </w:pPr>
            <w:r>
              <w:rPr>
                <w:sz w:val="21"/>
              </w:rPr>
              <w:t>救护车工作人员</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70" w:lineRule="exact"/>
              <w:ind w:left="69"/>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70" w:lineRule="exact"/>
              <w:ind w:left="66"/>
              <w:rPr>
                <w:sz w:val="21"/>
              </w:rPr>
            </w:pPr>
            <w:r>
              <w:rPr>
                <w:sz w:val="21"/>
              </w:rPr>
              <w:t>消防队员</w:t>
            </w:r>
          </w:p>
        </w:tc>
      </w:tr>
      <w:tr>
        <w:trPr>
          <w:trHeight w:val="313" w:hRule="atLeast"/>
        </w:trPr>
        <w:tc>
          <w:tcPr>
            <w:tcW w:w="2727" w:type="dxa"/>
            <w:tcBorders>
              <w:top w:val="single" w:sz="6" w:space="0" w:color="000000"/>
              <w:right w:val="single" w:sz="6" w:space="0" w:color="000000"/>
            </w:tcBorders>
          </w:tcPr>
          <w:p>
            <w:pPr>
              <w:pStyle w:val="TableParagraph"/>
              <w:spacing w:line="270" w:lineRule="exact"/>
              <w:ind w:left="69"/>
              <w:rPr>
                <w:sz w:val="21"/>
              </w:rPr>
            </w:pPr>
            <w:r>
              <w:rPr>
                <w:sz w:val="21"/>
              </w:rPr>
              <w:t>警察</w:t>
            </w:r>
          </w:p>
        </w:tc>
        <w:tc>
          <w:tcPr>
            <w:tcW w:w="2835" w:type="dxa"/>
            <w:tcBorders>
              <w:top w:val="single" w:sz="6" w:space="0" w:color="000000"/>
              <w:left w:val="single" w:sz="6" w:space="0" w:color="000000"/>
            </w:tcBorders>
          </w:tcPr>
          <w:p>
            <w:pPr>
              <w:pStyle w:val="TableParagraph"/>
              <w:spacing w:line="270" w:lineRule="exact"/>
              <w:ind w:left="66"/>
              <w:rPr>
                <w:sz w:val="21"/>
              </w:rPr>
            </w:pPr>
            <w:r>
              <w:rPr>
                <w:sz w:val="21"/>
              </w:rPr>
              <w:t>狱警</w:t>
            </w:r>
          </w:p>
        </w:tc>
      </w:tr>
    </w:tbl>
    <w:p>
      <w:pPr>
        <w:pStyle w:val="BodyText"/>
        <w:spacing w:line="256" w:lineRule="auto"/>
        <w:ind w:left="895" w:right="147" w:hanging="540"/>
      </w:pPr>
      <w:r>
        <w:rPr/>
        <w:t>（</w:t>
      </w:r>
      <w:r>
        <w:rPr>
          <w:rFonts w:ascii="Times New Roman" w:eastAsia="Times New Roman"/>
        </w:rPr>
        <w:t>2</w:t>
      </w:r>
      <w:r>
        <w:rPr/>
        <w:t>）必须提供被保险人在所报事故发生后的 </w:t>
      </w:r>
      <w:r>
        <w:rPr>
          <w:rFonts w:ascii="Times New Roman" w:eastAsia="Times New Roman"/>
        </w:rPr>
        <w:t>5 </w:t>
      </w:r>
      <w:r>
        <w:rPr/>
        <w:t>日以内进行的检查报告，该报告必须显示被保险人血液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line="256" w:lineRule="auto" w:before="5"/>
        <w:ind w:left="895" w:right="298" w:hanging="540"/>
      </w:pPr>
      <w:r>
        <w:rPr/>
        <w:t>（</w:t>
      </w:r>
      <w:r>
        <w:rPr>
          <w:rFonts w:ascii="Times New Roman" w:eastAsia="Times New Roman"/>
        </w:rPr>
        <w:t>3</w:t>
      </w:r>
      <w:r>
        <w:rPr/>
        <w:t>）</w:t>
      </w:r>
      <w:r>
        <w:rPr>
          <w:spacing w:val="-8"/>
        </w:rPr>
        <w:t>必须在事故发生后的 </w:t>
      </w:r>
      <w:r>
        <w:rPr>
          <w:rFonts w:ascii="Times New Roman" w:eastAsia="Times New Roman"/>
        </w:rPr>
        <w:t>6 </w:t>
      </w:r>
      <w:r>
        <w:rPr>
          <w:spacing w:val="-7"/>
        </w:rPr>
        <w:t>个月内证实被保险人体内存在 </w:t>
      </w:r>
      <w:r>
        <w:rPr>
          <w:rFonts w:ascii="Times New Roman" w:eastAsia="Times New Roman"/>
        </w:rPr>
        <w:t>HIV </w:t>
      </w:r>
      <w:r>
        <w:rPr>
          <w:spacing w:val="-13"/>
        </w:rPr>
        <w:t>病毒或者 </w:t>
      </w:r>
      <w:r>
        <w:rPr>
          <w:rFonts w:ascii="Times New Roman" w:eastAsia="Times New Roman"/>
        </w:rPr>
        <w:t>HIV </w:t>
      </w:r>
      <w:r>
        <w:rPr/>
        <w:t>抗</w:t>
      </w:r>
      <w:r>
        <w:rPr>
          <w:spacing w:val="-10"/>
        </w:rPr>
        <w:t>体，即血液 </w:t>
      </w:r>
      <w:r>
        <w:rPr>
          <w:rFonts w:ascii="Times New Roman" w:eastAsia="Times New Roman"/>
        </w:rPr>
        <w:t>HIV </w:t>
      </w:r>
      <w:r>
        <w:rPr>
          <w:spacing w:val="-3"/>
        </w:rPr>
        <w:t>病毒阳性和</w:t>
      </w:r>
      <w:r>
        <w:rPr>
          <w:rFonts w:ascii="Times New Roman" w:eastAsia="Times New Roman"/>
        </w:rPr>
        <w:t>/</w:t>
      </w:r>
      <w:r>
        <w:rPr>
          <w:spacing w:val="-26"/>
        </w:rPr>
        <w:t>或 </w:t>
      </w:r>
      <w:r>
        <w:rPr>
          <w:rFonts w:ascii="Times New Roman" w:eastAsia="Times New Roman"/>
        </w:rPr>
        <w:t>HIV </w:t>
      </w:r>
      <w:r>
        <w:rPr>
          <w:spacing w:val="-3"/>
        </w:rPr>
        <w:t>抗体阳性。</w:t>
      </w:r>
    </w:p>
    <w:p>
      <w:pPr>
        <w:spacing w:line="273" w:lineRule="auto" w:before="4"/>
        <w:ind w:left="340" w:right="304" w:firstLine="0"/>
        <w:jc w:val="left"/>
        <w:rPr>
          <w:b/>
          <w:sz w:val="21"/>
        </w:rPr>
      </w:pPr>
      <w:r>
        <w:rPr>
          <w:b/>
          <w:sz w:val="21"/>
        </w:rPr>
        <w:t>我们承担本项疾病责任不受本附加合同“责任免除”中“被保险人感染艾滋病病毒或患艾滋病”的限制。</w:t>
      </w:r>
    </w:p>
    <w:p>
      <w:pPr>
        <w:pStyle w:val="BodyText"/>
        <w:spacing w:line="273" w:lineRule="auto" w:before="7"/>
        <w:ind w:left="340" w:right="207" w:hanging="236"/>
        <w:jc w:val="both"/>
      </w:pPr>
      <w:r>
        <w:rPr>
          <w:spacing w:val="-13"/>
        </w:rPr>
        <w:t>： 慢性肺部疾病导致永久不可逆性的慢性呼吸功能衰竭，必须由呼吸专科医师确认并</w:t>
      </w:r>
      <w:r>
        <w:rPr>
          <w:spacing w:val="-3"/>
        </w:rPr>
        <w:t>符合下列所有条件：</w:t>
      </w:r>
    </w:p>
    <w:p>
      <w:pPr>
        <w:pStyle w:val="BodyText"/>
        <w:spacing w:before="7"/>
        <w:ind w:left="340"/>
      </w:pPr>
      <w:r>
        <w:rPr/>
        <w:t>（</w:t>
      </w:r>
      <w:r>
        <w:rPr>
          <w:rFonts w:ascii="Times New Roman" w:eastAsia="Times New Roman"/>
        </w:rPr>
        <w:t>1</w:t>
      </w:r>
      <w:r>
        <w:rPr/>
        <w:t>）休息时出现呼吸困难；</w:t>
      </w:r>
    </w:p>
    <w:p>
      <w:pPr>
        <w:pStyle w:val="BodyText"/>
        <w:spacing w:before="20"/>
        <w:ind w:left="340"/>
      </w:pPr>
      <w:r>
        <w:rPr/>
        <w:t>（</w:t>
      </w:r>
      <w:r>
        <w:rPr>
          <w:rFonts w:ascii="Times New Roman" w:eastAsia="Times New Roman"/>
        </w:rPr>
        <w:t>2</w:t>
      </w:r>
      <w:r>
        <w:rPr/>
        <w:t>）动脉血氧分压（</w:t>
      </w:r>
      <w:r>
        <w:rPr>
          <w:rFonts w:ascii="Times New Roman" w:eastAsia="Times New Roman"/>
        </w:rPr>
        <w:t>PaO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before="20"/>
        <w:ind w:left="340"/>
      </w:pPr>
      <w:r>
        <w:rPr/>
        <w:t>（</w:t>
      </w:r>
      <w:r>
        <w:rPr>
          <w:rFonts w:ascii="Times New Roman" w:eastAsia="Times New Roman"/>
        </w:rPr>
        <w:t>3</w:t>
      </w:r>
      <w:r>
        <w:rPr/>
        <w:t>）动脉血氧饱和度（</w:t>
      </w:r>
      <w:r>
        <w:rPr>
          <w:rFonts w:ascii="Times New Roman" w:eastAsia="Times New Roman"/>
        </w:rPr>
        <w:t>SaO</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before="20"/>
        <w:ind w:left="340"/>
      </w:pPr>
      <w:r>
        <w:rPr/>
        <w:t>（</w:t>
      </w:r>
      <w:r>
        <w:rPr>
          <w:rFonts w:ascii="Times New Roman" w:eastAsia="Times New Roman"/>
        </w:rPr>
        <w:t>4</w:t>
      </w:r>
      <w:r>
        <w:rPr/>
        <w:t>）因缺氧必须接受持续的输氧治疗。</w:t>
      </w:r>
    </w:p>
    <w:p>
      <w:pPr>
        <w:spacing w:line="266" w:lineRule="auto" w:before="20"/>
        <w:ind w:left="340" w:right="207" w:hanging="236"/>
        <w:jc w:val="both"/>
        <w:rPr>
          <w:b/>
          <w:sz w:val="21"/>
        </w:rPr>
      </w:pPr>
      <w:r>
        <w:rPr>
          <w:spacing w:val="-12"/>
          <w:sz w:val="21"/>
        </w:rPr>
        <w:t>： 指经心脏科专科医师根据冠状动脉造影检查结果确诊的三支主要血管</w:t>
      </w:r>
      <w:r>
        <w:rPr>
          <w:sz w:val="21"/>
        </w:rPr>
        <w:t>（</w:t>
      </w:r>
      <w:r>
        <w:rPr>
          <w:spacing w:val="-3"/>
          <w:sz w:val="21"/>
        </w:rPr>
        <w:t>左冠状动脉</w:t>
      </w:r>
      <w:r>
        <w:rPr>
          <w:spacing w:val="-8"/>
          <w:sz w:val="21"/>
        </w:rPr>
        <w:t>主干和右冠状动脉，或前降支、左旋支和右冠状动脉</w:t>
      </w:r>
      <w:r>
        <w:rPr>
          <w:spacing w:val="-25"/>
          <w:sz w:val="21"/>
        </w:rPr>
        <w:t>）</w:t>
      </w:r>
      <w:r>
        <w:rPr>
          <w:spacing w:val="-7"/>
          <w:sz w:val="21"/>
        </w:rPr>
        <w:t>严重狭窄性病变</w:t>
      </w:r>
      <w:r>
        <w:rPr>
          <w:spacing w:val="-3"/>
          <w:sz w:val="21"/>
        </w:rPr>
        <w:t>（</w:t>
      </w:r>
      <w:r>
        <w:rPr>
          <w:spacing w:val="-2"/>
          <w:sz w:val="21"/>
        </w:rPr>
        <w:t>至少一支</w:t>
      </w:r>
      <w:r>
        <w:rPr>
          <w:spacing w:val="-8"/>
          <w:sz w:val="21"/>
        </w:rPr>
        <w:t>血管管腔直径减少 </w:t>
      </w:r>
      <w:r>
        <w:rPr>
          <w:rFonts w:ascii="Times New Roman" w:eastAsia="Times New Roman"/>
          <w:sz w:val="21"/>
        </w:rPr>
        <w:t>75</w:t>
      </w:r>
      <w:r>
        <w:rPr>
          <w:spacing w:val="-6"/>
          <w:sz w:val="21"/>
        </w:rPr>
        <w:t>％以上和其他两支血管管腔直径减少 </w:t>
      </w:r>
      <w:r>
        <w:rPr>
          <w:rFonts w:ascii="Times New Roman" w:eastAsia="Times New Roman"/>
          <w:sz w:val="21"/>
        </w:rPr>
        <w:t>60</w:t>
      </w:r>
      <w:r>
        <w:rPr>
          <w:spacing w:val="-2"/>
          <w:sz w:val="21"/>
        </w:rPr>
        <w:t>％以上</w:t>
      </w:r>
      <w:r>
        <w:rPr>
          <w:spacing w:val="-106"/>
          <w:sz w:val="21"/>
        </w:rPr>
        <w:t>）</w:t>
      </w:r>
      <w:r>
        <w:rPr>
          <w:spacing w:val="-50"/>
          <w:sz w:val="21"/>
        </w:rPr>
        <w:t>。</w:t>
      </w:r>
      <w:r>
        <w:rPr>
          <w:b/>
          <w:spacing w:val="-11"/>
          <w:sz w:val="21"/>
        </w:rPr>
        <w:t>前降支、左</w:t>
      </w:r>
      <w:r>
        <w:rPr>
          <w:b/>
          <w:spacing w:val="-10"/>
          <w:sz w:val="21"/>
        </w:rPr>
        <w:t>旋支及右冠状动脉的分支血管的狭窄不作为本保障的衡量指标。</w:t>
      </w:r>
    </w:p>
    <w:p>
      <w:pPr>
        <w:spacing w:after="0" w:line="266" w:lineRule="auto"/>
        <w:jc w:val="both"/>
        <w:rPr>
          <w:sz w:val="21"/>
        </w:rPr>
        <w:sectPr>
          <w:type w:val="continuous"/>
          <w:pgSz w:w="11910" w:h="16160"/>
          <w:pgMar w:top="420" w:bottom="280" w:left="900" w:right="640"/>
          <w:cols w:num="2" w:equalWidth="0">
            <w:col w:w="2231" w:space="110"/>
            <w:col w:w="8029"/>
          </w:cols>
        </w:sectPr>
      </w:pPr>
    </w:p>
    <w:p>
      <w:pPr>
        <w:pStyle w:val="ListParagraph"/>
        <w:numPr>
          <w:ilvl w:val="0"/>
          <w:numId w:val="4"/>
        </w:numPr>
        <w:tabs>
          <w:tab w:pos="476" w:val="left" w:leader="none"/>
          <w:tab w:pos="2446" w:val="left" w:leader="none"/>
        </w:tabs>
        <w:spacing w:line="264" w:lineRule="auto" w:before="13" w:after="0"/>
        <w:ind w:left="2681" w:right="207" w:hanging="2576"/>
        <w:jc w:val="left"/>
        <w:rPr>
          <w:sz w:val="21"/>
        </w:rPr>
      </w:pPr>
      <w:r>
        <w:rPr>
          <w:spacing w:val="-3"/>
          <w:sz w:val="21"/>
        </w:rPr>
        <w:t>脊</w:t>
      </w:r>
      <w:r>
        <w:rPr>
          <w:sz w:val="21"/>
        </w:rPr>
        <w:t>髓</w:t>
      </w:r>
      <w:r>
        <w:rPr>
          <w:spacing w:val="-3"/>
          <w:sz w:val="21"/>
        </w:rPr>
        <w:t>灰</w:t>
      </w:r>
      <w:r>
        <w:rPr>
          <w:sz w:val="21"/>
        </w:rPr>
        <w:t>质炎</w:t>
        <w:tab/>
        <w:t>：</w:t>
      </w:r>
      <w:r>
        <w:rPr>
          <w:spacing w:val="-37"/>
          <w:sz w:val="21"/>
        </w:rPr>
        <w:t> </w:t>
      </w:r>
      <w:r>
        <w:rPr>
          <w:sz w:val="21"/>
        </w:rPr>
        <w:t>脊髓</w:t>
      </w:r>
      <w:r>
        <w:rPr>
          <w:spacing w:val="-3"/>
          <w:sz w:val="21"/>
        </w:rPr>
        <w:t>灰</w:t>
      </w:r>
      <w:r>
        <w:rPr>
          <w:sz w:val="21"/>
        </w:rPr>
        <w:t>质</w:t>
      </w:r>
      <w:r>
        <w:rPr>
          <w:spacing w:val="-3"/>
          <w:sz w:val="21"/>
        </w:rPr>
        <w:t>炎</w:t>
      </w:r>
      <w:r>
        <w:rPr>
          <w:sz w:val="21"/>
        </w:rPr>
        <w:t>是</w:t>
      </w:r>
      <w:r>
        <w:rPr>
          <w:spacing w:val="-3"/>
          <w:sz w:val="21"/>
        </w:rPr>
        <w:t>由</w:t>
      </w:r>
      <w:r>
        <w:rPr>
          <w:sz w:val="21"/>
        </w:rPr>
        <w:t>于</w:t>
      </w:r>
      <w:r>
        <w:rPr>
          <w:spacing w:val="-3"/>
          <w:sz w:val="21"/>
        </w:rPr>
        <w:t>脊</w:t>
      </w:r>
      <w:r>
        <w:rPr>
          <w:sz w:val="21"/>
        </w:rPr>
        <w:t>髓</w:t>
      </w:r>
      <w:r>
        <w:rPr>
          <w:spacing w:val="-3"/>
          <w:sz w:val="21"/>
        </w:rPr>
        <w:t>灰</w:t>
      </w:r>
      <w:r>
        <w:rPr>
          <w:sz w:val="21"/>
        </w:rPr>
        <w:t>质炎</w:t>
      </w:r>
      <w:r>
        <w:rPr>
          <w:spacing w:val="-3"/>
          <w:sz w:val="21"/>
        </w:rPr>
        <w:t>病</w:t>
      </w:r>
      <w:r>
        <w:rPr>
          <w:sz w:val="21"/>
        </w:rPr>
        <w:t>毒</w:t>
      </w:r>
      <w:r>
        <w:rPr>
          <w:spacing w:val="-3"/>
          <w:sz w:val="21"/>
        </w:rPr>
        <w:t>感</w:t>
      </w:r>
      <w:r>
        <w:rPr>
          <w:sz w:val="21"/>
        </w:rPr>
        <w:t>染</w:t>
      </w:r>
      <w:r>
        <w:rPr>
          <w:spacing w:val="-3"/>
          <w:sz w:val="21"/>
        </w:rPr>
        <w:t>所</w:t>
      </w:r>
      <w:r>
        <w:rPr>
          <w:sz w:val="21"/>
        </w:rPr>
        <w:t>致</w:t>
      </w:r>
      <w:r>
        <w:rPr>
          <w:spacing w:val="-3"/>
          <w:sz w:val="21"/>
        </w:rPr>
        <w:t>的</w:t>
      </w:r>
      <w:r>
        <w:rPr>
          <w:sz w:val="21"/>
        </w:rPr>
        <w:t>瘫</w:t>
      </w:r>
      <w:r>
        <w:rPr>
          <w:spacing w:val="-3"/>
          <w:sz w:val="21"/>
        </w:rPr>
        <w:t>痪</w:t>
      </w:r>
      <w:r>
        <w:rPr>
          <w:sz w:val="21"/>
        </w:rPr>
        <w:t>性疾</w:t>
      </w:r>
      <w:r>
        <w:rPr>
          <w:spacing w:val="-3"/>
          <w:sz w:val="21"/>
        </w:rPr>
        <w:t>病</w:t>
      </w:r>
      <w:r>
        <w:rPr>
          <w:spacing w:val="-94"/>
          <w:sz w:val="21"/>
        </w:rPr>
        <w:t>，</w:t>
      </w:r>
      <w:r>
        <w:rPr>
          <w:sz w:val="21"/>
        </w:rPr>
        <w:t>临</w:t>
      </w:r>
      <w:r>
        <w:rPr>
          <w:spacing w:val="-3"/>
          <w:sz w:val="21"/>
        </w:rPr>
        <w:t>床</w:t>
      </w:r>
      <w:r>
        <w:rPr>
          <w:sz w:val="21"/>
        </w:rPr>
        <w:t>表</w:t>
      </w:r>
      <w:r>
        <w:rPr>
          <w:spacing w:val="-3"/>
          <w:sz w:val="21"/>
        </w:rPr>
        <w:t>现</w:t>
      </w:r>
      <w:r>
        <w:rPr>
          <w:sz w:val="21"/>
        </w:rPr>
        <w:t>为</w:t>
      </w:r>
      <w:r>
        <w:rPr>
          <w:spacing w:val="-3"/>
          <w:sz w:val="21"/>
        </w:rPr>
        <w:t>运</w:t>
      </w:r>
      <w:r>
        <w:rPr>
          <w:sz w:val="21"/>
        </w:rPr>
        <w:t>动</w:t>
      </w:r>
      <w:r>
        <w:rPr>
          <w:spacing w:val="-3"/>
          <w:sz w:val="21"/>
        </w:rPr>
        <w:t>功</w:t>
      </w:r>
      <w:r>
        <w:rPr>
          <w:sz w:val="21"/>
        </w:rPr>
        <w:t>能损害或</w:t>
      </w:r>
      <w:r>
        <w:rPr>
          <w:spacing w:val="-3"/>
          <w:sz w:val="21"/>
        </w:rPr>
        <w:t>呼</w:t>
      </w:r>
      <w:r>
        <w:rPr>
          <w:sz w:val="21"/>
        </w:rPr>
        <w:t>吸</w:t>
      </w:r>
      <w:r>
        <w:rPr>
          <w:spacing w:val="-3"/>
          <w:sz w:val="21"/>
        </w:rPr>
        <w:t>无力</w:t>
      </w:r>
      <w:r>
        <w:rPr>
          <w:spacing w:val="-46"/>
          <w:sz w:val="21"/>
        </w:rPr>
        <w:t>。</w:t>
      </w:r>
      <w:r>
        <w:rPr>
          <w:spacing w:val="-3"/>
          <w:sz w:val="21"/>
        </w:rPr>
        <w:t>脊</w:t>
      </w:r>
      <w:r>
        <w:rPr>
          <w:sz w:val="21"/>
        </w:rPr>
        <w:t>髓</w:t>
      </w:r>
      <w:r>
        <w:rPr>
          <w:spacing w:val="-3"/>
          <w:sz w:val="21"/>
        </w:rPr>
        <w:t>灰质</w:t>
      </w:r>
      <w:r>
        <w:rPr>
          <w:sz w:val="21"/>
        </w:rPr>
        <w:t>炎必</w:t>
      </w:r>
      <w:r>
        <w:rPr>
          <w:spacing w:val="-3"/>
          <w:sz w:val="21"/>
        </w:rPr>
        <w:t>须</w:t>
      </w:r>
      <w:r>
        <w:rPr>
          <w:sz w:val="21"/>
        </w:rPr>
        <w:t>明</w:t>
      </w:r>
      <w:r>
        <w:rPr>
          <w:spacing w:val="-3"/>
          <w:sz w:val="21"/>
        </w:rPr>
        <w:t>确</w:t>
      </w:r>
      <w:r>
        <w:rPr>
          <w:sz w:val="21"/>
        </w:rPr>
        <w:t>诊</w:t>
      </w:r>
      <w:r>
        <w:rPr>
          <w:spacing w:val="-3"/>
          <w:sz w:val="21"/>
        </w:rPr>
        <w:t>断</w:t>
      </w:r>
      <w:r>
        <w:rPr>
          <w:spacing w:val="-48"/>
          <w:sz w:val="21"/>
        </w:rPr>
        <w:t>。</w:t>
      </w:r>
      <w:r>
        <w:rPr>
          <w:sz w:val="21"/>
        </w:rPr>
        <w:t>本</w:t>
      </w:r>
      <w:r>
        <w:rPr>
          <w:spacing w:val="-3"/>
          <w:sz w:val="21"/>
        </w:rPr>
        <w:t>附加</w:t>
      </w:r>
      <w:r>
        <w:rPr>
          <w:sz w:val="21"/>
        </w:rPr>
        <w:t>合同</w:t>
      </w:r>
      <w:r>
        <w:rPr>
          <w:spacing w:val="-3"/>
          <w:sz w:val="21"/>
        </w:rPr>
        <w:t>仅</w:t>
      </w:r>
      <w:r>
        <w:rPr>
          <w:sz w:val="21"/>
        </w:rPr>
        <w:t>对</w:t>
      </w:r>
      <w:r>
        <w:rPr>
          <w:spacing w:val="-3"/>
          <w:sz w:val="21"/>
        </w:rPr>
        <w:t>脊</w:t>
      </w:r>
      <w:r>
        <w:rPr>
          <w:sz w:val="21"/>
        </w:rPr>
        <w:t>髓</w:t>
      </w:r>
      <w:r>
        <w:rPr>
          <w:spacing w:val="-3"/>
          <w:sz w:val="21"/>
        </w:rPr>
        <w:t>灰</w:t>
      </w:r>
      <w:r>
        <w:rPr>
          <w:sz w:val="21"/>
        </w:rPr>
        <w:t>质</w:t>
      </w:r>
      <w:r>
        <w:rPr>
          <w:spacing w:val="-3"/>
          <w:sz w:val="21"/>
        </w:rPr>
        <w:t>炎</w:t>
      </w:r>
      <w:r>
        <w:rPr>
          <w:sz w:val="21"/>
        </w:rPr>
        <w:t>造</w:t>
      </w:r>
      <w:r>
        <w:rPr>
          <w:spacing w:val="-3"/>
          <w:sz w:val="21"/>
        </w:rPr>
        <w:t>成</w:t>
      </w:r>
      <w:r>
        <w:rPr>
          <w:sz w:val="21"/>
        </w:rPr>
        <w:t>的神经系统</w:t>
      </w:r>
      <w:r>
        <w:rPr>
          <w:spacing w:val="-3"/>
          <w:sz w:val="21"/>
        </w:rPr>
        <w:t>功</w:t>
      </w:r>
      <w:r>
        <w:rPr>
          <w:sz w:val="21"/>
        </w:rPr>
        <w:t>能</w:t>
      </w:r>
      <w:r>
        <w:rPr>
          <w:spacing w:val="-3"/>
          <w:sz w:val="21"/>
        </w:rPr>
        <w:t>损</w:t>
      </w:r>
      <w:r>
        <w:rPr>
          <w:sz w:val="21"/>
        </w:rPr>
        <w:t>害</w:t>
      </w:r>
      <w:r>
        <w:rPr>
          <w:spacing w:val="-3"/>
          <w:sz w:val="21"/>
        </w:rPr>
        <w:t>导</w:t>
      </w:r>
      <w:r>
        <w:rPr>
          <w:sz w:val="21"/>
        </w:rPr>
        <w:t>致</w:t>
      </w:r>
      <w:r>
        <w:rPr>
          <w:spacing w:val="-3"/>
          <w:sz w:val="21"/>
        </w:rPr>
        <w:t>被</w:t>
      </w:r>
      <w:r>
        <w:rPr>
          <w:sz w:val="21"/>
        </w:rPr>
        <w:t>保</w:t>
      </w:r>
      <w:r>
        <w:rPr>
          <w:spacing w:val="-3"/>
          <w:sz w:val="21"/>
        </w:rPr>
        <w:t>险</w:t>
      </w:r>
      <w:r>
        <w:rPr>
          <w:sz w:val="21"/>
        </w:rPr>
        <w:t>人一</w:t>
      </w:r>
      <w:r>
        <w:rPr>
          <w:spacing w:val="-3"/>
          <w:sz w:val="21"/>
        </w:rPr>
        <w:t>肢</w:t>
      </w:r>
      <w:r>
        <w:rPr>
          <w:sz w:val="21"/>
        </w:rPr>
        <w:t>或</w:t>
      </w:r>
      <w:r>
        <w:rPr>
          <w:spacing w:val="-3"/>
          <w:sz w:val="21"/>
        </w:rPr>
        <w:t>一</w:t>
      </w:r>
      <w:r>
        <w:rPr>
          <w:sz w:val="21"/>
        </w:rPr>
        <w:t>肢</w:t>
      </w:r>
      <w:r>
        <w:rPr>
          <w:spacing w:val="-3"/>
          <w:sz w:val="21"/>
        </w:rPr>
        <w:t>以</w:t>
      </w:r>
      <w:r>
        <w:rPr>
          <w:sz w:val="21"/>
        </w:rPr>
        <w:t>上</w:t>
      </w:r>
      <w:r>
        <w:rPr>
          <w:spacing w:val="-3"/>
          <w:sz w:val="21"/>
        </w:rPr>
        <w:t>肢</w:t>
      </w:r>
      <w:r>
        <w:rPr>
          <w:sz w:val="21"/>
        </w:rPr>
        <w:t>体</w:t>
      </w:r>
      <w:r>
        <w:rPr>
          <w:spacing w:val="-3"/>
          <w:sz w:val="21"/>
        </w:rPr>
        <w:t>机</w:t>
      </w:r>
      <w:r>
        <w:rPr>
          <w:sz w:val="21"/>
        </w:rPr>
        <w:t>能永</w:t>
      </w:r>
      <w:r>
        <w:rPr>
          <w:spacing w:val="-3"/>
          <w:sz w:val="21"/>
        </w:rPr>
        <w:t>久</w:t>
      </w:r>
      <w:r>
        <w:rPr>
          <w:sz w:val="21"/>
        </w:rPr>
        <w:t>完</w:t>
      </w:r>
      <w:r>
        <w:rPr>
          <w:spacing w:val="-3"/>
          <w:sz w:val="21"/>
        </w:rPr>
        <w:t>全</w:t>
      </w:r>
      <w:r>
        <w:rPr>
          <w:sz w:val="21"/>
        </w:rPr>
        <w:t>丧</w:t>
      </w:r>
      <w:r>
        <w:rPr>
          <w:spacing w:val="-3"/>
          <w:sz w:val="21"/>
        </w:rPr>
        <w:t>失</w:t>
      </w:r>
      <w:r>
        <w:rPr>
          <w:sz w:val="21"/>
        </w:rPr>
        <w:t>的</w:t>
      </w:r>
      <w:r>
        <w:rPr>
          <w:spacing w:val="-3"/>
          <w:sz w:val="21"/>
        </w:rPr>
        <w:t>情</w:t>
      </w:r>
      <w:r>
        <w:rPr>
          <w:sz w:val="21"/>
        </w:rPr>
        <w:t>况</w:t>
      </w:r>
      <w:r>
        <w:rPr>
          <w:spacing w:val="-3"/>
          <w:sz w:val="21"/>
        </w:rPr>
        <w:t>予</w:t>
      </w:r>
      <w:r>
        <w:rPr>
          <w:sz w:val="21"/>
        </w:rPr>
        <w:t>以理赔</w:t>
      </w:r>
      <w:r>
        <w:rPr>
          <w:spacing w:val="-32"/>
          <w:sz w:val="21"/>
        </w:rPr>
        <w:t>。</w:t>
      </w:r>
      <w:r>
        <w:rPr>
          <w:spacing w:val="-3"/>
          <w:sz w:val="21"/>
        </w:rPr>
        <w:t>肢</w:t>
      </w:r>
      <w:r>
        <w:rPr>
          <w:sz w:val="21"/>
        </w:rPr>
        <w:t>体</w:t>
      </w:r>
      <w:r>
        <w:rPr>
          <w:spacing w:val="-3"/>
          <w:sz w:val="21"/>
        </w:rPr>
        <w:t>机</w:t>
      </w:r>
      <w:r>
        <w:rPr>
          <w:sz w:val="21"/>
        </w:rPr>
        <w:t>能</w:t>
      </w:r>
      <w:r>
        <w:rPr>
          <w:spacing w:val="-3"/>
          <w:sz w:val="21"/>
        </w:rPr>
        <w:t>永</w:t>
      </w:r>
      <w:r>
        <w:rPr>
          <w:sz w:val="21"/>
        </w:rPr>
        <w:t>久</w:t>
      </w:r>
      <w:r>
        <w:rPr>
          <w:spacing w:val="-3"/>
          <w:sz w:val="21"/>
        </w:rPr>
        <w:t>完</w:t>
      </w:r>
      <w:r>
        <w:rPr>
          <w:sz w:val="21"/>
        </w:rPr>
        <w:t>全</w:t>
      </w:r>
      <w:r>
        <w:rPr>
          <w:spacing w:val="-3"/>
          <w:sz w:val="21"/>
        </w:rPr>
        <w:t>丧</w:t>
      </w:r>
      <w:r>
        <w:rPr>
          <w:sz w:val="21"/>
        </w:rPr>
        <w:t>失</w:t>
      </w:r>
      <w:r>
        <w:rPr>
          <w:spacing w:val="-32"/>
          <w:sz w:val="21"/>
        </w:rPr>
        <w:t>，</w:t>
      </w:r>
      <w:r>
        <w:rPr>
          <w:spacing w:val="-3"/>
          <w:sz w:val="21"/>
        </w:rPr>
        <w:t>指</w:t>
      </w:r>
      <w:r>
        <w:rPr>
          <w:sz w:val="21"/>
        </w:rPr>
        <w:t>疾</w:t>
      </w:r>
      <w:r>
        <w:rPr>
          <w:spacing w:val="-3"/>
          <w:sz w:val="21"/>
        </w:rPr>
        <w:t>病</w:t>
      </w:r>
      <w:r>
        <w:rPr>
          <w:sz w:val="21"/>
        </w:rPr>
        <w:t>确诊</w:t>
      </w:r>
      <w:r>
        <w:rPr>
          <w:spacing w:val="-37"/>
          <w:sz w:val="21"/>
        </w:rPr>
        <w:t> </w:t>
      </w:r>
      <w:r>
        <w:rPr>
          <w:rFonts w:ascii="Times New Roman" w:eastAsia="Times New Roman"/>
          <w:sz w:val="21"/>
        </w:rPr>
        <w:t>180</w:t>
      </w:r>
      <w:r>
        <w:rPr>
          <w:rFonts w:ascii="Times New Roman" w:eastAsia="Times New Roman"/>
          <w:spacing w:val="15"/>
          <w:sz w:val="21"/>
        </w:rPr>
        <w:t> </w:t>
      </w:r>
      <w:r>
        <w:rPr>
          <w:sz w:val="21"/>
        </w:rPr>
        <w:t>日</w:t>
      </w:r>
      <w:r>
        <w:rPr>
          <w:spacing w:val="-3"/>
          <w:sz w:val="21"/>
        </w:rPr>
        <w:t>后</w:t>
      </w:r>
      <w:r>
        <w:rPr>
          <w:spacing w:val="-32"/>
          <w:sz w:val="21"/>
        </w:rPr>
        <w:t>，</w:t>
      </w:r>
      <w:r>
        <w:rPr>
          <w:sz w:val="21"/>
        </w:rPr>
        <w:t>每</w:t>
      </w:r>
      <w:r>
        <w:rPr>
          <w:spacing w:val="-3"/>
          <w:sz w:val="21"/>
        </w:rPr>
        <w:t>肢</w:t>
      </w:r>
      <w:r>
        <w:rPr>
          <w:sz w:val="21"/>
        </w:rPr>
        <w:t>三</w:t>
      </w:r>
      <w:r>
        <w:rPr>
          <w:spacing w:val="-3"/>
          <w:sz w:val="21"/>
        </w:rPr>
        <w:t>大</w:t>
      </w:r>
      <w:r>
        <w:rPr>
          <w:sz w:val="21"/>
        </w:rPr>
        <w:t>关</w:t>
      </w:r>
      <w:r>
        <w:rPr>
          <w:spacing w:val="-3"/>
          <w:sz w:val="21"/>
        </w:rPr>
        <w:t>节</w:t>
      </w:r>
      <w:r>
        <w:rPr>
          <w:sz w:val="21"/>
        </w:rPr>
        <w:t>中</w:t>
      </w:r>
      <w:r>
        <w:rPr>
          <w:spacing w:val="-3"/>
          <w:sz w:val="21"/>
        </w:rPr>
        <w:t>的</w:t>
      </w:r>
      <w:r>
        <w:rPr>
          <w:sz w:val="21"/>
        </w:rPr>
        <w:t>两</w:t>
      </w:r>
      <w:r>
        <w:rPr>
          <w:spacing w:val="-3"/>
          <w:sz w:val="21"/>
        </w:rPr>
        <w:t>大</w:t>
      </w:r>
      <w:r>
        <w:rPr>
          <w:sz w:val="21"/>
        </w:rPr>
        <w:t>关节仍然完</w:t>
      </w:r>
      <w:r>
        <w:rPr>
          <w:spacing w:val="-3"/>
          <w:sz w:val="21"/>
        </w:rPr>
        <w:t>全</w:t>
      </w:r>
      <w:r>
        <w:rPr>
          <w:sz w:val="21"/>
        </w:rPr>
        <w:t>僵</w:t>
      </w:r>
      <w:r>
        <w:rPr>
          <w:spacing w:val="-3"/>
          <w:sz w:val="21"/>
        </w:rPr>
        <w:t>硬</w:t>
      </w:r>
      <w:r>
        <w:rPr>
          <w:sz w:val="21"/>
        </w:rPr>
        <w:t>，</w:t>
      </w:r>
      <w:r>
        <w:rPr>
          <w:spacing w:val="-3"/>
          <w:sz w:val="21"/>
        </w:rPr>
        <w:t>或</w:t>
      </w:r>
      <w:r>
        <w:rPr>
          <w:sz w:val="21"/>
        </w:rPr>
        <w:t>不</w:t>
      </w:r>
      <w:r>
        <w:rPr>
          <w:spacing w:val="-3"/>
          <w:sz w:val="21"/>
        </w:rPr>
        <w:t>能</w:t>
      </w:r>
      <w:r>
        <w:rPr>
          <w:sz w:val="21"/>
        </w:rPr>
        <w:t>随</w:t>
      </w:r>
      <w:r>
        <w:rPr>
          <w:spacing w:val="-3"/>
          <w:sz w:val="21"/>
        </w:rPr>
        <w:t>意</w:t>
      </w:r>
      <w:r>
        <w:rPr>
          <w:sz w:val="21"/>
        </w:rPr>
        <w:t>识活</w:t>
      </w:r>
      <w:r>
        <w:rPr>
          <w:spacing w:val="-3"/>
          <w:sz w:val="21"/>
        </w:rPr>
        <w:t>动</w:t>
      </w:r>
      <w:r>
        <w:rPr>
          <w:sz w:val="21"/>
        </w:rPr>
        <w:t>。</w:t>
      </w:r>
    </w:p>
    <w:p>
      <w:pPr>
        <w:pStyle w:val="ListParagraph"/>
        <w:numPr>
          <w:ilvl w:val="0"/>
          <w:numId w:val="4"/>
        </w:numPr>
        <w:tabs>
          <w:tab w:pos="476" w:val="left" w:leader="none"/>
          <w:tab w:pos="2446" w:val="left" w:leader="none"/>
        </w:tabs>
        <w:spacing w:line="240" w:lineRule="auto" w:before="15" w:after="0"/>
        <w:ind w:left="2681" w:right="0" w:hanging="2576"/>
        <w:jc w:val="left"/>
        <w:rPr>
          <w:sz w:val="21"/>
        </w:rPr>
      </w:pPr>
      <w:r>
        <w:rPr>
          <w:spacing w:val="-3"/>
          <w:sz w:val="21"/>
        </w:rPr>
        <w:t>全</w:t>
      </w:r>
      <w:r>
        <w:rPr>
          <w:sz w:val="21"/>
        </w:rPr>
        <w:t>身</w:t>
      </w:r>
      <w:r>
        <w:rPr>
          <w:spacing w:val="-3"/>
          <w:sz w:val="21"/>
        </w:rPr>
        <w:t>性</w:t>
      </w:r>
      <w:r>
        <w:rPr>
          <w:sz w:val="21"/>
        </w:rPr>
        <w:t>重</w:t>
      </w:r>
      <w:r>
        <w:rPr>
          <w:spacing w:val="-3"/>
          <w:sz w:val="21"/>
        </w:rPr>
        <w:t>症</w:t>
      </w:r>
      <w:r>
        <w:rPr>
          <w:sz w:val="21"/>
        </w:rPr>
        <w:t>肌</w:t>
      </w:r>
      <w:r>
        <w:rPr>
          <w:spacing w:val="-3"/>
          <w:sz w:val="21"/>
        </w:rPr>
        <w:t>无</w:t>
      </w:r>
      <w:r>
        <w:rPr>
          <w:sz w:val="21"/>
        </w:rPr>
        <w:t>力</w:t>
        <w:tab/>
        <w:t>：</w:t>
      </w:r>
      <w:r>
        <w:rPr>
          <w:spacing w:val="-40"/>
          <w:sz w:val="21"/>
        </w:rPr>
        <w:t> </w:t>
      </w:r>
      <w:r>
        <w:rPr>
          <w:sz w:val="21"/>
        </w:rPr>
        <w:t>重症</w:t>
      </w:r>
      <w:r>
        <w:rPr>
          <w:spacing w:val="-3"/>
          <w:sz w:val="21"/>
        </w:rPr>
        <w:t>肌</w:t>
      </w:r>
      <w:r>
        <w:rPr>
          <w:sz w:val="21"/>
        </w:rPr>
        <w:t>无</w:t>
      </w:r>
      <w:r>
        <w:rPr>
          <w:spacing w:val="-3"/>
          <w:sz w:val="21"/>
        </w:rPr>
        <w:t>力</w:t>
      </w:r>
      <w:r>
        <w:rPr>
          <w:sz w:val="21"/>
        </w:rPr>
        <w:t>是</w:t>
      </w:r>
      <w:r>
        <w:rPr>
          <w:spacing w:val="-3"/>
          <w:sz w:val="21"/>
        </w:rPr>
        <w:t>一</w:t>
      </w:r>
      <w:r>
        <w:rPr>
          <w:sz w:val="21"/>
        </w:rPr>
        <w:t>种</w:t>
      </w:r>
      <w:r>
        <w:rPr>
          <w:spacing w:val="-3"/>
          <w:sz w:val="21"/>
        </w:rPr>
        <w:t>神</w:t>
      </w:r>
      <w:r>
        <w:rPr>
          <w:sz w:val="21"/>
        </w:rPr>
        <w:t>经</w:t>
      </w:r>
      <w:r>
        <w:rPr>
          <w:spacing w:val="-3"/>
          <w:sz w:val="21"/>
        </w:rPr>
        <w:t>肌</w:t>
      </w:r>
      <w:r>
        <w:rPr>
          <w:sz w:val="21"/>
        </w:rPr>
        <w:t>肉接</w:t>
      </w:r>
      <w:r>
        <w:rPr>
          <w:spacing w:val="-3"/>
          <w:sz w:val="21"/>
        </w:rPr>
        <w:t>头</w:t>
      </w:r>
      <w:r>
        <w:rPr>
          <w:sz w:val="21"/>
        </w:rPr>
        <w:t>传</w:t>
      </w:r>
      <w:r>
        <w:rPr>
          <w:spacing w:val="-3"/>
          <w:sz w:val="21"/>
        </w:rPr>
        <w:t>递</w:t>
      </w:r>
      <w:r>
        <w:rPr>
          <w:sz w:val="21"/>
        </w:rPr>
        <w:t>障</w:t>
      </w:r>
      <w:r>
        <w:rPr>
          <w:spacing w:val="-3"/>
          <w:sz w:val="21"/>
        </w:rPr>
        <w:t>碍</w:t>
      </w:r>
      <w:r>
        <w:rPr>
          <w:sz w:val="21"/>
        </w:rPr>
        <w:t>所</w:t>
      </w:r>
      <w:r>
        <w:rPr>
          <w:spacing w:val="-3"/>
          <w:sz w:val="21"/>
        </w:rPr>
        <w:t>致</w:t>
      </w:r>
      <w:r>
        <w:rPr>
          <w:sz w:val="21"/>
        </w:rPr>
        <w:t>的</w:t>
      </w:r>
      <w:r>
        <w:rPr>
          <w:spacing w:val="-3"/>
          <w:sz w:val="21"/>
        </w:rPr>
        <w:t>疾</w:t>
      </w:r>
      <w:r>
        <w:rPr>
          <w:sz w:val="21"/>
        </w:rPr>
        <w:t>病，</w:t>
      </w:r>
      <w:r>
        <w:rPr>
          <w:spacing w:val="-3"/>
          <w:sz w:val="21"/>
        </w:rPr>
        <w:t>表</w:t>
      </w:r>
      <w:r>
        <w:rPr>
          <w:sz w:val="21"/>
        </w:rPr>
        <w:t>现</w:t>
      </w:r>
      <w:r>
        <w:rPr>
          <w:spacing w:val="-3"/>
          <w:sz w:val="21"/>
        </w:rPr>
        <w:t>为</w:t>
      </w:r>
      <w:r>
        <w:rPr>
          <w:sz w:val="21"/>
        </w:rPr>
        <w:t>局</w:t>
      </w:r>
      <w:r>
        <w:rPr>
          <w:spacing w:val="-3"/>
          <w:sz w:val="21"/>
        </w:rPr>
        <w:t>部</w:t>
      </w:r>
      <w:r>
        <w:rPr>
          <w:sz w:val="21"/>
        </w:rPr>
        <w:t>或全身</w:t>
      </w:r>
      <w:r>
        <w:rPr>
          <w:spacing w:val="-3"/>
          <w:sz w:val="21"/>
        </w:rPr>
        <w:t>骨</w:t>
      </w:r>
      <w:r>
        <w:rPr>
          <w:sz w:val="21"/>
        </w:rPr>
        <w:t>骼肌</w:t>
      </w:r>
    </w:p>
    <w:p>
      <w:pPr>
        <w:spacing w:after="0" w:line="240" w:lineRule="auto"/>
        <w:jc w:val="left"/>
        <w:rPr>
          <w:sz w:val="21"/>
        </w:rPr>
        <w:sectPr>
          <w:type w:val="continuous"/>
          <w:pgSz w:w="11910" w:h="16160"/>
          <w:pgMar w:top="420" w:bottom="280" w:left="900" w:right="6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4"/>
        <w:gridCol w:w="330"/>
        <w:gridCol w:w="7687"/>
      </w:tblGrid>
      <w:tr>
        <w:trPr>
          <w:trHeight w:val="1506" w:hRule="atLeast"/>
        </w:trPr>
        <w:tc>
          <w:tcPr>
            <w:tcW w:w="2434" w:type="dxa"/>
          </w:tcPr>
          <w:p>
            <w:pPr>
              <w:pStyle w:val="TableParagraph"/>
              <w:ind w:left="0"/>
              <w:rPr>
                <w:rFonts w:ascii="Times New Roman"/>
                <w:sz w:val="20"/>
              </w:rPr>
            </w:pPr>
          </w:p>
        </w:tc>
        <w:tc>
          <w:tcPr>
            <w:tcW w:w="330" w:type="dxa"/>
          </w:tcPr>
          <w:p>
            <w:pPr>
              <w:pStyle w:val="TableParagraph"/>
              <w:ind w:left="0"/>
              <w:rPr>
                <w:rFonts w:ascii="Times New Roman"/>
                <w:sz w:val="20"/>
              </w:rPr>
            </w:pPr>
          </w:p>
        </w:tc>
        <w:tc>
          <w:tcPr>
            <w:tcW w:w="7687" w:type="dxa"/>
          </w:tcPr>
          <w:p>
            <w:pPr>
              <w:pStyle w:val="TableParagraph"/>
              <w:spacing w:line="202" w:lineRule="exact"/>
              <w:rPr>
                <w:sz w:val="21"/>
              </w:rPr>
            </w:pPr>
            <w:r>
              <w:rPr>
                <w:sz w:val="21"/>
              </w:rPr>
              <w:t>（特别是眼外肌）极易疲劳。疾病可以累及呼吸肌、上肢或下肢的近端肌群或全身</w:t>
            </w:r>
          </w:p>
          <w:p>
            <w:pPr>
              <w:pStyle w:val="TableParagraph"/>
              <w:spacing w:before="37"/>
              <w:rPr>
                <w:sz w:val="21"/>
              </w:rPr>
            </w:pPr>
            <w:r>
              <w:rPr>
                <w:sz w:val="21"/>
              </w:rPr>
              <w:t>肌肉，必须满足下列全部条件：</w:t>
            </w:r>
          </w:p>
          <w:p>
            <w:pPr>
              <w:pStyle w:val="TableParagraph"/>
              <w:spacing w:before="36"/>
              <w:rPr>
                <w:sz w:val="21"/>
              </w:rPr>
            </w:pPr>
            <w:r>
              <w:rPr>
                <w:sz w:val="21"/>
              </w:rPr>
              <w:t>（</w:t>
            </w:r>
            <w:r>
              <w:rPr>
                <w:rFonts w:ascii="Times New Roman" w:eastAsia="Times New Roman"/>
                <w:sz w:val="21"/>
              </w:rPr>
              <w:t>1</w:t>
            </w:r>
            <w:r>
              <w:rPr>
                <w:sz w:val="21"/>
              </w:rPr>
              <w:t>）经药物治疗和胸腺切除治疗一年以上仍无法控制病情；</w:t>
            </w:r>
          </w:p>
          <w:p>
            <w:pPr>
              <w:pStyle w:val="TableParagraph"/>
              <w:spacing w:line="256" w:lineRule="auto" w:before="20"/>
              <w:ind w:left="566" w:right="200" w:hanging="540"/>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tc>
      </w:tr>
      <w:tr>
        <w:trPr>
          <w:trHeight w:val="936" w:hRule="atLeast"/>
        </w:trPr>
        <w:tc>
          <w:tcPr>
            <w:tcW w:w="2434" w:type="dxa"/>
          </w:tcPr>
          <w:p>
            <w:pPr>
              <w:pStyle w:val="TableParagraph"/>
              <w:spacing w:line="272" w:lineRule="exact"/>
              <w:ind w:left="200"/>
              <w:rPr>
                <w:sz w:val="21"/>
              </w:rPr>
            </w:pPr>
            <w:r>
              <w:rPr>
                <w:rFonts w:ascii="Times New Roman" w:eastAsia="Times New Roman"/>
                <w:sz w:val="21"/>
              </w:rPr>
              <w:t>32.  </w:t>
            </w:r>
            <w:r>
              <w:rPr>
                <w:sz w:val="21"/>
              </w:rPr>
              <w:t>严重心肌病</w:t>
            </w:r>
          </w:p>
        </w:tc>
        <w:tc>
          <w:tcPr>
            <w:tcW w:w="330" w:type="dxa"/>
          </w:tcPr>
          <w:p>
            <w:pPr>
              <w:pStyle w:val="TableParagraph"/>
              <w:spacing w:line="256" w:lineRule="exact"/>
              <w:ind w:left="0" w:right="9"/>
              <w:jc w:val="right"/>
              <w:rPr>
                <w:sz w:val="21"/>
              </w:rPr>
            </w:pPr>
            <w:r>
              <w:rPr>
                <w:w w:val="100"/>
                <w:sz w:val="21"/>
              </w:rPr>
              <w:t>：</w:t>
            </w:r>
          </w:p>
        </w:tc>
        <w:tc>
          <w:tcPr>
            <w:tcW w:w="7687" w:type="dxa"/>
          </w:tcPr>
          <w:p>
            <w:pPr>
              <w:pStyle w:val="TableParagraph"/>
              <w:spacing w:line="256" w:lineRule="exact"/>
              <w:rPr>
                <w:sz w:val="21"/>
              </w:rPr>
            </w:pPr>
            <w:r>
              <w:rPr>
                <w:sz w:val="21"/>
              </w:rPr>
              <w:t>指被保人因心肌病导致慢性心功能损害造成永久不可逆性的心功能衰竭。心功能衰</w:t>
            </w:r>
          </w:p>
          <w:p>
            <w:pPr>
              <w:pStyle w:val="TableParagraph"/>
              <w:spacing w:line="256" w:lineRule="auto" w:before="37"/>
              <w:ind w:right="137"/>
              <w:rPr>
                <w:sz w:val="21"/>
              </w:rPr>
            </w:pPr>
            <w:r>
              <w:rPr>
                <w:sz w:val="21"/>
              </w:rPr>
              <w:t>竭程度达到纽约心脏病学会的心功能分级标准之心功能 </w:t>
            </w:r>
            <w:r>
              <w:rPr>
                <w:rFonts w:ascii="Times New Roman" w:eastAsia="Times New Roman"/>
                <w:sz w:val="21"/>
              </w:rPr>
              <w:t>IV </w:t>
            </w:r>
            <w:r>
              <w:rPr>
                <w:sz w:val="21"/>
              </w:rPr>
              <w:t>级。被保险人永久不可逆性的体力活动能力受限，不能从事任何体力活动。</w:t>
            </w:r>
          </w:p>
        </w:tc>
      </w:tr>
      <w:tr>
        <w:trPr>
          <w:trHeight w:val="936" w:hRule="atLeast"/>
        </w:trPr>
        <w:tc>
          <w:tcPr>
            <w:tcW w:w="2434" w:type="dxa"/>
          </w:tcPr>
          <w:p>
            <w:pPr>
              <w:pStyle w:val="TableParagraph"/>
              <w:spacing w:line="272" w:lineRule="exact"/>
              <w:ind w:left="200"/>
              <w:rPr>
                <w:sz w:val="21"/>
              </w:rPr>
            </w:pPr>
            <w:r>
              <w:rPr>
                <w:rFonts w:ascii="Times New Roman" w:eastAsia="Times New Roman"/>
                <w:sz w:val="21"/>
              </w:rPr>
              <w:t>33.  </w:t>
            </w:r>
            <w:r>
              <w:rPr>
                <w:sz w:val="21"/>
              </w:rPr>
              <w:t>严 重 克 罗 恩 病</w:t>
            </w:r>
          </w:p>
          <w:p>
            <w:pPr>
              <w:pStyle w:val="TableParagraph"/>
              <w:spacing w:before="21"/>
              <w:ind w:left="200"/>
              <w:rPr>
                <w:sz w:val="21"/>
              </w:rPr>
            </w:pPr>
            <w:r>
              <w:rPr>
                <w:sz w:val="21"/>
              </w:rPr>
              <w:t>（</w:t>
            </w:r>
            <w:r>
              <w:rPr>
                <w:rFonts w:ascii="Times New Roman" w:hAnsi="Times New Roman" w:eastAsia="Times New Roman"/>
                <w:sz w:val="21"/>
              </w:rPr>
              <w:t>Crohn’s </w:t>
            </w:r>
            <w:r>
              <w:rPr>
                <w:sz w:val="21"/>
              </w:rPr>
              <w:t>病）</w:t>
            </w:r>
          </w:p>
        </w:tc>
        <w:tc>
          <w:tcPr>
            <w:tcW w:w="330" w:type="dxa"/>
          </w:tcPr>
          <w:p>
            <w:pPr>
              <w:pStyle w:val="TableParagraph"/>
              <w:spacing w:line="256" w:lineRule="exact"/>
              <w:ind w:left="0" w:right="9"/>
              <w:jc w:val="right"/>
              <w:rPr>
                <w:sz w:val="21"/>
              </w:rPr>
            </w:pPr>
            <w:r>
              <w:rPr>
                <w:w w:val="100"/>
                <w:sz w:val="21"/>
              </w:rPr>
              <w:t>：</w:t>
            </w:r>
          </w:p>
        </w:tc>
        <w:tc>
          <w:tcPr>
            <w:tcW w:w="7687" w:type="dxa"/>
          </w:tcPr>
          <w:p>
            <w:pPr>
              <w:pStyle w:val="TableParagraph"/>
              <w:spacing w:line="256" w:lineRule="exact"/>
              <w:rPr>
                <w:sz w:val="21"/>
              </w:rPr>
            </w:pPr>
            <w:r>
              <w:rPr>
                <w:sz w:val="21"/>
              </w:rPr>
              <w:t>克罗恩病是一种慢性肉芽肿性肠炎，具有特征性的克罗恩病病理组织学变化。诊断</w:t>
            </w:r>
          </w:p>
          <w:p>
            <w:pPr>
              <w:pStyle w:val="TableParagraph"/>
              <w:spacing w:line="273" w:lineRule="auto" w:before="37"/>
              <w:ind w:right="197"/>
              <w:rPr>
                <w:sz w:val="21"/>
              </w:rPr>
            </w:pPr>
            <w:r>
              <w:rPr>
                <w:spacing w:val="-11"/>
                <w:sz w:val="21"/>
              </w:rPr>
              <w:t>必须由病理检查结果证实。被保险人所患的克罗恩病必须已经造成瘘管形成并伴有</w:t>
            </w:r>
            <w:r>
              <w:rPr>
                <w:spacing w:val="-6"/>
                <w:sz w:val="21"/>
              </w:rPr>
              <w:t>肠梗阻或肠穿孔。</w:t>
            </w:r>
          </w:p>
        </w:tc>
      </w:tr>
      <w:tr>
        <w:trPr>
          <w:trHeight w:val="1256" w:hRule="atLeast"/>
        </w:trPr>
        <w:tc>
          <w:tcPr>
            <w:tcW w:w="2434" w:type="dxa"/>
          </w:tcPr>
          <w:p>
            <w:pPr>
              <w:pStyle w:val="TableParagraph"/>
              <w:spacing w:line="272" w:lineRule="exact"/>
              <w:ind w:left="200"/>
              <w:rPr>
                <w:sz w:val="21"/>
              </w:rPr>
            </w:pPr>
            <w:r>
              <w:rPr>
                <w:rFonts w:ascii="Times New Roman" w:eastAsia="Times New Roman"/>
                <w:sz w:val="21"/>
              </w:rPr>
              <w:t>34.  </w:t>
            </w:r>
            <w:r>
              <w:rPr>
                <w:sz w:val="21"/>
              </w:rPr>
              <w:t>严重溃疡性结肠炎</w:t>
            </w:r>
          </w:p>
        </w:tc>
        <w:tc>
          <w:tcPr>
            <w:tcW w:w="330" w:type="dxa"/>
          </w:tcPr>
          <w:p>
            <w:pPr>
              <w:pStyle w:val="TableParagraph"/>
              <w:spacing w:line="256" w:lineRule="exact"/>
              <w:ind w:left="0" w:right="9"/>
              <w:jc w:val="right"/>
              <w:rPr>
                <w:sz w:val="21"/>
              </w:rPr>
            </w:pPr>
            <w:r>
              <w:rPr>
                <w:w w:val="100"/>
                <w:sz w:val="21"/>
              </w:rPr>
              <w:t>：</w:t>
            </w:r>
          </w:p>
        </w:tc>
        <w:tc>
          <w:tcPr>
            <w:tcW w:w="7687" w:type="dxa"/>
          </w:tcPr>
          <w:p>
            <w:pPr>
              <w:pStyle w:val="TableParagraph"/>
              <w:spacing w:line="256" w:lineRule="exact"/>
              <w:rPr>
                <w:sz w:val="21"/>
              </w:rPr>
            </w:pPr>
            <w:r>
              <w:rPr>
                <w:sz w:val="21"/>
              </w:rPr>
              <w:t>本附加合同保障的溃疡性结肠炎是指伴有致命性电解质紊乱的急性暴发性溃疡性</w:t>
            </w:r>
          </w:p>
          <w:p>
            <w:pPr>
              <w:pStyle w:val="TableParagraph"/>
              <w:spacing w:line="273" w:lineRule="auto" w:before="37"/>
              <w:ind w:right="198"/>
              <w:jc w:val="both"/>
              <w:rPr>
                <w:sz w:val="21"/>
              </w:rPr>
            </w:pPr>
            <w:r>
              <w:rPr>
                <w:spacing w:val="-11"/>
                <w:sz w:val="21"/>
              </w:rPr>
              <w:t>结肠炎，病变累及全结肠，表现为严重的血便和系统性症状体征，治疗通常采取全</w:t>
            </w:r>
            <w:r>
              <w:rPr>
                <w:spacing w:val="-12"/>
                <w:sz w:val="21"/>
              </w:rPr>
              <w:t>结肠切除和回肠造瘘术。溃疡性结肠炎必须根据组织病理学特点诊断，并且被保险</w:t>
            </w:r>
            <w:r>
              <w:rPr>
                <w:spacing w:val="-6"/>
                <w:sz w:val="21"/>
              </w:rPr>
              <w:t>人已经接受了结肠切除和</w:t>
            </w:r>
            <w:r>
              <w:rPr>
                <w:rFonts w:ascii="Times New Roman" w:eastAsia="Times New Roman"/>
                <w:spacing w:val="-4"/>
                <w:sz w:val="21"/>
              </w:rPr>
              <w:t>/</w:t>
            </w:r>
            <w:r>
              <w:rPr>
                <w:spacing w:val="-2"/>
                <w:sz w:val="21"/>
              </w:rPr>
              <w:t>或回肠造瘘术。</w:t>
            </w:r>
          </w:p>
        </w:tc>
      </w:tr>
      <w:tr>
        <w:trPr>
          <w:trHeight w:val="1208" w:hRule="atLeast"/>
        </w:trPr>
        <w:tc>
          <w:tcPr>
            <w:tcW w:w="2434" w:type="dxa"/>
          </w:tcPr>
          <w:p>
            <w:pPr>
              <w:pStyle w:val="TableParagraph"/>
              <w:spacing w:line="264" w:lineRule="exact"/>
              <w:ind w:left="200"/>
              <w:rPr>
                <w:sz w:val="21"/>
              </w:rPr>
            </w:pPr>
            <w:r>
              <w:rPr>
                <w:rFonts w:ascii="Times New Roman" w:eastAsia="Times New Roman"/>
                <w:sz w:val="21"/>
              </w:rPr>
              <w:t>35.  </w:t>
            </w:r>
            <w:r>
              <w:rPr>
                <w:sz w:val="21"/>
              </w:rPr>
              <w:t>植物人状态</w:t>
            </w:r>
          </w:p>
        </w:tc>
        <w:tc>
          <w:tcPr>
            <w:tcW w:w="330" w:type="dxa"/>
          </w:tcPr>
          <w:p>
            <w:pPr>
              <w:pStyle w:val="TableParagraph"/>
              <w:spacing w:line="248" w:lineRule="exact"/>
              <w:ind w:left="0" w:right="9"/>
              <w:jc w:val="right"/>
              <w:rPr>
                <w:sz w:val="21"/>
              </w:rPr>
            </w:pPr>
            <w:r>
              <w:rPr>
                <w:w w:val="100"/>
                <w:sz w:val="21"/>
              </w:rPr>
              <w:t>：</w:t>
            </w:r>
          </w:p>
        </w:tc>
        <w:tc>
          <w:tcPr>
            <w:tcW w:w="7687" w:type="dxa"/>
          </w:tcPr>
          <w:p>
            <w:pPr>
              <w:pStyle w:val="TableParagraph"/>
              <w:spacing w:line="264" w:lineRule="exact"/>
              <w:rPr>
                <w:sz w:val="21"/>
              </w:rPr>
            </w:pPr>
            <w:r>
              <w:rPr>
                <w:sz w:val="21"/>
              </w:rPr>
              <w:t>植物人状态系指由于严重颅脑外伤造成大脑和</w:t>
            </w:r>
            <w:r>
              <w:rPr>
                <w:rFonts w:ascii="Times New Roman" w:eastAsia="Times New Roman"/>
                <w:sz w:val="21"/>
              </w:rPr>
              <w:t>/</w:t>
            </w:r>
            <w:r>
              <w:rPr>
                <w:sz w:val="21"/>
              </w:rPr>
              <w:t>或脑干严重损害导致完全永久性的</w:t>
            </w:r>
          </w:p>
          <w:p>
            <w:pPr>
              <w:pStyle w:val="TableParagraph"/>
              <w:spacing w:line="273" w:lineRule="auto" w:before="21"/>
              <w:ind w:right="198"/>
              <w:rPr>
                <w:sz w:val="21"/>
              </w:rPr>
            </w:pPr>
            <w:r>
              <w:rPr>
                <w:spacing w:val="-7"/>
                <w:sz w:val="21"/>
              </w:rPr>
              <w:t>对自身和环境的意识丧失和中枢神经系统功能丧失，仅残存植物神经功能的疾病状</w:t>
            </w:r>
            <w:r>
              <w:rPr>
                <w:spacing w:val="-5"/>
                <w:sz w:val="21"/>
              </w:rPr>
              <w:t>态。诊断必须明确并且具有严重颅脑外伤和脑损害的证据。植物人状态必须持续</w:t>
            </w:r>
          </w:p>
          <w:p>
            <w:pPr>
              <w:pStyle w:val="TableParagraph"/>
              <w:spacing w:line="280" w:lineRule="exact" w:before="7"/>
              <w:rPr>
                <w:sz w:val="21"/>
              </w:rPr>
            </w:pPr>
            <w:r>
              <w:rPr>
                <w:rFonts w:ascii="Times New Roman" w:eastAsia="Times New Roman"/>
                <w:sz w:val="21"/>
              </w:rPr>
              <w:t>30 </w:t>
            </w:r>
            <w:r>
              <w:rPr>
                <w:sz w:val="21"/>
              </w:rPr>
              <w:t>日以上方可申请理赔。</w:t>
            </w:r>
          </w:p>
        </w:tc>
      </w:tr>
    </w:tbl>
    <w:p>
      <w:pPr>
        <w:pStyle w:val="BodyText"/>
        <w:rPr>
          <w:sz w:val="22"/>
        </w:rPr>
      </w:pPr>
    </w:p>
    <w:p>
      <w:pPr>
        <w:pStyle w:val="Heading2"/>
        <w:tabs>
          <w:tab w:pos="1457" w:val="left" w:leader="none"/>
        </w:tabs>
        <w:spacing w:before="36"/>
        <w:ind w:left="377"/>
      </w:pPr>
      <w:bookmarkStart w:name="_bookmark22" w:id="23"/>
      <w:bookmarkEnd w:id="23"/>
      <w:r>
        <w:rPr>
          <w:b w:val="0"/>
        </w:rPr>
      </w:r>
      <w:r>
        <w:rPr/>
        <w:t>第十七条</w:t>
        <w:tab/>
        <w:t>高发重大疾病的种</w:t>
      </w:r>
      <w:r>
        <w:rPr>
          <w:spacing w:val="-3"/>
        </w:rPr>
        <w:t>类</w:t>
      </w:r>
      <w:r>
        <w:rPr/>
        <w:t>及</w:t>
      </w:r>
      <w:r>
        <w:rPr>
          <w:spacing w:val="-3"/>
        </w:rPr>
        <w:t>定</w:t>
      </w:r>
      <w:r>
        <w:rPr/>
        <w:t>义</w:t>
      </w:r>
    </w:p>
    <w:p>
      <w:pPr>
        <w:pStyle w:val="BodyText"/>
        <w:spacing w:line="273" w:lineRule="auto" w:before="36"/>
        <w:ind w:left="377" w:right="380" w:firstLine="420"/>
      </w:pPr>
      <w:r>
        <w:rPr/>
        <w:t>本附加合同所保障的高发重大疾病，是指被保险人经专科医生明确诊断初次发生下列疾病或初次达到下列疾病状态。</w:t>
      </w:r>
    </w:p>
    <w:p>
      <w:pPr>
        <w:pStyle w:val="BodyText"/>
        <w:spacing w:before="7"/>
        <w:ind w:left="798"/>
      </w:pPr>
      <w:r>
        <w:rPr/>
        <w:t>本附加合同所保障的高发重大疾病包括 </w:t>
      </w:r>
      <w:r>
        <w:rPr>
          <w:rFonts w:ascii="Times New Roman" w:eastAsia="Times New Roman"/>
        </w:rPr>
        <w:t>6 </w:t>
      </w:r>
      <w:r>
        <w:rPr/>
        <w:t>种，其中成年男性高发疾病 </w:t>
      </w:r>
      <w:r>
        <w:rPr>
          <w:rFonts w:ascii="Times New Roman" w:eastAsia="Times New Roman"/>
        </w:rPr>
        <w:t>2 </w:t>
      </w:r>
      <w:r>
        <w:rPr/>
        <w:t>种，成年女性高发疾病 </w:t>
      </w:r>
      <w:r>
        <w:rPr>
          <w:rFonts w:ascii="Times New Roman" w:eastAsia="Times New Roman"/>
        </w:rPr>
        <w:t>2 </w:t>
      </w:r>
      <w:r>
        <w:rPr/>
        <w:t>种，少</w:t>
      </w:r>
    </w:p>
    <w:p>
      <w:pPr>
        <w:pStyle w:val="BodyText"/>
        <w:spacing w:before="21"/>
        <w:ind w:left="377"/>
      </w:pPr>
      <w:r>
        <w:rPr/>
        <w:t>儿高发疾病 </w:t>
      </w:r>
      <w:r>
        <w:rPr>
          <w:rFonts w:ascii="Times New Roman" w:eastAsia="Times New Roman"/>
        </w:rPr>
        <w:t>2 </w:t>
      </w:r>
      <w:r>
        <w:rPr/>
        <w:t>种。</w:t>
      </w:r>
    </w:p>
    <w:p>
      <w:pPr>
        <w:pStyle w:val="BodyText"/>
        <w:spacing w:before="12"/>
        <w:rPr>
          <w:sz w:val="5"/>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8"/>
        <w:gridCol w:w="945"/>
        <w:gridCol w:w="7263"/>
      </w:tblGrid>
      <w:tr>
        <w:trPr>
          <w:trHeight w:val="272" w:hRule="atLeast"/>
        </w:trPr>
        <w:tc>
          <w:tcPr>
            <w:tcW w:w="10026" w:type="dxa"/>
            <w:gridSpan w:val="3"/>
          </w:tcPr>
          <w:p>
            <w:pPr>
              <w:pStyle w:val="TableParagraph"/>
              <w:spacing w:line="234" w:lineRule="exact"/>
              <w:ind w:left="728"/>
              <w:rPr>
                <w:b/>
                <w:sz w:val="21"/>
              </w:rPr>
            </w:pPr>
            <w:r>
              <w:rPr>
                <w:b/>
                <w:sz w:val="21"/>
              </w:rPr>
              <w:t>成年男性高发重大疾病仅适用于经医院确诊初次患上肺癌或肝癌时年满 </w:t>
            </w:r>
            <w:r>
              <w:rPr>
                <w:rFonts w:ascii="Times New Roman" w:eastAsia="Times New Roman"/>
                <w:b/>
                <w:sz w:val="21"/>
              </w:rPr>
              <w:t>18 </w:t>
            </w:r>
            <w:r>
              <w:rPr>
                <w:b/>
                <w:sz w:val="21"/>
              </w:rPr>
              <w:t>周岁的男性被保险人。</w:t>
            </w:r>
          </w:p>
        </w:tc>
      </w:tr>
      <w:tr>
        <w:trPr>
          <w:trHeight w:val="1247" w:hRule="atLeast"/>
        </w:trPr>
        <w:tc>
          <w:tcPr>
            <w:tcW w:w="1818" w:type="dxa"/>
          </w:tcPr>
          <w:p>
            <w:pPr>
              <w:pStyle w:val="TableParagraph"/>
              <w:spacing w:line="273" w:lineRule="exact"/>
              <w:ind w:left="200"/>
              <w:rPr>
                <w:sz w:val="21"/>
              </w:rPr>
            </w:pPr>
            <w:r>
              <w:rPr>
                <w:rFonts w:ascii="Times New Roman" w:eastAsia="Times New Roman"/>
                <w:sz w:val="21"/>
              </w:rPr>
              <w:t>1.  </w:t>
            </w:r>
            <w:r>
              <w:rPr>
                <w:sz w:val="21"/>
              </w:rPr>
              <w:t>肺癌</w:t>
            </w:r>
          </w:p>
        </w:tc>
        <w:tc>
          <w:tcPr>
            <w:tcW w:w="945" w:type="dxa"/>
          </w:tcPr>
          <w:p>
            <w:pPr>
              <w:pStyle w:val="TableParagraph"/>
              <w:spacing w:line="257" w:lineRule="exact"/>
              <w:ind w:left="0" w:right="8"/>
              <w:jc w:val="right"/>
              <w:rPr>
                <w:sz w:val="21"/>
              </w:rPr>
            </w:pPr>
            <w:r>
              <w:rPr>
                <w:w w:val="100"/>
                <w:sz w:val="21"/>
              </w:rPr>
              <w:t>：</w:t>
            </w:r>
          </w:p>
        </w:tc>
        <w:tc>
          <w:tcPr>
            <w:tcW w:w="7263" w:type="dxa"/>
          </w:tcPr>
          <w:p>
            <w:pPr>
              <w:pStyle w:val="TableParagraph"/>
              <w:spacing w:line="257" w:lineRule="exact"/>
              <w:ind w:left="13"/>
              <w:rPr>
                <w:b/>
                <w:sz w:val="21"/>
              </w:rPr>
            </w:pPr>
            <w:r>
              <w:rPr>
                <w:sz w:val="21"/>
              </w:rPr>
              <w:t>原发于肺组织的恶性肿瘤，</w:t>
            </w:r>
            <w:r>
              <w:rPr>
                <w:b/>
                <w:sz w:val="21"/>
              </w:rPr>
              <w:t>不包括：</w:t>
            </w:r>
          </w:p>
          <w:p>
            <w:pPr>
              <w:pStyle w:val="TableParagraph"/>
              <w:spacing w:before="37"/>
              <w:ind w:left="13"/>
              <w:rPr>
                <w:b/>
                <w:sz w:val="21"/>
              </w:rPr>
            </w:pPr>
            <w:r>
              <w:rPr>
                <w:b/>
                <w:sz w:val="21"/>
              </w:rPr>
              <w:t>（</w:t>
            </w:r>
            <w:r>
              <w:rPr>
                <w:rFonts w:ascii="Times New Roman" w:eastAsia="Times New Roman"/>
                <w:b/>
                <w:sz w:val="21"/>
              </w:rPr>
              <w:t>1</w:t>
            </w:r>
            <w:r>
              <w:rPr>
                <w:b/>
                <w:sz w:val="21"/>
              </w:rPr>
              <w:t>）原位癌；</w:t>
            </w:r>
          </w:p>
          <w:p>
            <w:pPr>
              <w:pStyle w:val="TableParagraph"/>
              <w:spacing w:before="21"/>
              <w:ind w:left="13"/>
              <w:rPr>
                <w:b/>
                <w:sz w:val="21"/>
              </w:rPr>
            </w:pPr>
            <w:r>
              <w:rPr>
                <w:b/>
                <w:sz w:val="21"/>
              </w:rPr>
              <w:t>（</w:t>
            </w:r>
            <w:r>
              <w:rPr>
                <w:rFonts w:ascii="Times New Roman" w:eastAsia="Times New Roman"/>
                <w:b/>
                <w:sz w:val="21"/>
              </w:rPr>
              <w:t>2</w:t>
            </w:r>
            <w:r>
              <w:rPr>
                <w:b/>
                <w:sz w:val="21"/>
              </w:rPr>
              <w:t>）转移至肺的其他恶性肿瘤；</w:t>
            </w:r>
          </w:p>
          <w:p>
            <w:pPr>
              <w:pStyle w:val="TableParagraph"/>
              <w:spacing w:before="21"/>
              <w:ind w:left="13"/>
              <w:rPr>
                <w:b/>
                <w:sz w:val="21"/>
              </w:rPr>
            </w:pPr>
            <w:r>
              <w:rPr>
                <w:b/>
                <w:sz w:val="21"/>
              </w:rPr>
              <w:t>（</w:t>
            </w:r>
            <w:r>
              <w:rPr>
                <w:rFonts w:ascii="Times New Roman" w:eastAsia="Times New Roman"/>
                <w:b/>
                <w:sz w:val="21"/>
              </w:rPr>
              <w:t>3</w:t>
            </w:r>
            <w:r>
              <w:rPr>
                <w:b/>
                <w:sz w:val="21"/>
              </w:rPr>
              <w:t>）感染艾滋病病毒或患艾滋病期间所患恶性肿瘤。</w:t>
            </w:r>
          </w:p>
        </w:tc>
      </w:tr>
      <w:tr>
        <w:trPr>
          <w:trHeight w:val="1248" w:hRule="atLeast"/>
        </w:trPr>
        <w:tc>
          <w:tcPr>
            <w:tcW w:w="1818" w:type="dxa"/>
          </w:tcPr>
          <w:p>
            <w:pPr>
              <w:pStyle w:val="TableParagraph"/>
              <w:spacing w:line="273" w:lineRule="exact"/>
              <w:ind w:left="200"/>
              <w:rPr>
                <w:sz w:val="21"/>
              </w:rPr>
            </w:pPr>
            <w:r>
              <w:rPr>
                <w:rFonts w:ascii="Times New Roman" w:eastAsia="Times New Roman"/>
                <w:sz w:val="21"/>
              </w:rPr>
              <w:t>2.  </w:t>
            </w:r>
            <w:r>
              <w:rPr>
                <w:sz w:val="21"/>
              </w:rPr>
              <w:t>肝癌</w:t>
            </w:r>
          </w:p>
        </w:tc>
        <w:tc>
          <w:tcPr>
            <w:tcW w:w="945" w:type="dxa"/>
          </w:tcPr>
          <w:p>
            <w:pPr>
              <w:pStyle w:val="TableParagraph"/>
              <w:spacing w:line="257" w:lineRule="exact"/>
              <w:ind w:left="0" w:right="8"/>
              <w:jc w:val="right"/>
              <w:rPr>
                <w:sz w:val="21"/>
              </w:rPr>
            </w:pPr>
            <w:r>
              <w:rPr>
                <w:w w:val="100"/>
                <w:sz w:val="21"/>
              </w:rPr>
              <w:t>：</w:t>
            </w:r>
          </w:p>
        </w:tc>
        <w:tc>
          <w:tcPr>
            <w:tcW w:w="7263" w:type="dxa"/>
          </w:tcPr>
          <w:p>
            <w:pPr>
              <w:pStyle w:val="TableParagraph"/>
              <w:spacing w:line="257" w:lineRule="exact"/>
              <w:ind w:left="13"/>
              <w:rPr>
                <w:b/>
                <w:sz w:val="21"/>
              </w:rPr>
            </w:pPr>
            <w:r>
              <w:rPr>
                <w:sz w:val="21"/>
              </w:rPr>
              <w:t>原发于肝组织的恶性肿瘤，</w:t>
            </w:r>
            <w:r>
              <w:rPr>
                <w:b/>
                <w:sz w:val="21"/>
              </w:rPr>
              <w:t>不包括：</w:t>
            </w:r>
          </w:p>
          <w:p>
            <w:pPr>
              <w:pStyle w:val="TableParagraph"/>
              <w:spacing w:before="37"/>
              <w:ind w:left="13"/>
              <w:rPr>
                <w:b/>
                <w:sz w:val="21"/>
              </w:rPr>
            </w:pPr>
            <w:r>
              <w:rPr>
                <w:b/>
                <w:sz w:val="21"/>
              </w:rPr>
              <w:t>（</w:t>
            </w:r>
            <w:r>
              <w:rPr>
                <w:rFonts w:ascii="Times New Roman" w:eastAsia="Times New Roman"/>
                <w:b/>
                <w:sz w:val="21"/>
              </w:rPr>
              <w:t>1</w:t>
            </w:r>
            <w:r>
              <w:rPr>
                <w:b/>
                <w:sz w:val="21"/>
              </w:rPr>
              <w:t>）原位癌；</w:t>
            </w:r>
          </w:p>
          <w:p>
            <w:pPr>
              <w:pStyle w:val="TableParagraph"/>
              <w:spacing w:before="21"/>
              <w:ind w:left="13"/>
              <w:rPr>
                <w:b/>
                <w:sz w:val="21"/>
              </w:rPr>
            </w:pPr>
            <w:r>
              <w:rPr>
                <w:b/>
                <w:sz w:val="21"/>
              </w:rPr>
              <w:t>（</w:t>
            </w:r>
            <w:r>
              <w:rPr>
                <w:rFonts w:ascii="Times New Roman" w:eastAsia="Times New Roman"/>
                <w:b/>
                <w:sz w:val="21"/>
              </w:rPr>
              <w:t>2</w:t>
            </w:r>
            <w:r>
              <w:rPr>
                <w:b/>
                <w:sz w:val="21"/>
              </w:rPr>
              <w:t>）转移至肝的其他恶性肿瘤；</w:t>
            </w:r>
          </w:p>
          <w:p>
            <w:pPr>
              <w:pStyle w:val="TableParagraph"/>
              <w:spacing w:before="21"/>
              <w:ind w:left="13"/>
              <w:rPr>
                <w:b/>
                <w:sz w:val="21"/>
              </w:rPr>
            </w:pPr>
            <w:r>
              <w:rPr>
                <w:b/>
                <w:sz w:val="21"/>
              </w:rPr>
              <w:t>（</w:t>
            </w:r>
            <w:r>
              <w:rPr>
                <w:rFonts w:ascii="Times New Roman" w:eastAsia="Times New Roman"/>
                <w:b/>
                <w:sz w:val="21"/>
              </w:rPr>
              <w:t>3</w:t>
            </w:r>
            <w:r>
              <w:rPr>
                <w:b/>
                <w:sz w:val="21"/>
              </w:rPr>
              <w:t>）感染艾滋病病毒或患艾滋病期间所患恶性肿瘤。</w:t>
            </w:r>
          </w:p>
        </w:tc>
      </w:tr>
      <w:tr>
        <w:trPr>
          <w:trHeight w:val="616" w:hRule="atLeast"/>
        </w:trPr>
        <w:tc>
          <w:tcPr>
            <w:tcW w:w="10026" w:type="dxa"/>
            <w:gridSpan w:val="3"/>
          </w:tcPr>
          <w:p>
            <w:pPr>
              <w:pStyle w:val="TableParagraph"/>
              <w:spacing w:line="273" w:lineRule="exact"/>
              <w:ind w:left="728"/>
              <w:rPr>
                <w:b/>
                <w:sz w:val="21"/>
              </w:rPr>
            </w:pPr>
            <w:r>
              <w:rPr>
                <w:b/>
                <w:sz w:val="21"/>
              </w:rPr>
              <w:t>成年女性高发重大疾病仅适用于经医院确诊初次患上乳腺癌或子宫癌时年满 </w:t>
            </w:r>
            <w:r>
              <w:rPr>
                <w:rFonts w:ascii="Times New Roman" w:eastAsia="Times New Roman"/>
                <w:b/>
                <w:sz w:val="21"/>
              </w:rPr>
              <w:t>18  </w:t>
            </w:r>
            <w:r>
              <w:rPr>
                <w:b/>
                <w:sz w:val="21"/>
              </w:rPr>
              <w:t>周岁的女性被保险</w:t>
            </w:r>
          </w:p>
          <w:p>
            <w:pPr>
              <w:pStyle w:val="TableParagraph"/>
              <w:spacing w:before="21"/>
              <w:ind w:left="200"/>
              <w:rPr>
                <w:b/>
                <w:sz w:val="21"/>
              </w:rPr>
            </w:pPr>
            <w:r>
              <w:rPr>
                <w:b/>
                <w:sz w:val="21"/>
              </w:rPr>
              <w:t>人。</w:t>
            </w:r>
          </w:p>
        </w:tc>
      </w:tr>
      <w:tr>
        <w:trPr>
          <w:trHeight w:val="1255" w:hRule="atLeast"/>
        </w:trPr>
        <w:tc>
          <w:tcPr>
            <w:tcW w:w="1818" w:type="dxa"/>
          </w:tcPr>
          <w:p>
            <w:pPr>
              <w:pStyle w:val="TableParagraph"/>
              <w:spacing w:line="281" w:lineRule="exact"/>
              <w:ind w:left="200"/>
              <w:rPr>
                <w:sz w:val="21"/>
              </w:rPr>
            </w:pPr>
            <w:r>
              <w:rPr>
                <w:rFonts w:ascii="Times New Roman" w:eastAsia="Times New Roman"/>
                <w:sz w:val="21"/>
              </w:rPr>
              <w:t>3.  </w:t>
            </w:r>
            <w:r>
              <w:rPr>
                <w:sz w:val="21"/>
              </w:rPr>
              <w:t>乳腺癌</w:t>
            </w:r>
          </w:p>
        </w:tc>
        <w:tc>
          <w:tcPr>
            <w:tcW w:w="945" w:type="dxa"/>
          </w:tcPr>
          <w:p>
            <w:pPr>
              <w:pStyle w:val="TableParagraph"/>
              <w:spacing w:line="265" w:lineRule="exact"/>
              <w:ind w:left="0" w:right="8"/>
              <w:jc w:val="right"/>
              <w:rPr>
                <w:sz w:val="21"/>
              </w:rPr>
            </w:pPr>
            <w:r>
              <w:rPr>
                <w:w w:val="100"/>
                <w:sz w:val="21"/>
              </w:rPr>
              <w:t>：</w:t>
            </w:r>
          </w:p>
        </w:tc>
        <w:tc>
          <w:tcPr>
            <w:tcW w:w="7263" w:type="dxa"/>
          </w:tcPr>
          <w:p>
            <w:pPr>
              <w:pStyle w:val="TableParagraph"/>
              <w:spacing w:line="265" w:lineRule="exact"/>
              <w:ind w:left="13"/>
              <w:rPr>
                <w:b/>
                <w:sz w:val="21"/>
              </w:rPr>
            </w:pPr>
            <w:r>
              <w:rPr>
                <w:sz w:val="21"/>
              </w:rPr>
              <w:t>原发于乳腺组织的恶性肿瘤，</w:t>
            </w:r>
            <w:r>
              <w:rPr>
                <w:b/>
                <w:sz w:val="21"/>
              </w:rPr>
              <w:t>不包括：</w:t>
            </w:r>
          </w:p>
          <w:p>
            <w:pPr>
              <w:pStyle w:val="TableParagraph"/>
              <w:spacing w:before="37"/>
              <w:ind w:left="13"/>
              <w:rPr>
                <w:b/>
                <w:sz w:val="21"/>
              </w:rPr>
            </w:pPr>
            <w:r>
              <w:rPr>
                <w:b/>
                <w:sz w:val="21"/>
              </w:rPr>
              <w:t>（</w:t>
            </w:r>
            <w:r>
              <w:rPr>
                <w:rFonts w:ascii="Times New Roman" w:eastAsia="Times New Roman"/>
                <w:b/>
                <w:sz w:val="21"/>
              </w:rPr>
              <w:t>1</w:t>
            </w:r>
            <w:r>
              <w:rPr>
                <w:b/>
                <w:sz w:val="21"/>
              </w:rPr>
              <w:t>）原位癌；</w:t>
            </w:r>
          </w:p>
          <w:p>
            <w:pPr>
              <w:pStyle w:val="TableParagraph"/>
              <w:spacing w:before="21"/>
              <w:ind w:left="13"/>
              <w:rPr>
                <w:b/>
                <w:sz w:val="21"/>
              </w:rPr>
            </w:pPr>
            <w:r>
              <w:rPr>
                <w:b/>
                <w:sz w:val="21"/>
              </w:rPr>
              <w:t>（</w:t>
            </w:r>
            <w:r>
              <w:rPr>
                <w:rFonts w:ascii="Times New Roman" w:eastAsia="Times New Roman"/>
                <w:b/>
                <w:sz w:val="21"/>
              </w:rPr>
              <w:t>2</w:t>
            </w:r>
            <w:r>
              <w:rPr>
                <w:b/>
                <w:sz w:val="21"/>
              </w:rPr>
              <w:t>）转移至乳腺的其他恶性肿瘤；</w:t>
            </w:r>
          </w:p>
          <w:p>
            <w:pPr>
              <w:pStyle w:val="TableParagraph"/>
              <w:spacing w:before="21"/>
              <w:ind w:left="13"/>
              <w:rPr>
                <w:b/>
                <w:sz w:val="21"/>
              </w:rPr>
            </w:pPr>
            <w:r>
              <w:rPr>
                <w:b/>
                <w:sz w:val="21"/>
              </w:rPr>
              <w:t>（</w:t>
            </w:r>
            <w:r>
              <w:rPr>
                <w:rFonts w:ascii="Times New Roman" w:eastAsia="Times New Roman"/>
                <w:b/>
                <w:sz w:val="21"/>
              </w:rPr>
              <w:t>3</w:t>
            </w:r>
            <w:r>
              <w:rPr>
                <w:b/>
                <w:sz w:val="21"/>
              </w:rPr>
              <w:t>）感染艾滋病病毒或患艾滋病期间所患恶性肿瘤。</w:t>
            </w:r>
          </w:p>
        </w:tc>
      </w:tr>
      <w:tr>
        <w:trPr>
          <w:trHeight w:val="896" w:hRule="atLeast"/>
        </w:trPr>
        <w:tc>
          <w:tcPr>
            <w:tcW w:w="1818" w:type="dxa"/>
          </w:tcPr>
          <w:p>
            <w:pPr>
              <w:pStyle w:val="TableParagraph"/>
              <w:spacing w:line="273" w:lineRule="exact"/>
              <w:ind w:left="200"/>
              <w:rPr>
                <w:sz w:val="21"/>
              </w:rPr>
            </w:pPr>
            <w:r>
              <w:rPr>
                <w:rFonts w:ascii="Times New Roman" w:eastAsia="Times New Roman"/>
                <w:sz w:val="21"/>
              </w:rPr>
              <w:t>4.  </w:t>
            </w:r>
            <w:r>
              <w:rPr>
                <w:sz w:val="21"/>
              </w:rPr>
              <w:t>子宫癌</w:t>
            </w:r>
          </w:p>
        </w:tc>
        <w:tc>
          <w:tcPr>
            <w:tcW w:w="945" w:type="dxa"/>
          </w:tcPr>
          <w:p>
            <w:pPr>
              <w:pStyle w:val="TableParagraph"/>
              <w:spacing w:line="257" w:lineRule="exact"/>
              <w:ind w:left="0" w:right="8"/>
              <w:jc w:val="right"/>
              <w:rPr>
                <w:sz w:val="21"/>
              </w:rPr>
            </w:pPr>
            <w:r>
              <w:rPr>
                <w:w w:val="100"/>
                <w:sz w:val="21"/>
              </w:rPr>
              <w:t>：</w:t>
            </w:r>
          </w:p>
        </w:tc>
        <w:tc>
          <w:tcPr>
            <w:tcW w:w="7263" w:type="dxa"/>
          </w:tcPr>
          <w:p>
            <w:pPr>
              <w:pStyle w:val="TableParagraph"/>
              <w:spacing w:line="257" w:lineRule="exact"/>
              <w:ind w:left="13"/>
              <w:rPr>
                <w:b/>
                <w:sz w:val="21"/>
              </w:rPr>
            </w:pPr>
            <w:r>
              <w:rPr>
                <w:sz w:val="21"/>
              </w:rPr>
              <w:t>原发于子宫组织的恶性肿瘤，</w:t>
            </w:r>
            <w:r>
              <w:rPr>
                <w:b/>
                <w:sz w:val="21"/>
              </w:rPr>
              <w:t>不包括：</w:t>
            </w:r>
          </w:p>
          <w:p>
            <w:pPr>
              <w:pStyle w:val="TableParagraph"/>
              <w:spacing w:before="37"/>
              <w:ind w:left="13"/>
              <w:rPr>
                <w:b/>
                <w:sz w:val="21"/>
              </w:rPr>
            </w:pPr>
            <w:r>
              <w:rPr>
                <w:b/>
                <w:sz w:val="21"/>
              </w:rPr>
              <w:t>（</w:t>
            </w:r>
            <w:r>
              <w:rPr>
                <w:rFonts w:ascii="Times New Roman" w:eastAsia="Times New Roman"/>
                <w:b/>
                <w:sz w:val="21"/>
              </w:rPr>
              <w:t>1</w:t>
            </w:r>
            <w:r>
              <w:rPr>
                <w:b/>
                <w:sz w:val="21"/>
              </w:rPr>
              <w:t>）原位癌；</w:t>
            </w:r>
          </w:p>
          <w:p>
            <w:pPr>
              <w:pStyle w:val="TableParagraph"/>
              <w:spacing w:line="271" w:lineRule="exact" w:before="21"/>
              <w:ind w:left="13"/>
              <w:rPr>
                <w:b/>
                <w:sz w:val="21"/>
              </w:rPr>
            </w:pPr>
            <w:r>
              <w:rPr>
                <w:b/>
                <w:sz w:val="21"/>
              </w:rPr>
              <w:t>（</w:t>
            </w:r>
            <w:r>
              <w:rPr>
                <w:rFonts w:ascii="Times New Roman" w:eastAsia="Times New Roman"/>
                <w:b/>
                <w:sz w:val="21"/>
              </w:rPr>
              <w:t>2</w:t>
            </w:r>
            <w:r>
              <w:rPr>
                <w:b/>
                <w:sz w:val="21"/>
              </w:rPr>
              <w:t>）转移至子宫的其他恶性肿瘤；</w:t>
            </w:r>
          </w:p>
        </w:tc>
      </w:tr>
    </w:tbl>
    <w:p>
      <w:pPr>
        <w:spacing w:after="0" w:line="271" w:lineRule="exact"/>
        <w:rPr>
          <w:sz w:val="21"/>
        </w:rPr>
        <w:sectPr>
          <w:pgSz w:w="11910" w:h="16160"/>
          <w:pgMar w:header="0" w:footer="1017" w:top="1440" w:bottom="1280" w:left="700" w:right="5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3"/>
        <w:gridCol w:w="541"/>
        <w:gridCol w:w="7687"/>
      </w:tblGrid>
      <w:tr>
        <w:trPr>
          <w:trHeight w:val="273" w:hRule="atLeast"/>
        </w:trPr>
        <w:tc>
          <w:tcPr>
            <w:tcW w:w="2223" w:type="dxa"/>
          </w:tcPr>
          <w:p>
            <w:pPr>
              <w:pStyle w:val="TableParagraph"/>
              <w:ind w:left="0"/>
              <w:rPr>
                <w:rFonts w:ascii="Times New Roman"/>
                <w:sz w:val="20"/>
              </w:rPr>
            </w:pPr>
          </w:p>
        </w:tc>
        <w:tc>
          <w:tcPr>
            <w:tcW w:w="541" w:type="dxa"/>
          </w:tcPr>
          <w:p>
            <w:pPr>
              <w:pStyle w:val="TableParagraph"/>
              <w:ind w:left="0"/>
              <w:rPr>
                <w:rFonts w:ascii="Times New Roman"/>
                <w:sz w:val="20"/>
              </w:rPr>
            </w:pPr>
          </w:p>
        </w:tc>
        <w:tc>
          <w:tcPr>
            <w:tcW w:w="7687" w:type="dxa"/>
          </w:tcPr>
          <w:p>
            <w:pPr>
              <w:pStyle w:val="TableParagraph"/>
              <w:spacing w:line="234" w:lineRule="exact"/>
              <w:rPr>
                <w:b/>
                <w:sz w:val="21"/>
              </w:rPr>
            </w:pPr>
            <w:r>
              <w:rPr>
                <w:b/>
                <w:sz w:val="21"/>
              </w:rPr>
              <w:t>（</w:t>
            </w:r>
            <w:r>
              <w:rPr>
                <w:rFonts w:ascii="Times New Roman" w:eastAsia="Times New Roman"/>
                <w:b/>
                <w:sz w:val="21"/>
              </w:rPr>
              <w:t>3</w:t>
            </w:r>
            <w:r>
              <w:rPr>
                <w:b/>
                <w:sz w:val="21"/>
              </w:rPr>
              <w:t>）感染艾滋病病毒或患艾滋病期间所患恶性肿瘤。</w:t>
            </w:r>
          </w:p>
        </w:tc>
      </w:tr>
      <w:tr>
        <w:trPr>
          <w:trHeight w:val="616" w:hRule="atLeast"/>
        </w:trPr>
        <w:tc>
          <w:tcPr>
            <w:tcW w:w="10451" w:type="dxa"/>
            <w:gridSpan w:val="3"/>
          </w:tcPr>
          <w:p>
            <w:pPr>
              <w:pStyle w:val="TableParagraph"/>
              <w:spacing w:line="273" w:lineRule="exact"/>
              <w:ind w:left="728"/>
              <w:rPr>
                <w:b/>
                <w:sz w:val="21"/>
              </w:rPr>
            </w:pPr>
            <w:r>
              <w:rPr>
                <w:b/>
                <w:sz w:val="21"/>
              </w:rPr>
              <w:t>少儿高发重大疾病仅适用于经医院确诊初次患上白血病或脑炎后遗症或脑膜炎后遗症时未满 </w:t>
            </w:r>
            <w:r>
              <w:rPr>
                <w:rFonts w:ascii="Times New Roman" w:eastAsia="Times New Roman"/>
                <w:b/>
                <w:sz w:val="21"/>
              </w:rPr>
              <w:t>18  </w:t>
            </w:r>
            <w:r>
              <w:rPr>
                <w:b/>
                <w:sz w:val="21"/>
              </w:rPr>
              <w:t>周</w:t>
            </w:r>
          </w:p>
          <w:p>
            <w:pPr>
              <w:pStyle w:val="TableParagraph"/>
              <w:spacing w:before="21"/>
              <w:ind w:left="200"/>
              <w:rPr>
                <w:b/>
                <w:sz w:val="21"/>
              </w:rPr>
            </w:pPr>
            <w:r>
              <w:rPr>
                <w:b/>
                <w:sz w:val="21"/>
              </w:rPr>
              <w:t>岁的被保险人。</w:t>
            </w:r>
          </w:p>
        </w:tc>
      </w:tr>
      <w:tr>
        <w:trPr>
          <w:trHeight w:val="1247" w:hRule="atLeast"/>
        </w:trPr>
        <w:tc>
          <w:tcPr>
            <w:tcW w:w="2223" w:type="dxa"/>
          </w:tcPr>
          <w:p>
            <w:pPr>
              <w:pStyle w:val="TableParagraph"/>
              <w:spacing w:line="281" w:lineRule="exact"/>
              <w:ind w:left="200"/>
              <w:rPr>
                <w:sz w:val="21"/>
              </w:rPr>
            </w:pPr>
            <w:r>
              <w:rPr>
                <w:rFonts w:ascii="Times New Roman" w:eastAsia="Times New Roman"/>
                <w:sz w:val="21"/>
              </w:rPr>
              <w:t>5.  </w:t>
            </w:r>
            <w:r>
              <w:rPr>
                <w:sz w:val="21"/>
              </w:rPr>
              <w:t>白血病</w:t>
            </w:r>
          </w:p>
        </w:tc>
        <w:tc>
          <w:tcPr>
            <w:tcW w:w="541" w:type="dxa"/>
          </w:tcPr>
          <w:p>
            <w:pPr>
              <w:pStyle w:val="TableParagraph"/>
              <w:spacing w:line="265" w:lineRule="exact"/>
              <w:ind w:left="0" w:right="9"/>
              <w:jc w:val="right"/>
              <w:rPr>
                <w:sz w:val="21"/>
              </w:rPr>
            </w:pPr>
            <w:r>
              <w:rPr>
                <w:w w:val="100"/>
                <w:sz w:val="21"/>
              </w:rPr>
              <w:t>：</w:t>
            </w:r>
          </w:p>
        </w:tc>
        <w:tc>
          <w:tcPr>
            <w:tcW w:w="7687" w:type="dxa"/>
          </w:tcPr>
          <w:p>
            <w:pPr>
              <w:pStyle w:val="TableParagraph"/>
              <w:spacing w:line="266" w:lineRule="auto"/>
              <w:ind w:right="198"/>
              <w:jc w:val="both"/>
              <w:rPr>
                <w:b/>
                <w:sz w:val="21"/>
              </w:rPr>
            </w:pPr>
            <w:r>
              <w:rPr>
                <w:spacing w:val="-10"/>
                <w:sz w:val="21"/>
              </w:rPr>
              <w:t>是一种造血系统的恶性肿瘤，其主要表现为白血病细胞在骨髓或其他造血组织中大</w:t>
            </w:r>
            <w:r>
              <w:rPr>
                <w:spacing w:val="-12"/>
                <w:sz w:val="21"/>
              </w:rPr>
              <w:t>量克隆、异常增生，大量聚集的白细胞抑制正常造血并浸润全身器官和组织。周围</w:t>
            </w:r>
            <w:r>
              <w:rPr>
                <w:spacing w:val="-14"/>
                <w:sz w:val="21"/>
              </w:rPr>
              <w:t>白细胞有质和量的变化，出现相应临床表现。</w:t>
            </w:r>
            <w:r>
              <w:rPr>
                <w:b/>
                <w:spacing w:val="-12"/>
                <w:sz w:val="21"/>
              </w:rPr>
              <w:t>相当于 </w:t>
            </w:r>
            <w:r>
              <w:rPr>
                <w:rFonts w:ascii="Times New Roman" w:eastAsia="Times New Roman"/>
                <w:b/>
                <w:sz w:val="21"/>
              </w:rPr>
              <w:t>Binet </w:t>
            </w:r>
            <w:r>
              <w:rPr>
                <w:b/>
                <w:spacing w:val="-10"/>
                <w:sz w:val="21"/>
              </w:rPr>
              <w:t>分期方案 </w:t>
            </w:r>
            <w:r>
              <w:rPr>
                <w:rFonts w:ascii="Times New Roman" w:eastAsia="Times New Roman"/>
                <w:b/>
                <w:sz w:val="21"/>
              </w:rPr>
              <w:t>A </w:t>
            </w:r>
            <w:r>
              <w:rPr>
                <w:b/>
                <w:spacing w:val="-2"/>
                <w:sz w:val="21"/>
              </w:rPr>
              <w:t>期程度的慢</w:t>
            </w:r>
            <w:r>
              <w:rPr>
                <w:b/>
                <w:spacing w:val="-3"/>
                <w:sz w:val="21"/>
              </w:rPr>
              <w:t>性淋巴细胞白血病不在保障范围内。</w:t>
            </w:r>
          </w:p>
        </w:tc>
      </w:tr>
      <w:tr>
        <w:trPr>
          <w:trHeight w:val="1825" w:hRule="atLeast"/>
        </w:trPr>
        <w:tc>
          <w:tcPr>
            <w:tcW w:w="2223" w:type="dxa"/>
          </w:tcPr>
          <w:p>
            <w:pPr>
              <w:pStyle w:val="TableParagraph"/>
              <w:spacing w:line="256" w:lineRule="auto"/>
              <w:ind w:left="200" w:right="315"/>
              <w:rPr>
                <w:sz w:val="21"/>
              </w:rPr>
            </w:pPr>
            <w:r>
              <w:rPr>
                <w:rFonts w:ascii="Times New Roman" w:eastAsia="Times New Roman"/>
                <w:sz w:val="21"/>
              </w:rPr>
              <w:t>6. </w:t>
            </w:r>
            <w:r>
              <w:rPr>
                <w:sz w:val="21"/>
              </w:rPr>
              <w:t>脑炎后遗症或脑膜炎后遗症</w:t>
            </w:r>
          </w:p>
        </w:tc>
        <w:tc>
          <w:tcPr>
            <w:tcW w:w="541" w:type="dxa"/>
          </w:tcPr>
          <w:p>
            <w:pPr>
              <w:pStyle w:val="TableParagraph"/>
              <w:spacing w:line="265" w:lineRule="exact"/>
              <w:ind w:left="0" w:right="9"/>
              <w:jc w:val="right"/>
              <w:rPr>
                <w:sz w:val="21"/>
              </w:rPr>
            </w:pPr>
            <w:r>
              <w:rPr>
                <w:w w:val="100"/>
                <w:sz w:val="21"/>
              </w:rPr>
              <w:t>：</w:t>
            </w:r>
          </w:p>
        </w:tc>
        <w:tc>
          <w:tcPr>
            <w:tcW w:w="7687" w:type="dxa"/>
          </w:tcPr>
          <w:p>
            <w:pPr>
              <w:pStyle w:val="TableParagraph"/>
              <w:spacing w:line="273" w:lineRule="auto"/>
              <w:ind w:right="198"/>
              <w:rPr>
                <w:sz w:val="21"/>
              </w:rPr>
            </w:pPr>
            <w:r>
              <w:rPr>
                <w:spacing w:val="-7"/>
                <w:sz w:val="21"/>
              </w:rPr>
              <w:t>指因患脑炎或脑膜炎导致的神经系统永久性的功能障碍。神经系统永久性的功能障</w:t>
            </w:r>
            <w:r>
              <w:rPr>
                <w:spacing w:val="-9"/>
                <w:sz w:val="21"/>
              </w:rPr>
              <w:t>碍，指疾病确诊 </w:t>
            </w:r>
            <w:r>
              <w:rPr>
                <w:rFonts w:ascii="Times New Roman" w:eastAsia="Times New Roman"/>
                <w:sz w:val="21"/>
              </w:rPr>
              <w:t>180 </w:t>
            </w:r>
            <w:r>
              <w:rPr>
                <w:spacing w:val="-3"/>
                <w:sz w:val="21"/>
              </w:rPr>
              <w:t>日后，仍遗留下列一种或一种以上障碍：</w:t>
            </w:r>
          </w:p>
          <w:p>
            <w:pPr>
              <w:pStyle w:val="TableParagraph"/>
              <w:spacing w:line="279" w:lineRule="exact" w:before="10"/>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rPr>
                <w:sz w:val="21"/>
              </w:rPr>
            </w:pPr>
            <w:r>
              <w:rPr>
                <w:sz w:val="21"/>
              </w:rPr>
              <w:t>（</w:t>
            </w:r>
            <w:r>
              <w:rPr>
                <w:rFonts w:ascii="Times New Roman" w:eastAsia="Times New Roman"/>
                <w:sz w:val="21"/>
              </w:rPr>
              <w:t>2</w:t>
            </w:r>
            <w:r>
              <w:rPr>
                <w:sz w:val="21"/>
              </w:rPr>
              <w:t>）语言能力或咀嚼吞咽能力完全丧失；</w:t>
            </w:r>
          </w:p>
          <w:p>
            <w:pPr>
              <w:pStyle w:val="TableParagraph"/>
              <w:spacing w:line="290" w:lineRule="atLeast" w:before="21"/>
              <w:ind w:left="566" w:right="200" w:hanging="540"/>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bl>
    <w:p>
      <w:pPr>
        <w:pStyle w:val="BodyText"/>
        <w:rPr>
          <w:sz w:val="20"/>
        </w:rPr>
      </w:pPr>
    </w:p>
    <w:p>
      <w:pPr>
        <w:pStyle w:val="BodyText"/>
        <w:rPr>
          <w:sz w:val="20"/>
        </w:rPr>
      </w:pPr>
    </w:p>
    <w:p>
      <w:pPr>
        <w:pStyle w:val="BodyText"/>
        <w:rPr>
          <w:sz w:val="20"/>
        </w:rPr>
      </w:pPr>
    </w:p>
    <w:p>
      <w:pPr>
        <w:pStyle w:val="Heading2"/>
        <w:spacing w:before="192"/>
        <w:ind w:left="0" w:right="374"/>
        <w:jc w:val="right"/>
        <w:rPr>
          <w:rFonts w:ascii="Times New Roman" w:eastAsia="Times New Roman"/>
        </w:rPr>
      </w:pPr>
      <w:r>
        <w:rPr>
          <w:rFonts w:ascii="Times New Roman" w:eastAsia="Times New Roman"/>
        </w:rPr>
        <w:t>&lt;</w:t>
      </w:r>
      <w:r>
        <w:rPr/>
        <w:t>本页内容结束</w:t>
      </w:r>
      <w:r>
        <w:rPr>
          <w:rFonts w:ascii="Times New Roman" w:eastAsia="Times New Roman"/>
        </w:rPr>
        <w:t>&gt;</w:t>
      </w:r>
    </w:p>
    <w:sectPr>
      <w:pgSz w:w="11910" w:h="16160"/>
      <w:pgMar w:header="0" w:footer="1017" w:top="1420" w:bottom="1280" w:left="7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168.369995pt;margin-top:742.085876pt;width:266.55pt;height:13.7pt;mso-position-horizontal-relative:page;mso-position-vertical-relative:page;z-index:-23680" type="#_x0000_t202" filled="false" stroked="false">
          <v:textbox inset="0,0,0,0">
            <w:txbxContent>
              <w:p>
                <w:pPr>
                  <w:pStyle w:val="BodyText"/>
                  <w:spacing w:line="254" w:lineRule="exact"/>
                  <w:ind w:left="20"/>
                </w:pPr>
                <w:r>
                  <w:rPr/>
                  <w:t>太平附加吉祥安康重大疾病保险（</w:t>
                </w:r>
                <w:r>
                  <w:rPr>
                    <w:rFonts w:ascii="Times New Roman" w:eastAsia="Times New Roman"/>
                  </w:rPr>
                  <w:t>B</w:t>
                </w:r>
                <w:r>
                  <w:rPr/>
                  <w:t>款），第</w:t>
                </w:r>
                <w:r>
                  <w:rPr/>
                  <w:fldChar w:fldCharType="begin"/>
                </w:r>
                <w:r>
                  <w:rPr>
                    <w:rFonts w:ascii="Times New Roman" w:eastAsia="Times New Roman"/>
                  </w:rPr>
                  <w:instrText> PAGE </w:instrText>
                </w:r>
                <w:r>
                  <w:rPr/>
                  <w:fldChar w:fldCharType="separate"/>
                </w:r>
                <w:r>
                  <w:rPr/>
                  <w:t>3</w:t>
                </w:r>
                <w:r>
                  <w:rPr/>
                  <w:fldChar w:fldCharType="end"/>
                </w:r>
                <w:r>
                  <w:rPr/>
                  <w:t>页，共</w:t>
                </w:r>
                <w:r>
                  <w:rPr>
                    <w:rFonts w:ascii="Times New Roman" w:eastAsia="Times New Roman"/>
                  </w:rPr>
                  <w:t>12</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65.729996pt;margin-top:742.085876pt;width:271.850pt;height:13.7pt;mso-position-horizontal-relative:page;mso-position-vertical-relative:page;z-index:-23656" type="#_x0000_t202" filled="false" stroked="false">
          <v:textbox inset="0,0,0,0">
            <w:txbxContent>
              <w:p>
                <w:pPr>
                  <w:pStyle w:val="BodyText"/>
                  <w:spacing w:line="254" w:lineRule="exact"/>
                  <w:ind w:left="20"/>
                </w:pPr>
                <w:r>
                  <w:rPr/>
                  <w:t>太平附加吉祥安康重大疾病保险（</w:t>
                </w:r>
                <w:r>
                  <w:rPr>
                    <w:rFonts w:ascii="Times New Roman" w:eastAsia="Times New Roman"/>
                  </w:rPr>
                  <w:t>B</w:t>
                </w:r>
                <w:r>
                  <w:rPr/>
                  <w:t>款），第</w:t>
                </w:r>
                <w:r>
                  <w:rPr/>
                  <w:fldChar w:fldCharType="begin"/>
                </w:r>
                <w:r>
                  <w:rPr>
                    <w:rFonts w:ascii="Times New Roman" w:eastAsia="Times New Roman"/>
                  </w:rPr>
                  <w:instrText> PAGE </w:instrText>
                </w:r>
                <w:r>
                  <w:rPr/>
                  <w:fldChar w:fldCharType="separate"/>
                </w:r>
                <w:r>
                  <w:rPr/>
                  <w:t>10</w:t>
                </w:r>
                <w:r>
                  <w:rPr/>
                  <w:fldChar w:fldCharType="end"/>
                </w:r>
                <w:r>
                  <w:rPr/>
                  <w:t>页，共</w:t>
                </w:r>
                <w:r>
                  <w:rPr>
                    <w:rFonts w:ascii="Times New Roman" w:eastAsia="Times New Roman"/>
                  </w:rPr>
                  <w:t>12</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38" w:hanging="264"/>
      </w:pPr>
      <w:rPr>
        <w:rFonts w:hint="default"/>
      </w:rPr>
    </w:lvl>
    <w:lvl w:ilvl="2">
      <w:start w:val="0"/>
      <w:numFmt w:val="bullet"/>
      <w:lvlText w:val="•"/>
      <w:lvlJc w:val="left"/>
      <w:pPr>
        <w:ind w:left="2677" w:hanging="264"/>
      </w:pPr>
      <w:rPr>
        <w:rFonts w:hint="default"/>
      </w:rPr>
    </w:lvl>
    <w:lvl w:ilvl="3">
      <w:start w:val="0"/>
      <w:numFmt w:val="bullet"/>
      <w:lvlText w:val="•"/>
      <w:lvlJc w:val="left"/>
      <w:pPr>
        <w:ind w:left="3615" w:hanging="264"/>
      </w:pPr>
      <w:rPr>
        <w:rFonts w:hint="default"/>
      </w:rPr>
    </w:lvl>
    <w:lvl w:ilvl="4">
      <w:start w:val="0"/>
      <w:numFmt w:val="bullet"/>
      <w:lvlText w:val="•"/>
      <w:lvlJc w:val="left"/>
      <w:pPr>
        <w:ind w:left="4554" w:hanging="264"/>
      </w:pPr>
      <w:rPr>
        <w:rFonts w:hint="default"/>
      </w:rPr>
    </w:lvl>
    <w:lvl w:ilvl="5">
      <w:start w:val="0"/>
      <w:numFmt w:val="bullet"/>
      <w:lvlText w:val="•"/>
      <w:lvlJc w:val="left"/>
      <w:pPr>
        <w:ind w:left="5493" w:hanging="264"/>
      </w:pPr>
      <w:rPr>
        <w:rFonts w:hint="default"/>
      </w:rPr>
    </w:lvl>
    <w:lvl w:ilvl="6">
      <w:start w:val="0"/>
      <w:numFmt w:val="bullet"/>
      <w:lvlText w:val="•"/>
      <w:lvlJc w:val="left"/>
      <w:pPr>
        <w:ind w:left="6431" w:hanging="264"/>
      </w:pPr>
      <w:rPr>
        <w:rFonts w:hint="default"/>
      </w:rPr>
    </w:lvl>
    <w:lvl w:ilvl="7">
      <w:start w:val="0"/>
      <w:numFmt w:val="bullet"/>
      <w:lvlText w:val="•"/>
      <w:lvlJc w:val="left"/>
      <w:pPr>
        <w:ind w:left="7370" w:hanging="264"/>
      </w:pPr>
      <w:rPr>
        <w:rFonts w:hint="default"/>
      </w:rPr>
    </w:lvl>
    <w:lvl w:ilvl="8">
      <w:start w:val="0"/>
      <w:numFmt w:val="bullet"/>
      <w:lvlText w:val="•"/>
      <w:lvlJc w:val="left"/>
      <w:pPr>
        <w:ind w:left="8309" w:hanging="264"/>
      </w:pPr>
      <w:rPr>
        <w:rFonts w:hint="default"/>
      </w:rPr>
    </w:lvl>
  </w:abstractNum>
  <w:abstractNum w:abstractNumId="3">
    <w:multiLevelType w:val="hybridMultilevel"/>
    <w:lvl w:ilvl="0">
      <w:start w:val="25"/>
      <w:numFmt w:val="decimal"/>
      <w:lvlText w:val="%1."/>
      <w:lvlJc w:val="left"/>
      <w:pPr>
        <w:ind w:left="2681" w:hanging="371"/>
        <w:jc w:val="left"/>
      </w:pPr>
      <w:rPr>
        <w:rFonts w:hint="default" w:ascii="Times New Roman" w:hAnsi="Times New Roman" w:eastAsia="Times New Roman" w:cs="Times New Roman"/>
        <w:w w:val="100"/>
        <w:sz w:val="21"/>
        <w:szCs w:val="21"/>
      </w:rPr>
    </w:lvl>
    <w:lvl w:ilvl="1">
      <w:start w:val="0"/>
      <w:numFmt w:val="bullet"/>
      <w:lvlText w:val="•"/>
      <w:lvlJc w:val="left"/>
      <w:pPr>
        <w:ind w:left="3448" w:hanging="371"/>
      </w:pPr>
      <w:rPr>
        <w:rFonts w:hint="default"/>
      </w:rPr>
    </w:lvl>
    <w:lvl w:ilvl="2">
      <w:start w:val="0"/>
      <w:numFmt w:val="bullet"/>
      <w:lvlText w:val="•"/>
      <w:lvlJc w:val="left"/>
      <w:pPr>
        <w:ind w:left="4217" w:hanging="371"/>
      </w:pPr>
      <w:rPr>
        <w:rFonts w:hint="default"/>
      </w:rPr>
    </w:lvl>
    <w:lvl w:ilvl="3">
      <w:start w:val="0"/>
      <w:numFmt w:val="bullet"/>
      <w:lvlText w:val="•"/>
      <w:lvlJc w:val="left"/>
      <w:pPr>
        <w:ind w:left="4985" w:hanging="371"/>
      </w:pPr>
      <w:rPr>
        <w:rFonts w:hint="default"/>
      </w:rPr>
    </w:lvl>
    <w:lvl w:ilvl="4">
      <w:start w:val="0"/>
      <w:numFmt w:val="bullet"/>
      <w:lvlText w:val="•"/>
      <w:lvlJc w:val="left"/>
      <w:pPr>
        <w:ind w:left="5754" w:hanging="371"/>
      </w:pPr>
      <w:rPr>
        <w:rFonts w:hint="default"/>
      </w:rPr>
    </w:lvl>
    <w:lvl w:ilvl="5">
      <w:start w:val="0"/>
      <w:numFmt w:val="bullet"/>
      <w:lvlText w:val="•"/>
      <w:lvlJc w:val="left"/>
      <w:pPr>
        <w:ind w:left="6523" w:hanging="371"/>
      </w:pPr>
      <w:rPr>
        <w:rFonts w:hint="default"/>
      </w:rPr>
    </w:lvl>
    <w:lvl w:ilvl="6">
      <w:start w:val="0"/>
      <w:numFmt w:val="bullet"/>
      <w:lvlText w:val="•"/>
      <w:lvlJc w:val="left"/>
      <w:pPr>
        <w:ind w:left="7291" w:hanging="371"/>
      </w:pPr>
      <w:rPr>
        <w:rFonts w:hint="default"/>
      </w:rPr>
    </w:lvl>
    <w:lvl w:ilvl="7">
      <w:start w:val="0"/>
      <w:numFmt w:val="bullet"/>
      <w:lvlText w:val="•"/>
      <w:lvlJc w:val="left"/>
      <w:pPr>
        <w:ind w:left="8060" w:hanging="371"/>
      </w:pPr>
      <w:rPr>
        <w:rFonts w:hint="default"/>
      </w:rPr>
    </w:lvl>
    <w:lvl w:ilvl="8">
      <w:start w:val="0"/>
      <w:numFmt w:val="bullet"/>
      <w:lvlText w:val="•"/>
      <w:lvlJc w:val="left"/>
      <w:pPr>
        <w:ind w:left="8829" w:hanging="371"/>
      </w:pPr>
      <w:rPr>
        <w:rFonts w:hint="default"/>
      </w:rPr>
    </w:lvl>
  </w:abstractNum>
  <w:abstractNum w:abstractNumId="2">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20" w:hanging="420"/>
      </w:pPr>
      <w:rPr>
        <w:rFonts w:hint="default"/>
      </w:rPr>
    </w:lvl>
    <w:lvl w:ilvl="2">
      <w:start w:val="0"/>
      <w:numFmt w:val="bullet"/>
      <w:lvlText w:val="•"/>
      <w:lvlJc w:val="left"/>
      <w:pPr>
        <w:ind w:left="3741" w:hanging="420"/>
      </w:pPr>
      <w:rPr>
        <w:rFonts w:hint="default"/>
      </w:rPr>
    </w:lvl>
    <w:lvl w:ilvl="3">
      <w:start w:val="0"/>
      <w:numFmt w:val="bullet"/>
      <w:lvlText w:val="•"/>
      <w:lvlJc w:val="left"/>
      <w:pPr>
        <w:ind w:left="4661" w:hanging="420"/>
      </w:pPr>
      <w:rPr>
        <w:rFonts w:hint="default"/>
      </w:rPr>
    </w:lvl>
    <w:lvl w:ilvl="4">
      <w:start w:val="0"/>
      <w:numFmt w:val="bullet"/>
      <w:lvlText w:val="•"/>
      <w:lvlJc w:val="left"/>
      <w:pPr>
        <w:ind w:left="5582" w:hanging="420"/>
      </w:pPr>
      <w:rPr>
        <w:rFonts w:hint="default"/>
      </w:rPr>
    </w:lvl>
    <w:lvl w:ilvl="5">
      <w:start w:val="0"/>
      <w:numFmt w:val="bullet"/>
      <w:lvlText w:val="•"/>
      <w:lvlJc w:val="left"/>
      <w:pPr>
        <w:ind w:left="6503" w:hanging="420"/>
      </w:pPr>
      <w:rPr>
        <w:rFonts w:hint="default"/>
      </w:rPr>
    </w:lvl>
    <w:lvl w:ilvl="6">
      <w:start w:val="0"/>
      <w:numFmt w:val="bullet"/>
      <w:lvlText w:val="•"/>
      <w:lvlJc w:val="left"/>
      <w:pPr>
        <w:ind w:left="7423" w:hanging="420"/>
      </w:pPr>
      <w:rPr>
        <w:rFonts w:hint="default"/>
      </w:rPr>
    </w:lvl>
    <w:lvl w:ilvl="7">
      <w:start w:val="0"/>
      <w:numFmt w:val="bullet"/>
      <w:lvlText w:val="•"/>
      <w:lvlJc w:val="left"/>
      <w:pPr>
        <w:ind w:left="8344" w:hanging="420"/>
      </w:pPr>
      <w:rPr>
        <w:rFonts w:hint="default"/>
      </w:rPr>
    </w:lvl>
    <w:lvl w:ilvl="8">
      <w:start w:val="0"/>
      <w:numFmt w:val="bullet"/>
      <w:lvlText w:val="•"/>
      <w:lvlJc w:val="left"/>
      <w:pPr>
        <w:ind w:left="9265" w:hanging="420"/>
      </w:pPr>
      <w:rPr>
        <w:rFonts w:hint="default"/>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2"/>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ind w:left="802" w:hanging="264"/>
    </w:pPr>
    <w:rPr>
      <w:rFonts w:ascii="宋体" w:hAnsi="宋体" w:eastAsia="宋体" w:cs="宋体"/>
    </w:rPr>
  </w:style>
  <w:style w:styleId="TableParagraph" w:type="paragraph">
    <w:name w:val="Table Paragraph"/>
    <w:basedOn w:val="Normal"/>
    <w:uiPriority w:val="1"/>
    <w:qFormat/>
    <w:pPr>
      <w:ind w:left="1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zhouyun</dc:creator>
  <dcterms:created xsi:type="dcterms:W3CDTF">2018-10-19T23:56:11Z</dcterms:created>
  <dcterms:modified xsi:type="dcterms:W3CDTF">2018-10-19T23:56:11Z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2017-02-20T00:00:00Z</vt:filetime>
  </property>
  <property fmtid="{D5CDD505-2E9C-101B-9397-08002B2CF9AE}" pid="3" name="Creator">
    <vt:lpwstr>Microsoft® Word 2010</vt:lpwstr>
  </property>
  <property fmtid="{D5CDD505-2E9C-101B-9397-08002B2CF9AE}" pid="4" name="LastSaved">
    <vt:filetime>2018-10-19T00:00:00Z</vt:filetime>
  </property>
</Properties>
</file>