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4" w:val="left" w:leader="none"/>
        </w:tabs>
        <w:spacing w:before="312"/>
        <w:ind w:left="143"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50"/>
        <w:ind w:left="143"/>
      </w:pPr>
      <w:r>
        <w:rPr/>
        <w:br w:type="column"/>
      </w:r>
      <w:r>
        <w:rPr/>
        <w:t>民生保险[2015]疾病保险 022 号</w:t>
      </w:r>
    </w:p>
    <w:p>
      <w:pPr>
        <w:spacing w:after="0"/>
        <w:sectPr>
          <w:headerReference w:type="default" r:id="rId5"/>
          <w:footerReference w:type="default" r:id="rId6"/>
          <w:type w:val="continuous"/>
          <w:pgSz w:w="11910" w:h="16840"/>
          <w:pgMar w:header="857" w:footer="977" w:top="1040" w:bottom="1160" w:left="1160" w:right="940"/>
          <w:pgNumType w:start="1"/>
          <w:cols w:num="2" w:equalWidth="0">
            <w:col w:w="5825" w:space="1071"/>
            <w:col w:w="2914"/>
          </w:cols>
        </w:sectPr>
      </w:pPr>
    </w:p>
    <w:p>
      <w:pPr>
        <w:pStyle w:val="BodyText"/>
        <w:spacing w:before="0"/>
        <w:rPr>
          <w:sz w:val="12"/>
        </w:rPr>
      </w:pPr>
    </w:p>
    <w:p>
      <w:pPr>
        <w:spacing w:before="37"/>
        <w:ind w:left="1638" w:right="0" w:firstLine="0"/>
        <w:jc w:val="left"/>
        <w:rPr>
          <w:b/>
          <w:sz w:val="21"/>
        </w:rPr>
      </w:pPr>
      <w:r>
        <w:rPr/>
        <w:drawing>
          <wp:anchor distT="0" distB="0" distL="0" distR="0" allowOverlap="1" layoutInCell="1" locked="0" behindDoc="0" simplePos="0" relativeHeight="1072">
            <wp:simplePos x="0" y="0"/>
            <wp:positionH relativeFrom="page">
              <wp:posOffset>6047232</wp:posOffset>
            </wp:positionH>
            <wp:positionV relativeFrom="paragraph">
              <wp:posOffset>-405920</wp:posOffset>
            </wp:positionV>
            <wp:extent cx="717804"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7804" cy="723900"/>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2"/>
          <w:sz w:val="21"/>
        </w:rPr>
        <w:t>您</w:t>
      </w:r>
      <w:r>
        <w:rPr>
          <w:spacing w:val="-63"/>
          <w:position w:val="-7"/>
          <w:sz w:val="21"/>
        </w:rPr>
        <w:t>．</w:t>
      </w:r>
      <w:r>
        <w:rPr>
          <w:b/>
          <w:spacing w:val="-149"/>
          <w:sz w:val="21"/>
        </w:rPr>
        <w:t>理</w:t>
      </w:r>
      <w:r>
        <w:rPr>
          <w:spacing w:val="-63"/>
          <w:position w:val="-7"/>
          <w:sz w:val="21"/>
        </w:rPr>
        <w:t>．</w:t>
      </w:r>
      <w:r>
        <w:rPr>
          <w:b/>
          <w:spacing w:val="-152"/>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0"/>
        <w:rPr>
          <w:b/>
          <w:sz w:val="9"/>
        </w:rPr>
      </w:pPr>
    </w:p>
    <w:p>
      <w:pPr>
        <w:spacing w:after="0"/>
        <w:rPr>
          <w:sz w:val="9"/>
        </w:rPr>
        <w:sectPr>
          <w:type w:val="continuous"/>
          <w:pgSz w:w="11910" w:h="16840"/>
          <w:pgMar w:top="1040" w:bottom="1160" w:left="1160" w:right="940"/>
        </w:sectPr>
      </w:pPr>
    </w:p>
    <w:p>
      <w:pPr>
        <w:pStyle w:val="BodyText"/>
        <w:spacing w:before="5"/>
        <w:rPr>
          <w:b/>
          <w:sz w:val="53"/>
        </w:rPr>
      </w:pPr>
    </w:p>
    <w:p>
      <w:pPr>
        <w:pStyle w:val="Heading3"/>
        <w:tabs>
          <w:tab w:pos="1407" w:val="left" w:leader="none"/>
        </w:tabs>
        <w:spacing w:before="1"/>
        <w:ind w:left="397" w:firstLine="0"/>
      </w:pPr>
      <w:r>
        <w:rPr/>
        <w:drawing>
          <wp:anchor distT="0" distB="0" distL="0" distR="0" allowOverlap="1" layoutInCell="1" locked="0" behindDoc="1" simplePos="0" relativeHeight="268392671">
            <wp:simplePos x="0" y="0"/>
            <wp:positionH relativeFrom="page">
              <wp:posOffset>836675</wp:posOffset>
            </wp:positionH>
            <wp:positionV relativeFrom="paragraph">
              <wp:posOffset>-106335</wp:posOffset>
            </wp:positionV>
            <wp:extent cx="6028944" cy="775106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28944" cy="7751064"/>
                    </a:xfrm>
                    <a:prstGeom prst="rect">
                      <a:avLst/>
                    </a:prstGeom>
                  </pic:spPr>
                </pic:pic>
              </a:graphicData>
            </a:graphic>
          </wp:anchor>
        </w:drawing>
      </w: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BodyText"/>
        <w:spacing w:before="45"/>
        <w:ind w:left="397"/>
      </w:pPr>
      <w:r>
        <w:rPr/>
        <w:br w:type="column"/>
      </w:r>
      <w:r>
        <w:rPr/>
        <w:t>请扫描以查询验证条款</w:t>
      </w:r>
    </w:p>
    <w:p>
      <w:pPr>
        <w:spacing w:after="0"/>
        <w:sectPr>
          <w:type w:val="continuous"/>
          <w:pgSz w:w="11910" w:h="16840"/>
          <w:pgMar w:top="1040" w:bottom="1160" w:left="1160" w:right="940"/>
          <w:cols w:num="2" w:equalWidth="0">
            <w:col w:w="3096" w:space="4351"/>
            <w:col w:w="2363"/>
          </w:cols>
        </w:sectPr>
      </w:pPr>
    </w:p>
    <w:p>
      <w:pPr>
        <w:pStyle w:val="Heading3"/>
        <w:numPr>
          <w:ilvl w:val="0"/>
          <w:numId w:val="1"/>
        </w:numPr>
        <w:tabs>
          <w:tab w:pos="1808" w:val="left" w:leader="none"/>
          <w:tab w:pos="1809" w:val="left" w:leader="none"/>
        </w:tabs>
        <w:spacing w:line="240" w:lineRule="auto" w:before="26" w:after="0"/>
        <w:ind w:left="1808" w:right="0" w:hanging="439"/>
        <w:jc w:val="left"/>
      </w:pPr>
      <w:r>
        <w:rPr/>
        <w:pict>
          <v:line style="position:absolute;mso-position-horizontal-relative:page;mso-position-vertical-relative:page;z-index:-42808" from="63.720001pt,55.560013pt" to="542.880001pt,55.560013pt" stroked="true" strokeweight=".72pt" strokecolor="#000000">
            <v:stroke dashstyle="solid"/>
            <w10:wrap type="none"/>
          </v:line>
        </w:pict>
      </w:r>
      <w:r>
        <w:rPr>
          <w:spacing w:val="-3"/>
        </w:rPr>
        <w:t>被保险人享受本附加保险合同提供的保障……………………………………第</w:t>
      </w:r>
      <w:r>
        <w:rPr/>
        <w:t>2.2条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签收本附加保险合同次日起十日内您可以要求退还全部保险费……………第</w:t>
      </w:r>
      <w:r>
        <w:rPr>
          <w:b/>
          <w:sz w:val="21"/>
        </w:rPr>
        <w:t>1.3条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2"/>
          <w:sz w:val="21"/>
        </w:rPr>
        <w:t>您有保险单借款的权利…………………………………………………………第</w:t>
      </w:r>
      <w:r>
        <w:rPr>
          <w:b/>
          <w:sz w:val="21"/>
        </w:rPr>
        <w:t>5.3条</w:t>
      </w:r>
    </w:p>
    <w:p>
      <w:pPr>
        <w:pStyle w:val="BodyText"/>
        <w:spacing w:before="10"/>
        <w:rPr>
          <w:b/>
          <w:sz w:val="16"/>
        </w:rPr>
      </w:pPr>
    </w:p>
    <w:p>
      <w:pPr>
        <w:tabs>
          <w:tab w:pos="1410" w:val="left" w:leader="none"/>
        </w:tabs>
        <w:spacing w:before="0"/>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1"/>
          <w:sz w:val="21"/>
        </w:rPr>
        <w:t>您应当特别注意的事项</w:t>
      </w:r>
    </w:p>
    <w:p>
      <w:pPr>
        <w:pStyle w:val="ListParagraph"/>
        <w:numPr>
          <w:ilvl w:val="0"/>
          <w:numId w:val="1"/>
        </w:numPr>
        <w:tabs>
          <w:tab w:pos="1808" w:val="left" w:leader="none"/>
          <w:tab w:pos="1809" w:val="left" w:leader="none"/>
        </w:tabs>
        <w:spacing w:line="240" w:lineRule="auto" w:before="160" w:after="0"/>
        <w:ind w:left="1808" w:right="0" w:hanging="439"/>
        <w:jc w:val="left"/>
        <w:rPr>
          <w:b/>
          <w:sz w:val="21"/>
        </w:rPr>
      </w:pPr>
      <w:r>
        <w:rPr>
          <w:b/>
          <w:spacing w:val="-3"/>
          <w:sz w:val="21"/>
        </w:rPr>
        <w:t>退保会给您造成一定的损失，请您慎重决策…………………………………第</w:t>
      </w:r>
      <w:r>
        <w:rPr>
          <w:b/>
          <w:sz w:val="21"/>
        </w:rPr>
        <w:t>6.1条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在某些情况下，本公司不承担保险责任………………………………………第</w:t>
      </w:r>
      <w:r>
        <w:rPr>
          <w:b/>
          <w:sz w:val="21"/>
        </w:rPr>
        <w:t>2.3条</w:t>
      </w:r>
    </w:p>
    <w:p>
      <w:pPr>
        <w:pStyle w:val="ListParagraph"/>
        <w:numPr>
          <w:ilvl w:val="0"/>
          <w:numId w:val="1"/>
        </w:numPr>
        <w:tabs>
          <w:tab w:pos="1808" w:val="left" w:leader="none"/>
          <w:tab w:pos="1809" w:val="left" w:leader="none"/>
        </w:tabs>
        <w:spacing w:line="240" w:lineRule="auto" w:before="22" w:after="0"/>
        <w:ind w:left="1808" w:right="0" w:hanging="439"/>
        <w:jc w:val="left"/>
        <w:rPr>
          <w:b/>
          <w:sz w:val="21"/>
        </w:rPr>
      </w:pPr>
      <w:r>
        <w:rPr>
          <w:b/>
          <w:spacing w:val="-3"/>
          <w:sz w:val="21"/>
        </w:rPr>
        <w:t>本公司对一些重要术语进行了解释，并作了显著标识，请您注意…………第 </w:t>
      </w:r>
      <w:r>
        <w:rPr>
          <w:b/>
          <w:sz w:val="21"/>
        </w:rPr>
        <w:t>8 条</w:t>
      </w:r>
    </w:p>
    <w:p>
      <w:pPr>
        <w:pStyle w:val="BodyText"/>
        <w:spacing w:before="10"/>
        <w:rPr>
          <w:b/>
          <w:sz w:val="16"/>
        </w:rPr>
      </w:pPr>
    </w:p>
    <w:p>
      <w:pPr>
        <w:tabs>
          <w:tab w:pos="1410" w:val="left" w:leader="none"/>
        </w:tabs>
        <w:spacing w:before="0"/>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3"/>
          <w:sz w:val="21"/>
        </w:rPr>
        <w:t>条款是保险合同的重要内容，为充分保障您的权益，请您仔细阅读本条款。</w:t>
      </w:r>
    </w:p>
    <w:p>
      <w:pPr>
        <w:tabs>
          <w:tab w:pos="1407" w:val="left" w:leader="none"/>
        </w:tabs>
        <w:spacing w:before="181"/>
        <w:ind w:left="397"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pStyle w:val="BodyText"/>
        <w:spacing w:before="6"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4"/>
        <w:gridCol w:w="2670"/>
        <w:gridCol w:w="3042"/>
      </w:tblGrid>
      <w:tr>
        <w:trPr>
          <w:trHeight w:val="268" w:hRule="atLeast"/>
        </w:trPr>
        <w:tc>
          <w:tcPr>
            <w:tcW w:w="2664" w:type="dxa"/>
          </w:tcPr>
          <w:p>
            <w:pPr>
              <w:pStyle w:val="TableParagraph"/>
              <w:spacing w:line="226" w:lineRule="exact"/>
              <w:ind w:left="50"/>
              <w:rPr>
                <w:b/>
                <w:sz w:val="21"/>
              </w:rPr>
            </w:pPr>
            <w:r>
              <w:rPr>
                <w:b/>
                <w:sz w:val="21"/>
              </w:rPr>
              <w:t>1.您与我们的合同</w:t>
            </w:r>
          </w:p>
        </w:tc>
        <w:tc>
          <w:tcPr>
            <w:tcW w:w="2670" w:type="dxa"/>
          </w:tcPr>
          <w:p>
            <w:pPr>
              <w:pStyle w:val="TableParagraph"/>
              <w:spacing w:line="223" w:lineRule="exact"/>
              <w:ind w:left="88"/>
              <w:rPr>
                <w:b/>
                <w:sz w:val="21"/>
              </w:rPr>
            </w:pPr>
            <w:r>
              <w:rPr>
                <w:b/>
                <w:sz w:val="21"/>
              </w:rPr>
              <w:t>4.如何交付保险费</w:t>
            </w:r>
          </w:p>
        </w:tc>
        <w:tc>
          <w:tcPr>
            <w:tcW w:w="3042" w:type="dxa"/>
          </w:tcPr>
          <w:p>
            <w:pPr>
              <w:pStyle w:val="TableParagraph"/>
              <w:spacing w:line="211" w:lineRule="exact"/>
              <w:ind w:left="257"/>
              <w:rPr>
                <w:b/>
                <w:sz w:val="21"/>
              </w:rPr>
            </w:pPr>
            <w:r>
              <w:rPr>
                <w:b/>
                <w:sz w:val="21"/>
              </w:rPr>
              <w:t>8.释义</w:t>
            </w:r>
          </w:p>
        </w:tc>
      </w:tr>
      <w:tr>
        <w:trPr>
          <w:trHeight w:val="311" w:hRule="atLeast"/>
        </w:trPr>
        <w:tc>
          <w:tcPr>
            <w:tcW w:w="2664" w:type="dxa"/>
          </w:tcPr>
          <w:p>
            <w:pPr>
              <w:pStyle w:val="TableParagraph"/>
              <w:spacing w:line="269" w:lineRule="exact"/>
              <w:ind w:left="261"/>
              <w:rPr>
                <w:sz w:val="21"/>
              </w:rPr>
            </w:pPr>
            <w:r>
              <w:rPr>
                <w:sz w:val="21"/>
              </w:rPr>
              <w:t>1.1 合同构成</w:t>
            </w:r>
          </w:p>
        </w:tc>
        <w:tc>
          <w:tcPr>
            <w:tcW w:w="2670" w:type="dxa"/>
          </w:tcPr>
          <w:p>
            <w:pPr>
              <w:pStyle w:val="TableParagraph"/>
              <w:spacing w:line="266" w:lineRule="exact"/>
              <w:ind w:left="299"/>
              <w:rPr>
                <w:sz w:val="21"/>
              </w:rPr>
            </w:pPr>
            <w:r>
              <w:rPr>
                <w:sz w:val="21"/>
              </w:rPr>
              <w:t>4.1 保险费的交付</w:t>
            </w:r>
          </w:p>
        </w:tc>
        <w:tc>
          <w:tcPr>
            <w:tcW w:w="3042" w:type="dxa"/>
          </w:tcPr>
          <w:p>
            <w:pPr>
              <w:pStyle w:val="TableParagraph"/>
              <w:spacing w:line="254" w:lineRule="exact"/>
              <w:ind w:left="468"/>
              <w:rPr>
                <w:sz w:val="21"/>
              </w:rPr>
            </w:pPr>
            <w:r>
              <w:rPr>
                <w:sz w:val="21"/>
              </w:rPr>
              <w:t>8.1 有效身份证件</w:t>
            </w:r>
          </w:p>
        </w:tc>
      </w:tr>
      <w:tr>
        <w:trPr>
          <w:trHeight w:val="311" w:hRule="atLeast"/>
        </w:trPr>
        <w:tc>
          <w:tcPr>
            <w:tcW w:w="2664" w:type="dxa"/>
          </w:tcPr>
          <w:p>
            <w:pPr>
              <w:pStyle w:val="TableParagraph"/>
              <w:spacing w:line="269" w:lineRule="exact"/>
              <w:ind w:left="261"/>
              <w:rPr>
                <w:sz w:val="21"/>
              </w:rPr>
            </w:pPr>
            <w:r>
              <w:rPr>
                <w:sz w:val="21"/>
              </w:rPr>
              <w:t>1.2 合同成立与生效</w:t>
            </w:r>
          </w:p>
        </w:tc>
        <w:tc>
          <w:tcPr>
            <w:tcW w:w="2670" w:type="dxa"/>
          </w:tcPr>
          <w:p>
            <w:pPr>
              <w:pStyle w:val="TableParagraph"/>
              <w:rPr>
                <w:rFonts w:ascii="Times New Roman"/>
                <w:sz w:val="20"/>
              </w:rPr>
            </w:pPr>
          </w:p>
        </w:tc>
        <w:tc>
          <w:tcPr>
            <w:tcW w:w="3042" w:type="dxa"/>
          </w:tcPr>
          <w:p>
            <w:pPr>
              <w:pStyle w:val="TableParagraph"/>
              <w:spacing w:line="254" w:lineRule="exact"/>
              <w:ind w:left="468"/>
              <w:rPr>
                <w:sz w:val="21"/>
              </w:rPr>
            </w:pPr>
            <w:r>
              <w:rPr>
                <w:sz w:val="21"/>
              </w:rPr>
              <w:t>8.2 意外事故</w:t>
            </w:r>
          </w:p>
        </w:tc>
      </w:tr>
      <w:tr>
        <w:trPr>
          <w:trHeight w:val="311" w:hRule="atLeast"/>
        </w:trPr>
        <w:tc>
          <w:tcPr>
            <w:tcW w:w="2664" w:type="dxa"/>
          </w:tcPr>
          <w:p>
            <w:pPr>
              <w:pStyle w:val="TableParagraph"/>
              <w:spacing w:line="269" w:lineRule="exact"/>
              <w:ind w:left="261"/>
              <w:rPr>
                <w:sz w:val="21"/>
              </w:rPr>
            </w:pPr>
            <w:r>
              <w:rPr>
                <w:sz w:val="21"/>
              </w:rPr>
              <w:t>1.3 犹豫期</w:t>
            </w:r>
          </w:p>
        </w:tc>
        <w:tc>
          <w:tcPr>
            <w:tcW w:w="2670" w:type="dxa"/>
          </w:tcPr>
          <w:p>
            <w:pPr>
              <w:pStyle w:val="TableParagraph"/>
              <w:spacing w:line="266" w:lineRule="exact"/>
              <w:ind w:left="88"/>
              <w:rPr>
                <w:b/>
                <w:sz w:val="21"/>
              </w:rPr>
            </w:pPr>
            <w:r>
              <w:rPr>
                <w:b/>
                <w:sz w:val="21"/>
              </w:rPr>
              <w:t>5.现金价值权益</w:t>
            </w:r>
          </w:p>
        </w:tc>
        <w:tc>
          <w:tcPr>
            <w:tcW w:w="3042" w:type="dxa"/>
          </w:tcPr>
          <w:p>
            <w:pPr>
              <w:pStyle w:val="TableParagraph"/>
              <w:spacing w:line="254" w:lineRule="exact"/>
              <w:ind w:right="48"/>
              <w:jc w:val="right"/>
              <w:rPr>
                <w:sz w:val="21"/>
              </w:rPr>
            </w:pPr>
            <w:r>
              <w:rPr>
                <w:sz w:val="21"/>
              </w:rPr>
              <w:t>8.3 指定或认可的医疗机构</w:t>
            </w:r>
          </w:p>
        </w:tc>
      </w:tr>
      <w:tr>
        <w:trPr>
          <w:trHeight w:val="312" w:hRule="atLeast"/>
        </w:trPr>
        <w:tc>
          <w:tcPr>
            <w:tcW w:w="2664" w:type="dxa"/>
          </w:tcPr>
          <w:p>
            <w:pPr>
              <w:pStyle w:val="TableParagraph"/>
              <w:spacing w:line="269" w:lineRule="exact"/>
              <w:ind w:left="261"/>
              <w:rPr>
                <w:sz w:val="21"/>
              </w:rPr>
            </w:pPr>
            <w:r>
              <w:rPr>
                <w:sz w:val="21"/>
              </w:rPr>
              <w:t>1.4 保险期间</w:t>
            </w:r>
          </w:p>
        </w:tc>
        <w:tc>
          <w:tcPr>
            <w:tcW w:w="2670" w:type="dxa"/>
          </w:tcPr>
          <w:p>
            <w:pPr>
              <w:pStyle w:val="TableParagraph"/>
              <w:spacing w:line="266" w:lineRule="exact"/>
              <w:ind w:left="299"/>
              <w:rPr>
                <w:sz w:val="21"/>
              </w:rPr>
            </w:pPr>
            <w:r>
              <w:rPr>
                <w:sz w:val="21"/>
              </w:rPr>
              <w:t>5.1 现金价值</w:t>
            </w:r>
          </w:p>
        </w:tc>
        <w:tc>
          <w:tcPr>
            <w:tcW w:w="3042" w:type="dxa"/>
          </w:tcPr>
          <w:p>
            <w:pPr>
              <w:pStyle w:val="TableParagraph"/>
              <w:spacing w:line="254" w:lineRule="exact"/>
              <w:ind w:left="468"/>
              <w:rPr>
                <w:sz w:val="21"/>
              </w:rPr>
            </w:pPr>
            <w:r>
              <w:rPr>
                <w:sz w:val="21"/>
              </w:rPr>
              <w:t>8.4 毒品</w:t>
            </w:r>
          </w:p>
        </w:tc>
      </w:tr>
      <w:tr>
        <w:trPr>
          <w:trHeight w:val="310" w:hRule="atLeast"/>
        </w:trPr>
        <w:tc>
          <w:tcPr>
            <w:tcW w:w="2664" w:type="dxa"/>
          </w:tcPr>
          <w:p>
            <w:pPr>
              <w:pStyle w:val="TableParagraph"/>
              <w:rPr>
                <w:rFonts w:ascii="Times New Roman"/>
                <w:sz w:val="20"/>
              </w:rPr>
            </w:pPr>
          </w:p>
        </w:tc>
        <w:tc>
          <w:tcPr>
            <w:tcW w:w="2670" w:type="dxa"/>
          </w:tcPr>
          <w:p>
            <w:pPr>
              <w:pStyle w:val="TableParagraph"/>
              <w:spacing w:line="266" w:lineRule="exact"/>
              <w:ind w:left="299"/>
              <w:rPr>
                <w:sz w:val="21"/>
              </w:rPr>
            </w:pPr>
            <w:r>
              <w:rPr>
                <w:sz w:val="21"/>
              </w:rPr>
              <w:t>5.2 自动垫交</w:t>
            </w:r>
          </w:p>
        </w:tc>
        <w:tc>
          <w:tcPr>
            <w:tcW w:w="3042" w:type="dxa"/>
          </w:tcPr>
          <w:p>
            <w:pPr>
              <w:pStyle w:val="TableParagraph"/>
              <w:spacing w:line="254" w:lineRule="exact"/>
              <w:ind w:left="468"/>
              <w:rPr>
                <w:sz w:val="21"/>
              </w:rPr>
            </w:pPr>
            <w:r>
              <w:rPr>
                <w:sz w:val="21"/>
              </w:rPr>
              <w:t>8.5 酒后驾驶</w:t>
            </w:r>
          </w:p>
        </w:tc>
      </w:tr>
      <w:tr>
        <w:trPr>
          <w:trHeight w:val="313" w:hRule="atLeast"/>
        </w:trPr>
        <w:tc>
          <w:tcPr>
            <w:tcW w:w="2664" w:type="dxa"/>
          </w:tcPr>
          <w:p>
            <w:pPr>
              <w:pStyle w:val="TableParagraph"/>
              <w:spacing w:line="270" w:lineRule="exact"/>
              <w:ind w:left="50"/>
              <w:rPr>
                <w:b/>
                <w:sz w:val="21"/>
              </w:rPr>
            </w:pPr>
            <w:r>
              <w:rPr>
                <w:b/>
                <w:sz w:val="21"/>
              </w:rPr>
              <w:t>2.我们提供的保障</w:t>
            </w:r>
          </w:p>
        </w:tc>
        <w:tc>
          <w:tcPr>
            <w:tcW w:w="2670" w:type="dxa"/>
          </w:tcPr>
          <w:p>
            <w:pPr>
              <w:pStyle w:val="TableParagraph"/>
              <w:spacing w:line="267" w:lineRule="exact"/>
              <w:ind w:left="299"/>
              <w:rPr>
                <w:sz w:val="21"/>
              </w:rPr>
            </w:pPr>
            <w:r>
              <w:rPr>
                <w:sz w:val="21"/>
              </w:rPr>
              <w:t>5.3 保险单借款</w:t>
            </w:r>
          </w:p>
        </w:tc>
        <w:tc>
          <w:tcPr>
            <w:tcW w:w="3042" w:type="dxa"/>
          </w:tcPr>
          <w:p>
            <w:pPr>
              <w:pStyle w:val="TableParagraph"/>
              <w:spacing w:line="255" w:lineRule="exact"/>
              <w:ind w:right="48"/>
              <w:jc w:val="right"/>
              <w:rPr>
                <w:sz w:val="21"/>
              </w:rPr>
            </w:pPr>
            <w:r>
              <w:rPr>
                <w:sz w:val="21"/>
              </w:rPr>
              <w:t>8.6 无合法有效驾驶证驾驶</w:t>
            </w:r>
          </w:p>
        </w:tc>
      </w:tr>
      <w:tr>
        <w:trPr>
          <w:trHeight w:val="312" w:hRule="atLeast"/>
        </w:trPr>
        <w:tc>
          <w:tcPr>
            <w:tcW w:w="2664" w:type="dxa"/>
          </w:tcPr>
          <w:p>
            <w:pPr>
              <w:pStyle w:val="TableParagraph"/>
              <w:spacing w:line="269" w:lineRule="exact"/>
              <w:ind w:left="261"/>
              <w:rPr>
                <w:sz w:val="21"/>
              </w:rPr>
            </w:pPr>
            <w:r>
              <w:rPr>
                <w:sz w:val="21"/>
              </w:rPr>
              <w:t>2.1 保险金额</w:t>
            </w:r>
          </w:p>
        </w:tc>
        <w:tc>
          <w:tcPr>
            <w:tcW w:w="2670" w:type="dxa"/>
          </w:tcPr>
          <w:p>
            <w:pPr>
              <w:pStyle w:val="TableParagraph"/>
              <w:spacing w:line="266" w:lineRule="exact"/>
              <w:ind w:left="299"/>
              <w:rPr>
                <w:sz w:val="21"/>
              </w:rPr>
            </w:pPr>
            <w:r>
              <w:rPr>
                <w:sz w:val="21"/>
              </w:rPr>
              <w:t>5.4 减额交清</w:t>
            </w:r>
          </w:p>
        </w:tc>
        <w:tc>
          <w:tcPr>
            <w:tcW w:w="3042" w:type="dxa"/>
          </w:tcPr>
          <w:p>
            <w:pPr>
              <w:pStyle w:val="TableParagraph"/>
              <w:spacing w:line="254" w:lineRule="exact"/>
              <w:ind w:left="468"/>
              <w:rPr>
                <w:sz w:val="21"/>
              </w:rPr>
            </w:pPr>
            <w:r>
              <w:rPr>
                <w:sz w:val="21"/>
              </w:rPr>
              <w:t>8.7 无有效行驶证</w:t>
            </w:r>
          </w:p>
        </w:tc>
      </w:tr>
      <w:tr>
        <w:trPr>
          <w:trHeight w:val="312" w:hRule="atLeast"/>
        </w:trPr>
        <w:tc>
          <w:tcPr>
            <w:tcW w:w="2664" w:type="dxa"/>
          </w:tcPr>
          <w:p>
            <w:pPr>
              <w:pStyle w:val="TableParagraph"/>
              <w:spacing w:line="269" w:lineRule="exact"/>
              <w:ind w:left="261"/>
              <w:rPr>
                <w:sz w:val="21"/>
              </w:rPr>
            </w:pPr>
            <w:r>
              <w:rPr>
                <w:sz w:val="21"/>
              </w:rPr>
              <w:t>2.2 保险责任</w:t>
            </w:r>
          </w:p>
        </w:tc>
        <w:tc>
          <w:tcPr>
            <w:tcW w:w="2670" w:type="dxa"/>
          </w:tcPr>
          <w:p>
            <w:pPr>
              <w:pStyle w:val="TableParagraph"/>
              <w:rPr>
                <w:rFonts w:ascii="Times New Roman"/>
                <w:sz w:val="20"/>
              </w:rPr>
            </w:pPr>
          </w:p>
        </w:tc>
        <w:tc>
          <w:tcPr>
            <w:tcW w:w="3042" w:type="dxa"/>
          </w:tcPr>
          <w:p>
            <w:pPr>
              <w:pStyle w:val="TableParagraph"/>
              <w:spacing w:line="254" w:lineRule="exact"/>
              <w:ind w:left="461"/>
              <w:rPr>
                <w:sz w:val="21"/>
              </w:rPr>
            </w:pPr>
            <w:r>
              <w:rPr>
                <w:sz w:val="21"/>
              </w:rPr>
              <w:t>8.8 艾滋病</w:t>
            </w:r>
          </w:p>
        </w:tc>
      </w:tr>
      <w:tr>
        <w:trPr>
          <w:trHeight w:val="311" w:hRule="atLeast"/>
        </w:trPr>
        <w:tc>
          <w:tcPr>
            <w:tcW w:w="2664" w:type="dxa"/>
          </w:tcPr>
          <w:p>
            <w:pPr>
              <w:pStyle w:val="TableParagraph"/>
              <w:spacing w:line="269" w:lineRule="exact"/>
              <w:ind w:left="261"/>
              <w:rPr>
                <w:sz w:val="21"/>
              </w:rPr>
            </w:pPr>
            <w:r>
              <w:rPr>
                <w:sz w:val="21"/>
              </w:rPr>
              <w:t>2.3 责任免除</w:t>
            </w:r>
          </w:p>
        </w:tc>
        <w:tc>
          <w:tcPr>
            <w:tcW w:w="2670" w:type="dxa"/>
          </w:tcPr>
          <w:p>
            <w:pPr>
              <w:pStyle w:val="TableParagraph"/>
              <w:spacing w:line="266" w:lineRule="exact"/>
              <w:ind w:left="88"/>
              <w:rPr>
                <w:b/>
                <w:sz w:val="21"/>
              </w:rPr>
            </w:pPr>
            <w:r>
              <w:rPr>
                <w:b/>
                <w:sz w:val="21"/>
              </w:rPr>
              <w:t>6.如何解除保险合同</w:t>
            </w:r>
          </w:p>
        </w:tc>
        <w:tc>
          <w:tcPr>
            <w:tcW w:w="3042" w:type="dxa"/>
          </w:tcPr>
          <w:p>
            <w:pPr>
              <w:pStyle w:val="TableParagraph"/>
              <w:spacing w:line="254" w:lineRule="exact"/>
              <w:ind w:left="468"/>
              <w:rPr>
                <w:sz w:val="21"/>
              </w:rPr>
            </w:pPr>
            <w:r>
              <w:rPr>
                <w:sz w:val="21"/>
              </w:rPr>
              <w:t>8.9 艾滋病病毒</w:t>
            </w:r>
          </w:p>
        </w:tc>
      </w:tr>
      <w:tr>
        <w:trPr>
          <w:trHeight w:val="310" w:hRule="atLeast"/>
        </w:trPr>
        <w:tc>
          <w:tcPr>
            <w:tcW w:w="2664" w:type="dxa"/>
          </w:tcPr>
          <w:p>
            <w:pPr>
              <w:pStyle w:val="TableParagraph"/>
              <w:rPr>
                <w:rFonts w:ascii="Times New Roman"/>
                <w:sz w:val="20"/>
              </w:rPr>
            </w:pPr>
          </w:p>
        </w:tc>
        <w:tc>
          <w:tcPr>
            <w:tcW w:w="2670" w:type="dxa"/>
          </w:tcPr>
          <w:p>
            <w:pPr>
              <w:pStyle w:val="TableParagraph"/>
              <w:spacing w:line="266" w:lineRule="exact"/>
              <w:ind w:left="299"/>
              <w:rPr>
                <w:sz w:val="21"/>
              </w:rPr>
            </w:pPr>
            <w:r>
              <w:rPr>
                <w:sz w:val="21"/>
              </w:rPr>
              <w:t>6.1 您解除合同的</w:t>
            </w:r>
          </w:p>
        </w:tc>
        <w:tc>
          <w:tcPr>
            <w:tcW w:w="3042" w:type="dxa"/>
          </w:tcPr>
          <w:p>
            <w:pPr>
              <w:pStyle w:val="TableParagraph"/>
              <w:spacing w:line="254" w:lineRule="exact"/>
              <w:ind w:left="468"/>
              <w:rPr>
                <w:sz w:val="21"/>
              </w:rPr>
            </w:pPr>
            <w:r>
              <w:rPr>
                <w:sz w:val="21"/>
              </w:rPr>
              <w:t>8.10 遗传性疾病</w:t>
            </w:r>
          </w:p>
        </w:tc>
      </w:tr>
      <w:tr>
        <w:trPr>
          <w:trHeight w:val="313" w:hRule="atLeast"/>
        </w:trPr>
        <w:tc>
          <w:tcPr>
            <w:tcW w:w="2664" w:type="dxa"/>
          </w:tcPr>
          <w:p>
            <w:pPr>
              <w:pStyle w:val="TableParagraph"/>
              <w:spacing w:line="270" w:lineRule="exact"/>
              <w:ind w:left="50"/>
              <w:rPr>
                <w:b/>
                <w:sz w:val="21"/>
              </w:rPr>
            </w:pPr>
            <w:r>
              <w:rPr>
                <w:b/>
                <w:sz w:val="21"/>
              </w:rPr>
              <w:t>3.如何申请领取保险金</w:t>
            </w:r>
          </w:p>
        </w:tc>
        <w:tc>
          <w:tcPr>
            <w:tcW w:w="2670" w:type="dxa"/>
          </w:tcPr>
          <w:p>
            <w:pPr>
              <w:pStyle w:val="TableParagraph"/>
              <w:spacing w:line="267" w:lineRule="exact"/>
              <w:ind w:left="719"/>
              <w:rPr>
                <w:sz w:val="21"/>
              </w:rPr>
            </w:pPr>
            <w:r>
              <w:rPr>
                <w:sz w:val="21"/>
              </w:rPr>
              <w:t>手续及风险</w:t>
            </w:r>
          </w:p>
        </w:tc>
        <w:tc>
          <w:tcPr>
            <w:tcW w:w="3042" w:type="dxa"/>
          </w:tcPr>
          <w:p>
            <w:pPr>
              <w:pStyle w:val="TableParagraph"/>
              <w:spacing w:line="255" w:lineRule="exact"/>
              <w:ind w:left="468"/>
              <w:rPr>
                <w:sz w:val="21"/>
              </w:rPr>
            </w:pPr>
            <w:r>
              <w:rPr>
                <w:sz w:val="21"/>
              </w:rPr>
              <w:t>8.11 先天性畸形、变</w:t>
            </w:r>
          </w:p>
        </w:tc>
      </w:tr>
      <w:tr>
        <w:trPr>
          <w:trHeight w:val="311" w:hRule="atLeast"/>
        </w:trPr>
        <w:tc>
          <w:tcPr>
            <w:tcW w:w="2664" w:type="dxa"/>
          </w:tcPr>
          <w:p>
            <w:pPr>
              <w:pStyle w:val="TableParagraph"/>
              <w:spacing w:line="269" w:lineRule="exact"/>
              <w:ind w:left="261"/>
              <w:rPr>
                <w:sz w:val="21"/>
              </w:rPr>
            </w:pPr>
            <w:r>
              <w:rPr>
                <w:sz w:val="21"/>
              </w:rPr>
              <w:t>3.1 受益人的指定和变更</w:t>
            </w:r>
          </w:p>
        </w:tc>
        <w:tc>
          <w:tcPr>
            <w:tcW w:w="2670" w:type="dxa"/>
          </w:tcPr>
          <w:p>
            <w:pPr>
              <w:pStyle w:val="TableParagraph"/>
              <w:rPr>
                <w:rFonts w:ascii="Times New Roman"/>
                <w:sz w:val="20"/>
              </w:rPr>
            </w:pPr>
          </w:p>
        </w:tc>
        <w:tc>
          <w:tcPr>
            <w:tcW w:w="3042" w:type="dxa"/>
          </w:tcPr>
          <w:p>
            <w:pPr>
              <w:pStyle w:val="TableParagraph"/>
              <w:spacing w:line="254" w:lineRule="exact"/>
              <w:ind w:left="994"/>
              <w:rPr>
                <w:sz w:val="21"/>
              </w:rPr>
            </w:pPr>
            <w:r>
              <w:rPr>
                <w:sz w:val="21"/>
              </w:rPr>
              <w:t>形或染色体异常</w:t>
            </w:r>
          </w:p>
        </w:tc>
      </w:tr>
      <w:tr>
        <w:trPr>
          <w:trHeight w:val="311" w:hRule="atLeast"/>
        </w:trPr>
        <w:tc>
          <w:tcPr>
            <w:tcW w:w="2664" w:type="dxa"/>
          </w:tcPr>
          <w:p>
            <w:pPr>
              <w:pStyle w:val="TableParagraph"/>
              <w:spacing w:line="269" w:lineRule="exact"/>
              <w:ind w:left="261"/>
              <w:rPr>
                <w:sz w:val="21"/>
              </w:rPr>
            </w:pPr>
            <w:r>
              <w:rPr>
                <w:sz w:val="21"/>
              </w:rPr>
              <w:t>3.2 保险金的申请</w:t>
            </w:r>
          </w:p>
        </w:tc>
        <w:tc>
          <w:tcPr>
            <w:tcW w:w="2670" w:type="dxa"/>
          </w:tcPr>
          <w:p>
            <w:pPr>
              <w:pStyle w:val="TableParagraph"/>
              <w:spacing w:line="266" w:lineRule="exact"/>
              <w:ind w:left="88"/>
              <w:rPr>
                <w:b/>
                <w:sz w:val="21"/>
              </w:rPr>
            </w:pPr>
            <w:r>
              <w:rPr>
                <w:b/>
                <w:sz w:val="21"/>
              </w:rPr>
              <w:t>7.其他需要您关注的事项</w:t>
            </w:r>
          </w:p>
        </w:tc>
        <w:tc>
          <w:tcPr>
            <w:tcW w:w="3042" w:type="dxa"/>
          </w:tcPr>
          <w:p>
            <w:pPr>
              <w:pStyle w:val="TableParagraph"/>
              <w:spacing w:line="254" w:lineRule="exact"/>
              <w:ind w:left="468"/>
              <w:rPr>
                <w:sz w:val="21"/>
              </w:rPr>
            </w:pPr>
            <w:r>
              <w:rPr>
                <w:sz w:val="21"/>
              </w:rPr>
              <w:t>8.12 现金价值</w:t>
            </w:r>
          </w:p>
        </w:tc>
      </w:tr>
      <w:tr>
        <w:trPr>
          <w:trHeight w:val="317" w:hRule="atLeast"/>
        </w:trPr>
        <w:tc>
          <w:tcPr>
            <w:tcW w:w="2664" w:type="dxa"/>
          </w:tcPr>
          <w:p>
            <w:pPr>
              <w:pStyle w:val="TableParagraph"/>
              <w:spacing w:line="269" w:lineRule="exact"/>
              <w:ind w:left="261"/>
              <w:rPr>
                <w:sz w:val="21"/>
              </w:rPr>
            </w:pPr>
            <w:r>
              <w:rPr>
                <w:sz w:val="21"/>
              </w:rPr>
              <w:t>3.3 欠款的扣除</w:t>
            </w:r>
          </w:p>
        </w:tc>
        <w:tc>
          <w:tcPr>
            <w:tcW w:w="2670" w:type="dxa"/>
          </w:tcPr>
          <w:p>
            <w:pPr>
              <w:pStyle w:val="TableParagraph"/>
              <w:spacing w:line="266" w:lineRule="exact"/>
              <w:ind w:left="299"/>
              <w:rPr>
                <w:sz w:val="21"/>
              </w:rPr>
            </w:pPr>
            <w:r>
              <w:rPr>
                <w:sz w:val="21"/>
              </w:rPr>
              <w:t>7.1 投保范围</w:t>
            </w:r>
          </w:p>
        </w:tc>
        <w:tc>
          <w:tcPr>
            <w:tcW w:w="3042" w:type="dxa"/>
          </w:tcPr>
          <w:p>
            <w:pPr>
              <w:pStyle w:val="TableParagraph"/>
              <w:spacing w:line="254" w:lineRule="exact"/>
              <w:ind w:left="468"/>
              <w:rPr>
                <w:sz w:val="21"/>
              </w:rPr>
            </w:pPr>
            <w:r>
              <w:rPr>
                <w:sz w:val="21"/>
              </w:rPr>
              <w:t>8.13 利息</w:t>
            </w:r>
          </w:p>
        </w:tc>
      </w:tr>
      <w:tr>
        <w:trPr>
          <w:trHeight w:val="262" w:hRule="atLeast"/>
        </w:trPr>
        <w:tc>
          <w:tcPr>
            <w:tcW w:w="2664" w:type="dxa"/>
          </w:tcPr>
          <w:p>
            <w:pPr>
              <w:pStyle w:val="TableParagraph"/>
              <w:spacing w:line="243" w:lineRule="exact"/>
              <w:ind w:left="261"/>
              <w:rPr>
                <w:sz w:val="21"/>
              </w:rPr>
            </w:pPr>
            <w:r>
              <w:rPr>
                <w:sz w:val="21"/>
              </w:rPr>
              <w:t>3.4 诉讼时效</w:t>
            </w:r>
          </w:p>
        </w:tc>
        <w:tc>
          <w:tcPr>
            <w:tcW w:w="2670" w:type="dxa"/>
          </w:tcPr>
          <w:p>
            <w:pPr>
              <w:pStyle w:val="TableParagraph"/>
              <w:spacing w:line="243" w:lineRule="exact"/>
              <w:ind w:left="299"/>
              <w:rPr>
                <w:sz w:val="21"/>
              </w:rPr>
            </w:pPr>
            <w:r>
              <w:rPr>
                <w:sz w:val="21"/>
              </w:rPr>
              <w:t>7.2 合同效力</w:t>
            </w:r>
          </w:p>
        </w:tc>
        <w:tc>
          <w:tcPr>
            <w:tcW w:w="3042" w:type="dxa"/>
          </w:tcPr>
          <w:p>
            <w:pPr>
              <w:pStyle w:val="TableParagraph"/>
              <w:rPr>
                <w:rFonts w:ascii="Times New Roman"/>
                <w:sz w:val="18"/>
              </w:rPr>
            </w:pPr>
          </w:p>
        </w:tc>
      </w:tr>
    </w:tbl>
    <w:p>
      <w:pPr>
        <w:spacing w:after="0"/>
        <w:rPr>
          <w:rFonts w:ascii="Times New Roman"/>
          <w:sz w:val="18"/>
        </w:rPr>
        <w:sectPr>
          <w:type w:val="continuous"/>
          <w:pgSz w:w="11910" w:h="16840"/>
          <w:pgMar w:top="1040" w:bottom="1160" w:left="1160" w:right="940"/>
        </w:sectPr>
      </w:pPr>
    </w:p>
    <w:p>
      <w:pPr>
        <w:pStyle w:val="BodyText"/>
        <w:spacing w:before="2"/>
        <w:rPr>
          <w:b/>
          <w:sz w:val="21"/>
        </w:rPr>
      </w:pPr>
    </w:p>
    <w:p>
      <w:pPr>
        <w:pStyle w:val="Heading1"/>
      </w:pPr>
      <w:r>
        <w:rPr/>
        <w:t>民生人寿保险股份有限公司</w:t>
      </w:r>
    </w:p>
    <w:p>
      <w:pPr>
        <w:spacing w:before="125"/>
        <w:ind w:left="2832" w:right="3025" w:firstLine="0"/>
        <w:jc w:val="center"/>
        <w:rPr>
          <w:b/>
          <w:sz w:val="28"/>
        </w:rPr>
      </w:pPr>
      <w:r>
        <w:rPr>
          <w:b/>
          <w:w w:val="95"/>
          <w:sz w:val="28"/>
        </w:rPr>
        <w:t>附加康裕额外给付重大疾病保险条款</w:t>
      </w:r>
    </w:p>
    <w:p>
      <w:pPr>
        <w:pStyle w:val="BodyText"/>
        <w:spacing w:before="0"/>
        <w:rPr>
          <w:b/>
          <w:sz w:val="28"/>
        </w:rPr>
      </w:pPr>
    </w:p>
    <w:p>
      <w:pPr>
        <w:pStyle w:val="BodyText"/>
        <w:spacing w:before="10"/>
        <w:rPr>
          <w:b/>
          <w:sz w:val="31"/>
        </w:rPr>
      </w:pPr>
    </w:p>
    <w:p>
      <w:pPr>
        <w:spacing w:before="0"/>
        <w:ind w:left="223" w:right="0" w:firstLine="0"/>
        <w:jc w:val="left"/>
        <w:rPr>
          <w:sz w:val="21"/>
        </w:rPr>
      </w:pPr>
      <w:r>
        <w:rPr>
          <w:spacing w:val="-24"/>
          <w:w w:val="100"/>
          <w:sz w:val="21"/>
        </w:rPr>
        <w:t>在本条款中，“您”指投保人，“我们”、“本公司”均指民生人寿保险股份有限公司</w:t>
      </w:r>
    </w:p>
    <w:p>
      <w:pPr>
        <w:pStyle w:val="BodyText"/>
        <w:spacing w:before="0"/>
        <w:rPr>
          <w:sz w:val="20"/>
        </w:rPr>
      </w:pPr>
    </w:p>
    <w:p>
      <w:pPr>
        <w:pStyle w:val="BodyText"/>
        <w:spacing w:before="3"/>
        <w:rPr>
          <w:sz w:val="20"/>
        </w:rPr>
      </w:pPr>
    </w:p>
    <w:p>
      <w:pPr>
        <w:pStyle w:val="Heading2"/>
        <w:numPr>
          <w:ilvl w:val="0"/>
          <w:numId w:val="2"/>
        </w:numPr>
        <w:tabs>
          <w:tab w:pos="907" w:val="left" w:leader="none"/>
          <w:tab w:pos="908" w:val="left" w:leader="none"/>
        </w:tabs>
        <w:spacing w:line="240" w:lineRule="auto" w:before="0" w:after="0"/>
        <w:ind w:left="907" w:right="0" w:hanging="684"/>
        <w:jc w:val="left"/>
      </w:pPr>
      <w:r>
        <w:rPr/>
        <w:pict>
          <v:group style="position:absolute;margin-left:59.759998pt;margin-top:27.372496pt;width:497.4pt;height:.5pt;mso-position-horizontal-relative:page;mso-position-vertical-relative:paragraph;z-index:1096;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您与我们的合同</w:t>
      </w:r>
    </w:p>
    <w:p>
      <w:pPr>
        <w:pStyle w:val="BodyText"/>
        <w:spacing w:before="9"/>
        <w:rPr>
          <w:b/>
          <w:sz w:val="10"/>
        </w:rPr>
      </w:pPr>
    </w:p>
    <w:p>
      <w:pPr>
        <w:pStyle w:val="ListParagraph"/>
        <w:numPr>
          <w:ilvl w:val="1"/>
          <w:numId w:val="3"/>
        </w:numPr>
        <w:tabs>
          <w:tab w:pos="908" w:val="left" w:leader="none"/>
        </w:tabs>
        <w:spacing w:line="302" w:lineRule="auto" w:before="37" w:after="0"/>
        <w:ind w:left="2613" w:right="258" w:hanging="2390"/>
        <w:jc w:val="both"/>
        <w:rPr>
          <w:sz w:val="18"/>
        </w:rPr>
      </w:pPr>
      <w:r>
        <w:rPr>
          <w:b/>
          <w:w w:val="100"/>
          <w:sz w:val="21"/>
        </w:rPr>
        <w:t>合同构成</w:t>
      </w:r>
      <w:r>
        <w:rPr>
          <w:b/>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9"/>
        <w:ind w:left="2613"/>
      </w:pPr>
      <w:r>
        <w:rPr/>
        <w:t>除本附加合同另有约定外，其他未尽事宜以主险合同条款为准。</w:t>
      </w:r>
    </w:p>
    <w:p>
      <w:pPr>
        <w:pStyle w:val="BodyText"/>
        <w:spacing w:before="5"/>
        <w:rPr>
          <w:sz w:val="21"/>
        </w:rPr>
      </w:pPr>
    </w:p>
    <w:p>
      <w:pPr>
        <w:pStyle w:val="ListParagraph"/>
        <w:numPr>
          <w:ilvl w:val="1"/>
          <w:numId w:val="3"/>
        </w:numPr>
        <w:tabs>
          <w:tab w:pos="907" w:val="left" w:leader="none"/>
          <w:tab w:pos="908" w:val="left" w:leader="none"/>
          <w:tab w:pos="2613" w:val="left" w:leader="none"/>
        </w:tabs>
        <w:spacing w:line="240" w:lineRule="auto" w:before="1" w:after="0"/>
        <w:ind w:left="2613" w:right="0" w:hanging="2390"/>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58"/>
        <w:ind w:left="2613" w:right="152"/>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9"/>
        <w:ind w:left="2613" w:right="150"/>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8"/>
        <w:rPr>
          <w:sz w:val="21"/>
        </w:rPr>
      </w:pPr>
    </w:p>
    <w:p>
      <w:pPr>
        <w:pStyle w:val="ListParagraph"/>
        <w:numPr>
          <w:ilvl w:val="1"/>
          <w:numId w:val="3"/>
        </w:numPr>
        <w:tabs>
          <w:tab w:pos="908" w:val="left" w:leader="none"/>
        </w:tabs>
        <w:spacing w:line="302" w:lineRule="auto" w:before="0" w:after="0"/>
        <w:ind w:left="2613" w:right="205"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BodyText"/>
        <w:spacing w:line="316" w:lineRule="auto" w:before="29"/>
        <w:ind w:left="2613" w:right="205"/>
        <w:jc w:val="both"/>
      </w:pPr>
      <w:r>
        <w:rPr>
          <w:spacing w:val="-6"/>
        </w:rPr>
        <w:t>解除合同时，您需要填写书面申请书，并提供您的合同及</w:t>
      </w:r>
      <w:r>
        <w:rPr>
          <w:b/>
          <w:spacing w:val="-4"/>
          <w:w w:val="99"/>
        </w:rPr>
        <w:t>有效身份证件</w:t>
      </w:r>
      <w:r>
        <w:rPr/>
        <w:t>（</w:t>
      </w:r>
      <w:r>
        <w:rPr>
          <w:spacing w:val="-23"/>
        </w:rPr>
        <w:t>见 </w:t>
      </w:r>
      <w:r>
        <w:rPr/>
        <w:t>8.</w:t>
      </w:r>
      <w:r>
        <w:rPr>
          <w:spacing w:val="0"/>
        </w:rPr>
        <w:t>1</w:t>
      </w:r>
      <w:r>
        <w:rPr>
          <w:spacing w:val="-92"/>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
        <w:rPr>
          <w:sz w:val="17"/>
        </w:rPr>
      </w:pPr>
    </w:p>
    <w:p>
      <w:pPr>
        <w:pStyle w:val="ListParagraph"/>
        <w:numPr>
          <w:ilvl w:val="1"/>
          <w:numId w:val="3"/>
        </w:numPr>
        <w:tabs>
          <w:tab w:pos="907" w:val="left" w:leader="none"/>
          <w:tab w:pos="908" w:val="left" w:leader="none"/>
          <w:tab w:pos="2613" w:val="left" w:leader="none"/>
        </w:tabs>
        <w:spacing w:line="240" w:lineRule="auto" w:before="0" w:after="0"/>
        <w:ind w:left="2613" w:right="0" w:hanging="2390"/>
        <w:jc w:val="left"/>
        <w:rPr>
          <w:sz w:val="18"/>
        </w:rPr>
      </w:pPr>
      <w:r>
        <w:rPr>
          <w:b/>
          <w:sz w:val="21"/>
        </w:rPr>
        <w:t>保险期间</w:t>
        <w:tab/>
      </w:r>
      <w:r>
        <w:rPr>
          <w:position w:val="1"/>
          <w:sz w:val="18"/>
        </w:rPr>
        <w:t>本附加合同保险期间分为两个计划：</w:t>
      </w:r>
    </w:p>
    <w:p>
      <w:pPr>
        <w:pStyle w:val="BodyText"/>
        <w:spacing w:line="316" w:lineRule="auto" w:before="57"/>
        <w:ind w:left="2613" w:right="215"/>
      </w:pPr>
      <w:r>
        <w:rPr/>
        <w:t>A</w:t>
      </w:r>
      <w:r>
        <w:rPr>
          <w:spacing w:val="-7"/>
        </w:rPr>
        <w:t> 计划：分为至被保险人年满八十周岁保险单周年日和至被保险人年满八十八周岁保险单周年日；</w:t>
      </w:r>
    </w:p>
    <w:p>
      <w:pPr>
        <w:pStyle w:val="BodyText"/>
        <w:spacing w:before="18"/>
        <w:ind w:left="2613"/>
        <w:jc w:val="both"/>
      </w:pPr>
      <w:r>
        <w:rPr/>
        <w:t>B 计划：至被保险人终身。</w:t>
      </w:r>
    </w:p>
    <w:p>
      <w:pPr>
        <w:pStyle w:val="BodyText"/>
        <w:ind w:left="2613"/>
        <w:jc w:val="both"/>
      </w:pPr>
      <w:r>
        <w:rPr/>
        <w:t>本附加合同的保险期间由您与我们约定，并在保险单上载明。</w:t>
      </w:r>
    </w:p>
    <w:p>
      <w:pPr>
        <w:pStyle w:val="BodyText"/>
        <w:spacing w:before="9"/>
        <w:rPr>
          <w:sz w:val="22"/>
        </w:rPr>
      </w:pPr>
    </w:p>
    <w:p>
      <w:pPr>
        <w:pStyle w:val="Heading2"/>
        <w:numPr>
          <w:ilvl w:val="0"/>
          <w:numId w:val="4"/>
        </w:numPr>
        <w:tabs>
          <w:tab w:pos="907" w:val="left" w:leader="none"/>
          <w:tab w:pos="908" w:val="left" w:leader="none"/>
        </w:tabs>
        <w:spacing w:line="240" w:lineRule="auto" w:before="76" w:after="0"/>
        <w:ind w:left="907" w:right="0" w:hanging="684"/>
        <w:jc w:val="left"/>
      </w:pPr>
      <w:r>
        <w:rPr/>
        <w:pict>
          <v:group style="position:absolute;margin-left:59.759998pt;margin-top:31.172512pt;width:497.4pt;height:.5pt;mso-position-horizontal-relative:page;mso-position-vertical-relative:paragraph;z-index:1120;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w w:val="95"/>
        </w:rPr>
        <w:t>我们提供的保障</w:t>
      </w:r>
    </w:p>
    <w:p>
      <w:pPr>
        <w:pStyle w:val="BodyText"/>
        <w:spacing w:before="9"/>
        <w:rPr>
          <w:b/>
          <w:sz w:val="10"/>
        </w:rPr>
      </w:pPr>
    </w:p>
    <w:p>
      <w:pPr>
        <w:pStyle w:val="ListParagraph"/>
        <w:numPr>
          <w:ilvl w:val="1"/>
          <w:numId w:val="5"/>
        </w:numPr>
        <w:tabs>
          <w:tab w:pos="907" w:val="left" w:leader="none"/>
          <w:tab w:pos="908" w:val="left" w:leader="none"/>
          <w:tab w:pos="2613" w:val="left" w:leader="none"/>
        </w:tabs>
        <w:spacing w:line="240" w:lineRule="auto" w:before="37" w:after="0"/>
        <w:ind w:left="907" w:right="0" w:hanging="684"/>
        <w:jc w:val="left"/>
        <w:rPr>
          <w:sz w:val="18"/>
        </w:rPr>
      </w:pPr>
      <w:r>
        <w:rPr>
          <w:b/>
          <w:sz w:val="21"/>
        </w:rPr>
        <w:t>保险金额</w:t>
        <w:tab/>
      </w:r>
      <w:r>
        <w:rPr>
          <w:position w:val="1"/>
          <w:sz w:val="18"/>
        </w:rPr>
        <w:t>本附加合同基本保险金额由您和本公司约定，并在保险单上载明。</w:t>
      </w:r>
    </w:p>
    <w:p>
      <w:pPr>
        <w:pStyle w:val="BodyText"/>
        <w:spacing w:before="1"/>
        <w:rPr>
          <w:sz w:val="20"/>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保险责任</w:t>
        <w:tab/>
      </w:r>
      <w:r>
        <w:rPr>
          <w:position w:val="1"/>
          <w:sz w:val="18"/>
        </w:rPr>
        <w:t>在本附加合同有效期内，本公司按下列规定承担保险责任：</w:t>
      </w:r>
    </w:p>
    <w:p>
      <w:pPr>
        <w:pStyle w:val="BodyText"/>
        <w:spacing w:before="5"/>
        <w:rPr>
          <w:sz w:val="20"/>
        </w:rPr>
      </w:pPr>
    </w:p>
    <w:p>
      <w:pPr>
        <w:pStyle w:val="Heading3"/>
        <w:spacing w:before="1"/>
        <w:ind w:left="907" w:firstLine="0"/>
      </w:pPr>
      <w:r>
        <w:rPr/>
        <w:pict>
          <v:shape style="position:absolute;margin-left:184.679993pt;margin-top:16.275829pt;width:367.2pt;height:13.7pt;mso-position-horizontal-relative:page;mso-position-vertical-relative:paragraph;z-index:1144;mso-wrap-distance-left:0;mso-wrap-distance-right:0" type="#_x0000_t202" filled="true" fillcolor="#c0c0c0" stroked="false">
            <v:textbox inset="0,0,0,0">
              <w:txbxContent>
                <w:p>
                  <w:pPr>
                    <w:pStyle w:val="BodyText"/>
                    <w:spacing w:before="8"/>
                    <w:ind w:right="-15"/>
                  </w:pPr>
                  <w:r>
                    <w:rPr>
                      <w:spacing w:val="-2"/>
                    </w:rPr>
                    <w:t>确诊患有本附加合同附表一所列的轻症疾病或附表二所列的重大疾病的，本公司不承担保险责</w:t>
                  </w:r>
                </w:p>
              </w:txbxContent>
            </v:textbox>
            <v:fill type="solid"/>
            <w10:wrap type="topAndBottom"/>
          </v:shape>
        </w:pict>
      </w:r>
      <w:r>
        <w:rPr/>
        <w:pict>
          <v:shape style="position:absolute;margin-left:184.679993pt;margin-top:.67583pt;width:367.2pt;height:13.7pt;mso-position-horizontal-relative:page;mso-position-vertical-relative:paragraph;z-index:1168" type="#_x0000_t202" filled="true" fillcolor="#c0c0c0" stroked="false">
            <v:textbox inset="0,0,0,0">
              <w:txbxContent>
                <w:p>
                  <w:pPr>
                    <w:pStyle w:val="BodyText"/>
                    <w:spacing w:before="8"/>
                  </w:pPr>
                  <w:r>
                    <w:rPr/>
                    <w:t>从本附加合同生效（或复效）</w:t>
                  </w:r>
                  <w:r>
                    <w:rPr>
                      <w:spacing w:val="-12"/>
                    </w:rPr>
                    <w:t>之日起 </w:t>
                  </w:r>
                  <w:r>
                    <w:rPr>
                      <w:rFonts w:ascii="Times New Roman" w:eastAsia="Times New Roman"/>
                    </w:rPr>
                    <w:t>180 </w:t>
                  </w:r>
                  <w:r>
                    <w:rPr/>
                    <w:t>天内</w:t>
                  </w:r>
                  <w:r>
                    <w:rPr>
                      <w:rFonts w:ascii="Times New Roman" w:eastAsia="Times New Roman"/>
                    </w:rPr>
                    <w:t>(</w:t>
                  </w:r>
                  <w:r>
                    <w:rPr>
                      <w:spacing w:val="-12"/>
                    </w:rPr>
                    <w:t>包括第 </w:t>
                  </w:r>
                  <w:r>
                    <w:rPr>
                      <w:rFonts w:ascii="Times New Roman" w:eastAsia="Times New Roman"/>
                    </w:rPr>
                    <w:t>180 </w:t>
                  </w:r>
                  <w:r>
                    <w:rPr>
                      <w:spacing w:val="-3"/>
                    </w:rPr>
                    <w:t>天</w:t>
                  </w:r>
                  <w:r>
                    <w:rPr>
                      <w:rFonts w:ascii="Times New Roman" w:eastAsia="Times New Roman"/>
                    </w:rPr>
                    <w:t>)</w:t>
                  </w:r>
                  <w:r>
                    <w:rPr/>
                    <w:t>，被保险人因疾病首次发生并被</w:t>
                  </w:r>
                </w:p>
              </w:txbxContent>
            </v:textbox>
            <v:fill type="solid"/>
            <w10:wrap type="none"/>
          </v:shape>
        </w:pict>
      </w:r>
      <w:r>
        <w:rPr/>
        <w:t>等待期</w:t>
      </w:r>
    </w:p>
    <w:p>
      <w:pPr>
        <w:pStyle w:val="BodyText"/>
        <w:spacing w:before="31"/>
        <w:ind w:right="169"/>
        <w:jc w:val="right"/>
      </w:pPr>
      <w:r>
        <w:rPr/>
        <w:t>。</w:t>
      </w:r>
    </w:p>
    <w:p>
      <w:pPr>
        <w:pStyle w:val="BodyText"/>
        <w:ind w:left="2613"/>
      </w:pPr>
      <w:r>
        <w:rPr/>
        <w:pict>
          <v:shape style="position:absolute;margin-left:184.679993pt;margin-top:-12.205278pt;width:367.2pt;height:13.7pt;mso-position-horizontal-relative:page;mso-position-vertical-relative:paragraph;z-index:-42640" type="#_x0000_t202" filled="true" fillcolor="#c0c0c0" stroked="false">
            <v:textbox inset="0,0,0,0">
              <w:txbxContent>
                <w:p>
                  <w:pPr>
                    <w:pStyle w:val="BodyText"/>
                    <w:spacing w:before="8"/>
                  </w:pPr>
                  <w:r>
                    <w:rPr/>
                    <w:t>任，并向您无息返还本附加合同已交保险费，本附加合同终止。这 </w:t>
                  </w:r>
                  <w:r>
                    <w:rPr>
                      <w:rFonts w:ascii="Times New Roman" w:eastAsia="Times New Roman"/>
                    </w:rPr>
                    <w:t>180 </w:t>
                  </w:r>
                  <w:r>
                    <w:rPr/>
                    <w:t>天时间被称为等待期</w:t>
                  </w:r>
                </w:p>
              </w:txbxContent>
            </v:textbox>
            <v:fill type="solid"/>
            <w10:wrap type="none"/>
          </v:shape>
        </w:pict>
      </w:r>
      <w:r>
        <w:rPr/>
        <w:t>因</w:t>
      </w:r>
      <w:r>
        <w:rPr>
          <w:b/>
        </w:rPr>
        <w:t>意外事故</w:t>
      </w:r>
      <w:r>
        <w:rPr/>
        <w:t>（见 </w:t>
      </w:r>
      <w:r>
        <w:rPr>
          <w:rFonts w:ascii="Times New Roman" w:eastAsia="Times New Roman"/>
        </w:rPr>
        <w:t>8.2</w:t>
      </w:r>
      <w:r>
        <w:rPr/>
        <w:t>）发生上述情形的，无等待期。</w:t>
      </w:r>
    </w:p>
    <w:p>
      <w:pPr>
        <w:spacing w:after="0"/>
        <w:sectPr>
          <w:headerReference w:type="default" r:id="rId9"/>
          <w:pgSz w:w="11910" w:h="16840"/>
          <w:pgMar w:header="877" w:footer="977" w:top="1100" w:bottom="1160" w:left="1080" w:right="660"/>
        </w:sectPr>
      </w:pPr>
    </w:p>
    <w:p>
      <w:pPr>
        <w:pStyle w:val="BodyText"/>
        <w:spacing w:before="0"/>
        <w:rPr>
          <w:sz w:val="20"/>
        </w:rPr>
      </w:pPr>
    </w:p>
    <w:p>
      <w:pPr>
        <w:pStyle w:val="BodyText"/>
        <w:spacing w:before="1"/>
        <w:rPr>
          <w:sz w:val="2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01"/>
      </w:tblGrid>
      <w:tr>
        <w:trPr>
          <w:trHeight w:val="579" w:hRule="atLeast"/>
        </w:trPr>
        <w:tc>
          <w:tcPr>
            <w:tcW w:w="550" w:type="dxa"/>
            <w:vMerge w:val="restart"/>
          </w:tcPr>
          <w:p>
            <w:pPr>
              <w:pStyle w:val="TableParagraph"/>
              <w:rPr>
                <w:rFonts w:ascii="Times New Roman"/>
                <w:sz w:val="18"/>
              </w:rPr>
            </w:pPr>
          </w:p>
        </w:tc>
        <w:tc>
          <w:tcPr>
            <w:tcW w:w="1783" w:type="dxa"/>
          </w:tcPr>
          <w:p>
            <w:pPr>
              <w:pStyle w:val="TableParagraph"/>
              <w:spacing w:line="211" w:lineRule="exact"/>
              <w:ind w:left="184"/>
              <w:rPr>
                <w:b/>
                <w:sz w:val="21"/>
              </w:rPr>
            </w:pPr>
            <w:r>
              <w:rPr>
                <w:b/>
                <w:sz w:val="21"/>
              </w:rPr>
              <w:t>1、轻症疾病保险</w:t>
            </w:r>
          </w:p>
          <w:p>
            <w:pPr>
              <w:pStyle w:val="TableParagraph"/>
              <w:spacing w:before="37"/>
              <w:ind w:left="184"/>
              <w:rPr>
                <w:b/>
                <w:sz w:val="21"/>
              </w:rPr>
            </w:pPr>
            <w:r>
              <w:rPr>
                <w:b/>
                <w:w w:val="100"/>
                <w:sz w:val="21"/>
              </w:rPr>
              <w:t>金</w:t>
            </w:r>
          </w:p>
        </w:tc>
        <w:tc>
          <w:tcPr>
            <w:tcW w:w="7501" w:type="dxa"/>
          </w:tcPr>
          <w:p>
            <w:pPr>
              <w:pStyle w:val="TableParagraph"/>
              <w:spacing w:line="192" w:lineRule="exact"/>
              <w:ind w:left="107"/>
              <w:rPr>
                <w:sz w:val="18"/>
              </w:rPr>
            </w:pPr>
            <w:r>
              <w:rPr>
                <w:sz w:val="18"/>
              </w:rPr>
              <w:t>若被保险人经诊断于本附加合同等待期后首次发生并经本公司</w:t>
            </w:r>
            <w:r>
              <w:rPr>
                <w:b/>
                <w:sz w:val="18"/>
              </w:rPr>
              <w:t>指定或认可的医疗机构</w:t>
            </w:r>
            <w:r>
              <w:rPr>
                <w:sz w:val="18"/>
              </w:rPr>
              <w:t>（见</w:t>
            </w:r>
          </w:p>
          <w:p>
            <w:pPr>
              <w:pStyle w:val="TableParagraph"/>
              <w:spacing w:before="76"/>
              <w:ind w:left="107"/>
              <w:rPr>
                <w:sz w:val="18"/>
              </w:rPr>
            </w:pPr>
            <w:r>
              <w:rPr>
                <w:sz w:val="18"/>
              </w:rPr>
              <w:t>8.3）确诊初次患有本附加合同附表一约定的一项或多项轻症疾病的，本公司按确诊当时本附</w:t>
            </w:r>
          </w:p>
        </w:tc>
      </w:tr>
      <w:tr>
        <w:trPr>
          <w:trHeight w:val="410" w:hRule="atLeast"/>
        </w:trPr>
        <w:tc>
          <w:tcPr>
            <w:tcW w:w="550" w:type="dxa"/>
            <w:vMerge/>
            <w:tcBorders>
              <w:top w:val="nil"/>
            </w:tcBorders>
          </w:tcPr>
          <w:p>
            <w:pPr>
              <w:rPr>
                <w:sz w:val="2"/>
                <w:szCs w:val="2"/>
              </w:rPr>
            </w:pPr>
          </w:p>
        </w:tc>
        <w:tc>
          <w:tcPr>
            <w:tcW w:w="1783" w:type="dxa"/>
          </w:tcPr>
          <w:p>
            <w:pPr>
              <w:pStyle w:val="TableParagraph"/>
              <w:rPr>
                <w:rFonts w:ascii="Times New Roman"/>
                <w:sz w:val="18"/>
              </w:rPr>
            </w:pPr>
          </w:p>
        </w:tc>
        <w:tc>
          <w:tcPr>
            <w:tcW w:w="7501" w:type="dxa"/>
          </w:tcPr>
          <w:p>
            <w:pPr>
              <w:pStyle w:val="TableParagraph"/>
              <w:spacing w:before="1"/>
              <w:ind w:left="107"/>
              <w:rPr>
                <w:sz w:val="18"/>
              </w:rPr>
            </w:pPr>
            <w:r>
              <w:rPr>
                <w:sz w:val="18"/>
              </w:rPr>
              <w:t>加合同基本保险金额的 20%向轻症疾病保险金受益人给付轻症疾病保险金，本项责任终止。</w:t>
            </w:r>
          </w:p>
        </w:tc>
      </w:tr>
      <w:tr>
        <w:trPr>
          <w:trHeight w:val="753" w:hRule="atLeast"/>
        </w:trPr>
        <w:tc>
          <w:tcPr>
            <w:tcW w:w="550" w:type="dxa"/>
            <w:vMerge/>
            <w:tcBorders>
              <w:top w:val="nil"/>
            </w:tcBorders>
          </w:tcPr>
          <w:p>
            <w:pPr>
              <w:rPr>
                <w:sz w:val="2"/>
                <w:szCs w:val="2"/>
              </w:rPr>
            </w:pPr>
          </w:p>
        </w:tc>
        <w:tc>
          <w:tcPr>
            <w:tcW w:w="1783" w:type="dxa"/>
          </w:tcPr>
          <w:p>
            <w:pPr>
              <w:pStyle w:val="TableParagraph"/>
              <w:spacing w:line="273" w:lineRule="auto" w:before="110"/>
              <w:ind w:left="184" w:right="104"/>
              <w:rPr>
                <w:b/>
                <w:sz w:val="21"/>
              </w:rPr>
            </w:pPr>
            <w:r>
              <w:rPr>
                <w:b/>
                <w:sz w:val="21"/>
              </w:rPr>
              <w:t>2</w:t>
            </w:r>
            <w:r>
              <w:rPr>
                <w:b/>
                <w:spacing w:val="-15"/>
                <w:sz w:val="21"/>
              </w:rPr>
              <w:t>、重大疾病保险金</w:t>
            </w:r>
          </w:p>
        </w:tc>
        <w:tc>
          <w:tcPr>
            <w:tcW w:w="7501" w:type="dxa"/>
          </w:tcPr>
          <w:p>
            <w:pPr>
              <w:pStyle w:val="TableParagraph"/>
              <w:spacing w:line="310" w:lineRule="atLeast" w:before="56"/>
              <w:ind w:left="107" w:right="47"/>
              <w:rPr>
                <w:sz w:val="18"/>
              </w:rPr>
            </w:pPr>
            <w:r>
              <w:rPr>
                <w:sz w:val="18"/>
              </w:rPr>
              <w:t>若被保险人经诊断于本附加合同等待期后首次发生并经本公司指定或认可的医疗机构确诊初</w:t>
            </w:r>
            <w:r>
              <w:rPr>
                <w:spacing w:val="-2"/>
                <w:sz w:val="18"/>
              </w:rPr>
              <w:t>次患有本附加合同附表二约定的一项或多项重大疾病的，本公司按确诊当时本附加合同基本保</w:t>
            </w:r>
          </w:p>
        </w:tc>
      </w:tr>
      <w:tr>
        <w:trPr>
          <w:trHeight w:val="410" w:hRule="atLeast"/>
        </w:trPr>
        <w:tc>
          <w:tcPr>
            <w:tcW w:w="550" w:type="dxa"/>
            <w:vMerge/>
            <w:tcBorders>
              <w:top w:val="nil"/>
            </w:tcBorders>
          </w:tcPr>
          <w:p>
            <w:pPr>
              <w:rPr>
                <w:sz w:val="2"/>
                <w:szCs w:val="2"/>
              </w:rPr>
            </w:pPr>
          </w:p>
        </w:tc>
        <w:tc>
          <w:tcPr>
            <w:tcW w:w="1783" w:type="dxa"/>
          </w:tcPr>
          <w:p>
            <w:pPr>
              <w:pStyle w:val="TableParagraph"/>
              <w:rPr>
                <w:rFonts w:ascii="Times New Roman"/>
                <w:sz w:val="18"/>
              </w:rPr>
            </w:pPr>
          </w:p>
        </w:tc>
        <w:tc>
          <w:tcPr>
            <w:tcW w:w="7501" w:type="dxa"/>
          </w:tcPr>
          <w:p>
            <w:pPr>
              <w:pStyle w:val="TableParagraph"/>
              <w:spacing w:before="1"/>
              <w:ind w:left="107"/>
              <w:rPr>
                <w:sz w:val="18"/>
              </w:rPr>
            </w:pPr>
            <w:r>
              <w:rPr>
                <w:sz w:val="18"/>
              </w:rPr>
              <w:t>险金额向重大疾病保险金受益人给付重大疾病保险金，本附加合同效力终止。</w:t>
            </w:r>
          </w:p>
        </w:tc>
      </w:tr>
      <w:tr>
        <w:trPr>
          <w:trHeight w:val="441" w:hRule="atLeast"/>
        </w:trPr>
        <w:tc>
          <w:tcPr>
            <w:tcW w:w="550" w:type="dxa"/>
          </w:tcPr>
          <w:p>
            <w:pPr>
              <w:pStyle w:val="TableParagraph"/>
              <w:spacing w:before="110"/>
              <w:ind w:left="50"/>
              <w:rPr>
                <w:b/>
                <w:sz w:val="21"/>
              </w:rPr>
            </w:pPr>
            <w:r>
              <w:rPr>
                <w:b/>
                <w:sz w:val="21"/>
              </w:rPr>
              <w:t>2.3</w:t>
            </w:r>
          </w:p>
        </w:tc>
        <w:tc>
          <w:tcPr>
            <w:tcW w:w="1783" w:type="dxa"/>
          </w:tcPr>
          <w:p>
            <w:pPr>
              <w:pStyle w:val="TableParagraph"/>
              <w:spacing w:before="110"/>
              <w:ind w:left="184"/>
              <w:rPr>
                <w:b/>
                <w:sz w:val="21"/>
              </w:rPr>
            </w:pPr>
            <w:r>
              <w:rPr>
                <w:b/>
                <w:sz w:val="21"/>
              </w:rPr>
              <w:t>责任免除</w:t>
            </w:r>
          </w:p>
        </w:tc>
        <w:tc>
          <w:tcPr>
            <w:tcW w:w="7501" w:type="dxa"/>
          </w:tcPr>
          <w:p>
            <w:pPr>
              <w:pStyle w:val="TableParagraph"/>
              <w:spacing w:before="130"/>
              <w:ind w:left="107"/>
              <w:rPr>
                <w:sz w:val="18"/>
              </w:rPr>
            </w:pPr>
            <w:r>
              <w:rPr>
                <w:sz w:val="18"/>
                <w:shd w:fill="C0C0C0" w:color="auto" w:val="clear"/>
              </w:rPr>
              <w:t>被保险人因下列情形之一导致患本附加合同约定的轻症疾病或重大疾病的，本公司不承担保险</w:t>
            </w:r>
          </w:p>
        </w:tc>
      </w:tr>
      <w:tr>
        <w:trPr>
          <w:trHeight w:val="302" w:hRule="atLeast"/>
        </w:trPr>
        <w:tc>
          <w:tcPr>
            <w:tcW w:w="2333" w:type="dxa"/>
            <w:gridSpan w:val="2"/>
            <w:vMerge w:val="restart"/>
          </w:tcPr>
          <w:p>
            <w:pPr>
              <w:pStyle w:val="TableParagraph"/>
              <w:rPr>
                <w:rFonts w:ascii="Times New Roman"/>
                <w:sz w:val="18"/>
              </w:rPr>
            </w:pPr>
          </w:p>
        </w:tc>
        <w:tc>
          <w:tcPr>
            <w:tcW w:w="7501" w:type="dxa"/>
          </w:tcPr>
          <w:p>
            <w:pPr>
              <w:pStyle w:val="TableParagraph"/>
              <w:spacing w:before="1"/>
              <w:ind w:left="107"/>
              <w:rPr>
                <w:sz w:val="18"/>
              </w:rPr>
            </w:pPr>
            <w:r>
              <w:rPr>
                <w:sz w:val="18"/>
                <w:shd w:fill="C0C0C0" w:color="auto" w:val="clear"/>
              </w:rPr>
              <w:t>责任：</w:t>
            </w:r>
          </w:p>
        </w:tc>
      </w:tr>
      <w:tr>
        <w:trPr>
          <w:trHeight w:val="312"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b/>
                <w:sz w:val="18"/>
              </w:rPr>
            </w:pPr>
            <w:r>
              <w:rPr>
                <w:b/>
                <w:sz w:val="18"/>
                <w:shd w:fill="C0C0C0" w:color="auto" w:val="clear"/>
              </w:rPr>
              <w:t>1、 投保人对被保险人的故意杀害、故意伤害；</w:t>
            </w:r>
          </w:p>
        </w:tc>
      </w:tr>
      <w:tr>
        <w:trPr>
          <w:trHeight w:val="312"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b/>
                <w:sz w:val="18"/>
              </w:rPr>
            </w:pPr>
            <w:r>
              <w:rPr>
                <w:b/>
                <w:sz w:val="18"/>
                <w:shd w:fill="C0C0C0" w:color="auto" w:val="clear"/>
              </w:rPr>
              <w:t>2、 被保险人故意犯罪或者抗拒依法采取的刑事强制措施；</w:t>
            </w:r>
          </w:p>
        </w:tc>
      </w:tr>
      <w:tr>
        <w:trPr>
          <w:trHeight w:val="311"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b/>
                <w:sz w:val="18"/>
              </w:rPr>
            </w:pPr>
            <w:r>
              <w:rPr>
                <w:b/>
                <w:sz w:val="18"/>
                <w:shd w:fill="C0C0C0" w:color="auto" w:val="clear"/>
              </w:rPr>
              <w:t>3、被保险人故意自伤；</w:t>
            </w:r>
          </w:p>
        </w:tc>
      </w:tr>
      <w:tr>
        <w:trPr>
          <w:trHeight w:val="312"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b/>
                <w:sz w:val="18"/>
              </w:rPr>
            </w:pPr>
            <w:r>
              <w:rPr>
                <w:b/>
                <w:spacing w:val="0"/>
                <w:w w:val="99"/>
                <w:sz w:val="18"/>
                <w:shd w:fill="C0C0C0" w:color="auto" w:val="clear"/>
              </w:rPr>
              <w:t>4</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tc>
      </w:tr>
      <w:tr>
        <w:trPr>
          <w:trHeight w:val="314"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.5</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6</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（见</w:t>
            </w:r>
          </w:p>
        </w:tc>
      </w:tr>
    </w:tbl>
    <w:p>
      <w:pPr>
        <w:spacing w:before="8"/>
        <w:ind w:left="3009" w:right="0" w:firstLine="0"/>
        <w:jc w:val="left"/>
        <w:rPr>
          <w:b/>
          <w:sz w:val="18"/>
        </w:rPr>
      </w:pPr>
      <w:r>
        <w:rPr>
          <w:w w:val="95"/>
          <w:sz w:val="18"/>
          <w:shd w:fill="C0C0C0" w:color="auto" w:val="clear"/>
        </w:rPr>
        <w:t>8.7）</w:t>
      </w:r>
      <w:r>
        <w:rPr>
          <w:b/>
          <w:w w:val="95"/>
          <w:sz w:val="18"/>
          <w:shd w:fill="C0C0C0" w:color="auto" w:val="clear"/>
        </w:rPr>
        <w:t>的机动车；</w:t>
      </w:r>
    </w:p>
    <w:p>
      <w:pPr>
        <w:spacing w:line="319" w:lineRule="auto" w:before="76"/>
        <w:ind w:left="3009" w:right="208" w:hanging="396"/>
        <w:jc w:val="left"/>
        <w:rPr>
          <w:b/>
          <w:sz w:val="18"/>
        </w:rPr>
      </w:pPr>
      <w:r>
        <w:rPr>
          <w:b/>
          <w:spacing w:val="0"/>
          <w:w w:val="99"/>
          <w:sz w:val="18"/>
          <w:shd w:fill="C0C0C0" w:color="auto" w:val="clear"/>
        </w:rPr>
        <w:t>6</w:t>
      </w:r>
      <w:r>
        <w:rPr>
          <w:b/>
          <w:w w:val="99"/>
          <w:sz w:val="18"/>
          <w:shd w:fill="C0C0C0" w:color="auto" w:val="clear"/>
        </w:rPr>
        <w:t>、</w:t>
      </w:r>
      <w:r>
        <w:rPr>
          <w:b/>
          <w:spacing w:val="33"/>
          <w:sz w:val="18"/>
          <w:shd w:fill="C0C0C0" w:color="auto" w:val="clear"/>
        </w:rPr>
        <w:t> </w:t>
      </w:r>
      <w:r>
        <w:rPr>
          <w:b/>
          <w:w w:val="99"/>
          <w:sz w:val="18"/>
          <w:shd w:fill="C0C0C0" w:color="auto" w:val="clear"/>
        </w:rPr>
        <w:t>被保险人患艾滋病</w:t>
      </w:r>
      <w:r>
        <w:rPr>
          <w:sz w:val="18"/>
          <w:shd w:fill="C0C0C0" w:color="auto" w:val="clear"/>
        </w:rPr>
        <w:t>（</w:t>
      </w:r>
      <w:r>
        <w:rPr>
          <w:spacing w:val="-17"/>
          <w:sz w:val="18"/>
          <w:shd w:fill="C0C0C0" w:color="auto" w:val="clear"/>
        </w:rPr>
        <w:t>见 </w:t>
      </w:r>
      <w:r>
        <w:rPr>
          <w:sz w:val="18"/>
          <w:shd w:fill="C0C0C0" w:color="auto" w:val="clear"/>
        </w:rPr>
        <w:t>8.</w:t>
      </w:r>
      <w:r>
        <w:rPr>
          <w:spacing w:val="0"/>
          <w:sz w:val="18"/>
          <w:shd w:fill="C0C0C0" w:color="auto" w:val="clear"/>
        </w:rPr>
        <w:t>8</w:t>
      </w:r>
      <w:r>
        <w:rPr>
          <w:spacing w:val="-3"/>
          <w:sz w:val="18"/>
          <w:shd w:fill="C0C0C0" w:color="auto" w:val="clear"/>
        </w:rPr>
        <w:t>）</w:t>
      </w:r>
      <w:r>
        <w:rPr>
          <w:b/>
          <w:w w:val="99"/>
          <w:sz w:val="18"/>
          <w:shd w:fill="C0C0C0" w:color="auto" w:val="clear"/>
        </w:rPr>
        <w:t>或感染艾滋病病毒</w:t>
      </w:r>
      <w:r>
        <w:rPr>
          <w:sz w:val="18"/>
          <w:shd w:fill="C0C0C0" w:color="auto" w:val="clear"/>
        </w:rPr>
        <w:t>（</w:t>
      </w:r>
      <w:r>
        <w:rPr>
          <w:spacing w:val="-17"/>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9</w:t>
      </w:r>
      <w:r>
        <w:rPr>
          <w:spacing w:val="-92"/>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32"/>
          <w:sz w:val="18"/>
          <w:shd w:fill="C0C0C0" w:color="auto" w:val="clear"/>
        </w:rPr>
        <w:t> </w:t>
      </w:r>
      <w:r>
        <w:rPr>
          <w:b/>
          <w:w w:val="99"/>
          <w:sz w:val="18"/>
          <w:shd w:fill="C0C0C0" w:color="auto" w:val="clear"/>
        </w:rPr>
        <w:t>呈阳性</w:t>
      </w:r>
      <w:r>
        <w:rPr>
          <w:b/>
          <w:spacing w:val="-89"/>
          <w:w w:val="99"/>
          <w:sz w:val="18"/>
          <w:shd w:fill="C0C0C0" w:color="auto" w:val="clear"/>
        </w:rPr>
        <w:t>）</w:t>
      </w:r>
      <w:r>
        <w:rPr>
          <w:b/>
          <w:spacing w:val="-1"/>
          <w:w w:val="99"/>
          <w:sz w:val="18"/>
          <w:shd w:fill="C0C0C0" w:color="auto" w:val="clear"/>
        </w:rPr>
        <w:t>（</w:t>
      </w:r>
      <w:r>
        <w:rPr>
          <w:b/>
          <w:w w:val="99"/>
          <w:sz w:val="18"/>
          <w:shd w:fill="C0C0C0" w:color="auto" w:val="clear"/>
        </w:rPr>
        <w:t>本附加合同另有约定的除外</w:t>
      </w:r>
      <w:r>
        <w:rPr>
          <w:b/>
          <w:spacing w:val="-89"/>
          <w:w w:val="99"/>
          <w:sz w:val="18"/>
          <w:shd w:fill="C0C0C0" w:color="auto" w:val="clear"/>
        </w:rPr>
        <w:t>）</w:t>
      </w:r>
      <w:r>
        <w:rPr>
          <w:b/>
          <w:w w:val="99"/>
          <w:sz w:val="18"/>
          <w:shd w:fill="C0C0C0" w:color="auto" w:val="clear"/>
        </w:rPr>
        <w:t>；</w:t>
      </w:r>
    </w:p>
    <w:p>
      <w:pPr>
        <w:pStyle w:val="Heading4"/>
      </w:pPr>
      <w:r>
        <w:rPr>
          <w:shd w:fill="C0C0C0" w:color="auto" w:val="clear"/>
        </w:rPr>
        <w:t>7、 战争、军事冲突、暴乱或武装叛乱；</w:t>
      </w:r>
    </w:p>
    <w:p>
      <w:pPr>
        <w:spacing w:before="75"/>
        <w:ind w:left="2613" w:right="0" w:firstLine="0"/>
        <w:jc w:val="left"/>
        <w:rPr>
          <w:b/>
          <w:sz w:val="18"/>
        </w:rPr>
      </w:pPr>
      <w:r>
        <w:rPr>
          <w:b/>
          <w:sz w:val="18"/>
          <w:shd w:fill="C0C0C0" w:color="auto" w:val="clear"/>
        </w:rPr>
        <w:t>8、 核爆炸、核辐射或核污染；</w:t>
      </w:r>
    </w:p>
    <w:p>
      <w:pPr>
        <w:spacing w:before="76"/>
        <w:ind w:left="2613" w:right="0" w:firstLine="0"/>
        <w:jc w:val="left"/>
        <w:rPr>
          <w:b/>
          <w:sz w:val="18"/>
        </w:rPr>
      </w:pPr>
      <w:r>
        <w:rPr>
          <w:b/>
          <w:spacing w:val="0"/>
          <w:w w:val="99"/>
          <w:sz w:val="18"/>
          <w:shd w:fill="C0C0C0" w:color="auto" w:val="clear"/>
        </w:rPr>
        <w:t>9</w:t>
      </w:r>
      <w:r>
        <w:rPr>
          <w:b/>
          <w:w w:val="99"/>
          <w:sz w:val="18"/>
          <w:shd w:fill="C0C0C0" w:color="auto" w:val="clear"/>
        </w:rPr>
        <w:t>、</w:t>
      </w:r>
      <w:r>
        <w:rPr>
          <w:b/>
          <w:spacing w:val="33"/>
          <w:sz w:val="18"/>
          <w:shd w:fill="C0C0C0" w:color="auto" w:val="clear"/>
        </w:rPr>
        <w:t> </w:t>
      </w:r>
      <w:r>
        <w:rPr>
          <w:b/>
          <w:w w:val="99"/>
          <w:sz w:val="18"/>
          <w:shd w:fill="C0C0C0" w:color="auto" w:val="clear"/>
        </w:rPr>
        <w:t>遗传性疾病</w:t>
      </w:r>
      <w:r>
        <w:rPr>
          <w:b/>
          <w:spacing w:val="1"/>
          <w:w w:val="99"/>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0</w:t>
      </w:r>
      <w:r>
        <w:rPr>
          <w:b/>
          <w:spacing w:val="-89"/>
          <w:w w:val="99"/>
          <w:sz w:val="18"/>
          <w:shd w:fill="C0C0C0" w:color="auto" w:val="clear"/>
        </w:rPr>
        <w:t>）</w:t>
      </w:r>
      <w:r>
        <w:rPr>
          <w:b/>
          <w:spacing w:val="-1"/>
          <w:w w:val="99"/>
          <w:sz w:val="18"/>
          <w:shd w:fill="C0C0C0" w:color="auto" w:val="clear"/>
        </w:rPr>
        <w:t>，先天性畸形、变形或染色体异常</w:t>
      </w:r>
      <w:r>
        <w:rPr>
          <w:b/>
          <w:w w:val="99"/>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1</w:t>
      </w:r>
      <w:r>
        <w:rPr>
          <w:b/>
          <w:w w:val="99"/>
          <w:sz w:val="18"/>
          <w:shd w:fill="C0C0C0" w:color="auto" w:val="clear"/>
        </w:rPr>
        <w:t>）</w:t>
      </w:r>
    </w:p>
    <w:p>
      <w:pPr>
        <w:pStyle w:val="BodyText"/>
        <w:spacing w:line="316" w:lineRule="auto"/>
        <w:ind w:left="2613" w:right="205"/>
      </w:pPr>
      <w:r>
        <w:rPr>
          <w:spacing w:val="-2"/>
          <w:shd w:fill="C0C0C0" w:color="auto" w:val="clear"/>
        </w:rPr>
        <w:t>因上述情形之一导致被保险人患本附加合同约定的轻症疾病或重大疾病的，本公司向您或其他权利人退还本附加合同的</w:t>
      </w:r>
      <w:r>
        <w:rPr>
          <w:b/>
          <w:w w:val="99"/>
          <w:shd w:fill="C0C0C0" w:color="auto" w:val="clear"/>
        </w:rPr>
        <w:t>现金</w:t>
      </w:r>
      <w:r>
        <w:rPr>
          <w:b/>
          <w:spacing w:val="-187"/>
          <w:w w:val="99"/>
          <w:shd w:fill="C0C0C0" w:color="auto" w:val="clear"/>
        </w:rPr>
        <w:t>价</w:t>
      </w:r>
      <w:r>
        <w:rPr>
          <w:b/>
          <w:spacing w:val="1"/>
          <w:w w:val="99"/>
          <w:shd w:fill="C0C0C0" w:color="auto" w:val="clear"/>
        </w:rPr>
        <w:t>值</w:t>
      </w:r>
      <w:r>
        <w:rPr>
          <w:spacing w:val="-3"/>
          <w:shd w:fill="C0C0C0" w:color="auto" w:val="clear"/>
        </w:rPr>
        <w:t>（</w:t>
      </w:r>
      <w:r>
        <w:rPr>
          <w:spacing w:val="-23"/>
          <w:shd w:fill="C0C0C0" w:color="auto" w:val="clear"/>
        </w:rPr>
        <w:t>见 </w:t>
      </w:r>
      <w:r>
        <w:rPr>
          <w:spacing w:val="-2"/>
          <w:shd w:fill="C0C0C0" w:color="auto" w:val="clear"/>
        </w:rPr>
        <w:t>8</w:t>
      </w:r>
      <w:r>
        <w:rPr>
          <w:spacing w:val="0"/>
          <w:shd w:fill="C0C0C0" w:color="auto" w:val="clear"/>
        </w:rPr>
        <w:t>.</w:t>
      </w:r>
      <w:r>
        <w:rPr>
          <w:spacing w:val="-2"/>
          <w:shd w:fill="C0C0C0" w:color="auto" w:val="clear"/>
        </w:rPr>
        <w:t>1</w:t>
      </w:r>
      <w:r>
        <w:rPr>
          <w:spacing w:val="0"/>
          <w:shd w:fill="C0C0C0" w:color="auto" w:val="clear"/>
        </w:rPr>
        <w:t>2</w:t>
      </w:r>
      <w:r>
        <w:rPr>
          <w:spacing w:val="-92"/>
          <w:shd w:fill="C0C0C0" w:color="auto" w:val="clear"/>
        </w:rPr>
        <w:t>）</w:t>
      </w:r>
      <w:r>
        <w:rPr>
          <w:spacing w:val="-1"/>
          <w:shd w:fill="C0C0C0" w:color="auto" w:val="clear"/>
        </w:rPr>
        <w:t>，本附加合同终止。</w:t>
      </w:r>
    </w:p>
    <w:p>
      <w:pPr>
        <w:pStyle w:val="BodyText"/>
        <w:spacing w:before="11"/>
        <w:rPr>
          <w:sz w:val="23"/>
        </w:rPr>
      </w:pPr>
    </w:p>
    <w:p>
      <w:pPr>
        <w:pStyle w:val="Heading2"/>
        <w:numPr>
          <w:ilvl w:val="0"/>
          <w:numId w:val="6"/>
        </w:numPr>
        <w:tabs>
          <w:tab w:pos="907" w:val="left" w:leader="none"/>
          <w:tab w:pos="908" w:val="left" w:leader="none"/>
        </w:tabs>
        <w:spacing w:line="240" w:lineRule="auto" w:before="0" w:after="0"/>
        <w:ind w:left="907" w:right="0" w:hanging="684"/>
        <w:jc w:val="left"/>
      </w:pPr>
      <w:r>
        <w:rPr/>
        <w:pict>
          <v:group style="position:absolute;margin-left:59.759998pt;margin-top:27.372526pt;width:497.4pt;height:.5pt;mso-position-horizontal-relative:page;mso-position-vertical-relative:paragraph;z-index:1216;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如何申请领取保险金</w:t>
      </w:r>
    </w:p>
    <w:p>
      <w:pPr>
        <w:pStyle w:val="BodyText"/>
        <w:spacing w:before="9"/>
        <w:rPr>
          <w:b/>
          <w:sz w:val="10"/>
        </w:rPr>
      </w:pPr>
    </w:p>
    <w:p>
      <w:pPr>
        <w:spacing w:after="0"/>
        <w:rPr>
          <w:sz w:val="10"/>
        </w:rPr>
        <w:sectPr>
          <w:pgSz w:w="11910" w:h="16840"/>
          <w:pgMar w:header="877" w:footer="977" w:top="1100" w:bottom="1160" w:left="1080" w:right="660"/>
        </w:sectPr>
      </w:pPr>
    </w:p>
    <w:p>
      <w:pPr>
        <w:pStyle w:val="Heading3"/>
        <w:numPr>
          <w:ilvl w:val="1"/>
          <w:numId w:val="7"/>
        </w:numPr>
        <w:tabs>
          <w:tab w:pos="907" w:val="left" w:leader="none"/>
          <w:tab w:pos="908" w:val="left" w:leader="none"/>
        </w:tabs>
        <w:spacing w:line="240" w:lineRule="auto" w:before="37" w:after="0"/>
        <w:ind w:left="2613" w:right="0" w:hanging="2390"/>
        <w:jc w:val="left"/>
      </w:pPr>
      <w:r>
        <w:rPr/>
        <w:t>受益人的指定和</w:t>
      </w:r>
    </w:p>
    <w:p>
      <w:pPr>
        <w:spacing w:before="37"/>
        <w:ind w:left="888" w:right="1049" w:firstLine="0"/>
        <w:jc w:val="center"/>
        <w:rPr>
          <w:b/>
          <w:sz w:val="21"/>
        </w:rPr>
      </w:pPr>
      <w:r>
        <w:rPr>
          <w:b/>
          <w:sz w:val="21"/>
        </w:rPr>
        <w:t>变更</w:t>
      </w:r>
    </w:p>
    <w:p>
      <w:pPr>
        <w:pStyle w:val="BodyText"/>
        <w:spacing w:before="57"/>
        <w:ind w:left="173"/>
      </w:pPr>
      <w:r>
        <w:rPr/>
        <w:br w:type="column"/>
      </w:r>
      <w:r>
        <w:rPr/>
        <w:t>除另有指定之外，本附加合同的受益人为被保险人本人。</w:t>
      </w:r>
    </w:p>
    <w:p>
      <w:pPr>
        <w:spacing w:after="0"/>
        <w:sectPr>
          <w:type w:val="continuous"/>
          <w:pgSz w:w="11910" w:h="16840"/>
          <w:pgMar w:top="1040" w:bottom="1160" w:left="1080" w:right="660"/>
          <w:cols w:num="2" w:equalWidth="0">
            <w:col w:w="2400" w:space="40"/>
            <w:col w:w="7730"/>
          </w:cols>
        </w:sectPr>
      </w:pPr>
    </w:p>
    <w:p>
      <w:pPr>
        <w:pStyle w:val="BodyText"/>
        <w:spacing w:before="11"/>
        <w:rPr>
          <w:sz w:val="23"/>
        </w:rPr>
      </w:pPr>
    </w:p>
    <w:p>
      <w:pPr>
        <w:pStyle w:val="ListParagraph"/>
        <w:numPr>
          <w:ilvl w:val="1"/>
          <w:numId w:val="7"/>
        </w:numPr>
        <w:tabs>
          <w:tab w:pos="907" w:val="left" w:leader="none"/>
          <w:tab w:pos="908" w:val="left" w:leader="none"/>
          <w:tab w:pos="2613" w:val="left" w:leader="none"/>
        </w:tabs>
        <w:spacing w:line="240" w:lineRule="auto" w:before="37" w:after="0"/>
        <w:ind w:left="2613" w:right="0" w:hanging="2390"/>
        <w:jc w:val="left"/>
        <w:rPr>
          <w:sz w:val="18"/>
        </w:rPr>
      </w:pPr>
      <w:r>
        <w:rPr>
          <w:b/>
          <w:sz w:val="21"/>
        </w:rPr>
        <w:t>保险金的申请</w:t>
        <w:tab/>
      </w:r>
      <w:r>
        <w:rPr>
          <w:position w:val="1"/>
          <w:sz w:val="18"/>
        </w:rPr>
        <w:t>1、轻症疾病保险金及重大疾病保险金</w:t>
      </w:r>
    </w:p>
    <w:p>
      <w:pPr>
        <w:pStyle w:val="BodyText"/>
        <w:spacing w:line="316" w:lineRule="auto" w:before="58"/>
        <w:ind w:left="2613" w:right="150"/>
      </w:pPr>
      <w:r>
        <w:rPr/>
        <w:t>轻症疾病保险金及重大疾病保险金受益人申请领取轻症疾病保险金或重大疾病保险金时，须填写保险金给付申请书，并提交下列证明材料：</w:t>
      </w:r>
    </w:p>
    <w:p>
      <w:pPr>
        <w:pStyle w:val="ListParagraph"/>
        <w:numPr>
          <w:ilvl w:val="2"/>
          <w:numId w:val="7"/>
        </w:numPr>
        <w:tabs>
          <w:tab w:pos="3027" w:val="left" w:leader="none"/>
        </w:tabs>
        <w:spacing w:line="240" w:lineRule="auto" w:before="19" w:after="0"/>
        <w:ind w:left="3026" w:right="0" w:hanging="413"/>
        <w:jc w:val="left"/>
        <w:rPr>
          <w:sz w:val="18"/>
        </w:rPr>
      </w:pPr>
      <w:r>
        <w:rPr>
          <w:sz w:val="18"/>
        </w:rPr>
        <w:t>保险合同；</w:t>
      </w:r>
    </w:p>
    <w:p>
      <w:pPr>
        <w:pStyle w:val="ListParagraph"/>
        <w:numPr>
          <w:ilvl w:val="2"/>
          <w:numId w:val="7"/>
        </w:numPr>
        <w:tabs>
          <w:tab w:pos="3027" w:val="left" w:leader="none"/>
        </w:tabs>
        <w:spacing w:line="240" w:lineRule="auto" w:before="76" w:after="0"/>
        <w:ind w:left="3026" w:right="0" w:hanging="413"/>
        <w:jc w:val="left"/>
        <w:rPr>
          <w:sz w:val="18"/>
        </w:rPr>
      </w:pPr>
      <w:r>
        <w:rPr>
          <w:sz w:val="18"/>
        </w:rPr>
        <w:t>受益人的有效身份证件；</w:t>
      </w:r>
    </w:p>
    <w:p>
      <w:pPr>
        <w:pStyle w:val="ListParagraph"/>
        <w:numPr>
          <w:ilvl w:val="2"/>
          <w:numId w:val="7"/>
        </w:numPr>
        <w:tabs>
          <w:tab w:pos="3027" w:val="left" w:leader="none"/>
        </w:tabs>
        <w:spacing w:line="316" w:lineRule="auto" w:before="75" w:after="0"/>
        <w:ind w:left="3026" w:right="297"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7"/>
        </w:numPr>
        <w:tabs>
          <w:tab w:pos="3034" w:val="left" w:leader="none"/>
        </w:tabs>
        <w:spacing w:line="240" w:lineRule="auto" w:before="18" w:after="0"/>
        <w:ind w:left="3033" w:right="0" w:hanging="420"/>
        <w:jc w:val="left"/>
        <w:rPr>
          <w:sz w:val="18"/>
        </w:rPr>
      </w:pPr>
      <w:r>
        <w:rPr>
          <w:sz w:val="18"/>
        </w:rPr>
        <w:t>所能提供的与确认保险事故的性质、原因等有关的其它证明文件和资料。</w:t>
      </w:r>
    </w:p>
    <w:p>
      <w:pPr>
        <w:pStyle w:val="BodyText"/>
        <w:spacing w:before="0"/>
        <w:rPr>
          <w:sz w:val="23"/>
        </w:rPr>
      </w:pPr>
    </w:p>
    <w:p>
      <w:pPr>
        <w:pStyle w:val="BodyText"/>
        <w:spacing w:before="0"/>
        <w:ind w:left="2613"/>
      </w:pPr>
      <w:r>
        <w:rPr/>
        <w:t>2、如委托他人代为申领，还应提供授权委托书及受托人的有效身份证件。</w:t>
      </w:r>
    </w:p>
    <w:p>
      <w:pPr>
        <w:pStyle w:val="BodyText"/>
        <w:spacing w:before="2"/>
        <w:rPr>
          <w:sz w:val="23"/>
        </w:rPr>
      </w:pPr>
    </w:p>
    <w:p>
      <w:pPr>
        <w:pStyle w:val="BodyText"/>
        <w:spacing w:before="0"/>
        <w:ind w:left="2613"/>
      </w:pPr>
      <w:r>
        <w:rPr/>
        <w:t>以上证明和资料不完整的，本公司将及时一次性通知申请人补充提供有关证明和资料。</w:t>
      </w:r>
    </w:p>
    <w:p>
      <w:pPr>
        <w:pStyle w:val="BodyText"/>
        <w:spacing w:before="5"/>
        <w:rPr>
          <w:sz w:val="21"/>
        </w:rPr>
      </w:pPr>
    </w:p>
    <w:p>
      <w:pPr>
        <w:pStyle w:val="ListParagraph"/>
        <w:numPr>
          <w:ilvl w:val="1"/>
          <w:numId w:val="7"/>
        </w:numPr>
        <w:tabs>
          <w:tab w:pos="907" w:val="left" w:leader="none"/>
          <w:tab w:pos="908" w:val="left" w:leader="none"/>
          <w:tab w:pos="2613" w:val="left" w:leader="none"/>
        </w:tabs>
        <w:spacing w:line="290" w:lineRule="auto" w:before="1" w:after="0"/>
        <w:ind w:left="2613" w:right="208"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1"/>
          <w:w w:val="99"/>
          <w:sz w:val="18"/>
        </w:rPr>
        <w:t>利息</w:t>
      </w:r>
      <w:r>
        <w:rPr>
          <w:spacing w:val="-3"/>
          <w:sz w:val="18"/>
        </w:rPr>
        <w:t>（</w:t>
      </w:r>
      <w:r>
        <w:rPr>
          <w:sz w:val="18"/>
        </w:rPr>
        <w:t>见</w:t>
      </w:r>
      <w:r>
        <w:rPr>
          <w:spacing w:val="-45"/>
          <w:sz w:val="18"/>
        </w:rPr>
        <w:t> </w:t>
      </w:r>
      <w:r>
        <w:rPr>
          <w:sz w:val="18"/>
        </w:rPr>
        <w:t>8.13</w:t>
      </w:r>
      <w:r>
        <w:rPr>
          <w:spacing w:val="-92"/>
          <w:sz w:val="18"/>
        </w:rPr>
        <w:t>）</w:t>
      </w:r>
      <w:r>
        <w:rPr>
          <w:spacing w:val="-1"/>
          <w:sz w:val="18"/>
        </w:rPr>
        <w:t>、</w:t>
      </w:r>
      <w:r>
        <w:rPr>
          <w:sz w:val="18"/>
        </w:rPr>
        <w:t>欠交的保险费后给付。</w:t>
      </w:r>
    </w:p>
    <w:p>
      <w:pPr>
        <w:spacing w:after="0" w:line="290" w:lineRule="auto"/>
        <w:jc w:val="left"/>
        <w:rPr>
          <w:sz w:val="18"/>
        </w:rPr>
        <w:sectPr>
          <w:type w:val="continuous"/>
          <w:pgSz w:w="11910" w:h="16840"/>
          <w:pgMar w:top="1040" w:bottom="1160" w:left="1080" w:right="660"/>
        </w:sectPr>
      </w:pPr>
    </w:p>
    <w:p>
      <w:pPr>
        <w:pStyle w:val="BodyText"/>
        <w:spacing w:before="2"/>
        <w:rPr>
          <w:sz w:val="19"/>
        </w:rPr>
      </w:pPr>
    </w:p>
    <w:p>
      <w:pPr>
        <w:pStyle w:val="ListParagraph"/>
        <w:numPr>
          <w:ilvl w:val="1"/>
          <w:numId w:val="7"/>
        </w:numPr>
        <w:tabs>
          <w:tab w:pos="907" w:val="left" w:leader="none"/>
          <w:tab w:pos="908" w:val="left" w:leader="none"/>
          <w:tab w:pos="2613" w:val="left" w:leader="none"/>
        </w:tabs>
        <w:spacing w:line="290" w:lineRule="auto" w:before="37" w:after="0"/>
        <w:ind w:left="2613" w:right="245" w:hanging="2390"/>
        <w:jc w:val="left"/>
        <w:rPr>
          <w:sz w:val="18"/>
        </w:rPr>
      </w:pPr>
      <w:r>
        <w:rPr>
          <w:b/>
          <w:sz w:val="21"/>
        </w:rPr>
        <w:t>诉讼时效</w:t>
        <w:tab/>
      </w:r>
      <w:r>
        <w:rPr>
          <w:position w:val="1"/>
          <w:sz w:val="18"/>
        </w:rPr>
        <w:t>本附加合同的受益人向本公司请求给付保险金的诉讼时效期间为二年</w:t>
      </w:r>
      <w:r>
        <w:rPr>
          <w:spacing w:val="-36"/>
          <w:position w:val="1"/>
          <w:sz w:val="18"/>
        </w:rPr>
        <w:t>，</w:t>
      </w:r>
      <w:r>
        <w:rPr>
          <w:position w:val="1"/>
          <w:sz w:val="18"/>
        </w:rPr>
        <w:t>自其知道或者应当知道</w:t>
      </w:r>
      <w:r>
        <w:rPr>
          <w:sz w:val="18"/>
        </w:rPr>
        <w:t>保险事故发生之日起计算。</w:t>
      </w:r>
    </w:p>
    <w:p>
      <w:pPr>
        <w:pStyle w:val="BodyText"/>
        <w:spacing w:before="8"/>
        <w:rPr>
          <w:sz w:val="19"/>
        </w:rPr>
      </w:pPr>
    </w:p>
    <w:p>
      <w:pPr>
        <w:tabs>
          <w:tab w:pos="907" w:val="left" w:leader="none"/>
        </w:tabs>
        <w:spacing w:before="76"/>
        <w:ind w:left="223" w:right="0" w:firstLine="0"/>
        <w:jc w:val="left"/>
        <w:rPr>
          <w:b/>
          <w:sz w:val="24"/>
        </w:rPr>
      </w:pPr>
      <w:r>
        <w:rPr/>
        <w:pict>
          <v:group style="position:absolute;margin-left:59.759998pt;margin-top:31.172537pt;width:497.4pt;height:.5pt;mso-position-horizontal-relative:page;mso-position-vertical-relative:paragraph;z-index:1240;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如何交付保险费</w:t>
      </w:r>
    </w:p>
    <w:p>
      <w:pPr>
        <w:pStyle w:val="BodyText"/>
        <w:spacing w:before="9"/>
        <w:rPr>
          <w:b/>
          <w:sz w:val="10"/>
        </w:rPr>
      </w:pPr>
    </w:p>
    <w:p>
      <w:pPr>
        <w:tabs>
          <w:tab w:pos="907" w:val="left" w:leader="none"/>
          <w:tab w:pos="2613" w:val="left" w:leader="none"/>
        </w:tabs>
        <w:spacing w:before="37"/>
        <w:ind w:left="223" w:right="0" w:firstLine="0"/>
        <w:jc w:val="left"/>
        <w:rPr>
          <w:sz w:val="18"/>
        </w:rPr>
      </w:pPr>
      <w:r>
        <w:rPr>
          <w:b/>
          <w:sz w:val="21"/>
        </w:rPr>
        <w:t>4.1</w:t>
        <w:tab/>
        <w:t>保险费的交付</w:t>
        <w:tab/>
      </w:r>
      <w:r>
        <w:rPr>
          <w:position w:val="1"/>
          <w:sz w:val="18"/>
        </w:rPr>
        <w:t>保险费详见费率表。您可以选择一次交清或分期交付本附加合同的保险费。</w:t>
      </w:r>
    </w:p>
    <w:p>
      <w:pPr>
        <w:pStyle w:val="BodyText"/>
        <w:spacing w:line="316" w:lineRule="auto" w:before="58"/>
        <w:ind w:left="2613" w:right="209"/>
      </w:pPr>
      <w:r>
        <w:rPr/>
        <w:t>本附加合同采用分期交付方式时，保险费交费期间分为三年、五年、十年、十五年和二十年。分期交付方式包括年交、半年交、季交、月交四种。</w:t>
      </w:r>
    </w:p>
    <w:p>
      <w:pPr>
        <w:pStyle w:val="BodyText"/>
        <w:spacing w:before="4"/>
      </w:pPr>
    </w:p>
    <w:p>
      <w:pPr>
        <w:tabs>
          <w:tab w:pos="907" w:val="left" w:leader="none"/>
        </w:tabs>
        <w:spacing w:before="76"/>
        <w:ind w:left="223" w:right="0" w:firstLine="0"/>
        <w:jc w:val="left"/>
        <w:rPr>
          <w:b/>
          <w:sz w:val="24"/>
        </w:rPr>
      </w:pPr>
      <w:r>
        <w:rPr/>
        <w:pict>
          <v:group style="position:absolute;margin-left:59.759998pt;margin-top:31.172487pt;width:497.4pt;height:.5pt;mso-position-horizontal-relative:page;mso-position-vertical-relative:paragraph;z-index:1264;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现金价值权益</w:t>
      </w:r>
    </w:p>
    <w:p>
      <w:pPr>
        <w:pStyle w:val="BodyText"/>
        <w:spacing w:before="7"/>
        <w:rPr>
          <w:b/>
          <w:sz w:val="10"/>
        </w:rPr>
      </w:pPr>
    </w:p>
    <w:p>
      <w:pPr>
        <w:pStyle w:val="ListParagraph"/>
        <w:numPr>
          <w:ilvl w:val="1"/>
          <w:numId w:val="8"/>
        </w:numPr>
        <w:tabs>
          <w:tab w:pos="908" w:val="left" w:leader="none"/>
        </w:tabs>
        <w:spacing w:line="290" w:lineRule="auto" w:before="36" w:after="0"/>
        <w:ind w:left="2613" w:right="248" w:hanging="2390"/>
        <w:jc w:val="both"/>
        <w:rPr>
          <w:sz w:val="18"/>
        </w:rPr>
      </w:pPr>
      <w:r>
        <w:rPr>
          <w:b/>
          <w:spacing w:val="0"/>
          <w:sz w:val="21"/>
        </w:rPr>
        <w:t>现金价值       </w:t>
      </w:r>
      <w:r>
        <w:rPr>
          <w:spacing w:val="-2"/>
          <w:position w:val="1"/>
          <w:sz w:val="18"/>
        </w:rPr>
        <w:t>本附加合同保单年度末的现金价值会在保险单上载明，保单年度内的现金价值，您可以向本公</w:t>
      </w:r>
      <w:r>
        <w:rPr>
          <w:spacing w:val="-2"/>
          <w:sz w:val="18"/>
        </w:rPr>
        <w:t>司咨询。</w:t>
      </w:r>
    </w:p>
    <w:p>
      <w:pPr>
        <w:pStyle w:val="BodyText"/>
        <w:spacing w:before="10"/>
      </w:pPr>
    </w:p>
    <w:p>
      <w:pPr>
        <w:pStyle w:val="ListParagraph"/>
        <w:numPr>
          <w:ilvl w:val="1"/>
          <w:numId w:val="8"/>
        </w:numPr>
        <w:tabs>
          <w:tab w:pos="908" w:val="left" w:leader="none"/>
        </w:tabs>
        <w:spacing w:line="290" w:lineRule="auto" w:before="0" w:after="0"/>
        <w:ind w:left="2613" w:right="248" w:hanging="2390"/>
        <w:jc w:val="both"/>
        <w:rPr>
          <w:sz w:val="18"/>
        </w:rPr>
      </w:pPr>
      <w:r>
        <w:rPr>
          <w:b/>
          <w:spacing w:val="0"/>
          <w:sz w:val="21"/>
        </w:rPr>
        <w:t>自动垫交       </w:t>
      </w:r>
      <w:r>
        <w:rPr>
          <w:spacing w:val="-3"/>
          <w:position w:val="1"/>
          <w:sz w:val="18"/>
        </w:rPr>
        <w:t>主险合同进行保费自动垫交时，本附加合同应同时进行保费自动垫交。本附加合同不能单独进</w:t>
      </w:r>
      <w:r>
        <w:rPr>
          <w:spacing w:val="-3"/>
          <w:sz w:val="18"/>
        </w:rPr>
        <w:t>行保费自动垫交。</w:t>
      </w:r>
    </w:p>
    <w:p>
      <w:pPr>
        <w:pStyle w:val="BodyText"/>
        <w:spacing w:before="7"/>
      </w:pPr>
    </w:p>
    <w:p>
      <w:pPr>
        <w:pStyle w:val="ListParagraph"/>
        <w:numPr>
          <w:ilvl w:val="1"/>
          <w:numId w:val="8"/>
        </w:numPr>
        <w:tabs>
          <w:tab w:pos="908" w:val="left" w:leader="none"/>
        </w:tabs>
        <w:spacing w:line="290" w:lineRule="auto" w:before="1" w:after="0"/>
        <w:ind w:left="2613" w:right="248" w:hanging="2390"/>
        <w:jc w:val="both"/>
        <w:rPr>
          <w:sz w:val="18"/>
        </w:rPr>
      </w:pPr>
      <w:r>
        <w:rPr>
          <w:b/>
          <w:spacing w:val="0"/>
          <w:sz w:val="21"/>
        </w:rPr>
        <w:t>保险单借款     </w:t>
      </w:r>
      <w:r>
        <w:rPr>
          <w:spacing w:val="-3"/>
          <w:position w:val="1"/>
          <w:sz w:val="18"/>
        </w:rPr>
        <w:t>您对主险合同申请保单借款时，本附加合同应同时进行保单借款，借款比例和利息计算方式与</w:t>
      </w:r>
      <w:r>
        <w:rPr>
          <w:spacing w:val="-3"/>
          <w:sz w:val="18"/>
        </w:rPr>
        <w:t>主险一致。您不能单独对本附加合同进行保单借款。</w:t>
      </w:r>
    </w:p>
    <w:p>
      <w:pPr>
        <w:pStyle w:val="BodyText"/>
        <w:spacing w:before="10"/>
      </w:pPr>
    </w:p>
    <w:p>
      <w:pPr>
        <w:pStyle w:val="ListParagraph"/>
        <w:numPr>
          <w:ilvl w:val="1"/>
          <w:numId w:val="8"/>
        </w:numPr>
        <w:tabs>
          <w:tab w:pos="908" w:val="left" w:leader="none"/>
        </w:tabs>
        <w:spacing w:line="307" w:lineRule="auto" w:before="0" w:after="0"/>
        <w:ind w:left="2613" w:right="245" w:hanging="2390"/>
        <w:jc w:val="both"/>
        <w:rPr>
          <w:sz w:val="18"/>
        </w:rPr>
      </w:pPr>
      <w:r>
        <w:rPr>
          <w:b/>
          <w:spacing w:val="0"/>
          <w:sz w:val="21"/>
        </w:rPr>
        <w:t>减额交清       </w:t>
      </w:r>
      <w:r>
        <w:rPr>
          <w:spacing w:val="-3"/>
          <w:position w:val="1"/>
          <w:sz w:val="18"/>
        </w:rPr>
        <w:t>在本附加合同有效期内，如果您决定不再交纳续期保险费，您可以书面形式向本公司申请办理</w:t>
      </w:r>
      <w:r>
        <w:rPr>
          <w:spacing w:val="-7"/>
          <w:sz w:val="18"/>
        </w:rPr>
        <w:t>减额交清。我们将以本附加合同宽限期开始前一日的现金价值扣除您尚未清偿的欠款及应付利</w:t>
      </w:r>
      <w:r>
        <w:rPr>
          <w:spacing w:val="-8"/>
          <w:sz w:val="18"/>
        </w:rPr>
        <w:t>息的余额，作为一次交清的净保险费，以宽限期开始前一日的合同条件重新计算本附加合同的基本保险金额，变更后的基本保险金额不得低于您申请当时我们规定的最低金额。</w:t>
      </w:r>
    </w:p>
    <w:p>
      <w:pPr>
        <w:pStyle w:val="BodyText"/>
        <w:spacing w:line="316" w:lineRule="auto" w:before="25"/>
        <w:ind w:left="2613" w:right="210"/>
      </w:pPr>
      <w:r>
        <w:rPr/>
        <w:t>办理减额交清后，本附加合同的基本保险金额会相应减少，您不需要再支付保险费，本附加合同继续有效。</w:t>
      </w:r>
    </w:p>
    <w:p>
      <w:pPr>
        <w:pStyle w:val="BodyText"/>
        <w:spacing w:line="316" w:lineRule="auto" w:before="18"/>
        <w:ind w:left="2613" w:right="192"/>
      </w:pPr>
      <w:r>
        <w:rPr/>
        <w:t>您对主险合同申请减额交清时，本附加合同应同时进行减额交清。本附加合同不能单独进行减额交清。</w:t>
      </w:r>
    </w:p>
    <w:p>
      <w:pPr>
        <w:pStyle w:val="BodyText"/>
        <w:spacing w:before="11"/>
        <w:rPr>
          <w:sz w:val="23"/>
        </w:rPr>
      </w:pPr>
    </w:p>
    <w:p>
      <w:pPr>
        <w:pStyle w:val="Heading2"/>
        <w:tabs>
          <w:tab w:pos="907" w:val="left" w:leader="none"/>
        </w:tabs>
        <w:ind w:left="223" w:firstLine="0"/>
      </w:pPr>
      <w:r>
        <w:rPr/>
        <w:pict>
          <v:group style="position:absolute;margin-left:59.759998pt;margin-top:27.372528pt;width:497.4pt;height:.5pt;mso-position-horizontal-relative:page;mso-position-vertical-relative:paragraph;z-index:1288;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如何解除保险合同</w:t>
      </w:r>
    </w:p>
    <w:p>
      <w:pPr>
        <w:pStyle w:val="BodyText"/>
        <w:spacing w:before="4" w:after="1"/>
        <w:rPr>
          <w:b/>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92"/>
      </w:tblGrid>
      <w:tr>
        <w:trPr>
          <w:trHeight w:val="261" w:hRule="atLeast"/>
        </w:trPr>
        <w:tc>
          <w:tcPr>
            <w:tcW w:w="550" w:type="dxa"/>
          </w:tcPr>
          <w:p>
            <w:pPr>
              <w:pStyle w:val="TableParagraph"/>
              <w:spacing w:line="211" w:lineRule="exact"/>
              <w:ind w:left="50"/>
              <w:rPr>
                <w:b/>
                <w:sz w:val="21"/>
              </w:rPr>
            </w:pPr>
            <w:r>
              <w:rPr>
                <w:b/>
                <w:sz w:val="21"/>
              </w:rPr>
              <w:t>6.1</w:t>
            </w:r>
          </w:p>
        </w:tc>
        <w:tc>
          <w:tcPr>
            <w:tcW w:w="1783" w:type="dxa"/>
          </w:tcPr>
          <w:p>
            <w:pPr>
              <w:pStyle w:val="TableParagraph"/>
              <w:spacing w:line="211" w:lineRule="exact"/>
              <w:ind w:left="184"/>
              <w:rPr>
                <w:b/>
                <w:sz w:val="21"/>
              </w:rPr>
            </w:pPr>
            <w:r>
              <w:rPr>
                <w:b/>
                <w:sz w:val="21"/>
              </w:rPr>
              <w:t>您解除合同的手</w:t>
            </w:r>
          </w:p>
        </w:tc>
        <w:tc>
          <w:tcPr>
            <w:tcW w:w="7592" w:type="dxa"/>
          </w:tcPr>
          <w:p>
            <w:pPr>
              <w:pStyle w:val="TableParagraph"/>
              <w:spacing w:line="192" w:lineRule="exact"/>
              <w:ind w:left="107"/>
              <w:rPr>
                <w:sz w:val="18"/>
              </w:rPr>
            </w:pPr>
            <w:r>
              <w:rPr>
                <w:spacing w:val="-11"/>
                <w:sz w:val="18"/>
              </w:rPr>
              <w:t>您在犹豫期后，可以书面通知我们要求解除本附加合同，自本公司收到合同解除申请书之日起，</w:t>
            </w:r>
          </w:p>
        </w:tc>
      </w:tr>
      <w:tr>
        <w:trPr>
          <w:trHeight w:val="620" w:hRule="atLeast"/>
        </w:trPr>
        <w:tc>
          <w:tcPr>
            <w:tcW w:w="550" w:type="dxa"/>
          </w:tcPr>
          <w:p>
            <w:pPr>
              <w:pStyle w:val="TableParagraph"/>
              <w:rPr>
                <w:rFonts w:ascii="Times New Roman"/>
                <w:sz w:val="18"/>
              </w:rPr>
            </w:pPr>
          </w:p>
        </w:tc>
        <w:tc>
          <w:tcPr>
            <w:tcW w:w="1783" w:type="dxa"/>
          </w:tcPr>
          <w:p>
            <w:pPr>
              <w:pStyle w:val="TableParagraph"/>
              <w:spacing w:line="261" w:lineRule="exact"/>
              <w:ind w:left="184"/>
              <w:rPr>
                <w:b/>
                <w:sz w:val="21"/>
              </w:rPr>
            </w:pPr>
            <w:r>
              <w:rPr>
                <w:b/>
                <w:sz w:val="21"/>
              </w:rPr>
              <w:t>续及风险</w:t>
            </w:r>
          </w:p>
        </w:tc>
        <w:tc>
          <w:tcPr>
            <w:tcW w:w="7592" w:type="dxa"/>
          </w:tcPr>
          <w:p>
            <w:pPr>
              <w:pStyle w:val="TableParagraph"/>
              <w:spacing w:before="7"/>
              <w:ind w:left="107"/>
              <w:rPr>
                <w:sz w:val="18"/>
              </w:rPr>
            </w:pPr>
            <w:r>
              <w:rPr>
                <w:sz w:val="18"/>
              </w:rPr>
              <w:t>本附加合同效力即行终止。</w:t>
            </w:r>
          </w:p>
          <w:p>
            <w:pPr>
              <w:pStyle w:val="TableParagraph"/>
              <w:spacing w:before="76"/>
              <w:ind w:left="107"/>
              <w:rPr>
                <w:sz w:val="18"/>
              </w:rPr>
            </w:pPr>
            <w:r>
              <w:rPr>
                <w:sz w:val="18"/>
              </w:rPr>
              <w:t>您解除本附加合同时，应填写合同解除申请书，并提供下列证明和资料：</w:t>
            </w:r>
          </w:p>
        </w:tc>
      </w:tr>
      <w:tr>
        <w:trPr>
          <w:trHeight w:val="311"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92" w:type="dxa"/>
          </w:tcPr>
          <w:p>
            <w:pPr>
              <w:pStyle w:val="TableParagraph"/>
              <w:spacing w:before="10"/>
              <w:ind w:left="107"/>
              <w:rPr>
                <w:sz w:val="18"/>
              </w:rPr>
            </w:pPr>
            <w:r>
              <w:rPr>
                <w:sz w:val="18"/>
              </w:rPr>
              <w:t>1、 保险合同；</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92" w:type="dxa"/>
          </w:tcPr>
          <w:p>
            <w:pPr>
              <w:pStyle w:val="TableParagraph"/>
              <w:spacing w:before="10"/>
              <w:ind w:left="107"/>
              <w:rPr>
                <w:sz w:val="18"/>
              </w:rPr>
            </w:pPr>
            <w:r>
              <w:rPr>
                <w:sz w:val="18"/>
              </w:rPr>
              <w:t>2、 您的有效身份证件。</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92" w:type="dxa"/>
          </w:tcPr>
          <w:p>
            <w:pPr>
              <w:pStyle w:val="TableParagraph"/>
              <w:spacing w:before="10"/>
              <w:ind w:left="107"/>
              <w:rPr>
                <w:sz w:val="18"/>
              </w:rPr>
            </w:pPr>
            <w:r>
              <w:rPr>
                <w:sz w:val="18"/>
              </w:rPr>
              <w:t>本公司自收到上述证明和材料之日起三十日内，返还本附加合同的现金价值。</w:t>
            </w:r>
          </w:p>
        </w:tc>
      </w:tr>
      <w:tr>
        <w:trPr>
          <w:trHeight w:val="311"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92" w:type="dxa"/>
          </w:tcPr>
          <w:p>
            <w:pPr>
              <w:pStyle w:val="TableParagraph"/>
              <w:spacing w:before="10"/>
              <w:ind w:left="107"/>
              <w:rPr>
                <w:sz w:val="18"/>
              </w:rPr>
            </w:pPr>
            <w:r>
              <w:rPr>
                <w:sz w:val="18"/>
              </w:rPr>
              <w:t>您在犹豫期后解除合同会遭受一定损失。</w:t>
            </w:r>
          </w:p>
        </w:tc>
      </w:tr>
      <w:tr>
        <w:trPr>
          <w:trHeight w:val="245" w:hRule="atLeast"/>
        </w:trPr>
        <w:tc>
          <w:tcPr>
            <w:tcW w:w="550" w:type="dxa"/>
          </w:tcPr>
          <w:p>
            <w:pPr>
              <w:pStyle w:val="TableParagraph"/>
              <w:rPr>
                <w:rFonts w:ascii="Times New Roman"/>
                <w:sz w:val="16"/>
              </w:rPr>
            </w:pPr>
          </w:p>
        </w:tc>
        <w:tc>
          <w:tcPr>
            <w:tcW w:w="1783" w:type="dxa"/>
          </w:tcPr>
          <w:p>
            <w:pPr>
              <w:pStyle w:val="TableParagraph"/>
              <w:rPr>
                <w:rFonts w:ascii="Times New Roman"/>
                <w:sz w:val="16"/>
              </w:rPr>
            </w:pPr>
          </w:p>
        </w:tc>
        <w:tc>
          <w:tcPr>
            <w:tcW w:w="7592" w:type="dxa"/>
          </w:tcPr>
          <w:p>
            <w:pPr>
              <w:pStyle w:val="TableParagraph"/>
              <w:spacing w:line="216" w:lineRule="exact" w:before="10"/>
              <w:ind w:left="107"/>
              <w:rPr>
                <w:sz w:val="18"/>
              </w:rPr>
            </w:pPr>
            <w:r>
              <w:rPr>
                <w:sz w:val="18"/>
              </w:rPr>
              <w:t>解除合同后，受益人不能对合同解除前发生的保险事故申请给付保险金。</w:t>
            </w:r>
          </w:p>
        </w:tc>
      </w:tr>
    </w:tbl>
    <w:p>
      <w:pPr>
        <w:tabs>
          <w:tab w:pos="907" w:val="left" w:leader="none"/>
        </w:tabs>
        <w:spacing w:before="373"/>
        <w:ind w:left="223" w:right="0" w:firstLine="0"/>
        <w:jc w:val="left"/>
        <w:rPr>
          <w:b/>
          <w:sz w:val="24"/>
        </w:rPr>
      </w:pPr>
      <w:r>
        <w:rPr/>
        <w:pict>
          <v:group style="position:absolute;margin-left:59.759998pt;margin-top:46.022518pt;width:497.4pt;height:.5pt;mso-position-horizontal-relative:page;mso-position-vertical-relative:paragraph;z-index:1312;mso-wrap-distance-left:0;mso-wrap-distance-right:0" coordorigin="1195,920" coordsize="9948,10">
            <v:line style="position:absolute" from="1195,925" to="1879,925" stroked="true" strokeweight=".48pt" strokecolor="#000000">
              <v:stroke dashstyle="solid"/>
            </v:line>
            <v:rect style="position:absolute;left:1879;top:920;width:10;height:10" filled="true" fillcolor="#000000" stroked="false">
              <v:fill type="solid"/>
            </v:rect>
            <v:line style="position:absolute" from="1889,925" to="3586,925" stroked="true" strokeweight=".48pt" strokecolor="#000000">
              <v:stroke dashstyle="solid"/>
            </v:line>
            <v:rect style="position:absolute;left:3585;top:920;width:10;height:10" filled="true" fillcolor="#000000" stroked="false">
              <v:fill type="solid"/>
            </v:rect>
            <v:line style="position:absolute" from="3595,925" to="11143,925"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其他需要您关注的事项</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40" w:lineRule="auto" w:before="36" w:after="0"/>
        <w:ind w:left="907" w:right="0" w:hanging="684"/>
        <w:jc w:val="left"/>
        <w:rPr>
          <w:sz w:val="18"/>
        </w:rPr>
      </w:pPr>
      <w:r>
        <w:rPr>
          <w:b/>
          <w:sz w:val="21"/>
        </w:rPr>
        <w:t>投保范围</w:t>
        <w:tab/>
      </w:r>
      <w:r>
        <w:rPr>
          <w:position w:val="1"/>
          <w:sz w:val="18"/>
        </w:rPr>
        <w:t>1、被保险人条件：</w:t>
      </w:r>
    </w:p>
    <w:p>
      <w:pPr>
        <w:spacing w:after="0" w:line="240" w:lineRule="auto"/>
        <w:jc w:val="left"/>
        <w:rPr>
          <w:sz w:val="18"/>
        </w:rPr>
        <w:sectPr>
          <w:pgSz w:w="11910" w:h="16840"/>
          <w:pgMar w:header="877" w:footer="977" w:top="1100" w:bottom="1160" w:left="1080" w:right="620"/>
        </w:sectPr>
      </w:pPr>
    </w:p>
    <w:p>
      <w:pPr>
        <w:pStyle w:val="BodyText"/>
        <w:spacing w:before="1"/>
        <w:rPr>
          <w:sz w:val="20"/>
        </w:rPr>
      </w:pPr>
    </w:p>
    <w:p>
      <w:pPr>
        <w:pStyle w:val="BodyText"/>
        <w:spacing w:line="316" w:lineRule="auto" w:before="45"/>
        <w:ind w:left="2613" w:right="150"/>
      </w:pPr>
      <w:r>
        <w:rPr/>
        <w:t>凡投保时出生满二十八天至六十周岁，身体健康，能正常工作或学习的人，均可作为本保险的被保险人。</w:t>
      </w:r>
    </w:p>
    <w:p>
      <w:pPr>
        <w:pStyle w:val="BodyText"/>
        <w:spacing w:before="18"/>
        <w:ind w:left="2613"/>
      </w:pPr>
      <w:r>
        <w:rPr/>
        <w:t>2、投保人条件：</w:t>
      </w:r>
    </w:p>
    <w:p>
      <w:pPr>
        <w:pStyle w:val="BodyText"/>
        <w:spacing w:line="316" w:lineRule="auto"/>
        <w:ind w:left="2613" w:right="169"/>
      </w:pPr>
      <w:r>
        <w:rPr/>
        <w:t>凡订立本附加合同时年满十八周岁，具有完全民事行为能力且对被保险人具有保险利益的人， 均可作为本保险的投保人。</w:t>
      </w:r>
    </w:p>
    <w:p>
      <w:pPr>
        <w:pStyle w:val="BodyText"/>
        <w:spacing w:before="1"/>
        <w:rPr>
          <w:sz w:val="17"/>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4"/>
        <w:jc w:val="left"/>
        <w:rPr>
          <w:sz w:val="18"/>
        </w:rPr>
      </w:pPr>
      <w:r>
        <w:rPr>
          <w:b/>
          <w:sz w:val="21"/>
        </w:rPr>
        <w:t>合同效力</w:t>
        <w:tab/>
      </w:r>
      <w:r>
        <w:rPr>
          <w:position w:val="1"/>
          <w:sz w:val="18"/>
        </w:rPr>
        <w:t>本附加合同的效力在发生下列情形之一时自动终止：</w:t>
      </w:r>
    </w:p>
    <w:p>
      <w:pPr>
        <w:pStyle w:val="BodyText"/>
        <w:spacing w:before="57"/>
        <w:ind w:left="2613"/>
      </w:pPr>
      <w:r>
        <w:rPr/>
        <w:t>1、  主险合同期满或终止；</w:t>
      </w:r>
    </w:p>
    <w:p>
      <w:pPr>
        <w:pStyle w:val="BodyText"/>
        <w:ind w:left="2613"/>
      </w:pPr>
      <w:r>
        <w:rPr/>
        <w:t>2、  本附加合同期满；</w:t>
      </w:r>
    </w:p>
    <w:p>
      <w:pPr>
        <w:pStyle w:val="BodyText"/>
        <w:ind w:left="2613"/>
      </w:pPr>
      <w:r>
        <w:rPr/>
        <w:t>3、  出现主险合同或本附加合同内的其它约定终止情况。</w:t>
      </w:r>
    </w:p>
    <w:p>
      <w:pPr>
        <w:pStyle w:val="BodyText"/>
        <w:ind w:left="2613"/>
      </w:pPr>
      <w:r>
        <w:rPr/>
        <w:t>本附加合同效力终止后，除另有规定外，我们不退还本附加合同的现金价值。</w:t>
      </w:r>
    </w:p>
    <w:p>
      <w:pPr>
        <w:pStyle w:val="BodyText"/>
        <w:spacing w:before="9"/>
        <w:rPr>
          <w:sz w:val="22"/>
        </w:rPr>
      </w:pPr>
    </w:p>
    <w:p>
      <w:pPr>
        <w:tabs>
          <w:tab w:pos="907" w:val="left" w:leader="none"/>
        </w:tabs>
        <w:spacing w:before="75"/>
        <w:ind w:left="223" w:right="0" w:firstLine="0"/>
        <w:jc w:val="left"/>
        <w:rPr>
          <w:b/>
          <w:sz w:val="24"/>
        </w:rPr>
      </w:pPr>
      <w:r>
        <w:rPr/>
        <w:pict>
          <v:group style="position:absolute;margin-left:59.759998pt;margin-top:31.122524pt;width:497.4pt;height:.5pt;mso-position-horizontal-relative:page;mso-position-vertical-relative:paragraph;z-index:1336;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sz w:val="24"/>
        </w:rPr>
        <w:t>释义</w:t>
      </w:r>
    </w:p>
    <w:p>
      <w:pPr>
        <w:pStyle w:val="BodyText"/>
        <w:spacing w:before="9"/>
        <w:rPr>
          <w:b/>
          <w:sz w:val="10"/>
        </w:rPr>
      </w:pPr>
    </w:p>
    <w:p>
      <w:pPr>
        <w:pStyle w:val="ListParagraph"/>
        <w:numPr>
          <w:ilvl w:val="1"/>
          <w:numId w:val="10"/>
        </w:numPr>
        <w:tabs>
          <w:tab w:pos="907" w:val="left" w:leader="none"/>
          <w:tab w:pos="908" w:val="left" w:leader="none"/>
          <w:tab w:pos="2613" w:val="left" w:leader="none"/>
        </w:tabs>
        <w:spacing w:line="290" w:lineRule="auto" w:before="37" w:after="0"/>
        <w:ind w:left="2613" w:right="208"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8"/>
      </w:pPr>
    </w:p>
    <w:p>
      <w:pPr>
        <w:pStyle w:val="ListParagraph"/>
        <w:numPr>
          <w:ilvl w:val="1"/>
          <w:numId w:val="10"/>
        </w:numPr>
        <w:tabs>
          <w:tab w:pos="907" w:val="left" w:leader="none"/>
          <w:tab w:pos="908" w:val="left" w:leader="none"/>
          <w:tab w:pos="2613" w:val="left" w:leader="none"/>
        </w:tabs>
        <w:spacing w:line="240" w:lineRule="auto" w:before="0" w:after="0"/>
        <w:ind w:left="2613" w:right="0" w:hanging="2390"/>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3"/>
        <w:rPr>
          <w:sz w:val="26"/>
        </w:rPr>
      </w:pPr>
    </w:p>
    <w:p>
      <w:pPr>
        <w:spacing w:after="0"/>
        <w:rPr>
          <w:sz w:val="26"/>
        </w:rPr>
        <w:sectPr>
          <w:pgSz w:w="11910" w:h="16840"/>
          <w:pgMar w:header="877" w:footer="977" w:top="1100" w:bottom="1160" w:left="1080" w:right="660"/>
        </w:sectPr>
      </w:pPr>
    </w:p>
    <w:p>
      <w:pPr>
        <w:pStyle w:val="Heading3"/>
        <w:numPr>
          <w:ilvl w:val="1"/>
          <w:numId w:val="10"/>
        </w:numPr>
        <w:tabs>
          <w:tab w:pos="907" w:val="left" w:leader="none"/>
          <w:tab w:pos="908" w:val="left" w:leader="none"/>
        </w:tabs>
        <w:spacing w:line="273" w:lineRule="auto" w:before="37" w:after="0"/>
        <w:ind w:left="907" w:right="0" w:hanging="684"/>
        <w:jc w:val="left"/>
      </w:pPr>
      <w:r>
        <w:rPr/>
        <w:t>指定或认可的医疗机构</w:t>
      </w:r>
    </w:p>
    <w:p>
      <w:pPr>
        <w:pStyle w:val="BodyText"/>
        <w:spacing w:line="316" w:lineRule="auto" w:before="57"/>
        <w:ind w:left="173" w:right="172"/>
      </w:pPr>
      <w:r>
        <w:rPr/>
        <w:br w:type="column"/>
      </w:r>
      <w:r>
        <w:rPr/>
        <w:t>指中华人民共和国境内(港澳台地区除外)，投保地所在省、市、自治区范围内的卫生行政部门认可的二级或二级以上非营利性医疗机构。</w:t>
      </w:r>
    </w:p>
    <w:p>
      <w:pPr>
        <w:spacing w:after="0" w:line="316" w:lineRule="auto"/>
        <w:sectPr>
          <w:type w:val="continuous"/>
          <w:pgSz w:w="11910" w:h="16840"/>
          <w:pgMar w:top="1040" w:bottom="1160" w:left="1080" w:right="660"/>
          <w:cols w:num="2" w:equalWidth="0">
            <w:col w:w="2400" w:space="40"/>
            <w:col w:w="7730"/>
          </w:cols>
        </w:sectPr>
      </w:pPr>
    </w:p>
    <w:p>
      <w:pPr>
        <w:pStyle w:val="BodyText"/>
        <w:spacing w:before="6"/>
        <w:rPr>
          <w:sz w:val="14"/>
        </w:rPr>
      </w:pPr>
    </w:p>
    <w:p>
      <w:pPr>
        <w:pStyle w:val="ListParagraph"/>
        <w:numPr>
          <w:ilvl w:val="1"/>
          <w:numId w:val="10"/>
        </w:numPr>
        <w:tabs>
          <w:tab w:pos="908" w:val="left" w:leader="none"/>
          <w:tab w:pos="2613" w:val="left" w:leader="none"/>
        </w:tabs>
        <w:spacing w:line="302" w:lineRule="auto" w:before="36" w:after="0"/>
        <w:ind w:left="2613" w:right="205" w:hanging="2390"/>
        <w:jc w:val="both"/>
        <w:rPr>
          <w:sz w:val="18"/>
        </w:rPr>
      </w:pPr>
      <w:r>
        <w:rPr>
          <w:b/>
          <w:sz w:val="21"/>
        </w:rPr>
        <w:t>毒品</w:t>
        <w:tab/>
      </w:r>
      <w:r>
        <w:rPr>
          <w:position w:val="1"/>
          <w:sz w:val="18"/>
        </w:rPr>
        <w:t>指中华人民共和国刑法规定的鸦片、海洛因、甲基苯丙胺（冰毒</w:t>
      </w:r>
      <w:r>
        <w:rPr>
          <w:spacing w:val="-92"/>
          <w:position w:val="1"/>
          <w:sz w:val="18"/>
        </w:rPr>
        <w:t>）</w:t>
      </w:r>
      <w:r>
        <w:rPr>
          <w:position w:val="1"/>
          <w:sz w:val="18"/>
        </w:rPr>
        <w:t>、吗啡、大麻、可卡因以及</w:t>
      </w:r>
      <w:r>
        <w:rPr>
          <w:sz w:val="18"/>
        </w:rPr>
        <w:t>国家规定管制的其他能够使人形成瘾癖的麻醉药品和精神药品</w:t>
      </w:r>
      <w:r>
        <w:rPr>
          <w:spacing w:val="-36"/>
          <w:sz w:val="18"/>
        </w:rPr>
        <w:t>，</w:t>
      </w:r>
      <w:r>
        <w:rPr>
          <w:sz w:val="18"/>
        </w:rPr>
        <w:t>但不包括由医生开具并遵医嘱使用的用于治疗疾病但含有毒品成分的处方药品。</w:t>
      </w:r>
    </w:p>
    <w:p>
      <w:pPr>
        <w:pStyle w:val="BodyText"/>
        <w:spacing w:before="1"/>
      </w:pPr>
    </w:p>
    <w:p>
      <w:pPr>
        <w:pStyle w:val="ListParagraph"/>
        <w:numPr>
          <w:ilvl w:val="1"/>
          <w:numId w:val="10"/>
        </w:numPr>
        <w:tabs>
          <w:tab w:pos="908" w:val="left" w:leader="none"/>
        </w:tabs>
        <w:spacing w:line="302" w:lineRule="auto" w:before="0" w:after="0"/>
        <w:ind w:left="2613" w:right="205"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2"/>
        <w:rPr>
          <w:sz w:val="15"/>
        </w:rPr>
      </w:pPr>
    </w:p>
    <w:p>
      <w:pPr>
        <w:spacing w:after="0"/>
        <w:rPr>
          <w:sz w:val="15"/>
        </w:rPr>
        <w:sectPr>
          <w:type w:val="continuous"/>
          <w:pgSz w:w="11910" w:h="16840"/>
          <w:pgMar w:top="1040" w:bottom="1160" w:left="1080" w:right="660"/>
        </w:sectPr>
      </w:pPr>
    </w:p>
    <w:p>
      <w:pPr>
        <w:pStyle w:val="Heading3"/>
        <w:numPr>
          <w:ilvl w:val="1"/>
          <w:numId w:val="10"/>
        </w:numPr>
        <w:tabs>
          <w:tab w:pos="907" w:val="left" w:leader="none"/>
          <w:tab w:pos="908" w:val="left" w:leader="none"/>
        </w:tabs>
        <w:spacing w:line="273" w:lineRule="auto" w:before="36" w:after="0"/>
        <w:ind w:left="907" w:right="0" w:hanging="684"/>
        <w:jc w:val="left"/>
      </w:pPr>
      <w:r>
        <w:rPr/>
        <w:t>无合法有效驾驶证驾驶</w:t>
      </w:r>
    </w:p>
    <w:p>
      <w:pPr>
        <w:pStyle w:val="BodyText"/>
        <w:spacing w:before="57"/>
        <w:ind w:left="173"/>
      </w:pPr>
      <w:r>
        <w:rPr/>
        <w:br w:type="column"/>
      </w:r>
      <w:r>
        <w:rPr/>
        <w:t>指下列情形之一：</w:t>
      </w:r>
    </w:p>
    <w:p>
      <w:pPr>
        <w:pStyle w:val="ListParagraph"/>
        <w:numPr>
          <w:ilvl w:val="0"/>
          <w:numId w:val="11"/>
        </w:numPr>
        <w:tabs>
          <w:tab w:pos="544" w:val="left" w:leader="none"/>
        </w:tabs>
        <w:spacing w:line="240" w:lineRule="auto" w:before="76" w:after="0"/>
        <w:ind w:left="543" w:right="0" w:hanging="370"/>
        <w:jc w:val="left"/>
        <w:rPr>
          <w:sz w:val="18"/>
        </w:rPr>
      </w:pPr>
      <w:r>
        <w:rPr>
          <w:sz w:val="18"/>
        </w:rPr>
        <w:t>没有取得驾驶资格；</w:t>
      </w:r>
    </w:p>
    <w:p>
      <w:pPr>
        <w:pStyle w:val="ListParagraph"/>
        <w:numPr>
          <w:ilvl w:val="0"/>
          <w:numId w:val="11"/>
        </w:numPr>
        <w:tabs>
          <w:tab w:pos="544" w:val="left" w:leader="none"/>
        </w:tabs>
        <w:spacing w:line="240" w:lineRule="auto" w:before="76" w:after="0"/>
        <w:ind w:left="543" w:right="0" w:hanging="370"/>
        <w:jc w:val="left"/>
        <w:rPr>
          <w:sz w:val="18"/>
        </w:rPr>
      </w:pPr>
      <w:r>
        <w:rPr>
          <w:sz w:val="18"/>
        </w:rPr>
        <w:t>驾驶与驾驶证准驾车型不相符合的车辆；</w:t>
      </w:r>
    </w:p>
    <w:p>
      <w:pPr>
        <w:pStyle w:val="ListParagraph"/>
        <w:numPr>
          <w:ilvl w:val="0"/>
          <w:numId w:val="11"/>
        </w:numPr>
        <w:tabs>
          <w:tab w:pos="544" w:val="left" w:leader="none"/>
        </w:tabs>
        <w:spacing w:line="240" w:lineRule="auto" w:before="76" w:after="0"/>
        <w:ind w:left="543" w:right="0" w:hanging="370"/>
        <w:jc w:val="left"/>
        <w:rPr>
          <w:sz w:val="18"/>
        </w:rPr>
      </w:pPr>
      <w:r>
        <w:rPr>
          <w:sz w:val="18"/>
        </w:rPr>
        <w:t>持审验不合格的驾驶证驾驶；</w:t>
      </w:r>
    </w:p>
    <w:p>
      <w:pPr>
        <w:pStyle w:val="ListParagraph"/>
        <w:numPr>
          <w:ilvl w:val="0"/>
          <w:numId w:val="11"/>
        </w:numPr>
        <w:tabs>
          <w:tab w:pos="536" w:val="left" w:leader="none"/>
        </w:tabs>
        <w:spacing w:line="240" w:lineRule="auto" w:before="76" w:after="0"/>
        <w:ind w:left="535" w:right="0" w:hanging="362"/>
        <w:jc w:val="left"/>
        <w:rPr>
          <w:sz w:val="18"/>
        </w:rPr>
      </w:pPr>
      <w:r>
        <w:rPr>
          <w:spacing w:val="-1"/>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60" w:left="1080" w:right="660"/>
          <w:cols w:num="2" w:equalWidth="0">
            <w:col w:w="2400" w:space="40"/>
            <w:col w:w="7730"/>
          </w:cols>
        </w:sectPr>
      </w:pPr>
    </w:p>
    <w:p>
      <w:pPr>
        <w:pStyle w:val="BodyText"/>
        <w:spacing w:before="12"/>
      </w:pPr>
    </w:p>
    <w:p>
      <w:pPr>
        <w:pStyle w:val="ListParagraph"/>
        <w:numPr>
          <w:ilvl w:val="1"/>
          <w:numId w:val="10"/>
        </w:numPr>
        <w:tabs>
          <w:tab w:pos="907" w:val="left" w:leader="none"/>
          <w:tab w:pos="908" w:val="left" w:leader="none"/>
          <w:tab w:pos="2613" w:val="left" w:leader="none"/>
        </w:tabs>
        <w:spacing w:line="240" w:lineRule="auto" w:before="36" w:after="0"/>
        <w:ind w:left="2613" w:right="0" w:hanging="2390"/>
        <w:jc w:val="left"/>
        <w:rPr>
          <w:sz w:val="18"/>
        </w:rPr>
      </w:pPr>
      <w:r>
        <w:rPr>
          <w:b/>
          <w:sz w:val="21"/>
        </w:rPr>
        <w:t>无有效行驶证</w:t>
        <w:tab/>
      </w:r>
      <w:r>
        <w:rPr>
          <w:position w:val="1"/>
          <w:sz w:val="18"/>
        </w:rPr>
        <w:t>指下列情形之一：</w:t>
      </w:r>
    </w:p>
    <w:p>
      <w:pPr>
        <w:pStyle w:val="ListParagraph"/>
        <w:numPr>
          <w:ilvl w:val="2"/>
          <w:numId w:val="10"/>
        </w:numPr>
        <w:tabs>
          <w:tab w:pos="2984" w:val="left" w:leader="none"/>
        </w:tabs>
        <w:spacing w:line="240" w:lineRule="auto" w:before="57" w:after="0"/>
        <w:ind w:left="2983" w:right="0" w:hanging="370"/>
        <w:jc w:val="left"/>
        <w:rPr>
          <w:sz w:val="18"/>
        </w:rPr>
      </w:pPr>
      <w:r>
        <w:rPr>
          <w:sz w:val="18"/>
        </w:rPr>
        <w:t>机动车被依法注销登记的；</w:t>
      </w:r>
    </w:p>
    <w:p>
      <w:pPr>
        <w:pStyle w:val="ListParagraph"/>
        <w:numPr>
          <w:ilvl w:val="2"/>
          <w:numId w:val="10"/>
        </w:numPr>
        <w:tabs>
          <w:tab w:pos="2976" w:val="left" w:leader="none"/>
        </w:tabs>
        <w:spacing w:line="240" w:lineRule="auto" w:before="76" w:after="0"/>
        <w:ind w:left="2975" w:right="0" w:hanging="362"/>
        <w:jc w:val="left"/>
        <w:rPr>
          <w:sz w:val="18"/>
        </w:rPr>
      </w:pPr>
      <w:r>
        <w:rPr>
          <w:spacing w:val="-1"/>
          <w:sz w:val="18"/>
        </w:rPr>
        <w:t>未依法按时进行或通过机动车安全技术检验。</w:t>
      </w:r>
    </w:p>
    <w:p>
      <w:pPr>
        <w:pStyle w:val="BodyText"/>
        <w:spacing w:before="6"/>
        <w:rPr>
          <w:sz w:val="21"/>
        </w:rPr>
      </w:pPr>
    </w:p>
    <w:p>
      <w:pPr>
        <w:pStyle w:val="ListParagraph"/>
        <w:numPr>
          <w:ilvl w:val="1"/>
          <w:numId w:val="10"/>
        </w:numPr>
        <w:tabs>
          <w:tab w:pos="907" w:val="left" w:leader="none"/>
          <w:tab w:pos="908" w:val="left" w:leader="none"/>
          <w:tab w:pos="2613" w:val="left" w:leader="none"/>
        </w:tabs>
        <w:spacing w:line="290" w:lineRule="auto" w:before="0" w:after="0"/>
        <w:ind w:left="2613" w:right="208" w:hanging="2390"/>
        <w:jc w:val="left"/>
        <w:rPr>
          <w:sz w:val="18"/>
        </w:rPr>
      </w:pPr>
      <w:r>
        <w:rPr>
          <w:b/>
          <w:sz w:val="21"/>
        </w:rPr>
        <w:t>艾滋病</w:t>
        <w:tab/>
      </w:r>
      <w:r>
        <w:rPr>
          <w:position w:val="1"/>
          <w:sz w:val="18"/>
        </w:rPr>
        <w:t>获得性免疫力缺乏综合</w:t>
      </w:r>
      <w:r>
        <w:rPr>
          <w:spacing w:val="-13"/>
          <w:position w:val="1"/>
          <w:sz w:val="18"/>
        </w:rPr>
        <w:t>征</w:t>
      </w:r>
      <w:r>
        <w:rPr>
          <w:spacing w:val="-3"/>
          <w:position w:val="1"/>
          <w:sz w:val="18"/>
        </w:rPr>
        <w:t>（AIDS）</w:t>
      </w:r>
      <w:r>
        <w:rPr>
          <w:position w:val="1"/>
          <w:sz w:val="18"/>
        </w:rPr>
        <w:t>的简称</w:t>
      </w:r>
      <w:r>
        <w:rPr>
          <w:spacing w:val="-13"/>
          <w:position w:val="1"/>
          <w:sz w:val="18"/>
        </w:rPr>
        <w:t>。</w:t>
      </w:r>
      <w:r>
        <w:rPr>
          <w:position w:val="1"/>
          <w:sz w:val="18"/>
        </w:rPr>
        <w:t>在人体血液或其</w:t>
      </w:r>
      <w:r>
        <w:rPr>
          <w:spacing w:val="-3"/>
          <w:position w:val="1"/>
          <w:sz w:val="18"/>
        </w:rPr>
        <w:t>它</w:t>
      </w:r>
      <w:r>
        <w:rPr>
          <w:position w:val="1"/>
          <w:sz w:val="18"/>
        </w:rPr>
        <w:t>样本中检测到人类免疫缺陷病毒 </w:t>
      </w:r>
      <w:r>
        <w:rPr>
          <w:sz w:val="18"/>
        </w:rPr>
        <w:t>或其抗体呈阳性，同时出现了明显临床症状或体征，则可认为患艾滋病。</w:t>
      </w:r>
    </w:p>
    <w:p>
      <w:pPr>
        <w:pStyle w:val="BodyText"/>
        <w:spacing w:before="9"/>
      </w:pPr>
    </w:p>
    <w:p>
      <w:pPr>
        <w:pStyle w:val="ListParagraph"/>
        <w:numPr>
          <w:ilvl w:val="1"/>
          <w:numId w:val="10"/>
        </w:numPr>
        <w:tabs>
          <w:tab w:pos="907" w:val="left" w:leader="none"/>
          <w:tab w:pos="908" w:val="left" w:leader="none"/>
          <w:tab w:pos="2613" w:val="left" w:leader="none"/>
        </w:tabs>
        <w:spacing w:line="290" w:lineRule="auto" w:before="0" w:after="0"/>
        <w:ind w:left="2613" w:right="258" w:hanging="2390"/>
        <w:jc w:val="left"/>
        <w:rPr>
          <w:sz w:val="18"/>
        </w:rPr>
      </w:pPr>
      <w:r>
        <w:rPr>
          <w:b/>
          <w:sz w:val="21"/>
        </w:rPr>
        <w:t>艾滋病病毒</w:t>
        <w:tab/>
      </w:r>
      <w:r>
        <w:rPr>
          <w:position w:val="1"/>
          <w:sz w:val="18"/>
        </w:rPr>
        <w:t>人类免疫缺陷病毒（HIV）的</w:t>
      </w:r>
      <w:r>
        <w:rPr>
          <w:spacing w:val="-3"/>
          <w:position w:val="1"/>
          <w:sz w:val="18"/>
        </w:rPr>
        <w:t>简</w:t>
      </w:r>
      <w:r>
        <w:rPr>
          <w:position w:val="1"/>
          <w:sz w:val="18"/>
        </w:rPr>
        <w:t>称。如在人体血液或其它样本中检测到人类免疫缺陷病毒或其 </w:t>
      </w:r>
      <w:r>
        <w:rPr>
          <w:sz w:val="18"/>
        </w:rPr>
        <w:t>抗体呈阳性，没有出现临床症状或体征，则可认定为感染艾滋病病毒。</w:t>
      </w:r>
    </w:p>
    <w:p>
      <w:pPr>
        <w:spacing w:after="0" w:line="290" w:lineRule="auto"/>
        <w:jc w:val="left"/>
        <w:rPr>
          <w:sz w:val="18"/>
        </w:rPr>
        <w:sectPr>
          <w:type w:val="continuous"/>
          <w:pgSz w:w="11910" w:h="16840"/>
          <w:pgMar w:top="1040" w:bottom="1160" w:left="1080" w:right="660"/>
        </w:sectPr>
      </w:pPr>
    </w:p>
    <w:p>
      <w:pPr>
        <w:pStyle w:val="BodyText"/>
        <w:spacing w:before="2"/>
        <w:rPr>
          <w:sz w:val="19"/>
        </w:rPr>
      </w:pPr>
    </w:p>
    <w:p>
      <w:pPr>
        <w:pStyle w:val="ListParagraph"/>
        <w:numPr>
          <w:ilvl w:val="1"/>
          <w:numId w:val="10"/>
        </w:numPr>
        <w:tabs>
          <w:tab w:pos="827" w:val="left" w:leader="none"/>
          <w:tab w:pos="828" w:val="left" w:leader="none"/>
          <w:tab w:pos="2533" w:val="left" w:leader="none"/>
        </w:tabs>
        <w:spacing w:line="290" w:lineRule="auto" w:before="37" w:after="0"/>
        <w:ind w:left="2533" w:right="105" w:hanging="2390"/>
        <w:jc w:val="left"/>
        <w:rPr>
          <w:sz w:val="18"/>
        </w:rPr>
      </w:pPr>
      <w:r>
        <w:rPr>
          <w:b/>
          <w:sz w:val="21"/>
        </w:rPr>
        <w:t>遗传性疾病</w:t>
        <w:tab/>
      </w:r>
      <w:r>
        <w:rPr>
          <w:position w:val="1"/>
          <w:sz w:val="18"/>
        </w:rPr>
        <w:t>指生殖细胞或受精卵的遗传物</w:t>
      </w:r>
      <w:r>
        <w:rPr>
          <w:spacing w:val="-13"/>
          <w:position w:val="1"/>
          <w:sz w:val="18"/>
        </w:rPr>
        <w:t>质</w:t>
      </w:r>
      <w:r>
        <w:rPr>
          <w:position w:val="1"/>
          <w:sz w:val="18"/>
        </w:rPr>
        <w:t>（染色体和基因</w:t>
      </w:r>
      <w:r>
        <w:rPr>
          <w:spacing w:val="-12"/>
          <w:position w:val="1"/>
          <w:sz w:val="18"/>
        </w:rPr>
        <w:t>）</w:t>
      </w:r>
      <w:r>
        <w:rPr>
          <w:position w:val="1"/>
          <w:sz w:val="18"/>
        </w:rPr>
        <w:t>发生突变或畸变所引起的疾病</w:t>
      </w:r>
      <w:r>
        <w:rPr>
          <w:spacing w:val="-13"/>
          <w:position w:val="1"/>
          <w:sz w:val="18"/>
        </w:rPr>
        <w:t>，</w:t>
      </w:r>
      <w:r>
        <w:rPr>
          <w:position w:val="1"/>
          <w:sz w:val="18"/>
        </w:rPr>
        <w:t>通常具有由</w:t>
      </w:r>
      <w:r>
        <w:rPr>
          <w:sz w:val="18"/>
        </w:rPr>
        <w:t>亲代传至后代的垂直传递的特征。</w:t>
      </w:r>
    </w:p>
    <w:p>
      <w:pPr>
        <w:pStyle w:val="BodyText"/>
        <w:spacing w:before="11"/>
        <w:rPr>
          <w:sz w:val="15"/>
        </w:rPr>
      </w:pPr>
    </w:p>
    <w:p>
      <w:pPr>
        <w:spacing w:after="0"/>
        <w:rPr>
          <w:sz w:val="15"/>
        </w:rPr>
        <w:sectPr>
          <w:pgSz w:w="11910" w:h="16840"/>
          <w:pgMar w:header="877" w:footer="977" w:top="1100" w:bottom="1160" w:left="1160" w:right="760"/>
        </w:sectPr>
      </w:pPr>
    </w:p>
    <w:p>
      <w:pPr>
        <w:pStyle w:val="Heading3"/>
        <w:numPr>
          <w:ilvl w:val="1"/>
          <w:numId w:val="10"/>
        </w:numPr>
        <w:tabs>
          <w:tab w:pos="827" w:val="left" w:leader="none"/>
          <w:tab w:pos="828" w:val="left" w:leader="none"/>
        </w:tabs>
        <w:spacing w:line="240" w:lineRule="auto" w:before="36" w:after="0"/>
        <w:ind w:left="827" w:right="0" w:hanging="684"/>
        <w:jc w:val="left"/>
      </w:pPr>
      <w:r>
        <w:rPr/>
        <w:t>先天性畸形、变</w:t>
      </w:r>
    </w:p>
    <w:p>
      <w:pPr>
        <w:spacing w:before="37"/>
        <w:ind w:left="827" w:right="0" w:firstLine="0"/>
        <w:jc w:val="left"/>
        <w:rPr>
          <w:b/>
          <w:sz w:val="21"/>
        </w:rPr>
      </w:pPr>
      <w:r>
        <w:rPr>
          <w:b/>
          <w:sz w:val="21"/>
        </w:rPr>
        <w:t>形或染色体异常</w:t>
      </w:r>
    </w:p>
    <w:p>
      <w:pPr>
        <w:pStyle w:val="BodyText"/>
        <w:spacing w:line="316" w:lineRule="auto" w:before="57"/>
        <w:ind w:left="143" w:right="50"/>
      </w:pPr>
      <w:r>
        <w:rPr/>
        <w:br w:type="column"/>
      </w:r>
      <w:r>
        <w:rPr/>
        <w:t>指被保险人出生时就具有的畸形、变形或染色体异常。先天性畸形、变形和染色体异常依照世界卫生组织《疾病和有关健康问题的国际统计分类》（ICD-10）确定。</w:t>
      </w:r>
    </w:p>
    <w:p>
      <w:pPr>
        <w:spacing w:after="0" w:line="316" w:lineRule="auto"/>
        <w:sectPr>
          <w:type w:val="continuous"/>
          <w:pgSz w:w="11910" w:h="16840"/>
          <w:pgMar w:top="1040" w:bottom="1160" w:left="1160" w:right="760"/>
          <w:cols w:num="2" w:equalWidth="0">
            <w:col w:w="2320" w:space="70"/>
            <w:col w:w="7600"/>
          </w:cols>
        </w:sectPr>
      </w:pPr>
    </w:p>
    <w:p>
      <w:pPr>
        <w:pStyle w:val="BodyText"/>
        <w:spacing w:before="6"/>
        <w:rPr>
          <w:sz w:val="14"/>
        </w:rPr>
      </w:pPr>
    </w:p>
    <w:p>
      <w:pPr>
        <w:pStyle w:val="ListParagraph"/>
        <w:numPr>
          <w:ilvl w:val="1"/>
          <w:numId w:val="10"/>
        </w:numPr>
        <w:tabs>
          <w:tab w:pos="827" w:val="left" w:leader="none"/>
          <w:tab w:pos="828" w:val="left" w:leader="none"/>
          <w:tab w:pos="2533" w:val="left" w:leader="none"/>
        </w:tabs>
        <w:spacing w:line="290" w:lineRule="auto" w:before="37" w:after="0"/>
        <w:ind w:left="2533" w:right="105" w:hanging="2390"/>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2"/>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10"/>
      </w:pPr>
    </w:p>
    <w:p>
      <w:pPr>
        <w:pStyle w:val="ListParagraph"/>
        <w:numPr>
          <w:ilvl w:val="1"/>
          <w:numId w:val="10"/>
        </w:numPr>
        <w:tabs>
          <w:tab w:pos="827" w:val="left" w:leader="none"/>
          <w:tab w:pos="828" w:val="left" w:leader="none"/>
          <w:tab w:pos="2533" w:val="left" w:leader="none"/>
        </w:tabs>
        <w:spacing w:line="240" w:lineRule="auto" w:before="0" w:after="0"/>
        <w:ind w:left="827" w:right="0" w:hanging="684"/>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60" w:left="1160" w:right="760"/>
        </w:sectPr>
      </w:pPr>
    </w:p>
    <w:p>
      <w:pPr>
        <w:pStyle w:val="BodyText"/>
        <w:spacing w:before="2"/>
        <w:rPr>
          <w:sz w:val="19"/>
        </w:rPr>
      </w:pPr>
    </w:p>
    <w:p>
      <w:pPr>
        <w:pStyle w:val="Heading3"/>
        <w:spacing w:before="37"/>
        <w:ind w:left="4124" w:right="3796" w:firstLine="0"/>
        <w:jc w:val="center"/>
      </w:pPr>
      <w:r>
        <w:rPr/>
        <w:t>附表一：轻症疾病说明</w:t>
      </w:r>
    </w:p>
    <w:p>
      <w:pPr>
        <w:pStyle w:val="BodyText"/>
        <w:spacing w:before="7"/>
        <w:rPr>
          <w:b/>
          <w:sz w:val="21"/>
        </w:rPr>
      </w:pPr>
    </w:p>
    <w:p>
      <w:pPr>
        <w:spacing w:before="36"/>
        <w:ind w:left="223" w:right="0" w:firstLine="0"/>
        <w:jc w:val="left"/>
        <w:rPr>
          <w:b/>
          <w:sz w:val="21"/>
        </w:rPr>
      </w:pPr>
      <w:r>
        <w:rPr>
          <w:b/>
          <w:sz w:val="21"/>
        </w:rPr>
        <w:t>轻症疾病：指下列疾病或手术之一</w:t>
      </w:r>
    </w:p>
    <w:p>
      <w:pPr>
        <w:pStyle w:val="BodyText"/>
        <w:spacing w:before="4"/>
        <w:rPr>
          <w:b/>
          <w:sz w:val="21"/>
        </w:rPr>
      </w:pPr>
    </w:p>
    <w:p>
      <w:pPr>
        <w:spacing w:after="0"/>
        <w:rPr>
          <w:sz w:val="21"/>
        </w:rPr>
        <w:sectPr>
          <w:pgSz w:w="11910" w:h="16840"/>
          <w:pgMar w:header="877" w:footer="977" w:top="1100" w:bottom="1160" w:left="1080" w:right="760"/>
        </w:sectPr>
      </w:pPr>
    </w:p>
    <w:p>
      <w:pPr>
        <w:pStyle w:val="ListParagraph"/>
        <w:numPr>
          <w:ilvl w:val="0"/>
          <w:numId w:val="12"/>
        </w:numPr>
        <w:tabs>
          <w:tab w:pos="527" w:val="left" w:leader="none"/>
          <w:tab w:pos="529" w:val="left" w:leader="none"/>
        </w:tabs>
        <w:spacing w:line="273" w:lineRule="auto" w:before="36" w:after="0"/>
        <w:ind w:left="528" w:right="0" w:hanging="420"/>
        <w:jc w:val="left"/>
        <w:rPr>
          <w:b/>
          <w:sz w:val="21"/>
        </w:rPr>
      </w:pPr>
      <w:r>
        <w:rPr>
          <w:b/>
          <w:spacing w:val="8"/>
          <w:sz w:val="21"/>
        </w:rPr>
        <w:t>极早期的恶性肿瘤或恶性病变</w:t>
      </w:r>
    </w:p>
    <w:p>
      <w:pPr>
        <w:pStyle w:val="BodyText"/>
        <w:spacing w:before="57"/>
        <w:ind w:left="108"/>
      </w:pPr>
      <w:r>
        <w:rPr/>
        <w:br w:type="column"/>
      </w:r>
      <w:r>
        <w:rPr/>
        <w:t>指经组织病理学检查被明确诊断为下列恶性病变，并且接受了相应的治疗。</w:t>
      </w:r>
    </w:p>
    <w:p>
      <w:pPr>
        <w:pStyle w:val="BodyText"/>
        <w:ind w:left="108"/>
      </w:pPr>
      <w:r>
        <w:rPr/>
        <w:t>(一)原位癌</w:t>
      </w:r>
    </w:p>
    <w:p>
      <w:pPr>
        <w:pStyle w:val="BodyText"/>
        <w:ind w:left="108"/>
      </w:pPr>
      <w:r>
        <w:rPr/>
        <w:t>(二)相当于Binet 分期方案A 期程度的慢性淋巴细胞白血病；</w:t>
      </w:r>
    </w:p>
    <w:p>
      <w:pPr>
        <w:pStyle w:val="BodyText"/>
        <w:ind w:left="108"/>
      </w:pPr>
      <w:r>
        <w:rPr/>
        <w:t>(三)相当于Ann Arbor 分期方案 I 期程度的何杰金氏病；</w:t>
      </w:r>
    </w:p>
    <w:p>
      <w:pPr>
        <w:pStyle w:val="BodyText"/>
        <w:ind w:left="108"/>
      </w:pPr>
      <w:r>
        <w:rPr/>
        <w:t>(四)皮肤癌（</w:t>
      </w:r>
      <w:r>
        <w:rPr>
          <w:spacing w:val="-1"/>
        </w:rPr>
        <w:t>不包括恶性黑色素瘤及已发生转移的皮肤癌</w:t>
      </w:r>
      <w:r>
        <w:rPr>
          <w:spacing w:val="-92"/>
        </w:rPr>
        <w:t>）</w:t>
      </w:r>
      <w:r>
        <w:rPr/>
        <w:t>；</w:t>
      </w:r>
    </w:p>
    <w:p>
      <w:pPr>
        <w:pStyle w:val="BodyText"/>
        <w:ind w:left="108"/>
      </w:pPr>
      <w:r>
        <w:rPr>
          <w:position w:val="1"/>
        </w:rPr>
        <w:t>(五)TNM 分期为T</w:t>
      </w:r>
      <w:r>
        <w:rPr>
          <w:sz w:val="9"/>
        </w:rPr>
        <w:t>1</w:t>
      </w:r>
      <w:r>
        <w:rPr>
          <w:position w:val="1"/>
        </w:rPr>
        <w:t>N</w:t>
      </w:r>
      <w:r>
        <w:rPr>
          <w:sz w:val="9"/>
        </w:rPr>
        <w:t>0</w:t>
      </w:r>
      <w:r>
        <w:rPr>
          <w:position w:val="1"/>
        </w:rPr>
        <w:t>M</w:t>
      </w:r>
      <w:r>
        <w:rPr>
          <w:sz w:val="9"/>
        </w:rPr>
        <w:t>0 </w:t>
      </w:r>
      <w:r>
        <w:rPr>
          <w:position w:val="1"/>
        </w:rPr>
        <w:t>期或更轻分期的前列腺癌。</w:t>
      </w:r>
    </w:p>
    <w:p>
      <w:pPr>
        <w:spacing w:after="0"/>
        <w:sectPr>
          <w:type w:val="continuous"/>
          <w:pgSz w:w="11910" w:h="16840"/>
          <w:pgMar w:top="1040" w:bottom="1160" w:left="1080" w:right="760"/>
          <w:cols w:num="2" w:equalWidth="0">
            <w:col w:w="2312" w:space="105"/>
            <w:col w:w="7653"/>
          </w:cols>
        </w:sectPr>
      </w:pPr>
    </w:p>
    <w:p>
      <w:pPr>
        <w:pStyle w:val="BodyText"/>
        <w:spacing w:before="12"/>
      </w:pPr>
    </w:p>
    <w:p>
      <w:pPr>
        <w:pStyle w:val="ListParagraph"/>
        <w:numPr>
          <w:ilvl w:val="0"/>
          <w:numId w:val="12"/>
        </w:numPr>
        <w:tabs>
          <w:tab w:pos="527" w:val="left" w:leader="none"/>
          <w:tab w:pos="529" w:val="left" w:leader="none"/>
          <w:tab w:pos="2524" w:val="left" w:leader="none"/>
        </w:tabs>
        <w:spacing w:line="290" w:lineRule="auto" w:before="36" w:after="0"/>
        <w:ind w:left="2524" w:right="194" w:hanging="2416"/>
        <w:jc w:val="left"/>
        <w:rPr>
          <w:sz w:val="18"/>
        </w:rPr>
      </w:pPr>
      <w:r>
        <w:rPr>
          <w:b/>
          <w:sz w:val="21"/>
        </w:rPr>
        <w:t>视力严重受损</w:t>
        <w:tab/>
      </w:r>
      <w:r>
        <w:rPr>
          <w:position w:val="1"/>
          <w:sz w:val="18"/>
        </w:rPr>
        <w:t>指因疾病或意外伤害导致双目视力永久不可逆性丧失</w:t>
      </w:r>
      <w:r>
        <w:rPr>
          <w:spacing w:val="-13"/>
          <w:position w:val="1"/>
          <w:sz w:val="18"/>
        </w:rPr>
        <w:t>，</w:t>
      </w:r>
      <w:r>
        <w:rPr>
          <w:position w:val="1"/>
          <w:sz w:val="18"/>
        </w:rPr>
        <w:t>虽然未达到重大疾</w:t>
      </w:r>
      <w:r>
        <w:rPr>
          <w:spacing w:val="-13"/>
          <w:position w:val="1"/>
          <w:sz w:val="18"/>
        </w:rPr>
        <w:t>病</w:t>
      </w:r>
      <w:r>
        <w:rPr>
          <w:position w:val="1"/>
          <w:sz w:val="18"/>
        </w:rPr>
        <w:t>“双目失明</w:t>
      </w:r>
      <w:r>
        <w:rPr>
          <w:spacing w:val="-12"/>
          <w:position w:val="1"/>
          <w:sz w:val="18"/>
        </w:rPr>
        <w:t>”</w:t>
      </w:r>
      <w:r>
        <w:rPr>
          <w:position w:val="1"/>
          <w:sz w:val="18"/>
        </w:rPr>
        <w:t>的给</w:t>
      </w:r>
      <w:r>
        <w:rPr>
          <w:sz w:val="18"/>
        </w:rPr>
        <w:t>付标准，但满足下列全部条件：</w:t>
      </w:r>
    </w:p>
    <w:p>
      <w:pPr>
        <w:pStyle w:val="BodyText"/>
        <w:spacing w:before="38"/>
        <w:ind w:left="2524"/>
      </w:pPr>
      <w:r>
        <w:rPr/>
        <w:t>（</w:t>
      </w:r>
      <w:r>
        <w:rPr>
          <w:spacing w:val="0"/>
        </w:rPr>
        <w:t>1</w:t>
      </w:r>
      <w:r>
        <w:rPr>
          <w:spacing w:val="-72"/>
        </w:rPr>
        <w:t>）</w:t>
      </w:r>
      <w:r>
        <w:rPr>
          <w:spacing w:val="-1"/>
        </w:rPr>
        <w:t>双眼中较好眼矫正视力低于</w:t>
      </w:r>
      <w:r>
        <w:rPr>
          <w:spacing w:val="0"/>
        </w:rPr>
        <w:t>0.</w:t>
      </w:r>
      <w:r>
        <w:rPr>
          <w:spacing w:val="-74"/>
        </w:rPr>
        <w:t>1</w:t>
      </w:r>
      <w:r>
        <w:rPr/>
        <w:t>（</w:t>
      </w:r>
      <w:r>
        <w:rPr>
          <w:spacing w:val="-8"/>
        </w:rPr>
        <w:t>采用国际标准视力表，如果使用其他视力表应进行换算</w:t>
      </w:r>
      <w:r>
        <w:rPr>
          <w:spacing w:val="-92"/>
        </w:rPr>
        <w:t>）</w:t>
      </w:r>
      <w:r>
        <w:rPr/>
        <w:t>；</w:t>
      </w:r>
    </w:p>
    <w:p>
      <w:pPr>
        <w:pStyle w:val="BodyText"/>
        <w:ind w:left="2524"/>
      </w:pPr>
      <w:r>
        <w:rPr/>
        <w:t>（2）视野半径小于20度。</w:t>
      </w:r>
    </w:p>
    <w:p>
      <w:pPr>
        <w:pStyle w:val="BodyText"/>
        <w:spacing w:line="319" w:lineRule="auto"/>
        <w:ind w:left="2524" w:right="194"/>
      </w:pPr>
      <w:r>
        <w:rPr>
          <w:spacing w:val="-9"/>
        </w:rPr>
        <w:t>申请理赔时，被保险人年龄必须在 </w:t>
      </w:r>
      <w:r>
        <w:rPr/>
        <w:t>3</w:t>
      </w:r>
      <w:r>
        <w:rPr>
          <w:spacing w:val="-6"/>
        </w:rPr>
        <w:t> 周岁以上，并且须提供理赔当时的视力丧失诊断及检查证据。</w:t>
      </w:r>
    </w:p>
    <w:p>
      <w:pPr>
        <w:pStyle w:val="BodyText"/>
        <w:spacing w:before="8"/>
        <w:rPr>
          <w:sz w:val="13"/>
        </w:rPr>
      </w:pPr>
    </w:p>
    <w:p>
      <w:pPr>
        <w:spacing w:after="0"/>
        <w:rPr>
          <w:sz w:val="13"/>
        </w:rPr>
        <w:sectPr>
          <w:type w:val="continuous"/>
          <w:pgSz w:w="11910" w:h="16840"/>
          <w:pgMar w:top="1040" w:bottom="1160" w:left="1080" w:right="760"/>
        </w:sectPr>
      </w:pPr>
    </w:p>
    <w:p>
      <w:pPr>
        <w:pStyle w:val="Heading3"/>
        <w:numPr>
          <w:ilvl w:val="0"/>
          <w:numId w:val="12"/>
        </w:numPr>
        <w:tabs>
          <w:tab w:pos="527" w:val="left" w:leader="none"/>
          <w:tab w:pos="529" w:val="left" w:leader="none"/>
        </w:tabs>
        <w:spacing w:line="256" w:lineRule="auto" w:before="43" w:after="0"/>
        <w:ind w:left="528" w:right="0" w:hanging="420"/>
        <w:jc w:val="left"/>
      </w:pPr>
      <w:r>
        <w:rPr>
          <w:spacing w:val="5"/>
        </w:rPr>
        <w:t>较小面积 </w:t>
      </w:r>
      <w:r>
        <w:rPr>
          <w:rFonts w:ascii="Times New Roman" w:eastAsia="Times New Roman"/>
        </w:rPr>
        <w:t>III</w:t>
      </w:r>
      <w:r>
        <w:rPr>
          <w:rFonts w:ascii="Times New Roman" w:eastAsia="Times New Roman"/>
          <w:spacing w:val="7"/>
        </w:rPr>
        <w:t> </w:t>
      </w:r>
      <w:r>
        <w:rPr>
          <w:spacing w:val="2"/>
        </w:rPr>
        <w:t>度烧伤</w:t>
      </w:r>
    </w:p>
    <w:p>
      <w:pPr>
        <w:pStyle w:val="BodyText"/>
        <w:spacing w:before="64"/>
        <w:ind w:left="108"/>
      </w:pPr>
      <w:r>
        <w:rPr/>
        <w:br w:type="column"/>
      </w:r>
      <w:r>
        <w:rPr>
          <w:spacing w:val="-2"/>
        </w:rPr>
        <w:t>指烧伤程度为Ⅲ度，且Ⅲ度烧伤的面积达到全身体表面积的</w:t>
      </w:r>
      <w:r>
        <w:rPr>
          <w:spacing w:val="0"/>
        </w:rPr>
        <w:t>15%</w:t>
      </w:r>
      <w:r>
        <w:rPr>
          <w:spacing w:val="-7"/>
        </w:rPr>
        <w:t>以上</w:t>
      </w:r>
      <w:r>
        <w:rPr/>
        <w:t>（</w:t>
      </w:r>
      <w:r>
        <w:rPr>
          <w:spacing w:val="-3"/>
        </w:rPr>
        <w:t>含</w:t>
      </w:r>
      <w:r>
        <w:rPr>
          <w:spacing w:val="0"/>
        </w:rPr>
        <w:t>1</w:t>
      </w:r>
      <w:r>
        <w:rPr>
          <w:spacing w:val="-2"/>
        </w:rPr>
        <w:t>5</w:t>
      </w:r>
      <w:r>
        <w:rPr>
          <w:spacing w:val="0"/>
        </w:rPr>
        <w:t>%</w:t>
      </w:r>
      <w:r>
        <w:rPr>
          <w:spacing w:val="-92"/>
        </w:rPr>
        <w:t>）</w:t>
      </w:r>
      <w:r>
        <w:rPr>
          <w:spacing w:val="-4"/>
        </w:rPr>
        <w:t>，但尚未达到</w:t>
      </w:r>
      <w:r>
        <w:rPr/>
        <w:t>20%</w:t>
      </w:r>
    </w:p>
    <w:p>
      <w:pPr>
        <w:pStyle w:val="BodyText"/>
        <w:ind w:left="108"/>
      </w:pPr>
      <w:r>
        <w:rPr/>
        <w:t>（不含</w:t>
      </w:r>
      <w:r>
        <w:rPr>
          <w:spacing w:val="0"/>
        </w:rPr>
        <w:t>20%</w:t>
      </w:r>
      <w:r>
        <w:rPr>
          <w:spacing w:val="-92"/>
        </w:rPr>
        <w:t>）</w:t>
      </w:r>
      <w:r>
        <w:rPr>
          <w:spacing w:val="-2"/>
        </w:rPr>
        <w:t>。体表面积根据《中国新九分法》计算。</w:t>
      </w:r>
    </w:p>
    <w:p>
      <w:pPr>
        <w:spacing w:after="0"/>
        <w:sectPr>
          <w:type w:val="continuous"/>
          <w:pgSz w:w="11910" w:h="16840"/>
          <w:pgMar w:top="1040" w:bottom="1160" w:left="1080" w:right="760"/>
          <w:cols w:num="2" w:equalWidth="0">
            <w:col w:w="2309" w:space="108"/>
            <w:col w:w="7653"/>
          </w:cols>
        </w:sectPr>
      </w:pPr>
    </w:p>
    <w:p>
      <w:pPr>
        <w:pStyle w:val="BodyText"/>
        <w:spacing w:before="4"/>
        <w:rPr>
          <w:sz w:val="16"/>
        </w:rPr>
      </w:pPr>
    </w:p>
    <w:p>
      <w:pPr>
        <w:pStyle w:val="ListParagraph"/>
        <w:numPr>
          <w:ilvl w:val="0"/>
          <w:numId w:val="12"/>
        </w:numPr>
        <w:tabs>
          <w:tab w:pos="529" w:val="left" w:leader="none"/>
        </w:tabs>
        <w:spacing w:line="302" w:lineRule="auto" w:before="36" w:after="0"/>
        <w:ind w:left="2524" w:right="194" w:hanging="2416"/>
        <w:jc w:val="both"/>
        <w:rPr>
          <w:sz w:val="18"/>
        </w:rPr>
      </w:pPr>
      <w:r>
        <w:rPr>
          <w:b/>
          <w:spacing w:val="12"/>
          <w:sz w:val="21"/>
        </w:rPr>
        <w:t>重度头部外伤 </w:t>
      </w:r>
      <w:r>
        <w:rPr>
          <w:spacing w:val="-4"/>
          <w:position w:val="1"/>
          <w:sz w:val="18"/>
        </w:rPr>
        <w:t>指因头部遭受机械性外力，引起脑重要部位损伤，导致神经系统永久性的功能障碍。须由头颅</w:t>
      </w:r>
      <w:r>
        <w:rPr>
          <w:sz w:val="18"/>
        </w:rPr>
        <w:t>断层扫描（</w:t>
      </w:r>
      <w:r>
        <w:rPr>
          <w:spacing w:val="0"/>
          <w:sz w:val="18"/>
        </w:rPr>
        <w:t>CT</w:t>
      </w:r>
      <w:r>
        <w:rPr>
          <w:spacing w:val="-92"/>
          <w:sz w:val="18"/>
        </w:rPr>
        <w:t>）</w:t>
      </w:r>
      <w:r>
        <w:rPr>
          <w:spacing w:val="-1"/>
          <w:sz w:val="18"/>
        </w:rPr>
        <w:t>、核磁共振检查</w:t>
      </w:r>
      <w:r>
        <w:rPr>
          <w:sz w:val="18"/>
        </w:rPr>
        <w:t>（</w:t>
      </w:r>
      <w:r>
        <w:rPr>
          <w:spacing w:val="0"/>
          <w:sz w:val="18"/>
        </w:rPr>
        <w:t>M</w:t>
      </w:r>
      <w:r>
        <w:rPr>
          <w:sz w:val="18"/>
        </w:rPr>
        <w:t>R</w:t>
      </w:r>
      <w:r>
        <w:rPr>
          <w:spacing w:val="1"/>
          <w:sz w:val="18"/>
        </w:rPr>
        <w:t>I</w:t>
      </w:r>
      <w:r>
        <w:rPr>
          <w:sz w:val="18"/>
        </w:rPr>
        <w:t>）</w:t>
      </w:r>
      <w:r>
        <w:rPr>
          <w:spacing w:val="-1"/>
          <w:sz w:val="18"/>
        </w:rPr>
        <w:t>或正电子发射断层扫描</w:t>
      </w:r>
      <w:r>
        <w:rPr>
          <w:sz w:val="18"/>
        </w:rPr>
        <w:t>（P</w:t>
      </w:r>
      <w:r>
        <w:rPr>
          <w:spacing w:val="1"/>
          <w:sz w:val="18"/>
        </w:rPr>
        <w:t>E</w:t>
      </w:r>
      <w:r>
        <w:rPr>
          <w:spacing w:val="0"/>
          <w:sz w:val="18"/>
        </w:rPr>
        <w:t>T</w:t>
      </w:r>
      <w:r>
        <w:rPr>
          <w:sz w:val="18"/>
        </w:rPr>
        <w:t>）等影像学检查证实。神经系</w:t>
      </w:r>
      <w:r>
        <w:rPr>
          <w:spacing w:val="-2"/>
          <w:sz w:val="18"/>
        </w:rPr>
        <w:t>统永久性的功能障碍，指脑损伤</w:t>
      </w:r>
      <w:r>
        <w:rPr>
          <w:sz w:val="18"/>
        </w:rPr>
        <w:t>180</w:t>
      </w:r>
      <w:r>
        <w:rPr>
          <w:spacing w:val="-4"/>
          <w:sz w:val="18"/>
        </w:rPr>
        <w:t> 天后，仍完全丧失自主生活能力，虽未达到重大疾病</w:t>
      </w:r>
    </w:p>
    <w:p>
      <w:pPr>
        <w:pStyle w:val="BodyText"/>
        <w:spacing w:before="29"/>
        <w:ind w:left="2524"/>
      </w:pPr>
      <w:r>
        <w:rPr/>
        <w:t>“严重脑损伤”的给付标准，但无法独立完成六项基本日常生活活动中的二项。</w:t>
      </w:r>
    </w:p>
    <w:p>
      <w:pPr>
        <w:pStyle w:val="BodyText"/>
        <w:spacing w:before="6"/>
        <w:rPr>
          <w:sz w:val="21"/>
        </w:rPr>
      </w:pPr>
    </w:p>
    <w:p>
      <w:pPr>
        <w:pStyle w:val="ListParagraph"/>
        <w:numPr>
          <w:ilvl w:val="0"/>
          <w:numId w:val="12"/>
        </w:numPr>
        <w:tabs>
          <w:tab w:pos="529" w:val="left" w:leader="none"/>
        </w:tabs>
        <w:spacing w:line="290" w:lineRule="auto" w:before="0" w:after="0"/>
        <w:ind w:left="2524" w:right="194" w:hanging="2416"/>
        <w:jc w:val="both"/>
        <w:rPr>
          <w:sz w:val="18"/>
        </w:rPr>
      </w:pPr>
      <w:r>
        <w:rPr>
          <w:b/>
          <w:spacing w:val="7"/>
          <w:sz w:val="21"/>
        </w:rPr>
        <w:t>单个肢体缺失     </w:t>
      </w:r>
      <w:r>
        <w:rPr>
          <w:spacing w:val="-1"/>
          <w:position w:val="1"/>
          <w:sz w:val="18"/>
        </w:rPr>
        <w:t>指一个肢体自腕关节或踝关节近端</w:t>
      </w:r>
      <w:r>
        <w:rPr>
          <w:position w:val="1"/>
          <w:sz w:val="18"/>
        </w:rPr>
        <w:t>（靠近躯干端</w:t>
      </w:r>
      <w:r>
        <w:rPr>
          <w:spacing w:val="-13"/>
          <w:position w:val="1"/>
          <w:sz w:val="18"/>
        </w:rPr>
        <w:t>）</w:t>
      </w:r>
      <w:r>
        <w:rPr>
          <w:spacing w:val="-2"/>
          <w:position w:val="1"/>
          <w:sz w:val="18"/>
        </w:rPr>
        <w:t>以上完全性断离，但未达到本合同所指重大</w:t>
      </w:r>
      <w:r>
        <w:rPr>
          <w:spacing w:val="-2"/>
          <w:sz w:val="18"/>
        </w:rPr>
        <w:t>疾病“多个肢体缺失”的标准。</w:t>
      </w:r>
    </w:p>
    <w:p>
      <w:pPr>
        <w:pStyle w:val="BodyText"/>
        <w:spacing w:before="0"/>
        <w:rPr>
          <w:sz w:val="16"/>
        </w:rPr>
      </w:pPr>
    </w:p>
    <w:p>
      <w:pPr>
        <w:spacing w:after="0"/>
        <w:rPr>
          <w:sz w:val="16"/>
        </w:rPr>
        <w:sectPr>
          <w:type w:val="continuous"/>
          <w:pgSz w:w="11910" w:h="16840"/>
          <w:pgMar w:top="1040" w:bottom="1160" w:left="1080" w:right="760"/>
        </w:sectPr>
      </w:pPr>
    </w:p>
    <w:p>
      <w:pPr>
        <w:pStyle w:val="Heading3"/>
        <w:numPr>
          <w:ilvl w:val="0"/>
          <w:numId w:val="12"/>
        </w:numPr>
        <w:tabs>
          <w:tab w:pos="527" w:val="left" w:leader="none"/>
          <w:tab w:pos="529" w:val="left" w:leader="none"/>
        </w:tabs>
        <w:spacing w:line="273" w:lineRule="auto" w:before="36" w:after="0"/>
        <w:ind w:left="528" w:right="0" w:hanging="420"/>
        <w:jc w:val="left"/>
      </w:pPr>
      <w:r>
        <w:rPr>
          <w:spacing w:val="8"/>
        </w:rPr>
        <w:t>轻度脑炎或脑膜炎后遗症</w:t>
      </w:r>
    </w:p>
    <w:p>
      <w:pPr>
        <w:pStyle w:val="BodyText"/>
        <w:spacing w:line="316" w:lineRule="auto" w:before="57"/>
        <w:ind w:left="108" w:right="140"/>
      </w:pPr>
      <w:r>
        <w:rPr/>
        <w:br w:type="column"/>
      </w:r>
      <w:r>
        <w:rPr/>
        <w:t>指因患脑炎或脑膜炎导致的神经系统的永久功能障碍。神经系统永久性的功能障碍，指疾病确诊180天后，仍存在自主生活能力完全丧失，无法独立完成六项基本日常生活活动中的两项。</w:t>
      </w:r>
    </w:p>
    <w:p>
      <w:pPr>
        <w:pStyle w:val="BodyText"/>
        <w:spacing w:before="18"/>
        <w:ind w:left="108"/>
      </w:pPr>
      <w:r>
        <w:rPr/>
        <w:t>HIV感染引起的脑炎不在保障范围内。</w:t>
      </w:r>
    </w:p>
    <w:p>
      <w:pPr>
        <w:spacing w:after="0"/>
        <w:sectPr>
          <w:type w:val="continuous"/>
          <w:pgSz w:w="11910" w:h="16840"/>
          <w:pgMar w:top="1040" w:bottom="1160" w:left="1080" w:right="760"/>
          <w:cols w:num="2" w:equalWidth="0">
            <w:col w:w="2312" w:space="105"/>
            <w:col w:w="7653"/>
          </w:cols>
        </w:sectPr>
      </w:pPr>
    </w:p>
    <w:p>
      <w:pPr>
        <w:pStyle w:val="BodyText"/>
        <w:spacing w:before="11"/>
      </w:pPr>
    </w:p>
    <w:p>
      <w:pPr>
        <w:spacing w:after="0"/>
        <w:sectPr>
          <w:type w:val="continuous"/>
          <w:pgSz w:w="11910" w:h="16840"/>
          <w:pgMar w:top="1040" w:bottom="1160" w:left="1080" w:right="760"/>
        </w:sectPr>
      </w:pPr>
    </w:p>
    <w:p>
      <w:pPr>
        <w:pStyle w:val="Heading3"/>
        <w:numPr>
          <w:ilvl w:val="0"/>
          <w:numId w:val="12"/>
        </w:numPr>
        <w:tabs>
          <w:tab w:pos="527" w:val="left" w:leader="none"/>
          <w:tab w:pos="529" w:val="left" w:leader="none"/>
        </w:tabs>
        <w:spacing w:line="273" w:lineRule="auto" w:before="36" w:after="0"/>
        <w:ind w:left="528" w:right="0" w:hanging="420"/>
        <w:jc w:val="left"/>
      </w:pPr>
      <w:r>
        <w:rPr>
          <w:spacing w:val="8"/>
        </w:rPr>
        <w:t>可逆性再生障碍性贫血</w:t>
      </w:r>
    </w:p>
    <w:p>
      <w:pPr>
        <w:pStyle w:val="BodyText"/>
        <w:spacing w:line="319" w:lineRule="auto" w:before="57"/>
        <w:ind w:left="108" w:right="140"/>
      </w:pPr>
      <w:r>
        <w:rPr/>
        <w:br w:type="column"/>
      </w:r>
      <w:r>
        <w:rPr/>
        <w:t>指因急性可逆性的骨髓造血功能衰竭而导致贫血、中性粒细胞减少和血小板减少，必须由血液科医生的诊断，且病历资料显示接受了下列任一治疗：</w:t>
      </w:r>
    </w:p>
    <w:p>
      <w:pPr>
        <w:pStyle w:val="BodyText"/>
        <w:spacing w:before="17"/>
        <w:ind w:left="199"/>
      </w:pPr>
      <w:r>
        <w:rPr/>
        <w:t>（1）骨髓刺激疗法至少1个月；</w:t>
      </w:r>
    </w:p>
    <w:p>
      <w:pPr>
        <w:pStyle w:val="BodyText"/>
        <w:ind w:left="199"/>
      </w:pPr>
      <w:r>
        <w:rPr/>
        <w:t>（2）免疫抑制剂治疗至少1个月；</w:t>
      </w:r>
    </w:p>
    <w:p>
      <w:pPr>
        <w:pStyle w:val="BodyText"/>
        <w:ind w:left="199"/>
      </w:pPr>
      <w:r>
        <w:rPr/>
        <w:t>（3）接受了骨髓移植。</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2"/>
        </w:numPr>
        <w:tabs>
          <w:tab w:pos="529" w:val="left" w:leader="none"/>
        </w:tabs>
        <w:spacing w:line="302" w:lineRule="auto" w:before="36" w:after="0"/>
        <w:ind w:left="2524" w:right="194" w:hanging="2416"/>
        <w:jc w:val="both"/>
        <w:rPr>
          <w:sz w:val="18"/>
        </w:rPr>
      </w:pPr>
      <w:r>
        <w:rPr>
          <w:b/>
          <w:spacing w:val="7"/>
          <w:sz w:val="21"/>
        </w:rPr>
        <w:t>中度听力受损     </w:t>
      </w:r>
      <w:r>
        <w:rPr>
          <w:position w:val="1"/>
          <w:sz w:val="18"/>
        </w:rPr>
        <w:t>指因疾病或意外伤害导致单耳或双耳听力永久不可逆性丧失。在500赫兹，1000</w:t>
      </w:r>
      <w:r>
        <w:rPr>
          <w:spacing w:val="-1"/>
          <w:position w:val="1"/>
          <w:sz w:val="18"/>
        </w:rPr>
        <w:t>赫兹和</w:t>
      </w:r>
      <w:r>
        <w:rPr>
          <w:position w:val="1"/>
          <w:sz w:val="18"/>
        </w:rPr>
        <w:t>2000赫</w:t>
      </w:r>
      <w:r>
        <w:rPr>
          <w:spacing w:val="-2"/>
          <w:sz w:val="18"/>
        </w:rPr>
        <w:t>兹语音频率下，平均听阈大于</w:t>
      </w:r>
      <w:r>
        <w:rPr>
          <w:sz w:val="18"/>
        </w:rPr>
        <w:t>80</w:t>
      </w:r>
      <w:r>
        <w:rPr>
          <w:spacing w:val="-3"/>
          <w:sz w:val="18"/>
        </w:rPr>
        <w:t>分贝，但是仍未大于</w:t>
      </w:r>
      <w:r>
        <w:rPr>
          <w:sz w:val="18"/>
        </w:rPr>
        <w:t>90</w:t>
      </w:r>
      <w:r>
        <w:rPr>
          <w:spacing w:val="-5"/>
          <w:sz w:val="18"/>
        </w:rPr>
        <w:t>分贝。需有纯音听力测试、声导抗检测或听觉诱发电位检测等证实。</w:t>
      </w:r>
    </w:p>
    <w:p>
      <w:pPr>
        <w:pStyle w:val="BodyText"/>
        <w:spacing w:line="319" w:lineRule="auto" w:before="29"/>
        <w:ind w:left="2524" w:right="247"/>
      </w:pPr>
      <w:r>
        <w:rPr/>
        <w:t>申请理赔时，被保险人年龄必须在3周岁以上，并且须提供理赔当时的听力丧失诊断及检查证据。</w:t>
      </w:r>
    </w:p>
    <w:p>
      <w:pPr>
        <w:pStyle w:val="BodyText"/>
        <w:spacing w:before="7"/>
        <w:rPr>
          <w:sz w:val="23"/>
        </w:rPr>
      </w:pPr>
    </w:p>
    <w:p>
      <w:pPr>
        <w:pStyle w:val="ListParagraph"/>
        <w:numPr>
          <w:ilvl w:val="0"/>
          <w:numId w:val="12"/>
        </w:numPr>
        <w:tabs>
          <w:tab w:pos="527" w:val="left" w:leader="none"/>
          <w:tab w:pos="529" w:val="left" w:leader="none"/>
          <w:tab w:pos="2524" w:val="left" w:leader="none"/>
        </w:tabs>
        <w:spacing w:line="240" w:lineRule="auto" w:before="0" w:after="0"/>
        <w:ind w:left="528" w:right="0" w:hanging="420"/>
        <w:jc w:val="left"/>
        <w:rPr>
          <w:sz w:val="18"/>
        </w:rPr>
      </w:pPr>
      <w:r>
        <w:rPr>
          <w:b/>
          <w:spacing w:val="12"/>
          <w:sz w:val="21"/>
        </w:rPr>
        <w:t>不</w:t>
      </w:r>
      <w:r>
        <w:rPr>
          <w:b/>
          <w:spacing w:val="10"/>
          <w:sz w:val="21"/>
        </w:rPr>
        <w:t>典</w:t>
      </w:r>
      <w:r>
        <w:rPr>
          <w:b/>
          <w:spacing w:val="12"/>
          <w:sz w:val="21"/>
        </w:rPr>
        <w:t>型</w:t>
      </w:r>
      <w:r>
        <w:rPr>
          <w:b/>
          <w:spacing w:val="10"/>
          <w:sz w:val="21"/>
        </w:rPr>
        <w:t>的</w:t>
      </w:r>
      <w:r>
        <w:rPr>
          <w:b/>
          <w:spacing w:val="12"/>
          <w:sz w:val="21"/>
        </w:rPr>
        <w:t>急</w:t>
      </w:r>
      <w:r>
        <w:rPr>
          <w:b/>
          <w:spacing w:val="10"/>
          <w:sz w:val="21"/>
        </w:rPr>
        <w:t>性</w:t>
      </w:r>
      <w:r>
        <w:rPr>
          <w:b/>
          <w:spacing w:val="12"/>
          <w:sz w:val="21"/>
        </w:rPr>
        <w:t>心</w:t>
      </w:r>
      <w:r>
        <w:rPr>
          <w:b/>
          <w:sz w:val="21"/>
        </w:rPr>
        <w:t>肌</w:t>
        <w:tab/>
      </w:r>
      <w:r>
        <w:rPr>
          <w:position w:val="1"/>
          <w:sz w:val="18"/>
        </w:rPr>
        <w:t>指被临床诊断为急性心肌梗塞并接受了急性心肌梗塞治疗</w:t>
      </w:r>
      <w:r>
        <w:rPr>
          <w:spacing w:val="-20"/>
          <w:position w:val="1"/>
          <w:sz w:val="18"/>
        </w:rPr>
        <w:t>，</w:t>
      </w:r>
      <w:r>
        <w:rPr>
          <w:position w:val="1"/>
          <w:sz w:val="18"/>
        </w:rPr>
        <w:t>虽然未达到重大疾</w:t>
      </w:r>
      <w:r>
        <w:rPr>
          <w:spacing w:val="-20"/>
          <w:position w:val="1"/>
          <w:sz w:val="18"/>
        </w:rPr>
        <w:t>病</w:t>
      </w:r>
      <w:r>
        <w:rPr>
          <w:position w:val="1"/>
          <w:sz w:val="18"/>
        </w:rPr>
        <w:t>“急性心肌梗</w:t>
      </w:r>
    </w:p>
    <w:p>
      <w:pPr>
        <w:spacing w:after="0" w:line="240" w:lineRule="auto"/>
        <w:jc w:val="left"/>
        <w:rPr>
          <w:sz w:val="18"/>
        </w:rPr>
        <w:sectPr>
          <w:type w:val="continuous"/>
          <w:pgSz w:w="11910" w:h="16840"/>
          <w:pgMar w:top="1040" w:bottom="1160" w:left="1080" w:right="760"/>
        </w:sectPr>
      </w:pPr>
    </w:p>
    <w:p>
      <w:pPr>
        <w:pStyle w:val="BodyText"/>
        <w:spacing w:before="2"/>
        <w:rPr>
          <w:sz w:val="19"/>
        </w:rPr>
      </w:pPr>
    </w:p>
    <w:p>
      <w:pPr>
        <w:pStyle w:val="BodyText"/>
        <w:tabs>
          <w:tab w:pos="2524" w:val="left" w:leader="none"/>
        </w:tabs>
        <w:spacing w:before="37"/>
        <w:ind w:left="528"/>
      </w:pPr>
      <w:r>
        <w:rPr>
          <w:b/>
          <w:sz w:val="21"/>
        </w:rPr>
        <w:t>梗塞</w:t>
        <w:tab/>
      </w:r>
      <w:r>
        <w:rPr>
          <w:position w:val="1"/>
        </w:rPr>
        <w:t>塞”的给付标准，但满足下列全部条件：</w:t>
      </w:r>
    </w:p>
    <w:p>
      <w:pPr>
        <w:pStyle w:val="BodyText"/>
        <w:spacing w:before="57"/>
        <w:ind w:left="2524"/>
      </w:pPr>
      <w:r>
        <w:rPr/>
        <w:t>（1）肌钙蛋白有诊断意义的升高；</w:t>
      </w:r>
    </w:p>
    <w:p>
      <w:pPr>
        <w:pStyle w:val="BodyText"/>
        <w:spacing w:before="75"/>
        <w:ind w:left="2524"/>
      </w:pPr>
      <w:r>
        <w:rPr/>
        <w:t>（2）心电图有损伤性的ST段改变但未出现病理Q波。</w:t>
      </w:r>
    </w:p>
    <w:p>
      <w:pPr>
        <w:pStyle w:val="BodyText"/>
        <w:spacing w:line="316" w:lineRule="auto" w:before="75"/>
        <w:ind w:left="2524" w:right="61"/>
      </w:pPr>
      <w:r>
        <w:rPr/>
        <w:t>如果被保险人在出现不典型的急性心肌梗塞以后接受冠状动脉介入手术治疗，我们仅就其中一种疾病给付轻症疾病保险金。</w:t>
      </w:r>
    </w:p>
    <w:p>
      <w:pPr>
        <w:pStyle w:val="BodyText"/>
        <w:spacing w:before="0"/>
        <w:rPr>
          <w:sz w:val="17"/>
        </w:rPr>
      </w:pPr>
    </w:p>
    <w:p>
      <w:pPr>
        <w:pStyle w:val="ListParagraph"/>
        <w:numPr>
          <w:ilvl w:val="0"/>
          <w:numId w:val="12"/>
        </w:numPr>
        <w:tabs>
          <w:tab w:pos="529" w:val="left" w:leader="none"/>
          <w:tab w:pos="2524" w:val="left" w:leader="none"/>
        </w:tabs>
        <w:spacing w:line="290" w:lineRule="auto" w:before="0" w:after="0"/>
        <w:ind w:left="2524" w:right="117" w:hanging="2416"/>
        <w:jc w:val="left"/>
        <w:rPr>
          <w:sz w:val="18"/>
        </w:rPr>
      </w:pPr>
      <w:r>
        <w:rPr>
          <w:b/>
          <w:sz w:val="21"/>
        </w:rPr>
        <w:t>冠状动脉介入手术</w:t>
        <w:tab/>
      </w:r>
      <w:r>
        <w:rPr>
          <w:position w:val="1"/>
          <w:sz w:val="18"/>
        </w:rPr>
        <w:t>为了治疗明显的冠状动脉狭窄性疾病</w:t>
      </w:r>
      <w:r>
        <w:rPr>
          <w:spacing w:val="-20"/>
          <w:position w:val="1"/>
          <w:sz w:val="18"/>
        </w:rPr>
        <w:t>，</w:t>
      </w:r>
      <w:r>
        <w:rPr>
          <w:position w:val="1"/>
          <w:sz w:val="18"/>
        </w:rPr>
        <w:t>首次实际实施了冠状动脉球囊扩张成形术</w:t>
      </w:r>
      <w:r>
        <w:rPr>
          <w:spacing w:val="-20"/>
          <w:position w:val="1"/>
          <w:sz w:val="18"/>
        </w:rPr>
        <w:t>、</w:t>
      </w:r>
      <w:r>
        <w:rPr>
          <w:position w:val="1"/>
          <w:sz w:val="18"/>
        </w:rPr>
        <w:t>冠状动脉支</w:t>
      </w:r>
      <w:r>
        <w:rPr>
          <w:sz w:val="18"/>
        </w:rPr>
        <w:t>架植入术或激光冠状动脉成形术。</w:t>
      </w:r>
    </w:p>
    <w:p>
      <w:pPr>
        <w:pStyle w:val="BodyText"/>
        <w:spacing w:line="316" w:lineRule="auto" w:before="38"/>
        <w:ind w:left="2524" w:right="61"/>
      </w:pPr>
      <w:r>
        <w:rPr/>
        <w:t>如果被保险人在出现不典型的急性心肌梗塞以后接受冠状动脉介入手术治疗，我们仅就其中一种疾病给付轻症疾病保险金。</w:t>
      </w:r>
    </w:p>
    <w:p>
      <w:pPr>
        <w:pStyle w:val="BodyText"/>
        <w:spacing w:line="319" w:lineRule="auto" w:before="18"/>
        <w:ind w:left="2524" w:right="61"/>
      </w:pPr>
      <w:r>
        <w:rPr/>
        <w:t>如果被保险人在出现急性心肌梗塞以后接受冠状动脉介入手术，我们仅就急性心肌梗塞给付重大疾病保险金。</w:t>
      </w:r>
    </w:p>
    <w:p>
      <w:pPr>
        <w:pStyle w:val="BodyText"/>
        <w:spacing w:before="1"/>
        <w:rPr>
          <w:sz w:val="17"/>
        </w:rPr>
      </w:pPr>
    </w:p>
    <w:p>
      <w:pPr>
        <w:pStyle w:val="ListParagraph"/>
        <w:numPr>
          <w:ilvl w:val="0"/>
          <w:numId w:val="12"/>
        </w:numPr>
        <w:tabs>
          <w:tab w:pos="529" w:val="left" w:leader="none"/>
          <w:tab w:pos="2524" w:val="left" w:leader="none"/>
        </w:tabs>
        <w:spacing w:line="290" w:lineRule="auto" w:before="0" w:after="0"/>
        <w:ind w:left="2524" w:right="117" w:hanging="2416"/>
        <w:jc w:val="left"/>
        <w:rPr>
          <w:sz w:val="18"/>
        </w:rPr>
      </w:pPr>
      <w:r>
        <w:rPr>
          <w:b/>
          <w:sz w:val="21"/>
        </w:rPr>
        <w:t>心脏瓣膜介入手术</w:t>
        <w:tab/>
      </w:r>
      <w:r>
        <w:rPr>
          <w:position w:val="1"/>
          <w:sz w:val="18"/>
        </w:rPr>
        <w:t>为了治疗心脏瓣膜疾病</w:t>
      </w:r>
      <w:r>
        <w:rPr>
          <w:spacing w:val="-39"/>
          <w:position w:val="1"/>
          <w:sz w:val="18"/>
        </w:rPr>
        <w:t>，</w:t>
      </w:r>
      <w:r>
        <w:rPr>
          <w:position w:val="1"/>
          <w:sz w:val="18"/>
        </w:rPr>
        <w:t>实际实施了非开胸的经胸壁打孔内镜手术或经皮经导管介入手术进行</w:t>
      </w:r>
      <w:r>
        <w:rPr>
          <w:sz w:val="18"/>
        </w:rPr>
        <w:t>的心脏瓣膜置换或修复手术。</w:t>
      </w:r>
    </w:p>
    <w:p>
      <w:pPr>
        <w:pStyle w:val="BodyText"/>
        <w:spacing w:before="10"/>
      </w:pPr>
    </w:p>
    <w:p>
      <w:pPr>
        <w:pStyle w:val="ListParagraph"/>
        <w:numPr>
          <w:ilvl w:val="0"/>
          <w:numId w:val="12"/>
        </w:numPr>
        <w:tabs>
          <w:tab w:pos="529" w:val="left" w:leader="none"/>
          <w:tab w:pos="2524" w:val="left" w:leader="none"/>
        </w:tabs>
        <w:spacing w:line="290" w:lineRule="auto" w:before="0" w:after="0"/>
        <w:ind w:left="2524" w:right="258" w:hanging="2416"/>
        <w:jc w:val="left"/>
        <w:rPr>
          <w:sz w:val="18"/>
        </w:rPr>
      </w:pPr>
      <w:r>
        <w:rPr>
          <w:b/>
          <w:sz w:val="21"/>
        </w:rPr>
        <w:t>主动脉内手术</w:t>
        <w:tab/>
      </w:r>
      <w:r>
        <w:rPr>
          <w:position w:val="1"/>
          <w:sz w:val="18"/>
        </w:rPr>
        <w:t>为了治疗主动脉疾病实际实施了经皮经导管进行的动脉内手术。主动脉指胸主动脉和腹主动</w:t>
      </w:r>
      <w:r>
        <w:rPr>
          <w:sz w:val="18"/>
        </w:rPr>
        <w:t>脉，不包括胸主动脉和腹主动脉的分支血管。</w:t>
      </w:r>
    </w:p>
    <w:p>
      <w:pPr>
        <w:pStyle w:val="BodyText"/>
        <w:spacing w:before="7"/>
      </w:pPr>
    </w:p>
    <w:p>
      <w:pPr>
        <w:pStyle w:val="ListParagraph"/>
        <w:numPr>
          <w:ilvl w:val="0"/>
          <w:numId w:val="12"/>
        </w:numPr>
        <w:tabs>
          <w:tab w:pos="529" w:val="left" w:leader="none"/>
          <w:tab w:pos="2524" w:val="left" w:leader="none"/>
        </w:tabs>
        <w:spacing w:line="290" w:lineRule="auto" w:before="0" w:after="0"/>
        <w:ind w:left="2524" w:right="117" w:hanging="2416"/>
        <w:jc w:val="left"/>
        <w:rPr>
          <w:sz w:val="18"/>
        </w:rPr>
      </w:pPr>
      <w:r>
        <w:rPr>
          <w:b/>
          <w:w w:val="100"/>
          <w:sz w:val="21"/>
        </w:rPr>
        <w:t>脑垂体瘤及脑囊肿</w:t>
      </w:r>
      <w:r>
        <w:rPr>
          <w:b/>
          <w:sz w:val="21"/>
        </w:rPr>
        <w:tab/>
      </w:r>
      <w:r>
        <w:rPr>
          <w:position w:val="1"/>
          <w:sz w:val="18"/>
        </w:rPr>
        <w:t>指经头颅断层扫</w:t>
      </w:r>
      <w:r>
        <w:rPr>
          <w:spacing w:val="-8"/>
          <w:position w:val="1"/>
          <w:sz w:val="18"/>
        </w:rPr>
        <w:t>描</w:t>
      </w:r>
      <w:r>
        <w:rPr>
          <w:position w:val="1"/>
          <w:sz w:val="18"/>
        </w:rPr>
        <w:t>（C</w:t>
      </w:r>
      <w:r>
        <w:rPr>
          <w:spacing w:val="1"/>
          <w:position w:val="1"/>
          <w:sz w:val="18"/>
        </w:rPr>
        <w:t>T</w:t>
      </w:r>
      <w:r>
        <w:rPr>
          <w:spacing w:val="-92"/>
          <w:position w:val="1"/>
          <w:sz w:val="18"/>
        </w:rPr>
        <w:t>）</w:t>
      </w:r>
      <w:r>
        <w:rPr>
          <w:spacing w:val="-8"/>
          <w:position w:val="1"/>
          <w:sz w:val="18"/>
        </w:rPr>
        <w:t>、</w:t>
      </w:r>
      <w:r>
        <w:rPr>
          <w:position w:val="1"/>
          <w:sz w:val="18"/>
        </w:rPr>
        <w:t>核</w:t>
      </w:r>
      <w:r>
        <w:rPr>
          <w:spacing w:val="-3"/>
          <w:position w:val="1"/>
          <w:sz w:val="18"/>
        </w:rPr>
        <w:t>磁</w:t>
      </w:r>
      <w:r>
        <w:rPr>
          <w:position w:val="1"/>
          <w:sz w:val="18"/>
        </w:rPr>
        <w:t>共</w:t>
      </w:r>
      <w:r>
        <w:rPr>
          <w:spacing w:val="-8"/>
          <w:position w:val="1"/>
          <w:sz w:val="18"/>
        </w:rPr>
        <w:t>振</w:t>
      </w:r>
      <w:r>
        <w:rPr>
          <w:position w:val="1"/>
          <w:sz w:val="18"/>
        </w:rPr>
        <w:t>（</w:t>
      </w:r>
      <w:r>
        <w:rPr>
          <w:spacing w:val="0"/>
          <w:position w:val="1"/>
          <w:sz w:val="18"/>
        </w:rPr>
        <w:t>M</w:t>
      </w:r>
      <w:r>
        <w:rPr>
          <w:spacing w:val="-2"/>
          <w:position w:val="1"/>
          <w:sz w:val="18"/>
        </w:rPr>
        <w:t>R</w:t>
      </w:r>
      <w:r>
        <w:rPr>
          <w:spacing w:val="0"/>
          <w:position w:val="1"/>
          <w:sz w:val="18"/>
        </w:rPr>
        <w:t>I</w:t>
      </w:r>
      <w:r>
        <w:rPr>
          <w:spacing w:val="-8"/>
          <w:position w:val="1"/>
          <w:sz w:val="18"/>
        </w:rPr>
        <w:t>）</w:t>
      </w:r>
      <w:r>
        <w:rPr>
          <w:position w:val="1"/>
          <w:sz w:val="18"/>
        </w:rPr>
        <w:t>或其他影像学检</w:t>
      </w:r>
      <w:r>
        <w:rPr>
          <w:spacing w:val="-3"/>
          <w:position w:val="1"/>
          <w:sz w:val="18"/>
        </w:rPr>
        <w:t>查</w:t>
      </w:r>
      <w:r>
        <w:rPr>
          <w:position w:val="1"/>
          <w:sz w:val="18"/>
        </w:rPr>
        <w:t>被确诊为下列病</w:t>
      </w:r>
      <w:r>
        <w:rPr>
          <w:spacing w:val="-1"/>
          <w:position w:val="1"/>
          <w:sz w:val="18"/>
        </w:rPr>
        <w:t>变</w:t>
      </w:r>
      <w:r>
        <w:rPr>
          <w:spacing w:val="-8"/>
          <w:position w:val="1"/>
          <w:sz w:val="18"/>
        </w:rPr>
        <w:t>，</w:t>
      </w:r>
      <w:r>
        <w:rPr>
          <w:position w:val="1"/>
          <w:sz w:val="18"/>
        </w:rPr>
        <w:t>并实际接受</w:t>
      </w:r>
      <w:r>
        <w:rPr>
          <w:sz w:val="18"/>
        </w:rPr>
        <w:t>了手术或放射治疗。</w:t>
      </w:r>
    </w:p>
    <w:p>
      <w:pPr>
        <w:pStyle w:val="BodyText"/>
        <w:spacing w:before="38"/>
        <w:ind w:left="2524"/>
      </w:pPr>
      <w:r>
        <w:rPr/>
        <w:t>（1）脑垂体瘤；</w:t>
      </w:r>
    </w:p>
    <w:p>
      <w:pPr>
        <w:pStyle w:val="BodyText"/>
        <w:ind w:left="2524"/>
      </w:pPr>
      <w:r>
        <w:rPr/>
        <w:t>（2）脑囊肿。</w:t>
      </w:r>
    </w:p>
    <w:p>
      <w:pPr>
        <w:pStyle w:val="BodyText"/>
        <w:spacing w:before="11"/>
      </w:pPr>
    </w:p>
    <w:p>
      <w:pPr>
        <w:spacing w:after="0"/>
        <w:sectPr>
          <w:pgSz w:w="11910" w:h="16840"/>
          <w:pgMar w:header="877" w:footer="977" w:top="1100" w:bottom="1160" w:left="1080" w:right="840"/>
        </w:sectPr>
      </w:pPr>
    </w:p>
    <w:p>
      <w:pPr>
        <w:pStyle w:val="Heading3"/>
        <w:numPr>
          <w:ilvl w:val="0"/>
          <w:numId w:val="12"/>
        </w:numPr>
        <w:tabs>
          <w:tab w:pos="529" w:val="left" w:leader="none"/>
        </w:tabs>
        <w:spacing w:line="273" w:lineRule="auto" w:before="37" w:after="0"/>
        <w:ind w:left="528" w:right="0" w:hanging="420"/>
        <w:jc w:val="left"/>
      </w:pPr>
      <w:r>
        <w:rPr>
          <w:spacing w:val="8"/>
        </w:rPr>
        <w:t>轻度原发性肺动脉高压</w:t>
      </w:r>
    </w:p>
    <w:p>
      <w:pPr>
        <w:pStyle w:val="BodyText"/>
        <w:spacing w:line="316" w:lineRule="auto" w:before="57"/>
        <w:ind w:left="108" w:right="60"/>
      </w:pPr>
      <w:r>
        <w:rPr/>
        <w:br w:type="column"/>
      </w:r>
      <w:r>
        <w:rPr/>
        <w:t>指由于原发性肺动脉高压进行性发展而导致右心室肥厚，已经造成永久不可逆性的体力活动能力受限，达到美国纽约心脏病学会心功能状态分级III级，且静息状态下肺动脉平均压超过</w:t>
      </w:r>
    </w:p>
    <w:p>
      <w:pPr>
        <w:pStyle w:val="BodyText"/>
        <w:spacing w:before="18"/>
        <w:ind w:left="108"/>
      </w:pPr>
      <w:r>
        <w:rPr/>
        <w:t>25mmHg。</w:t>
      </w:r>
    </w:p>
    <w:p>
      <w:pPr>
        <w:pStyle w:val="BodyText"/>
        <w:spacing w:line="316" w:lineRule="auto"/>
        <w:ind w:left="108" w:right="166"/>
      </w:pPr>
      <w:r>
        <w:rPr/>
        <w:t>上述特定疾病中所指的永久不可逆，指自疾病确诊或意外伤害发生之日起，经过积极治疗180 天后，仍无法通过现有医疗手段恢复。</w:t>
      </w:r>
    </w:p>
    <w:p>
      <w:pPr>
        <w:spacing w:after="0" w:line="316" w:lineRule="auto"/>
        <w:sectPr>
          <w:type w:val="continuous"/>
          <w:pgSz w:w="11910" w:h="16840"/>
          <w:pgMar w:top="1040" w:bottom="1160" w:left="1080" w:right="840"/>
          <w:cols w:num="2" w:equalWidth="0">
            <w:col w:w="2312" w:space="105"/>
            <w:col w:w="7573"/>
          </w:cols>
        </w:sectPr>
      </w:pPr>
    </w:p>
    <w:p>
      <w:pPr>
        <w:pStyle w:val="BodyText"/>
        <w:spacing w:before="4"/>
        <w:rPr>
          <w:sz w:val="14"/>
        </w:rPr>
      </w:pPr>
    </w:p>
    <w:p>
      <w:pPr>
        <w:pStyle w:val="ListParagraph"/>
        <w:numPr>
          <w:ilvl w:val="0"/>
          <w:numId w:val="12"/>
        </w:numPr>
        <w:tabs>
          <w:tab w:pos="529" w:val="left" w:leader="none"/>
          <w:tab w:pos="2524" w:val="left" w:leader="none"/>
        </w:tabs>
        <w:spacing w:line="240" w:lineRule="auto" w:before="36" w:after="0"/>
        <w:ind w:left="528" w:right="0" w:hanging="420"/>
        <w:jc w:val="left"/>
        <w:rPr>
          <w:sz w:val="18"/>
        </w:rPr>
      </w:pPr>
      <w:r>
        <w:rPr>
          <w:b/>
          <w:sz w:val="21"/>
        </w:rPr>
        <w:t>脑外伤开颅手术</w:t>
        <w:tab/>
      </w:r>
      <w:r>
        <w:rPr>
          <w:position w:val="1"/>
          <w:sz w:val="18"/>
        </w:rPr>
        <w:t>由头部遭受机械性外力</w:t>
      </w:r>
      <w:r>
        <w:rPr>
          <w:spacing w:val="-20"/>
          <w:position w:val="1"/>
          <w:sz w:val="18"/>
        </w:rPr>
        <w:t>，</w:t>
      </w:r>
      <w:r>
        <w:rPr>
          <w:position w:val="1"/>
          <w:sz w:val="18"/>
        </w:rPr>
        <w:t>引起脑重要部位损伤</w:t>
      </w:r>
      <w:r>
        <w:rPr>
          <w:spacing w:val="-20"/>
          <w:position w:val="1"/>
          <w:sz w:val="18"/>
        </w:rPr>
        <w:t>，</w:t>
      </w:r>
      <w:r>
        <w:rPr>
          <w:position w:val="1"/>
          <w:sz w:val="18"/>
        </w:rPr>
        <w:t>并实际接受了全麻下颅骨切开颅内血肿清除术</w:t>
      </w:r>
    </w:p>
    <w:p>
      <w:pPr>
        <w:pStyle w:val="BodyText"/>
        <w:spacing w:before="57"/>
        <w:ind w:left="2524"/>
      </w:pPr>
      <w:r>
        <w:rPr/>
        <w:t>（颅骨钻孔术除外</w:t>
      </w:r>
      <w:r>
        <w:rPr>
          <w:spacing w:val="-92"/>
        </w:rPr>
        <w:t>）</w:t>
      </w:r>
      <w:r>
        <w:rPr/>
        <w:t>。</w:t>
      </w:r>
    </w:p>
    <w:p>
      <w:pPr>
        <w:spacing w:after="0"/>
        <w:sectPr>
          <w:type w:val="continuous"/>
          <w:pgSz w:w="11910" w:h="16840"/>
          <w:pgMar w:top="1040" w:bottom="1160" w:left="1080" w:right="840"/>
        </w:sectPr>
      </w:pPr>
    </w:p>
    <w:p>
      <w:pPr>
        <w:pStyle w:val="BodyText"/>
        <w:spacing w:before="2"/>
        <w:rPr>
          <w:sz w:val="19"/>
        </w:rPr>
      </w:pPr>
    </w:p>
    <w:p>
      <w:pPr>
        <w:pStyle w:val="Heading3"/>
        <w:spacing w:before="37"/>
        <w:ind w:left="3915" w:right="3926" w:firstLine="0"/>
        <w:jc w:val="center"/>
      </w:pPr>
      <w:r>
        <w:rPr/>
        <w:t>附表二：重大疾病说明</w:t>
      </w:r>
    </w:p>
    <w:p>
      <w:pPr>
        <w:pStyle w:val="BodyText"/>
        <w:spacing w:before="7"/>
        <w:rPr>
          <w:b/>
          <w:sz w:val="21"/>
        </w:rPr>
      </w:pPr>
    </w:p>
    <w:p>
      <w:pPr>
        <w:spacing w:before="36"/>
        <w:ind w:left="223" w:right="0" w:firstLine="0"/>
        <w:jc w:val="left"/>
        <w:rPr>
          <w:b/>
          <w:sz w:val="21"/>
        </w:rPr>
      </w:pPr>
      <w:r>
        <w:rPr>
          <w:b/>
          <w:sz w:val="21"/>
        </w:rPr>
        <w:t>重大疾病：指下列疾病或手术之一</w:t>
      </w:r>
    </w:p>
    <w:p>
      <w:pPr>
        <w:pStyle w:val="BodyText"/>
        <w:spacing w:before="10"/>
        <w:rPr>
          <w:b/>
          <w:sz w:val="24"/>
        </w:rPr>
      </w:pPr>
    </w:p>
    <w:p>
      <w:pPr>
        <w:spacing w:line="302" w:lineRule="auto" w:before="0"/>
        <w:ind w:left="223" w:right="15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10"/>
        <w:rPr>
          <w:b/>
          <w:i/>
          <w:sz w:val="21"/>
        </w:rPr>
      </w:pPr>
    </w:p>
    <w:p>
      <w:pPr>
        <w:pStyle w:val="ListParagraph"/>
        <w:numPr>
          <w:ilvl w:val="0"/>
          <w:numId w:val="13"/>
        </w:numPr>
        <w:tabs>
          <w:tab w:pos="529" w:val="left" w:leader="none"/>
          <w:tab w:pos="2524" w:val="left" w:leader="none"/>
        </w:tabs>
        <w:spacing w:line="302" w:lineRule="auto" w:before="1" w:after="0"/>
        <w:ind w:left="2524" w:right="114" w:hanging="2416"/>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2"/>
          <w:position w:val="1"/>
          <w:sz w:val="18"/>
        </w:rPr>
        <w:t>、</w:t>
      </w:r>
      <w:r>
        <w:rPr>
          <w:position w:val="1"/>
          <w:sz w:val="18"/>
        </w:rPr>
        <w:t>淋巴管和</w:t>
      </w:r>
      <w:r>
        <w:rPr>
          <w:sz w:val="18"/>
        </w:rPr>
        <w:t>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2"/>
          <w:sz w:val="18"/>
        </w:rPr>
        <w:t>》</w:t>
      </w:r>
      <w:r>
        <w:rPr>
          <w:sz w:val="18"/>
        </w:rPr>
        <w:t>（ICD-10）的恶</w:t>
      </w:r>
      <w:r>
        <w:rPr>
          <w:spacing w:val="-3"/>
          <w:sz w:val="18"/>
        </w:rPr>
        <w:t>性</w:t>
      </w:r>
      <w:r>
        <w:rPr>
          <w:sz w:val="18"/>
        </w:rPr>
        <w:t>肿瘤范畴。</w:t>
      </w:r>
    </w:p>
    <w:p>
      <w:pPr>
        <w:pStyle w:val="BodyText"/>
        <w:spacing w:before="29"/>
        <w:ind w:left="2524"/>
      </w:pPr>
      <w:r>
        <w:rPr/>
        <w:t>下列疾病不在保障范围内：</w:t>
      </w:r>
    </w:p>
    <w:p>
      <w:pPr>
        <w:pStyle w:val="ListParagraph"/>
        <w:numPr>
          <w:ilvl w:val="1"/>
          <w:numId w:val="13"/>
        </w:numPr>
        <w:tabs>
          <w:tab w:pos="2888" w:val="left" w:leader="none"/>
        </w:tabs>
        <w:spacing w:line="240" w:lineRule="auto" w:before="75" w:after="0"/>
        <w:ind w:left="2887" w:right="0" w:hanging="363"/>
        <w:jc w:val="left"/>
        <w:rPr>
          <w:sz w:val="18"/>
        </w:rPr>
      </w:pPr>
      <w:r>
        <w:rPr>
          <w:sz w:val="18"/>
        </w:rPr>
        <w:t>原位癌；</w:t>
      </w:r>
    </w:p>
    <w:p>
      <w:pPr>
        <w:pStyle w:val="ListParagraph"/>
        <w:numPr>
          <w:ilvl w:val="1"/>
          <w:numId w:val="13"/>
        </w:numPr>
        <w:tabs>
          <w:tab w:pos="2888" w:val="left" w:leader="none"/>
        </w:tabs>
        <w:spacing w:line="240" w:lineRule="auto" w:before="76" w:after="0"/>
        <w:ind w:left="2887" w:right="0" w:hanging="363"/>
        <w:jc w:val="left"/>
        <w:rPr>
          <w:sz w:val="18"/>
        </w:rPr>
      </w:pPr>
      <w:r>
        <w:rPr>
          <w:spacing w:val="12"/>
          <w:sz w:val="18"/>
        </w:rPr>
        <w:t>相当于</w:t>
      </w:r>
      <w:r>
        <w:rPr>
          <w:sz w:val="18"/>
        </w:rPr>
        <w:t>Binet</w:t>
      </w:r>
      <w:r>
        <w:rPr>
          <w:spacing w:val="-2"/>
          <w:sz w:val="18"/>
        </w:rPr>
        <w:t> 分期方案</w:t>
      </w:r>
      <w:r>
        <w:rPr>
          <w:sz w:val="18"/>
        </w:rPr>
        <w:t>A</w:t>
      </w:r>
      <w:r>
        <w:rPr>
          <w:spacing w:val="-7"/>
          <w:sz w:val="18"/>
        </w:rPr>
        <w:t> 期程度的慢性淋巴细胞白血病；</w:t>
      </w:r>
    </w:p>
    <w:p>
      <w:pPr>
        <w:pStyle w:val="ListParagraph"/>
        <w:numPr>
          <w:ilvl w:val="1"/>
          <w:numId w:val="13"/>
        </w:numPr>
        <w:tabs>
          <w:tab w:pos="2888" w:val="left" w:leader="none"/>
        </w:tabs>
        <w:spacing w:line="240" w:lineRule="auto" w:before="76" w:after="0"/>
        <w:ind w:left="2887" w:right="0" w:hanging="363"/>
        <w:jc w:val="left"/>
        <w:rPr>
          <w:sz w:val="18"/>
        </w:rPr>
      </w:pPr>
      <w:r>
        <w:rPr>
          <w:spacing w:val="12"/>
          <w:sz w:val="18"/>
        </w:rPr>
        <w:t>相当于</w:t>
      </w:r>
      <w:r>
        <w:rPr>
          <w:sz w:val="18"/>
        </w:rPr>
        <w:t>Ann Arbor</w:t>
      </w:r>
      <w:r>
        <w:rPr>
          <w:spacing w:val="-16"/>
          <w:sz w:val="18"/>
        </w:rPr>
        <w:t> 分期方案 </w:t>
      </w:r>
      <w:r>
        <w:rPr>
          <w:sz w:val="18"/>
        </w:rPr>
        <w:t>I</w:t>
      </w:r>
      <w:r>
        <w:rPr>
          <w:spacing w:val="-7"/>
          <w:sz w:val="18"/>
        </w:rPr>
        <w:t> 期程度的何杰金氏病；</w:t>
      </w:r>
    </w:p>
    <w:p>
      <w:pPr>
        <w:pStyle w:val="ListParagraph"/>
        <w:numPr>
          <w:ilvl w:val="1"/>
          <w:numId w:val="13"/>
        </w:numPr>
        <w:tabs>
          <w:tab w:pos="2888" w:val="left" w:leader="none"/>
        </w:tabs>
        <w:spacing w:line="240" w:lineRule="auto" w:before="76" w:after="0"/>
        <w:ind w:left="2887" w:right="0" w:hanging="363"/>
        <w:jc w:val="left"/>
        <w:rPr>
          <w:sz w:val="18"/>
        </w:rPr>
      </w:pPr>
      <w:r>
        <w:rPr>
          <w:sz w:val="18"/>
        </w:rPr>
        <w:t>皮肤癌（</w:t>
      </w:r>
      <w:r>
        <w:rPr>
          <w:spacing w:val="-1"/>
          <w:sz w:val="18"/>
        </w:rPr>
        <w:t>不包括恶性黑色素瘤及已发生转移的皮肤癌</w:t>
      </w:r>
      <w:r>
        <w:rPr>
          <w:spacing w:val="-92"/>
          <w:sz w:val="18"/>
        </w:rPr>
        <w:t>）</w:t>
      </w:r>
      <w:r>
        <w:rPr>
          <w:sz w:val="18"/>
        </w:rPr>
        <w:t>；</w:t>
      </w:r>
    </w:p>
    <w:p>
      <w:pPr>
        <w:pStyle w:val="ListParagraph"/>
        <w:numPr>
          <w:ilvl w:val="1"/>
          <w:numId w:val="13"/>
        </w:numPr>
        <w:tabs>
          <w:tab w:pos="2888" w:val="left" w:leader="none"/>
        </w:tabs>
        <w:spacing w:line="240" w:lineRule="auto" w:before="76" w:after="0"/>
        <w:ind w:left="2887" w:right="0" w:hanging="363"/>
        <w:jc w:val="left"/>
        <w:rPr>
          <w:sz w:val="18"/>
        </w:rPr>
      </w:pPr>
      <w:r>
        <w:rPr>
          <w:position w:val="1"/>
          <w:sz w:val="18"/>
        </w:rPr>
        <w:t>TNM</w:t>
      </w:r>
      <w:r>
        <w:rPr>
          <w:spacing w:val="-19"/>
          <w:position w:val="1"/>
          <w:sz w:val="18"/>
        </w:rPr>
        <w:t> 分期为 </w:t>
      </w:r>
      <w:r>
        <w:rPr>
          <w:position w:val="1"/>
          <w:sz w:val="18"/>
        </w:rPr>
        <w:t>T</w:t>
      </w:r>
      <w:r>
        <w:rPr>
          <w:sz w:val="9"/>
        </w:rPr>
        <w:t>1</w:t>
      </w:r>
      <w:r>
        <w:rPr>
          <w:position w:val="1"/>
          <w:sz w:val="18"/>
        </w:rPr>
        <w:t>N</w:t>
      </w:r>
      <w:r>
        <w:rPr>
          <w:sz w:val="9"/>
        </w:rPr>
        <w:t>0</w:t>
      </w:r>
      <w:r>
        <w:rPr>
          <w:position w:val="1"/>
          <w:sz w:val="18"/>
        </w:rPr>
        <w:t>M</w:t>
      </w:r>
      <w:r>
        <w:rPr>
          <w:sz w:val="9"/>
        </w:rPr>
        <w:t>0</w:t>
      </w:r>
      <w:r>
        <w:rPr>
          <w:spacing w:val="-36"/>
          <w:sz w:val="9"/>
        </w:rPr>
        <w:t> </w:t>
      </w:r>
      <w:r>
        <w:rPr>
          <w:spacing w:val="-1"/>
          <w:position w:val="1"/>
          <w:sz w:val="18"/>
        </w:rPr>
        <w:t>期或更轻分期的前列腺癌。</w:t>
      </w:r>
    </w:p>
    <w:p>
      <w:pPr>
        <w:pStyle w:val="BodyText"/>
        <w:spacing w:before="6"/>
        <w:rPr>
          <w:sz w:val="21"/>
        </w:rPr>
      </w:pPr>
    </w:p>
    <w:p>
      <w:pPr>
        <w:pStyle w:val="ListParagraph"/>
        <w:numPr>
          <w:ilvl w:val="0"/>
          <w:numId w:val="13"/>
        </w:numPr>
        <w:tabs>
          <w:tab w:pos="527" w:val="left" w:leader="none"/>
          <w:tab w:pos="529" w:val="left" w:leader="none"/>
          <w:tab w:pos="2524" w:val="left" w:leader="none"/>
        </w:tabs>
        <w:spacing w:line="240" w:lineRule="auto" w:before="1" w:after="0"/>
        <w:ind w:left="2524" w:right="0" w:hanging="2416"/>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3"/>
        </w:numPr>
        <w:tabs>
          <w:tab w:pos="2888" w:val="left" w:leader="none"/>
        </w:tabs>
        <w:spacing w:line="240" w:lineRule="auto" w:before="58" w:after="0"/>
        <w:ind w:left="2887" w:right="0" w:hanging="363"/>
        <w:jc w:val="left"/>
        <w:rPr>
          <w:sz w:val="18"/>
        </w:rPr>
      </w:pPr>
      <w:r>
        <w:rPr>
          <w:spacing w:val="-1"/>
          <w:sz w:val="18"/>
        </w:rPr>
        <w:t>典型临床表现，例如急性胸痛等；</w:t>
      </w:r>
    </w:p>
    <w:p>
      <w:pPr>
        <w:pStyle w:val="ListParagraph"/>
        <w:numPr>
          <w:ilvl w:val="1"/>
          <w:numId w:val="13"/>
        </w:numPr>
        <w:tabs>
          <w:tab w:pos="2888" w:val="left" w:leader="none"/>
        </w:tabs>
        <w:spacing w:line="240" w:lineRule="auto" w:before="76" w:after="0"/>
        <w:ind w:left="2887" w:right="0" w:hanging="363"/>
        <w:jc w:val="left"/>
        <w:rPr>
          <w:sz w:val="18"/>
        </w:rPr>
      </w:pPr>
      <w:r>
        <w:rPr>
          <w:spacing w:val="-1"/>
          <w:sz w:val="18"/>
        </w:rPr>
        <w:t>新近的心电图改变提示急性心肌梗塞；</w:t>
      </w:r>
    </w:p>
    <w:p>
      <w:pPr>
        <w:pStyle w:val="ListParagraph"/>
        <w:numPr>
          <w:ilvl w:val="1"/>
          <w:numId w:val="13"/>
        </w:numPr>
        <w:tabs>
          <w:tab w:pos="2888" w:val="left" w:leader="none"/>
        </w:tabs>
        <w:spacing w:line="240" w:lineRule="auto" w:before="76" w:after="0"/>
        <w:ind w:left="2887" w:right="0" w:hanging="363"/>
        <w:jc w:val="left"/>
        <w:rPr>
          <w:sz w:val="18"/>
        </w:rPr>
      </w:pPr>
      <w:r>
        <w:rPr>
          <w:spacing w:val="-1"/>
          <w:sz w:val="18"/>
        </w:rPr>
        <w:t>心肌酶或肌钙蛋白有诊断意义的升高，或呈符合急性心肌梗塞的动态性变化；</w:t>
      </w:r>
    </w:p>
    <w:p>
      <w:pPr>
        <w:pStyle w:val="ListParagraph"/>
        <w:numPr>
          <w:ilvl w:val="1"/>
          <w:numId w:val="13"/>
        </w:numPr>
        <w:tabs>
          <w:tab w:pos="2888" w:val="left" w:leader="none"/>
        </w:tabs>
        <w:spacing w:line="240" w:lineRule="auto" w:before="76" w:after="0"/>
        <w:ind w:left="2887" w:right="0" w:hanging="363"/>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8"/>
        <w:rPr>
          <w:sz w:val="21"/>
        </w:rPr>
      </w:pPr>
    </w:p>
    <w:p>
      <w:pPr>
        <w:pStyle w:val="ListParagraph"/>
        <w:numPr>
          <w:ilvl w:val="0"/>
          <w:numId w:val="13"/>
        </w:numPr>
        <w:tabs>
          <w:tab w:pos="529" w:val="left" w:leader="none"/>
        </w:tabs>
        <w:spacing w:line="290" w:lineRule="auto" w:before="0" w:after="0"/>
        <w:ind w:left="2524" w:right="114" w:hanging="2416"/>
        <w:jc w:val="both"/>
        <w:rPr>
          <w:sz w:val="18"/>
        </w:rPr>
      </w:pPr>
      <w:r>
        <w:rPr>
          <w:b/>
          <w:spacing w:val="7"/>
          <w:sz w:val="21"/>
        </w:rPr>
        <w:t>脑中风后遗症     </w:t>
      </w:r>
      <w:r>
        <w:rPr>
          <w:spacing w:val="-3"/>
          <w:position w:val="1"/>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888" w:val="left" w:leader="none"/>
        </w:tabs>
        <w:spacing w:line="240" w:lineRule="auto" w:before="38" w:after="0"/>
        <w:ind w:left="2831"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r>
        <w:rPr>
          <w:sz w:val="18"/>
        </w:rPr>
        <w:t>；</w:t>
      </w:r>
    </w:p>
    <w:p>
      <w:pPr>
        <w:pStyle w:val="ListParagraph"/>
        <w:numPr>
          <w:ilvl w:val="1"/>
          <w:numId w:val="13"/>
        </w:numPr>
        <w:tabs>
          <w:tab w:pos="2885" w:val="left" w:leader="none"/>
        </w:tabs>
        <w:spacing w:line="240" w:lineRule="auto" w:before="76" w:after="0"/>
        <w:ind w:left="2884" w:right="0" w:hanging="360"/>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2"/>
          <w:sz w:val="18"/>
        </w:rPr>
        <w:t>）</w:t>
      </w:r>
      <w:r>
        <w:rPr>
          <w:sz w:val="18"/>
        </w:rPr>
        <w:t>；</w:t>
      </w:r>
    </w:p>
    <w:p>
      <w:pPr>
        <w:pStyle w:val="ListParagraph"/>
        <w:numPr>
          <w:ilvl w:val="1"/>
          <w:numId w:val="13"/>
        </w:numPr>
        <w:tabs>
          <w:tab w:pos="2888" w:val="left" w:leader="none"/>
        </w:tabs>
        <w:spacing w:line="316" w:lineRule="auto" w:before="76" w:after="0"/>
        <w:ind w:left="2831" w:right="117"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p>
      <w:pPr>
        <w:pStyle w:val="BodyText"/>
        <w:spacing w:before="6"/>
        <w:rPr>
          <w:sz w:val="14"/>
        </w:rPr>
      </w:pPr>
    </w:p>
    <w:p>
      <w:pPr>
        <w:spacing w:after="0"/>
        <w:rPr>
          <w:sz w:val="14"/>
        </w:rPr>
        <w:sectPr>
          <w:pgSz w:w="11910" w:h="16840"/>
          <w:pgMar w:header="877" w:footer="977" w:top="1100" w:bottom="1160" w:left="1080" w:right="840"/>
        </w:sectPr>
      </w:pPr>
    </w:p>
    <w:p>
      <w:pPr>
        <w:pStyle w:val="Heading3"/>
        <w:numPr>
          <w:ilvl w:val="0"/>
          <w:numId w:val="13"/>
        </w:numPr>
        <w:tabs>
          <w:tab w:pos="527" w:val="left" w:leader="none"/>
          <w:tab w:pos="529" w:val="left" w:leader="none"/>
        </w:tabs>
        <w:spacing w:line="273" w:lineRule="auto" w:before="37" w:after="0"/>
        <w:ind w:left="528" w:right="0" w:hanging="420"/>
        <w:jc w:val="left"/>
      </w:pPr>
      <w:r>
        <w:rPr>
          <w:spacing w:val="8"/>
        </w:rPr>
        <w:t>重大器官移植术或造血干细胞移植术</w:t>
      </w:r>
    </w:p>
    <w:p>
      <w:pPr>
        <w:pStyle w:val="BodyText"/>
        <w:spacing w:line="319" w:lineRule="auto" w:before="57"/>
        <w:ind w:left="108" w:right="117"/>
      </w:pPr>
      <w:r>
        <w:rPr/>
        <w:br w:type="column"/>
      </w:r>
      <w:r>
        <w:rPr>
          <w:spacing w:val="-5"/>
        </w:rPr>
        <w:t>重大器官移植术，指因相应器官功能衰竭，已经实施了肾脏、肝脏、心脏或肺脏的异体移植手术。</w:t>
      </w:r>
    </w:p>
    <w:p>
      <w:pPr>
        <w:pStyle w:val="BodyText"/>
        <w:spacing w:line="316" w:lineRule="auto" w:before="16"/>
        <w:ind w:left="108" w:right="68"/>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60" w:left="1080" w:right="840"/>
          <w:cols w:num="2" w:equalWidth="0">
            <w:col w:w="2312" w:space="105"/>
            <w:col w:w="7573"/>
          </w:cols>
        </w:sectPr>
      </w:pPr>
    </w:p>
    <w:p>
      <w:pPr>
        <w:pStyle w:val="BodyText"/>
        <w:spacing w:before="4"/>
        <w:rPr>
          <w:sz w:val="14"/>
        </w:rPr>
      </w:pPr>
    </w:p>
    <w:p>
      <w:pPr>
        <w:pStyle w:val="ListParagraph"/>
        <w:numPr>
          <w:ilvl w:val="0"/>
          <w:numId w:val="13"/>
        </w:numPr>
        <w:tabs>
          <w:tab w:pos="527" w:val="left" w:leader="none"/>
          <w:tab w:pos="529" w:val="left" w:leader="none"/>
          <w:tab w:pos="2524" w:val="left" w:leader="none"/>
        </w:tabs>
        <w:spacing w:line="240" w:lineRule="auto" w:before="36" w:after="0"/>
        <w:ind w:left="2524" w:right="0" w:hanging="2416"/>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9" w:lineRule="auto" w:before="57"/>
        <w:ind w:left="2524" w:right="79"/>
      </w:pPr>
      <w:r>
        <w:rPr/>
        <w:t>冠状动脉支架植入术、心导管球囊扩张术、激光射频技术及其它非开胸的介入手术、腔镜手术不在保障范围内。</w:t>
      </w:r>
    </w:p>
    <w:p>
      <w:pPr>
        <w:pStyle w:val="BodyText"/>
        <w:spacing w:before="1"/>
        <w:rPr>
          <w:sz w:val="17"/>
        </w:rPr>
      </w:pPr>
    </w:p>
    <w:p>
      <w:pPr>
        <w:pStyle w:val="ListParagraph"/>
        <w:numPr>
          <w:ilvl w:val="0"/>
          <w:numId w:val="13"/>
        </w:numPr>
        <w:tabs>
          <w:tab w:pos="527" w:val="left" w:leader="none"/>
          <w:tab w:pos="529" w:val="left" w:leader="none"/>
          <w:tab w:pos="2524" w:val="left" w:leader="none"/>
        </w:tabs>
        <w:spacing w:line="290" w:lineRule="auto" w:before="0" w:after="0"/>
        <w:ind w:left="2524" w:right="167" w:hanging="2416"/>
        <w:jc w:val="left"/>
        <w:rPr>
          <w:sz w:val="18"/>
        </w:rPr>
      </w:pPr>
      <w:r>
        <w:rPr>
          <w:b/>
          <w:sz w:val="21"/>
        </w:rPr>
        <w:t>终末期肾病</w:t>
        <w:tab/>
      </w:r>
      <w:r>
        <w:rPr>
          <w:position w:val="1"/>
          <w:sz w:val="18"/>
        </w:rPr>
        <w:t>指双肾功能慢性不可逆性衰竭，达到尿毒症期，经诊断后已经进行了至少</w:t>
      </w:r>
      <w:r>
        <w:rPr>
          <w:spacing w:val="-45"/>
          <w:position w:val="1"/>
          <w:sz w:val="18"/>
        </w:rPr>
        <w:t> </w:t>
      </w:r>
      <w:r>
        <w:rPr>
          <w:position w:val="1"/>
          <w:sz w:val="18"/>
        </w:rPr>
        <w:t>90</w:t>
      </w:r>
      <w:r>
        <w:rPr>
          <w:spacing w:val="-44"/>
          <w:position w:val="1"/>
          <w:sz w:val="18"/>
        </w:rPr>
        <w:t> </w:t>
      </w:r>
      <w:r>
        <w:rPr>
          <w:position w:val="1"/>
          <w:sz w:val="18"/>
        </w:rPr>
        <w:t>天的规律性</w:t>
      </w:r>
      <w:r>
        <w:rPr>
          <w:spacing w:val="-3"/>
          <w:position w:val="1"/>
          <w:sz w:val="18"/>
        </w:rPr>
        <w:t>透</w:t>
      </w:r>
      <w:r>
        <w:rPr>
          <w:position w:val="1"/>
          <w:sz w:val="18"/>
        </w:rPr>
        <w:t>析</w:t>
      </w:r>
      <w:r>
        <w:rPr>
          <w:sz w:val="18"/>
        </w:rPr>
        <w:t>治疗或实施了肾脏移植手术。</w:t>
      </w:r>
    </w:p>
    <w:p>
      <w:pPr>
        <w:pStyle w:val="BodyText"/>
        <w:spacing w:before="7"/>
      </w:pPr>
    </w:p>
    <w:p>
      <w:pPr>
        <w:pStyle w:val="ListParagraph"/>
        <w:numPr>
          <w:ilvl w:val="0"/>
          <w:numId w:val="13"/>
        </w:numPr>
        <w:tabs>
          <w:tab w:pos="527" w:val="left" w:leader="none"/>
          <w:tab w:pos="529" w:val="left" w:leader="none"/>
          <w:tab w:pos="2524" w:val="left" w:leader="none"/>
        </w:tabs>
        <w:spacing w:line="290" w:lineRule="auto" w:before="0" w:after="0"/>
        <w:ind w:left="2524" w:right="117" w:hanging="2416"/>
        <w:jc w:val="left"/>
        <w:rPr>
          <w:sz w:val="18"/>
        </w:rPr>
      </w:pPr>
      <w:r>
        <w:rPr>
          <w:b/>
          <w:sz w:val="21"/>
        </w:rPr>
        <w:t>多个肢体缺失</w:t>
        <w:tab/>
      </w:r>
      <w:r>
        <w:rPr>
          <w:position w:val="1"/>
          <w:sz w:val="18"/>
        </w:rPr>
        <w:t>指因疾病或意外伤害导致两个或两个以上肢体自腕关节或踝关节近</w:t>
      </w:r>
      <w:r>
        <w:rPr>
          <w:spacing w:val="-20"/>
          <w:position w:val="1"/>
          <w:sz w:val="18"/>
        </w:rPr>
        <w:t>端</w:t>
      </w:r>
      <w:r>
        <w:rPr>
          <w:position w:val="1"/>
          <w:sz w:val="18"/>
        </w:rPr>
        <w:t>（靠近躯干端</w:t>
      </w:r>
      <w:r>
        <w:rPr>
          <w:spacing w:val="-20"/>
          <w:position w:val="1"/>
          <w:sz w:val="18"/>
        </w:rPr>
        <w:t>）</w:t>
      </w:r>
      <w:r>
        <w:rPr>
          <w:position w:val="1"/>
          <w:sz w:val="18"/>
        </w:rPr>
        <w:t>以上完全</w:t>
      </w:r>
      <w:r>
        <w:rPr>
          <w:sz w:val="18"/>
        </w:rPr>
        <w:t>性断离。</w:t>
      </w:r>
    </w:p>
    <w:p>
      <w:pPr>
        <w:pStyle w:val="BodyText"/>
        <w:spacing w:before="12"/>
        <w:rPr>
          <w:sz w:val="15"/>
        </w:rPr>
      </w:pPr>
    </w:p>
    <w:p>
      <w:pPr>
        <w:spacing w:after="0"/>
        <w:rPr>
          <w:sz w:val="15"/>
        </w:rPr>
        <w:sectPr>
          <w:type w:val="continuous"/>
          <w:pgSz w:w="11910" w:h="16840"/>
          <w:pgMar w:top="1040" w:bottom="1160" w:left="1080" w:right="840"/>
        </w:sectPr>
      </w:pPr>
    </w:p>
    <w:p>
      <w:pPr>
        <w:pStyle w:val="Heading3"/>
        <w:numPr>
          <w:ilvl w:val="0"/>
          <w:numId w:val="13"/>
        </w:numPr>
        <w:tabs>
          <w:tab w:pos="527" w:val="left" w:leader="none"/>
          <w:tab w:pos="529" w:val="left" w:leader="none"/>
        </w:tabs>
        <w:spacing w:line="273" w:lineRule="auto" w:before="37" w:after="0"/>
        <w:ind w:left="528" w:right="0" w:hanging="420"/>
        <w:jc w:val="left"/>
      </w:pPr>
      <w:r>
        <w:rPr>
          <w:spacing w:val="8"/>
        </w:rPr>
        <w:t>急性或亚急性重症肝炎</w:t>
      </w:r>
    </w:p>
    <w:p>
      <w:pPr>
        <w:pStyle w:val="BodyText"/>
        <w:spacing w:line="316" w:lineRule="auto" w:before="57"/>
        <w:ind w:left="108"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60" w:left="1080" w:right="840"/>
          <w:cols w:num="2" w:equalWidth="0">
            <w:col w:w="2312" w:space="105"/>
            <w:col w:w="7573"/>
          </w:cols>
        </w:sectPr>
      </w:pPr>
    </w:p>
    <w:p>
      <w:pPr>
        <w:pStyle w:val="BodyText"/>
        <w:spacing w:before="1"/>
        <w:rPr>
          <w:sz w:val="20"/>
        </w:rPr>
      </w:pPr>
    </w:p>
    <w:p>
      <w:pPr>
        <w:pStyle w:val="ListParagraph"/>
        <w:numPr>
          <w:ilvl w:val="1"/>
          <w:numId w:val="13"/>
        </w:numPr>
        <w:tabs>
          <w:tab w:pos="2921" w:val="left" w:leader="none"/>
        </w:tabs>
        <w:spacing w:line="240" w:lineRule="auto" w:before="45" w:after="0"/>
        <w:ind w:left="2920" w:right="0" w:hanging="396"/>
        <w:jc w:val="left"/>
        <w:rPr>
          <w:sz w:val="18"/>
        </w:rPr>
      </w:pPr>
      <w:r>
        <w:rPr>
          <w:sz w:val="18"/>
        </w:rPr>
        <w:t>重度黄疸或黄疸迅速加重；</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肝性脑病；</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B</w:t>
      </w:r>
      <w:r>
        <w:rPr>
          <w:spacing w:val="-7"/>
          <w:sz w:val="18"/>
        </w:rPr>
        <w:t> 超或其他影像学检查显示肝脏体积急速萎缩；</w:t>
      </w:r>
    </w:p>
    <w:p>
      <w:pPr>
        <w:pStyle w:val="ListParagraph"/>
        <w:numPr>
          <w:ilvl w:val="1"/>
          <w:numId w:val="13"/>
        </w:numPr>
        <w:tabs>
          <w:tab w:pos="2888" w:val="left" w:leader="none"/>
        </w:tabs>
        <w:spacing w:line="240" w:lineRule="auto" w:before="75" w:after="0"/>
        <w:ind w:left="2887" w:right="0" w:hanging="363"/>
        <w:jc w:val="left"/>
        <w:rPr>
          <w:sz w:val="18"/>
        </w:rPr>
      </w:pPr>
      <w:r>
        <w:rPr>
          <w:sz w:val="18"/>
        </w:rPr>
        <w:t>肝功能指标进行性恶化。</w:t>
      </w:r>
    </w:p>
    <w:p>
      <w:pPr>
        <w:pStyle w:val="BodyText"/>
        <w:spacing w:before="5"/>
        <w:rPr>
          <w:sz w:val="21"/>
        </w:rPr>
      </w:pPr>
    </w:p>
    <w:p>
      <w:pPr>
        <w:pStyle w:val="ListParagraph"/>
        <w:numPr>
          <w:ilvl w:val="0"/>
          <w:numId w:val="13"/>
        </w:numPr>
        <w:tabs>
          <w:tab w:pos="529" w:val="left" w:leader="none"/>
        </w:tabs>
        <w:spacing w:line="302" w:lineRule="auto" w:before="1" w:after="0"/>
        <w:ind w:left="2524" w:right="137" w:hanging="2416"/>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5"/>
          <w:sz w:val="18"/>
        </w:rPr>
        <w:t>等，并危及生命。须由头颅断层扫描</w:t>
      </w:r>
      <w:r>
        <w:rPr>
          <w:sz w:val="18"/>
        </w:rPr>
        <w:t>（</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或正电子发射断层扫描（PET）</w:t>
      </w:r>
      <w:r>
        <w:rPr>
          <w:spacing w:val="-2"/>
          <w:sz w:val="18"/>
        </w:rPr>
        <w:t>等影像学检查证实，并须满足下列至少一项条件：</w:t>
      </w:r>
    </w:p>
    <w:p>
      <w:pPr>
        <w:pStyle w:val="ListParagraph"/>
        <w:numPr>
          <w:ilvl w:val="1"/>
          <w:numId w:val="13"/>
        </w:numPr>
        <w:tabs>
          <w:tab w:pos="2921" w:val="left" w:leader="none"/>
        </w:tabs>
        <w:spacing w:line="240" w:lineRule="auto" w:before="30" w:after="0"/>
        <w:ind w:left="2920" w:right="0" w:hanging="396"/>
        <w:jc w:val="left"/>
        <w:rPr>
          <w:sz w:val="18"/>
        </w:rPr>
      </w:pPr>
      <w:r>
        <w:rPr>
          <w:sz w:val="18"/>
        </w:rPr>
        <w:t>实际实施了开颅进行的脑肿瘤完全切除或部分切除的手术；</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实际实施了对脑肿瘤进行的放射治疗。</w:t>
      </w:r>
    </w:p>
    <w:p>
      <w:pPr>
        <w:pStyle w:val="BodyText"/>
        <w:ind w:left="2524"/>
      </w:pPr>
      <w:r>
        <w:rPr/>
        <w:t>脑垂体瘤、脑囊肿、脑血管性疾病不在保障范围内。</w:t>
      </w:r>
    </w:p>
    <w:p>
      <w:pPr>
        <w:pStyle w:val="BodyText"/>
        <w:spacing w:before="12"/>
      </w:pPr>
    </w:p>
    <w:p>
      <w:pPr>
        <w:spacing w:after="0"/>
        <w:sectPr>
          <w:footerReference w:type="default" r:id="rId10"/>
          <w:pgSz w:w="11910" w:h="16840"/>
          <w:pgMar w:footer="977" w:header="877" w:top="1100" w:bottom="1160" w:left="1080" w:right="820"/>
          <w:pgNumType w:start="10"/>
        </w:sectPr>
      </w:pPr>
    </w:p>
    <w:p>
      <w:pPr>
        <w:pStyle w:val="Heading3"/>
        <w:numPr>
          <w:ilvl w:val="0"/>
          <w:numId w:val="13"/>
        </w:numPr>
        <w:tabs>
          <w:tab w:pos="529" w:val="left" w:leader="none"/>
        </w:tabs>
        <w:spacing w:line="273" w:lineRule="auto" w:before="36" w:after="0"/>
        <w:ind w:left="528" w:right="0" w:hanging="420"/>
        <w:jc w:val="left"/>
      </w:pPr>
      <w:r>
        <w:rPr>
          <w:spacing w:val="8"/>
        </w:rPr>
        <w:t>慢性肝功能衰竭失代偿期</w:t>
      </w:r>
    </w:p>
    <w:p>
      <w:pPr>
        <w:pStyle w:val="BodyText"/>
        <w:spacing w:before="57"/>
        <w:ind w:left="108"/>
      </w:pPr>
      <w:r>
        <w:rPr/>
        <w:br w:type="column"/>
      </w:r>
      <w:r>
        <w:rPr/>
        <w:t>指因慢性肝脏疾病导致肝功能衰竭。须满足下列全部条件：</w:t>
      </w:r>
    </w:p>
    <w:p>
      <w:pPr>
        <w:pStyle w:val="ListParagraph"/>
        <w:numPr>
          <w:ilvl w:val="0"/>
          <w:numId w:val="14"/>
        </w:numPr>
        <w:tabs>
          <w:tab w:pos="504" w:val="left" w:leader="none"/>
        </w:tabs>
        <w:spacing w:line="240" w:lineRule="auto" w:before="76" w:after="0"/>
        <w:ind w:left="108" w:right="0" w:firstLine="0"/>
        <w:jc w:val="left"/>
        <w:rPr>
          <w:sz w:val="18"/>
        </w:rPr>
      </w:pPr>
      <w:r>
        <w:rPr>
          <w:sz w:val="18"/>
        </w:rPr>
        <w:t>持续性黄疸；</w:t>
      </w:r>
    </w:p>
    <w:p>
      <w:pPr>
        <w:pStyle w:val="ListParagraph"/>
        <w:numPr>
          <w:ilvl w:val="0"/>
          <w:numId w:val="14"/>
        </w:numPr>
        <w:tabs>
          <w:tab w:pos="504" w:val="left" w:leader="none"/>
        </w:tabs>
        <w:spacing w:line="240" w:lineRule="auto" w:before="75" w:after="0"/>
        <w:ind w:left="108" w:right="0" w:firstLine="0"/>
        <w:jc w:val="left"/>
        <w:rPr>
          <w:sz w:val="18"/>
        </w:rPr>
      </w:pPr>
      <w:r>
        <w:rPr>
          <w:sz w:val="18"/>
        </w:rPr>
        <w:t>腹水；</w:t>
      </w:r>
    </w:p>
    <w:p>
      <w:pPr>
        <w:pStyle w:val="ListParagraph"/>
        <w:numPr>
          <w:ilvl w:val="0"/>
          <w:numId w:val="14"/>
        </w:numPr>
        <w:tabs>
          <w:tab w:pos="504" w:val="left" w:leader="none"/>
        </w:tabs>
        <w:spacing w:line="240" w:lineRule="auto" w:before="75" w:after="0"/>
        <w:ind w:left="108" w:right="0" w:firstLine="0"/>
        <w:jc w:val="left"/>
        <w:rPr>
          <w:sz w:val="18"/>
        </w:rPr>
      </w:pPr>
      <w:r>
        <w:rPr>
          <w:sz w:val="18"/>
        </w:rPr>
        <w:t>肝性脑病；</w:t>
      </w:r>
    </w:p>
    <w:p>
      <w:pPr>
        <w:pStyle w:val="ListParagraph"/>
        <w:numPr>
          <w:ilvl w:val="0"/>
          <w:numId w:val="14"/>
        </w:numPr>
        <w:tabs>
          <w:tab w:pos="504" w:val="left" w:leader="none"/>
        </w:tabs>
        <w:spacing w:line="316" w:lineRule="auto" w:before="76" w:after="0"/>
        <w:ind w:left="108" w:right="312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60" w:left="1080" w:right="820"/>
          <w:cols w:num="2" w:equalWidth="0">
            <w:col w:w="2312" w:space="105"/>
            <w:col w:w="7593"/>
          </w:cols>
        </w:sectPr>
      </w:pPr>
    </w:p>
    <w:p>
      <w:pPr>
        <w:pStyle w:val="BodyText"/>
        <w:spacing w:before="6"/>
        <w:rPr>
          <w:sz w:val="14"/>
        </w:rPr>
      </w:pPr>
    </w:p>
    <w:p>
      <w:pPr>
        <w:spacing w:after="0"/>
        <w:rPr>
          <w:sz w:val="14"/>
        </w:rPr>
        <w:sectPr>
          <w:type w:val="continuous"/>
          <w:pgSz w:w="11910" w:h="16840"/>
          <w:pgMar w:top="1040" w:bottom="1160" w:left="1080" w:right="820"/>
        </w:sectPr>
      </w:pPr>
    </w:p>
    <w:p>
      <w:pPr>
        <w:pStyle w:val="Heading3"/>
        <w:numPr>
          <w:ilvl w:val="0"/>
          <w:numId w:val="13"/>
        </w:numPr>
        <w:tabs>
          <w:tab w:pos="529" w:val="left" w:leader="none"/>
        </w:tabs>
        <w:spacing w:line="273" w:lineRule="auto" w:before="37" w:after="0"/>
        <w:ind w:left="528" w:right="0" w:hanging="420"/>
        <w:jc w:val="left"/>
      </w:pPr>
      <w:r>
        <w:rPr>
          <w:spacing w:val="8"/>
        </w:rPr>
        <w:t>脑炎后遗症或脑膜炎后遗症</w:t>
      </w:r>
    </w:p>
    <w:p>
      <w:pPr>
        <w:pStyle w:val="BodyText"/>
        <w:spacing w:line="316" w:lineRule="auto" w:before="57"/>
        <w:ind w:left="108"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504" w:val="left" w:leader="none"/>
        </w:tabs>
        <w:spacing w:line="240" w:lineRule="auto" w:before="18" w:after="0"/>
        <w:ind w:left="504" w:right="0" w:hanging="396"/>
        <w:jc w:val="left"/>
        <w:rPr>
          <w:sz w:val="18"/>
        </w:rPr>
      </w:pPr>
      <w:r>
        <w:rPr>
          <w:sz w:val="18"/>
        </w:rPr>
        <w:t>一肢或一肢以上肢体机能完全丧失；</w:t>
      </w:r>
    </w:p>
    <w:p>
      <w:pPr>
        <w:pStyle w:val="ListParagraph"/>
        <w:numPr>
          <w:ilvl w:val="0"/>
          <w:numId w:val="15"/>
        </w:numPr>
        <w:tabs>
          <w:tab w:pos="504" w:val="left" w:leader="none"/>
        </w:tabs>
        <w:spacing w:line="240" w:lineRule="auto" w:before="76" w:after="0"/>
        <w:ind w:left="504" w:right="0" w:hanging="396"/>
        <w:jc w:val="left"/>
        <w:rPr>
          <w:sz w:val="18"/>
        </w:rPr>
      </w:pPr>
      <w:r>
        <w:rPr>
          <w:sz w:val="18"/>
        </w:rPr>
        <w:t>语言能力或咀嚼吞咽能力完全丧失；</w:t>
      </w:r>
    </w:p>
    <w:p>
      <w:pPr>
        <w:pStyle w:val="ListParagraph"/>
        <w:numPr>
          <w:ilvl w:val="0"/>
          <w:numId w:val="15"/>
        </w:numPr>
        <w:tabs>
          <w:tab w:pos="471" w:val="left" w:leader="none"/>
        </w:tabs>
        <w:spacing w:line="240" w:lineRule="auto" w:before="76" w:after="0"/>
        <w:ind w:left="470" w:right="0" w:hanging="362"/>
        <w:jc w:val="left"/>
        <w:rPr>
          <w:sz w:val="18"/>
        </w:rPr>
      </w:pPr>
      <w:r>
        <w:rPr>
          <w:spacing w:val="-1"/>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60" w:left="1080" w:right="820"/>
          <w:cols w:num="2" w:equalWidth="0">
            <w:col w:w="2312" w:space="105"/>
            <w:col w:w="7593"/>
          </w:cols>
        </w:sectPr>
      </w:pPr>
    </w:p>
    <w:p>
      <w:pPr>
        <w:pStyle w:val="BodyText"/>
        <w:spacing w:before="9"/>
      </w:pPr>
    </w:p>
    <w:p>
      <w:pPr>
        <w:pStyle w:val="ListParagraph"/>
        <w:numPr>
          <w:ilvl w:val="0"/>
          <w:numId w:val="13"/>
        </w:numPr>
        <w:tabs>
          <w:tab w:pos="529" w:val="left" w:leader="none"/>
          <w:tab w:pos="2524" w:val="left" w:leader="none"/>
        </w:tabs>
        <w:spacing w:line="302" w:lineRule="auto" w:before="36" w:after="0"/>
        <w:ind w:left="2524" w:right="134" w:hanging="2416"/>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21"/>
          <w:sz w:val="18"/>
        </w:rPr>
        <w:t> </w:t>
      </w:r>
      <w:r>
        <w:rPr>
          <w:sz w:val="18"/>
        </w:rPr>
        <w:t>coma</w:t>
      </w:r>
      <w:r>
        <w:rPr>
          <w:spacing w:val="-21"/>
          <w:sz w:val="18"/>
        </w:rPr>
        <w:t> </w:t>
      </w:r>
      <w:r>
        <w:rPr>
          <w:sz w:val="18"/>
        </w:rPr>
        <w:t>scale）结果为</w:t>
      </w:r>
      <w:r>
        <w:rPr>
          <w:spacing w:val="-46"/>
          <w:sz w:val="18"/>
        </w:rPr>
        <w:t> </w:t>
      </w:r>
      <w:r>
        <w:rPr>
          <w:sz w:val="18"/>
        </w:rPr>
        <w:t>5</w:t>
      </w:r>
      <w:r>
        <w:rPr>
          <w:spacing w:val="-45"/>
          <w:sz w:val="18"/>
        </w:rPr>
        <w:t> </w:t>
      </w:r>
      <w:r>
        <w:rPr>
          <w:spacing w:val="-3"/>
          <w:sz w:val="18"/>
        </w:rPr>
        <w:t>分</w:t>
      </w:r>
      <w:r>
        <w:rPr>
          <w:sz w:val="18"/>
        </w:rPr>
        <w:t>或</w:t>
      </w:r>
      <w:r>
        <w:rPr>
          <w:spacing w:val="-46"/>
          <w:sz w:val="18"/>
        </w:rPr>
        <w:t> </w:t>
      </w:r>
      <w:r>
        <w:rPr>
          <w:sz w:val="18"/>
        </w:rPr>
        <w:t>5</w:t>
      </w:r>
      <w:r>
        <w:rPr>
          <w:spacing w:val="-45"/>
          <w:sz w:val="18"/>
        </w:rPr>
        <w:t> </w:t>
      </w:r>
      <w:r>
        <w:rPr>
          <w:sz w:val="18"/>
        </w:rPr>
        <w:t>分以下，</w:t>
      </w:r>
      <w:r>
        <w:rPr>
          <w:spacing w:val="-3"/>
          <w:sz w:val="18"/>
        </w:rPr>
        <w:t>且</w:t>
      </w:r>
      <w:r>
        <w:rPr>
          <w:sz w:val="18"/>
        </w:rPr>
        <w:t>已经持续使用呼吸机及其它生命维持系统</w:t>
      </w:r>
      <w:r>
        <w:rPr>
          <w:spacing w:val="-45"/>
          <w:sz w:val="18"/>
        </w:rPr>
        <w:t> </w:t>
      </w:r>
      <w:r>
        <w:rPr>
          <w:sz w:val="18"/>
        </w:rPr>
        <w:t>96</w:t>
      </w:r>
      <w:r>
        <w:rPr>
          <w:spacing w:val="-42"/>
          <w:sz w:val="18"/>
        </w:rPr>
        <w:t> </w:t>
      </w:r>
      <w:r>
        <w:rPr>
          <w:sz w:val="18"/>
        </w:rPr>
        <w:t>小时以上。</w:t>
      </w:r>
    </w:p>
    <w:p>
      <w:pPr>
        <w:pStyle w:val="BodyText"/>
        <w:spacing w:before="29"/>
        <w:ind w:left="2524"/>
      </w:pPr>
      <w:r>
        <w:rPr/>
        <w:t>因酗酒或药物滥用导致的深度昏迷不在保障范围内。</w:t>
      </w:r>
    </w:p>
    <w:p>
      <w:pPr>
        <w:pStyle w:val="BodyText"/>
        <w:spacing w:before="9"/>
        <w:rPr>
          <w:sz w:val="21"/>
        </w:rPr>
      </w:pPr>
    </w:p>
    <w:p>
      <w:pPr>
        <w:pStyle w:val="ListParagraph"/>
        <w:numPr>
          <w:ilvl w:val="0"/>
          <w:numId w:val="13"/>
        </w:numPr>
        <w:tabs>
          <w:tab w:pos="529" w:val="left" w:leader="none"/>
          <w:tab w:pos="2524" w:val="left" w:leader="none"/>
        </w:tabs>
        <w:spacing w:line="302" w:lineRule="auto" w:before="0" w:after="0"/>
        <w:ind w:left="2524" w:right="134" w:hanging="2416"/>
        <w:jc w:val="both"/>
        <w:rPr>
          <w:sz w:val="18"/>
        </w:rPr>
      </w:pPr>
      <w:r>
        <w:rPr>
          <w:b/>
          <w:sz w:val="21"/>
        </w:rPr>
        <w:t>双耳失聪</w:t>
        <w:tab/>
      </w:r>
      <w:r>
        <w:rPr>
          <w:position w:val="1"/>
          <w:sz w:val="18"/>
        </w:rPr>
        <w:t>指因疾病或意外伤害导致双耳听力</w:t>
      </w:r>
      <w:r>
        <w:rPr>
          <w:b/>
          <w:position w:val="1"/>
          <w:sz w:val="18"/>
        </w:rPr>
        <w:t>永久不可</w:t>
      </w:r>
      <w:r>
        <w:rPr>
          <w:b/>
          <w:spacing w:val="-22"/>
          <w:position w:val="1"/>
          <w:sz w:val="18"/>
        </w:rPr>
        <w:t>逆</w:t>
      </w:r>
      <w:r>
        <w:rPr>
          <w:position w:val="1"/>
          <w:sz w:val="18"/>
        </w:rPr>
        <w:t>（注</w:t>
      </w:r>
      <w:r>
        <w:rPr>
          <w:spacing w:val="-46"/>
          <w:position w:val="1"/>
          <w:sz w:val="18"/>
        </w:rPr>
        <w:t> </w:t>
      </w:r>
      <w:r>
        <w:rPr>
          <w:spacing w:val="-11"/>
          <w:position w:val="1"/>
          <w:sz w:val="18"/>
        </w:rPr>
        <w:t>6）</w:t>
      </w:r>
      <w:r>
        <w:rPr>
          <w:position w:val="1"/>
          <w:sz w:val="18"/>
        </w:rPr>
        <w:t>性丧</w:t>
      </w:r>
      <w:r>
        <w:rPr>
          <w:spacing w:val="-3"/>
          <w:position w:val="1"/>
          <w:sz w:val="18"/>
        </w:rPr>
        <w:t>失</w:t>
      </w:r>
      <w:r>
        <w:rPr>
          <w:spacing w:val="-22"/>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2"/>
          <w:position w:val="1"/>
          <w:sz w:val="18"/>
        </w:rPr>
        <w:t>、</w:t>
      </w:r>
      <w:r>
        <w:rPr>
          <w:position w:val="1"/>
          <w:sz w:val="18"/>
        </w:rPr>
        <w:t>1000</w:t>
      </w:r>
      <w:r>
        <w:rPr>
          <w:spacing w:val="-45"/>
          <w:position w:val="1"/>
          <w:sz w:val="18"/>
        </w:rPr>
        <w:t> </w:t>
      </w:r>
      <w:r>
        <w:rPr>
          <w:position w:val="1"/>
          <w:sz w:val="18"/>
        </w:rPr>
        <w:t>赫兹和</w:t>
      </w:r>
      <w:r>
        <w:rPr>
          <w:spacing w:val="-48"/>
          <w:position w:val="1"/>
          <w:sz w:val="18"/>
        </w:rPr>
        <w:t> </w:t>
      </w:r>
      <w:r>
        <w:rPr>
          <w:position w:val="1"/>
          <w:sz w:val="18"/>
        </w:rPr>
        <w:t>2000</w:t>
      </w:r>
      <w:r>
        <w:rPr>
          <w:sz w:val="18"/>
        </w:rPr>
        <w:t>赫兹语音频率下，平均听阈大于</w:t>
      </w:r>
      <w:r>
        <w:rPr>
          <w:spacing w:val="-45"/>
          <w:sz w:val="18"/>
        </w:rPr>
        <w:t> </w:t>
      </w:r>
      <w:r>
        <w:rPr>
          <w:sz w:val="18"/>
        </w:rPr>
        <w:t>90</w:t>
      </w:r>
      <w:r>
        <w:rPr>
          <w:spacing w:val="-42"/>
          <w:sz w:val="18"/>
        </w:rPr>
        <w:t> </w:t>
      </w:r>
      <w:r>
        <w:rPr>
          <w:sz w:val="18"/>
        </w:rPr>
        <w:t>分贝，且经纯音听力测</w:t>
      </w:r>
      <w:r>
        <w:rPr>
          <w:spacing w:val="-3"/>
          <w:sz w:val="18"/>
        </w:rPr>
        <w:t>试</w:t>
      </w:r>
      <w:r>
        <w:rPr>
          <w:sz w:val="18"/>
        </w:rPr>
        <w:t>、声导抗检测或听觉诱发电位检测等证实。</w:t>
      </w:r>
    </w:p>
    <w:p>
      <w:pPr>
        <w:pStyle w:val="BodyText"/>
        <w:spacing w:before="12"/>
        <w:rPr>
          <w:sz w:val="17"/>
        </w:rPr>
      </w:pPr>
    </w:p>
    <w:p>
      <w:pPr>
        <w:pStyle w:val="ListParagraph"/>
        <w:numPr>
          <w:ilvl w:val="0"/>
          <w:numId w:val="13"/>
        </w:numPr>
        <w:tabs>
          <w:tab w:pos="529" w:val="left" w:leader="none"/>
          <w:tab w:pos="2524" w:val="left" w:leader="none"/>
        </w:tabs>
        <w:spacing w:line="290" w:lineRule="auto" w:before="0" w:after="0"/>
        <w:ind w:left="2524" w:right="278" w:hanging="2416"/>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3"/>
        </w:numPr>
        <w:tabs>
          <w:tab w:pos="2921" w:val="left" w:leader="none"/>
        </w:tabs>
        <w:spacing w:line="240" w:lineRule="auto" w:before="38" w:after="0"/>
        <w:ind w:left="2920" w:right="0" w:hanging="396"/>
        <w:jc w:val="left"/>
        <w:rPr>
          <w:sz w:val="18"/>
        </w:rPr>
      </w:pPr>
      <w:r>
        <w:rPr>
          <w:sz w:val="18"/>
        </w:rPr>
        <w:t>眼球缺失或摘除；</w:t>
      </w:r>
    </w:p>
    <w:p>
      <w:pPr>
        <w:pStyle w:val="ListParagraph"/>
        <w:numPr>
          <w:ilvl w:val="1"/>
          <w:numId w:val="13"/>
        </w:numPr>
        <w:tabs>
          <w:tab w:pos="2921" w:val="left" w:leader="none"/>
        </w:tabs>
        <w:spacing w:line="240" w:lineRule="auto" w:before="76" w:after="0"/>
        <w:ind w:left="2920"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ListParagraph"/>
        <w:numPr>
          <w:ilvl w:val="1"/>
          <w:numId w:val="13"/>
        </w:numPr>
        <w:tabs>
          <w:tab w:pos="2888" w:val="left" w:leader="none"/>
        </w:tabs>
        <w:spacing w:line="240" w:lineRule="auto" w:before="76" w:after="0"/>
        <w:ind w:left="2887" w:right="0" w:hanging="363"/>
        <w:jc w:val="left"/>
        <w:rPr>
          <w:sz w:val="18"/>
        </w:rPr>
      </w:pPr>
      <w:r>
        <w:rPr>
          <w:spacing w:val="-7"/>
          <w:sz w:val="18"/>
        </w:rPr>
        <w:t>视野半径小于 </w:t>
      </w:r>
      <w:r>
        <w:rPr>
          <w:sz w:val="18"/>
        </w:rPr>
        <w:t>5</w:t>
      </w:r>
      <w:r>
        <w:rPr>
          <w:spacing w:val="-15"/>
          <w:sz w:val="18"/>
        </w:rPr>
        <w:t> 度。</w:t>
      </w:r>
    </w:p>
    <w:p>
      <w:pPr>
        <w:pStyle w:val="BodyText"/>
        <w:spacing w:before="8"/>
        <w:rPr>
          <w:sz w:val="21"/>
        </w:rPr>
      </w:pPr>
    </w:p>
    <w:p>
      <w:pPr>
        <w:pStyle w:val="ListParagraph"/>
        <w:numPr>
          <w:ilvl w:val="0"/>
          <w:numId w:val="13"/>
        </w:numPr>
        <w:tabs>
          <w:tab w:pos="529" w:val="left" w:leader="none"/>
          <w:tab w:pos="2524" w:val="left" w:leader="none"/>
        </w:tabs>
        <w:spacing w:line="302" w:lineRule="auto" w:before="0" w:after="0"/>
        <w:ind w:left="2524" w:right="137" w:hanging="2416"/>
        <w:jc w:val="both"/>
        <w:rPr>
          <w:sz w:val="18"/>
        </w:rPr>
      </w:pPr>
      <w:r>
        <w:rPr>
          <w:b/>
          <w:sz w:val="21"/>
        </w:rPr>
        <w:t>瘫痪</w:t>
        <w:tab/>
      </w:r>
      <w:r>
        <w:rPr>
          <w:position w:val="1"/>
          <w:sz w:val="18"/>
        </w:rPr>
        <w:t>指因疾病或意外伤害导致两肢或两肢以上肢体机能永久完全丧失</w:t>
      </w:r>
      <w:r>
        <w:rPr>
          <w:spacing w:val="-20"/>
          <w:position w:val="1"/>
          <w:sz w:val="18"/>
        </w:rPr>
        <w:t>。</w:t>
      </w:r>
      <w:r>
        <w:rPr>
          <w:position w:val="1"/>
          <w:sz w:val="18"/>
        </w:rPr>
        <w:t>肢体机能永久完全丧失</w:t>
      </w:r>
      <w:r>
        <w:rPr>
          <w:spacing w:val="-20"/>
          <w:position w:val="1"/>
          <w:sz w:val="18"/>
        </w:rPr>
        <w:t>，</w:t>
      </w:r>
      <w:r>
        <w:rPr>
          <w:position w:val="1"/>
          <w:sz w:val="18"/>
        </w:rPr>
        <w:t>指</w:t>
      </w:r>
      <w:r>
        <w:rPr>
          <w:sz w:val="18"/>
        </w:rPr>
        <w:t>疾病确诊</w:t>
      </w:r>
      <w:r>
        <w:rPr>
          <w:spacing w:val="-45"/>
          <w:sz w:val="18"/>
        </w:rPr>
        <w:t> </w:t>
      </w:r>
      <w:r>
        <w:rPr>
          <w:sz w:val="18"/>
        </w:rPr>
        <w:t>180</w:t>
      </w:r>
      <w:r>
        <w:rPr>
          <w:spacing w:val="-44"/>
          <w:sz w:val="18"/>
        </w:rPr>
        <w:t> </w:t>
      </w:r>
      <w:r>
        <w:rPr>
          <w:sz w:val="18"/>
        </w:rPr>
        <w:t>天后或意外伤</w:t>
      </w:r>
      <w:r>
        <w:rPr>
          <w:spacing w:val="-3"/>
          <w:sz w:val="18"/>
        </w:rPr>
        <w:t>害</w:t>
      </w:r>
      <w:r>
        <w:rPr>
          <w:sz w:val="18"/>
        </w:rPr>
        <w:t>发生</w:t>
      </w:r>
      <w:r>
        <w:rPr>
          <w:spacing w:val="-45"/>
          <w:sz w:val="18"/>
        </w:rPr>
        <w:t> </w:t>
      </w:r>
      <w:r>
        <w:rPr>
          <w:sz w:val="18"/>
        </w:rPr>
        <w:t>180</w:t>
      </w:r>
      <w:r>
        <w:rPr>
          <w:spacing w:val="-44"/>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或不能随意识活动。</w:t>
      </w:r>
    </w:p>
    <w:p>
      <w:pPr>
        <w:pStyle w:val="BodyText"/>
        <w:spacing w:before="12"/>
        <w:rPr>
          <w:sz w:val="17"/>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3"/>
        <w:rPr>
          <w:sz w:val="20"/>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严重阿尔茨海默病</w:t>
        <w:tab/>
      </w:r>
      <w:r>
        <w:rPr>
          <w:position w:val="1"/>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60" w:left="1080" w:right="820"/>
        </w:sectPr>
      </w:pPr>
    </w:p>
    <w:p>
      <w:pPr>
        <w:pStyle w:val="BodyText"/>
        <w:spacing w:before="1"/>
        <w:rPr>
          <w:sz w:val="20"/>
        </w:rPr>
      </w:pPr>
    </w:p>
    <w:p>
      <w:pPr>
        <w:pStyle w:val="BodyText"/>
        <w:spacing w:line="316" w:lineRule="auto" w:before="45"/>
        <w:ind w:left="2524" w:right="197"/>
        <w:jc w:val="both"/>
      </w:pPr>
      <w:r>
        <w:rPr/>
        <w:t>行为异常和社交能力减退，其日常生活必须持续受到他人监护。须由头颅断层扫描（</w:t>
      </w:r>
      <w:r>
        <w:rPr>
          <w:spacing w:val="0"/>
        </w:rPr>
        <w:t>CT</w:t>
      </w:r>
      <w:r>
        <w:rPr>
          <w:spacing w:val="-92"/>
        </w:rPr>
        <w:t>）</w:t>
      </w:r>
      <w:r>
        <w:rPr>
          <w:spacing w:val="-1"/>
        </w:rPr>
        <w:t>、核</w:t>
      </w:r>
      <w:r>
        <w:rPr>
          <w:spacing w:val="-3"/>
        </w:rPr>
        <w:t>磁共振检查</w:t>
      </w:r>
      <w:r>
        <w:rPr>
          <w:spacing w:val="-1"/>
        </w:rPr>
        <w:t>（MRI）</w:t>
      </w:r>
      <w:r>
        <w:rPr>
          <w:spacing w:val="-2"/>
        </w:rPr>
        <w:t>或正电子发射断层扫描</w:t>
      </w:r>
      <w:r>
        <w:rPr/>
        <w:t>（PET）</w:t>
      </w:r>
      <w:r>
        <w:rPr>
          <w:spacing w:val="-2"/>
        </w:rPr>
        <w:t>等影像学检查证实，且自主生活能力完全丧失，无法独立完成六项基本日常生活活动中的三项或三项以上。</w:t>
      </w:r>
    </w:p>
    <w:p>
      <w:pPr>
        <w:pStyle w:val="BodyText"/>
        <w:spacing w:before="18"/>
        <w:ind w:left="2524"/>
      </w:pPr>
      <w:r>
        <w:rPr/>
        <w:t>神经官能症和精神疾病不在保障范围内。</w:t>
      </w:r>
    </w:p>
    <w:p>
      <w:pPr>
        <w:pStyle w:val="BodyText"/>
        <w:spacing w:before="6"/>
        <w:rPr>
          <w:sz w:val="21"/>
        </w:rPr>
      </w:pPr>
    </w:p>
    <w:p>
      <w:pPr>
        <w:pStyle w:val="ListParagraph"/>
        <w:numPr>
          <w:ilvl w:val="0"/>
          <w:numId w:val="13"/>
        </w:numPr>
        <w:tabs>
          <w:tab w:pos="529" w:val="left" w:leader="none"/>
        </w:tabs>
        <w:spacing w:line="302" w:lineRule="auto" w:before="0" w:after="0"/>
        <w:ind w:left="2524" w:right="194" w:hanging="2416"/>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w:t>
      </w:r>
      <w:r>
        <w:rPr>
          <w:spacing w:val="0"/>
          <w:sz w:val="18"/>
        </w:rPr>
        <w:t>CT</w:t>
      </w:r>
      <w:r>
        <w:rPr>
          <w:spacing w:val="-92"/>
          <w:sz w:val="18"/>
        </w:rPr>
        <w:t>）</w:t>
      </w:r>
      <w:r>
        <w:rPr>
          <w:spacing w:val="-1"/>
          <w:sz w:val="18"/>
        </w:rPr>
        <w:t>、核磁共振检查</w:t>
      </w:r>
      <w:r>
        <w:rPr>
          <w:sz w:val="18"/>
        </w:rPr>
        <w:t>（</w:t>
      </w:r>
      <w:r>
        <w:rPr>
          <w:spacing w:val="0"/>
          <w:sz w:val="18"/>
        </w:rPr>
        <w:t>M</w:t>
      </w:r>
      <w:r>
        <w:rPr>
          <w:sz w:val="18"/>
        </w:rPr>
        <w:t>R</w:t>
      </w:r>
      <w:r>
        <w:rPr>
          <w:spacing w:val="1"/>
          <w:sz w:val="18"/>
        </w:rPr>
        <w:t>I</w:t>
      </w:r>
      <w:r>
        <w:rPr>
          <w:sz w:val="18"/>
        </w:rPr>
        <w:t>）</w:t>
      </w:r>
      <w:r>
        <w:rPr>
          <w:spacing w:val="-1"/>
          <w:sz w:val="18"/>
        </w:rPr>
        <w:t>或正电子发射断层扫描</w:t>
      </w:r>
      <w:r>
        <w:rPr>
          <w:sz w:val="18"/>
        </w:rPr>
        <w:t>（P</w:t>
      </w:r>
      <w:r>
        <w:rPr>
          <w:spacing w:val="1"/>
          <w:sz w:val="18"/>
        </w:rPr>
        <w:t>E</w:t>
      </w:r>
      <w:r>
        <w:rPr>
          <w:spacing w:val="0"/>
          <w:sz w:val="18"/>
        </w:rPr>
        <w:t>T</w:t>
      </w:r>
      <w:r>
        <w:rPr>
          <w:sz w:val="18"/>
        </w:rPr>
        <w: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3"/>
        </w:numPr>
        <w:tabs>
          <w:tab w:pos="2921" w:val="left" w:leader="none"/>
        </w:tabs>
        <w:spacing w:line="240" w:lineRule="auto" w:before="29" w:after="0"/>
        <w:ind w:left="2920" w:right="0" w:hanging="396"/>
        <w:jc w:val="both"/>
        <w:rPr>
          <w:sz w:val="18"/>
        </w:rPr>
      </w:pPr>
      <w:r>
        <w:rPr>
          <w:sz w:val="18"/>
        </w:rPr>
        <w:t>一肢或一肢以上肢体机能完全丧失；</w:t>
      </w:r>
    </w:p>
    <w:p>
      <w:pPr>
        <w:pStyle w:val="ListParagraph"/>
        <w:numPr>
          <w:ilvl w:val="1"/>
          <w:numId w:val="13"/>
        </w:numPr>
        <w:tabs>
          <w:tab w:pos="2921" w:val="left" w:leader="none"/>
        </w:tabs>
        <w:spacing w:line="240" w:lineRule="auto" w:before="76" w:after="0"/>
        <w:ind w:left="2920" w:right="0" w:hanging="396"/>
        <w:jc w:val="both"/>
        <w:rPr>
          <w:sz w:val="18"/>
        </w:rPr>
      </w:pPr>
      <w:r>
        <w:rPr>
          <w:sz w:val="18"/>
        </w:rPr>
        <w:t>语言能力或咀嚼吞咽能力完全丧失；</w:t>
      </w:r>
    </w:p>
    <w:p>
      <w:pPr>
        <w:pStyle w:val="ListParagraph"/>
        <w:numPr>
          <w:ilvl w:val="1"/>
          <w:numId w:val="13"/>
        </w:numPr>
        <w:tabs>
          <w:tab w:pos="2888" w:val="left" w:leader="none"/>
        </w:tabs>
        <w:spacing w:line="240" w:lineRule="auto" w:before="76" w:after="0"/>
        <w:ind w:left="2887" w:right="0" w:hanging="363"/>
        <w:jc w:val="both"/>
        <w:rPr>
          <w:sz w:val="18"/>
        </w:rPr>
      </w:pPr>
      <w:r>
        <w:rPr>
          <w:spacing w:val="-1"/>
          <w:sz w:val="18"/>
        </w:rPr>
        <w:t>自主生活能力完全丧失，无法独立完成六项基本日常生活活动中的三项或三项以上。</w:t>
      </w:r>
    </w:p>
    <w:p>
      <w:pPr>
        <w:pStyle w:val="BodyText"/>
        <w:spacing w:before="8"/>
        <w:rPr>
          <w:sz w:val="21"/>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严重帕金森病</w:t>
        <w:tab/>
      </w:r>
      <w:r>
        <w:rPr>
          <w:position w:val="1"/>
          <w:sz w:val="18"/>
        </w:rPr>
        <w:t>是一种中枢神经系统的退行性疾病</w:t>
      </w:r>
      <w:r>
        <w:rPr>
          <w:spacing w:val="-44"/>
          <w:position w:val="1"/>
          <w:sz w:val="18"/>
        </w:rPr>
        <w:t>，</w:t>
      </w:r>
      <w:r>
        <w:rPr>
          <w:position w:val="1"/>
          <w:sz w:val="18"/>
        </w:rPr>
        <w:t>临床表现为震颤麻痹</w:t>
      </w:r>
      <w:r>
        <w:rPr>
          <w:spacing w:val="-44"/>
          <w:position w:val="1"/>
          <w:sz w:val="18"/>
        </w:rPr>
        <w:t>、</w:t>
      </w:r>
      <w:r>
        <w:rPr>
          <w:position w:val="1"/>
          <w:sz w:val="18"/>
        </w:rPr>
        <w:t>共济失调等</w:t>
      </w:r>
      <w:r>
        <w:rPr>
          <w:spacing w:val="-44"/>
          <w:position w:val="1"/>
          <w:sz w:val="18"/>
        </w:rPr>
        <w:t>。</w:t>
      </w:r>
      <w:r>
        <w:rPr>
          <w:position w:val="1"/>
          <w:sz w:val="18"/>
        </w:rPr>
        <w:t>须满足下列全部条件：</w:t>
      </w:r>
    </w:p>
    <w:p>
      <w:pPr>
        <w:pStyle w:val="ListParagraph"/>
        <w:numPr>
          <w:ilvl w:val="1"/>
          <w:numId w:val="13"/>
        </w:numPr>
        <w:tabs>
          <w:tab w:pos="2888" w:val="left" w:leader="none"/>
        </w:tabs>
        <w:spacing w:line="240" w:lineRule="auto" w:before="57" w:after="0"/>
        <w:ind w:left="2524" w:right="0" w:firstLine="0"/>
        <w:jc w:val="both"/>
        <w:rPr>
          <w:sz w:val="18"/>
        </w:rPr>
      </w:pPr>
      <w:r>
        <w:rPr>
          <w:sz w:val="18"/>
        </w:rPr>
        <w:t>药物治疗无法控制病情；</w:t>
      </w:r>
    </w:p>
    <w:p>
      <w:pPr>
        <w:pStyle w:val="ListParagraph"/>
        <w:numPr>
          <w:ilvl w:val="1"/>
          <w:numId w:val="13"/>
        </w:numPr>
        <w:tabs>
          <w:tab w:pos="2888" w:val="left" w:leader="none"/>
        </w:tabs>
        <w:spacing w:line="316" w:lineRule="auto" w:before="76" w:after="0"/>
        <w:ind w:left="2524" w:right="518" w:firstLine="0"/>
        <w:jc w:val="left"/>
        <w:rPr>
          <w:sz w:val="18"/>
        </w:rPr>
      </w:pPr>
      <w:r>
        <w:rPr>
          <w:spacing w:val="-1"/>
          <w:sz w:val="18"/>
        </w:rPr>
        <w:t>自主生活能力完全丧失，无法独立完成六项基本日常生活活动中的三项或三项以上。继发性帕金森综合征不在保障范围内。</w:t>
      </w:r>
    </w:p>
    <w:p>
      <w:pPr>
        <w:pStyle w:val="BodyText"/>
        <w:spacing w:before="3"/>
        <w:rPr>
          <w:sz w:val="17"/>
        </w:rPr>
      </w:pPr>
    </w:p>
    <w:p>
      <w:pPr>
        <w:pStyle w:val="ListParagraph"/>
        <w:numPr>
          <w:ilvl w:val="0"/>
          <w:numId w:val="13"/>
        </w:numPr>
        <w:tabs>
          <w:tab w:pos="529" w:val="left" w:leader="none"/>
        </w:tabs>
        <w:spacing w:line="290" w:lineRule="auto" w:before="1" w:after="0"/>
        <w:ind w:left="2524" w:right="194" w:hanging="2416"/>
        <w:jc w:val="both"/>
        <w:rPr>
          <w:sz w:val="18"/>
        </w:rPr>
      </w:pPr>
      <w:r>
        <w:rPr>
          <w:b/>
          <w:spacing w:val="7"/>
          <w:sz w:val="21"/>
        </w:rPr>
        <w:t>严重Ⅲ度烧伤     </w:t>
      </w:r>
      <w:r>
        <w:rPr>
          <w:spacing w:val="-10"/>
          <w:position w:val="1"/>
          <w:sz w:val="18"/>
        </w:rPr>
        <w:t>指烧伤程度为Ⅲ度，且Ⅲ度烧伤面积达到全身体表面积的 </w:t>
      </w:r>
      <w:r>
        <w:rPr>
          <w:position w:val="1"/>
          <w:sz w:val="18"/>
        </w:rPr>
        <w:t>20</w:t>
      </w:r>
      <w:r>
        <w:rPr>
          <w:spacing w:val="-15"/>
          <w:position w:val="1"/>
          <w:sz w:val="18"/>
        </w:rPr>
        <w:t>％或 </w:t>
      </w:r>
      <w:r>
        <w:rPr>
          <w:position w:val="1"/>
          <w:sz w:val="18"/>
        </w:rPr>
        <w:t>20</w:t>
      </w:r>
      <w:r>
        <w:rPr>
          <w:spacing w:val="-8"/>
          <w:position w:val="1"/>
          <w:sz w:val="18"/>
        </w:rPr>
        <w:t>％以上。体表面积根据《中</w:t>
      </w:r>
      <w:r>
        <w:rPr>
          <w:spacing w:val="-8"/>
          <w:sz w:val="18"/>
        </w:rPr>
        <w:t>国新九分法》计算。</w:t>
      </w:r>
    </w:p>
    <w:p>
      <w:pPr>
        <w:pStyle w:val="BodyText"/>
        <w:spacing w:before="11"/>
        <w:rPr>
          <w:sz w:val="15"/>
        </w:rPr>
      </w:pPr>
    </w:p>
    <w:p>
      <w:pPr>
        <w:spacing w:after="0"/>
        <w:rPr>
          <w:sz w:val="15"/>
        </w:rPr>
        <w:sectPr>
          <w:pgSz w:w="11910" w:h="16840"/>
          <w:pgMar w:header="877" w:footer="977" w:top="1100" w:bottom="1160" w:left="1080" w:right="760"/>
        </w:sectPr>
      </w:pPr>
    </w:p>
    <w:p>
      <w:pPr>
        <w:pStyle w:val="Heading3"/>
        <w:numPr>
          <w:ilvl w:val="0"/>
          <w:numId w:val="13"/>
        </w:numPr>
        <w:tabs>
          <w:tab w:pos="529" w:val="left" w:leader="none"/>
        </w:tabs>
        <w:spacing w:line="273" w:lineRule="auto" w:before="36" w:after="0"/>
        <w:ind w:left="528" w:right="0" w:hanging="420"/>
        <w:jc w:val="left"/>
      </w:pPr>
      <w:r>
        <w:rPr>
          <w:spacing w:val="8"/>
        </w:rPr>
        <w:t>严重原发性肺动脉高压</w:t>
      </w:r>
    </w:p>
    <w:p>
      <w:pPr>
        <w:pStyle w:val="BodyText"/>
        <w:spacing w:line="316" w:lineRule="auto" w:before="57"/>
        <w:ind w:left="108" w:right="197"/>
        <w:jc w:val="both"/>
      </w:pPr>
      <w:r>
        <w:rPr/>
        <w:br w:type="column"/>
      </w:r>
      <w:r>
        <w:rPr>
          <w:spacing w:val="-3"/>
        </w:rPr>
        <w:t>指不明原因的肺动脉压力持续性增高，进行性发展而导致的慢性疾病，已经造成永久不可逆性</w:t>
      </w:r>
      <w:r>
        <w:rPr>
          <w:spacing w:val="-5"/>
        </w:rPr>
        <w:t>的体力活动能力受限，达到美国纽约心脏病学会心功能状态分级 </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6"/>
        <w:rPr>
          <w:sz w:val="14"/>
        </w:rPr>
      </w:pPr>
    </w:p>
    <w:p>
      <w:pPr>
        <w:pStyle w:val="ListParagraph"/>
        <w:numPr>
          <w:ilvl w:val="0"/>
          <w:numId w:val="13"/>
        </w:numPr>
        <w:tabs>
          <w:tab w:pos="529" w:val="left" w:leader="none"/>
        </w:tabs>
        <w:spacing w:line="302" w:lineRule="auto" w:before="37" w:after="0"/>
        <w:ind w:left="2524" w:right="197" w:hanging="2416"/>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2"/>
        <w:rPr>
          <w:sz w:val="17"/>
        </w:rPr>
      </w:pPr>
    </w:p>
    <w:p>
      <w:pPr>
        <w:pStyle w:val="ListParagraph"/>
        <w:numPr>
          <w:ilvl w:val="0"/>
          <w:numId w:val="13"/>
        </w:numPr>
        <w:tabs>
          <w:tab w:pos="529" w:val="left" w:leader="none"/>
        </w:tabs>
        <w:spacing w:line="290" w:lineRule="auto" w:before="0" w:after="0"/>
        <w:ind w:left="2524" w:right="247" w:hanging="2416"/>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4"/>
          <w:position w:val="1"/>
          <w:sz w:val="18"/>
        </w:rPr>
        <w:t> 个月</w:t>
      </w:r>
      <w:r>
        <w:rPr>
          <w:position w:val="1"/>
          <w:sz w:val="18"/>
        </w:rPr>
        <w:t>（</w:t>
      </w:r>
      <w:r>
        <w:rPr>
          <w:spacing w:val="-1"/>
          <w:position w:val="1"/>
          <w:sz w:val="18"/>
        </w:rPr>
        <w:t>声带完全切除不受</w:t>
      </w:r>
      <w:r>
        <w:rPr>
          <w:sz w:val="18"/>
        </w:rPr>
        <w:t>此时间限制</w:t>
      </w:r>
      <w:r>
        <w:rPr>
          <w:spacing w:val="-92"/>
          <w:sz w:val="18"/>
        </w:rPr>
        <w:t>）</w:t>
      </w:r>
      <w:r>
        <w:rPr>
          <w:spacing w:val="-1"/>
          <w:sz w:val="18"/>
        </w:rPr>
        <w:t>，仍无法通过现有医疗手段恢复。</w:t>
      </w:r>
    </w:p>
    <w:p>
      <w:pPr>
        <w:pStyle w:val="BodyText"/>
        <w:spacing w:before="38"/>
        <w:ind w:left="2524"/>
      </w:pPr>
      <w:r>
        <w:rPr/>
        <w:t>精神心理因素所致的语言能力丧失不在保障范围内。</w:t>
      </w:r>
    </w:p>
    <w:p>
      <w:pPr>
        <w:pStyle w:val="BodyText"/>
        <w:spacing w:before="11"/>
      </w:pPr>
    </w:p>
    <w:p>
      <w:pPr>
        <w:spacing w:after="0"/>
        <w:sectPr>
          <w:type w:val="continuous"/>
          <w:pgSz w:w="11910" w:h="16840"/>
          <w:pgMar w:top="1040" w:bottom="1160" w:left="1080" w:right="760"/>
        </w:sectPr>
      </w:pPr>
    </w:p>
    <w:p>
      <w:pPr>
        <w:pStyle w:val="Heading3"/>
        <w:numPr>
          <w:ilvl w:val="0"/>
          <w:numId w:val="13"/>
        </w:numPr>
        <w:tabs>
          <w:tab w:pos="529" w:val="left" w:leader="none"/>
        </w:tabs>
        <w:spacing w:line="273" w:lineRule="auto" w:before="36" w:after="0"/>
        <w:ind w:left="528" w:right="0" w:hanging="420"/>
        <w:jc w:val="left"/>
      </w:pPr>
      <w:r>
        <w:rPr>
          <w:spacing w:val="8"/>
        </w:rPr>
        <w:t>重型再生障碍性贫血</w:t>
      </w:r>
    </w:p>
    <w:p>
      <w:pPr>
        <w:pStyle w:val="BodyText"/>
        <w:spacing w:line="316" w:lineRule="auto" w:before="57"/>
        <w:ind w:left="108" w:right="140"/>
      </w:pPr>
      <w:r>
        <w:rPr/>
        <w:br w:type="column"/>
      </w:r>
      <w:r>
        <w:rPr/>
        <w:t>指因骨髓造血功能慢性持续性衰竭导致的贫血、中性粒细胞减少及血小板减少，须满足以下全部条件：</w:t>
      </w:r>
    </w:p>
    <w:p>
      <w:pPr>
        <w:pStyle w:val="ListParagraph"/>
        <w:numPr>
          <w:ilvl w:val="0"/>
          <w:numId w:val="16"/>
        </w:numPr>
        <w:tabs>
          <w:tab w:pos="471" w:val="left" w:leader="none"/>
        </w:tabs>
        <w:spacing w:line="240" w:lineRule="auto" w:before="18" w:after="0"/>
        <w:ind w:left="470" w:right="0" w:hanging="362"/>
        <w:jc w:val="left"/>
        <w:rPr>
          <w:sz w:val="18"/>
        </w:rPr>
      </w:pPr>
      <w:r>
        <w:rPr>
          <w:spacing w:val="-1"/>
          <w:sz w:val="18"/>
        </w:rPr>
        <w:t>骨髓穿刺检查或骨髓活检结果支持诊断；</w:t>
      </w:r>
    </w:p>
    <w:p>
      <w:pPr>
        <w:pStyle w:val="ListParagraph"/>
        <w:numPr>
          <w:ilvl w:val="0"/>
          <w:numId w:val="16"/>
        </w:numPr>
        <w:tabs>
          <w:tab w:pos="471" w:val="left" w:leader="none"/>
        </w:tabs>
        <w:spacing w:line="240" w:lineRule="auto" w:before="75" w:after="0"/>
        <w:ind w:left="470" w:right="0" w:hanging="362"/>
        <w:jc w:val="left"/>
        <w:rPr>
          <w:sz w:val="18"/>
        </w:rPr>
      </w:pPr>
      <w:r>
        <w:rPr>
          <w:spacing w:val="-1"/>
          <w:sz w:val="18"/>
        </w:rPr>
        <w:t>外周血象必须具备以下三项条件：</w:t>
      </w:r>
    </w:p>
    <w:p>
      <w:pPr>
        <w:pStyle w:val="BodyText"/>
        <w:spacing w:before="75"/>
        <w:ind w:left="559"/>
      </w:pPr>
      <w:r>
        <w:rPr/>
        <w:t>① 中性粒细胞绝对值≤0.5×10</w:t>
      </w:r>
      <w:r>
        <w:rPr>
          <w:b/>
          <w:position w:val="9"/>
          <w:sz w:val="9"/>
        </w:rPr>
        <w:t>9</w:t>
      </w:r>
      <w:r>
        <w:rPr/>
        <w:t>/L ；</w:t>
      </w:r>
    </w:p>
    <w:p>
      <w:pPr>
        <w:pStyle w:val="BodyText"/>
        <w:ind w:left="559"/>
      </w:pPr>
      <w:r>
        <w:rPr/>
        <w:t>② 网织红细胞＜1%；</w:t>
      </w:r>
    </w:p>
    <w:p>
      <w:pPr>
        <w:pStyle w:val="BodyText"/>
        <w:ind w:left="559"/>
      </w:pPr>
      <w:r>
        <w:rPr/>
        <w:t>③ 血小板绝对值≤20×10</w:t>
      </w:r>
      <w:r>
        <w:rPr>
          <w:b/>
          <w:position w:val="9"/>
          <w:sz w:val="9"/>
        </w:rPr>
        <w:t>9</w:t>
      </w:r>
      <w:r>
        <w:rPr/>
        <w:t>/L。</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3"/>
        </w:numPr>
        <w:tabs>
          <w:tab w:pos="529" w:val="left" w:leader="none"/>
          <w:tab w:pos="2524" w:val="left" w:leader="none"/>
        </w:tabs>
        <w:spacing w:line="290" w:lineRule="auto" w:before="36" w:after="0"/>
        <w:ind w:left="2524" w:right="108" w:hanging="2416"/>
        <w:jc w:val="left"/>
        <w:rPr>
          <w:sz w:val="18"/>
        </w:rPr>
      </w:pPr>
      <w:r>
        <w:rPr>
          <w:b/>
          <w:sz w:val="21"/>
        </w:rPr>
        <w:t>主动脉手术</w:t>
        <w:tab/>
      </w:r>
      <w:r>
        <w:rPr>
          <w:position w:val="1"/>
          <w:sz w:val="18"/>
        </w:rPr>
        <w:t>指为治疗主动脉疾病</w:t>
      </w:r>
      <w:r>
        <w:rPr>
          <w:spacing w:val="-44"/>
          <w:position w:val="1"/>
          <w:sz w:val="18"/>
        </w:rPr>
        <w:t>，</w:t>
      </w:r>
      <w:r>
        <w:rPr>
          <w:position w:val="1"/>
          <w:sz w:val="18"/>
        </w:rPr>
        <w:t>实际实施了开胸或开腹进行的切除</w:t>
      </w:r>
      <w:r>
        <w:rPr>
          <w:spacing w:val="-44"/>
          <w:position w:val="1"/>
          <w:sz w:val="18"/>
        </w:rPr>
        <w:t>、</w:t>
      </w:r>
      <w:r>
        <w:rPr>
          <w:position w:val="1"/>
          <w:sz w:val="18"/>
        </w:rPr>
        <w:t>置换</w:t>
      </w:r>
      <w:r>
        <w:rPr>
          <w:spacing w:val="-44"/>
          <w:position w:val="1"/>
          <w:sz w:val="18"/>
        </w:rPr>
        <w:t>、</w:t>
      </w:r>
      <w:r>
        <w:rPr>
          <w:position w:val="1"/>
          <w:sz w:val="18"/>
        </w:rPr>
        <w:t>修补病损主动脉血管的手术。</w:t>
      </w:r>
      <w:r>
        <w:rPr>
          <w:sz w:val="18"/>
        </w:rPr>
        <w:t>主动脉指胸主动脉和腹主动脉，不包括胸主动脉和腹主动脉的分支血管。</w:t>
      </w:r>
    </w:p>
    <w:p>
      <w:pPr>
        <w:pStyle w:val="BodyText"/>
        <w:spacing w:before="38"/>
        <w:ind w:left="2524"/>
      </w:pPr>
      <w:r>
        <w:rPr/>
        <w:t>动脉内血管成形术不在保障范围内。</w:t>
      </w:r>
    </w:p>
    <w:p>
      <w:pPr>
        <w:pStyle w:val="BodyText"/>
        <w:spacing w:before="8"/>
        <w:rPr>
          <w:sz w:val="21"/>
        </w:rPr>
      </w:pPr>
    </w:p>
    <w:p>
      <w:pPr>
        <w:pStyle w:val="ListParagraph"/>
        <w:numPr>
          <w:ilvl w:val="0"/>
          <w:numId w:val="13"/>
        </w:numPr>
        <w:tabs>
          <w:tab w:pos="529" w:val="left" w:leader="none"/>
          <w:tab w:pos="2524" w:val="left" w:leader="none"/>
        </w:tabs>
        <w:spacing w:line="290" w:lineRule="auto" w:before="1" w:after="0"/>
        <w:ind w:left="2524" w:right="158" w:hanging="2416"/>
        <w:jc w:val="left"/>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5"/>
          <w:sz w:val="18"/>
        </w:rPr>
        <w:t> </w:t>
      </w:r>
      <w:r>
        <w:rPr>
          <w:sz w:val="18"/>
        </w:rPr>
        <w:t>30</w:t>
      </w:r>
      <w:r>
        <w:rPr>
          <w:spacing w:val="-42"/>
          <w:sz w:val="18"/>
        </w:rPr>
        <w:t> </w:t>
      </w:r>
      <w:r>
        <w:rPr>
          <w:sz w:val="18"/>
        </w:rPr>
        <w:t>天以上。</w:t>
      </w:r>
    </w:p>
    <w:p>
      <w:pPr>
        <w:spacing w:after="0" w:line="290" w:lineRule="auto"/>
        <w:jc w:val="left"/>
        <w:rPr>
          <w:sz w:val="18"/>
        </w:rPr>
        <w:sectPr>
          <w:type w:val="continuous"/>
          <w:pgSz w:w="11910" w:h="16840"/>
          <w:pgMar w:top="1040" w:bottom="1160" w:left="1080" w:right="760"/>
        </w:sectPr>
      </w:pPr>
    </w:p>
    <w:p>
      <w:pPr>
        <w:pStyle w:val="BodyText"/>
        <w:spacing w:before="2"/>
        <w:rPr>
          <w:sz w:val="19"/>
        </w:rPr>
      </w:pPr>
    </w:p>
    <w:p>
      <w:pPr>
        <w:spacing w:after="0"/>
        <w:rPr>
          <w:sz w:val="19"/>
        </w:rPr>
        <w:sectPr>
          <w:pgSz w:w="11910" w:h="16840"/>
          <w:pgMar w:header="877" w:footer="977" w:top="1100" w:bottom="1160" w:left="1080" w:right="820"/>
        </w:sectPr>
      </w:pPr>
    </w:p>
    <w:p>
      <w:pPr>
        <w:pStyle w:val="Heading3"/>
        <w:numPr>
          <w:ilvl w:val="0"/>
          <w:numId w:val="13"/>
        </w:numPr>
        <w:tabs>
          <w:tab w:pos="529" w:val="left" w:leader="none"/>
        </w:tabs>
        <w:spacing w:line="273" w:lineRule="auto" w:before="37" w:after="0"/>
        <w:ind w:left="528" w:right="0" w:hanging="420"/>
        <w:jc w:val="both"/>
      </w:pPr>
      <w:r>
        <w:rPr>
          <w:spacing w:val="8"/>
        </w:rPr>
        <w:t>系统性红斑狼疮并发重度的肾功能损害</w:t>
      </w:r>
    </w:p>
    <w:p>
      <w:pPr>
        <w:pStyle w:val="BodyText"/>
        <w:spacing w:line="316" w:lineRule="auto" w:before="57"/>
        <w:ind w:left="108" w:right="87"/>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17"/>
        </w:numPr>
        <w:tabs>
          <w:tab w:pos="528" w:val="left" w:leader="none"/>
        </w:tabs>
        <w:spacing w:line="240" w:lineRule="auto" w:before="18" w:after="0"/>
        <w:ind w:left="527" w:right="0" w:hanging="419"/>
        <w:jc w:val="left"/>
        <w:rPr>
          <w:sz w:val="18"/>
        </w:rPr>
      </w:pPr>
      <w:r>
        <w:rPr>
          <w:sz w:val="18"/>
        </w:rPr>
        <w:t>临床表现至少具备如下条件的四个：</w:t>
      </w:r>
    </w:p>
    <w:p>
      <w:pPr>
        <w:pStyle w:val="BodyText"/>
        <w:ind w:left="527"/>
      </w:pPr>
      <w:r>
        <w:rPr/>
        <w:t>①  蝶形红斑或盘形红斑；</w:t>
      </w:r>
    </w:p>
    <w:p>
      <w:pPr>
        <w:pStyle w:val="BodyText"/>
        <w:ind w:left="527"/>
      </w:pPr>
      <w:r>
        <w:rPr/>
        <w:t>②  光敏感；</w:t>
      </w:r>
    </w:p>
    <w:p>
      <w:pPr>
        <w:pStyle w:val="BodyText"/>
        <w:ind w:left="527"/>
      </w:pPr>
      <w:r>
        <w:rPr/>
        <w:t>③  口腔溃疡；</w:t>
      </w:r>
    </w:p>
    <w:p>
      <w:pPr>
        <w:pStyle w:val="BodyText"/>
        <w:ind w:left="527"/>
      </w:pPr>
      <w:r>
        <w:rPr/>
        <w:t>④  非畸形关节炎或关节痛；</w:t>
      </w:r>
    </w:p>
    <w:p>
      <w:pPr>
        <w:pStyle w:val="BodyText"/>
        <w:ind w:left="527"/>
      </w:pPr>
      <w:r>
        <w:rPr/>
        <w:t>⑤  浆膜炎、胸膜炎或心包炎；</w:t>
      </w:r>
    </w:p>
    <w:p>
      <w:pPr>
        <w:pStyle w:val="BodyText"/>
        <w:ind w:left="527"/>
      </w:pPr>
      <w:r>
        <w:rPr/>
        <w:t>⑥  神经系统损伤（抽搐或精神症状</w:t>
      </w:r>
      <w:r>
        <w:rPr>
          <w:spacing w:val="-92"/>
        </w:rPr>
        <w:t>）</w:t>
      </w:r>
      <w:r>
        <w:rPr/>
        <w:t>；</w:t>
      </w:r>
    </w:p>
    <w:p>
      <w:pPr>
        <w:pStyle w:val="BodyText"/>
        <w:ind w:left="527"/>
      </w:pPr>
      <w:r>
        <w:rPr>
          <w:spacing w:val="11"/>
        </w:rPr>
        <w:t>⑦ 血象异常</w:t>
      </w:r>
      <w:r>
        <w:rPr/>
        <w:t>（WBC&lt;4000/μl</w:t>
      </w:r>
      <w:r>
        <w:rPr>
          <w:spacing w:val="-11"/>
        </w:rPr>
        <w:t> 或血小板</w:t>
      </w:r>
      <w:r>
        <w:rPr/>
        <w:t>&lt;100000/μl</w:t>
      </w:r>
      <w:r>
        <w:rPr>
          <w:spacing w:val="-8"/>
        </w:rPr>
        <w:t> 或溶血性贫血</w:t>
      </w:r>
      <w:r>
        <w:rPr>
          <w:spacing w:val="-92"/>
        </w:rPr>
        <w:t>）</w:t>
      </w:r>
      <w:r>
        <w:rPr/>
        <w:t>。</w:t>
      </w:r>
    </w:p>
    <w:p>
      <w:pPr>
        <w:pStyle w:val="ListParagraph"/>
        <w:numPr>
          <w:ilvl w:val="0"/>
          <w:numId w:val="17"/>
        </w:numPr>
        <w:tabs>
          <w:tab w:pos="528" w:val="left" w:leader="none"/>
        </w:tabs>
        <w:spacing w:line="240" w:lineRule="auto" w:before="76" w:after="0"/>
        <w:ind w:left="527" w:right="0" w:hanging="419"/>
        <w:jc w:val="left"/>
        <w:rPr>
          <w:sz w:val="18"/>
        </w:rPr>
      </w:pPr>
      <w:r>
        <w:rPr>
          <w:sz w:val="18"/>
        </w:rPr>
        <w:t>检测结果至少具备如下条件的两个：</w:t>
      </w:r>
    </w:p>
    <w:p>
      <w:pPr>
        <w:pStyle w:val="BodyText"/>
        <w:ind w:left="527"/>
      </w:pPr>
      <w:r>
        <w:rPr/>
        <w:t>① 狼疮细胞或抗双链 DNA 抗体阳性；</w:t>
      </w:r>
    </w:p>
    <w:p>
      <w:pPr>
        <w:pStyle w:val="BodyText"/>
        <w:ind w:left="527"/>
      </w:pPr>
      <w:r>
        <w:rPr/>
        <w:t>②  抗 Sm 抗体阳性；</w:t>
      </w:r>
    </w:p>
    <w:p>
      <w:pPr>
        <w:pStyle w:val="BodyText"/>
        <w:ind w:left="527"/>
      </w:pPr>
      <w:r>
        <w:rPr/>
        <w:t>③  抗核抗体阳性；</w:t>
      </w:r>
    </w:p>
    <w:p>
      <w:pPr>
        <w:pStyle w:val="BodyText"/>
        <w:ind w:left="527"/>
      </w:pPr>
      <w:r>
        <w:rPr/>
        <w:t>④  狼疮带试验阳性；</w:t>
      </w:r>
    </w:p>
    <w:p>
      <w:pPr>
        <w:pStyle w:val="BodyText"/>
        <w:ind w:left="527"/>
      </w:pPr>
      <w:r>
        <w:rPr/>
        <w:t>⑤  C3 补体低于正常。</w:t>
      </w:r>
    </w:p>
    <w:p>
      <w:pPr>
        <w:pStyle w:val="ListParagraph"/>
        <w:numPr>
          <w:ilvl w:val="0"/>
          <w:numId w:val="17"/>
        </w:numPr>
        <w:tabs>
          <w:tab w:pos="562" w:val="left" w:leader="none"/>
        </w:tabs>
        <w:spacing w:line="240" w:lineRule="auto" w:before="76" w:after="0"/>
        <w:ind w:left="561" w:right="0" w:hanging="453"/>
        <w:jc w:val="left"/>
        <w:rPr>
          <w:sz w:val="18"/>
        </w:rPr>
      </w:pPr>
      <w:r>
        <w:rPr>
          <w:spacing w:val="-3"/>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60" w:left="1080" w:right="820"/>
          <w:cols w:num="2" w:equalWidth="0">
            <w:col w:w="2312" w:space="105"/>
            <w:col w:w="7593"/>
          </w:cols>
        </w:sectPr>
      </w:pPr>
    </w:p>
    <w:p>
      <w:pPr>
        <w:pStyle w:val="BodyText"/>
        <w:spacing w:before="9"/>
      </w:pPr>
    </w:p>
    <w:p>
      <w:pPr>
        <w:pStyle w:val="ListParagraph"/>
        <w:numPr>
          <w:ilvl w:val="0"/>
          <w:numId w:val="13"/>
        </w:numPr>
        <w:tabs>
          <w:tab w:pos="529" w:val="left" w:leader="none"/>
        </w:tabs>
        <w:spacing w:line="302" w:lineRule="auto" w:before="36" w:after="0"/>
        <w:ind w:left="2524" w:right="137" w:hanging="2416"/>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11"/>
          <w:sz w:val="18"/>
        </w:rPr>
        <w:t>断，并有 </w:t>
      </w:r>
      <w:r>
        <w:rPr>
          <w:sz w:val="18"/>
        </w:rPr>
        <w:t>CT</w:t>
      </w:r>
      <w:r>
        <w:rPr>
          <w:spacing w:val="-7"/>
          <w:sz w:val="18"/>
        </w:rPr>
        <w:t> 或核磁共振检查结果诊断报告。所谓不可逆的身体部位功能障碍指初次诊断为功</w:t>
      </w:r>
      <w:r>
        <w:rPr>
          <w:spacing w:val="-12"/>
          <w:sz w:val="18"/>
        </w:rPr>
        <w:t>能障碍后需持续 </w:t>
      </w:r>
      <w:r>
        <w:rPr>
          <w:sz w:val="18"/>
        </w:rPr>
        <w:t>180</w:t>
      </w:r>
      <w:r>
        <w:rPr>
          <w:spacing w:val="-10"/>
          <w:sz w:val="18"/>
        </w:rPr>
        <w:t> 天以上。</w:t>
      </w:r>
    </w:p>
    <w:p>
      <w:pPr>
        <w:pStyle w:val="BodyText"/>
        <w:spacing w:before="29"/>
        <w:ind w:left="2524"/>
      </w:pPr>
      <w:r>
        <w:rPr/>
        <w:t>由神经科专家提供的明确诊断必须包含以下全部三项内容：</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明确出现因视神经、脑干和脊髓损伤而导致的临床表现；</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散在的身体损害的多样性；</w:t>
      </w:r>
    </w:p>
    <w:p>
      <w:pPr>
        <w:pStyle w:val="ListParagraph"/>
        <w:numPr>
          <w:ilvl w:val="1"/>
          <w:numId w:val="13"/>
        </w:numPr>
        <w:tabs>
          <w:tab w:pos="2921" w:val="left" w:leader="none"/>
        </w:tabs>
        <w:spacing w:line="240" w:lineRule="auto" w:before="76" w:after="0"/>
        <w:ind w:left="2920" w:right="0" w:hanging="396"/>
        <w:jc w:val="left"/>
        <w:rPr>
          <w:sz w:val="18"/>
        </w:rPr>
      </w:pPr>
      <w:r>
        <w:rPr>
          <w:sz w:val="18"/>
        </w:rPr>
        <w:t>有明确的上述症状及神经损伤反复恶化、减轻的病史纪录。</w:t>
      </w:r>
    </w:p>
    <w:p>
      <w:pPr>
        <w:pStyle w:val="ListParagraph"/>
        <w:numPr>
          <w:ilvl w:val="0"/>
          <w:numId w:val="13"/>
        </w:numPr>
        <w:tabs>
          <w:tab w:pos="529" w:val="left" w:leader="none"/>
        </w:tabs>
        <w:spacing w:line="307" w:lineRule="auto" w:before="55" w:after="0"/>
        <w:ind w:left="2524" w:right="242" w:hanging="2416"/>
        <w:jc w:val="both"/>
        <w:rPr>
          <w:sz w:val="18"/>
        </w:rPr>
      </w:pPr>
      <w:r>
        <w:rPr>
          <w:b/>
          <w:spacing w:val="7"/>
          <w:sz w:val="21"/>
        </w:rPr>
        <w:t>原发性心肌病     </w:t>
      </w:r>
      <w:r>
        <w:rPr>
          <w:position w:val="1"/>
          <w:sz w:val="18"/>
        </w:rPr>
        <w:t>指不明原因引起的一类心肌病变，包括原发性扩张型心肌病、原发性肥厚型心肌病及原发性</w:t>
      </w:r>
      <w:r>
        <w:rPr>
          <w:sz w:val="18"/>
        </w:rPr>
        <w:t>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5"/>
          <w:sz w:val="18"/>
        </w:rPr>
        <w:t> 天。</w:t>
      </w:r>
    </w:p>
    <w:p>
      <w:pPr>
        <w:pStyle w:val="BodyText"/>
        <w:spacing w:line="316" w:lineRule="auto" w:before="25"/>
        <w:ind w:left="2524" w:right="278"/>
      </w:pPr>
      <w:r>
        <w:rPr/>
        <w:t>本病须经专科医师明确诊断。继发于全身性疾病或其它器官系统疾病或酗酒或滥用药物造成的心肌病变除外。</w:t>
      </w:r>
    </w:p>
    <w:p>
      <w:pPr>
        <w:pStyle w:val="BodyText"/>
        <w:spacing w:line="319" w:lineRule="auto" w:before="18"/>
        <w:ind w:left="2524" w:right="278"/>
      </w:pPr>
      <w:r>
        <w:rPr/>
        <w:t>美国纽约心脏协会分类标准心功能四级是指有医院的医疗记录显示病人不能进行任何活动， 休息时仍有心悸、呼吸困难等心力衰竭表现。</w:t>
      </w:r>
    </w:p>
    <w:p>
      <w:pPr>
        <w:pStyle w:val="BodyText"/>
        <w:spacing w:before="1"/>
        <w:rPr>
          <w:sz w:val="17"/>
        </w:rPr>
      </w:pPr>
    </w:p>
    <w:p>
      <w:pPr>
        <w:pStyle w:val="ListParagraph"/>
        <w:numPr>
          <w:ilvl w:val="0"/>
          <w:numId w:val="13"/>
        </w:numPr>
        <w:tabs>
          <w:tab w:pos="529" w:val="left" w:leader="none"/>
        </w:tabs>
        <w:spacing w:line="302" w:lineRule="auto" w:before="0" w:after="0"/>
        <w:ind w:left="2524" w:right="98" w:hanging="2416"/>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5" w:val="left" w:leader="none"/>
        </w:tabs>
        <w:spacing w:line="240" w:lineRule="auto" w:before="29" w:after="0"/>
        <w:ind w:left="2944" w:right="0" w:hanging="420"/>
        <w:jc w:val="left"/>
        <w:rPr>
          <w:sz w:val="18"/>
        </w:rPr>
      </w:pPr>
      <w:r>
        <w:rPr>
          <w:sz w:val="18"/>
        </w:rPr>
        <w:t>经药物、胸腺手术治疗一年以上无法控制病情，丧失正常工作能力；</w:t>
      </w:r>
    </w:p>
    <w:p>
      <w:pPr>
        <w:pStyle w:val="ListParagraph"/>
        <w:numPr>
          <w:ilvl w:val="1"/>
          <w:numId w:val="13"/>
        </w:numPr>
        <w:tabs>
          <w:tab w:pos="2945" w:val="left" w:leader="none"/>
        </w:tabs>
        <w:spacing w:line="316" w:lineRule="auto" w:before="76" w:after="0"/>
        <w:ind w:left="2944"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5" w:val="left" w:leader="none"/>
        </w:tabs>
        <w:spacing w:line="240" w:lineRule="auto" w:before="18" w:after="0"/>
        <w:ind w:left="2944" w:right="0" w:hanging="420"/>
        <w:jc w:val="left"/>
        <w:rPr>
          <w:sz w:val="18"/>
        </w:rPr>
      </w:pPr>
      <w:r>
        <w:rPr>
          <w:sz w:val="18"/>
        </w:rPr>
        <w:t>症状缓解、复发及恶化交替出现，临床接受新斯的明等抗胆碱酯酶药物治疗的病史。</w:t>
      </w:r>
    </w:p>
    <w:p>
      <w:pPr>
        <w:pStyle w:val="BodyText"/>
        <w:spacing w:before="8"/>
        <w:rPr>
          <w:sz w:val="21"/>
        </w:rPr>
      </w:pPr>
    </w:p>
    <w:p>
      <w:pPr>
        <w:pStyle w:val="ListParagraph"/>
        <w:numPr>
          <w:ilvl w:val="0"/>
          <w:numId w:val="13"/>
        </w:numPr>
        <w:tabs>
          <w:tab w:pos="529" w:val="left" w:leader="none"/>
        </w:tabs>
        <w:spacing w:line="302" w:lineRule="auto" w:before="0" w:after="0"/>
        <w:ind w:left="2524" w:right="134" w:hanging="2416"/>
        <w:jc w:val="both"/>
        <w:rPr>
          <w:sz w:val="18"/>
        </w:rPr>
      </w:pPr>
      <w:r>
        <w:rPr>
          <w:b/>
          <w:spacing w:val="10"/>
          <w:sz w:val="21"/>
        </w:rPr>
        <w:t>进行性核上性麻痹 </w:t>
      </w:r>
      <w:r>
        <w:rPr>
          <w:spacing w:val="-2"/>
          <w:position w:val="1"/>
          <w:sz w:val="18"/>
        </w:rPr>
        <w:t>进行性核上性麻痹</w:t>
      </w:r>
      <w:r>
        <w:rPr>
          <w:spacing w:val="-3"/>
          <w:position w:val="1"/>
          <w:sz w:val="18"/>
        </w:rPr>
        <w:t>（PSP）</w:t>
      </w:r>
      <w:r>
        <w:rPr>
          <w:spacing w:val="20"/>
          <w:position w:val="1"/>
          <w:sz w:val="18"/>
        </w:rPr>
        <w:t>又称</w:t>
      </w:r>
      <w:r>
        <w:rPr>
          <w:position w:val="1"/>
          <w:sz w:val="18"/>
        </w:rPr>
        <w:t>Steele-Rchardson-Olszewski</w:t>
      </w:r>
      <w:r>
        <w:rPr>
          <w:spacing w:val="-8"/>
          <w:position w:val="1"/>
          <w:sz w:val="18"/>
        </w:rPr>
        <w:t> 综合症，是一种神经系统变性疾</w:t>
      </w:r>
      <w:r>
        <w:rPr>
          <w:spacing w:val="-7"/>
          <w:sz w:val="18"/>
        </w:rPr>
        <w:t>病，以假球麻痹、垂直性核上性眼肌麻痹、锥体外系肌僵直、步态共济失调和轻度痴呆为主要临床特征。PSP</w:t>
      </w:r>
      <w:r>
        <w:rPr>
          <w:spacing w:val="-8"/>
          <w:sz w:val="18"/>
        </w:rPr>
        <w:t> 必须由三级甲等医院的神经内科专科医生确诊，并且被保险人自主生活能力完</w:t>
      </w:r>
    </w:p>
    <w:p>
      <w:pPr>
        <w:spacing w:after="0" w:line="302" w:lineRule="auto"/>
        <w:jc w:val="both"/>
        <w:rPr>
          <w:sz w:val="18"/>
        </w:rPr>
        <w:sectPr>
          <w:type w:val="continuous"/>
          <w:pgSz w:w="11910" w:h="16840"/>
          <w:pgMar w:top="1040" w:bottom="1160" w:left="1080" w:right="820"/>
        </w:sectPr>
      </w:pPr>
    </w:p>
    <w:p>
      <w:pPr>
        <w:pStyle w:val="BodyText"/>
        <w:spacing w:before="1"/>
        <w:rPr>
          <w:sz w:val="20"/>
        </w:rPr>
      </w:pPr>
    </w:p>
    <w:p>
      <w:pPr>
        <w:pStyle w:val="BodyText"/>
        <w:spacing w:before="45"/>
        <w:ind w:left="2524"/>
      </w:pPr>
      <w:r>
        <w:rPr/>
        <w:t>全丧失，无法独立完成六项基本日常生活活动中的三项或三项以上。</w:t>
      </w:r>
    </w:p>
    <w:p>
      <w:pPr>
        <w:pStyle w:val="BodyText"/>
        <w:spacing w:before="0"/>
      </w:pPr>
    </w:p>
    <w:p>
      <w:pPr>
        <w:pStyle w:val="BodyText"/>
        <w:spacing w:before="0"/>
      </w:pPr>
    </w:p>
    <w:p>
      <w:pPr>
        <w:pStyle w:val="ListParagraph"/>
        <w:numPr>
          <w:ilvl w:val="0"/>
          <w:numId w:val="13"/>
        </w:numPr>
        <w:tabs>
          <w:tab w:pos="529" w:val="left" w:leader="none"/>
          <w:tab w:pos="2524" w:val="left" w:leader="none"/>
        </w:tabs>
        <w:spacing w:line="290" w:lineRule="auto" w:before="121" w:after="0"/>
        <w:ind w:left="2524" w:right="197" w:hanging="2416"/>
        <w:jc w:val="left"/>
        <w:rPr>
          <w:sz w:val="18"/>
        </w:rPr>
      </w:pPr>
      <w:r>
        <w:rPr>
          <w:b/>
          <w:sz w:val="21"/>
        </w:rPr>
        <w:t>终末期肺病</w:t>
        <w:tab/>
      </w:r>
      <w:r>
        <w:rPr>
          <w:position w:val="1"/>
          <w:sz w:val="18"/>
        </w:rPr>
        <w:t>由本公司认可的呼吸专科医生确诊被保险人患有终末期肺病而出现慢性呼吸功能衰竭</w:t>
      </w:r>
      <w:r>
        <w:rPr>
          <w:spacing w:val="-39"/>
          <w:position w:val="1"/>
          <w:sz w:val="18"/>
        </w:rPr>
        <w:t>，</w:t>
      </w:r>
      <w:r>
        <w:rPr>
          <w:position w:val="1"/>
          <w:sz w:val="18"/>
        </w:rPr>
        <w:t>其诊断</w:t>
      </w:r>
      <w:r>
        <w:rPr>
          <w:sz w:val="18"/>
        </w:rPr>
        <w:t>标准包括以下各项：</w:t>
      </w:r>
    </w:p>
    <w:p>
      <w:pPr>
        <w:pStyle w:val="ListParagraph"/>
        <w:numPr>
          <w:ilvl w:val="1"/>
          <w:numId w:val="13"/>
        </w:numPr>
        <w:tabs>
          <w:tab w:pos="2979" w:val="left" w:leader="none"/>
        </w:tabs>
        <w:spacing w:line="240" w:lineRule="auto" w:before="38" w:after="0"/>
        <w:ind w:left="2978" w:right="0" w:hanging="454"/>
        <w:jc w:val="left"/>
        <w:rPr>
          <w:sz w:val="18"/>
        </w:rPr>
      </w:pPr>
      <w:r>
        <w:rPr>
          <w:spacing w:val="-8"/>
          <w:sz w:val="18"/>
        </w:rPr>
        <w:t>肺功能测试其 </w:t>
      </w:r>
      <w:r>
        <w:rPr>
          <w:sz w:val="18"/>
        </w:rPr>
        <w:t>FEVl</w:t>
      </w:r>
      <w:r>
        <w:rPr>
          <w:spacing w:val="-17"/>
          <w:sz w:val="18"/>
        </w:rPr>
        <w:t> 持续低于 </w:t>
      </w:r>
      <w:r>
        <w:rPr>
          <w:sz w:val="18"/>
        </w:rPr>
        <w:t>0.75</w:t>
      </w:r>
      <w:r>
        <w:rPr>
          <w:spacing w:val="-15"/>
          <w:sz w:val="18"/>
        </w:rPr>
        <w:t> 升；</w:t>
      </w:r>
    </w:p>
    <w:p>
      <w:pPr>
        <w:pStyle w:val="ListParagraph"/>
        <w:numPr>
          <w:ilvl w:val="1"/>
          <w:numId w:val="13"/>
        </w:numPr>
        <w:tabs>
          <w:tab w:pos="2979" w:val="left" w:leader="none"/>
        </w:tabs>
        <w:spacing w:line="240" w:lineRule="auto" w:before="76" w:after="0"/>
        <w:ind w:left="2978" w:right="0" w:hanging="454"/>
        <w:jc w:val="left"/>
        <w:rPr>
          <w:sz w:val="18"/>
        </w:rPr>
      </w:pPr>
      <w:r>
        <w:rPr>
          <w:spacing w:val="-2"/>
          <w:sz w:val="18"/>
        </w:rPr>
        <w:t>病人缺氧必须广泛而持续地进行输氧治疗；</w:t>
      </w:r>
    </w:p>
    <w:p>
      <w:pPr>
        <w:pStyle w:val="ListParagraph"/>
        <w:numPr>
          <w:ilvl w:val="1"/>
          <w:numId w:val="13"/>
        </w:numPr>
        <w:tabs>
          <w:tab w:pos="2979" w:val="left" w:leader="none"/>
        </w:tabs>
        <w:spacing w:line="240" w:lineRule="auto" w:before="76" w:after="0"/>
        <w:ind w:left="2978" w:right="0" w:hanging="454"/>
        <w:jc w:val="left"/>
        <w:rPr>
          <w:sz w:val="18"/>
        </w:rPr>
      </w:pPr>
      <w:r>
        <w:rPr>
          <w:spacing w:val="-5"/>
          <w:sz w:val="18"/>
        </w:rPr>
        <w:t>动脉血气分析氧分压低于 </w:t>
      </w:r>
      <w:r>
        <w:rPr>
          <w:sz w:val="18"/>
        </w:rPr>
        <w:t>55mmHg。</w:t>
      </w:r>
    </w:p>
    <w:p>
      <w:pPr>
        <w:pStyle w:val="BodyText"/>
        <w:ind w:left="2524"/>
      </w:pPr>
      <w:r>
        <w:rPr/>
        <w:t>理赔时必须提供以上各项中相应的医院证明文件或检查报告。</w:t>
      </w:r>
    </w:p>
    <w:p>
      <w:pPr>
        <w:pStyle w:val="BodyText"/>
        <w:spacing w:before="11"/>
      </w:pPr>
    </w:p>
    <w:p>
      <w:pPr>
        <w:spacing w:after="0"/>
        <w:sectPr>
          <w:pgSz w:w="11910" w:h="16840"/>
          <w:pgMar w:header="877" w:footer="977" w:top="1100" w:bottom="1160" w:left="1080" w:right="760"/>
        </w:sectPr>
      </w:pPr>
    </w:p>
    <w:p>
      <w:pPr>
        <w:pStyle w:val="Heading3"/>
        <w:numPr>
          <w:ilvl w:val="0"/>
          <w:numId w:val="13"/>
        </w:numPr>
        <w:tabs>
          <w:tab w:pos="529" w:val="left" w:leader="none"/>
        </w:tabs>
        <w:spacing w:line="273" w:lineRule="auto" w:before="36" w:after="0"/>
        <w:ind w:left="528" w:right="0" w:hanging="420"/>
        <w:jc w:val="left"/>
      </w:pPr>
      <w:r>
        <w:rPr>
          <w:spacing w:val="8"/>
        </w:rPr>
        <w:t>因输血感染艾滋病病毒</w:t>
      </w:r>
    </w:p>
    <w:p>
      <w:pPr>
        <w:pStyle w:val="BodyText"/>
        <w:spacing w:before="57"/>
        <w:ind w:left="108"/>
      </w:pPr>
      <w:r>
        <w:rPr/>
        <w:br w:type="column"/>
      </w:r>
      <w:r>
        <w:rPr/>
        <w:t>因输血而被艾滋病病毒（</w:t>
      </w:r>
      <w:r>
        <w:rPr>
          <w:spacing w:val="0"/>
        </w:rPr>
        <w:t>HIV</w:t>
      </w:r>
      <w:r>
        <w:rPr>
          <w:spacing w:val="-3"/>
        </w:rPr>
        <w:t>）</w:t>
      </w:r>
      <w:r>
        <w:rPr/>
        <w:t>感染或成为艾滋病患者（</w:t>
      </w:r>
      <w:r>
        <w:rPr>
          <w:spacing w:val="0"/>
        </w:rPr>
        <w:t>A</w:t>
      </w:r>
      <w:r>
        <w:rPr/>
        <w:t>ID</w:t>
      </w:r>
      <w:r>
        <w:rPr>
          <w:spacing w:val="0"/>
        </w:rPr>
        <w:t>S</w:t>
      </w:r>
      <w:r>
        <w:rPr>
          <w:spacing w:val="-92"/>
        </w:rPr>
        <w:t>）</w:t>
      </w:r>
      <w:r>
        <w:rPr>
          <w:spacing w:val="-1"/>
        </w:rPr>
        <w:t>，需要满足下列所有条件：</w:t>
      </w:r>
    </w:p>
    <w:p>
      <w:pPr>
        <w:pStyle w:val="ListParagraph"/>
        <w:numPr>
          <w:ilvl w:val="0"/>
          <w:numId w:val="18"/>
        </w:numPr>
        <w:tabs>
          <w:tab w:pos="528" w:val="left" w:leader="none"/>
        </w:tabs>
        <w:spacing w:line="316" w:lineRule="auto" w:before="76" w:after="0"/>
        <w:ind w:left="527" w:right="278" w:hanging="419"/>
        <w:jc w:val="left"/>
        <w:rPr>
          <w:sz w:val="18"/>
        </w:rPr>
      </w:pPr>
      <w:r>
        <w:rPr>
          <w:sz w:val="18"/>
        </w:rPr>
        <w:t>感染是由于必要的医疗性输血引起的，且医疗性输血是在保单生效日后或复效日后发生的；</w:t>
      </w:r>
    </w:p>
    <w:p>
      <w:pPr>
        <w:pStyle w:val="ListParagraph"/>
        <w:numPr>
          <w:ilvl w:val="0"/>
          <w:numId w:val="18"/>
        </w:numPr>
        <w:tabs>
          <w:tab w:pos="528" w:val="left" w:leader="none"/>
        </w:tabs>
        <w:spacing w:line="240" w:lineRule="auto" w:before="19" w:after="0"/>
        <w:ind w:left="527" w:right="0" w:hanging="419"/>
        <w:jc w:val="left"/>
        <w:rPr>
          <w:sz w:val="18"/>
        </w:rPr>
      </w:pPr>
      <w:r>
        <w:rPr>
          <w:sz w:val="18"/>
        </w:rPr>
        <w:t>提供输血的医疗机构承认该项输血感染为医疗责任事故；</w:t>
      </w:r>
    </w:p>
    <w:p>
      <w:pPr>
        <w:pStyle w:val="ListParagraph"/>
        <w:numPr>
          <w:ilvl w:val="0"/>
          <w:numId w:val="18"/>
        </w:numPr>
        <w:tabs>
          <w:tab w:pos="528" w:val="left" w:leader="none"/>
        </w:tabs>
        <w:spacing w:line="240" w:lineRule="auto" w:before="76" w:after="0"/>
        <w:ind w:left="527" w:right="0" w:hanging="419"/>
        <w:jc w:val="left"/>
        <w:rPr>
          <w:sz w:val="18"/>
        </w:rPr>
      </w:pPr>
      <w:r>
        <w:rPr>
          <w:sz w:val="18"/>
        </w:rPr>
        <w:t>被保险人不是血友病患者。</w:t>
      </w:r>
    </w:p>
    <w:p>
      <w:pPr>
        <w:spacing w:after="0" w:line="240" w:lineRule="auto"/>
        <w:jc w:val="left"/>
        <w:rPr>
          <w:sz w:val="18"/>
        </w:rPr>
        <w:sectPr>
          <w:type w:val="continuous"/>
          <w:pgSz w:w="11910" w:h="16840"/>
          <w:pgMar w:top="1040" w:bottom="1160" w:left="1080" w:right="760"/>
          <w:cols w:num="2" w:equalWidth="0">
            <w:col w:w="2312" w:space="105"/>
            <w:col w:w="7653"/>
          </w:cols>
        </w:sectPr>
      </w:pPr>
    </w:p>
    <w:p>
      <w:pPr>
        <w:pStyle w:val="BodyText"/>
        <w:spacing w:before="11"/>
      </w:pPr>
    </w:p>
    <w:p>
      <w:pPr>
        <w:spacing w:after="0"/>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严重类风湿性关节炎</w:t>
      </w:r>
    </w:p>
    <w:p>
      <w:pPr>
        <w:pStyle w:val="BodyText"/>
        <w:spacing w:line="316" w:lineRule="auto" w:before="57"/>
        <w:ind w:left="108" w:right="105"/>
      </w:pPr>
      <w:r>
        <w:rPr/>
        <w:br w:type="column"/>
      </w:r>
      <w:r>
        <w:rPr>
          <w:spacing w:val="-6"/>
        </w:rPr>
        <w:t>是指广泛的慢性渐进性的关节损害，伴有明显的关节畸形，至少累及三个或三个以上关节</w:t>
      </w:r>
      <w:r>
        <w:rPr/>
        <w:t>（如： 手，腕，肘，髋，膝，踝关节</w:t>
      </w:r>
      <w:r>
        <w:rPr>
          <w:spacing w:val="-92"/>
        </w:rPr>
        <w:t>）</w:t>
      </w:r>
      <w:r>
        <w:rPr/>
        <w:t>。此疾病必须已经导致了自主生活能力完全丧失，不能独立完成六项基本日常生活活动中的三项或三项以上的情形。</w:t>
      </w:r>
    </w:p>
    <w:p>
      <w:pPr>
        <w:pStyle w:val="BodyText"/>
        <w:spacing w:before="18"/>
        <w:ind w:left="108"/>
      </w:pPr>
      <w:r>
        <w:rPr/>
        <w:t>上述疾病需由专科医生确诊，并提供相应医疗记录以证实上述病情已经存在至少 3 个月。</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3"/>
        </w:numPr>
        <w:tabs>
          <w:tab w:pos="529" w:val="left" w:leader="none"/>
          <w:tab w:pos="2524" w:val="left" w:leader="none"/>
        </w:tabs>
        <w:spacing w:line="240" w:lineRule="auto" w:before="36" w:after="0"/>
        <w:ind w:left="2524" w:right="0" w:hanging="2416"/>
        <w:jc w:val="left"/>
        <w:rPr>
          <w:sz w:val="18"/>
        </w:rPr>
      </w:pPr>
      <w:r>
        <w:rPr>
          <w:b/>
          <w:sz w:val="21"/>
        </w:rPr>
        <w:t>肾髓质囊性病</w:t>
        <w:tab/>
      </w:r>
      <w:r>
        <w:rPr>
          <w:position w:val="1"/>
          <w:sz w:val="18"/>
        </w:rPr>
        <w:t>肾髓质囊性病的诊断必须同时符合下列要求：</w:t>
      </w:r>
    </w:p>
    <w:p>
      <w:pPr>
        <w:pStyle w:val="ListParagraph"/>
        <w:numPr>
          <w:ilvl w:val="1"/>
          <w:numId w:val="13"/>
        </w:numPr>
        <w:tabs>
          <w:tab w:pos="2945" w:val="left" w:leader="none"/>
        </w:tabs>
        <w:spacing w:line="240" w:lineRule="auto" w:before="57" w:after="0"/>
        <w:ind w:left="2944" w:right="0" w:hanging="420"/>
        <w:jc w:val="left"/>
        <w:rPr>
          <w:sz w:val="18"/>
        </w:rPr>
      </w:pPr>
      <w:r>
        <w:rPr>
          <w:sz w:val="18"/>
        </w:rPr>
        <w:t>肾髓质有囊肿、肾小管萎缩及间质纤维化等病理改变；</w:t>
      </w:r>
    </w:p>
    <w:p>
      <w:pPr>
        <w:pStyle w:val="ListParagraph"/>
        <w:numPr>
          <w:ilvl w:val="1"/>
          <w:numId w:val="13"/>
        </w:numPr>
        <w:tabs>
          <w:tab w:pos="2945" w:val="left" w:leader="none"/>
        </w:tabs>
        <w:spacing w:line="240" w:lineRule="auto" w:before="76" w:after="0"/>
        <w:ind w:left="2944" w:right="0" w:hanging="420"/>
        <w:jc w:val="left"/>
        <w:rPr>
          <w:sz w:val="18"/>
        </w:rPr>
      </w:pPr>
      <w:r>
        <w:rPr>
          <w:sz w:val="18"/>
        </w:rPr>
        <w:t>贫血、多尿及肾功能衰竭等临床表现；</w:t>
      </w:r>
    </w:p>
    <w:p>
      <w:pPr>
        <w:pStyle w:val="ListParagraph"/>
        <w:numPr>
          <w:ilvl w:val="1"/>
          <w:numId w:val="13"/>
        </w:numPr>
        <w:tabs>
          <w:tab w:pos="2945" w:val="left" w:leader="none"/>
        </w:tabs>
        <w:spacing w:line="240" w:lineRule="auto" w:before="76" w:after="0"/>
        <w:ind w:left="2944" w:right="0" w:hanging="420"/>
        <w:jc w:val="left"/>
        <w:rPr>
          <w:sz w:val="18"/>
        </w:rPr>
      </w:pPr>
      <w:r>
        <w:rPr>
          <w:sz w:val="18"/>
        </w:rPr>
        <w:t>诊断须由肾组织活检确定。</w:t>
      </w:r>
    </w:p>
    <w:p>
      <w:pPr>
        <w:pStyle w:val="BodyText"/>
        <w:spacing w:before="8"/>
        <w:rPr>
          <w:sz w:val="21"/>
        </w:rPr>
      </w:pPr>
    </w:p>
    <w:p>
      <w:pPr>
        <w:pStyle w:val="ListParagraph"/>
        <w:numPr>
          <w:ilvl w:val="0"/>
          <w:numId w:val="13"/>
        </w:numPr>
        <w:tabs>
          <w:tab w:pos="529" w:val="left" w:leader="none"/>
          <w:tab w:pos="2524" w:val="left" w:leader="none"/>
        </w:tabs>
        <w:spacing w:line="240" w:lineRule="auto" w:before="0" w:after="0"/>
        <w:ind w:left="2524" w:right="0" w:hanging="2416"/>
        <w:jc w:val="left"/>
        <w:rPr>
          <w:sz w:val="18"/>
        </w:rPr>
      </w:pPr>
      <w:r>
        <w:rPr>
          <w:b/>
          <w:sz w:val="21"/>
        </w:rPr>
        <w:t>脑动脉瘤开颅手术</w:t>
        <w:tab/>
      </w:r>
      <w:r>
        <w:rPr>
          <w:position w:val="1"/>
          <w:sz w:val="18"/>
        </w:rPr>
        <w:t>指确已进行开颅手术以夹闭、修复或切除脑动脉瘤。但不包括导管及血管内手术。</w:t>
      </w:r>
    </w:p>
    <w:p>
      <w:pPr>
        <w:pStyle w:val="BodyText"/>
        <w:spacing w:before="3"/>
        <w:rPr>
          <w:sz w:val="17"/>
        </w:rPr>
      </w:pPr>
    </w:p>
    <w:p>
      <w:pPr>
        <w:spacing w:after="0"/>
        <w:rPr>
          <w:sz w:val="17"/>
        </w:rPr>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特发性慢性肾上腺皮质功能减退</w:t>
      </w:r>
    </w:p>
    <w:p>
      <w:pPr>
        <w:pStyle w:val="BodyText"/>
        <w:spacing w:line="319" w:lineRule="auto" w:before="57"/>
        <w:ind w:left="108" w:right="139"/>
      </w:pPr>
      <w:r>
        <w:rPr/>
        <w:br w:type="column"/>
      </w:r>
      <w:r>
        <w:rPr/>
        <w:t>指自身免疫性肾上腺炎（既往称：特发性肾上腺皮质萎缩）导致肾上腺萎缩和慢性肾上腺皮质功能减退。必须满足所有以下条件：</w:t>
      </w:r>
    </w:p>
    <w:p>
      <w:pPr>
        <w:pStyle w:val="BodyText"/>
        <w:spacing w:before="16"/>
        <w:ind w:left="108"/>
      </w:pPr>
      <w:r>
        <w:rPr/>
        <w:t>（1）明确诊断，符合所有以下诊断标准；</w:t>
      </w:r>
    </w:p>
    <w:p>
      <w:pPr>
        <w:pStyle w:val="BodyText"/>
        <w:ind w:left="108"/>
      </w:pPr>
      <w:r>
        <w:rPr/>
        <w:t>① 血浆促肾上腺皮质激素(ACTH)水平测定大于100pg/ml；</w:t>
      </w:r>
    </w:p>
    <w:p>
      <w:pPr>
        <w:pStyle w:val="BodyText"/>
        <w:spacing w:line="316" w:lineRule="auto"/>
        <w:ind w:left="108" w:right="197"/>
      </w:pPr>
      <w:r>
        <w:rPr/>
        <w:t>② 血浆和尿游离皮质醇及尿17羟皮质类固醇、17酮皮质类固醇测定、血浆肾素活性、血管紧张素II和醛固酮测定，显示为原发性肾上腺皮质功能减退症；</w:t>
      </w:r>
    </w:p>
    <w:p>
      <w:pPr>
        <w:pStyle w:val="BodyText"/>
        <w:spacing w:before="18"/>
        <w:ind w:left="108"/>
      </w:pPr>
      <w:r>
        <w:rPr/>
        <w:t>③ 促肾上腺皮质激素(ACTH)刺激试验显示为原发性肾上腺皮质功能减退症。</w:t>
      </w:r>
    </w:p>
    <w:p>
      <w:pPr>
        <w:pStyle w:val="BodyText"/>
        <w:ind w:left="108"/>
      </w:pPr>
      <w:r>
        <w:rPr/>
        <w:t>（2）已经采用皮质类固醇替代治疗180天以上。</w:t>
      </w:r>
    </w:p>
    <w:p>
      <w:pPr>
        <w:pStyle w:val="BodyText"/>
        <w:spacing w:line="316" w:lineRule="auto"/>
        <w:ind w:left="108" w:right="197"/>
      </w:pPr>
      <w:r>
        <w:rPr/>
        <w:t>肾上腺结核、HIV</w:t>
      </w:r>
      <w:r>
        <w:rPr>
          <w:spacing w:val="-7"/>
        </w:rPr>
        <w:t> 感染或艾滋病、感染、肿瘤所致的原发性肾上腺皮质功能减退和继发性肾上腺皮质功能减退不在保障范围内。</w:t>
      </w:r>
    </w:p>
    <w:p>
      <w:pPr>
        <w:spacing w:after="0" w:line="316" w:lineRule="auto"/>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3"/>
        </w:numPr>
        <w:tabs>
          <w:tab w:pos="529" w:val="left" w:leader="none"/>
        </w:tabs>
        <w:spacing w:line="273" w:lineRule="auto" w:before="37" w:after="0"/>
        <w:ind w:left="528" w:right="0" w:hanging="420"/>
        <w:jc w:val="left"/>
      </w:pPr>
      <w:r>
        <w:rPr>
          <w:spacing w:val="8"/>
        </w:rPr>
        <w:t>严重冠状动脉粥样硬化性心脏病</w:t>
      </w:r>
    </w:p>
    <w:p>
      <w:pPr>
        <w:pStyle w:val="BodyText"/>
        <w:spacing w:line="319" w:lineRule="auto" w:before="57"/>
        <w:ind w:left="108" w:right="140"/>
      </w:pPr>
      <w:r>
        <w:rPr/>
        <w:br w:type="column"/>
      </w:r>
      <w:r>
        <w:rPr/>
        <w:t>指经心脏科专科医师根据冠状动脉造影检查结果确诊为主要血管严重狭窄性病变，须满足下列至少一项条件：</w:t>
      </w:r>
    </w:p>
    <w:p>
      <w:pPr>
        <w:pStyle w:val="BodyText"/>
        <w:spacing w:line="316" w:lineRule="auto" w:before="16"/>
        <w:ind w:left="108" w:right="194"/>
      </w:pPr>
      <w:r>
        <w:rPr>
          <w:spacing w:val="-15"/>
        </w:rPr>
        <w:t>（1）</w:t>
      </w:r>
      <w:r>
        <w:rPr>
          <w:spacing w:val="-3"/>
        </w:rPr>
        <w:t>左冠状动脉主干和右冠状动脉中，一支血管管腔堵塞</w:t>
      </w:r>
      <w:r>
        <w:rPr/>
        <w:t>75</w:t>
      </w:r>
      <w:r>
        <w:rPr>
          <w:spacing w:val="-7"/>
        </w:rPr>
        <w:t>％以上，另一支血管管腔堵塞</w:t>
      </w:r>
      <w:r>
        <w:rPr/>
        <w:t>60％ 以上；</w:t>
      </w:r>
    </w:p>
    <w:p>
      <w:pPr>
        <w:pStyle w:val="BodyText"/>
        <w:spacing w:line="316" w:lineRule="auto" w:before="18"/>
        <w:ind w:left="108" w:right="149"/>
      </w:pPr>
      <w:r>
        <w:rPr/>
        <w:t>（2）前降支、回旋支和右冠状动脉中，至少一支血管管腔堵塞75%以上，其他两支血管管腔堵塞60%以上。</w:t>
      </w:r>
    </w:p>
    <w:p>
      <w:pPr>
        <w:pStyle w:val="BodyText"/>
        <w:spacing w:before="18"/>
        <w:ind w:left="108"/>
      </w:pPr>
      <w:r>
        <w:rPr/>
        <w:t>前降支的分支血管、左旋支的分支血管及右冠状动脉的分支血管的狭窄不作为本保障的衡量指</w:t>
      </w:r>
    </w:p>
    <w:p>
      <w:pPr>
        <w:spacing w:after="0"/>
        <w:sectPr>
          <w:type w:val="continuous"/>
          <w:pgSz w:w="11910" w:h="16840"/>
          <w:pgMar w:top="1040" w:bottom="1160" w:left="1080" w:right="760"/>
          <w:cols w:num="2" w:equalWidth="0">
            <w:col w:w="2312" w:space="105"/>
            <w:col w:w="7653"/>
          </w:cols>
        </w:sectPr>
      </w:pPr>
    </w:p>
    <w:p>
      <w:pPr>
        <w:pStyle w:val="BodyText"/>
        <w:spacing w:before="1"/>
        <w:rPr>
          <w:sz w:val="20"/>
        </w:rPr>
      </w:pPr>
    </w:p>
    <w:p>
      <w:pPr>
        <w:pStyle w:val="BodyText"/>
        <w:spacing w:before="45"/>
        <w:ind w:left="2584"/>
      </w:pPr>
      <w:r>
        <w:rPr/>
        <w:t>标。</w:t>
      </w:r>
    </w:p>
    <w:p>
      <w:pPr>
        <w:pStyle w:val="BodyText"/>
        <w:spacing w:before="9"/>
      </w:pPr>
    </w:p>
    <w:p>
      <w:pPr>
        <w:spacing w:after="0"/>
        <w:sectPr>
          <w:pgSz w:w="11910" w:h="16840"/>
          <w:pgMar w:header="877" w:footer="977" w:top="1100" w:bottom="1160" w:left="1020" w:right="760"/>
        </w:sectPr>
      </w:pPr>
    </w:p>
    <w:p>
      <w:pPr>
        <w:pStyle w:val="Heading3"/>
        <w:numPr>
          <w:ilvl w:val="0"/>
          <w:numId w:val="13"/>
        </w:numPr>
        <w:tabs>
          <w:tab w:pos="589" w:val="left" w:leader="none"/>
        </w:tabs>
        <w:spacing w:line="240" w:lineRule="auto" w:before="36" w:after="0"/>
        <w:ind w:left="588" w:right="0" w:hanging="420"/>
        <w:jc w:val="left"/>
      </w:pPr>
      <w:r>
        <w:rPr/>
        <w:t>严重克罗恩病</w:t>
      </w:r>
    </w:p>
    <w:p>
      <w:pPr>
        <w:spacing w:before="36"/>
        <w:ind w:left="475" w:right="0" w:firstLine="0"/>
        <w:jc w:val="left"/>
        <w:rPr>
          <w:b/>
          <w:sz w:val="21"/>
        </w:rPr>
      </w:pPr>
      <w:r>
        <w:rPr>
          <w:b/>
          <w:spacing w:val="-3"/>
          <w:sz w:val="21"/>
        </w:rPr>
        <w:t>（</w:t>
      </w:r>
      <w:r>
        <w:rPr>
          <w:rFonts w:ascii="Times New Roman" w:hAnsi="Times New Roman" w:eastAsia="Times New Roman"/>
          <w:b/>
          <w:spacing w:val="-3"/>
          <w:sz w:val="21"/>
        </w:rPr>
        <w:t>Crohn’s </w:t>
      </w:r>
      <w:r>
        <w:rPr>
          <w:b/>
          <w:sz w:val="21"/>
        </w:rPr>
        <w:t>病）</w:t>
      </w:r>
    </w:p>
    <w:p>
      <w:pPr>
        <w:pStyle w:val="BodyText"/>
        <w:spacing w:line="316" w:lineRule="auto" w:before="57"/>
        <w:ind w:left="168" w:right="140"/>
      </w:pPr>
      <w:r>
        <w:rPr/>
        <w:br w:type="column"/>
      </w:r>
      <w:r>
        <w:rPr/>
        <w:t>克罗恩病是一种慢性肉芽肿性肠炎，具有特征性的克罗恩病病理组织学变化。诊断必须由病理检查结果证实。被保险人所患的克罗恩病必须已经造成瘘管形成并伴有肠梗阻或肠穿孔。</w:t>
      </w:r>
    </w:p>
    <w:p>
      <w:pPr>
        <w:spacing w:after="0" w:line="316" w:lineRule="auto"/>
        <w:sectPr>
          <w:type w:val="continuous"/>
          <w:pgSz w:w="11910" w:h="16840"/>
          <w:pgMar w:top="1040" w:bottom="1160" w:left="1020" w:right="760"/>
          <w:cols w:num="2" w:equalWidth="0">
            <w:col w:w="1885" w:space="532"/>
            <w:col w:w="7713"/>
          </w:cols>
        </w:sectPr>
      </w:pPr>
    </w:p>
    <w:p>
      <w:pPr>
        <w:pStyle w:val="BodyText"/>
        <w:spacing w:before="1" w:after="1"/>
        <w:rPr>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41"/>
        <w:gridCol w:w="7536"/>
      </w:tblGrid>
      <w:tr>
        <w:trPr>
          <w:trHeight w:val="579" w:hRule="atLeast"/>
        </w:trPr>
        <w:tc>
          <w:tcPr>
            <w:tcW w:w="418" w:type="dxa"/>
          </w:tcPr>
          <w:p>
            <w:pPr>
              <w:pStyle w:val="TableParagraph"/>
              <w:spacing w:line="211" w:lineRule="exact"/>
              <w:ind w:right="49"/>
              <w:jc w:val="right"/>
              <w:rPr>
                <w:b/>
                <w:sz w:val="21"/>
              </w:rPr>
            </w:pPr>
            <w:r>
              <w:rPr>
                <w:b/>
                <w:sz w:val="21"/>
              </w:rPr>
              <w:t>40.</w:t>
            </w:r>
          </w:p>
        </w:tc>
        <w:tc>
          <w:tcPr>
            <w:tcW w:w="1941" w:type="dxa"/>
          </w:tcPr>
          <w:p>
            <w:pPr>
              <w:pStyle w:val="TableParagraph"/>
              <w:spacing w:line="211" w:lineRule="exact"/>
              <w:ind w:left="52"/>
              <w:rPr>
                <w:b/>
                <w:sz w:val="21"/>
              </w:rPr>
            </w:pPr>
            <w:r>
              <w:rPr>
                <w:b/>
                <w:sz w:val="21"/>
              </w:rPr>
              <w:t>重症骨髓增生异常</w:t>
            </w:r>
          </w:p>
          <w:p>
            <w:pPr>
              <w:pStyle w:val="TableParagraph"/>
              <w:spacing w:before="37"/>
              <w:ind w:left="52"/>
              <w:rPr>
                <w:b/>
                <w:sz w:val="21"/>
              </w:rPr>
            </w:pPr>
            <w:r>
              <w:rPr>
                <w:b/>
                <w:sz w:val="21"/>
              </w:rPr>
              <w:t>综合征</w:t>
            </w:r>
          </w:p>
        </w:tc>
        <w:tc>
          <w:tcPr>
            <w:tcW w:w="7536" w:type="dxa"/>
          </w:tcPr>
          <w:p>
            <w:pPr>
              <w:pStyle w:val="TableParagraph"/>
              <w:spacing w:line="192" w:lineRule="exact"/>
              <w:ind w:left="107"/>
              <w:rPr>
                <w:sz w:val="18"/>
              </w:rPr>
            </w:pPr>
            <w:r>
              <w:rPr>
                <w:sz w:val="18"/>
              </w:rPr>
              <w:t>骨髓增生异常综合征是一组异质性克隆性造血干细胞疾病，表现为进行性、难治性外周血红细</w:t>
            </w:r>
          </w:p>
          <w:p>
            <w:pPr>
              <w:pStyle w:val="TableParagraph"/>
              <w:spacing w:before="76"/>
              <w:ind w:left="107"/>
              <w:rPr>
                <w:sz w:val="18"/>
              </w:rPr>
            </w:pPr>
            <w:r>
              <w:rPr>
                <w:sz w:val="18"/>
              </w:rPr>
              <w:t>胞、粒细胞及血小板减少，有转化为白血病的风险。本病必须根据骨髓的活组织检查和周围血</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象检查由血液科专科医生明确诊断，并且满足下列全部条件：</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w:t>
            </w:r>
            <w:r>
              <w:rPr>
                <w:spacing w:val="0"/>
                <w:sz w:val="18"/>
              </w:rPr>
              <w:t>1</w:t>
            </w:r>
            <w:r>
              <w:rPr>
                <w:sz w:val="18"/>
              </w:rPr>
              <w:t>）</w:t>
            </w:r>
            <w:r>
              <w:rPr>
                <w:spacing w:val="0"/>
                <w:sz w:val="18"/>
              </w:rPr>
              <w:t>F</w:t>
            </w:r>
            <w:r>
              <w:rPr>
                <w:spacing w:val="-2"/>
                <w:sz w:val="18"/>
              </w:rPr>
              <w:t>A</w:t>
            </w:r>
            <w:r>
              <w:rPr>
                <w:spacing w:val="0"/>
                <w:sz w:val="18"/>
              </w:rPr>
              <w:t>B</w:t>
            </w:r>
            <w:r>
              <w:rPr>
                <w:spacing w:val="-1"/>
                <w:sz w:val="18"/>
              </w:rPr>
              <w:t>分型为难治性贫血伴原始细胞增多</w:t>
            </w:r>
            <w:r>
              <w:rPr>
                <w:sz w:val="18"/>
              </w:rPr>
              <w:t>（</w:t>
            </w:r>
            <w:r>
              <w:rPr>
                <w:spacing w:val="0"/>
                <w:sz w:val="18"/>
              </w:rPr>
              <w:t>RA</w:t>
            </w:r>
            <w:r>
              <w:rPr>
                <w:spacing w:val="-2"/>
                <w:sz w:val="18"/>
              </w:rPr>
              <w:t>E</w:t>
            </w:r>
            <w:r>
              <w:rPr>
                <w:spacing w:val="0"/>
                <w:sz w:val="18"/>
              </w:rPr>
              <w:t>B</w:t>
            </w:r>
            <w:r>
              <w:rPr>
                <w:spacing w:val="-92"/>
                <w:sz w:val="18"/>
              </w:rPr>
              <w:t>）</w:t>
            </w:r>
            <w:r>
              <w:rPr>
                <w:sz w:val="18"/>
              </w:rPr>
              <w:t>；</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（2）根据骨髓增生异常综合征国际预后积分系统（IPSS-R）修订版评分&gt;3分，属于中危及以</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上组；</w:t>
            </w:r>
          </w:p>
        </w:tc>
      </w:tr>
      <w:tr>
        <w:trPr>
          <w:trHeight w:val="419"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（3）已经实际接受了化学治疗或骨髓移植。</w:t>
            </w:r>
          </w:p>
        </w:tc>
      </w:tr>
      <w:tr>
        <w:trPr>
          <w:trHeight w:val="753" w:hRule="atLeast"/>
        </w:trPr>
        <w:tc>
          <w:tcPr>
            <w:tcW w:w="418" w:type="dxa"/>
          </w:tcPr>
          <w:p>
            <w:pPr>
              <w:pStyle w:val="TableParagraph"/>
              <w:spacing w:before="110"/>
              <w:ind w:right="49"/>
              <w:jc w:val="right"/>
              <w:rPr>
                <w:b/>
                <w:sz w:val="21"/>
              </w:rPr>
            </w:pPr>
            <w:r>
              <w:rPr>
                <w:b/>
                <w:sz w:val="21"/>
              </w:rPr>
              <w:t>41.</w:t>
            </w:r>
          </w:p>
        </w:tc>
        <w:tc>
          <w:tcPr>
            <w:tcW w:w="1941" w:type="dxa"/>
          </w:tcPr>
          <w:p>
            <w:pPr>
              <w:pStyle w:val="TableParagraph"/>
              <w:spacing w:line="273" w:lineRule="auto" w:before="110"/>
              <w:ind w:left="52" w:right="103"/>
              <w:rPr>
                <w:b/>
                <w:sz w:val="21"/>
              </w:rPr>
            </w:pPr>
            <w:r>
              <w:rPr>
                <w:b/>
                <w:sz w:val="21"/>
              </w:rPr>
              <w:t>非阿尔茨海默病所致严重痴呆</w:t>
            </w:r>
          </w:p>
        </w:tc>
        <w:tc>
          <w:tcPr>
            <w:tcW w:w="7536" w:type="dxa"/>
          </w:tcPr>
          <w:p>
            <w:pPr>
              <w:pStyle w:val="TableParagraph"/>
              <w:spacing w:line="310" w:lineRule="atLeast" w:before="56"/>
              <w:ind w:left="107" w:right="25"/>
              <w:rPr>
                <w:sz w:val="18"/>
              </w:rPr>
            </w:pPr>
            <w:r>
              <w:rPr>
                <w:sz w:val="18"/>
              </w:rPr>
              <w:t>指因阿尔茨海默病以外的脑的器质性疾病造成脑功能衰竭导致永久不可逆性的严重痴呆，临床表现为明显的认知能力障碍、行为异常和社交能力减退。被保险人自主生活能力完全丧失，无</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法独立完成六项基本日常生活活动中的三项或三项以上，日常生活必须持续受到他人监护。导</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致痴呆的疾病必须明确诊断，并且有完整的临床、实验室和影像学检查结果证实。</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神经官能症,精神疾病及酒精中毒所致脑损害不在保障范围内。</w:t>
            </w:r>
          </w:p>
        </w:tc>
      </w:tr>
      <w:tr>
        <w:trPr>
          <w:trHeight w:val="752" w:hRule="atLeast"/>
        </w:trPr>
        <w:tc>
          <w:tcPr>
            <w:tcW w:w="418" w:type="dxa"/>
          </w:tcPr>
          <w:p>
            <w:pPr>
              <w:pStyle w:val="TableParagraph"/>
              <w:spacing w:before="109"/>
              <w:ind w:right="49"/>
              <w:jc w:val="right"/>
              <w:rPr>
                <w:b/>
                <w:sz w:val="21"/>
              </w:rPr>
            </w:pPr>
            <w:r>
              <w:rPr>
                <w:b/>
                <w:sz w:val="21"/>
              </w:rPr>
              <w:t>42.</w:t>
            </w:r>
          </w:p>
        </w:tc>
        <w:tc>
          <w:tcPr>
            <w:tcW w:w="1941" w:type="dxa"/>
          </w:tcPr>
          <w:p>
            <w:pPr>
              <w:pStyle w:val="TableParagraph"/>
              <w:spacing w:line="273" w:lineRule="auto" w:before="109"/>
              <w:ind w:left="52" w:right="103"/>
              <w:rPr>
                <w:b/>
                <w:sz w:val="21"/>
              </w:rPr>
            </w:pPr>
            <w:r>
              <w:rPr>
                <w:b/>
                <w:sz w:val="21"/>
              </w:rPr>
              <w:t>重症急性坏死性筋膜炎</w:t>
            </w:r>
          </w:p>
        </w:tc>
        <w:tc>
          <w:tcPr>
            <w:tcW w:w="7536" w:type="dxa"/>
          </w:tcPr>
          <w:p>
            <w:pPr>
              <w:pStyle w:val="TableParagraph"/>
              <w:spacing w:line="310" w:lineRule="atLeast" w:before="55"/>
              <w:ind w:left="107" w:right="25"/>
              <w:rPr>
                <w:sz w:val="18"/>
              </w:rPr>
            </w:pPr>
            <w:r>
              <w:rPr>
                <w:sz w:val="18"/>
              </w:rPr>
              <w:t>是一种由细菌侵入皮下组织和筋膜引起的急性坏死性软组织感染，可伴有毒血症、败血症、中毒性休克、弥漫性血管内凝血及多器官衰竭。必须满足以下所有条件：</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（1）细菌培养和临床表现符合坏死性筋膜炎诊断标准；</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（2）病情迅速恶化，有脓毒血症表现；</w:t>
            </w:r>
          </w:p>
        </w:tc>
      </w:tr>
      <w:tr>
        <w:trPr>
          <w:trHeight w:val="419"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（3）受感染肢体被截肢（自腕关节或踝关节近端</w:t>
            </w:r>
            <w:r>
              <w:rPr>
                <w:spacing w:val="-92"/>
                <w:sz w:val="18"/>
              </w:rPr>
              <w:t>）</w:t>
            </w:r>
            <w:r>
              <w:rPr>
                <w:sz w:val="18"/>
              </w:rPr>
              <w:t>。</w:t>
            </w:r>
          </w:p>
        </w:tc>
      </w:tr>
      <w:tr>
        <w:trPr>
          <w:trHeight w:val="441" w:hRule="atLeast"/>
        </w:trPr>
        <w:tc>
          <w:tcPr>
            <w:tcW w:w="418" w:type="dxa"/>
          </w:tcPr>
          <w:p>
            <w:pPr>
              <w:pStyle w:val="TableParagraph"/>
              <w:spacing w:before="110"/>
              <w:ind w:right="49"/>
              <w:jc w:val="right"/>
              <w:rPr>
                <w:b/>
                <w:sz w:val="21"/>
              </w:rPr>
            </w:pPr>
            <w:r>
              <w:rPr>
                <w:b/>
                <w:sz w:val="21"/>
              </w:rPr>
              <w:t>43.</w:t>
            </w:r>
          </w:p>
        </w:tc>
        <w:tc>
          <w:tcPr>
            <w:tcW w:w="1941" w:type="dxa"/>
          </w:tcPr>
          <w:p>
            <w:pPr>
              <w:pStyle w:val="TableParagraph"/>
              <w:spacing w:before="110"/>
              <w:ind w:left="52"/>
              <w:rPr>
                <w:b/>
                <w:sz w:val="21"/>
              </w:rPr>
            </w:pPr>
            <w:r>
              <w:rPr>
                <w:b/>
                <w:sz w:val="21"/>
              </w:rPr>
              <w:t>胰腺移植</w:t>
            </w:r>
          </w:p>
        </w:tc>
        <w:tc>
          <w:tcPr>
            <w:tcW w:w="7536" w:type="dxa"/>
          </w:tcPr>
          <w:p>
            <w:pPr>
              <w:pStyle w:val="TableParagraph"/>
              <w:spacing w:before="130"/>
              <w:ind w:left="107"/>
              <w:rPr>
                <w:sz w:val="18"/>
              </w:rPr>
            </w:pPr>
            <w:r>
              <w:rPr>
                <w:sz w:val="18"/>
              </w:rPr>
              <w:t>指因胰腺功能衰竭，已经实施了在全身麻醉下进行的胰腺的异体器官移植手术（供体必须是人</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体器官</w:t>
            </w:r>
            <w:r>
              <w:rPr>
                <w:spacing w:val="-92"/>
                <w:sz w:val="18"/>
              </w:rPr>
              <w:t>）</w:t>
            </w:r>
            <w:r>
              <w:rPr>
                <w:sz w:val="18"/>
              </w:rPr>
              <w:t>。</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单纯胰岛移植、部分胰腺组织或细胞的移植不在保障范围内。</w:t>
            </w:r>
          </w:p>
        </w:tc>
      </w:tr>
      <w:tr>
        <w:trPr>
          <w:trHeight w:val="752" w:hRule="atLeast"/>
        </w:trPr>
        <w:tc>
          <w:tcPr>
            <w:tcW w:w="418" w:type="dxa"/>
          </w:tcPr>
          <w:p>
            <w:pPr>
              <w:pStyle w:val="TableParagraph"/>
              <w:spacing w:before="108"/>
              <w:ind w:right="49"/>
              <w:jc w:val="right"/>
              <w:rPr>
                <w:b/>
                <w:sz w:val="21"/>
              </w:rPr>
            </w:pPr>
            <w:r>
              <w:rPr>
                <w:b/>
                <w:sz w:val="21"/>
              </w:rPr>
              <w:t>44.</w:t>
            </w:r>
          </w:p>
        </w:tc>
        <w:tc>
          <w:tcPr>
            <w:tcW w:w="1941" w:type="dxa"/>
          </w:tcPr>
          <w:p>
            <w:pPr>
              <w:pStyle w:val="TableParagraph"/>
              <w:spacing w:line="273" w:lineRule="auto" w:before="108"/>
              <w:ind w:left="52" w:right="103"/>
              <w:rPr>
                <w:b/>
                <w:sz w:val="21"/>
              </w:rPr>
            </w:pPr>
            <w:r>
              <w:rPr>
                <w:b/>
                <w:sz w:val="21"/>
              </w:rPr>
              <w:t>丝虫病所导致象皮肿</w:t>
            </w:r>
          </w:p>
        </w:tc>
        <w:tc>
          <w:tcPr>
            <w:tcW w:w="7536" w:type="dxa"/>
          </w:tcPr>
          <w:p>
            <w:pPr>
              <w:pStyle w:val="TableParagraph"/>
              <w:spacing w:line="310" w:lineRule="atLeast" w:before="55"/>
              <w:ind w:left="107" w:right="84"/>
              <w:rPr>
                <w:sz w:val="18"/>
              </w:rPr>
            </w:pPr>
            <w:r>
              <w:rPr>
                <w:sz w:val="18"/>
              </w:rPr>
              <w:t>指因丝虫感染导致淋巴阻塞性出现严重淋巴水肿，达到国际淋巴学会淋巴水肿分期第III期， 临床表现为肢体象皮肿，患肢较健肢增粗30%以上，日常生活不能自理。此病症须经专科医生</w:t>
            </w:r>
          </w:p>
        </w:tc>
      </w:tr>
      <w:tr>
        <w:trPr>
          <w:trHeight w:val="410"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根据临床表现和微丝蚴的化验结果确诊。</w:t>
            </w:r>
          </w:p>
        </w:tc>
      </w:tr>
      <w:tr>
        <w:trPr>
          <w:trHeight w:val="441" w:hRule="atLeast"/>
        </w:trPr>
        <w:tc>
          <w:tcPr>
            <w:tcW w:w="418" w:type="dxa"/>
          </w:tcPr>
          <w:p>
            <w:pPr>
              <w:pStyle w:val="TableParagraph"/>
              <w:spacing w:before="110"/>
              <w:ind w:right="49"/>
              <w:jc w:val="right"/>
              <w:rPr>
                <w:b/>
                <w:sz w:val="21"/>
              </w:rPr>
            </w:pPr>
            <w:r>
              <w:rPr>
                <w:b/>
                <w:sz w:val="21"/>
              </w:rPr>
              <w:t>45.</w:t>
            </w:r>
          </w:p>
        </w:tc>
        <w:tc>
          <w:tcPr>
            <w:tcW w:w="1941" w:type="dxa"/>
          </w:tcPr>
          <w:p>
            <w:pPr>
              <w:pStyle w:val="TableParagraph"/>
              <w:spacing w:before="110"/>
              <w:ind w:left="52"/>
              <w:rPr>
                <w:b/>
                <w:sz w:val="21"/>
              </w:rPr>
            </w:pPr>
            <w:r>
              <w:rPr>
                <w:b/>
                <w:sz w:val="21"/>
              </w:rPr>
              <w:t>系统性硬皮病</w:t>
            </w:r>
          </w:p>
        </w:tc>
        <w:tc>
          <w:tcPr>
            <w:tcW w:w="7536" w:type="dxa"/>
          </w:tcPr>
          <w:p>
            <w:pPr>
              <w:pStyle w:val="TableParagraph"/>
              <w:spacing w:before="130"/>
              <w:ind w:left="107"/>
              <w:rPr>
                <w:sz w:val="18"/>
              </w:rPr>
            </w:pPr>
            <w:r>
              <w:rPr>
                <w:sz w:val="18"/>
              </w:rPr>
              <w:t>指一种以局限性或弥漫性皮肤增厚和皮肤、血管、内脏器官异常纤维化为特征的结缔组织病。</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本病须经专科医师明确诊断，并须满足下列至少一项条件：</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（1）肺脏：肺部病变进而发展为肺间质纤维化和肺动脉高压；</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（2）心脏：心功能受损达到美国纽约心脏病学会心功能状态分级IV级；</w:t>
            </w:r>
          </w:p>
        </w:tc>
      </w:tr>
      <w:tr>
        <w:trPr>
          <w:trHeight w:val="418"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（3）肾脏：肾脏受损导致双肾功能慢性不可逆衰竭，达到尿毒症期。</w:t>
            </w:r>
          </w:p>
        </w:tc>
      </w:tr>
      <w:tr>
        <w:trPr>
          <w:trHeight w:val="752" w:hRule="atLeast"/>
        </w:trPr>
        <w:tc>
          <w:tcPr>
            <w:tcW w:w="418" w:type="dxa"/>
          </w:tcPr>
          <w:p>
            <w:pPr>
              <w:pStyle w:val="TableParagraph"/>
              <w:spacing w:before="108"/>
              <w:ind w:right="49"/>
              <w:jc w:val="right"/>
              <w:rPr>
                <w:b/>
                <w:sz w:val="21"/>
              </w:rPr>
            </w:pPr>
            <w:r>
              <w:rPr>
                <w:b/>
                <w:sz w:val="21"/>
              </w:rPr>
              <w:t>46.</w:t>
            </w:r>
          </w:p>
        </w:tc>
        <w:tc>
          <w:tcPr>
            <w:tcW w:w="1941" w:type="dxa"/>
          </w:tcPr>
          <w:p>
            <w:pPr>
              <w:pStyle w:val="TableParagraph"/>
              <w:spacing w:line="273" w:lineRule="auto" w:before="108"/>
              <w:ind w:left="52" w:right="103"/>
              <w:rPr>
                <w:b/>
                <w:sz w:val="21"/>
              </w:rPr>
            </w:pPr>
            <w:r>
              <w:rPr>
                <w:b/>
                <w:sz w:val="21"/>
              </w:rPr>
              <w:t>原发性硬化性胆管炎</w:t>
            </w:r>
          </w:p>
        </w:tc>
        <w:tc>
          <w:tcPr>
            <w:tcW w:w="7536" w:type="dxa"/>
          </w:tcPr>
          <w:p>
            <w:pPr>
              <w:pStyle w:val="TableParagraph"/>
              <w:spacing w:line="310" w:lineRule="atLeast" w:before="55"/>
              <w:ind w:left="107" w:right="43"/>
              <w:rPr>
                <w:sz w:val="18"/>
              </w:rPr>
            </w:pPr>
            <w:r>
              <w:rPr>
                <w:sz w:val="18"/>
              </w:rPr>
              <w:t>指一种胆汁淤积综合征，其特征是肝内、肝外胆道因纤维化性炎症逐渐狭窄，并最终导致完全阻塞而发展为肝硬化。本病须经内镜逆行胰胆管造影等影像学检查证实，并须满足下列全部条</w:t>
            </w:r>
          </w:p>
        </w:tc>
      </w:tr>
      <w:tr>
        <w:trPr>
          <w:trHeight w:val="30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
              <w:ind w:left="107"/>
              <w:rPr>
                <w:sz w:val="18"/>
              </w:rPr>
            </w:pPr>
            <w:r>
              <w:rPr>
                <w:sz w:val="18"/>
              </w:rPr>
              <w:t>件：</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（1）总胆红素和直接胆红素同时升高，血清ALP&gt;200U/L；</w:t>
            </w:r>
          </w:p>
        </w:tc>
      </w:tr>
      <w:tr>
        <w:trPr>
          <w:trHeight w:val="312"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（2）持续性黄疸病史；</w:t>
            </w:r>
          </w:p>
        </w:tc>
      </w:tr>
      <w:tr>
        <w:trPr>
          <w:trHeight w:val="311" w:hRule="atLeast"/>
        </w:trPr>
        <w:tc>
          <w:tcPr>
            <w:tcW w:w="418" w:type="dxa"/>
          </w:tcPr>
          <w:p>
            <w:pPr>
              <w:pStyle w:val="TableParagraph"/>
              <w:rPr>
                <w:rFonts w:ascii="Times New Roman"/>
                <w:sz w:val="18"/>
              </w:rPr>
            </w:pPr>
          </w:p>
        </w:tc>
        <w:tc>
          <w:tcPr>
            <w:tcW w:w="1941" w:type="dxa"/>
          </w:tcPr>
          <w:p>
            <w:pPr>
              <w:pStyle w:val="TableParagraph"/>
              <w:rPr>
                <w:rFonts w:ascii="Times New Roman"/>
                <w:sz w:val="18"/>
              </w:rPr>
            </w:pPr>
          </w:p>
        </w:tc>
        <w:tc>
          <w:tcPr>
            <w:tcW w:w="7536" w:type="dxa"/>
          </w:tcPr>
          <w:p>
            <w:pPr>
              <w:pStyle w:val="TableParagraph"/>
              <w:spacing w:before="10"/>
              <w:ind w:left="107"/>
              <w:rPr>
                <w:sz w:val="18"/>
              </w:rPr>
            </w:pPr>
            <w:r>
              <w:rPr>
                <w:sz w:val="18"/>
              </w:rPr>
              <w:t>（3）出现胆汁性肝硬化或门脉高压。</w:t>
            </w:r>
          </w:p>
        </w:tc>
      </w:tr>
      <w:tr>
        <w:trPr>
          <w:trHeight w:val="245" w:hRule="atLeast"/>
        </w:trPr>
        <w:tc>
          <w:tcPr>
            <w:tcW w:w="418" w:type="dxa"/>
          </w:tcPr>
          <w:p>
            <w:pPr>
              <w:pStyle w:val="TableParagraph"/>
              <w:rPr>
                <w:rFonts w:ascii="Times New Roman"/>
                <w:sz w:val="16"/>
              </w:rPr>
            </w:pPr>
          </w:p>
        </w:tc>
        <w:tc>
          <w:tcPr>
            <w:tcW w:w="1941" w:type="dxa"/>
          </w:tcPr>
          <w:p>
            <w:pPr>
              <w:pStyle w:val="TableParagraph"/>
              <w:rPr>
                <w:rFonts w:ascii="Times New Roman"/>
                <w:sz w:val="16"/>
              </w:rPr>
            </w:pPr>
          </w:p>
        </w:tc>
        <w:tc>
          <w:tcPr>
            <w:tcW w:w="7536" w:type="dxa"/>
          </w:tcPr>
          <w:p>
            <w:pPr>
              <w:pStyle w:val="TableParagraph"/>
              <w:spacing w:line="216" w:lineRule="exact" w:before="10"/>
              <w:ind w:left="107"/>
              <w:rPr>
                <w:sz w:val="18"/>
              </w:rPr>
            </w:pPr>
            <w:r>
              <w:rPr>
                <w:sz w:val="18"/>
              </w:rPr>
              <w:t>因肿瘤或胆管损伤等继发性的硬化性胆管炎不在保障范围内。</w:t>
            </w:r>
          </w:p>
        </w:tc>
      </w:tr>
    </w:tbl>
    <w:p>
      <w:pPr>
        <w:spacing w:after="0" w:line="216" w:lineRule="exact"/>
        <w:rPr>
          <w:sz w:val="18"/>
        </w:rPr>
        <w:sectPr>
          <w:type w:val="continuous"/>
          <w:pgSz w:w="11910" w:h="16840"/>
          <w:pgMar w:top="1040" w:bottom="1160" w:left="1020" w:right="760"/>
        </w:sectPr>
      </w:pPr>
    </w:p>
    <w:p>
      <w:pPr>
        <w:pStyle w:val="BodyText"/>
        <w:spacing w:before="2"/>
        <w:rPr>
          <w:sz w:val="19"/>
        </w:rPr>
      </w:pPr>
    </w:p>
    <w:p>
      <w:pPr>
        <w:pStyle w:val="ListParagraph"/>
        <w:numPr>
          <w:ilvl w:val="0"/>
          <w:numId w:val="19"/>
        </w:numPr>
        <w:tabs>
          <w:tab w:pos="529" w:val="left" w:leader="none"/>
          <w:tab w:pos="2524" w:val="left" w:leader="none"/>
        </w:tabs>
        <w:spacing w:line="302" w:lineRule="auto" w:before="37" w:after="0"/>
        <w:ind w:left="2524" w:right="158" w:hanging="2416"/>
        <w:jc w:val="both"/>
        <w:rPr>
          <w:sz w:val="18"/>
        </w:rPr>
      </w:pPr>
      <w:r>
        <w:rPr>
          <w:b/>
          <w:sz w:val="21"/>
        </w:rPr>
        <w:t>疯牛病</w:t>
        <w:tab/>
      </w:r>
      <w:r>
        <w:rPr>
          <w:position w:val="1"/>
          <w:sz w:val="18"/>
        </w:rPr>
        <w:t>一种由动物传染而来的中枢神经系统变性性疾病，大脑呈海绵状改变伴神经元缺失和胶质化。</w:t>
      </w:r>
      <w:r>
        <w:rPr>
          <w:sz w:val="18"/>
        </w:rPr>
        <w:t>临床表现为进行性痴呆</w:t>
      </w:r>
      <w:r>
        <w:rPr>
          <w:spacing w:val="-13"/>
          <w:sz w:val="18"/>
        </w:rPr>
        <w:t>、</w:t>
      </w:r>
      <w:r>
        <w:rPr>
          <w:sz w:val="18"/>
        </w:rPr>
        <w:t>不随意运动及抽搐</w:t>
      </w:r>
      <w:r>
        <w:rPr>
          <w:spacing w:val="-13"/>
          <w:sz w:val="18"/>
        </w:rPr>
        <w:t>、</w:t>
      </w:r>
      <w:r>
        <w:rPr>
          <w:sz w:val="18"/>
        </w:rPr>
        <w:t>行动困难等等</w:t>
      </w:r>
      <w:r>
        <w:rPr>
          <w:spacing w:val="-12"/>
          <w:sz w:val="18"/>
        </w:rPr>
        <w:t>。</w:t>
      </w:r>
      <w:r>
        <w:rPr>
          <w:sz w:val="18"/>
        </w:rPr>
        <w:t>疯牛病必须由权威医疗机构根据致病蛋白的发现而明确诊断。</w:t>
      </w:r>
    </w:p>
    <w:p>
      <w:pPr>
        <w:pStyle w:val="BodyText"/>
        <w:spacing w:before="29"/>
        <w:ind w:left="2524"/>
      </w:pPr>
      <w:r>
        <w:rPr/>
        <w:t>疑似诊断不作为理赔依据。</w:t>
      </w:r>
    </w:p>
    <w:p>
      <w:pPr>
        <w:pStyle w:val="BodyText"/>
        <w:spacing w:before="8"/>
      </w:pPr>
    </w:p>
    <w:p>
      <w:pPr>
        <w:spacing w:after="0"/>
        <w:sectPr>
          <w:pgSz w:w="11910" w:h="16840"/>
          <w:pgMar w:header="877" w:footer="977" w:top="1100" w:bottom="1160" w:left="1080" w:right="760"/>
        </w:sectPr>
      </w:pPr>
    </w:p>
    <w:p>
      <w:pPr>
        <w:pStyle w:val="Heading3"/>
        <w:numPr>
          <w:ilvl w:val="0"/>
          <w:numId w:val="19"/>
        </w:numPr>
        <w:tabs>
          <w:tab w:pos="529" w:val="left" w:leader="none"/>
        </w:tabs>
        <w:spacing w:line="273" w:lineRule="auto" w:before="37" w:after="0"/>
        <w:ind w:left="528" w:right="0" w:hanging="420"/>
        <w:jc w:val="left"/>
      </w:pPr>
      <w:r>
        <w:rPr>
          <w:spacing w:val="8"/>
        </w:rPr>
        <w:t>因职业关系感染艾滋病病毒</w:t>
      </w:r>
    </w:p>
    <w:p>
      <w:pPr>
        <w:pStyle w:val="BodyText"/>
        <w:spacing w:line="316" w:lineRule="auto" w:before="58"/>
        <w:ind w:left="108" w:right="197"/>
      </w:pPr>
      <w:r>
        <w:rPr/>
        <w:br w:type="column"/>
      </w:r>
      <w:r>
        <w:rPr>
          <w:spacing w:val="-2"/>
        </w:rPr>
        <w:t>被保险人在其常规职业工作过程中遭遇外伤，或者职业需要处理血液或者其他体液时感染上艾滋病病毒（</w:t>
      </w:r>
      <w:r>
        <w:rPr>
          <w:spacing w:val="0"/>
        </w:rPr>
        <w:t>HIV</w:t>
      </w:r>
      <w:r>
        <w:rPr>
          <w:spacing w:val="-92"/>
        </w:rPr>
        <w:t>）</w:t>
      </w:r>
      <w:r>
        <w:rPr/>
        <w:t>。</w:t>
      </w:r>
    </w:p>
    <w:p>
      <w:pPr>
        <w:pStyle w:val="BodyText"/>
        <w:spacing w:before="19"/>
        <w:ind w:left="108"/>
      </w:pPr>
      <w:r>
        <w:rPr/>
        <w:t>理赔必须符合下列所有条件：</w:t>
      </w:r>
    </w:p>
    <w:p>
      <w:pPr>
        <w:pStyle w:val="BodyText"/>
        <w:ind w:left="108"/>
      </w:pPr>
      <w:r>
        <w:rPr/>
        <w:t>（1）感染必须是在被保险人正在从事其职业工作中发生，该职业必须属于以下列表内的职业：</w:t>
      </w:r>
    </w:p>
    <w:p>
      <w:pPr>
        <w:pStyle w:val="BodyText"/>
        <w:spacing w:before="2"/>
        <w:rPr>
          <w:sz w:val="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7"/>
        <w:gridCol w:w="3665"/>
      </w:tblGrid>
      <w:tr>
        <w:trPr>
          <w:trHeight w:val="313" w:hRule="atLeast"/>
        </w:trPr>
        <w:tc>
          <w:tcPr>
            <w:tcW w:w="3667" w:type="dxa"/>
          </w:tcPr>
          <w:p>
            <w:pPr>
              <w:pStyle w:val="TableParagraph"/>
              <w:spacing w:before="10"/>
              <w:ind w:left="107"/>
              <w:rPr>
                <w:sz w:val="18"/>
              </w:rPr>
            </w:pPr>
            <w:r>
              <w:rPr>
                <w:sz w:val="18"/>
              </w:rPr>
              <w:t>医生和牙科医生</w:t>
            </w:r>
          </w:p>
        </w:tc>
        <w:tc>
          <w:tcPr>
            <w:tcW w:w="3665" w:type="dxa"/>
          </w:tcPr>
          <w:p>
            <w:pPr>
              <w:pStyle w:val="TableParagraph"/>
              <w:spacing w:before="10"/>
              <w:ind w:left="105"/>
              <w:rPr>
                <w:sz w:val="18"/>
              </w:rPr>
            </w:pPr>
            <w:r>
              <w:rPr>
                <w:sz w:val="18"/>
              </w:rPr>
              <w:t>护士</w:t>
            </w:r>
          </w:p>
        </w:tc>
      </w:tr>
      <w:tr>
        <w:trPr>
          <w:trHeight w:val="311" w:hRule="atLeast"/>
        </w:trPr>
        <w:tc>
          <w:tcPr>
            <w:tcW w:w="3667" w:type="dxa"/>
          </w:tcPr>
          <w:p>
            <w:pPr>
              <w:pStyle w:val="TableParagraph"/>
              <w:spacing w:before="8"/>
              <w:ind w:left="107"/>
              <w:rPr>
                <w:sz w:val="18"/>
              </w:rPr>
            </w:pPr>
            <w:r>
              <w:rPr>
                <w:sz w:val="18"/>
              </w:rPr>
              <w:t>实验室工作人员</w:t>
            </w:r>
          </w:p>
        </w:tc>
        <w:tc>
          <w:tcPr>
            <w:tcW w:w="3665" w:type="dxa"/>
          </w:tcPr>
          <w:p>
            <w:pPr>
              <w:pStyle w:val="TableParagraph"/>
              <w:spacing w:before="8"/>
              <w:ind w:left="105"/>
              <w:rPr>
                <w:sz w:val="18"/>
              </w:rPr>
            </w:pPr>
            <w:r>
              <w:rPr>
                <w:sz w:val="18"/>
              </w:rPr>
              <w:t>医院护工</w:t>
            </w:r>
          </w:p>
        </w:tc>
      </w:tr>
      <w:tr>
        <w:trPr>
          <w:trHeight w:val="311" w:hRule="atLeast"/>
        </w:trPr>
        <w:tc>
          <w:tcPr>
            <w:tcW w:w="3667" w:type="dxa"/>
          </w:tcPr>
          <w:p>
            <w:pPr>
              <w:pStyle w:val="TableParagraph"/>
              <w:spacing w:before="8"/>
              <w:ind w:left="107"/>
              <w:rPr>
                <w:sz w:val="18"/>
              </w:rPr>
            </w:pPr>
            <w:r>
              <w:rPr>
                <w:sz w:val="18"/>
              </w:rPr>
              <w:t>医生助理和牙医助理</w:t>
            </w:r>
          </w:p>
        </w:tc>
        <w:tc>
          <w:tcPr>
            <w:tcW w:w="3665" w:type="dxa"/>
          </w:tcPr>
          <w:p>
            <w:pPr>
              <w:pStyle w:val="TableParagraph"/>
              <w:spacing w:before="8"/>
              <w:ind w:left="105"/>
              <w:rPr>
                <w:sz w:val="18"/>
              </w:rPr>
            </w:pPr>
            <w:r>
              <w:rPr>
                <w:sz w:val="18"/>
              </w:rPr>
              <w:t>救护车工作人员</w:t>
            </w:r>
          </w:p>
        </w:tc>
      </w:tr>
      <w:tr>
        <w:trPr>
          <w:trHeight w:val="311" w:hRule="atLeast"/>
        </w:trPr>
        <w:tc>
          <w:tcPr>
            <w:tcW w:w="3667" w:type="dxa"/>
          </w:tcPr>
          <w:p>
            <w:pPr>
              <w:pStyle w:val="TableParagraph"/>
              <w:spacing w:before="8"/>
              <w:ind w:left="107"/>
              <w:rPr>
                <w:sz w:val="18"/>
              </w:rPr>
            </w:pPr>
            <w:r>
              <w:rPr>
                <w:sz w:val="18"/>
              </w:rPr>
              <w:t>助产士</w:t>
            </w:r>
          </w:p>
        </w:tc>
        <w:tc>
          <w:tcPr>
            <w:tcW w:w="3665" w:type="dxa"/>
          </w:tcPr>
          <w:p>
            <w:pPr>
              <w:pStyle w:val="TableParagraph"/>
              <w:spacing w:before="8"/>
              <w:ind w:left="105"/>
              <w:rPr>
                <w:sz w:val="18"/>
              </w:rPr>
            </w:pPr>
            <w:r>
              <w:rPr>
                <w:sz w:val="18"/>
              </w:rPr>
              <w:t>消防队员</w:t>
            </w:r>
          </w:p>
        </w:tc>
      </w:tr>
      <w:tr>
        <w:trPr>
          <w:trHeight w:val="311" w:hRule="atLeast"/>
        </w:trPr>
        <w:tc>
          <w:tcPr>
            <w:tcW w:w="3667" w:type="dxa"/>
          </w:tcPr>
          <w:p>
            <w:pPr>
              <w:pStyle w:val="TableParagraph"/>
              <w:spacing w:before="8"/>
              <w:ind w:left="107"/>
              <w:rPr>
                <w:sz w:val="18"/>
              </w:rPr>
            </w:pPr>
            <w:r>
              <w:rPr>
                <w:sz w:val="18"/>
              </w:rPr>
              <w:t>警察</w:t>
            </w:r>
          </w:p>
        </w:tc>
        <w:tc>
          <w:tcPr>
            <w:tcW w:w="3665" w:type="dxa"/>
          </w:tcPr>
          <w:p>
            <w:pPr>
              <w:pStyle w:val="TableParagraph"/>
              <w:spacing w:before="8"/>
              <w:ind w:left="105"/>
              <w:rPr>
                <w:sz w:val="18"/>
              </w:rPr>
            </w:pPr>
            <w:r>
              <w:rPr>
                <w:sz w:val="18"/>
              </w:rPr>
              <w:t>狱警</w:t>
            </w:r>
          </w:p>
        </w:tc>
      </w:tr>
    </w:tbl>
    <w:p>
      <w:pPr>
        <w:pStyle w:val="BodyText"/>
        <w:spacing w:before="6"/>
        <w:rPr>
          <w:sz w:val="24"/>
        </w:rPr>
      </w:pPr>
    </w:p>
    <w:p>
      <w:pPr>
        <w:pStyle w:val="BodyText"/>
        <w:spacing w:line="319" w:lineRule="auto" w:before="0"/>
        <w:ind w:left="108" w:right="139"/>
      </w:pPr>
      <w:r>
        <w:rPr/>
        <w:t>（2）必须提供被保险人在所报事故发生后的 5 天以内进行的检查报告，该报告必须显示被保险人血液 HIV 病毒阴性和/或 HIV 抗体阴性；</w:t>
      </w:r>
    </w:p>
    <w:p>
      <w:pPr>
        <w:pStyle w:val="BodyText"/>
        <w:spacing w:line="316" w:lineRule="auto" w:before="17"/>
        <w:ind w:left="108" w:right="195"/>
      </w:pPr>
      <w:r>
        <w:rPr>
          <w:spacing w:val="-14"/>
        </w:rPr>
        <w:t>（3）</w:t>
      </w:r>
      <w:r>
        <w:rPr>
          <w:spacing w:val="-5"/>
        </w:rPr>
        <w:t>必须在事故发生后的 </w:t>
      </w:r>
      <w:r>
        <w:rPr/>
        <w:t>6</w:t>
      </w:r>
      <w:r>
        <w:rPr>
          <w:spacing w:val="-10"/>
        </w:rPr>
        <w:t> 个月内证实被保险人体内存在 </w:t>
      </w:r>
      <w:r>
        <w:rPr/>
        <w:t>HIV</w:t>
      </w:r>
      <w:r>
        <w:rPr>
          <w:spacing w:val="-16"/>
        </w:rPr>
        <w:t> 病毒或者 </w:t>
      </w:r>
      <w:r>
        <w:rPr/>
        <w:t>HIV</w:t>
      </w:r>
      <w:r>
        <w:rPr>
          <w:spacing w:val="-19"/>
        </w:rPr>
        <w:t> 抗体，即血液 </w:t>
      </w:r>
      <w:r>
        <w:rPr/>
        <w:t>HIV 病毒阳性和/</w:t>
      </w:r>
      <w:r>
        <w:rPr>
          <w:spacing w:val="-23"/>
        </w:rPr>
        <w:t>或 </w:t>
      </w:r>
      <w:r>
        <w:rPr/>
        <w:t>HIV</w:t>
      </w:r>
      <w:r>
        <w:rPr>
          <w:spacing w:val="-9"/>
        </w:rPr>
        <w:t> 抗体阳性。</w:t>
      </w:r>
    </w:p>
    <w:p>
      <w:pPr>
        <w:spacing w:after="0" w:line="316" w:lineRule="auto"/>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7" w:after="0"/>
        <w:ind w:left="528" w:right="0" w:hanging="420"/>
        <w:jc w:val="left"/>
      </w:pPr>
      <w:r>
        <w:rPr>
          <w:spacing w:val="8"/>
        </w:rPr>
        <w:t>严重性溃疡性结肠炎</w:t>
      </w:r>
    </w:p>
    <w:p>
      <w:pPr>
        <w:pStyle w:val="BodyText"/>
        <w:spacing w:line="316" w:lineRule="auto" w:before="58"/>
        <w:ind w:left="108" w:right="197"/>
        <w:jc w:val="both"/>
      </w:pPr>
      <w:r>
        <w:rPr/>
        <w:br w:type="column"/>
      </w:r>
      <w:r>
        <w:rPr>
          <w:spacing w:val="-2"/>
        </w:rPr>
        <w:t>指伴有致命性电解质紊乱的急性暴发性溃疡性结肠炎，病变累及全结肠，表现为严重的血便和</w:t>
      </w:r>
      <w:r>
        <w:rPr>
          <w:spacing w:val="-6"/>
        </w:rPr>
        <w:t>系统性症状体征，治疗通常采取全结肠切除和回肠造瘘术。溃疡性结肠炎必须根据组织病理学特点诊断，并且被保险人已经接受了结肠切除和回肠造瘘术。</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7"/>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急性出血坏死性胰腺炎</w:t>
      </w:r>
    </w:p>
    <w:p>
      <w:pPr>
        <w:pStyle w:val="BodyText"/>
        <w:spacing w:line="316" w:lineRule="auto" w:before="57"/>
        <w:ind w:left="108" w:right="140"/>
      </w:pPr>
      <w:r>
        <w:rPr/>
        <w:br w:type="column"/>
      </w:r>
      <w:r>
        <w:rPr/>
        <w:t>急性胰脏实质性发炎及坏死，局灶性消化酵素胰脏脂肪坏死以及血管坏死导致出血，并符合下列所有条件</w:t>
      </w:r>
    </w:p>
    <w:p>
      <w:pPr>
        <w:pStyle w:val="BodyText"/>
        <w:spacing w:before="19"/>
        <w:ind w:left="290"/>
      </w:pPr>
      <w:r>
        <w:rPr/>
        <w:t>（1）必需经由手术清除坏死的组织或胰脏切除术；</w:t>
      </w:r>
    </w:p>
    <w:p>
      <w:pPr>
        <w:pStyle w:val="BodyText"/>
        <w:ind w:left="290"/>
      </w:pPr>
      <w:r>
        <w:rPr/>
        <w:t>（2）必需由肠胃病学专科医生以组织病理学的特征来确诊；</w:t>
      </w:r>
    </w:p>
    <w:p>
      <w:pPr>
        <w:pStyle w:val="BodyText"/>
        <w:ind w:left="108"/>
      </w:pPr>
      <w:r>
        <w:rPr/>
        <w:t>任何直接地或间接地、完全地或部分地由酗酒或滥用药物导致的胰脏炎并不在保障范围内。</w:t>
      </w:r>
    </w:p>
    <w:p>
      <w:pPr>
        <w:spacing w:after="0"/>
        <w:sectPr>
          <w:type w:val="continuous"/>
          <w:pgSz w:w="11910" w:h="16840"/>
          <w:pgMar w:top="1040" w:bottom="1160" w:left="1080" w:right="760"/>
          <w:cols w:num="2" w:equalWidth="0">
            <w:col w:w="2312" w:space="105"/>
            <w:col w:w="7653"/>
          </w:cols>
        </w:sectPr>
      </w:pPr>
    </w:p>
    <w:p>
      <w:pPr>
        <w:pStyle w:val="BodyText"/>
        <w:spacing w:before="9"/>
      </w:pPr>
    </w:p>
    <w:p>
      <w:pPr>
        <w:pStyle w:val="ListParagraph"/>
        <w:numPr>
          <w:ilvl w:val="0"/>
          <w:numId w:val="19"/>
        </w:numPr>
        <w:tabs>
          <w:tab w:pos="529" w:val="left" w:leader="none"/>
        </w:tabs>
        <w:spacing w:line="302" w:lineRule="auto" w:before="36" w:after="0"/>
        <w:ind w:left="2524" w:right="197" w:hanging="2416"/>
        <w:jc w:val="both"/>
        <w:rPr>
          <w:sz w:val="18"/>
        </w:rPr>
      </w:pPr>
      <w:r>
        <w:rPr>
          <w:b/>
          <w:spacing w:val="7"/>
          <w:sz w:val="21"/>
        </w:rPr>
        <w:t>肺源性心脏病     </w:t>
      </w:r>
      <w:r>
        <w:rPr>
          <w:spacing w:val="-2"/>
          <w:position w:val="1"/>
          <w:sz w:val="18"/>
        </w:rPr>
        <w:t>指被保险人因慢性肺部疾病导致慢性心功能损害造成永久不可逆性的心功能衰竭。心功能衰竭</w:t>
      </w:r>
      <w:r>
        <w:rPr>
          <w:spacing w:val="-2"/>
          <w:sz w:val="18"/>
        </w:rPr>
        <w:t>程度达到纽约心脏病学会的心功能分级标准之心功能IV</w:t>
      </w:r>
      <w:r>
        <w:rPr>
          <w:spacing w:val="-7"/>
          <w:sz w:val="18"/>
        </w:rPr>
        <w:t>级。被保险人永久不可逆性的体力活动能力受限，不能从事任何体力活动。</w:t>
      </w:r>
    </w:p>
    <w:p>
      <w:pPr>
        <w:pStyle w:val="BodyText"/>
        <w:spacing w:before="0"/>
      </w:pPr>
    </w:p>
    <w:p>
      <w:pPr>
        <w:pStyle w:val="ListParagraph"/>
        <w:numPr>
          <w:ilvl w:val="0"/>
          <w:numId w:val="19"/>
        </w:numPr>
        <w:tabs>
          <w:tab w:pos="529" w:val="left" w:leader="none"/>
        </w:tabs>
        <w:spacing w:line="290" w:lineRule="auto" w:before="0" w:after="0"/>
        <w:ind w:left="2524" w:right="197" w:hanging="2416"/>
        <w:jc w:val="both"/>
        <w:rPr>
          <w:sz w:val="18"/>
        </w:rPr>
      </w:pPr>
      <w:r>
        <w:rPr>
          <w:b/>
          <w:spacing w:val="6"/>
          <w:sz w:val="21"/>
        </w:rPr>
        <w:t>嗜铬细胞瘤       </w:t>
      </w:r>
      <w:r>
        <w:rPr>
          <w:spacing w:val="-1"/>
          <w:position w:val="1"/>
          <w:sz w:val="18"/>
        </w:rPr>
        <w:t>是指肾上腺或嗜铬外组织出现神经内分泌肿瘤，并分</w:t>
      </w:r>
      <w:r>
        <w:rPr>
          <w:rFonts w:ascii="MingLiU-ExtB" w:eastAsia="MingLiU-ExtB"/>
          <w:position w:val="2"/>
          <w:sz w:val="18"/>
        </w:rPr>
        <w:t>泌</w:t>
      </w:r>
      <w:r>
        <w:rPr>
          <w:spacing w:val="-3"/>
          <w:position w:val="1"/>
          <w:sz w:val="18"/>
        </w:rPr>
        <w:t>过多的儿茶酚胺类，需要确实进</w:t>
      </w:r>
      <w:r>
        <w:rPr>
          <w:rFonts w:ascii="MingLiU-ExtB" w:eastAsia="MingLiU-ExtB"/>
          <w:position w:val="2"/>
          <w:sz w:val="18"/>
        </w:rPr>
        <w:t>行</w:t>
      </w:r>
      <w:r>
        <w:rPr>
          <w:position w:val="1"/>
          <w:sz w:val="18"/>
        </w:rPr>
        <w:t>手术</w:t>
      </w:r>
      <w:r>
        <w:rPr>
          <w:sz w:val="18"/>
        </w:rPr>
        <w:t>以切除肿瘤。嗜铬细胞瘤的诊断必须由内分泌专科医生确定。</w:t>
      </w:r>
    </w:p>
    <w:p>
      <w:pPr>
        <w:pStyle w:val="BodyText"/>
        <w:spacing w:before="0"/>
        <w:rPr>
          <w:sz w:val="20"/>
        </w:rPr>
      </w:pPr>
    </w:p>
    <w:p>
      <w:pPr>
        <w:pStyle w:val="BodyText"/>
        <w:spacing w:before="8"/>
        <w:rPr>
          <w:sz w:val="19"/>
        </w:rPr>
      </w:pPr>
    </w:p>
    <w:p>
      <w:pPr>
        <w:spacing w:after="0"/>
        <w:rPr>
          <w:sz w:val="19"/>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意外伤害导致面部整形手术</w:t>
      </w:r>
    </w:p>
    <w:p>
      <w:pPr>
        <w:pStyle w:val="BodyText"/>
        <w:spacing w:line="316" w:lineRule="auto" w:before="57"/>
        <w:ind w:left="108" w:right="194"/>
        <w:jc w:val="both"/>
      </w:pPr>
      <w:r>
        <w:rPr/>
        <w:br w:type="column"/>
      </w:r>
      <w:r>
        <w:rPr>
          <w:spacing w:val="-3"/>
        </w:rPr>
        <w:t>因意外伤害导致颈部以上的颜面部形态和结构的严重缺陷、缺失、损害或变形，必须立刻住院</w:t>
      </w:r>
      <w:r>
        <w:rPr>
          <w:spacing w:val="-6"/>
        </w:rPr>
        <w:t>治疗，经过我们认可的医疗机构的整形专科医师确诊，并已经接受了以修补和重建为目的的颜</w:t>
      </w:r>
      <w:r>
        <w:rPr>
          <w:spacing w:val="-9"/>
        </w:rPr>
        <w:t>面部整形手术治疗，切除毁损组织进行修复和再造，以矫正面部畸形和缺损。由于美容手术失败导致的损害不在本保障责任范围之内。</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6"/>
        <w:rPr>
          <w:sz w:val="14"/>
        </w:rPr>
      </w:pPr>
    </w:p>
    <w:p>
      <w:pPr>
        <w:spacing w:after="0"/>
        <w:rPr>
          <w:sz w:val="14"/>
        </w:rPr>
        <w:sectPr>
          <w:type w:val="continuous"/>
          <w:pgSz w:w="11910" w:h="16840"/>
          <w:pgMar w:top="1040" w:bottom="1160" w:left="1080" w:right="760"/>
        </w:sectPr>
      </w:pPr>
    </w:p>
    <w:p>
      <w:pPr>
        <w:pStyle w:val="Heading3"/>
        <w:numPr>
          <w:ilvl w:val="0"/>
          <w:numId w:val="19"/>
        </w:numPr>
        <w:tabs>
          <w:tab w:pos="529" w:val="left" w:leader="none"/>
        </w:tabs>
        <w:spacing w:line="273" w:lineRule="auto" w:before="36" w:after="0"/>
        <w:ind w:left="528" w:right="0" w:hanging="420"/>
        <w:jc w:val="left"/>
      </w:pPr>
      <w:r>
        <w:rPr>
          <w:spacing w:val="8"/>
        </w:rPr>
        <w:t>严重自身免疫性肝炎</w:t>
      </w:r>
    </w:p>
    <w:p>
      <w:pPr>
        <w:pStyle w:val="BodyText"/>
        <w:spacing w:line="316" w:lineRule="auto" w:before="57"/>
        <w:ind w:left="108" w:right="194"/>
        <w:jc w:val="both"/>
      </w:pPr>
      <w:r>
        <w:rPr/>
        <w:br w:type="column"/>
      </w:r>
      <w:r>
        <w:rPr>
          <w:spacing w:val="-2"/>
        </w:rPr>
        <w:t>是一种原因不明的慢性肝脏的坏死性炎性疾病，机体免疫机制被破坏，产生针对肝脏自身抗原</w:t>
      </w:r>
      <w:r>
        <w:rPr>
          <w:spacing w:val="-5"/>
        </w:rPr>
        <w:t>的抗体导致自身免疫反应，从而破坏肝细胞造成肝脏炎症坏死，进而发展为肝硬化。必须满足所有以下条件：</w:t>
      </w:r>
    </w:p>
    <w:p>
      <w:pPr>
        <w:spacing w:after="0" w:line="316" w:lineRule="auto"/>
        <w:jc w:val="both"/>
        <w:sectPr>
          <w:type w:val="continuous"/>
          <w:pgSz w:w="11910" w:h="16840"/>
          <w:pgMar w:top="1040" w:bottom="1160" w:left="1080" w:right="760"/>
          <w:cols w:num="2" w:equalWidth="0">
            <w:col w:w="2312" w:space="105"/>
            <w:col w:w="7653"/>
          </w:cols>
        </w:sectPr>
      </w:pPr>
    </w:p>
    <w:p>
      <w:pPr>
        <w:pStyle w:val="BodyText"/>
        <w:spacing w:before="0"/>
        <w:rPr>
          <w:rFonts w:ascii="Times New Roman"/>
          <w:sz w:val="20"/>
        </w:rPr>
      </w:pPr>
    </w:p>
    <w:p>
      <w:pPr>
        <w:pStyle w:val="BodyText"/>
        <w:spacing w:before="7"/>
        <w:rPr>
          <w:rFonts w:ascii="Times New Roman"/>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78"/>
        <w:gridCol w:w="7549"/>
      </w:tblGrid>
      <w:tr>
        <w:trPr>
          <w:trHeight w:val="558" w:hRule="atLeast"/>
        </w:trPr>
        <w:tc>
          <w:tcPr>
            <w:tcW w:w="2396" w:type="dxa"/>
            <w:gridSpan w:val="2"/>
            <w:vMerge w:val="restart"/>
          </w:tcPr>
          <w:p>
            <w:pPr>
              <w:pStyle w:val="TableParagraph"/>
              <w:rPr>
                <w:rFonts w:ascii="Times New Roman"/>
                <w:sz w:val="18"/>
              </w:rPr>
            </w:pPr>
          </w:p>
        </w:tc>
        <w:tc>
          <w:tcPr>
            <w:tcW w:w="7549" w:type="dxa"/>
          </w:tcPr>
          <w:p>
            <w:pPr>
              <w:pStyle w:val="TableParagraph"/>
              <w:spacing w:line="180" w:lineRule="exact"/>
              <w:ind w:left="70"/>
              <w:rPr>
                <w:sz w:val="18"/>
              </w:rPr>
            </w:pPr>
            <w:r>
              <w:rPr>
                <w:sz w:val="18"/>
              </w:rPr>
              <w:t>（1）高 γ 球蛋白血症；</w:t>
            </w:r>
          </w:p>
          <w:p>
            <w:pPr>
              <w:pStyle w:val="TableParagraph"/>
              <w:spacing w:before="76"/>
              <w:ind w:left="70"/>
              <w:rPr>
                <w:sz w:val="18"/>
              </w:rPr>
            </w:pPr>
            <w:r>
              <w:rPr>
                <w:spacing w:val="-3"/>
                <w:sz w:val="18"/>
              </w:rPr>
              <w:t>（2）</w:t>
            </w:r>
            <w:r>
              <w:rPr>
                <w:spacing w:val="-4"/>
                <w:sz w:val="18"/>
              </w:rPr>
              <w:t>血液中存在高水平的自身免疫抗体，如 </w:t>
            </w:r>
            <w:r>
              <w:rPr>
                <w:sz w:val="18"/>
              </w:rPr>
              <w:t>ANA（抗核抗体</w:t>
            </w:r>
            <w:r>
              <w:rPr>
                <w:spacing w:val="-92"/>
                <w:sz w:val="18"/>
              </w:rPr>
              <w:t>）</w:t>
            </w:r>
            <w:r>
              <w:rPr>
                <w:spacing w:val="-8"/>
                <w:sz w:val="18"/>
              </w:rPr>
              <w:t>、</w:t>
            </w:r>
            <w:r>
              <w:rPr>
                <w:sz w:val="18"/>
              </w:rPr>
              <w:t>SMA（抗平滑肌抗体</w:t>
            </w:r>
            <w:r>
              <w:rPr>
                <w:spacing w:val="-92"/>
                <w:sz w:val="18"/>
              </w:rPr>
              <w:t>）</w:t>
            </w:r>
            <w:r>
              <w:rPr>
                <w:spacing w:val="-19"/>
                <w:sz w:val="18"/>
              </w:rPr>
              <w:t>、抗 </w:t>
            </w:r>
            <w:r>
              <w:rPr>
                <w:sz w:val="18"/>
              </w:rPr>
              <w:t>LKM1</w:t>
            </w:r>
          </w:p>
        </w:tc>
      </w:tr>
      <w:tr>
        <w:trPr>
          <w:trHeight w:val="312"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抗体或抗-SLA/LP 抗体；</w:t>
            </w:r>
          </w:p>
        </w:tc>
      </w:tr>
      <w:tr>
        <w:trPr>
          <w:trHeight w:val="311"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（3）肝脏活检证实免疫性肝炎；</w:t>
            </w:r>
          </w:p>
        </w:tc>
      </w:tr>
      <w:tr>
        <w:trPr>
          <w:trHeight w:val="418" w:hRule="atLeast"/>
        </w:trPr>
        <w:tc>
          <w:tcPr>
            <w:tcW w:w="2396" w:type="dxa"/>
            <w:gridSpan w:val="2"/>
            <w:vMerge/>
            <w:tcBorders>
              <w:top w:val="nil"/>
            </w:tcBorders>
          </w:tcPr>
          <w:p>
            <w:pPr>
              <w:rPr>
                <w:sz w:val="2"/>
                <w:szCs w:val="2"/>
              </w:rPr>
            </w:pPr>
          </w:p>
        </w:tc>
        <w:tc>
          <w:tcPr>
            <w:tcW w:w="7549" w:type="dxa"/>
          </w:tcPr>
          <w:p>
            <w:pPr>
              <w:pStyle w:val="TableParagraph"/>
              <w:spacing w:before="10"/>
              <w:ind w:left="70"/>
              <w:rPr>
                <w:sz w:val="18"/>
              </w:rPr>
            </w:pPr>
            <w:r>
              <w:rPr>
                <w:sz w:val="18"/>
              </w:rPr>
              <w:t>（4）临床已经出现腹水、食道静脉曲张和脾肿大等肝硬化表现。</w:t>
            </w:r>
          </w:p>
        </w:tc>
      </w:tr>
      <w:tr>
        <w:trPr>
          <w:trHeight w:val="440" w:hRule="atLeast"/>
        </w:trPr>
        <w:tc>
          <w:tcPr>
            <w:tcW w:w="418" w:type="dxa"/>
          </w:tcPr>
          <w:p>
            <w:pPr>
              <w:pStyle w:val="TableParagraph"/>
              <w:spacing w:before="109"/>
              <w:ind w:right="49"/>
              <w:jc w:val="right"/>
              <w:rPr>
                <w:b/>
                <w:sz w:val="21"/>
              </w:rPr>
            </w:pPr>
            <w:r>
              <w:rPr>
                <w:b/>
                <w:w w:val="95"/>
                <w:sz w:val="21"/>
              </w:rPr>
              <w:t>55.</w:t>
            </w:r>
          </w:p>
        </w:tc>
        <w:tc>
          <w:tcPr>
            <w:tcW w:w="1978" w:type="dxa"/>
          </w:tcPr>
          <w:p>
            <w:pPr>
              <w:pStyle w:val="TableParagraph"/>
              <w:spacing w:before="109"/>
              <w:ind w:left="52"/>
              <w:rPr>
                <w:b/>
                <w:sz w:val="21"/>
              </w:rPr>
            </w:pPr>
            <w:r>
              <w:rPr>
                <w:b/>
                <w:sz w:val="21"/>
              </w:rPr>
              <w:t>严重癫痫</w:t>
            </w:r>
          </w:p>
        </w:tc>
        <w:tc>
          <w:tcPr>
            <w:tcW w:w="7549" w:type="dxa"/>
          </w:tcPr>
          <w:p>
            <w:pPr>
              <w:pStyle w:val="TableParagraph"/>
              <w:spacing w:before="129"/>
              <w:ind w:left="70"/>
              <w:rPr>
                <w:sz w:val="18"/>
              </w:rPr>
            </w:pPr>
            <w:r>
              <w:rPr>
                <w:sz w:val="18"/>
              </w:rPr>
              <w:t>本病的诊断须由神经科或儿科专科医生根据典型临床症状和脑电图及 MRI、PET、CT 等影相学</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70"/>
              <w:rPr>
                <w:sz w:val="18"/>
              </w:rPr>
            </w:pPr>
            <w:r>
              <w:rPr>
                <w:sz w:val="18"/>
              </w:rPr>
              <w:t>检查做出。理赔时必须提供 6 个月以上的相关病历记录证明被保险人存在经抗癫痫药物治疗无</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70"/>
              <w:rPr>
                <w:sz w:val="18"/>
              </w:rPr>
            </w:pPr>
            <w:r>
              <w:rPr>
                <w:sz w:val="18"/>
              </w:rPr>
              <w:t>效而反复发作的强直阵挛性发作或癫痫大发作，且已行神经外科手术以治疗反复发作的癫痫。</w:t>
            </w:r>
          </w:p>
        </w:tc>
      </w:tr>
      <w:tr>
        <w:trPr>
          <w:trHeight w:val="416"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70"/>
              <w:rPr>
                <w:sz w:val="18"/>
              </w:rPr>
            </w:pPr>
            <w:r>
              <w:rPr>
                <w:sz w:val="18"/>
              </w:rPr>
              <w:t>发热性惊厥以及没有全身性发作的失神发作（癫痫小发作）不在本保障范围内。</w:t>
            </w:r>
          </w:p>
        </w:tc>
      </w:tr>
      <w:tr>
        <w:trPr>
          <w:trHeight w:val="747" w:hRule="atLeast"/>
        </w:trPr>
        <w:tc>
          <w:tcPr>
            <w:tcW w:w="418" w:type="dxa"/>
          </w:tcPr>
          <w:p>
            <w:pPr>
              <w:pStyle w:val="TableParagraph"/>
              <w:spacing w:before="113"/>
              <w:ind w:right="49"/>
              <w:jc w:val="right"/>
              <w:rPr>
                <w:b/>
                <w:sz w:val="21"/>
              </w:rPr>
            </w:pPr>
            <w:r>
              <w:rPr>
                <w:b/>
                <w:sz w:val="21"/>
              </w:rPr>
              <w:t>56.</w:t>
            </w:r>
          </w:p>
        </w:tc>
        <w:tc>
          <w:tcPr>
            <w:tcW w:w="1978" w:type="dxa"/>
          </w:tcPr>
          <w:p>
            <w:pPr>
              <w:pStyle w:val="TableParagraph"/>
              <w:spacing w:before="113"/>
              <w:ind w:left="52"/>
              <w:rPr>
                <w:b/>
                <w:sz w:val="21"/>
              </w:rPr>
            </w:pPr>
            <w:r>
              <w:rPr>
                <w:rFonts w:ascii="Times New Roman" w:eastAsia="Times New Roman"/>
                <w:b/>
                <w:sz w:val="21"/>
              </w:rPr>
              <w:t>1 </w:t>
            </w:r>
            <w:r>
              <w:rPr>
                <w:b/>
                <w:sz w:val="21"/>
              </w:rPr>
              <w:t>型糖尿病</w:t>
            </w:r>
          </w:p>
        </w:tc>
        <w:tc>
          <w:tcPr>
            <w:tcW w:w="7549" w:type="dxa"/>
          </w:tcPr>
          <w:p>
            <w:pPr>
              <w:pStyle w:val="TableParagraph"/>
              <w:spacing w:line="310" w:lineRule="atLeast" w:before="59"/>
              <w:ind w:left="145" w:right="201"/>
              <w:rPr>
                <w:sz w:val="18"/>
              </w:rPr>
            </w:pPr>
            <w:r>
              <w:rPr>
                <w:spacing w:val="-2"/>
                <w:sz w:val="18"/>
              </w:rPr>
              <w:t>指由于胰岛素分泌不足引起的慢性血糖升高，并需持续性地依赖外源性胰岛素维持 </w:t>
            </w:r>
            <w:r>
              <w:rPr>
                <w:sz w:val="18"/>
              </w:rPr>
              <w:t>180</w:t>
            </w:r>
            <w:r>
              <w:rPr>
                <w:spacing w:val="-16"/>
                <w:sz w:val="18"/>
              </w:rPr>
              <w:t> 天以上，须由本公司认可的有资格的内分泌医生确诊并在本合同保险责任有效期内，满足下述至</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少一个条件：</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 本公司认可的内分泌医生确诊已出现增殖性视网膜病变；</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 须植入心脏起搏器治疗心脏病；</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 因坏疽需切除一只或以上脚趾。</w:t>
            </w:r>
          </w:p>
        </w:tc>
      </w:tr>
      <w:tr>
        <w:trPr>
          <w:trHeight w:val="441" w:hRule="atLeast"/>
        </w:trPr>
        <w:tc>
          <w:tcPr>
            <w:tcW w:w="418" w:type="dxa"/>
          </w:tcPr>
          <w:p>
            <w:pPr>
              <w:pStyle w:val="TableParagraph"/>
              <w:spacing w:before="110"/>
              <w:ind w:right="49"/>
              <w:jc w:val="right"/>
              <w:rPr>
                <w:b/>
                <w:sz w:val="21"/>
              </w:rPr>
            </w:pPr>
            <w:r>
              <w:rPr>
                <w:b/>
                <w:sz w:val="21"/>
              </w:rPr>
              <w:t>57.</w:t>
            </w:r>
          </w:p>
        </w:tc>
        <w:tc>
          <w:tcPr>
            <w:tcW w:w="1978" w:type="dxa"/>
          </w:tcPr>
          <w:p>
            <w:pPr>
              <w:pStyle w:val="TableParagraph"/>
              <w:spacing w:before="110"/>
              <w:ind w:left="52"/>
              <w:rPr>
                <w:b/>
                <w:sz w:val="21"/>
              </w:rPr>
            </w:pPr>
            <w:r>
              <w:rPr>
                <w:b/>
                <w:sz w:val="21"/>
              </w:rPr>
              <w:t>严重哮喘</w:t>
            </w:r>
          </w:p>
        </w:tc>
        <w:tc>
          <w:tcPr>
            <w:tcW w:w="7549" w:type="dxa"/>
          </w:tcPr>
          <w:p>
            <w:pPr>
              <w:pStyle w:val="TableParagraph"/>
              <w:spacing w:before="130"/>
              <w:ind w:left="145"/>
              <w:rPr>
                <w:sz w:val="18"/>
              </w:rPr>
            </w:pPr>
            <w:r>
              <w:rPr>
                <w:sz w:val="18"/>
              </w:rPr>
              <w:t>指一种反复发作的严重支气管阻塞性疾病，须符合下列全部标准：</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（1）过去两年中有哮喘持续状态病史，曾因哮喘持续状态住院治疗，并提供完整住院记录；</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（2）身体活动耐受能力显著且持续下降；</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（3）慢性肺部过度膨涨充气导致的胸廓畸形；</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（4）在家中需要医生处方的氧气治疗法；</w:t>
            </w:r>
          </w:p>
        </w:tc>
      </w:tr>
      <w:tr>
        <w:trPr>
          <w:trHeight w:val="418"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（5）持续日常服用口服类固醇激素治疗持续至少 180 天。</w:t>
            </w:r>
          </w:p>
        </w:tc>
      </w:tr>
      <w:tr>
        <w:trPr>
          <w:trHeight w:val="440" w:hRule="atLeast"/>
        </w:trPr>
        <w:tc>
          <w:tcPr>
            <w:tcW w:w="418" w:type="dxa"/>
          </w:tcPr>
          <w:p>
            <w:pPr>
              <w:pStyle w:val="TableParagraph"/>
              <w:spacing w:before="109"/>
              <w:ind w:right="49"/>
              <w:jc w:val="right"/>
              <w:rPr>
                <w:b/>
                <w:sz w:val="21"/>
              </w:rPr>
            </w:pPr>
            <w:r>
              <w:rPr>
                <w:b/>
                <w:sz w:val="21"/>
              </w:rPr>
              <w:t>58.</w:t>
            </w:r>
          </w:p>
        </w:tc>
        <w:tc>
          <w:tcPr>
            <w:tcW w:w="1978" w:type="dxa"/>
          </w:tcPr>
          <w:p>
            <w:pPr>
              <w:pStyle w:val="TableParagraph"/>
              <w:spacing w:before="109"/>
              <w:ind w:left="52"/>
              <w:rPr>
                <w:b/>
                <w:sz w:val="21"/>
              </w:rPr>
            </w:pPr>
            <w:r>
              <w:rPr>
                <w:b/>
                <w:sz w:val="21"/>
              </w:rPr>
              <w:t>严重心肌炎</w:t>
            </w:r>
          </w:p>
        </w:tc>
        <w:tc>
          <w:tcPr>
            <w:tcW w:w="7549" w:type="dxa"/>
          </w:tcPr>
          <w:p>
            <w:pPr>
              <w:pStyle w:val="TableParagraph"/>
              <w:spacing w:before="129"/>
              <w:ind w:left="145"/>
              <w:rPr>
                <w:sz w:val="18"/>
              </w:rPr>
            </w:pPr>
            <w:r>
              <w:rPr>
                <w:spacing w:val="-3"/>
                <w:sz w:val="18"/>
              </w:rPr>
              <w:t>心肌的严重感染而导致至少持续 </w:t>
            </w:r>
            <w:r>
              <w:rPr>
                <w:sz w:val="18"/>
              </w:rPr>
              <w:t>6</w:t>
            </w:r>
            <w:r>
              <w:rPr>
                <w:spacing w:val="-9"/>
                <w:sz w:val="18"/>
              </w:rPr>
              <w:t> 个月的心功能损害。严重心功能损害还必须具备如下条件：</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（1）左室腔扩大至少达到正常值上限的 120%；</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（2）左室射血分数持续性低于 40%。</w:t>
            </w:r>
          </w:p>
        </w:tc>
      </w:tr>
      <w:tr>
        <w:trPr>
          <w:trHeight w:val="753" w:hRule="atLeast"/>
        </w:trPr>
        <w:tc>
          <w:tcPr>
            <w:tcW w:w="418" w:type="dxa"/>
          </w:tcPr>
          <w:p>
            <w:pPr>
              <w:pStyle w:val="TableParagraph"/>
              <w:spacing w:before="110"/>
              <w:ind w:right="49"/>
              <w:jc w:val="right"/>
              <w:rPr>
                <w:b/>
                <w:sz w:val="21"/>
              </w:rPr>
            </w:pPr>
            <w:r>
              <w:rPr>
                <w:b/>
                <w:sz w:val="21"/>
              </w:rPr>
              <w:t>59.</w:t>
            </w:r>
          </w:p>
        </w:tc>
        <w:tc>
          <w:tcPr>
            <w:tcW w:w="1978" w:type="dxa"/>
          </w:tcPr>
          <w:p>
            <w:pPr>
              <w:pStyle w:val="TableParagraph"/>
              <w:spacing w:line="273" w:lineRule="auto" w:before="110"/>
              <w:ind w:left="52" w:right="66"/>
              <w:rPr>
                <w:b/>
                <w:sz w:val="21"/>
              </w:rPr>
            </w:pPr>
            <w:r>
              <w:rPr>
                <w:b/>
                <w:sz w:val="21"/>
              </w:rPr>
              <w:t>严重肠道疾病并发症</w:t>
            </w:r>
          </w:p>
        </w:tc>
        <w:tc>
          <w:tcPr>
            <w:tcW w:w="7549" w:type="dxa"/>
          </w:tcPr>
          <w:p>
            <w:pPr>
              <w:pStyle w:val="TableParagraph"/>
              <w:spacing w:before="130"/>
              <w:ind w:left="145"/>
              <w:rPr>
                <w:sz w:val="18"/>
              </w:rPr>
            </w:pPr>
            <w:r>
              <w:rPr>
                <w:sz w:val="18"/>
              </w:rPr>
              <w:t>严重肠道疾病或外伤导致小肠损害并发症，满足以下所有条件：</w:t>
            </w:r>
          </w:p>
          <w:p>
            <w:pPr>
              <w:pStyle w:val="TableParagraph"/>
              <w:spacing w:before="75"/>
              <w:ind w:left="145"/>
              <w:rPr>
                <w:sz w:val="18"/>
              </w:rPr>
            </w:pPr>
            <w:r>
              <w:rPr>
                <w:sz w:val="18"/>
              </w:rPr>
              <w:t>（1）至少切除了三分之二小肠；</w:t>
            </w:r>
          </w:p>
        </w:tc>
      </w:tr>
      <w:tr>
        <w:trPr>
          <w:trHeight w:val="40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（2）完全场外营养支持三个月以上。</w:t>
            </w:r>
          </w:p>
        </w:tc>
      </w:tr>
      <w:tr>
        <w:trPr>
          <w:trHeight w:val="440" w:hRule="atLeast"/>
        </w:trPr>
        <w:tc>
          <w:tcPr>
            <w:tcW w:w="418" w:type="dxa"/>
          </w:tcPr>
          <w:p>
            <w:pPr>
              <w:pStyle w:val="TableParagraph"/>
              <w:spacing w:before="109"/>
              <w:ind w:right="49"/>
              <w:jc w:val="right"/>
              <w:rPr>
                <w:b/>
                <w:sz w:val="21"/>
              </w:rPr>
            </w:pPr>
            <w:r>
              <w:rPr>
                <w:b/>
                <w:sz w:val="21"/>
              </w:rPr>
              <w:t>60.</w:t>
            </w:r>
          </w:p>
        </w:tc>
        <w:tc>
          <w:tcPr>
            <w:tcW w:w="1978" w:type="dxa"/>
          </w:tcPr>
          <w:p>
            <w:pPr>
              <w:pStyle w:val="TableParagraph"/>
              <w:spacing w:before="109"/>
              <w:ind w:left="52"/>
              <w:rPr>
                <w:b/>
                <w:sz w:val="21"/>
              </w:rPr>
            </w:pPr>
            <w:r>
              <w:rPr>
                <w:b/>
                <w:sz w:val="21"/>
              </w:rPr>
              <w:t>重症手足口病</w:t>
            </w:r>
          </w:p>
        </w:tc>
        <w:tc>
          <w:tcPr>
            <w:tcW w:w="7549" w:type="dxa"/>
          </w:tcPr>
          <w:p>
            <w:pPr>
              <w:pStyle w:val="TableParagraph"/>
              <w:spacing w:before="129"/>
              <w:ind w:left="145"/>
              <w:rPr>
                <w:sz w:val="18"/>
              </w:rPr>
            </w:pPr>
            <w:r>
              <w:rPr>
                <w:sz w:val="18"/>
              </w:rPr>
              <w:t>由肠道病毒引起的急性传染病，主要症状表现为手、足、口腔等部位的斑丘疹、疱疹。经专</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科医生确诊为患有手足口病，并伴有下列三项中任意一项并发症：</w:t>
            </w:r>
          </w:p>
        </w:tc>
      </w:tr>
      <w:tr>
        <w:trPr>
          <w:trHeight w:val="31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（1）有脑膜炎或脑炎并发症，且导致意识障碍或瘫痪的临床表现及实验室检查证据；</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（2）有肺炎或肺水肿并发症，且导致呼吸衰竭的临床表现及实验室检查证据；</w:t>
            </w:r>
          </w:p>
        </w:tc>
      </w:tr>
      <w:tr>
        <w:trPr>
          <w:trHeight w:val="419"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（3）有心肌炎并发症，且导致心脏扩大或心力衰竭的临床表现及实验室检查证据。</w:t>
            </w:r>
          </w:p>
        </w:tc>
      </w:tr>
      <w:tr>
        <w:trPr>
          <w:trHeight w:val="441" w:hRule="atLeast"/>
        </w:trPr>
        <w:tc>
          <w:tcPr>
            <w:tcW w:w="418" w:type="dxa"/>
          </w:tcPr>
          <w:p>
            <w:pPr>
              <w:pStyle w:val="TableParagraph"/>
              <w:spacing w:before="110"/>
              <w:ind w:right="49"/>
              <w:jc w:val="right"/>
              <w:rPr>
                <w:b/>
                <w:sz w:val="21"/>
              </w:rPr>
            </w:pPr>
            <w:r>
              <w:rPr>
                <w:b/>
                <w:sz w:val="21"/>
              </w:rPr>
              <w:t>61.</w:t>
            </w:r>
          </w:p>
        </w:tc>
        <w:tc>
          <w:tcPr>
            <w:tcW w:w="1978" w:type="dxa"/>
          </w:tcPr>
          <w:p>
            <w:pPr>
              <w:pStyle w:val="TableParagraph"/>
              <w:spacing w:before="110"/>
              <w:ind w:left="52"/>
              <w:rPr>
                <w:b/>
                <w:sz w:val="21"/>
              </w:rPr>
            </w:pPr>
            <w:r>
              <w:rPr>
                <w:b/>
                <w:sz w:val="21"/>
              </w:rPr>
              <w:t>急性脊髓灰质炎</w:t>
            </w:r>
          </w:p>
        </w:tc>
        <w:tc>
          <w:tcPr>
            <w:tcW w:w="7549" w:type="dxa"/>
          </w:tcPr>
          <w:p>
            <w:pPr>
              <w:pStyle w:val="TableParagraph"/>
              <w:spacing w:before="130"/>
              <w:ind w:left="145"/>
              <w:rPr>
                <w:sz w:val="18"/>
              </w:rPr>
            </w:pPr>
            <w:r>
              <w:rPr>
                <w:sz w:val="18"/>
              </w:rPr>
              <w:t>指由于脊髓灰质炎病毒感染所导致的运动功能障碍或呼吸功能减弱的瘫痪性疾病。须满足下</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列全部条件：</w:t>
            </w:r>
          </w:p>
        </w:tc>
      </w:tr>
      <w:tr>
        <w:trPr>
          <w:trHeight w:val="311"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（1）必须提供脊髓灰质炎病毒感染的检查报告，如脑脊液检查或血清学抗体检查报告；</w:t>
            </w:r>
          </w:p>
        </w:tc>
      </w:tr>
      <w:tr>
        <w:trPr>
          <w:trHeight w:val="418"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0"/>
              <w:ind w:left="145"/>
              <w:rPr>
                <w:sz w:val="18"/>
              </w:rPr>
            </w:pPr>
            <w:r>
              <w:rPr>
                <w:sz w:val="18"/>
              </w:rPr>
              <w:t>（2）一肢或一肢以上肢体机能永久完全丧失。</w:t>
            </w:r>
          </w:p>
        </w:tc>
      </w:tr>
      <w:tr>
        <w:trPr>
          <w:trHeight w:val="440" w:hRule="atLeast"/>
        </w:trPr>
        <w:tc>
          <w:tcPr>
            <w:tcW w:w="418" w:type="dxa"/>
          </w:tcPr>
          <w:p>
            <w:pPr>
              <w:pStyle w:val="TableParagraph"/>
              <w:spacing w:before="108"/>
              <w:ind w:right="49"/>
              <w:jc w:val="right"/>
              <w:rPr>
                <w:b/>
                <w:sz w:val="21"/>
              </w:rPr>
            </w:pPr>
            <w:r>
              <w:rPr>
                <w:b/>
                <w:sz w:val="21"/>
              </w:rPr>
              <w:t>62.</w:t>
            </w:r>
          </w:p>
        </w:tc>
        <w:tc>
          <w:tcPr>
            <w:tcW w:w="1978" w:type="dxa"/>
          </w:tcPr>
          <w:p>
            <w:pPr>
              <w:pStyle w:val="TableParagraph"/>
              <w:spacing w:before="108"/>
              <w:ind w:left="52"/>
              <w:rPr>
                <w:b/>
                <w:sz w:val="21"/>
              </w:rPr>
            </w:pPr>
            <w:r>
              <w:rPr>
                <w:b/>
                <w:sz w:val="21"/>
              </w:rPr>
              <w:t>严重川崎病</w:t>
            </w:r>
          </w:p>
        </w:tc>
        <w:tc>
          <w:tcPr>
            <w:tcW w:w="7549" w:type="dxa"/>
          </w:tcPr>
          <w:p>
            <w:pPr>
              <w:pStyle w:val="TableParagraph"/>
              <w:spacing w:before="129"/>
              <w:ind w:left="145"/>
              <w:rPr>
                <w:sz w:val="18"/>
              </w:rPr>
            </w:pPr>
            <w:r>
              <w:rPr>
                <w:sz w:val="18"/>
              </w:rPr>
              <w:t>是指原因不明的系统性血管炎,并须满足下列全部条件：</w:t>
            </w:r>
          </w:p>
        </w:tc>
      </w:tr>
      <w:tr>
        <w:trPr>
          <w:trHeight w:val="302" w:hRule="atLeast"/>
        </w:trPr>
        <w:tc>
          <w:tcPr>
            <w:tcW w:w="418" w:type="dxa"/>
          </w:tcPr>
          <w:p>
            <w:pPr>
              <w:pStyle w:val="TableParagraph"/>
              <w:rPr>
                <w:rFonts w:ascii="Times New Roman"/>
                <w:sz w:val="18"/>
              </w:rPr>
            </w:pPr>
          </w:p>
        </w:tc>
        <w:tc>
          <w:tcPr>
            <w:tcW w:w="1978" w:type="dxa"/>
          </w:tcPr>
          <w:p>
            <w:pPr>
              <w:pStyle w:val="TableParagraph"/>
              <w:rPr>
                <w:rFonts w:ascii="Times New Roman"/>
                <w:sz w:val="18"/>
              </w:rPr>
            </w:pPr>
          </w:p>
        </w:tc>
        <w:tc>
          <w:tcPr>
            <w:tcW w:w="7549" w:type="dxa"/>
          </w:tcPr>
          <w:p>
            <w:pPr>
              <w:pStyle w:val="TableParagraph"/>
              <w:spacing w:before="1"/>
              <w:ind w:left="145"/>
              <w:rPr>
                <w:sz w:val="18"/>
              </w:rPr>
            </w:pPr>
            <w:r>
              <w:rPr>
                <w:sz w:val="18"/>
              </w:rPr>
              <w:t>（1）超声心动图显示川崎病并发冠状动脉瘤或其他心血管异常；</w:t>
            </w:r>
          </w:p>
        </w:tc>
      </w:tr>
      <w:tr>
        <w:trPr>
          <w:trHeight w:val="246" w:hRule="atLeast"/>
        </w:trPr>
        <w:tc>
          <w:tcPr>
            <w:tcW w:w="418" w:type="dxa"/>
          </w:tcPr>
          <w:p>
            <w:pPr>
              <w:pStyle w:val="TableParagraph"/>
              <w:rPr>
                <w:rFonts w:ascii="Times New Roman"/>
                <w:sz w:val="16"/>
              </w:rPr>
            </w:pPr>
          </w:p>
        </w:tc>
        <w:tc>
          <w:tcPr>
            <w:tcW w:w="1978" w:type="dxa"/>
          </w:tcPr>
          <w:p>
            <w:pPr>
              <w:pStyle w:val="TableParagraph"/>
              <w:rPr>
                <w:rFonts w:ascii="Times New Roman"/>
                <w:sz w:val="16"/>
              </w:rPr>
            </w:pPr>
          </w:p>
        </w:tc>
        <w:tc>
          <w:tcPr>
            <w:tcW w:w="7549" w:type="dxa"/>
          </w:tcPr>
          <w:p>
            <w:pPr>
              <w:pStyle w:val="TableParagraph"/>
              <w:spacing w:line="216" w:lineRule="exact" w:before="10"/>
              <w:ind w:left="145"/>
              <w:rPr>
                <w:sz w:val="18"/>
              </w:rPr>
            </w:pPr>
            <w:r>
              <w:rPr>
                <w:sz w:val="18"/>
              </w:rPr>
              <w:t>（2） 已接受了针对川崎病并发冠状动脉瘤或其他心血管异常所进行的手术治疗。</w:t>
            </w:r>
          </w:p>
        </w:tc>
      </w:tr>
    </w:tbl>
    <w:p>
      <w:pPr>
        <w:spacing w:after="0" w:line="216" w:lineRule="exact"/>
        <w:rPr>
          <w:sz w:val="18"/>
        </w:rPr>
        <w:sectPr>
          <w:pgSz w:w="11910" w:h="16840"/>
          <w:pgMar w:header="877" w:footer="977" w:top="1100" w:bottom="1160" w:left="1020" w:right="720"/>
        </w:sectPr>
      </w:pPr>
    </w:p>
    <w:p>
      <w:pPr>
        <w:pStyle w:val="BodyText"/>
        <w:spacing w:before="0"/>
        <w:rPr>
          <w:rFonts w:ascii="Times New Roman"/>
          <w:sz w:val="20"/>
        </w:rPr>
      </w:pPr>
    </w:p>
    <w:p>
      <w:pPr>
        <w:pStyle w:val="BodyText"/>
        <w:spacing w:before="5"/>
        <w:rPr>
          <w:rFonts w:ascii="Times New Roman"/>
          <w:sz w:val="21"/>
        </w:rPr>
      </w:pPr>
    </w:p>
    <w:p>
      <w:pPr>
        <w:pStyle w:val="ListParagraph"/>
        <w:numPr>
          <w:ilvl w:val="0"/>
          <w:numId w:val="20"/>
        </w:numPr>
        <w:tabs>
          <w:tab w:pos="529" w:val="left" w:leader="none"/>
        </w:tabs>
        <w:spacing w:line="290" w:lineRule="auto" w:before="36" w:after="0"/>
        <w:ind w:left="2599" w:right="199" w:hanging="2491"/>
        <w:jc w:val="both"/>
        <w:rPr>
          <w:sz w:val="18"/>
        </w:rPr>
      </w:pPr>
      <w:r>
        <w:rPr>
          <w:b/>
          <w:sz w:val="21"/>
        </w:rPr>
        <w:t>细菌性脑膜炎       </w:t>
      </w:r>
      <w:r>
        <w:rPr>
          <w:position w:val="1"/>
          <w:sz w:val="18"/>
        </w:rPr>
        <w:t>细菌性脑膜炎是细菌感染造成的覆盖脑和脊髓的脑脊膜的炎症。细菌性脑膜炎必须造成永久</w:t>
      </w:r>
      <w:r>
        <w:rPr>
          <w:sz w:val="18"/>
        </w:rPr>
        <w:t>性神经系统功能损害并且符合下列条件：</w:t>
      </w:r>
    </w:p>
    <w:p>
      <w:pPr>
        <w:pStyle w:val="BodyText"/>
        <w:spacing w:line="316" w:lineRule="auto" w:before="38"/>
        <w:ind w:left="2599" w:right="148"/>
      </w:pPr>
      <w:r>
        <w:rPr/>
        <w:t>（1）导致三周岁以上被保险人永久不可逆性的丧失下列活动能力：在室内从房间到房间之间的平地移动，或者在食物已经准备好的情况下自己进食。</w:t>
      </w:r>
    </w:p>
    <w:p>
      <w:pPr>
        <w:pStyle w:val="BodyText"/>
        <w:spacing w:line="316" w:lineRule="auto" w:before="19"/>
        <w:ind w:left="2599" w:right="199"/>
      </w:pPr>
      <w:r>
        <w:rPr>
          <w:spacing w:val="-3"/>
        </w:rPr>
        <w:t>（2）</w:t>
      </w:r>
      <w:r>
        <w:rPr>
          <w:spacing w:val="-4"/>
        </w:rPr>
        <w:t>导致三周岁以下被保险人持续超过 </w:t>
      </w:r>
      <w:r>
        <w:rPr/>
        <w:t>180</w:t>
      </w:r>
      <w:r>
        <w:rPr>
          <w:spacing w:val="-8"/>
        </w:rPr>
        <w:t> 天以上的一项或多项下列后遗症：癫痫症、阻塞性脑积水、瘫痪、肢体强直痉挛或共济失调。</w:t>
      </w:r>
    </w:p>
    <w:p>
      <w:pPr>
        <w:pStyle w:val="BodyText"/>
        <w:spacing w:before="3"/>
        <w:rPr>
          <w:sz w:val="17"/>
        </w:rPr>
      </w:pPr>
    </w:p>
    <w:p>
      <w:pPr>
        <w:pStyle w:val="ListParagraph"/>
        <w:numPr>
          <w:ilvl w:val="0"/>
          <w:numId w:val="20"/>
        </w:numPr>
        <w:tabs>
          <w:tab w:pos="529" w:val="left" w:leader="none"/>
        </w:tabs>
        <w:spacing w:line="302" w:lineRule="auto" w:before="0" w:after="0"/>
        <w:ind w:left="2599" w:right="199" w:hanging="2491"/>
        <w:jc w:val="both"/>
        <w:rPr>
          <w:sz w:val="18"/>
        </w:rPr>
      </w:pPr>
      <w:r>
        <w:rPr>
          <w:b/>
          <w:spacing w:val="0"/>
          <w:sz w:val="21"/>
        </w:rPr>
        <w:t>慢性复发性胰腺炎   </w:t>
      </w:r>
      <w:r>
        <w:rPr>
          <w:position w:val="1"/>
          <w:sz w:val="18"/>
        </w:rPr>
        <w:t>指有腹痛等典型症状的胰腺炎反复发作，导致胰腺进行性破坏，并导致胰腺功能紊乱而导致</w:t>
      </w:r>
      <w:r>
        <w:rPr>
          <w:sz w:val="18"/>
        </w:rPr>
        <w:t>严重糖尿病以及营养不良、恶液质。断层扫描（CT）证实胰腺存在广泛钙化，且必须接受酶</w:t>
      </w:r>
      <w:r>
        <w:rPr>
          <w:spacing w:val="-4"/>
          <w:sz w:val="18"/>
        </w:rPr>
        <w:t>替代以及胰岛素替代治疗 </w:t>
      </w:r>
      <w:r>
        <w:rPr>
          <w:sz w:val="18"/>
        </w:rPr>
        <w:t>6</w:t>
      </w:r>
      <w:r>
        <w:rPr>
          <w:spacing w:val="-7"/>
          <w:sz w:val="18"/>
        </w:rPr>
        <w:t> 个月以上。诊断必须由消化科专科医生确诊。</w:t>
      </w:r>
    </w:p>
    <w:p>
      <w:pPr>
        <w:pStyle w:val="BodyText"/>
        <w:spacing w:before="29"/>
        <w:ind w:left="2599"/>
      </w:pPr>
      <w:r>
        <w:rPr/>
        <w:t>酒精导致的慢性复发性胰腺炎除外。</w:t>
      </w:r>
    </w:p>
    <w:p>
      <w:pPr>
        <w:pStyle w:val="BodyText"/>
        <w:spacing w:before="12"/>
      </w:pPr>
    </w:p>
    <w:p>
      <w:pPr>
        <w:spacing w:after="0"/>
        <w:sectPr>
          <w:pgSz w:w="11910" w:h="16840"/>
          <w:pgMar w:header="877" w:footer="977" w:top="1100" w:bottom="1160" w:left="1080" w:right="760"/>
        </w:sectPr>
      </w:pPr>
    </w:p>
    <w:p>
      <w:pPr>
        <w:pStyle w:val="Heading3"/>
        <w:numPr>
          <w:ilvl w:val="0"/>
          <w:numId w:val="20"/>
        </w:numPr>
        <w:tabs>
          <w:tab w:pos="529" w:val="left" w:leader="none"/>
        </w:tabs>
        <w:spacing w:line="273" w:lineRule="auto" w:before="36" w:after="0"/>
        <w:ind w:left="528" w:right="0" w:hanging="420"/>
        <w:jc w:val="left"/>
      </w:pPr>
      <w:r>
        <w:rPr>
          <w:spacing w:val="20"/>
        </w:rPr>
        <w:t>自体造血干细胞移植手术</w:t>
      </w:r>
    </w:p>
    <w:p>
      <w:pPr>
        <w:pStyle w:val="BodyText"/>
        <w:spacing w:line="316" w:lineRule="auto" w:before="57"/>
        <w:ind w:left="108" w:right="19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w:t>
      </w:r>
    </w:p>
    <w:p>
      <w:pPr>
        <w:spacing w:after="0" w:line="316" w:lineRule="auto"/>
        <w:jc w:val="both"/>
        <w:sectPr>
          <w:type w:val="continuous"/>
          <w:pgSz w:w="11910" w:h="16840"/>
          <w:pgMar w:top="1040" w:bottom="1160" w:left="1080" w:right="760"/>
          <w:cols w:num="2" w:equalWidth="0">
            <w:col w:w="2386" w:space="105"/>
            <w:col w:w="7579"/>
          </w:cols>
        </w:sectPr>
      </w:pPr>
    </w:p>
    <w:p>
      <w:pPr>
        <w:pStyle w:val="BodyText"/>
        <w:spacing w:before="4"/>
        <w:rPr>
          <w:sz w:val="14"/>
        </w:rPr>
      </w:pPr>
    </w:p>
    <w:p>
      <w:pPr>
        <w:pStyle w:val="ListParagraph"/>
        <w:numPr>
          <w:ilvl w:val="0"/>
          <w:numId w:val="20"/>
        </w:numPr>
        <w:tabs>
          <w:tab w:pos="529" w:val="left" w:leader="none"/>
          <w:tab w:pos="2599" w:val="left" w:leader="none"/>
        </w:tabs>
        <w:spacing w:line="302" w:lineRule="auto" w:before="36" w:after="0"/>
        <w:ind w:left="2599" w:right="108" w:hanging="2491"/>
        <w:jc w:val="left"/>
        <w:rPr>
          <w:sz w:val="18"/>
        </w:rPr>
      </w:pPr>
      <w:r>
        <w:rPr>
          <w:b/>
          <w:sz w:val="21"/>
        </w:rPr>
        <w:t>原发性骨髓纤维化</w:t>
        <w:tab/>
      </w:r>
      <w:r>
        <w:rPr>
          <w:position w:val="1"/>
          <w:sz w:val="18"/>
        </w:rPr>
        <w:t>原发性骨髓纤维化为原因不明的骨髓中成纤维细胞增殖</w:t>
      </w:r>
      <w:r>
        <w:rPr>
          <w:spacing w:val="-13"/>
          <w:position w:val="1"/>
          <w:sz w:val="18"/>
        </w:rPr>
        <w:t>，</w:t>
      </w:r>
      <w:r>
        <w:rPr>
          <w:position w:val="1"/>
          <w:sz w:val="18"/>
        </w:rPr>
        <w:t>伴有髓外造血</w:t>
      </w:r>
      <w:r>
        <w:rPr>
          <w:spacing w:val="-12"/>
          <w:position w:val="1"/>
          <w:sz w:val="18"/>
        </w:rPr>
        <w:t>，</w:t>
      </w:r>
      <w:r>
        <w:rPr>
          <w:position w:val="1"/>
          <w:sz w:val="18"/>
        </w:rPr>
        <w:t>表现为进行性贫血、</w:t>
      </w:r>
      <w:r>
        <w:rPr>
          <w:sz w:val="18"/>
        </w:rPr>
        <w:t>脾肿大等症状</w:t>
      </w:r>
      <w:r>
        <w:rPr>
          <w:spacing w:val="-24"/>
          <w:sz w:val="18"/>
        </w:rPr>
        <w:t>。</w:t>
      </w:r>
      <w:r>
        <w:rPr>
          <w:sz w:val="18"/>
        </w:rPr>
        <w:t>本病必须根据骨髓的活组织检查和周围血象检查由血液科专科医生明确诊断， 并至少符合下列条件中的三项，且符合条件的状态持续</w:t>
      </w:r>
      <w:r>
        <w:rPr>
          <w:spacing w:val="-12"/>
          <w:sz w:val="18"/>
        </w:rPr>
        <w:t> </w:t>
      </w:r>
      <w:r>
        <w:rPr>
          <w:rFonts w:ascii="Times New Roman" w:eastAsia="Times New Roman"/>
          <w:sz w:val="18"/>
        </w:rPr>
        <w:t>180</w:t>
      </w:r>
      <w:r>
        <w:rPr>
          <w:rFonts w:ascii="Times New Roman" w:eastAsia="Times New Roman"/>
          <w:spacing w:val="30"/>
          <w:sz w:val="18"/>
        </w:rPr>
        <w:t> </w:t>
      </w:r>
      <w:r>
        <w:rPr>
          <w:sz w:val="18"/>
        </w:rPr>
        <w:t>天及以上，并已经实际接受了针对此症的治疗：</w:t>
      </w:r>
    </w:p>
    <w:p>
      <w:pPr>
        <w:pStyle w:val="BodyText"/>
        <w:spacing w:before="29"/>
        <w:ind w:left="2599"/>
      </w:pPr>
      <w:r>
        <w:rPr/>
        <w:t>（</w:t>
      </w:r>
      <w:r>
        <w:rPr>
          <w:rFonts w:ascii="Times New Roman" w:eastAsia="Times New Roman"/>
        </w:rPr>
        <w:t>1</w:t>
      </w:r>
      <w:r>
        <w:rPr/>
        <w:t>）血红蛋白</w:t>
      </w:r>
      <w:r>
        <w:rPr>
          <w:rFonts w:ascii="Times New Roman" w:eastAsia="Times New Roman"/>
        </w:rPr>
        <w:t>&lt;100g/L</w:t>
      </w:r>
      <w:r>
        <w:rPr/>
        <w:t>；</w:t>
      </w:r>
    </w:p>
    <w:p>
      <w:pPr>
        <w:pStyle w:val="BodyText"/>
        <w:spacing w:before="65"/>
        <w:ind w:left="2599"/>
      </w:pPr>
      <w:r>
        <w:rPr/>
        <w:drawing>
          <wp:anchor distT="0" distB="0" distL="0" distR="0" allowOverlap="1" layoutInCell="1" locked="0" behindDoc="1" simplePos="0" relativeHeight="268392983">
            <wp:simplePos x="0" y="0"/>
            <wp:positionH relativeFrom="page">
              <wp:posOffset>3375659</wp:posOffset>
            </wp:positionH>
            <wp:positionV relativeFrom="paragraph">
              <wp:posOffset>104708</wp:posOffset>
            </wp:positionV>
            <wp:extent cx="80772" cy="624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80772" cy="62484"/>
                    </a:xfrm>
                    <a:prstGeom prst="rect">
                      <a:avLst/>
                    </a:prstGeom>
                  </pic:spPr>
                </pic:pic>
              </a:graphicData>
            </a:graphic>
          </wp:anchor>
        </w:drawing>
      </w:r>
      <w:r>
        <w:rPr/>
        <w:t>（</w:t>
      </w:r>
      <w:r>
        <w:rPr>
          <w:rFonts w:ascii="Times New Roman" w:eastAsia="Times New Roman"/>
        </w:rPr>
        <w:t>2</w:t>
      </w:r>
      <w:r>
        <w:rPr/>
        <w:t>）白细胞计数</w:t>
      </w:r>
      <w:r>
        <w:rPr>
          <w:rFonts w:ascii="Times New Roman" w:eastAsia="Times New Roman"/>
        </w:rPr>
        <w:t>&gt;25   10</w:t>
      </w:r>
      <w:r>
        <w:rPr>
          <w:rFonts w:ascii="Times New Roman" w:eastAsia="Times New Roman"/>
          <w:vertAlign w:val="superscript"/>
        </w:rPr>
        <w:t>9</w:t>
      </w:r>
      <w:r>
        <w:rPr>
          <w:rFonts w:ascii="Times New Roman" w:eastAsia="Times New Roman"/>
          <w:vertAlign w:val="baseline"/>
        </w:rPr>
        <w:t>/</w:t>
      </w:r>
      <w:r>
        <w:rPr>
          <w:rFonts w:ascii="Times New Roman" w:eastAsia="Times New Roman"/>
          <w:vertAlign w:val="baseline"/>
        </w:rPr>
        <w:t>L</w:t>
      </w:r>
      <w:r>
        <w:rPr>
          <w:vertAlign w:val="baseline"/>
        </w:rPr>
        <w:t>；</w:t>
      </w:r>
    </w:p>
    <w:p>
      <w:pPr>
        <w:pStyle w:val="BodyText"/>
        <w:spacing w:before="63"/>
        <w:ind w:left="2599"/>
      </w:pPr>
      <w:r>
        <w:rPr/>
        <w:drawing>
          <wp:anchor distT="0" distB="0" distL="0" distR="0" allowOverlap="1" layoutInCell="1" locked="0" behindDoc="1" simplePos="0" relativeHeight="268393007">
            <wp:simplePos x="0" y="0"/>
            <wp:positionH relativeFrom="page">
              <wp:posOffset>3403091</wp:posOffset>
            </wp:positionH>
            <wp:positionV relativeFrom="paragraph">
              <wp:posOffset>95741</wp:posOffset>
            </wp:positionV>
            <wp:extent cx="108204" cy="80772"/>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08204" cy="80772"/>
                    </a:xfrm>
                    <a:prstGeom prst="rect">
                      <a:avLst/>
                    </a:prstGeom>
                  </pic:spPr>
                </pic:pic>
              </a:graphicData>
            </a:graphic>
          </wp:anchor>
        </w:drawing>
      </w:r>
      <w:r>
        <w:rPr/>
        <w:t>（</w:t>
      </w:r>
      <w:r>
        <w:rPr>
          <w:rFonts w:ascii="Times New Roman" w:eastAsia="Times New Roman"/>
        </w:rPr>
        <w:t>3</w:t>
      </w:r>
      <w:r>
        <w:rPr/>
        <w:t>）外周血原始细胞 </w:t>
      </w:r>
      <w:r>
        <w:rPr>
          <w:rFonts w:ascii="Times New Roman" w:eastAsia="Times New Roman"/>
        </w:rPr>
        <w:t>1%</w:t>
      </w:r>
      <w:r>
        <w:rPr/>
        <w:t>；</w:t>
      </w:r>
    </w:p>
    <w:p>
      <w:pPr>
        <w:pStyle w:val="BodyText"/>
        <w:spacing w:before="62"/>
        <w:ind w:left="2599"/>
      </w:pPr>
      <w:r>
        <w:rPr/>
        <w:pict>
          <v:group style="position:absolute;margin-left:267.959991pt;margin-top:7.851726pt;width:8.550pt;height:5.8pt;mso-position-horizontal-relative:page;mso-position-vertical-relative:paragraph;z-index:-42424" coordorigin="5359,157" coordsize="171,116">
            <v:shape style="position:absolute;left:5397;top:157;width:60;height:12" type="#_x0000_t75" stroked="false">
              <v:imagedata r:id="rId13" o:title=""/>
            </v:shape>
            <v:shape style="position:absolute;left:5359;top:157;width:171;height:116" type="#_x0000_t75" stroked="false">
              <v:imagedata r:id="rId14" o:title=""/>
            </v:shape>
            <w10:wrap type="none"/>
          </v:group>
        </w:pict>
      </w:r>
      <w:r>
        <w:rPr/>
        <w:t>（</w:t>
      </w:r>
      <w:r>
        <w:rPr>
          <w:rFonts w:ascii="Times New Roman" w:eastAsia="Times New Roman"/>
        </w:rPr>
        <w:t>4</w:t>
      </w:r>
      <w:r>
        <w:rPr/>
        <w:t>）血小板计数</w:t>
      </w:r>
      <w:r>
        <w:rPr>
          <w:rFonts w:ascii="Times New Roman" w:eastAsia="Times New Roman"/>
        </w:rPr>
        <w:t>&lt;100   10</w:t>
      </w:r>
      <w:r>
        <w:rPr>
          <w:rFonts w:ascii="Times New Roman" w:eastAsia="Times New Roman"/>
          <w:vertAlign w:val="superscript"/>
        </w:rPr>
        <w:t>9</w:t>
      </w:r>
      <w:r>
        <w:rPr>
          <w:rFonts w:ascii="Times New Roman" w:eastAsia="Times New Roman"/>
          <w:vertAlign w:val="baseline"/>
        </w:rPr>
        <w:t>/</w:t>
      </w:r>
      <w:r>
        <w:rPr>
          <w:rFonts w:ascii="Times New Roman" w:eastAsia="Times New Roman"/>
          <w:vertAlign w:val="baseline"/>
        </w:rPr>
        <w:t>L</w:t>
      </w:r>
      <w:r>
        <w:rPr>
          <w:vertAlign w:val="baseline"/>
        </w:rPr>
        <w:t>。</w:t>
      </w:r>
    </w:p>
    <w:p>
      <w:pPr>
        <w:pStyle w:val="BodyText"/>
        <w:spacing w:before="59"/>
        <w:ind w:left="2599"/>
      </w:pPr>
      <w:r>
        <w:rPr/>
        <w:t>任何其它病因导致的继发性骨髓纤维化不在保障范围内。</w:t>
      </w:r>
    </w:p>
    <w:p>
      <w:pPr>
        <w:pStyle w:val="BodyText"/>
        <w:spacing w:before="0"/>
      </w:pPr>
    </w:p>
    <w:p>
      <w:pPr>
        <w:pStyle w:val="BodyText"/>
        <w:spacing w:before="0"/>
      </w:pPr>
    </w:p>
    <w:p>
      <w:pPr>
        <w:pStyle w:val="BodyText"/>
        <w:spacing w:before="0"/>
      </w:pPr>
    </w:p>
    <w:p>
      <w:pPr>
        <w:pStyle w:val="BodyText"/>
        <w:spacing w:before="142"/>
        <w:ind w:left="223"/>
      </w:pPr>
      <w:r>
        <w:rPr/>
        <w:t>注：</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专科医生</w:t>
      </w:r>
    </w:p>
    <w:p>
      <w:pPr>
        <w:pStyle w:val="BodyText"/>
        <w:ind w:left="643"/>
      </w:pPr>
      <w:r>
        <w:rPr/>
        <w:t>专科医生应当同时满足以下四项资格条件：</w:t>
      </w:r>
    </w:p>
    <w:p>
      <w:pPr>
        <w:pStyle w:val="ListParagraph"/>
        <w:numPr>
          <w:ilvl w:val="2"/>
          <w:numId w:val="20"/>
        </w:numPr>
        <w:tabs>
          <w:tab w:pos="1064" w:val="left" w:leader="none"/>
        </w:tabs>
        <w:spacing w:line="240" w:lineRule="auto" w:before="76" w:after="0"/>
        <w:ind w:left="1063" w:right="0" w:hanging="444"/>
        <w:jc w:val="left"/>
        <w:rPr>
          <w:sz w:val="18"/>
        </w:rPr>
      </w:pPr>
      <w:r>
        <w:rPr>
          <w:spacing w:val="-5"/>
          <w:sz w:val="18"/>
        </w:rPr>
        <w:t>具有有效的中华人民共和国《医师资格证书》；</w:t>
      </w:r>
    </w:p>
    <w:p>
      <w:pPr>
        <w:pStyle w:val="ListParagraph"/>
        <w:numPr>
          <w:ilvl w:val="2"/>
          <w:numId w:val="20"/>
        </w:numPr>
        <w:tabs>
          <w:tab w:pos="1064" w:val="left" w:leader="none"/>
        </w:tabs>
        <w:spacing w:line="240" w:lineRule="auto" w:before="76" w:after="0"/>
        <w:ind w:left="1063" w:right="0" w:hanging="444"/>
        <w:jc w:val="left"/>
        <w:rPr>
          <w:sz w:val="18"/>
        </w:rPr>
      </w:pPr>
      <w:r>
        <w:rPr>
          <w:spacing w:val="-5"/>
          <w:sz w:val="18"/>
        </w:rPr>
        <w:t>具有有效的中华人民共和国《医师执业证书》，并按期到相关部门登记注册；</w:t>
      </w:r>
    </w:p>
    <w:p>
      <w:pPr>
        <w:pStyle w:val="ListParagraph"/>
        <w:numPr>
          <w:ilvl w:val="2"/>
          <w:numId w:val="20"/>
        </w:numPr>
        <w:tabs>
          <w:tab w:pos="1064" w:val="left" w:leader="none"/>
        </w:tabs>
        <w:spacing w:line="240" w:lineRule="auto" w:before="76" w:after="0"/>
        <w:ind w:left="1063" w:right="0" w:hanging="444"/>
        <w:jc w:val="left"/>
        <w:rPr>
          <w:sz w:val="18"/>
        </w:rPr>
      </w:pPr>
      <w:r>
        <w:rPr>
          <w:spacing w:val="-3"/>
          <w:sz w:val="18"/>
        </w:rPr>
        <w:t>具有有效的中华人民共和国主治医师或主治医师以上职称的《医师职称证书》；</w:t>
      </w:r>
    </w:p>
    <w:p>
      <w:pPr>
        <w:pStyle w:val="ListParagraph"/>
        <w:numPr>
          <w:ilvl w:val="2"/>
          <w:numId w:val="20"/>
        </w:numPr>
        <w:tabs>
          <w:tab w:pos="1064" w:val="left" w:leader="none"/>
        </w:tabs>
        <w:spacing w:line="240" w:lineRule="auto" w:before="76" w:after="0"/>
        <w:ind w:left="1063" w:right="0" w:hanging="444"/>
        <w:jc w:val="left"/>
        <w:rPr>
          <w:sz w:val="18"/>
        </w:rPr>
      </w:pPr>
      <w:r>
        <w:rPr>
          <w:sz w:val="18"/>
        </w:rPr>
        <w:t>在二级或二级以上医院的相应科室从事临床工作三年以上。</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肢体机能完全丧失</w:t>
      </w:r>
    </w:p>
    <w:p>
      <w:pPr>
        <w:pStyle w:val="BodyText"/>
        <w:ind w:left="643"/>
      </w:pPr>
      <w:r>
        <w:rPr/>
        <w:t>指肢体的三大关节中的两大关节僵硬，或不能随意识活动。肢体是指包括肩关节的整个上肢或包括髋关节的整个下肢。</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咀嚼吞咽能力完全丧失</w:t>
      </w:r>
    </w:p>
    <w:p>
      <w:pPr>
        <w:pStyle w:val="BodyText"/>
        <w:ind w:left="643"/>
      </w:pPr>
      <w:r>
        <w:rPr/>
        <w:t>指因牙齿以外的原因导致器质障碍或机能障碍，以致不能作咀嚼吞咽运动，除流质食物外不能摄取或吞咽的状态。</w:t>
      </w:r>
    </w:p>
    <w:p>
      <w:pPr>
        <w:pStyle w:val="ListParagraph"/>
        <w:numPr>
          <w:ilvl w:val="1"/>
          <w:numId w:val="20"/>
        </w:numPr>
        <w:tabs>
          <w:tab w:pos="643" w:val="left" w:leader="none"/>
          <w:tab w:pos="644" w:val="left" w:leader="none"/>
        </w:tabs>
        <w:spacing w:line="240" w:lineRule="auto" w:before="76" w:after="0"/>
        <w:ind w:left="643" w:right="0" w:hanging="420"/>
        <w:jc w:val="left"/>
        <w:rPr>
          <w:sz w:val="18"/>
        </w:rPr>
      </w:pPr>
      <w:r>
        <w:rPr>
          <w:sz w:val="18"/>
        </w:rPr>
        <w:t>语言能力完全丧失</w:t>
      </w:r>
    </w:p>
    <w:p>
      <w:pPr>
        <w:pStyle w:val="BodyText"/>
        <w:spacing w:line="316" w:lineRule="auto"/>
        <w:ind w:left="643" w:right="241"/>
      </w:pPr>
      <w:r>
        <w:rPr/>
        <w:t>指无法发出四种语音（包括口唇音、齿舌音、口盖音和喉头音）中的任何三种、或声带全部切除，或因大脑语言中枢受伤害而患失语症。</w:t>
      </w:r>
    </w:p>
    <w:p>
      <w:pPr>
        <w:pStyle w:val="ListParagraph"/>
        <w:numPr>
          <w:ilvl w:val="1"/>
          <w:numId w:val="20"/>
        </w:numPr>
        <w:tabs>
          <w:tab w:pos="643" w:val="left" w:leader="none"/>
          <w:tab w:pos="644" w:val="left" w:leader="none"/>
        </w:tabs>
        <w:spacing w:line="240" w:lineRule="auto" w:before="18" w:after="0"/>
        <w:ind w:left="643" w:right="0" w:hanging="420"/>
        <w:jc w:val="left"/>
        <w:rPr>
          <w:sz w:val="18"/>
        </w:rPr>
      </w:pPr>
      <w:r>
        <w:rPr>
          <w:sz w:val="18"/>
        </w:rPr>
        <w:t>六项基本日常生活活动</w:t>
      </w:r>
    </w:p>
    <w:p>
      <w:pPr>
        <w:pStyle w:val="ListParagraph"/>
        <w:numPr>
          <w:ilvl w:val="2"/>
          <w:numId w:val="20"/>
        </w:numPr>
        <w:tabs>
          <w:tab w:pos="1064" w:val="left" w:leader="none"/>
        </w:tabs>
        <w:spacing w:line="240" w:lineRule="auto" w:before="76" w:after="0"/>
        <w:ind w:left="1063" w:right="0" w:hanging="444"/>
        <w:jc w:val="left"/>
        <w:rPr>
          <w:sz w:val="18"/>
        </w:rPr>
      </w:pPr>
      <w:r>
        <w:rPr>
          <w:sz w:val="18"/>
        </w:rPr>
        <w:t>穿衣：自己能够穿衣及脱衣；</w:t>
      </w:r>
    </w:p>
    <w:p>
      <w:pPr>
        <w:pStyle w:val="ListParagraph"/>
        <w:numPr>
          <w:ilvl w:val="2"/>
          <w:numId w:val="20"/>
        </w:numPr>
        <w:tabs>
          <w:tab w:pos="1064" w:val="left" w:leader="none"/>
        </w:tabs>
        <w:spacing w:line="240" w:lineRule="auto" w:before="76" w:after="0"/>
        <w:ind w:left="1063" w:right="0" w:hanging="444"/>
        <w:jc w:val="left"/>
        <w:rPr>
          <w:sz w:val="18"/>
        </w:rPr>
      </w:pPr>
      <w:r>
        <w:rPr>
          <w:sz w:val="18"/>
        </w:rPr>
        <w:t>移动：自己从一个房间到另一个房间；</w:t>
      </w:r>
    </w:p>
    <w:p>
      <w:pPr>
        <w:spacing w:after="0" w:line="240" w:lineRule="auto"/>
        <w:jc w:val="left"/>
        <w:rPr>
          <w:sz w:val="18"/>
        </w:rPr>
        <w:sectPr>
          <w:type w:val="continuous"/>
          <w:pgSz w:w="11910" w:h="16840"/>
          <w:pgMar w:top="1040" w:bottom="1160" w:left="1080" w:right="760"/>
        </w:sectPr>
      </w:pPr>
    </w:p>
    <w:p>
      <w:pPr>
        <w:pStyle w:val="BodyText"/>
        <w:spacing w:before="1"/>
        <w:rPr>
          <w:sz w:val="20"/>
        </w:rPr>
      </w:pPr>
    </w:p>
    <w:p>
      <w:pPr>
        <w:pStyle w:val="ListParagraph"/>
        <w:numPr>
          <w:ilvl w:val="2"/>
          <w:numId w:val="20"/>
        </w:numPr>
        <w:tabs>
          <w:tab w:pos="984" w:val="left" w:leader="none"/>
        </w:tabs>
        <w:spacing w:line="240" w:lineRule="auto" w:before="45" w:after="0"/>
        <w:ind w:left="983" w:right="0" w:hanging="444"/>
        <w:jc w:val="left"/>
        <w:rPr>
          <w:sz w:val="18"/>
        </w:rPr>
      </w:pPr>
      <w:r>
        <w:rPr>
          <w:sz w:val="18"/>
        </w:rPr>
        <w:t>行动：自己上下床或上下轮椅；</w:t>
      </w:r>
    </w:p>
    <w:p>
      <w:pPr>
        <w:pStyle w:val="ListParagraph"/>
        <w:numPr>
          <w:ilvl w:val="2"/>
          <w:numId w:val="20"/>
        </w:numPr>
        <w:tabs>
          <w:tab w:pos="984" w:val="left" w:leader="none"/>
        </w:tabs>
        <w:spacing w:line="240" w:lineRule="auto" w:before="76" w:after="0"/>
        <w:ind w:left="983" w:right="0" w:hanging="444"/>
        <w:jc w:val="left"/>
        <w:rPr>
          <w:sz w:val="18"/>
        </w:rPr>
      </w:pPr>
      <w:r>
        <w:rPr>
          <w:sz w:val="18"/>
        </w:rPr>
        <w:t>如厕：自己控制进行大小便；</w:t>
      </w:r>
    </w:p>
    <w:p>
      <w:pPr>
        <w:pStyle w:val="ListParagraph"/>
        <w:numPr>
          <w:ilvl w:val="2"/>
          <w:numId w:val="20"/>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2"/>
          <w:numId w:val="20"/>
        </w:numPr>
        <w:tabs>
          <w:tab w:pos="984" w:val="left" w:leader="none"/>
        </w:tabs>
        <w:spacing w:line="240" w:lineRule="auto" w:before="75" w:after="0"/>
        <w:ind w:left="983" w:right="0" w:hanging="444"/>
        <w:jc w:val="left"/>
        <w:rPr>
          <w:sz w:val="18"/>
        </w:rPr>
      </w:pPr>
      <w:r>
        <w:rPr>
          <w:sz w:val="18"/>
        </w:rPr>
        <w:t>洗澡：自己进行淋浴或盆浴。</w:t>
      </w:r>
    </w:p>
    <w:p>
      <w:pPr>
        <w:pStyle w:val="ListParagraph"/>
        <w:numPr>
          <w:ilvl w:val="1"/>
          <w:numId w:val="20"/>
        </w:numPr>
        <w:tabs>
          <w:tab w:pos="563" w:val="left" w:leader="none"/>
          <w:tab w:pos="564" w:val="left" w:leader="none"/>
        </w:tabs>
        <w:spacing w:line="240" w:lineRule="auto" w:before="75" w:after="0"/>
        <w:ind w:left="563" w:right="0" w:hanging="420"/>
        <w:jc w:val="left"/>
        <w:rPr>
          <w:sz w:val="18"/>
        </w:rPr>
      </w:pPr>
      <w:r>
        <w:rPr>
          <w:sz w:val="18"/>
        </w:rPr>
        <w:t>永久不可逆</w:t>
      </w:r>
    </w:p>
    <w:p>
      <w:pPr>
        <w:pStyle w:val="BodyText"/>
        <w:ind w:left="563"/>
      </w:pPr>
      <w:r>
        <w:rPr/>
        <w:t>指自疾病确诊或意外伤害发生之日起，经过积极治疗 180 天后，仍无法通过现有医疗手段恢复。</w:t>
      </w:r>
    </w:p>
    <w:sectPr>
      <w:pgSz w:w="11910" w:h="16840"/>
      <w:pgMar w:header="877" w:footer="977" w:top="1100" w:bottom="116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ngLiU-ExtB">
    <w:altName w:val="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988pt;margin-top:782.02002pt;width:29.15pt;height:12pt;mso-position-horizontal-relative:page;mso-position-vertical-relative:page;z-index:-42760"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301pt;margin-top:782.02002pt;width:33.7pt;height:12pt;mso-position-horizontal-relative:page;mso-position-vertical-relative:page;z-index:-42664"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004pt;margin-top:42.865639pt;width:166.9pt;height:11pt;mso-position-horizontal-relative:page;mso-position-vertical-relative:page;z-index:-42808" type="#_x0000_t202" filled="false" stroked="false">
          <v:textbox inset="0,0,0,0">
            <w:txbxContent>
              <w:p>
                <w:pPr>
                  <w:pStyle w:val="BodyText"/>
                  <w:spacing w:line="200" w:lineRule="exact" w:before="0"/>
                  <w:ind w:left="20"/>
                </w:pPr>
                <w:r>
                  <w:rPr/>
                  <w:t>民生附加康裕额外给付重大疾病保险条款</w:t>
                </w:r>
              </w:p>
            </w:txbxContent>
          </v:textbox>
          <w10:wrap type="none"/>
        </v:shape>
      </w:pict>
    </w:r>
    <w:r>
      <w:rPr/>
      <w:pict>
        <v:shape style="position:absolute;margin-left:430.397003pt;margin-top:42.865639pt;width:111.8pt;height:11pt;mso-position-horizontal-relative:page;mso-position-vertical-relative:page;z-index:-4278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2736" from="63.720001pt,55.560013pt" to="542.880001pt,55.560013pt" stroked="true" strokeweight=".72pt" strokecolor="#000000">
          <v:stroke dashstyle="solid"/>
          <w10:wrap type="none"/>
        </v:line>
      </w:pict>
    </w:r>
    <w:r>
      <w:rPr/>
      <w:pict>
        <v:shape style="position:absolute;margin-left:64.160004pt;margin-top:42.865639pt;width:166.9pt;height:11pt;mso-position-horizontal-relative:page;mso-position-vertical-relative:page;z-index:-42712" type="#_x0000_t202" filled="false" stroked="false">
          <v:textbox inset="0,0,0,0">
            <w:txbxContent>
              <w:p>
                <w:pPr>
                  <w:pStyle w:val="BodyText"/>
                  <w:spacing w:line="200" w:lineRule="exact" w:before="0"/>
                  <w:ind w:left="20"/>
                </w:pPr>
                <w:r>
                  <w:rPr/>
                  <w:t>民生附加康裕额外给付重大疾病保险条款</w:t>
                </w:r>
              </w:p>
            </w:txbxContent>
          </v:textbox>
          <w10:wrap type="none"/>
        </v:shape>
      </w:pict>
    </w:r>
    <w:r>
      <w:rPr/>
      <w:pict>
        <v:shape style="position:absolute;margin-left:430.397003pt;margin-top:42.865639pt;width:111.8pt;height:11pt;mso-position-horizontal-relative:page;mso-position-vertical-relative:page;z-index:-4268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63"/>
      <w:numFmt w:val="decimal"/>
      <w:lvlText w:val="%1."/>
      <w:lvlJc w:val="left"/>
      <w:pPr>
        <w:ind w:left="2599" w:hanging="421"/>
        <w:jc w:val="left"/>
      </w:pPr>
      <w:rPr>
        <w:rFonts w:hint="default" w:ascii="宋体" w:hAnsi="宋体" w:eastAsia="宋体" w:cs="宋体"/>
        <w:b/>
        <w:bCs/>
        <w:w w:val="99"/>
        <w:sz w:val="21"/>
        <w:szCs w:val="21"/>
      </w:rPr>
    </w:lvl>
    <w:lvl w:ilvl="1">
      <w:start w:val="1"/>
      <w:numFmt w:val="decimal"/>
      <w:lvlText w:val="%2"/>
      <w:lvlJc w:val="left"/>
      <w:pPr>
        <w:ind w:left="643" w:hanging="420"/>
        <w:jc w:val="right"/>
      </w:pPr>
      <w:rPr>
        <w:rFonts w:hint="default" w:ascii="宋体" w:hAnsi="宋体" w:eastAsia="宋体" w:cs="宋体"/>
        <w:w w:val="100"/>
        <w:sz w:val="18"/>
        <w:szCs w:val="18"/>
      </w:rPr>
    </w:lvl>
    <w:lvl w:ilvl="2">
      <w:start w:val="1"/>
      <w:numFmt w:val="decimal"/>
      <w:lvlText w:val="(%3)"/>
      <w:lvlJc w:val="left"/>
      <w:pPr>
        <w:ind w:left="1063" w:hanging="445"/>
        <w:jc w:val="left"/>
      </w:pPr>
      <w:rPr>
        <w:rFonts w:hint="default" w:ascii="宋体" w:hAnsi="宋体" w:eastAsia="宋体" w:cs="宋体"/>
        <w:spacing w:val="-92"/>
        <w:w w:val="100"/>
        <w:sz w:val="18"/>
        <w:szCs w:val="18"/>
      </w:rPr>
    </w:lvl>
    <w:lvl w:ilvl="3">
      <w:start w:val="0"/>
      <w:numFmt w:val="bullet"/>
      <w:lvlText w:val="•"/>
      <w:lvlJc w:val="left"/>
      <w:pPr>
        <w:ind w:left="3533" w:hanging="445"/>
      </w:pPr>
      <w:rPr>
        <w:rFonts w:hint="default"/>
      </w:rPr>
    </w:lvl>
    <w:lvl w:ilvl="4">
      <w:start w:val="0"/>
      <w:numFmt w:val="bullet"/>
      <w:lvlText w:val="•"/>
      <w:lvlJc w:val="left"/>
      <w:pPr>
        <w:ind w:left="4466" w:hanging="445"/>
      </w:pPr>
      <w:rPr>
        <w:rFonts w:hint="default"/>
      </w:rPr>
    </w:lvl>
    <w:lvl w:ilvl="5">
      <w:start w:val="0"/>
      <w:numFmt w:val="bullet"/>
      <w:lvlText w:val="•"/>
      <w:lvlJc w:val="left"/>
      <w:pPr>
        <w:ind w:left="5399" w:hanging="445"/>
      </w:pPr>
      <w:rPr>
        <w:rFonts w:hint="default"/>
      </w:rPr>
    </w:lvl>
    <w:lvl w:ilvl="6">
      <w:start w:val="0"/>
      <w:numFmt w:val="bullet"/>
      <w:lvlText w:val="•"/>
      <w:lvlJc w:val="left"/>
      <w:pPr>
        <w:ind w:left="6332" w:hanging="445"/>
      </w:pPr>
      <w:rPr>
        <w:rFonts w:hint="default"/>
      </w:rPr>
    </w:lvl>
    <w:lvl w:ilvl="7">
      <w:start w:val="0"/>
      <w:numFmt w:val="bullet"/>
      <w:lvlText w:val="•"/>
      <w:lvlJc w:val="left"/>
      <w:pPr>
        <w:ind w:left="7265" w:hanging="445"/>
      </w:pPr>
      <w:rPr>
        <w:rFonts w:hint="default"/>
      </w:rPr>
    </w:lvl>
    <w:lvl w:ilvl="8">
      <w:start w:val="0"/>
      <w:numFmt w:val="bullet"/>
      <w:lvlText w:val="•"/>
      <w:lvlJc w:val="left"/>
      <w:pPr>
        <w:ind w:left="8199" w:hanging="445"/>
      </w:pPr>
      <w:rPr>
        <w:rFonts w:hint="default"/>
      </w:rPr>
    </w:lvl>
  </w:abstractNum>
  <w:abstractNum w:abstractNumId="18">
    <w:multiLevelType w:val="hybridMultilevel"/>
    <w:lvl w:ilvl="0">
      <w:start w:val="47"/>
      <w:numFmt w:val="decimal"/>
      <w:lvlText w:val="%1."/>
      <w:lvlJc w:val="left"/>
      <w:pPr>
        <w:ind w:left="2524" w:hanging="421"/>
        <w:jc w:val="left"/>
      </w:pPr>
      <w:rPr>
        <w:rFonts w:hint="default" w:ascii="宋体" w:hAnsi="宋体" w:eastAsia="宋体" w:cs="宋体"/>
        <w:b/>
        <w:bCs/>
        <w:w w:val="99"/>
        <w:sz w:val="21"/>
        <w:szCs w:val="21"/>
      </w:rPr>
    </w:lvl>
    <w:lvl w:ilvl="1">
      <w:start w:val="0"/>
      <w:numFmt w:val="bullet"/>
      <w:lvlText w:val="•"/>
      <w:lvlJc w:val="left"/>
      <w:pPr>
        <w:ind w:left="3274" w:hanging="421"/>
      </w:pPr>
      <w:rPr>
        <w:rFonts w:hint="default"/>
      </w:rPr>
    </w:lvl>
    <w:lvl w:ilvl="2">
      <w:start w:val="0"/>
      <w:numFmt w:val="bullet"/>
      <w:lvlText w:val="•"/>
      <w:lvlJc w:val="left"/>
      <w:pPr>
        <w:ind w:left="4029" w:hanging="421"/>
      </w:pPr>
      <w:rPr>
        <w:rFonts w:hint="default"/>
      </w:rPr>
    </w:lvl>
    <w:lvl w:ilvl="3">
      <w:start w:val="0"/>
      <w:numFmt w:val="bullet"/>
      <w:lvlText w:val="•"/>
      <w:lvlJc w:val="left"/>
      <w:pPr>
        <w:ind w:left="4783" w:hanging="421"/>
      </w:pPr>
      <w:rPr>
        <w:rFonts w:hint="default"/>
      </w:rPr>
    </w:lvl>
    <w:lvl w:ilvl="4">
      <w:start w:val="0"/>
      <w:numFmt w:val="bullet"/>
      <w:lvlText w:val="•"/>
      <w:lvlJc w:val="left"/>
      <w:pPr>
        <w:ind w:left="5538" w:hanging="421"/>
      </w:pPr>
      <w:rPr>
        <w:rFonts w:hint="default"/>
      </w:rPr>
    </w:lvl>
    <w:lvl w:ilvl="5">
      <w:start w:val="0"/>
      <w:numFmt w:val="bullet"/>
      <w:lvlText w:val="•"/>
      <w:lvlJc w:val="left"/>
      <w:pPr>
        <w:ind w:left="6292" w:hanging="421"/>
      </w:pPr>
      <w:rPr>
        <w:rFonts w:hint="default"/>
      </w:rPr>
    </w:lvl>
    <w:lvl w:ilvl="6">
      <w:start w:val="0"/>
      <w:numFmt w:val="bullet"/>
      <w:lvlText w:val="•"/>
      <w:lvlJc w:val="left"/>
      <w:pPr>
        <w:ind w:left="7047" w:hanging="421"/>
      </w:pPr>
      <w:rPr>
        <w:rFonts w:hint="default"/>
      </w:rPr>
    </w:lvl>
    <w:lvl w:ilvl="7">
      <w:start w:val="0"/>
      <w:numFmt w:val="bullet"/>
      <w:lvlText w:val="•"/>
      <w:lvlJc w:val="left"/>
      <w:pPr>
        <w:ind w:left="7801" w:hanging="421"/>
      </w:pPr>
      <w:rPr>
        <w:rFonts w:hint="default"/>
      </w:rPr>
    </w:lvl>
    <w:lvl w:ilvl="8">
      <w:start w:val="0"/>
      <w:numFmt w:val="bullet"/>
      <w:lvlText w:val="•"/>
      <w:lvlJc w:val="left"/>
      <w:pPr>
        <w:ind w:left="8556" w:hanging="421"/>
      </w:pPr>
      <w:rPr>
        <w:rFonts w:hint="default"/>
      </w:rPr>
    </w:lvl>
  </w:abstractNum>
  <w:abstractNum w:abstractNumId="17">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7" w:hanging="420"/>
      </w:pPr>
      <w:rPr>
        <w:rFonts w:hint="default"/>
      </w:rPr>
    </w:lvl>
    <w:lvl w:ilvl="7">
      <w:start w:val="0"/>
      <w:numFmt w:val="bullet"/>
      <w:lvlText w:val="•"/>
      <w:lvlJc w:val="left"/>
      <w:pPr>
        <w:ind w:left="5510" w:hanging="420"/>
      </w:pPr>
      <w:rPr>
        <w:rFonts w:hint="default"/>
      </w:rPr>
    </w:lvl>
    <w:lvl w:ilvl="8">
      <w:start w:val="0"/>
      <w:numFmt w:val="bullet"/>
      <w:lvlText w:val="•"/>
      <w:lvlJc w:val="left"/>
      <w:pPr>
        <w:ind w:left="6222"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4" w:hanging="420"/>
      </w:pPr>
      <w:rPr>
        <w:rFonts w:hint="default"/>
      </w:rPr>
    </w:lvl>
    <w:lvl w:ilvl="6">
      <w:start w:val="0"/>
      <w:numFmt w:val="bullet"/>
      <w:lvlText w:val="•"/>
      <w:lvlJc w:val="left"/>
      <w:pPr>
        <w:ind w:left="4761" w:hanging="420"/>
      </w:pPr>
      <w:rPr>
        <w:rFonts w:hint="default"/>
      </w:rPr>
    </w:lvl>
    <w:lvl w:ilvl="7">
      <w:start w:val="0"/>
      <w:numFmt w:val="bullet"/>
      <w:lvlText w:val="•"/>
      <w:lvlJc w:val="left"/>
      <w:pPr>
        <w:ind w:left="5468" w:hanging="420"/>
      </w:pPr>
      <w:rPr>
        <w:rFonts w:hint="default"/>
      </w:rPr>
    </w:lvl>
    <w:lvl w:ilvl="8">
      <w:start w:val="0"/>
      <w:numFmt w:val="bullet"/>
      <w:lvlText w:val="•"/>
      <w:lvlJc w:val="left"/>
      <w:pPr>
        <w:ind w:left="6174" w:hanging="420"/>
      </w:pPr>
      <w:rPr>
        <w:rFonts w:hint="default"/>
      </w:rPr>
    </w:lvl>
  </w:abstractNum>
  <w:abstractNum w:abstractNumId="15">
    <w:multiLevelType w:val="hybridMultilevel"/>
    <w:lvl w:ilvl="0">
      <w:start w:val="1"/>
      <w:numFmt w:val="decimal"/>
      <w:lvlText w:val="(%1)"/>
      <w:lvlJc w:val="left"/>
      <w:pPr>
        <w:ind w:left="470" w:hanging="363"/>
        <w:jc w:val="left"/>
      </w:pPr>
      <w:rPr>
        <w:rFonts w:hint="default" w:ascii="宋体" w:hAnsi="宋体" w:eastAsia="宋体" w:cs="宋体"/>
        <w:spacing w:val="0"/>
        <w:w w:val="100"/>
        <w:sz w:val="18"/>
        <w:szCs w:val="18"/>
      </w:rPr>
    </w:lvl>
    <w:lvl w:ilvl="1">
      <w:start w:val="0"/>
      <w:numFmt w:val="bullet"/>
      <w:lvlText w:val="•"/>
      <w:lvlJc w:val="left"/>
      <w:pPr>
        <w:ind w:left="1196" w:hanging="363"/>
      </w:pPr>
      <w:rPr>
        <w:rFonts w:hint="default"/>
      </w:rPr>
    </w:lvl>
    <w:lvl w:ilvl="2">
      <w:start w:val="0"/>
      <w:numFmt w:val="bullet"/>
      <w:lvlText w:val="•"/>
      <w:lvlJc w:val="left"/>
      <w:pPr>
        <w:ind w:left="1913" w:hanging="363"/>
      </w:pPr>
      <w:rPr>
        <w:rFonts w:hint="default"/>
      </w:rPr>
    </w:lvl>
    <w:lvl w:ilvl="3">
      <w:start w:val="0"/>
      <w:numFmt w:val="bullet"/>
      <w:lvlText w:val="•"/>
      <w:lvlJc w:val="left"/>
      <w:pPr>
        <w:ind w:left="2630" w:hanging="363"/>
      </w:pPr>
      <w:rPr>
        <w:rFonts w:hint="default"/>
      </w:rPr>
    </w:lvl>
    <w:lvl w:ilvl="4">
      <w:start w:val="0"/>
      <w:numFmt w:val="bullet"/>
      <w:lvlText w:val="•"/>
      <w:lvlJc w:val="left"/>
      <w:pPr>
        <w:ind w:left="3347" w:hanging="363"/>
      </w:pPr>
      <w:rPr>
        <w:rFonts w:hint="default"/>
      </w:rPr>
    </w:lvl>
    <w:lvl w:ilvl="5">
      <w:start w:val="0"/>
      <w:numFmt w:val="bullet"/>
      <w:lvlText w:val="•"/>
      <w:lvlJc w:val="left"/>
      <w:pPr>
        <w:ind w:left="4064" w:hanging="363"/>
      </w:pPr>
      <w:rPr>
        <w:rFonts w:hint="default"/>
      </w:rPr>
    </w:lvl>
    <w:lvl w:ilvl="6">
      <w:start w:val="0"/>
      <w:numFmt w:val="bullet"/>
      <w:lvlText w:val="•"/>
      <w:lvlJc w:val="left"/>
      <w:pPr>
        <w:ind w:left="4781" w:hanging="363"/>
      </w:pPr>
      <w:rPr>
        <w:rFonts w:hint="default"/>
      </w:rPr>
    </w:lvl>
    <w:lvl w:ilvl="7">
      <w:start w:val="0"/>
      <w:numFmt w:val="bullet"/>
      <w:lvlText w:val="•"/>
      <w:lvlJc w:val="left"/>
      <w:pPr>
        <w:ind w:left="5498" w:hanging="363"/>
      </w:pPr>
      <w:rPr>
        <w:rFonts w:hint="default"/>
      </w:rPr>
    </w:lvl>
    <w:lvl w:ilvl="8">
      <w:start w:val="0"/>
      <w:numFmt w:val="bullet"/>
      <w:lvlText w:val="•"/>
      <w:lvlJc w:val="left"/>
      <w:pPr>
        <w:ind w:left="6214" w:hanging="363"/>
      </w:pPr>
      <w:rPr>
        <w:rFonts w:hint="default"/>
      </w:rPr>
    </w:lvl>
  </w:abstractNum>
  <w:abstractNum w:abstractNumId="14">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08" w:hanging="396"/>
      </w:pPr>
      <w:rPr>
        <w:rFonts w:hint="default"/>
      </w:rPr>
    </w:lvl>
    <w:lvl w:ilvl="2">
      <w:start w:val="0"/>
      <w:numFmt w:val="bullet"/>
      <w:lvlText w:val="•"/>
      <w:lvlJc w:val="left"/>
      <w:pPr>
        <w:ind w:left="1917" w:hanging="396"/>
      </w:pPr>
      <w:rPr>
        <w:rFonts w:hint="default"/>
      </w:rPr>
    </w:lvl>
    <w:lvl w:ilvl="3">
      <w:start w:val="0"/>
      <w:numFmt w:val="bullet"/>
      <w:lvlText w:val="•"/>
      <w:lvlJc w:val="left"/>
      <w:pPr>
        <w:ind w:left="2626" w:hanging="396"/>
      </w:pPr>
      <w:rPr>
        <w:rFonts w:hint="default"/>
      </w:rPr>
    </w:lvl>
    <w:lvl w:ilvl="4">
      <w:start w:val="0"/>
      <w:numFmt w:val="bullet"/>
      <w:lvlText w:val="•"/>
      <w:lvlJc w:val="left"/>
      <w:pPr>
        <w:ind w:left="3335" w:hanging="396"/>
      </w:pPr>
      <w:rPr>
        <w:rFonts w:hint="default"/>
      </w:rPr>
    </w:lvl>
    <w:lvl w:ilvl="5">
      <w:start w:val="0"/>
      <w:numFmt w:val="bullet"/>
      <w:lvlText w:val="•"/>
      <w:lvlJc w:val="left"/>
      <w:pPr>
        <w:ind w:left="4044" w:hanging="396"/>
      </w:pPr>
      <w:rPr>
        <w:rFonts w:hint="default"/>
      </w:rPr>
    </w:lvl>
    <w:lvl w:ilvl="6">
      <w:start w:val="0"/>
      <w:numFmt w:val="bullet"/>
      <w:lvlText w:val="•"/>
      <w:lvlJc w:val="left"/>
      <w:pPr>
        <w:ind w:left="4753" w:hanging="396"/>
      </w:pPr>
      <w:rPr>
        <w:rFonts w:hint="default"/>
      </w:rPr>
    </w:lvl>
    <w:lvl w:ilvl="7">
      <w:start w:val="0"/>
      <w:numFmt w:val="bullet"/>
      <w:lvlText w:val="•"/>
      <w:lvlJc w:val="left"/>
      <w:pPr>
        <w:ind w:left="5462" w:hanging="396"/>
      </w:pPr>
      <w:rPr>
        <w:rFonts w:hint="default"/>
      </w:rPr>
    </w:lvl>
    <w:lvl w:ilvl="8">
      <w:start w:val="0"/>
      <w:numFmt w:val="bullet"/>
      <w:lvlText w:val="•"/>
      <w:lvlJc w:val="left"/>
      <w:pPr>
        <w:ind w:left="6170" w:hanging="396"/>
      </w:pPr>
      <w:rPr>
        <w:rFonts w:hint="default"/>
      </w:rPr>
    </w:lvl>
  </w:abstractNum>
  <w:abstractNum w:abstractNumId="13">
    <w:multiLevelType w:val="hybridMultilevel"/>
    <w:lvl w:ilvl="0">
      <w:start w:val="1"/>
      <w:numFmt w:val="decimal"/>
      <w:lvlText w:val="(%1)"/>
      <w:lvlJc w:val="left"/>
      <w:pPr>
        <w:ind w:left="108" w:hanging="396"/>
        <w:jc w:val="left"/>
      </w:pPr>
      <w:rPr>
        <w:rFonts w:hint="default" w:ascii="宋体" w:hAnsi="宋体" w:eastAsia="宋体" w:cs="宋体"/>
        <w:spacing w:val="0"/>
        <w:w w:val="100"/>
        <w:sz w:val="18"/>
        <w:szCs w:val="18"/>
      </w:rPr>
    </w:lvl>
    <w:lvl w:ilvl="1">
      <w:start w:val="0"/>
      <w:numFmt w:val="bullet"/>
      <w:lvlText w:val="•"/>
      <w:lvlJc w:val="left"/>
      <w:pPr>
        <w:ind w:left="848" w:hanging="396"/>
      </w:pPr>
      <w:rPr>
        <w:rFonts w:hint="default"/>
      </w:rPr>
    </w:lvl>
    <w:lvl w:ilvl="2">
      <w:start w:val="0"/>
      <w:numFmt w:val="bullet"/>
      <w:lvlText w:val="•"/>
      <w:lvlJc w:val="left"/>
      <w:pPr>
        <w:ind w:left="1597" w:hanging="396"/>
      </w:pPr>
      <w:rPr>
        <w:rFonts w:hint="default"/>
      </w:rPr>
    </w:lvl>
    <w:lvl w:ilvl="3">
      <w:start w:val="0"/>
      <w:numFmt w:val="bullet"/>
      <w:lvlText w:val="•"/>
      <w:lvlJc w:val="left"/>
      <w:pPr>
        <w:ind w:left="2346" w:hanging="396"/>
      </w:pPr>
      <w:rPr>
        <w:rFonts w:hint="default"/>
      </w:rPr>
    </w:lvl>
    <w:lvl w:ilvl="4">
      <w:start w:val="0"/>
      <w:numFmt w:val="bullet"/>
      <w:lvlText w:val="•"/>
      <w:lvlJc w:val="left"/>
      <w:pPr>
        <w:ind w:left="3095" w:hanging="396"/>
      </w:pPr>
      <w:rPr>
        <w:rFonts w:hint="default"/>
      </w:rPr>
    </w:lvl>
    <w:lvl w:ilvl="5">
      <w:start w:val="0"/>
      <w:numFmt w:val="bullet"/>
      <w:lvlText w:val="•"/>
      <w:lvlJc w:val="left"/>
      <w:pPr>
        <w:ind w:left="3844" w:hanging="396"/>
      </w:pPr>
      <w:rPr>
        <w:rFonts w:hint="default"/>
      </w:rPr>
    </w:lvl>
    <w:lvl w:ilvl="6">
      <w:start w:val="0"/>
      <w:numFmt w:val="bullet"/>
      <w:lvlText w:val="•"/>
      <w:lvlJc w:val="left"/>
      <w:pPr>
        <w:ind w:left="4593" w:hanging="396"/>
      </w:pPr>
      <w:rPr>
        <w:rFonts w:hint="default"/>
      </w:rPr>
    </w:lvl>
    <w:lvl w:ilvl="7">
      <w:start w:val="0"/>
      <w:numFmt w:val="bullet"/>
      <w:lvlText w:val="•"/>
      <w:lvlJc w:val="left"/>
      <w:pPr>
        <w:ind w:left="5342" w:hanging="396"/>
      </w:pPr>
      <w:rPr>
        <w:rFonts w:hint="default"/>
      </w:rPr>
    </w:lvl>
    <w:lvl w:ilvl="8">
      <w:start w:val="0"/>
      <w:numFmt w:val="bullet"/>
      <w:lvlText w:val="•"/>
      <w:lvlJc w:val="left"/>
      <w:pPr>
        <w:ind w:left="6090" w:hanging="396"/>
      </w:pPr>
      <w:rPr>
        <w:rFonts w:hint="default"/>
      </w:rPr>
    </w:lvl>
  </w:abstractNum>
  <w:abstractNum w:abstractNumId="12">
    <w:multiLevelType w:val="hybridMultilevel"/>
    <w:lvl w:ilvl="0">
      <w:start w:val="1"/>
      <w:numFmt w:val="decimal"/>
      <w:lvlText w:val="%1."/>
      <w:lvlJc w:val="left"/>
      <w:pPr>
        <w:ind w:left="2524" w:hanging="421"/>
        <w:jc w:val="left"/>
      </w:pPr>
      <w:rPr>
        <w:rFonts w:hint="default" w:ascii="宋体" w:hAnsi="宋体" w:eastAsia="宋体" w:cs="宋体"/>
        <w:b/>
        <w:bCs/>
        <w:w w:val="99"/>
        <w:sz w:val="21"/>
        <w:szCs w:val="21"/>
      </w:rPr>
    </w:lvl>
    <w:lvl w:ilvl="1">
      <w:start w:val="1"/>
      <w:numFmt w:val="decimal"/>
      <w:lvlText w:val="(%2)"/>
      <w:lvlJc w:val="left"/>
      <w:pPr>
        <w:ind w:left="2887" w:hanging="363"/>
        <w:jc w:val="left"/>
      </w:pPr>
      <w:rPr>
        <w:rFonts w:hint="default" w:ascii="宋体" w:hAnsi="宋体" w:eastAsia="宋体" w:cs="宋体"/>
        <w:spacing w:val="0"/>
        <w:w w:val="100"/>
        <w:sz w:val="18"/>
        <w:szCs w:val="18"/>
      </w:rPr>
    </w:lvl>
    <w:lvl w:ilvl="2">
      <w:start w:val="0"/>
      <w:numFmt w:val="bullet"/>
      <w:lvlText w:val="•"/>
      <w:lvlJc w:val="left"/>
      <w:pPr>
        <w:ind w:left="2880" w:hanging="363"/>
      </w:pPr>
      <w:rPr>
        <w:rFonts w:hint="default"/>
      </w:rPr>
    </w:lvl>
    <w:lvl w:ilvl="3">
      <w:start w:val="0"/>
      <w:numFmt w:val="bullet"/>
      <w:lvlText w:val="•"/>
      <w:lvlJc w:val="left"/>
      <w:pPr>
        <w:ind w:left="2920" w:hanging="363"/>
      </w:pPr>
      <w:rPr>
        <w:rFonts w:hint="default"/>
      </w:rPr>
    </w:lvl>
    <w:lvl w:ilvl="4">
      <w:start w:val="0"/>
      <w:numFmt w:val="bullet"/>
      <w:lvlText w:val="•"/>
      <w:lvlJc w:val="left"/>
      <w:pPr>
        <w:ind w:left="2940" w:hanging="363"/>
      </w:pPr>
      <w:rPr>
        <w:rFonts w:hint="default"/>
      </w:rPr>
    </w:lvl>
    <w:lvl w:ilvl="5">
      <w:start w:val="0"/>
      <w:numFmt w:val="bullet"/>
      <w:lvlText w:val="•"/>
      <w:lvlJc w:val="left"/>
      <w:pPr>
        <w:ind w:left="2980" w:hanging="363"/>
      </w:pPr>
      <w:rPr>
        <w:rFonts w:hint="default"/>
      </w:rPr>
    </w:lvl>
    <w:lvl w:ilvl="6">
      <w:start w:val="0"/>
      <w:numFmt w:val="bullet"/>
      <w:lvlText w:val="•"/>
      <w:lvlJc w:val="left"/>
      <w:pPr>
        <w:ind w:left="4381" w:hanging="363"/>
      </w:pPr>
      <w:rPr>
        <w:rFonts w:hint="default"/>
      </w:rPr>
    </w:lvl>
    <w:lvl w:ilvl="7">
      <w:start w:val="0"/>
      <w:numFmt w:val="bullet"/>
      <w:lvlText w:val="•"/>
      <w:lvlJc w:val="left"/>
      <w:pPr>
        <w:ind w:left="5782" w:hanging="363"/>
      </w:pPr>
      <w:rPr>
        <w:rFonts w:hint="default"/>
      </w:rPr>
    </w:lvl>
    <w:lvl w:ilvl="8">
      <w:start w:val="0"/>
      <w:numFmt w:val="bullet"/>
      <w:lvlText w:val="•"/>
      <w:lvlJc w:val="left"/>
      <w:pPr>
        <w:ind w:left="7183" w:hanging="363"/>
      </w:pPr>
      <w:rPr>
        <w:rFonts w:hint="default"/>
      </w:rPr>
    </w:lvl>
  </w:abstractNum>
  <w:abstractNum w:abstractNumId="11">
    <w:multiLevelType w:val="hybridMultilevel"/>
    <w:lvl w:ilvl="0">
      <w:start w:val="1"/>
      <w:numFmt w:val="decimal"/>
      <w:lvlText w:val="%1."/>
      <w:lvlJc w:val="left"/>
      <w:pPr>
        <w:ind w:left="528" w:hanging="421"/>
        <w:jc w:val="left"/>
      </w:pPr>
      <w:rPr>
        <w:rFonts w:hint="default" w:ascii="宋体" w:hAnsi="宋体" w:eastAsia="宋体" w:cs="宋体"/>
        <w:b/>
        <w:bCs/>
        <w:w w:val="99"/>
        <w:sz w:val="21"/>
        <w:szCs w:val="21"/>
      </w:rPr>
    </w:lvl>
    <w:lvl w:ilvl="1">
      <w:start w:val="0"/>
      <w:numFmt w:val="bullet"/>
      <w:lvlText w:val="•"/>
      <w:lvlJc w:val="left"/>
      <w:pPr>
        <w:ind w:left="699" w:hanging="421"/>
      </w:pPr>
      <w:rPr>
        <w:rFonts w:hint="default"/>
      </w:rPr>
    </w:lvl>
    <w:lvl w:ilvl="2">
      <w:start w:val="0"/>
      <w:numFmt w:val="bullet"/>
      <w:lvlText w:val="•"/>
      <w:lvlJc w:val="left"/>
      <w:pPr>
        <w:ind w:left="878" w:hanging="421"/>
      </w:pPr>
      <w:rPr>
        <w:rFonts w:hint="default"/>
      </w:rPr>
    </w:lvl>
    <w:lvl w:ilvl="3">
      <w:start w:val="0"/>
      <w:numFmt w:val="bullet"/>
      <w:lvlText w:val="•"/>
      <w:lvlJc w:val="left"/>
      <w:pPr>
        <w:ind w:left="1057" w:hanging="421"/>
      </w:pPr>
      <w:rPr>
        <w:rFonts w:hint="default"/>
      </w:rPr>
    </w:lvl>
    <w:lvl w:ilvl="4">
      <w:start w:val="0"/>
      <w:numFmt w:val="bullet"/>
      <w:lvlText w:val="•"/>
      <w:lvlJc w:val="left"/>
      <w:pPr>
        <w:ind w:left="1236" w:hanging="421"/>
      </w:pPr>
      <w:rPr>
        <w:rFonts w:hint="default"/>
      </w:rPr>
    </w:lvl>
    <w:lvl w:ilvl="5">
      <w:start w:val="0"/>
      <w:numFmt w:val="bullet"/>
      <w:lvlText w:val="•"/>
      <w:lvlJc w:val="left"/>
      <w:pPr>
        <w:ind w:left="1415" w:hanging="421"/>
      </w:pPr>
      <w:rPr>
        <w:rFonts w:hint="default"/>
      </w:rPr>
    </w:lvl>
    <w:lvl w:ilvl="6">
      <w:start w:val="0"/>
      <w:numFmt w:val="bullet"/>
      <w:lvlText w:val="•"/>
      <w:lvlJc w:val="left"/>
      <w:pPr>
        <w:ind w:left="1594" w:hanging="421"/>
      </w:pPr>
      <w:rPr>
        <w:rFonts w:hint="default"/>
      </w:rPr>
    </w:lvl>
    <w:lvl w:ilvl="7">
      <w:start w:val="0"/>
      <w:numFmt w:val="bullet"/>
      <w:lvlText w:val="•"/>
      <w:lvlJc w:val="left"/>
      <w:pPr>
        <w:ind w:left="1773" w:hanging="421"/>
      </w:pPr>
      <w:rPr>
        <w:rFonts w:hint="default"/>
      </w:rPr>
    </w:lvl>
    <w:lvl w:ilvl="8">
      <w:start w:val="0"/>
      <w:numFmt w:val="bullet"/>
      <w:lvlText w:val="•"/>
      <w:lvlJc w:val="left"/>
      <w:pPr>
        <w:ind w:left="1953" w:hanging="421"/>
      </w:pPr>
      <w:rPr>
        <w:rFonts w:hint="default"/>
      </w:rPr>
    </w:lvl>
  </w:abstractNum>
  <w:abstractNum w:abstractNumId="10">
    <w:multiLevelType w:val="hybridMultilevel"/>
    <w:lvl w:ilvl="0">
      <w:start w:val="1"/>
      <w:numFmt w:val="decimal"/>
      <w:lvlText w:val="(%1)"/>
      <w:lvlJc w:val="left"/>
      <w:pPr>
        <w:ind w:left="543" w:hanging="370"/>
        <w:jc w:val="left"/>
      </w:pPr>
      <w:rPr>
        <w:rFonts w:hint="default" w:ascii="宋体" w:hAnsi="宋体" w:eastAsia="宋体" w:cs="宋体"/>
        <w:w w:val="100"/>
        <w:sz w:val="18"/>
        <w:szCs w:val="18"/>
      </w:rPr>
    </w:lvl>
    <w:lvl w:ilvl="1">
      <w:start w:val="0"/>
      <w:numFmt w:val="bullet"/>
      <w:lvlText w:val="•"/>
      <w:lvlJc w:val="left"/>
      <w:pPr>
        <w:ind w:left="1258" w:hanging="370"/>
      </w:pPr>
      <w:rPr>
        <w:rFonts w:hint="default"/>
      </w:rPr>
    </w:lvl>
    <w:lvl w:ilvl="2">
      <w:start w:val="0"/>
      <w:numFmt w:val="bullet"/>
      <w:lvlText w:val="•"/>
      <w:lvlJc w:val="left"/>
      <w:pPr>
        <w:ind w:left="1977" w:hanging="370"/>
      </w:pPr>
      <w:rPr>
        <w:rFonts w:hint="default"/>
      </w:rPr>
    </w:lvl>
    <w:lvl w:ilvl="3">
      <w:start w:val="0"/>
      <w:numFmt w:val="bullet"/>
      <w:lvlText w:val="•"/>
      <w:lvlJc w:val="left"/>
      <w:pPr>
        <w:ind w:left="2695" w:hanging="370"/>
      </w:pPr>
      <w:rPr>
        <w:rFonts w:hint="default"/>
      </w:rPr>
    </w:lvl>
    <w:lvl w:ilvl="4">
      <w:start w:val="0"/>
      <w:numFmt w:val="bullet"/>
      <w:lvlText w:val="•"/>
      <w:lvlJc w:val="left"/>
      <w:pPr>
        <w:ind w:left="3414" w:hanging="370"/>
      </w:pPr>
      <w:rPr>
        <w:rFonts w:hint="default"/>
      </w:rPr>
    </w:lvl>
    <w:lvl w:ilvl="5">
      <w:start w:val="0"/>
      <w:numFmt w:val="bullet"/>
      <w:lvlText w:val="•"/>
      <w:lvlJc w:val="left"/>
      <w:pPr>
        <w:ind w:left="4132" w:hanging="370"/>
      </w:pPr>
      <w:rPr>
        <w:rFonts w:hint="default"/>
      </w:rPr>
    </w:lvl>
    <w:lvl w:ilvl="6">
      <w:start w:val="0"/>
      <w:numFmt w:val="bullet"/>
      <w:lvlText w:val="•"/>
      <w:lvlJc w:val="left"/>
      <w:pPr>
        <w:ind w:left="4851" w:hanging="370"/>
      </w:pPr>
      <w:rPr>
        <w:rFonts w:hint="default"/>
      </w:rPr>
    </w:lvl>
    <w:lvl w:ilvl="7">
      <w:start w:val="0"/>
      <w:numFmt w:val="bullet"/>
      <w:lvlText w:val="•"/>
      <w:lvlJc w:val="left"/>
      <w:pPr>
        <w:ind w:left="5569" w:hanging="370"/>
      </w:pPr>
      <w:rPr>
        <w:rFonts w:hint="default"/>
      </w:rPr>
    </w:lvl>
    <w:lvl w:ilvl="8">
      <w:start w:val="0"/>
      <w:numFmt w:val="bullet"/>
      <w:lvlText w:val="•"/>
      <w:lvlJc w:val="left"/>
      <w:pPr>
        <w:ind w:left="6288" w:hanging="370"/>
      </w:pPr>
      <w:rPr>
        <w:rFonts w:hint="default"/>
      </w:rPr>
    </w:lvl>
  </w:abstractNum>
  <w:abstractNum w:abstractNumId="9">
    <w:multiLevelType w:val="hybridMultilevel"/>
    <w:lvl w:ilvl="0">
      <w:start w:val="8"/>
      <w:numFmt w:val="decimal"/>
      <w:lvlText w:val="%1"/>
      <w:lvlJc w:val="left"/>
      <w:pPr>
        <w:ind w:left="2613" w:hanging="685"/>
        <w:jc w:val="left"/>
      </w:pPr>
      <w:rPr>
        <w:rFonts w:hint="default"/>
      </w:rPr>
    </w:lvl>
    <w:lvl w:ilvl="1">
      <w:start w:val="1"/>
      <w:numFmt w:val="decimal"/>
      <w:lvlText w:val="%1.%2"/>
      <w:lvlJc w:val="left"/>
      <w:pPr>
        <w:ind w:left="2613" w:hanging="685"/>
        <w:jc w:val="right"/>
      </w:pPr>
      <w:rPr>
        <w:rFonts w:hint="default" w:ascii="宋体" w:hAnsi="宋体" w:eastAsia="宋体" w:cs="宋体"/>
        <w:b/>
        <w:bCs/>
        <w:w w:val="99"/>
        <w:sz w:val="21"/>
        <w:szCs w:val="21"/>
      </w:rPr>
    </w:lvl>
    <w:lvl w:ilvl="2">
      <w:start w:val="1"/>
      <w:numFmt w:val="decimal"/>
      <w:lvlText w:val="(%3)"/>
      <w:lvlJc w:val="left"/>
      <w:pPr>
        <w:ind w:left="2983" w:hanging="370"/>
        <w:jc w:val="left"/>
      </w:pPr>
      <w:rPr>
        <w:rFonts w:hint="default" w:ascii="宋体" w:hAnsi="宋体" w:eastAsia="宋体" w:cs="宋体"/>
        <w:w w:val="100"/>
        <w:sz w:val="18"/>
        <w:szCs w:val="18"/>
      </w:rPr>
    </w:lvl>
    <w:lvl w:ilvl="3">
      <w:start w:val="0"/>
      <w:numFmt w:val="bullet"/>
      <w:lvlText w:val="•"/>
      <w:lvlJc w:val="left"/>
      <w:pPr>
        <w:ind w:left="4576" w:hanging="370"/>
      </w:pPr>
      <w:rPr>
        <w:rFonts w:hint="default"/>
      </w:rPr>
    </w:lvl>
    <w:lvl w:ilvl="4">
      <w:start w:val="0"/>
      <w:numFmt w:val="bullet"/>
      <w:lvlText w:val="•"/>
      <w:lvlJc w:val="left"/>
      <w:pPr>
        <w:ind w:left="5375" w:hanging="370"/>
      </w:pPr>
      <w:rPr>
        <w:rFonts w:hint="default"/>
      </w:rPr>
    </w:lvl>
    <w:lvl w:ilvl="5">
      <w:start w:val="0"/>
      <w:numFmt w:val="bullet"/>
      <w:lvlText w:val="•"/>
      <w:lvlJc w:val="left"/>
      <w:pPr>
        <w:ind w:left="6173" w:hanging="370"/>
      </w:pPr>
      <w:rPr>
        <w:rFonts w:hint="default"/>
      </w:rPr>
    </w:lvl>
    <w:lvl w:ilvl="6">
      <w:start w:val="0"/>
      <w:numFmt w:val="bullet"/>
      <w:lvlText w:val="•"/>
      <w:lvlJc w:val="left"/>
      <w:pPr>
        <w:ind w:left="6971" w:hanging="370"/>
      </w:pPr>
      <w:rPr>
        <w:rFonts w:hint="default"/>
      </w:rPr>
    </w:lvl>
    <w:lvl w:ilvl="7">
      <w:start w:val="0"/>
      <w:numFmt w:val="bullet"/>
      <w:lvlText w:val="•"/>
      <w:lvlJc w:val="left"/>
      <w:pPr>
        <w:ind w:left="7770" w:hanging="370"/>
      </w:pPr>
      <w:rPr>
        <w:rFonts w:hint="default"/>
      </w:rPr>
    </w:lvl>
    <w:lvl w:ilvl="8">
      <w:start w:val="0"/>
      <w:numFmt w:val="bullet"/>
      <w:lvlText w:val="•"/>
      <w:lvlJc w:val="left"/>
      <w:pPr>
        <w:ind w:left="8568" w:hanging="370"/>
      </w:pPr>
      <w:rPr>
        <w:rFonts w:hint="default"/>
      </w:rPr>
    </w:lvl>
  </w:abstractNum>
  <w:abstractNum w:abstractNumId="8">
    <w:multiLevelType w:val="hybridMultilevel"/>
    <w:lvl w:ilvl="0">
      <w:start w:val="7"/>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61" w:hanging="685"/>
      </w:pPr>
      <w:rPr>
        <w:rFonts w:hint="default"/>
      </w:rPr>
    </w:lvl>
    <w:lvl w:ilvl="3">
      <w:start w:val="0"/>
      <w:numFmt w:val="bullet"/>
      <w:lvlText w:val="•"/>
      <w:lvlJc w:val="left"/>
      <w:pPr>
        <w:ind w:left="3691" w:hanging="685"/>
      </w:pPr>
      <w:rPr>
        <w:rFonts w:hint="default"/>
      </w:rPr>
    </w:lvl>
    <w:lvl w:ilvl="4">
      <w:start w:val="0"/>
      <w:numFmt w:val="bullet"/>
      <w:lvlText w:val="•"/>
      <w:lvlJc w:val="left"/>
      <w:pPr>
        <w:ind w:left="4622" w:hanging="685"/>
      </w:pPr>
      <w:rPr>
        <w:rFonts w:hint="default"/>
      </w:rPr>
    </w:lvl>
    <w:lvl w:ilvl="5">
      <w:start w:val="0"/>
      <w:numFmt w:val="bullet"/>
      <w:lvlText w:val="•"/>
      <w:lvlJc w:val="left"/>
      <w:pPr>
        <w:ind w:left="5552" w:hanging="685"/>
      </w:pPr>
      <w:rPr>
        <w:rFonts w:hint="default"/>
      </w:rPr>
    </w:lvl>
    <w:lvl w:ilvl="6">
      <w:start w:val="0"/>
      <w:numFmt w:val="bullet"/>
      <w:lvlText w:val="•"/>
      <w:lvlJc w:val="left"/>
      <w:pPr>
        <w:ind w:left="6483" w:hanging="685"/>
      </w:pPr>
      <w:rPr>
        <w:rFonts w:hint="default"/>
      </w:rPr>
    </w:lvl>
    <w:lvl w:ilvl="7">
      <w:start w:val="0"/>
      <w:numFmt w:val="bullet"/>
      <w:lvlText w:val="•"/>
      <w:lvlJc w:val="left"/>
      <w:pPr>
        <w:ind w:left="7413" w:hanging="685"/>
      </w:pPr>
      <w:rPr>
        <w:rFonts w:hint="default"/>
      </w:rPr>
    </w:lvl>
    <w:lvl w:ilvl="8">
      <w:start w:val="0"/>
      <w:numFmt w:val="bullet"/>
      <w:lvlText w:val="•"/>
      <w:lvlJc w:val="left"/>
      <w:pPr>
        <w:ind w:left="8344" w:hanging="685"/>
      </w:pPr>
      <w:rPr>
        <w:rFonts w:hint="default"/>
      </w:rPr>
    </w:lvl>
  </w:abstractNum>
  <w:abstractNum w:abstractNumId="7">
    <w:multiLevelType w:val="hybridMultilevel"/>
    <w:lvl w:ilvl="0">
      <w:start w:val="5"/>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37" w:hanging="685"/>
      </w:pPr>
      <w:rPr>
        <w:rFonts w:hint="default"/>
      </w:rPr>
    </w:lvl>
    <w:lvl w:ilvl="3">
      <w:start w:val="0"/>
      <w:numFmt w:val="bullet"/>
      <w:lvlText w:val="•"/>
      <w:lvlJc w:val="left"/>
      <w:pPr>
        <w:ind w:left="4895" w:hanging="685"/>
      </w:pPr>
      <w:rPr>
        <w:rFonts w:hint="default"/>
      </w:rPr>
    </w:lvl>
    <w:lvl w:ilvl="4">
      <w:start w:val="0"/>
      <w:numFmt w:val="bullet"/>
      <w:lvlText w:val="•"/>
      <w:lvlJc w:val="left"/>
      <w:pPr>
        <w:ind w:left="5654" w:hanging="685"/>
      </w:pPr>
      <w:rPr>
        <w:rFonts w:hint="default"/>
      </w:rPr>
    </w:lvl>
    <w:lvl w:ilvl="5">
      <w:start w:val="0"/>
      <w:numFmt w:val="bullet"/>
      <w:lvlText w:val="•"/>
      <w:lvlJc w:val="left"/>
      <w:pPr>
        <w:ind w:left="6412" w:hanging="685"/>
      </w:pPr>
      <w:rPr>
        <w:rFonts w:hint="default"/>
      </w:rPr>
    </w:lvl>
    <w:lvl w:ilvl="6">
      <w:start w:val="0"/>
      <w:numFmt w:val="bullet"/>
      <w:lvlText w:val="•"/>
      <w:lvlJc w:val="left"/>
      <w:pPr>
        <w:ind w:left="7171" w:hanging="685"/>
      </w:pPr>
      <w:rPr>
        <w:rFonts w:hint="default"/>
      </w:rPr>
    </w:lvl>
    <w:lvl w:ilvl="7">
      <w:start w:val="0"/>
      <w:numFmt w:val="bullet"/>
      <w:lvlText w:val="•"/>
      <w:lvlJc w:val="left"/>
      <w:pPr>
        <w:ind w:left="7929" w:hanging="685"/>
      </w:pPr>
      <w:rPr>
        <w:rFonts w:hint="default"/>
      </w:rPr>
    </w:lvl>
    <w:lvl w:ilvl="8">
      <w:start w:val="0"/>
      <w:numFmt w:val="bullet"/>
      <w:lvlText w:val="•"/>
      <w:lvlJc w:val="left"/>
      <w:pPr>
        <w:ind w:left="8688" w:hanging="685"/>
      </w:pPr>
      <w:rPr>
        <w:rFonts w:hint="default"/>
      </w:rPr>
    </w:lvl>
  </w:abstractNum>
  <w:abstractNum w:abstractNumId="6">
    <w:multiLevelType w:val="hybridMultilevel"/>
    <w:lvl w:ilvl="0">
      <w:start w:val="3"/>
      <w:numFmt w:val="decimal"/>
      <w:lvlText w:val="%1"/>
      <w:lvlJc w:val="left"/>
      <w:pPr>
        <w:ind w:left="907"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1"/>
      <w:numFmt w:val="decimal"/>
      <w:lvlText w:val="(%3)"/>
      <w:lvlJc w:val="left"/>
      <w:pPr>
        <w:ind w:left="3026" w:hanging="413"/>
        <w:jc w:val="left"/>
      </w:pPr>
      <w:rPr>
        <w:rFonts w:hint="default" w:ascii="宋体" w:hAnsi="宋体" w:eastAsia="宋体" w:cs="宋体"/>
        <w:spacing w:val="-40"/>
        <w:w w:val="100"/>
        <w:sz w:val="18"/>
        <w:szCs w:val="18"/>
      </w:rPr>
    </w:lvl>
    <w:lvl w:ilvl="3">
      <w:start w:val="0"/>
      <w:numFmt w:val="bullet"/>
      <w:lvlText w:val="•"/>
      <w:lvlJc w:val="left"/>
      <w:pPr>
        <w:ind w:left="2942" w:hanging="413"/>
      </w:pPr>
      <w:rPr>
        <w:rFonts w:hint="default"/>
      </w:rPr>
    </w:lvl>
    <w:lvl w:ilvl="4">
      <w:start w:val="0"/>
      <w:numFmt w:val="bullet"/>
      <w:lvlText w:val="•"/>
      <w:lvlJc w:val="left"/>
      <w:pPr>
        <w:ind w:left="2864" w:hanging="413"/>
      </w:pPr>
      <w:rPr>
        <w:rFonts w:hint="default"/>
      </w:rPr>
    </w:lvl>
    <w:lvl w:ilvl="5">
      <w:start w:val="0"/>
      <w:numFmt w:val="bullet"/>
      <w:lvlText w:val="•"/>
      <w:lvlJc w:val="left"/>
      <w:pPr>
        <w:ind w:left="2787" w:hanging="413"/>
      </w:pPr>
      <w:rPr>
        <w:rFonts w:hint="default"/>
      </w:rPr>
    </w:lvl>
    <w:lvl w:ilvl="6">
      <w:start w:val="0"/>
      <w:numFmt w:val="bullet"/>
      <w:lvlText w:val="•"/>
      <w:lvlJc w:val="left"/>
      <w:pPr>
        <w:ind w:left="2709" w:hanging="413"/>
      </w:pPr>
      <w:rPr>
        <w:rFonts w:hint="default"/>
      </w:rPr>
    </w:lvl>
    <w:lvl w:ilvl="7">
      <w:start w:val="0"/>
      <w:numFmt w:val="bullet"/>
      <w:lvlText w:val="•"/>
      <w:lvlJc w:val="left"/>
      <w:pPr>
        <w:ind w:left="2632" w:hanging="413"/>
      </w:pPr>
      <w:rPr>
        <w:rFonts w:hint="default"/>
      </w:rPr>
    </w:lvl>
    <w:lvl w:ilvl="8">
      <w:start w:val="0"/>
      <w:numFmt w:val="bullet"/>
      <w:lvlText w:val="•"/>
      <w:lvlJc w:val="left"/>
      <w:pPr>
        <w:ind w:left="2554" w:hanging="413"/>
      </w:pPr>
      <w:rPr>
        <w:rFonts w:hint="default"/>
      </w:rPr>
    </w:lvl>
  </w:abstractNum>
  <w:abstractNum w:abstractNumId="5">
    <w:multiLevelType w:val="hybridMultilevel"/>
    <w:lvl w:ilvl="0">
      <w:start w:val="0"/>
      <w:numFmt w:val="bullet"/>
      <w:lvlText w:val=""/>
      <w:lvlJc w:val="left"/>
      <w:pPr>
        <w:ind w:left="907" w:hanging="685"/>
      </w:pPr>
      <w:rPr>
        <w:rFonts w:hint="default" w:ascii="Wingdings" w:hAnsi="Wingdings" w:eastAsia="Wingdings" w:cs="Wingdings"/>
        <w:b/>
        <w:bCs/>
        <w:w w:val="154"/>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4">
    <w:multiLevelType w:val="hybridMultilevel"/>
    <w:lvl w:ilvl="0">
      <w:start w:val="2"/>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3">
    <w:multiLevelType w:val="hybridMultilevel"/>
    <w:lvl w:ilvl="0">
      <w:start w:val="0"/>
      <w:numFmt w:val="bullet"/>
      <w:lvlText w:val=""/>
      <w:lvlJc w:val="left"/>
      <w:pPr>
        <w:ind w:left="907" w:hanging="685"/>
      </w:pPr>
      <w:rPr>
        <w:rFonts w:hint="default" w:ascii="Wingdings" w:hAnsi="Wingdings" w:eastAsia="Wingdings" w:cs="Wingdings"/>
        <w:b/>
        <w:bCs/>
        <w:w w:val="10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2">
    <w:multiLevelType w:val="hybridMultilevel"/>
    <w:lvl w:ilvl="0">
      <w:start w:val="1"/>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1">
    <w:multiLevelType w:val="hybridMultilevel"/>
    <w:lvl w:ilvl="0">
      <w:start w:val="0"/>
      <w:numFmt w:val="bullet"/>
      <w:lvlText w:val=""/>
      <w:lvlJc w:val="left"/>
      <w:pPr>
        <w:ind w:left="907" w:hanging="685"/>
      </w:pPr>
      <w:rPr>
        <w:rFonts w:hint="default" w:ascii="Wingdings" w:hAnsi="Wingdings" w:eastAsia="Wingdings" w:cs="Wingdings"/>
        <w:b/>
        <w:bCs/>
        <w:w w:val="9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0">
    <w:multiLevelType w:val="hybridMultilevel"/>
    <w:lvl w:ilvl="0">
      <w:start w:val="0"/>
      <w:numFmt w:val="bullet"/>
      <w:lvlText w:val=""/>
      <w:lvlJc w:val="left"/>
      <w:pPr>
        <w:ind w:left="1808"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2"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3" w:hanging="440"/>
      </w:pPr>
      <w:rPr>
        <w:rFonts w:hint="default"/>
      </w:rPr>
    </w:lvl>
    <w:lvl w:ilvl="8">
      <w:start w:val="0"/>
      <w:numFmt w:val="bullet"/>
      <w:lvlText w:val="•"/>
      <w:lvlJc w:val="left"/>
      <w:pPr>
        <w:ind w:left="8204" w:hanging="4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5"/>
      <w:ind w:left="2832" w:right="3025"/>
      <w:jc w:val="center"/>
      <w:outlineLvl w:val="1"/>
    </w:pPr>
    <w:rPr>
      <w:rFonts w:ascii="宋体" w:hAnsi="宋体" w:eastAsia="宋体" w:cs="宋体"/>
      <w:b/>
      <w:bCs/>
      <w:sz w:val="28"/>
      <w:szCs w:val="28"/>
    </w:rPr>
  </w:style>
  <w:style w:styleId="Heading2" w:type="paragraph">
    <w:name w:val="Heading 2"/>
    <w:basedOn w:val="Normal"/>
    <w:uiPriority w:val="1"/>
    <w:qFormat/>
    <w:pPr>
      <w:ind w:left="907" w:hanging="684"/>
      <w:outlineLvl w:val="2"/>
    </w:pPr>
    <w:rPr>
      <w:rFonts w:ascii="宋体" w:hAnsi="宋体" w:eastAsia="宋体" w:cs="宋体"/>
      <w:b/>
      <w:bCs/>
      <w:sz w:val="24"/>
      <w:szCs w:val="24"/>
    </w:rPr>
  </w:style>
  <w:style w:styleId="Heading3" w:type="paragraph">
    <w:name w:val="Heading 3"/>
    <w:basedOn w:val="Normal"/>
    <w:uiPriority w:val="1"/>
    <w:qFormat/>
    <w:pPr>
      <w:spacing w:before="36"/>
      <w:ind w:left="528" w:hanging="420"/>
      <w:outlineLvl w:val="3"/>
    </w:pPr>
    <w:rPr>
      <w:rFonts w:ascii="宋体" w:hAnsi="宋体" w:eastAsia="宋体" w:cs="宋体"/>
      <w:b/>
      <w:bCs/>
      <w:sz w:val="21"/>
      <w:szCs w:val="21"/>
    </w:rPr>
  </w:style>
  <w:style w:styleId="Heading4" w:type="paragraph">
    <w:name w:val="Heading 4"/>
    <w:basedOn w:val="Normal"/>
    <w:uiPriority w:val="1"/>
    <w:qFormat/>
    <w:pPr>
      <w:spacing w:before="16"/>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4" w:hanging="24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2018-10-20T01:44:28Z</dcterms:created>
  <dcterms:modified xsi:type="dcterms:W3CDTF">2018-10-20T01:44:28Z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2015-08-14T00:00:00Z</vt:filetime>
  </property>
  <property fmtid="{D5CDD505-2E9C-101B-9397-08002B2CF9AE}" pid="3" name="LastSaved">
    <vt:filetime>2018-10-19T00:00:00Z</vt:filetime>
  </property>
</Properties>
</file>