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8780"/>
        <w:rPr>
          <w:rFonts w:ascii="Times New Roman"/>
        </w:rPr>
      </w:pPr>
      <w:r>
        <w:rPr>
          <w:rFonts w:ascii="Times New Roman"/>
        </w:rPr>
        <w:drawing>
          <wp:inline distT="0" distB="0" distL="0" distR="0">
            <wp:extent cx="724154" cy="72390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4154" cy="723900"/>
                    </a:xfrm>
                    <a:prstGeom prst="rect">
                      <a:avLst/>
                    </a:prstGeom>
                  </pic:spPr>
                </pic:pic>
              </a:graphicData>
            </a:graphic>
          </wp:inline>
        </w:drawing>
      </w:r>
      <w:r>
        <w:rPr>
          <w:rFonts w:ascii="Times New Roman"/>
        </w:rPr>
      </w:r>
    </w:p>
    <w:p>
      <w:pPr>
        <w:spacing w:after="0"/>
        <w:rPr>
          <w:rFonts w:ascii="Times New Roman"/>
        </w:rPr>
        <w:sectPr>
          <w:footerReference w:type="default" r:id="rId5"/>
          <w:type w:val="continuous"/>
          <w:pgSz w:w="11910" w:h="16840"/>
          <w:pgMar w:footer="831" w:top="640" w:bottom="1020" w:left="880" w:right="920"/>
          <w:pgNumType w:start="1"/>
        </w:sectPr>
      </w:pPr>
    </w:p>
    <w:p>
      <w:pPr>
        <w:pStyle w:val="BodyText"/>
        <w:rPr>
          <w:rFonts w:ascii="Times New Roman"/>
          <w:sz w:val="28"/>
        </w:rPr>
      </w:pPr>
    </w:p>
    <w:p>
      <w:pPr>
        <w:pStyle w:val="BodyText"/>
        <w:spacing w:before="10"/>
        <w:rPr>
          <w:rFonts w:ascii="Times New Roman"/>
          <w:sz w:val="24"/>
        </w:rPr>
      </w:pPr>
    </w:p>
    <w:p>
      <w:pPr>
        <w:spacing w:before="0"/>
        <w:ind w:left="0" w:right="0" w:firstLine="0"/>
        <w:jc w:val="right"/>
        <w:rPr>
          <w:b/>
          <w:sz w:val="28"/>
        </w:rPr>
      </w:pPr>
      <w:r>
        <w:rPr>
          <w:b/>
          <w:sz w:val="28"/>
        </w:rPr>
        <w:t>阅 读 指 引</w:t>
      </w:r>
    </w:p>
    <w:p>
      <w:pPr>
        <w:pStyle w:val="BodyText"/>
        <w:spacing w:line="233" w:lineRule="exact"/>
        <w:ind w:left="819"/>
      </w:pPr>
      <w:r>
        <w:rPr/>
        <w:br w:type="column"/>
      </w:r>
      <w:r>
        <w:rPr/>
        <w:t>中德安联人寿[2016]疾病保险 003 号</w:t>
      </w:r>
    </w:p>
    <w:p>
      <w:pPr>
        <w:pStyle w:val="BodyText"/>
        <w:spacing w:line="260" w:lineRule="exact"/>
        <w:ind w:left="2019"/>
      </w:pPr>
      <w:r>
        <w:rPr>
          <w:w w:val="95"/>
        </w:rPr>
        <w:t>请扫描以查询验证条款</w:t>
      </w:r>
    </w:p>
    <w:p>
      <w:pPr>
        <w:spacing w:after="0" w:line="260" w:lineRule="exact"/>
        <w:sectPr>
          <w:type w:val="continuous"/>
          <w:pgSz w:w="11910" w:h="16840"/>
          <w:pgMar w:top="640" w:bottom="1020" w:left="880" w:right="920"/>
          <w:cols w:num="2" w:equalWidth="0">
            <w:col w:w="5863" w:space="40"/>
            <w:col w:w="4207"/>
          </w:cols>
        </w:sectPr>
      </w:pPr>
    </w:p>
    <w:p>
      <w:pPr>
        <w:pStyle w:val="BodyText"/>
        <w:spacing w:before="7"/>
        <w:rPr>
          <w:sz w:val="9"/>
        </w:rPr>
      </w:pPr>
    </w:p>
    <w:p>
      <w:pPr>
        <w:spacing w:line="340" w:lineRule="auto" w:before="38"/>
        <w:ind w:left="353" w:right="512" w:firstLine="226"/>
        <w:jc w:val="left"/>
        <w:rPr>
          <w:b/>
          <w:sz w:val="20"/>
        </w:rPr>
      </w:pPr>
      <w:r>
        <w:rPr/>
        <w:pict>
          <v:group style="position:absolute;margin-left:49.68pt;margin-top:17.899693pt;width:494.5pt;height:619.65pt;mso-position-horizontal-relative:page;mso-position-vertical-relative:paragraph;z-index:-53968" coordorigin="994,358" coordsize="9890,12393">
            <v:shape style="position:absolute;left:1132;top:2345;width:404;height:200" type="#_x0000_t75" stroked="false">
              <v:imagedata r:id="rId7" o:title=""/>
            </v:shape>
            <v:shape style="position:absolute;left:1132;top:4841;width:404;height:200" type="#_x0000_t75" stroked="false">
              <v:imagedata r:id="rId7" o:title=""/>
            </v:shape>
            <v:shape style="position:absolute;left:993;top:357;width:9890;height:12393" type="#_x0000_t75" stroked="false">
              <v:imagedata r:id="rId8" o:title=""/>
            </v:shape>
            <w10:wrap type="none"/>
          </v:group>
        </w:pict>
      </w:r>
      <w:r>
        <w:rPr>
          <w:sz w:val="20"/>
        </w:rPr>
        <w:t>本阅读指引有助于您理解条款，对</w:t>
      </w:r>
      <w:r>
        <w:rPr>
          <w:b/>
          <w:spacing w:val="-7"/>
          <w:sz w:val="20"/>
        </w:rPr>
        <w:t>“安联安康长泰 </w:t>
      </w:r>
      <w:r>
        <w:rPr>
          <w:b/>
          <w:sz w:val="20"/>
        </w:rPr>
        <w:t>A</w:t>
      </w:r>
      <w:r>
        <w:rPr>
          <w:b/>
          <w:spacing w:val="-8"/>
          <w:sz w:val="20"/>
        </w:rPr>
        <w:t> 长期重大疾病保险条款”</w:t>
      </w:r>
      <w:r>
        <w:rPr>
          <w:spacing w:val="-2"/>
          <w:sz w:val="20"/>
        </w:rPr>
        <w:t>内容的解释以条款为准。</w:t>
      </w:r>
      <w:r>
        <w:rPr>
          <w:b/>
          <w:spacing w:val="-2"/>
          <w:w w:val="95"/>
          <w:sz w:val="20"/>
        </w:rPr>
        <w:t>您拥有的重要权益</w:t>
      </w:r>
    </w:p>
    <w:p>
      <w:pPr>
        <w:pStyle w:val="ListParagraph"/>
        <w:numPr>
          <w:ilvl w:val="0"/>
          <w:numId w:val="1"/>
        </w:numPr>
        <w:tabs>
          <w:tab w:pos="1213" w:val="left" w:leader="none"/>
          <w:tab w:pos="1214" w:val="left" w:leader="none"/>
          <w:tab w:pos="9551" w:val="right" w:leader="dot"/>
        </w:tabs>
        <w:spacing w:line="242" w:lineRule="exact" w:before="0" w:after="0"/>
        <w:ind w:left="1213" w:right="0" w:hanging="420"/>
        <w:jc w:val="left"/>
        <w:rPr>
          <w:sz w:val="20"/>
        </w:rPr>
      </w:pPr>
      <w:r>
        <w:rPr>
          <w:sz w:val="20"/>
        </w:rPr>
        <w:t>被保险人可以享受本合同提供的保障</w:t>
        <w:tab/>
        <w:t>2.2</w:t>
      </w:r>
    </w:p>
    <w:p>
      <w:pPr>
        <w:pStyle w:val="ListParagraph"/>
        <w:numPr>
          <w:ilvl w:val="0"/>
          <w:numId w:val="1"/>
        </w:numPr>
        <w:tabs>
          <w:tab w:pos="1213" w:val="left" w:leader="none"/>
          <w:tab w:pos="1214" w:val="left" w:leader="none"/>
          <w:tab w:pos="9552" w:val="right" w:leader="dot"/>
        </w:tabs>
        <w:spacing w:line="240" w:lineRule="auto" w:before="36" w:after="0"/>
        <w:ind w:left="1213" w:right="0" w:hanging="420"/>
        <w:jc w:val="left"/>
        <w:rPr>
          <w:sz w:val="20"/>
        </w:rPr>
      </w:pPr>
      <w:r>
        <w:rPr>
          <w:sz w:val="20"/>
        </w:rPr>
        <w:t>您有选择保险费自动垫交的权利</w:t>
        <w:tab/>
        <w:t>3.2</w:t>
      </w:r>
    </w:p>
    <w:p>
      <w:pPr>
        <w:pStyle w:val="ListParagraph"/>
        <w:numPr>
          <w:ilvl w:val="0"/>
          <w:numId w:val="1"/>
        </w:numPr>
        <w:tabs>
          <w:tab w:pos="1213" w:val="left" w:leader="none"/>
          <w:tab w:pos="1214" w:val="left" w:leader="none"/>
          <w:tab w:pos="9552" w:val="right" w:leader="dot"/>
        </w:tabs>
        <w:spacing w:line="240" w:lineRule="auto" w:before="35" w:after="0"/>
        <w:ind w:left="1213" w:right="0" w:hanging="420"/>
        <w:jc w:val="left"/>
        <w:rPr>
          <w:sz w:val="20"/>
        </w:rPr>
      </w:pPr>
      <w:r>
        <w:rPr>
          <w:sz w:val="20"/>
        </w:rPr>
        <w:t>您有选择减额交清的权利</w:t>
        <w:tab/>
        <w:t>3.3</w:t>
      </w:r>
    </w:p>
    <w:p>
      <w:pPr>
        <w:pStyle w:val="ListParagraph"/>
        <w:numPr>
          <w:ilvl w:val="0"/>
          <w:numId w:val="1"/>
        </w:numPr>
        <w:tabs>
          <w:tab w:pos="1213" w:val="left" w:leader="none"/>
          <w:tab w:pos="1214" w:val="left" w:leader="none"/>
          <w:tab w:pos="9552" w:val="right" w:leader="dot"/>
        </w:tabs>
        <w:spacing w:line="240" w:lineRule="auto" w:before="35" w:after="0"/>
        <w:ind w:left="1213" w:right="0" w:hanging="420"/>
        <w:jc w:val="left"/>
        <w:rPr>
          <w:sz w:val="20"/>
        </w:rPr>
      </w:pPr>
      <w:r>
        <w:rPr>
          <w:sz w:val="20"/>
        </w:rPr>
        <w:t>您有保单贷款的权利</w:t>
        <w:tab/>
        <w:t>3.4</w:t>
      </w:r>
    </w:p>
    <w:p>
      <w:pPr>
        <w:pStyle w:val="ListParagraph"/>
        <w:numPr>
          <w:ilvl w:val="0"/>
          <w:numId w:val="1"/>
        </w:numPr>
        <w:tabs>
          <w:tab w:pos="1213" w:val="left" w:leader="none"/>
          <w:tab w:pos="1214" w:val="left" w:leader="none"/>
          <w:tab w:pos="9552" w:val="right" w:leader="dot"/>
        </w:tabs>
        <w:spacing w:line="240" w:lineRule="auto" w:before="35" w:after="0"/>
        <w:ind w:left="1213" w:right="0" w:hanging="420"/>
        <w:jc w:val="left"/>
        <w:rPr>
          <w:sz w:val="20"/>
        </w:rPr>
      </w:pPr>
      <w:r>
        <w:rPr>
          <w:sz w:val="20"/>
        </w:rPr>
        <w:t>您有退保的权利</w:t>
        <w:tab/>
        <w:t>6.1</w:t>
      </w:r>
    </w:p>
    <w:p>
      <w:pPr>
        <w:pStyle w:val="BodyText"/>
        <w:spacing w:before="8"/>
        <w:rPr>
          <w:sz w:val="26"/>
        </w:rPr>
      </w:pPr>
    </w:p>
    <w:p>
      <w:pPr>
        <w:pStyle w:val="Heading2"/>
        <w:spacing w:before="0"/>
        <w:ind w:left="351"/>
      </w:pPr>
      <w:r>
        <w:rPr>
          <w:w w:val="95"/>
        </w:rPr>
        <w:t>您应当特别注意的事项</w:t>
      </w:r>
    </w:p>
    <w:p>
      <w:pPr>
        <w:pStyle w:val="ListParagraph"/>
        <w:numPr>
          <w:ilvl w:val="0"/>
          <w:numId w:val="1"/>
        </w:numPr>
        <w:tabs>
          <w:tab w:pos="1213" w:val="left" w:leader="none"/>
          <w:tab w:pos="1214" w:val="left" w:leader="none"/>
          <w:tab w:pos="9249" w:val="left" w:leader="dot"/>
        </w:tabs>
        <w:spacing w:line="240" w:lineRule="auto" w:before="50" w:after="0"/>
        <w:ind w:left="1213" w:right="0" w:hanging="420"/>
        <w:jc w:val="left"/>
        <w:rPr>
          <w:sz w:val="20"/>
        </w:rPr>
      </w:pPr>
      <w:r>
        <w:rPr>
          <w:sz w:val="20"/>
        </w:rPr>
        <w:t>我们对责任免除的条款作了特别提示，详见条款正文中字体加粗的内容</w:t>
        <w:tab/>
        <w:t>2.3</w:t>
      </w:r>
    </w:p>
    <w:p>
      <w:pPr>
        <w:pStyle w:val="ListParagraph"/>
        <w:numPr>
          <w:ilvl w:val="0"/>
          <w:numId w:val="1"/>
        </w:numPr>
        <w:tabs>
          <w:tab w:pos="1213" w:val="left" w:leader="none"/>
          <w:tab w:pos="1214" w:val="left" w:leader="none"/>
          <w:tab w:pos="9249" w:val="left" w:leader="dot"/>
        </w:tabs>
        <w:spacing w:line="240" w:lineRule="auto" w:before="36" w:after="0"/>
        <w:ind w:left="1213" w:right="0" w:hanging="420"/>
        <w:jc w:val="left"/>
        <w:rPr>
          <w:sz w:val="20"/>
        </w:rPr>
      </w:pPr>
      <w:r>
        <w:rPr>
          <w:sz w:val="20"/>
        </w:rPr>
        <w:t>您有及时向我们通知保险事故的责任</w:t>
        <w:tab/>
        <w:t>4.2</w:t>
      </w:r>
    </w:p>
    <w:p>
      <w:pPr>
        <w:pStyle w:val="ListParagraph"/>
        <w:numPr>
          <w:ilvl w:val="0"/>
          <w:numId w:val="1"/>
        </w:numPr>
        <w:tabs>
          <w:tab w:pos="1213" w:val="left" w:leader="none"/>
          <w:tab w:pos="1214" w:val="left" w:leader="none"/>
          <w:tab w:pos="9249" w:val="left" w:leader="dot"/>
        </w:tabs>
        <w:spacing w:line="240" w:lineRule="auto" w:before="36" w:after="0"/>
        <w:ind w:left="1213" w:right="0" w:hanging="420"/>
        <w:jc w:val="left"/>
        <w:rPr>
          <w:sz w:val="20"/>
        </w:rPr>
      </w:pPr>
      <w:r>
        <w:rPr>
          <w:sz w:val="20"/>
        </w:rPr>
        <w:t>您应当按时支付保险费</w:t>
        <w:tab/>
        <w:t>3.1</w:t>
      </w:r>
    </w:p>
    <w:p>
      <w:pPr>
        <w:pStyle w:val="ListParagraph"/>
        <w:numPr>
          <w:ilvl w:val="0"/>
          <w:numId w:val="1"/>
        </w:numPr>
        <w:tabs>
          <w:tab w:pos="1213" w:val="left" w:leader="none"/>
          <w:tab w:pos="1214" w:val="left" w:leader="none"/>
          <w:tab w:pos="9249" w:val="left" w:leader="dot"/>
        </w:tabs>
        <w:spacing w:line="240" w:lineRule="auto" w:before="36" w:after="0"/>
        <w:ind w:left="1213" w:right="0" w:hanging="420"/>
        <w:jc w:val="left"/>
        <w:rPr>
          <w:sz w:val="20"/>
        </w:rPr>
      </w:pPr>
      <w:r>
        <w:rPr>
          <w:sz w:val="20"/>
        </w:rPr>
        <w:t>退保会给您造成一定的损失，请您慎重决策</w:t>
        <w:tab/>
        <w:t>6.1</w:t>
      </w:r>
    </w:p>
    <w:p>
      <w:pPr>
        <w:pStyle w:val="ListParagraph"/>
        <w:numPr>
          <w:ilvl w:val="0"/>
          <w:numId w:val="1"/>
        </w:numPr>
        <w:tabs>
          <w:tab w:pos="1213" w:val="left" w:leader="none"/>
          <w:tab w:pos="1214" w:val="left" w:leader="none"/>
          <w:tab w:pos="9249" w:val="left" w:leader="dot"/>
        </w:tabs>
        <w:spacing w:line="240" w:lineRule="auto" w:before="36" w:after="0"/>
        <w:ind w:left="1213" w:right="0" w:hanging="420"/>
        <w:jc w:val="left"/>
        <w:rPr>
          <w:sz w:val="20"/>
        </w:rPr>
      </w:pPr>
      <w:r>
        <w:rPr>
          <w:sz w:val="20"/>
        </w:rPr>
        <w:t>您有如实告知的义务</w:t>
        <w:tab/>
        <w:t>7.1</w:t>
      </w:r>
    </w:p>
    <w:p>
      <w:pPr>
        <w:pStyle w:val="ListParagraph"/>
        <w:numPr>
          <w:ilvl w:val="0"/>
          <w:numId w:val="1"/>
        </w:numPr>
        <w:tabs>
          <w:tab w:pos="1213" w:val="left" w:leader="none"/>
          <w:tab w:pos="1214" w:val="left" w:leader="none"/>
        </w:tabs>
        <w:spacing w:line="240" w:lineRule="auto" w:before="36" w:after="0"/>
        <w:ind w:left="1213" w:right="0" w:hanging="420"/>
        <w:jc w:val="left"/>
        <w:rPr>
          <w:sz w:val="20"/>
        </w:rPr>
      </w:pPr>
      <w:r>
        <w:rPr>
          <w:spacing w:val="-2"/>
          <w:sz w:val="20"/>
        </w:rPr>
        <w:t>我们对一些重要术语进行了解释，并作了显著标识，请您注意 ......................... 释义</w:t>
      </w:r>
    </w:p>
    <w:p>
      <w:pPr>
        <w:pStyle w:val="BodyText"/>
        <w:spacing w:before="9"/>
        <w:rPr>
          <w:sz w:val="23"/>
        </w:rPr>
      </w:pPr>
    </w:p>
    <w:p>
      <w:pPr>
        <w:pStyle w:val="Heading2"/>
        <w:spacing w:line="571" w:lineRule="auto" w:before="38"/>
        <w:ind w:left="351" w:right="3131"/>
      </w:pPr>
      <w:r>
        <w:rPr/>
        <w:pict>
          <v:shape style="position:absolute;margin-left:63.48pt;margin-top:49.099709pt;width:468.7pt;height:316.650pt;mso-position-horizontal-relative:page;mso-position-vertical-relative:paragraph;z-index:1048" type="#_x0000_t202" filled="false" stroked="false">
            <v:textbox inset="0,0,0,0">
              <w:txbxContent>
                <w:tbl>
                  <w:tblPr>
                    <w:tblW w:w="0" w:type="auto"/>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22"/>
                    <w:gridCol w:w="2310"/>
                    <w:gridCol w:w="2637"/>
                    <w:gridCol w:w="2192"/>
                  </w:tblGrid>
                  <w:tr>
                    <w:trPr>
                      <w:trHeight w:val="6312" w:hRule="atLeast"/>
                    </w:trPr>
                    <w:tc>
                      <w:tcPr>
                        <w:tcW w:w="2222" w:type="dxa"/>
                        <w:tcBorders>
                          <w:right w:val="nil"/>
                        </w:tcBorders>
                      </w:tcPr>
                      <w:p>
                        <w:pPr>
                          <w:pStyle w:val="TableParagraph"/>
                          <w:spacing w:before="33"/>
                          <w:ind w:left="110"/>
                          <w:rPr>
                            <w:b/>
                            <w:sz w:val="15"/>
                          </w:rPr>
                        </w:pPr>
                        <w:r>
                          <w:rPr>
                            <w:b/>
                            <w:sz w:val="15"/>
                          </w:rPr>
                          <w:t>第一部分 您与我们的合同</w:t>
                        </w:r>
                      </w:p>
                      <w:p>
                        <w:pPr>
                          <w:pStyle w:val="TableParagraph"/>
                          <w:numPr>
                            <w:ilvl w:val="1"/>
                            <w:numId w:val="2"/>
                          </w:numPr>
                          <w:tabs>
                            <w:tab w:pos="565" w:val="left" w:leader="none"/>
                          </w:tabs>
                          <w:spacing w:line="240" w:lineRule="auto" w:before="115" w:after="0"/>
                          <w:ind w:left="564" w:right="0" w:hanging="303"/>
                          <w:jc w:val="left"/>
                          <w:rPr>
                            <w:sz w:val="15"/>
                          </w:rPr>
                        </w:pPr>
                        <w:r>
                          <w:rPr>
                            <w:spacing w:val="-3"/>
                            <w:sz w:val="15"/>
                          </w:rPr>
                          <w:t>保险合同的构成</w:t>
                        </w:r>
                      </w:p>
                      <w:p>
                        <w:pPr>
                          <w:pStyle w:val="TableParagraph"/>
                          <w:numPr>
                            <w:ilvl w:val="1"/>
                            <w:numId w:val="2"/>
                          </w:numPr>
                          <w:tabs>
                            <w:tab w:pos="565" w:val="left" w:leader="none"/>
                          </w:tabs>
                          <w:spacing w:line="240" w:lineRule="auto" w:before="115" w:after="0"/>
                          <w:ind w:left="564" w:right="0" w:hanging="303"/>
                          <w:jc w:val="left"/>
                          <w:rPr>
                            <w:sz w:val="15"/>
                          </w:rPr>
                        </w:pPr>
                        <w:r>
                          <w:rPr>
                            <w:spacing w:val="-3"/>
                            <w:sz w:val="15"/>
                          </w:rPr>
                          <w:t>保险合同成立与生效</w:t>
                        </w:r>
                      </w:p>
                      <w:p>
                        <w:pPr>
                          <w:pStyle w:val="TableParagraph"/>
                          <w:numPr>
                            <w:ilvl w:val="1"/>
                            <w:numId w:val="2"/>
                          </w:numPr>
                          <w:tabs>
                            <w:tab w:pos="565" w:val="left" w:leader="none"/>
                          </w:tabs>
                          <w:spacing w:line="240" w:lineRule="auto" w:before="115" w:after="0"/>
                          <w:ind w:left="564" w:right="0" w:hanging="303"/>
                          <w:jc w:val="left"/>
                          <w:rPr>
                            <w:sz w:val="15"/>
                          </w:rPr>
                        </w:pPr>
                        <w:r>
                          <w:rPr>
                            <w:spacing w:val="-3"/>
                            <w:sz w:val="15"/>
                          </w:rPr>
                          <w:t>投保范围</w:t>
                        </w:r>
                      </w:p>
                      <w:p>
                        <w:pPr>
                          <w:pStyle w:val="TableParagraph"/>
                          <w:numPr>
                            <w:ilvl w:val="1"/>
                            <w:numId w:val="2"/>
                          </w:numPr>
                          <w:tabs>
                            <w:tab w:pos="565" w:val="left" w:leader="none"/>
                          </w:tabs>
                          <w:spacing w:line="240" w:lineRule="auto" w:before="115" w:after="0"/>
                          <w:ind w:left="564" w:right="0" w:hanging="303"/>
                          <w:jc w:val="left"/>
                          <w:rPr>
                            <w:sz w:val="15"/>
                          </w:rPr>
                        </w:pPr>
                        <w:r>
                          <w:rPr>
                            <w:spacing w:val="-3"/>
                            <w:sz w:val="15"/>
                          </w:rPr>
                          <w:t>保险期间</w:t>
                        </w:r>
                      </w:p>
                      <w:p>
                        <w:pPr>
                          <w:pStyle w:val="TableParagraph"/>
                          <w:numPr>
                            <w:ilvl w:val="1"/>
                            <w:numId w:val="2"/>
                          </w:numPr>
                          <w:tabs>
                            <w:tab w:pos="565" w:val="left" w:leader="none"/>
                          </w:tabs>
                          <w:spacing w:line="240" w:lineRule="auto" w:before="115" w:after="0"/>
                          <w:ind w:left="564" w:right="0" w:hanging="303"/>
                          <w:jc w:val="left"/>
                          <w:rPr>
                            <w:sz w:val="15"/>
                          </w:rPr>
                        </w:pPr>
                        <w:r>
                          <w:rPr>
                            <w:spacing w:val="-2"/>
                            <w:sz w:val="15"/>
                          </w:rPr>
                          <w:t>犹豫期</w:t>
                        </w:r>
                      </w:p>
                      <w:p>
                        <w:pPr>
                          <w:pStyle w:val="TableParagraph"/>
                          <w:numPr>
                            <w:ilvl w:val="1"/>
                            <w:numId w:val="2"/>
                          </w:numPr>
                          <w:tabs>
                            <w:tab w:pos="565" w:val="left" w:leader="none"/>
                          </w:tabs>
                          <w:spacing w:line="240" w:lineRule="auto" w:before="115" w:after="0"/>
                          <w:ind w:left="564" w:right="0" w:hanging="303"/>
                          <w:jc w:val="left"/>
                          <w:rPr>
                            <w:sz w:val="15"/>
                          </w:rPr>
                        </w:pPr>
                        <w:r>
                          <w:rPr>
                            <w:spacing w:val="-3"/>
                            <w:sz w:val="15"/>
                          </w:rPr>
                          <w:t>合同终止</w:t>
                        </w:r>
                      </w:p>
                      <w:p>
                        <w:pPr>
                          <w:pStyle w:val="TableParagraph"/>
                          <w:spacing w:before="115"/>
                          <w:ind w:left="110"/>
                          <w:rPr>
                            <w:b/>
                            <w:sz w:val="15"/>
                          </w:rPr>
                        </w:pPr>
                        <w:r>
                          <w:rPr>
                            <w:b/>
                            <w:sz w:val="15"/>
                          </w:rPr>
                          <w:t>第二部分 我们提供的保障</w:t>
                        </w:r>
                      </w:p>
                      <w:p>
                        <w:pPr>
                          <w:pStyle w:val="TableParagraph"/>
                          <w:numPr>
                            <w:ilvl w:val="1"/>
                            <w:numId w:val="3"/>
                          </w:numPr>
                          <w:tabs>
                            <w:tab w:pos="565" w:val="left" w:leader="none"/>
                          </w:tabs>
                          <w:spacing w:line="240" w:lineRule="auto" w:before="115" w:after="0"/>
                          <w:ind w:left="561" w:right="0" w:hanging="300"/>
                          <w:jc w:val="left"/>
                          <w:rPr>
                            <w:sz w:val="15"/>
                          </w:rPr>
                        </w:pPr>
                        <w:r>
                          <w:rPr>
                            <w:spacing w:val="-2"/>
                            <w:sz w:val="15"/>
                          </w:rPr>
                          <w:t>等待期</w:t>
                        </w:r>
                      </w:p>
                      <w:p>
                        <w:pPr>
                          <w:pStyle w:val="TableParagraph"/>
                          <w:numPr>
                            <w:ilvl w:val="1"/>
                            <w:numId w:val="3"/>
                          </w:numPr>
                          <w:tabs>
                            <w:tab w:pos="565" w:val="left" w:leader="none"/>
                          </w:tabs>
                          <w:spacing w:line="240" w:lineRule="auto" w:before="115" w:after="0"/>
                          <w:ind w:left="561" w:right="0" w:hanging="300"/>
                          <w:jc w:val="left"/>
                          <w:rPr>
                            <w:sz w:val="15"/>
                          </w:rPr>
                        </w:pPr>
                        <w:r>
                          <w:rPr>
                            <w:spacing w:val="-3"/>
                            <w:sz w:val="15"/>
                          </w:rPr>
                          <w:t>保险责任</w:t>
                        </w:r>
                      </w:p>
                      <w:p>
                        <w:pPr>
                          <w:pStyle w:val="TableParagraph"/>
                          <w:numPr>
                            <w:ilvl w:val="1"/>
                            <w:numId w:val="3"/>
                          </w:numPr>
                          <w:tabs>
                            <w:tab w:pos="565" w:val="left" w:leader="none"/>
                          </w:tabs>
                          <w:spacing w:line="240" w:lineRule="auto" w:before="115" w:after="0"/>
                          <w:ind w:left="561" w:right="0" w:hanging="300"/>
                          <w:jc w:val="left"/>
                          <w:rPr>
                            <w:sz w:val="15"/>
                          </w:rPr>
                        </w:pPr>
                        <w:r>
                          <w:rPr>
                            <w:spacing w:val="-3"/>
                            <w:sz w:val="15"/>
                          </w:rPr>
                          <w:t>责任免除</w:t>
                        </w:r>
                      </w:p>
                      <w:p>
                        <w:pPr>
                          <w:pStyle w:val="TableParagraph"/>
                          <w:numPr>
                            <w:ilvl w:val="1"/>
                            <w:numId w:val="3"/>
                          </w:numPr>
                          <w:tabs>
                            <w:tab w:pos="565" w:val="left" w:leader="none"/>
                          </w:tabs>
                          <w:spacing w:line="381" w:lineRule="auto" w:before="115" w:after="0"/>
                          <w:ind w:left="561" w:right="450" w:hanging="300"/>
                          <w:jc w:val="left"/>
                          <w:rPr>
                            <w:sz w:val="15"/>
                          </w:rPr>
                        </w:pPr>
                        <w:r>
                          <w:rPr>
                            <w:spacing w:val="-3"/>
                            <w:sz w:val="15"/>
                          </w:rPr>
                          <w:t>未成年人身故保险金限制</w:t>
                        </w:r>
                      </w:p>
                      <w:p>
                        <w:pPr>
                          <w:pStyle w:val="TableParagraph"/>
                          <w:numPr>
                            <w:ilvl w:val="1"/>
                            <w:numId w:val="3"/>
                          </w:numPr>
                          <w:tabs>
                            <w:tab w:pos="565" w:val="left" w:leader="none"/>
                          </w:tabs>
                          <w:spacing w:line="381" w:lineRule="auto" w:before="27" w:after="0"/>
                          <w:ind w:left="110" w:right="299" w:firstLine="151"/>
                          <w:jc w:val="left"/>
                          <w:rPr>
                            <w:b/>
                            <w:sz w:val="15"/>
                          </w:rPr>
                        </w:pPr>
                        <w:r>
                          <w:rPr>
                            <w:spacing w:val="-3"/>
                            <w:sz w:val="15"/>
                          </w:rPr>
                          <w:t>基本保险金额的变更</w:t>
                        </w:r>
                        <w:r>
                          <w:rPr>
                            <w:b/>
                            <w:spacing w:val="-3"/>
                            <w:sz w:val="15"/>
                          </w:rPr>
                          <w:t>第三部分 如何支付保险费</w:t>
                        </w:r>
                      </w:p>
                      <w:p>
                        <w:pPr>
                          <w:pStyle w:val="TableParagraph"/>
                          <w:numPr>
                            <w:ilvl w:val="1"/>
                            <w:numId w:val="4"/>
                          </w:numPr>
                          <w:tabs>
                            <w:tab w:pos="565" w:val="left" w:leader="none"/>
                          </w:tabs>
                          <w:spacing w:line="240" w:lineRule="auto" w:before="27" w:after="0"/>
                          <w:ind w:left="564" w:right="0" w:hanging="303"/>
                          <w:jc w:val="left"/>
                          <w:rPr>
                            <w:sz w:val="15"/>
                          </w:rPr>
                        </w:pPr>
                        <w:r>
                          <w:rPr>
                            <w:spacing w:val="-3"/>
                            <w:sz w:val="15"/>
                          </w:rPr>
                          <w:t>保险费的支付及宽限期</w:t>
                        </w:r>
                      </w:p>
                      <w:p>
                        <w:pPr>
                          <w:pStyle w:val="TableParagraph"/>
                          <w:numPr>
                            <w:ilvl w:val="1"/>
                            <w:numId w:val="4"/>
                          </w:numPr>
                          <w:tabs>
                            <w:tab w:pos="565" w:val="left" w:leader="none"/>
                          </w:tabs>
                          <w:spacing w:line="240" w:lineRule="auto" w:before="115" w:after="0"/>
                          <w:ind w:left="564" w:right="0" w:hanging="303"/>
                          <w:jc w:val="left"/>
                          <w:rPr>
                            <w:sz w:val="15"/>
                          </w:rPr>
                        </w:pPr>
                        <w:r>
                          <w:rPr>
                            <w:spacing w:val="-3"/>
                            <w:sz w:val="15"/>
                          </w:rPr>
                          <w:t>保险费的自动垫交</w:t>
                        </w:r>
                      </w:p>
                    </w:tc>
                    <w:tc>
                      <w:tcPr>
                        <w:tcW w:w="2310" w:type="dxa"/>
                        <w:tcBorders>
                          <w:left w:val="nil"/>
                          <w:right w:val="nil"/>
                        </w:tcBorders>
                      </w:tcPr>
                      <w:p>
                        <w:pPr>
                          <w:pStyle w:val="TableParagraph"/>
                          <w:numPr>
                            <w:ilvl w:val="1"/>
                            <w:numId w:val="5"/>
                          </w:numPr>
                          <w:tabs>
                            <w:tab w:pos="616" w:val="left" w:leader="none"/>
                          </w:tabs>
                          <w:spacing w:line="240" w:lineRule="auto" w:before="33" w:after="0"/>
                          <w:ind w:left="615" w:right="0" w:hanging="303"/>
                          <w:jc w:val="left"/>
                          <w:rPr>
                            <w:sz w:val="15"/>
                          </w:rPr>
                        </w:pPr>
                        <w:r>
                          <w:rPr>
                            <w:spacing w:val="-3"/>
                            <w:sz w:val="15"/>
                          </w:rPr>
                          <w:t>减额交清选择</w:t>
                        </w:r>
                      </w:p>
                      <w:p>
                        <w:pPr>
                          <w:pStyle w:val="TableParagraph"/>
                          <w:numPr>
                            <w:ilvl w:val="1"/>
                            <w:numId w:val="5"/>
                          </w:numPr>
                          <w:tabs>
                            <w:tab w:pos="616" w:val="left" w:leader="none"/>
                          </w:tabs>
                          <w:spacing w:line="240" w:lineRule="auto" w:before="115" w:after="0"/>
                          <w:ind w:left="615" w:right="0" w:hanging="303"/>
                          <w:jc w:val="left"/>
                          <w:rPr>
                            <w:sz w:val="15"/>
                          </w:rPr>
                        </w:pPr>
                        <w:r>
                          <w:rPr>
                            <w:spacing w:val="-3"/>
                            <w:sz w:val="15"/>
                          </w:rPr>
                          <w:t>保单贷款</w:t>
                        </w:r>
                      </w:p>
                      <w:p>
                        <w:pPr>
                          <w:pStyle w:val="TableParagraph"/>
                          <w:numPr>
                            <w:ilvl w:val="1"/>
                            <w:numId w:val="5"/>
                          </w:numPr>
                          <w:tabs>
                            <w:tab w:pos="616" w:val="left" w:leader="none"/>
                          </w:tabs>
                          <w:spacing w:line="240" w:lineRule="auto" w:before="115" w:after="0"/>
                          <w:ind w:left="615" w:right="0" w:hanging="303"/>
                          <w:jc w:val="left"/>
                          <w:rPr>
                            <w:sz w:val="15"/>
                          </w:rPr>
                        </w:pPr>
                        <w:r>
                          <w:rPr>
                            <w:spacing w:val="-3"/>
                            <w:sz w:val="15"/>
                          </w:rPr>
                          <w:t>保单欠款的扣除</w:t>
                        </w:r>
                      </w:p>
                      <w:p>
                        <w:pPr>
                          <w:pStyle w:val="TableParagraph"/>
                          <w:spacing w:before="115"/>
                          <w:ind w:left="161"/>
                          <w:rPr>
                            <w:b/>
                            <w:sz w:val="15"/>
                          </w:rPr>
                        </w:pPr>
                        <w:r>
                          <w:rPr>
                            <w:b/>
                            <w:sz w:val="15"/>
                          </w:rPr>
                          <w:t>第四部分 如何申请领取保险金</w:t>
                        </w:r>
                      </w:p>
                      <w:p>
                        <w:pPr>
                          <w:pStyle w:val="TableParagraph"/>
                          <w:numPr>
                            <w:ilvl w:val="1"/>
                            <w:numId w:val="6"/>
                          </w:numPr>
                          <w:tabs>
                            <w:tab w:pos="616" w:val="left" w:leader="none"/>
                          </w:tabs>
                          <w:spacing w:line="240" w:lineRule="auto" w:before="115" w:after="0"/>
                          <w:ind w:left="615" w:right="0" w:hanging="303"/>
                          <w:jc w:val="left"/>
                          <w:rPr>
                            <w:sz w:val="15"/>
                          </w:rPr>
                        </w:pPr>
                        <w:r>
                          <w:rPr>
                            <w:spacing w:val="-2"/>
                            <w:sz w:val="15"/>
                          </w:rPr>
                          <w:t>受益人</w:t>
                        </w:r>
                      </w:p>
                      <w:p>
                        <w:pPr>
                          <w:pStyle w:val="TableParagraph"/>
                          <w:numPr>
                            <w:ilvl w:val="1"/>
                            <w:numId w:val="6"/>
                          </w:numPr>
                          <w:tabs>
                            <w:tab w:pos="616" w:val="left" w:leader="none"/>
                          </w:tabs>
                          <w:spacing w:line="240" w:lineRule="auto" w:before="115" w:after="0"/>
                          <w:ind w:left="615" w:right="0" w:hanging="303"/>
                          <w:jc w:val="left"/>
                          <w:rPr>
                            <w:sz w:val="15"/>
                          </w:rPr>
                        </w:pPr>
                        <w:r>
                          <w:rPr>
                            <w:spacing w:val="-3"/>
                            <w:sz w:val="15"/>
                          </w:rPr>
                          <w:t>保险事故通知</w:t>
                        </w:r>
                      </w:p>
                      <w:p>
                        <w:pPr>
                          <w:pStyle w:val="TableParagraph"/>
                          <w:numPr>
                            <w:ilvl w:val="1"/>
                            <w:numId w:val="6"/>
                          </w:numPr>
                          <w:tabs>
                            <w:tab w:pos="616" w:val="left" w:leader="none"/>
                          </w:tabs>
                          <w:spacing w:line="240" w:lineRule="auto" w:before="115" w:after="0"/>
                          <w:ind w:left="615" w:right="0" w:hanging="303"/>
                          <w:jc w:val="left"/>
                          <w:rPr>
                            <w:sz w:val="15"/>
                          </w:rPr>
                        </w:pPr>
                        <w:r>
                          <w:rPr>
                            <w:spacing w:val="-3"/>
                            <w:sz w:val="15"/>
                          </w:rPr>
                          <w:t>保险金申请</w:t>
                        </w:r>
                      </w:p>
                      <w:p>
                        <w:pPr>
                          <w:pStyle w:val="TableParagraph"/>
                          <w:numPr>
                            <w:ilvl w:val="1"/>
                            <w:numId w:val="6"/>
                          </w:numPr>
                          <w:tabs>
                            <w:tab w:pos="616" w:val="left" w:leader="none"/>
                          </w:tabs>
                          <w:spacing w:line="240" w:lineRule="auto" w:before="115" w:after="0"/>
                          <w:ind w:left="615" w:right="0" w:hanging="303"/>
                          <w:jc w:val="left"/>
                          <w:rPr>
                            <w:sz w:val="15"/>
                          </w:rPr>
                        </w:pPr>
                        <w:r>
                          <w:rPr>
                            <w:spacing w:val="-3"/>
                            <w:sz w:val="15"/>
                          </w:rPr>
                          <w:t>保险金给付</w:t>
                        </w:r>
                      </w:p>
                      <w:p>
                        <w:pPr>
                          <w:pStyle w:val="TableParagraph"/>
                          <w:numPr>
                            <w:ilvl w:val="1"/>
                            <w:numId w:val="6"/>
                          </w:numPr>
                          <w:tabs>
                            <w:tab w:pos="616" w:val="left" w:leader="none"/>
                          </w:tabs>
                          <w:spacing w:line="240" w:lineRule="auto" w:before="115" w:after="0"/>
                          <w:ind w:left="615" w:right="0" w:hanging="303"/>
                          <w:jc w:val="left"/>
                          <w:rPr>
                            <w:sz w:val="15"/>
                          </w:rPr>
                        </w:pPr>
                        <w:r>
                          <w:rPr>
                            <w:spacing w:val="-3"/>
                            <w:sz w:val="15"/>
                          </w:rPr>
                          <w:t>诉讼时效</w:t>
                        </w:r>
                      </w:p>
                      <w:p>
                        <w:pPr>
                          <w:pStyle w:val="TableParagraph"/>
                          <w:spacing w:before="115"/>
                          <w:ind w:left="161"/>
                          <w:rPr>
                            <w:b/>
                            <w:sz w:val="15"/>
                          </w:rPr>
                        </w:pPr>
                        <w:r>
                          <w:rPr>
                            <w:b/>
                            <w:sz w:val="15"/>
                          </w:rPr>
                          <w:t>第五部分 合同效力的恢复</w:t>
                        </w:r>
                      </w:p>
                      <w:p>
                        <w:pPr>
                          <w:pStyle w:val="TableParagraph"/>
                          <w:spacing w:before="115"/>
                          <w:ind w:left="312"/>
                          <w:rPr>
                            <w:sz w:val="15"/>
                          </w:rPr>
                        </w:pPr>
                        <w:r>
                          <w:rPr>
                            <w:sz w:val="15"/>
                          </w:rPr>
                          <w:t>5.1 效力恢复</w:t>
                        </w:r>
                      </w:p>
                      <w:p>
                        <w:pPr>
                          <w:pStyle w:val="TableParagraph"/>
                          <w:spacing w:before="115"/>
                          <w:ind w:left="161"/>
                          <w:rPr>
                            <w:b/>
                            <w:sz w:val="15"/>
                          </w:rPr>
                        </w:pPr>
                        <w:r>
                          <w:rPr>
                            <w:b/>
                            <w:sz w:val="15"/>
                          </w:rPr>
                          <w:t>第六部分 如何解除保险合同</w:t>
                        </w:r>
                      </w:p>
                      <w:p>
                        <w:pPr>
                          <w:pStyle w:val="TableParagraph"/>
                          <w:spacing w:line="381" w:lineRule="auto" w:before="115"/>
                          <w:ind w:left="161" w:right="492" w:firstLine="151"/>
                          <w:rPr>
                            <w:b/>
                            <w:sz w:val="15"/>
                          </w:rPr>
                        </w:pPr>
                        <w:r>
                          <w:rPr>
                            <w:sz w:val="15"/>
                          </w:rPr>
                          <w:t>6.1 合同的解除及风险</w:t>
                        </w:r>
                        <w:r>
                          <w:rPr>
                            <w:b/>
                            <w:sz w:val="15"/>
                          </w:rPr>
                          <w:t>第七部分 其他重要事项</w:t>
                        </w:r>
                      </w:p>
                      <w:p>
                        <w:pPr>
                          <w:pStyle w:val="TableParagraph"/>
                          <w:numPr>
                            <w:ilvl w:val="1"/>
                            <w:numId w:val="7"/>
                          </w:numPr>
                          <w:tabs>
                            <w:tab w:pos="616" w:val="left" w:leader="none"/>
                          </w:tabs>
                          <w:spacing w:line="240" w:lineRule="auto" w:before="27" w:after="0"/>
                          <w:ind w:left="615" w:right="0" w:hanging="303"/>
                          <w:jc w:val="left"/>
                          <w:rPr>
                            <w:sz w:val="15"/>
                          </w:rPr>
                        </w:pPr>
                        <w:r>
                          <w:rPr>
                            <w:spacing w:val="-3"/>
                            <w:sz w:val="15"/>
                          </w:rPr>
                          <w:t>明确说明与如实告知</w:t>
                        </w:r>
                      </w:p>
                      <w:p>
                        <w:pPr>
                          <w:pStyle w:val="TableParagraph"/>
                          <w:numPr>
                            <w:ilvl w:val="1"/>
                            <w:numId w:val="7"/>
                          </w:numPr>
                          <w:tabs>
                            <w:tab w:pos="616" w:val="left" w:leader="none"/>
                          </w:tabs>
                          <w:spacing w:line="240" w:lineRule="auto" w:before="115" w:after="0"/>
                          <w:ind w:left="615" w:right="0" w:hanging="303"/>
                          <w:jc w:val="left"/>
                          <w:rPr>
                            <w:sz w:val="15"/>
                          </w:rPr>
                        </w:pPr>
                        <w:r>
                          <w:rPr>
                            <w:spacing w:val="-3"/>
                            <w:sz w:val="15"/>
                          </w:rPr>
                          <w:t>我们合同解除权的限制</w:t>
                        </w:r>
                      </w:p>
                      <w:p>
                        <w:pPr>
                          <w:pStyle w:val="TableParagraph"/>
                          <w:numPr>
                            <w:ilvl w:val="1"/>
                            <w:numId w:val="7"/>
                          </w:numPr>
                          <w:tabs>
                            <w:tab w:pos="616" w:val="left" w:leader="none"/>
                          </w:tabs>
                          <w:spacing w:line="240" w:lineRule="auto" w:before="115" w:after="0"/>
                          <w:ind w:left="615" w:right="0" w:hanging="303"/>
                          <w:jc w:val="left"/>
                          <w:rPr>
                            <w:sz w:val="15"/>
                          </w:rPr>
                        </w:pPr>
                        <w:r>
                          <w:rPr>
                            <w:spacing w:val="-3"/>
                            <w:sz w:val="15"/>
                          </w:rPr>
                          <w:t>年龄或性别错误</w:t>
                        </w:r>
                      </w:p>
                    </w:tc>
                    <w:tc>
                      <w:tcPr>
                        <w:tcW w:w="2637" w:type="dxa"/>
                        <w:tcBorders>
                          <w:left w:val="nil"/>
                          <w:right w:val="nil"/>
                        </w:tcBorders>
                      </w:tcPr>
                      <w:p>
                        <w:pPr>
                          <w:pStyle w:val="TableParagraph"/>
                          <w:numPr>
                            <w:ilvl w:val="1"/>
                            <w:numId w:val="8"/>
                          </w:numPr>
                          <w:tabs>
                            <w:tab w:pos="574" w:val="left" w:leader="none"/>
                          </w:tabs>
                          <w:spacing w:line="240" w:lineRule="auto" w:before="33" w:after="0"/>
                          <w:ind w:left="573" w:right="0" w:hanging="302"/>
                          <w:jc w:val="left"/>
                          <w:rPr>
                            <w:sz w:val="15"/>
                          </w:rPr>
                        </w:pPr>
                        <w:r>
                          <w:rPr>
                            <w:spacing w:val="-3"/>
                            <w:sz w:val="15"/>
                          </w:rPr>
                          <w:t>变更住所与通讯地址</w:t>
                        </w:r>
                      </w:p>
                      <w:p>
                        <w:pPr>
                          <w:pStyle w:val="TableParagraph"/>
                          <w:numPr>
                            <w:ilvl w:val="1"/>
                            <w:numId w:val="8"/>
                          </w:numPr>
                          <w:tabs>
                            <w:tab w:pos="574" w:val="left" w:leader="none"/>
                          </w:tabs>
                          <w:spacing w:line="240" w:lineRule="auto" w:before="115" w:after="0"/>
                          <w:ind w:left="573" w:right="0" w:hanging="302"/>
                          <w:jc w:val="left"/>
                          <w:rPr>
                            <w:sz w:val="15"/>
                          </w:rPr>
                        </w:pPr>
                        <w:r>
                          <w:rPr>
                            <w:spacing w:val="-3"/>
                            <w:sz w:val="15"/>
                          </w:rPr>
                          <w:t>合同内容变更</w:t>
                        </w:r>
                      </w:p>
                      <w:p>
                        <w:pPr>
                          <w:pStyle w:val="TableParagraph"/>
                          <w:numPr>
                            <w:ilvl w:val="1"/>
                            <w:numId w:val="8"/>
                          </w:numPr>
                          <w:tabs>
                            <w:tab w:pos="574" w:val="left" w:leader="none"/>
                          </w:tabs>
                          <w:spacing w:line="240" w:lineRule="auto" w:before="115" w:after="0"/>
                          <w:ind w:left="573" w:right="0" w:hanging="302"/>
                          <w:jc w:val="left"/>
                          <w:rPr>
                            <w:sz w:val="15"/>
                          </w:rPr>
                        </w:pPr>
                        <w:r>
                          <w:rPr>
                            <w:spacing w:val="-3"/>
                            <w:sz w:val="15"/>
                          </w:rPr>
                          <w:t>法律法规</w:t>
                        </w:r>
                      </w:p>
                      <w:p>
                        <w:pPr>
                          <w:pStyle w:val="TableParagraph"/>
                          <w:numPr>
                            <w:ilvl w:val="1"/>
                            <w:numId w:val="8"/>
                          </w:numPr>
                          <w:tabs>
                            <w:tab w:pos="574" w:val="left" w:leader="none"/>
                          </w:tabs>
                          <w:spacing w:line="240" w:lineRule="auto" w:before="115" w:after="0"/>
                          <w:ind w:left="573" w:right="0" w:hanging="302"/>
                          <w:jc w:val="left"/>
                          <w:rPr>
                            <w:sz w:val="15"/>
                          </w:rPr>
                        </w:pPr>
                        <w:r>
                          <w:rPr>
                            <w:spacing w:val="-3"/>
                            <w:sz w:val="15"/>
                          </w:rPr>
                          <w:t>争议处理</w:t>
                        </w:r>
                      </w:p>
                      <w:p>
                        <w:pPr>
                          <w:pStyle w:val="TableParagraph"/>
                          <w:spacing w:line="381" w:lineRule="auto" w:before="115"/>
                          <w:ind w:left="120" w:right="177"/>
                          <w:jc w:val="both"/>
                          <w:rPr>
                            <w:b/>
                            <w:sz w:val="15"/>
                          </w:rPr>
                        </w:pPr>
                        <w:r>
                          <w:rPr>
                            <w:b/>
                            <w:sz w:val="15"/>
                          </w:rPr>
                          <w:t>附录一 本合同承保的重大疾病列表附录二 本合同承保的轻症重疾列表释义</w:t>
                        </w:r>
                      </w:p>
                      <w:p>
                        <w:pPr>
                          <w:pStyle w:val="TableParagraph"/>
                          <w:numPr>
                            <w:ilvl w:val="0"/>
                            <w:numId w:val="9"/>
                          </w:numPr>
                          <w:tabs>
                            <w:tab w:pos="497" w:val="left" w:leader="none"/>
                          </w:tabs>
                          <w:spacing w:line="240" w:lineRule="auto" w:before="27" w:after="0"/>
                          <w:ind w:left="497" w:right="0" w:hanging="226"/>
                          <w:jc w:val="left"/>
                          <w:rPr>
                            <w:sz w:val="15"/>
                          </w:rPr>
                        </w:pPr>
                        <w:r>
                          <w:rPr>
                            <w:spacing w:val="-2"/>
                            <w:sz w:val="15"/>
                          </w:rPr>
                          <w:t>现金价值</w:t>
                        </w:r>
                      </w:p>
                      <w:p>
                        <w:pPr>
                          <w:pStyle w:val="TableParagraph"/>
                          <w:numPr>
                            <w:ilvl w:val="0"/>
                            <w:numId w:val="9"/>
                          </w:numPr>
                          <w:tabs>
                            <w:tab w:pos="497" w:val="left" w:leader="none"/>
                          </w:tabs>
                          <w:spacing w:line="240" w:lineRule="auto" w:before="115" w:after="0"/>
                          <w:ind w:left="497" w:right="0" w:hanging="226"/>
                          <w:jc w:val="left"/>
                          <w:rPr>
                            <w:sz w:val="15"/>
                          </w:rPr>
                        </w:pPr>
                        <w:r>
                          <w:rPr>
                            <w:spacing w:val="-3"/>
                            <w:sz w:val="15"/>
                          </w:rPr>
                          <w:t>保单生效日</w:t>
                        </w:r>
                      </w:p>
                      <w:p>
                        <w:pPr>
                          <w:pStyle w:val="TableParagraph"/>
                          <w:numPr>
                            <w:ilvl w:val="0"/>
                            <w:numId w:val="9"/>
                          </w:numPr>
                          <w:tabs>
                            <w:tab w:pos="497" w:val="left" w:leader="none"/>
                          </w:tabs>
                          <w:spacing w:line="240" w:lineRule="auto" w:before="115" w:after="0"/>
                          <w:ind w:left="497" w:right="0" w:hanging="226"/>
                          <w:jc w:val="left"/>
                          <w:rPr>
                            <w:sz w:val="15"/>
                          </w:rPr>
                        </w:pPr>
                        <w:r>
                          <w:rPr>
                            <w:spacing w:val="-3"/>
                            <w:sz w:val="15"/>
                          </w:rPr>
                          <w:t>保单周年日</w:t>
                        </w:r>
                      </w:p>
                      <w:p>
                        <w:pPr>
                          <w:pStyle w:val="TableParagraph"/>
                          <w:numPr>
                            <w:ilvl w:val="0"/>
                            <w:numId w:val="9"/>
                          </w:numPr>
                          <w:tabs>
                            <w:tab w:pos="497" w:val="left" w:leader="none"/>
                          </w:tabs>
                          <w:spacing w:line="240" w:lineRule="auto" w:before="115" w:after="0"/>
                          <w:ind w:left="497" w:right="0" w:hanging="226"/>
                          <w:jc w:val="left"/>
                          <w:rPr>
                            <w:sz w:val="15"/>
                          </w:rPr>
                        </w:pPr>
                        <w:r>
                          <w:rPr>
                            <w:spacing w:val="-2"/>
                            <w:sz w:val="15"/>
                          </w:rPr>
                          <w:t>保单年度</w:t>
                        </w:r>
                      </w:p>
                      <w:p>
                        <w:pPr>
                          <w:pStyle w:val="TableParagraph"/>
                          <w:numPr>
                            <w:ilvl w:val="0"/>
                            <w:numId w:val="9"/>
                          </w:numPr>
                          <w:tabs>
                            <w:tab w:pos="497" w:val="left" w:leader="none"/>
                          </w:tabs>
                          <w:spacing w:line="240" w:lineRule="auto" w:before="115" w:after="0"/>
                          <w:ind w:left="497" w:right="0" w:hanging="226"/>
                          <w:jc w:val="left"/>
                          <w:rPr>
                            <w:sz w:val="15"/>
                          </w:rPr>
                        </w:pPr>
                        <w:r>
                          <w:rPr>
                            <w:sz w:val="15"/>
                          </w:rPr>
                          <w:t>周岁</w:t>
                        </w:r>
                      </w:p>
                      <w:p>
                        <w:pPr>
                          <w:pStyle w:val="TableParagraph"/>
                          <w:numPr>
                            <w:ilvl w:val="0"/>
                            <w:numId w:val="9"/>
                          </w:numPr>
                          <w:tabs>
                            <w:tab w:pos="497" w:val="left" w:leader="none"/>
                          </w:tabs>
                          <w:spacing w:line="240" w:lineRule="auto" w:before="115" w:after="0"/>
                          <w:ind w:left="497" w:right="0" w:hanging="226"/>
                          <w:jc w:val="left"/>
                          <w:rPr>
                            <w:sz w:val="15"/>
                          </w:rPr>
                        </w:pPr>
                        <w:r>
                          <w:rPr>
                            <w:spacing w:val="-2"/>
                            <w:sz w:val="15"/>
                          </w:rPr>
                          <w:t>满期日</w:t>
                        </w:r>
                      </w:p>
                      <w:p>
                        <w:pPr>
                          <w:pStyle w:val="TableParagraph"/>
                          <w:numPr>
                            <w:ilvl w:val="0"/>
                            <w:numId w:val="9"/>
                          </w:numPr>
                          <w:tabs>
                            <w:tab w:pos="497" w:val="left" w:leader="none"/>
                          </w:tabs>
                          <w:spacing w:line="240" w:lineRule="auto" w:before="116" w:after="0"/>
                          <w:ind w:left="497" w:right="0" w:hanging="226"/>
                          <w:jc w:val="left"/>
                          <w:rPr>
                            <w:sz w:val="15"/>
                          </w:rPr>
                        </w:pPr>
                        <w:r>
                          <w:rPr>
                            <w:sz w:val="15"/>
                          </w:rPr>
                          <w:t>全残</w:t>
                        </w:r>
                      </w:p>
                      <w:p>
                        <w:pPr>
                          <w:pStyle w:val="TableParagraph"/>
                          <w:numPr>
                            <w:ilvl w:val="0"/>
                            <w:numId w:val="9"/>
                          </w:numPr>
                          <w:tabs>
                            <w:tab w:pos="497" w:val="left" w:leader="none"/>
                          </w:tabs>
                          <w:spacing w:line="240" w:lineRule="auto" w:before="116" w:after="0"/>
                          <w:ind w:left="497" w:right="0" w:hanging="226"/>
                          <w:jc w:val="left"/>
                          <w:rPr>
                            <w:sz w:val="15"/>
                          </w:rPr>
                        </w:pPr>
                        <w:r>
                          <w:rPr>
                            <w:spacing w:val="-3"/>
                            <w:sz w:val="15"/>
                          </w:rPr>
                          <w:t>终末期疾病</w:t>
                        </w:r>
                      </w:p>
                      <w:p>
                        <w:pPr>
                          <w:pStyle w:val="TableParagraph"/>
                          <w:numPr>
                            <w:ilvl w:val="0"/>
                            <w:numId w:val="9"/>
                          </w:numPr>
                          <w:tabs>
                            <w:tab w:pos="497" w:val="left" w:leader="none"/>
                          </w:tabs>
                          <w:spacing w:line="240" w:lineRule="auto" w:before="116" w:after="0"/>
                          <w:ind w:left="497" w:right="0" w:hanging="226"/>
                          <w:jc w:val="left"/>
                          <w:rPr>
                            <w:sz w:val="15"/>
                          </w:rPr>
                        </w:pPr>
                        <w:r>
                          <w:rPr>
                            <w:spacing w:val="-3"/>
                            <w:sz w:val="15"/>
                          </w:rPr>
                          <w:t>基本保险金额</w:t>
                        </w:r>
                      </w:p>
                      <w:p>
                        <w:pPr>
                          <w:pStyle w:val="TableParagraph"/>
                          <w:spacing w:before="116"/>
                          <w:ind w:left="271"/>
                          <w:rPr>
                            <w:sz w:val="15"/>
                          </w:rPr>
                        </w:pPr>
                        <w:r>
                          <w:rPr>
                            <w:sz w:val="15"/>
                          </w:rPr>
                          <w:t>10.医院</w:t>
                        </w:r>
                      </w:p>
                    </w:tc>
                    <w:tc>
                      <w:tcPr>
                        <w:tcW w:w="2192" w:type="dxa"/>
                        <w:tcBorders>
                          <w:left w:val="nil"/>
                        </w:tcBorders>
                      </w:tcPr>
                      <w:p>
                        <w:pPr>
                          <w:pStyle w:val="TableParagraph"/>
                          <w:numPr>
                            <w:ilvl w:val="0"/>
                            <w:numId w:val="10"/>
                          </w:numPr>
                          <w:tabs>
                            <w:tab w:pos="489" w:val="left" w:leader="none"/>
                          </w:tabs>
                          <w:spacing w:line="240" w:lineRule="auto" w:before="33" w:after="0"/>
                          <w:ind w:left="495" w:right="0" w:hanging="309"/>
                          <w:jc w:val="left"/>
                          <w:rPr>
                            <w:sz w:val="15"/>
                          </w:rPr>
                        </w:pPr>
                        <w:r>
                          <w:rPr>
                            <w:spacing w:val="-3"/>
                            <w:sz w:val="15"/>
                          </w:rPr>
                          <w:t>专科医生</w:t>
                        </w:r>
                      </w:p>
                      <w:p>
                        <w:pPr>
                          <w:pStyle w:val="TableParagraph"/>
                          <w:numPr>
                            <w:ilvl w:val="0"/>
                            <w:numId w:val="10"/>
                          </w:numPr>
                          <w:tabs>
                            <w:tab w:pos="489" w:val="left" w:leader="none"/>
                          </w:tabs>
                          <w:spacing w:line="240" w:lineRule="auto" w:before="115" w:after="0"/>
                          <w:ind w:left="495" w:right="0" w:hanging="309"/>
                          <w:jc w:val="left"/>
                          <w:rPr>
                            <w:sz w:val="15"/>
                          </w:rPr>
                        </w:pPr>
                        <w:r>
                          <w:rPr>
                            <w:spacing w:val="-3"/>
                            <w:sz w:val="15"/>
                          </w:rPr>
                          <w:t>意外事故</w:t>
                        </w:r>
                      </w:p>
                      <w:p>
                        <w:pPr>
                          <w:pStyle w:val="TableParagraph"/>
                          <w:numPr>
                            <w:ilvl w:val="0"/>
                            <w:numId w:val="10"/>
                          </w:numPr>
                          <w:tabs>
                            <w:tab w:pos="489" w:val="left" w:leader="none"/>
                          </w:tabs>
                          <w:spacing w:line="240" w:lineRule="auto" w:before="115" w:after="0"/>
                          <w:ind w:left="495" w:right="0" w:hanging="309"/>
                          <w:jc w:val="left"/>
                          <w:rPr>
                            <w:sz w:val="15"/>
                          </w:rPr>
                        </w:pPr>
                        <w:r>
                          <w:rPr>
                            <w:spacing w:val="-3"/>
                            <w:sz w:val="15"/>
                          </w:rPr>
                          <w:t>自杀</w:t>
                        </w:r>
                      </w:p>
                      <w:p>
                        <w:pPr>
                          <w:pStyle w:val="TableParagraph"/>
                          <w:numPr>
                            <w:ilvl w:val="0"/>
                            <w:numId w:val="10"/>
                          </w:numPr>
                          <w:tabs>
                            <w:tab w:pos="489" w:val="left" w:leader="none"/>
                          </w:tabs>
                          <w:spacing w:line="240" w:lineRule="auto" w:before="115" w:after="0"/>
                          <w:ind w:left="495" w:right="0" w:hanging="309"/>
                          <w:jc w:val="left"/>
                          <w:rPr>
                            <w:sz w:val="15"/>
                          </w:rPr>
                        </w:pPr>
                        <w:r>
                          <w:rPr>
                            <w:spacing w:val="-3"/>
                            <w:sz w:val="15"/>
                          </w:rPr>
                          <w:t>毒品</w:t>
                        </w:r>
                      </w:p>
                      <w:p>
                        <w:pPr>
                          <w:pStyle w:val="TableParagraph"/>
                          <w:numPr>
                            <w:ilvl w:val="0"/>
                            <w:numId w:val="10"/>
                          </w:numPr>
                          <w:tabs>
                            <w:tab w:pos="489" w:val="left" w:leader="none"/>
                          </w:tabs>
                          <w:spacing w:line="240" w:lineRule="auto" w:before="115" w:after="0"/>
                          <w:ind w:left="495" w:right="0" w:hanging="309"/>
                          <w:jc w:val="left"/>
                          <w:rPr>
                            <w:sz w:val="15"/>
                          </w:rPr>
                        </w:pPr>
                        <w:r>
                          <w:rPr>
                            <w:spacing w:val="-3"/>
                            <w:sz w:val="15"/>
                          </w:rPr>
                          <w:t>酒后驾驶</w:t>
                        </w:r>
                      </w:p>
                      <w:p>
                        <w:pPr>
                          <w:pStyle w:val="TableParagraph"/>
                          <w:numPr>
                            <w:ilvl w:val="0"/>
                            <w:numId w:val="10"/>
                          </w:numPr>
                          <w:tabs>
                            <w:tab w:pos="489" w:val="left" w:leader="none"/>
                          </w:tabs>
                          <w:spacing w:line="240" w:lineRule="auto" w:before="115" w:after="0"/>
                          <w:ind w:left="495" w:right="0" w:hanging="309"/>
                          <w:jc w:val="left"/>
                          <w:rPr>
                            <w:sz w:val="15"/>
                          </w:rPr>
                        </w:pPr>
                        <w:r>
                          <w:rPr>
                            <w:spacing w:val="-3"/>
                            <w:sz w:val="15"/>
                          </w:rPr>
                          <w:t>无合法有效驾驶证驾驶</w:t>
                        </w:r>
                      </w:p>
                      <w:p>
                        <w:pPr>
                          <w:pStyle w:val="TableParagraph"/>
                          <w:numPr>
                            <w:ilvl w:val="0"/>
                            <w:numId w:val="10"/>
                          </w:numPr>
                          <w:tabs>
                            <w:tab w:pos="489" w:val="left" w:leader="none"/>
                          </w:tabs>
                          <w:spacing w:line="240" w:lineRule="auto" w:before="115" w:after="0"/>
                          <w:ind w:left="495" w:right="0" w:hanging="309"/>
                          <w:jc w:val="left"/>
                          <w:rPr>
                            <w:sz w:val="15"/>
                          </w:rPr>
                        </w:pPr>
                        <w:r>
                          <w:rPr>
                            <w:spacing w:val="-3"/>
                            <w:sz w:val="15"/>
                          </w:rPr>
                          <w:t>无有效行驶证</w:t>
                        </w:r>
                      </w:p>
                      <w:p>
                        <w:pPr>
                          <w:pStyle w:val="TableParagraph"/>
                          <w:numPr>
                            <w:ilvl w:val="0"/>
                            <w:numId w:val="10"/>
                          </w:numPr>
                          <w:tabs>
                            <w:tab w:pos="498" w:val="left" w:leader="none"/>
                          </w:tabs>
                          <w:spacing w:line="381" w:lineRule="auto" w:before="115" w:after="0"/>
                          <w:ind w:left="495" w:right="97" w:hanging="309"/>
                          <w:jc w:val="left"/>
                          <w:rPr>
                            <w:sz w:val="15"/>
                          </w:rPr>
                        </w:pPr>
                        <w:r>
                          <w:rPr>
                            <w:spacing w:val="5"/>
                            <w:sz w:val="15"/>
                          </w:rPr>
                          <w:t>患艾滋病或感染艾滋病病毒</w:t>
                        </w:r>
                      </w:p>
                      <w:p>
                        <w:pPr>
                          <w:pStyle w:val="TableParagraph"/>
                          <w:numPr>
                            <w:ilvl w:val="0"/>
                            <w:numId w:val="10"/>
                          </w:numPr>
                          <w:tabs>
                            <w:tab w:pos="489" w:val="left" w:leader="none"/>
                          </w:tabs>
                          <w:spacing w:line="240" w:lineRule="auto" w:before="26" w:after="0"/>
                          <w:ind w:left="495" w:right="0" w:hanging="309"/>
                          <w:jc w:val="left"/>
                          <w:rPr>
                            <w:sz w:val="15"/>
                          </w:rPr>
                        </w:pPr>
                        <w:r>
                          <w:rPr>
                            <w:spacing w:val="-3"/>
                            <w:sz w:val="15"/>
                          </w:rPr>
                          <w:t>遗传性疾病</w:t>
                        </w:r>
                      </w:p>
                      <w:p>
                        <w:pPr>
                          <w:pStyle w:val="TableParagraph"/>
                          <w:numPr>
                            <w:ilvl w:val="0"/>
                            <w:numId w:val="10"/>
                          </w:numPr>
                          <w:tabs>
                            <w:tab w:pos="489" w:val="left" w:leader="none"/>
                          </w:tabs>
                          <w:spacing w:line="381" w:lineRule="auto" w:before="115" w:after="0"/>
                          <w:ind w:left="495" w:right="95" w:hanging="309"/>
                          <w:jc w:val="left"/>
                          <w:rPr>
                            <w:sz w:val="15"/>
                          </w:rPr>
                        </w:pPr>
                        <w:r>
                          <w:rPr>
                            <w:spacing w:val="-9"/>
                            <w:sz w:val="15"/>
                          </w:rPr>
                          <w:t>先天性畸形、变形或染色体异常</w:t>
                        </w:r>
                      </w:p>
                      <w:p>
                        <w:pPr>
                          <w:pStyle w:val="TableParagraph"/>
                          <w:numPr>
                            <w:ilvl w:val="0"/>
                            <w:numId w:val="10"/>
                          </w:numPr>
                          <w:tabs>
                            <w:tab w:pos="489" w:val="left" w:leader="none"/>
                          </w:tabs>
                          <w:spacing w:line="240" w:lineRule="auto" w:before="27" w:after="0"/>
                          <w:ind w:left="495" w:right="0" w:hanging="309"/>
                          <w:jc w:val="left"/>
                          <w:rPr>
                            <w:sz w:val="15"/>
                          </w:rPr>
                        </w:pPr>
                        <w:r>
                          <w:rPr>
                            <w:spacing w:val="-3"/>
                            <w:sz w:val="15"/>
                          </w:rPr>
                          <w:t>保单欠款</w:t>
                        </w:r>
                      </w:p>
                      <w:p>
                        <w:pPr>
                          <w:pStyle w:val="TableParagraph"/>
                          <w:numPr>
                            <w:ilvl w:val="0"/>
                            <w:numId w:val="10"/>
                          </w:numPr>
                          <w:tabs>
                            <w:tab w:pos="489" w:val="left" w:leader="none"/>
                          </w:tabs>
                          <w:spacing w:line="240" w:lineRule="auto" w:before="116" w:after="0"/>
                          <w:ind w:left="495" w:right="0" w:hanging="309"/>
                          <w:jc w:val="left"/>
                          <w:rPr>
                            <w:sz w:val="15"/>
                          </w:rPr>
                        </w:pPr>
                        <w:r>
                          <w:rPr>
                            <w:spacing w:val="-3"/>
                            <w:sz w:val="15"/>
                          </w:rPr>
                          <w:t>利息</w:t>
                        </w:r>
                      </w:p>
                      <w:p>
                        <w:pPr>
                          <w:pStyle w:val="TableParagraph"/>
                          <w:numPr>
                            <w:ilvl w:val="0"/>
                            <w:numId w:val="10"/>
                          </w:numPr>
                          <w:tabs>
                            <w:tab w:pos="489" w:val="left" w:leader="none"/>
                          </w:tabs>
                          <w:spacing w:line="240" w:lineRule="auto" w:before="115" w:after="0"/>
                          <w:ind w:left="495" w:right="0" w:hanging="309"/>
                          <w:jc w:val="left"/>
                          <w:rPr>
                            <w:sz w:val="15"/>
                          </w:rPr>
                        </w:pPr>
                        <w:r>
                          <w:rPr>
                            <w:spacing w:val="-3"/>
                            <w:sz w:val="15"/>
                          </w:rPr>
                          <w:t>肢体机能完全丧失</w:t>
                        </w:r>
                      </w:p>
                      <w:p>
                        <w:pPr>
                          <w:pStyle w:val="TableParagraph"/>
                          <w:numPr>
                            <w:ilvl w:val="0"/>
                            <w:numId w:val="10"/>
                          </w:numPr>
                          <w:tabs>
                            <w:tab w:pos="498" w:val="left" w:leader="none"/>
                          </w:tabs>
                          <w:spacing w:line="381" w:lineRule="auto" w:before="115" w:after="0"/>
                          <w:ind w:left="495" w:right="97" w:hanging="309"/>
                          <w:jc w:val="left"/>
                          <w:rPr>
                            <w:sz w:val="15"/>
                          </w:rPr>
                        </w:pPr>
                        <w:r>
                          <w:rPr>
                            <w:spacing w:val="5"/>
                            <w:sz w:val="15"/>
                          </w:rPr>
                          <w:t>语言能力或咀嚼吞咽能</w:t>
                        </w:r>
                        <w:r>
                          <w:rPr>
                            <w:sz w:val="15"/>
                          </w:rPr>
                          <w:t>力完全丧失</w:t>
                        </w:r>
                      </w:p>
                      <w:p>
                        <w:pPr>
                          <w:pStyle w:val="TableParagraph"/>
                          <w:numPr>
                            <w:ilvl w:val="0"/>
                            <w:numId w:val="10"/>
                          </w:numPr>
                          <w:tabs>
                            <w:tab w:pos="489" w:val="left" w:leader="none"/>
                          </w:tabs>
                          <w:spacing w:line="240" w:lineRule="auto" w:before="27" w:after="0"/>
                          <w:ind w:left="495" w:right="0" w:hanging="309"/>
                          <w:jc w:val="left"/>
                          <w:rPr>
                            <w:sz w:val="15"/>
                          </w:rPr>
                        </w:pPr>
                        <w:r>
                          <w:rPr>
                            <w:spacing w:val="-3"/>
                            <w:sz w:val="15"/>
                          </w:rPr>
                          <w:t>六项基本日常生活活动</w:t>
                        </w:r>
                      </w:p>
                      <w:p>
                        <w:pPr>
                          <w:pStyle w:val="TableParagraph"/>
                          <w:numPr>
                            <w:ilvl w:val="0"/>
                            <w:numId w:val="10"/>
                          </w:numPr>
                          <w:tabs>
                            <w:tab w:pos="489" w:val="left" w:leader="none"/>
                          </w:tabs>
                          <w:spacing w:line="240" w:lineRule="auto" w:before="116" w:after="0"/>
                          <w:ind w:left="495" w:right="0" w:hanging="309"/>
                          <w:jc w:val="left"/>
                          <w:rPr>
                            <w:sz w:val="15"/>
                          </w:rPr>
                        </w:pPr>
                        <w:r>
                          <w:rPr>
                            <w:spacing w:val="-3"/>
                            <w:sz w:val="15"/>
                          </w:rPr>
                          <w:t>永久不可逆</w:t>
                        </w:r>
                      </w:p>
                    </w:tc>
                  </w:tr>
                </w:tbl>
                <w:p>
                  <w:pPr>
                    <w:pStyle w:val="BodyText"/>
                  </w:pPr>
                </w:p>
              </w:txbxContent>
            </v:textbox>
            <w10:wrap type="none"/>
          </v:shape>
        </w:pict>
      </w:r>
      <w:r>
        <w:rPr>
          <w:w w:val="95"/>
        </w:rPr>
        <w:t>条款是保险合同的重要内容，为充分保障您的权益，请您仔细阅读本条款。  </w:t>
      </w:r>
      <w:r>
        <w:rPr/>
        <w:t>条款目录</w:t>
      </w:r>
    </w:p>
    <w:p>
      <w:pPr>
        <w:spacing w:after="0" w:line="571" w:lineRule="auto"/>
        <w:sectPr>
          <w:type w:val="continuous"/>
          <w:pgSz w:w="11910" w:h="16840"/>
          <w:pgMar w:top="640" w:bottom="1020" w:left="880" w:right="920"/>
        </w:sectPr>
      </w:pPr>
    </w:p>
    <w:p>
      <w:pPr>
        <w:spacing w:line="487" w:lineRule="exact" w:before="0"/>
        <w:ind w:left="2717" w:right="0" w:firstLine="0"/>
        <w:jc w:val="left"/>
        <w:rPr>
          <w:b/>
          <w:sz w:val="40"/>
        </w:rPr>
      </w:pPr>
      <w:r>
        <w:rPr>
          <w:b/>
          <w:w w:val="95"/>
          <w:sz w:val="40"/>
        </w:rPr>
        <w:t>中德安联人寿保险有限公司</w:t>
      </w:r>
    </w:p>
    <w:p>
      <w:pPr>
        <w:pStyle w:val="BodyText"/>
        <w:spacing w:before="1"/>
        <w:rPr>
          <w:b/>
          <w:sz w:val="39"/>
        </w:rPr>
      </w:pPr>
    </w:p>
    <w:p>
      <w:pPr>
        <w:spacing w:before="1"/>
        <w:ind w:left="2736" w:right="0" w:firstLine="0"/>
        <w:jc w:val="left"/>
        <w:rPr>
          <w:b/>
          <w:sz w:val="28"/>
        </w:rPr>
      </w:pPr>
      <w:r>
        <w:rPr>
          <w:b/>
          <w:sz w:val="28"/>
        </w:rPr>
        <w:t>安联安康长泰 A 长期重大疾病保险条款</w:t>
      </w:r>
    </w:p>
    <w:p>
      <w:pPr>
        <w:pStyle w:val="BodyText"/>
        <w:spacing w:before="2"/>
        <w:rPr>
          <w:b/>
          <w:sz w:val="36"/>
        </w:rPr>
      </w:pPr>
    </w:p>
    <w:p>
      <w:pPr>
        <w:pStyle w:val="Heading2"/>
        <w:spacing w:before="0"/>
      </w:pPr>
      <w:r>
        <w:rPr>
          <w:w w:val="95"/>
          <w:u w:val="single"/>
        </w:rPr>
        <w:t>请您务必仔细阅读本条款，并特别关注加粗字体部分。</w:t>
      </w:r>
    </w:p>
    <w:p>
      <w:pPr>
        <w:spacing w:before="50"/>
        <w:ind w:left="292" w:right="0" w:firstLine="0"/>
        <w:jc w:val="left"/>
        <w:rPr>
          <w:b/>
          <w:sz w:val="20"/>
        </w:rPr>
      </w:pPr>
      <w:r>
        <w:rPr>
          <w:b/>
          <w:w w:val="95"/>
          <w:sz w:val="20"/>
        </w:rPr>
        <w:t>在本条款中，“您”指投保人，“我们”指中德安联人寿保险有限公司。</w:t>
      </w:r>
    </w:p>
    <w:p>
      <w:pPr>
        <w:spacing w:before="50"/>
        <w:ind w:left="292" w:right="0" w:firstLine="0"/>
        <w:jc w:val="left"/>
        <w:rPr>
          <w:b/>
          <w:sz w:val="20"/>
        </w:rPr>
      </w:pPr>
      <w:r>
        <w:rPr>
          <w:b/>
          <w:w w:val="95"/>
          <w:sz w:val="20"/>
        </w:rPr>
        <w:t>本条款中带有右上标标注的用词具有特定含义，您可参阅本条款尾部的“释义”获取相关解释。</w:t>
      </w:r>
    </w:p>
    <w:p>
      <w:pPr>
        <w:pStyle w:val="BodyText"/>
        <w:rPr>
          <w:b/>
        </w:rPr>
      </w:pPr>
    </w:p>
    <w:p>
      <w:pPr>
        <w:pStyle w:val="BodyText"/>
        <w:spacing w:before="5"/>
        <w:rPr>
          <w:b/>
          <w:sz w:val="12"/>
        </w:r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76"/>
        <w:gridCol w:w="1731"/>
        <w:gridCol w:w="7940"/>
      </w:tblGrid>
      <w:tr>
        <w:trPr>
          <w:trHeight w:val="257" w:hRule="atLeast"/>
        </w:trPr>
        <w:tc>
          <w:tcPr>
            <w:tcW w:w="10247" w:type="dxa"/>
            <w:gridSpan w:val="3"/>
            <w:tcBorders>
              <w:bottom w:val="single" w:sz="4" w:space="0" w:color="000000"/>
            </w:tcBorders>
          </w:tcPr>
          <w:p>
            <w:pPr>
              <w:pStyle w:val="TableParagraph"/>
              <w:tabs>
                <w:tab w:pos="1469" w:val="left" w:leader="none"/>
              </w:tabs>
              <w:spacing w:line="199" w:lineRule="exact"/>
              <w:ind w:left="287"/>
              <w:rPr>
                <w:b/>
                <w:sz w:val="20"/>
              </w:rPr>
            </w:pPr>
            <w:r>
              <w:rPr>
                <w:b/>
                <w:sz w:val="20"/>
              </w:rPr>
              <w:t>第一部分</w:t>
              <w:tab/>
            </w:r>
            <w:r>
              <w:rPr>
                <w:b/>
                <w:w w:val="95"/>
                <w:sz w:val="20"/>
              </w:rPr>
              <w:t>您与我们的合同</w:t>
            </w:r>
          </w:p>
        </w:tc>
      </w:tr>
      <w:tr>
        <w:trPr>
          <w:trHeight w:val="1792" w:hRule="atLeast"/>
        </w:trPr>
        <w:tc>
          <w:tcPr>
            <w:tcW w:w="576" w:type="dxa"/>
            <w:tcBorders>
              <w:top w:val="single" w:sz="4" w:space="0" w:color="000000"/>
            </w:tcBorders>
          </w:tcPr>
          <w:p>
            <w:pPr>
              <w:pStyle w:val="TableParagraph"/>
              <w:spacing w:before="148"/>
              <w:ind w:left="107"/>
              <w:rPr>
                <w:b/>
                <w:sz w:val="20"/>
              </w:rPr>
            </w:pPr>
            <w:r>
              <w:rPr>
                <w:b/>
                <w:sz w:val="20"/>
              </w:rPr>
              <w:t>1.1</w:t>
            </w:r>
          </w:p>
        </w:tc>
        <w:tc>
          <w:tcPr>
            <w:tcW w:w="1731" w:type="dxa"/>
            <w:tcBorders>
              <w:top w:val="single" w:sz="4" w:space="0" w:color="000000"/>
            </w:tcBorders>
          </w:tcPr>
          <w:p>
            <w:pPr>
              <w:pStyle w:val="TableParagraph"/>
              <w:spacing w:before="148"/>
              <w:ind w:left="194"/>
              <w:rPr>
                <w:b/>
                <w:sz w:val="20"/>
              </w:rPr>
            </w:pPr>
            <w:r>
              <w:rPr>
                <w:b/>
                <w:w w:val="95"/>
                <w:sz w:val="20"/>
              </w:rPr>
              <w:t>保险合同的构成</w:t>
            </w:r>
          </w:p>
        </w:tc>
        <w:tc>
          <w:tcPr>
            <w:tcW w:w="7940" w:type="dxa"/>
            <w:tcBorders>
              <w:top w:val="single" w:sz="4" w:space="0" w:color="000000"/>
            </w:tcBorders>
          </w:tcPr>
          <w:p>
            <w:pPr>
              <w:pStyle w:val="TableParagraph"/>
              <w:spacing w:line="285" w:lineRule="auto" w:before="148"/>
              <w:ind w:left="110" w:right="76"/>
              <w:jc w:val="both"/>
              <w:rPr>
                <w:sz w:val="20"/>
              </w:rPr>
            </w:pPr>
            <w:r>
              <w:rPr>
                <w:spacing w:val="-9"/>
                <w:sz w:val="20"/>
              </w:rPr>
              <w:t>本《安联安康长泰 </w:t>
            </w:r>
            <w:r>
              <w:rPr>
                <w:sz w:val="20"/>
              </w:rPr>
              <w:t>A</w:t>
            </w:r>
            <w:r>
              <w:rPr>
                <w:spacing w:val="-10"/>
                <w:sz w:val="20"/>
              </w:rPr>
              <w:t> 长期重大疾病保险》合同</w:t>
            </w:r>
            <w:r>
              <w:rPr>
                <w:sz w:val="20"/>
              </w:rPr>
              <w:t>（</w:t>
            </w:r>
            <w:r>
              <w:rPr>
                <w:spacing w:val="-4"/>
                <w:sz w:val="20"/>
              </w:rPr>
              <w:t>以下简称“本合同”</w:t>
            </w:r>
            <w:r>
              <w:rPr>
                <w:spacing w:val="-11"/>
                <w:sz w:val="20"/>
              </w:rPr>
              <w:t>）</w:t>
            </w:r>
            <w:r>
              <w:rPr>
                <w:spacing w:val="-2"/>
                <w:sz w:val="20"/>
              </w:rPr>
              <w:t>由本合同条款、保</w:t>
            </w:r>
            <w:r>
              <w:rPr>
                <w:spacing w:val="-2"/>
                <w:w w:val="95"/>
                <w:sz w:val="20"/>
              </w:rPr>
              <w:t>险单或其他保险凭证、</w:t>
            </w:r>
            <w:r>
              <w:rPr>
                <w:b/>
                <w:w w:val="95"/>
                <w:sz w:val="20"/>
              </w:rPr>
              <w:t>现金价值</w:t>
            </w:r>
            <w:r>
              <w:rPr>
                <w:b/>
                <w:w w:val="95"/>
                <w:position w:val="10"/>
                <w:sz w:val="10"/>
              </w:rPr>
              <w:t>[1]</w:t>
            </w:r>
            <w:r>
              <w:rPr>
                <w:w w:val="95"/>
                <w:sz w:val="20"/>
              </w:rPr>
              <w:t>表、投保单或其他投保文件、合法有效的声明、批注、   附贴批单及其他书面协议构成。</w:t>
            </w:r>
          </w:p>
          <w:p>
            <w:pPr>
              <w:pStyle w:val="TableParagraph"/>
              <w:spacing w:line="285" w:lineRule="auto" w:before="12"/>
              <w:ind w:left="110" w:right="108"/>
              <w:jc w:val="both"/>
              <w:rPr>
                <w:sz w:val="20"/>
              </w:rPr>
            </w:pPr>
            <w:r>
              <w:rPr>
                <w:spacing w:val="-4"/>
                <w:w w:val="95"/>
                <w:sz w:val="20"/>
              </w:rPr>
              <w:t>若上述构成本合同的文件正本须留我们处存档，其复印件或电子影像印刷件的效力与正本   相同；若复印件或电子影像印刷件的内容与正本不同，以正本为准。</w:t>
            </w:r>
          </w:p>
        </w:tc>
      </w:tr>
      <w:tr>
        <w:trPr>
          <w:trHeight w:val="1083" w:hRule="atLeast"/>
        </w:trPr>
        <w:tc>
          <w:tcPr>
            <w:tcW w:w="576" w:type="dxa"/>
          </w:tcPr>
          <w:p>
            <w:pPr>
              <w:pStyle w:val="TableParagraph"/>
              <w:spacing w:before="72"/>
              <w:ind w:left="107"/>
              <w:rPr>
                <w:b/>
                <w:sz w:val="20"/>
              </w:rPr>
            </w:pPr>
            <w:r>
              <w:rPr>
                <w:b/>
                <w:sz w:val="20"/>
              </w:rPr>
              <w:t>1.2</w:t>
            </w:r>
          </w:p>
        </w:tc>
        <w:tc>
          <w:tcPr>
            <w:tcW w:w="1731" w:type="dxa"/>
          </w:tcPr>
          <w:p>
            <w:pPr>
              <w:pStyle w:val="TableParagraph"/>
              <w:spacing w:line="285" w:lineRule="auto" w:before="72"/>
              <w:ind w:left="194" w:right="107"/>
              <w:rPr>
                <w:b/>
                <w:sz w:val="20"/>
              </w:rPr>
            </w:pPr>
            <w:r>
              <w:rPr>
                <w:b/>
                <w:w w:val="95"/>
                <w:sz w:val="20"/>
              </w:rPr>
              <w:t>保险合同成立与</w:t>
            </w:r>
            <w:r>
              <w:rPr>
                <w:b/>
                <w:sz w:val="20"/>
              </w:rPr>
              <w:t>生效</w:t>
            </w:r>
          </w:p>
        </w:tc>
        <w:tc>
          <w:tcPr>
            <w:tcW w:w="7940" w:type="dxa"/>
          </w:tcPr>
          <w:p>
            <w:pPr>
              <w:pStyle w:val="TableParagraph"/>
              <w:spacing w:before="72"/>
              <w:ind w:left="110"/>
              <w:rPr>
                <w:sz w:val="20"/>
              </w:rPr>
            </w:pPr>
            <w:r>
              <w:rPr>
                <w:w w:val="95"/>
                <w:sz w:val="20"/>
              </w:rPr>
              <w:t>您提出保险申请，我们同意承保，本合同成立。</w:t>
            </w:r>
          </w:p>
          <w:p>
            <w:pPr>
              <w:pStyle w:val="TableParagraph"/>
              <w:spacing w:line="285" w:lineRule="auto" w:before="50"/>
              <w:ind w:left="110" w:right="46"/>
              <w:rPr>
                <w:sz w:val="20"/>
              </w:rPr>
            </w:pPr>
            <w:r>
              <w:rPr>
                <w:b/>
                <w:sz w:val="20"/>
              </w:rPr>
              <w:t>保单生效日</w:t>
            </w:r>
            <w:r>
              <w:rPr>
                <w:b/>
                <w:position w:val="10"/>
                <w:sz w:val="10"/>
              </w:rPr>
              <w:t>[2]</w:t>
            </w:r>
            <w:r>
              <w:rPr>
                <w:sz w:val="20"/>
              </w:rPr>
              <w:t>在保险单上载明。</w:t>
            </w:r>
            <w:r>
              <w:rPr>
                <w:b/>
                <w:sz w:val="20"/>
              </w:rPr>
              <w:t>保单周年日</w:t>
            </w:r>
            <w:r>
              <w:rPr>
                <w:b/>
                <w:position w:val="10"/>
                <w:sz w:val="10"/>
              </w:rPr>
              <w:t>[3] </w:t>
            </w:r>
            <w:r>
              <w:rPr>
                <w:sz w:val="20"/>
              </w:rPr>
              <w:t>、</w:t>
            </w:r>
            <w:r>
              <w:rPr>
                <w:b/>
                <w:sz w:val="20"/>
              </w:rPr>
              <w:t>保单年度</w:t>
            </w:r>
            <w:r>
              <w:rPr>
                <w:b/>
                <w:position w:val="10"/>
                <w:sz w:val="10"/>
              </w:rPr>
              <w:t>[4] </w:t>
            </w:r>
            <w:r>
              <w:rPr>
                <w:sz w:val="20"/>
              </w:rPr>
              <w:t>、保险费约定支付日均以该日</w:t>
            </w:r>
            <w:r>
              <w:rPr>
                <w:w w:val="95"/>
                <w:sz w:val="20"/>
              </w:rPr>
              <w:t>期计算。</w:t>
            </w:r>
          </w:p>
        </w:tc>
      </w:tr>
      <w:tr>
        <w:trPr>
          <w:trHeight w:val="788" w:hRule="atLeast"/>
        </w:trPr>
        <w:tc>
          <w:tcPr>
            <w:tcW w:w="576" w:type="dxa"/>
          </w:tcPr>
          <w:p>
            <w:pPr>
              <w:pStyle w:val="TableParagraph"/>
              <w:spacing w:before="80"/>
              <w:ind w:left="107"/>
              <w:rPr>
                <w:b/>
                <w:sz w:val="20"/>
              </w:rPr>
            </w:pPr>
            <w:r>
              <w:rPr>
                <w:b/>
                <w:sz w:val="20"/>
              </w:rPr>
              <w:t>1.3</w:t>
            </w:r>
          </w:p>
        </w:tc>
        <w:tc>
          <w:tcPr>
            <w:tcW w:w="1731" w:type="dxa"/>
          </w:tcPr>
          <w:p>
            <w:pPr>
              <w:pStyle w:val="TableParagraph"/>
              <w:spacing w:before="80"/>
              <w:ind w:left="194"/>
              <w:rPr>
                <w:b/>
                <w:sz w:val="20"/>
              </w:rPr>
            </w:pPr>
            <w:r>
              <w:rPr>
                <w:b/>
                <w:sz w:val="20"/>
              </w:rPr>
              <w:t>投保范围</w:t>
            </w:r>
          </w:p>
        </w:tc>
        <w:tc>
          <w:tcPr>
            <w:tcW w:w="7940" w:type="dxa"/>
          </w:tcPr>
          <w:p>
            <w:pPr>
              <w:pStyle w:val="TableParagraph"/>
              <w:spacing w:line="285" w:lineRule="auto" w:before="80"/>
              <w:ind w:left="110" w:right="55"/>
              <w:rPr>
                <w:sz w:val="20"/>
              </w:rPr>
            </w:pPr>
            <w:r>
              <w:rPr>
                <w:w w:val="95"/>
                <w:sz w:val="20"/>
              </w:rPr>
              <w:t>投保时年龄在出生后满七天至五十五</w:t>
            </w:r>
            <w:r>
              <w:rPr>
                <w:b/>
                <w:w w:val="95"/>
                <w:sz w:val="20"/>
              </w:rPr>
              <w:t>周岁</w:t>
            </w:r>
            <w:r>
              <w:rPr>
                <w:b/>
                <w:w w:val="95"/>
                <w:position w:val="10"/>
                <w:sz w:val="10"/>
              </w:rPr>
              <w:t>[5]</w:t>
            </w:r>
            <w:r>
              <w:rPr>
                <w:w w:val="95"/>
                <w:sz w:val="20"/>
              </w:rPr>
              <w:t>（含五十五周岁）之间者，可作为本合同的被  保险人。</w:t>
            </w:r>
          </w:p>
        </w:tc>
      </w:tr>
      <w:tr>
        <w:trPr>
          <w:trHeight w:val="1404" w:hRule="atLeast"/>
        </w:trPr>
        <w:tc>
          <w:tcPr>
            <w:tcW w:w="576" w:type="dxa"/>
          </w:tcPr>
          <w:p>
            <w:pPr>
              <w:pStyle w:val="TableParagraph"/>
              <w:spacing w:before="72"/>
              <w:ind w:left="107"/>
              <w:rPr>
                <w:b/>
                <w:sz w:val="20"/>
              </w:rPr>
            </w:pPr>
            <w:r>
              <w:rPr>
                <w:b/>
                <w:sz w:val="20"/>
              </w:rPr>
              <w:t>1.4</w:t>
            </w:r>
          </w:p>
        </w:tc>
        <w:tc>
          <w:tcPr>
            <w:tcW w:w="1731" w:type="dxa"/>
          </w:tcPr>
          <w:p>
            <w:pPr>
              <w:pStyle w:val="TableParagraph"/>
              <w:spacing w:before="72"/>
              <w:ind w:left="194"/>
              <w:rPr>
                <w:b/>
                <w:sz w:val="20"/>
              </w:rPr>
            </w:pPr>
            <w:r>
              <w:rPr>
                <w:b/>
                <w:sz w:val="20"/>
              </w:rPr>
              <w:t>保险期间</w:t>
            </w:r>
          </w:p>
        </w:tc>
        <w:tc>
          <w:tcPr>
            <w:tcW w:w="7940" w:type="dxa"/>
          </w:tcPr>
          <w:p>
            <w:pPr>
              <w:pStyle w:val="TableParagraph"/>
              <w:spacing w:line="285" w:lineRule="auto" w:before="72"/>
              <w:ind w:left="110" w:right="9"/>
              <w:rPr>
                <w:sz w:val="20"/>
              </w:rPr>
            </w:pPr>
            <w:r>
              <w:rPr>
                <w:spacing w:val="-5"/>
                <w:sz w:val="20"/>
              </w:rPr>
              <w:t>若您选择一次交清的付费方式，我们在同意承保并收取全部保险费后，自保单生效日的零</w:t>
            </w:r>
            <w:r>
              <w:rPr>
                <w:spacing w:val="-16"/>
                <w:w w:val="95"/>
                <w:sz w:val="20"/>
              </w:rPr>
              <w:t>时起承担保险责任；若您选择分期支付保险费方式，我们在同意承保并收取首期保险费后，   自保单生效日的零时起承担保险责任。</w:t>
            </w:r>
          </w:p>
          <w:p>
            <w:pPr>
              <w:pStyle w:val="TableParagraph"/>
              <w:spacing w:before="12"/>
              <w:ind w:left="110"/>
              <w:rPr>
                <w:sz w:val="20"/>
              </w:rPr>
            </w:pPr>
            <w:r>
              <w:rPr>
                <w:w w:val="95"/>
                <w:sz w:val="20"/>
              </w:rPr>
              <w:t>本合同的保险期间于保险单中载明，自保单生效日的零时起至</w:t>
            </w:r>
            <w:r>
              <w:rPr>
                <w:b/>
                <w:w w:val="95"/>
                <w:sz w:val="20"/>
              </w:rPr>
              <w:t>满期日</w:t>
            </w:r>
            <w:r>
              <w:rPr>
                <w:b/>
                <w:w w:val="95"/>
                <w:position w:val="10"/>
                <w:sz w:val="10"/>
              </w:rPr>
              <w:t>[6]</w:t>
            </w:r>
            <w:r>
              <w:rPr>
                <w:w w:val="95"/>
                <w:sz w:val="20"/>
              </w:rPr>
              <w:t>二十四时止。</w:t>
            </w:r>
          </w:p>
        </w:tc>
      </w:tr>
      <w:tr>
        <w:trPr>
          <w:trHeight w:val="2028" w:hRule="atLeast"/>
        </w:trPr>
        <w:tc>
          <w:tcPr>
            <w:tcW w:w="576" w:type="dxa"/>
          </w:tcPr>
          <w:p>
            <w:pPr>
              <w:pStyle w:val="TableParagraph"/>
              <w:spacing w:before="72"/>
              <w:ind w:left="107"/>
              <w:rPr>
                <w:b/>
                <w:sz w:val="20"/>
              </w:rPr>
            </w:pPr>
            <w:r>
              <w:rPr>
                <w:b/>
                <w:sz w:val="20"/>
              </w:rPr>
              <w:t>1.5</w:t>
            </w:r>
          </w:p>
        </w:tc>
        <w:tc>
          <w:tcPr>
            <w:tcW w:w="1731" w:type="dxa"/>
          </w:tcPr>
          <w:p>
            <w:pPr>
              <w:pStyle w:val="TableParagraph"/>
              <w:spacing w:before="72"/>
              <w:ind w:left="194"/>
              <w:rPr>
                <w:b/>
                <w:sz w:val="20"/>
              </w:rPr>
            </w:pPr>
            <w:r>
              <w:rPr>
                <w:b/>
                <w:sz w:val="20"/>
              </w:rPr>
              <w:t>犹豫期</w:t>
            </w:r>
          </w:p>
        </w:tc>
        <w:tc>
          <w:tcPr>
            <w:tcW w:w="7940" w:type="dxa"/>
          </w:tcPr>
          <w:p>
            <w:pPr>
              <w:pStyle w:val="TableParagraph"/>
              <w:spacing w:line="285" w:lineRule="auto" w:before="72"/>
              <w:ind w:left="110" w:right="95"/>
              <w:jc w:val="both"/>
              <w:rPr>
                <w:b/>
                <w:sz w:val="20"/>
              </w:rPr>
            </w:pPr>
            <w:r>
              <w:rPr>
                <w:b/>
                <w:sz w:val="20"/>
              </w:rPr>
              <w:t>为保护您的权利，请在保险合同送达或寄达于您时书面签收。自您签收本合同次日起， 有十天的犹豫期。在此期间请您务必认真审视本合同，若您在此期间提出撤销本合同， 须填写合同终止申请书，并提供本合同及您本人的有效身份证件。自收到合同终止申请</w:t>
            </w:r>
            <w:r>
              <w:rPr>
                <w:b/>
                <w:spacing w:val="7"/>
                <w:w w:val="95"/>
                <w:sz w:val="20"/>
              </w:rPr>
              <w:t>书之日起三十日内我们会向您无息全额退还本合同及所附的附加合同的全部已交保险  </w:t>
            </w:r>
            <w:r>
              <w:rPr>
                <w:b/>
                <w:sz w:val="20"/>
              </w:rPr>
              <w:t>费。自您书面申请撤销合同之日起，本合同及其所附的附加合同即被解除，我们自始不</w:t>
            </w:r>
            <w:r>
              <w:rPr>
                <w:b/>
                <w:w w:val="95"/>
                <w:sz w:val="20"/>
              </w:rPr>
              <w:t>承担本合同及所附的附加合同的保险责任。</w:t>
            </w:r>
          </w:p>
        </w:tc>
      </w:tr>
      <w:tr>
        <w:trPr>
          <w:trHeight w:val="2418" w:hRule="atLeast"/>
        </w:trPr>
        <w:tc>
          <w:tcPr>
            <w:tcW w:w="576" w:type="dxa"/>
          </w:tcPr>
          <w:p>
            <w:pPr>
              <w:pStyle w:val="TableParagraph"/>
              <w:spacing w:before="72"/>
              <w:ind w:left="107"/>
              <w:rPr>
                <w:b/>
                <w:sz w:val="20"/>
              </w:rPr>
            </w:pPr>
            <w:r>
              <w:rPr>
                <w:b/>
                <w:sz w:val="20"/>
              </w:rPr>
              <w:t>1.6</w:t>
            </w:r>
          </w:p>
        </w:tc>
        <w:tc>
          <w:tcPr>
            <w:tcW w:w="1731" w:type="dxa"/>
          </w:tcPr>
          <w:p>
            <w:pPr>
              <w:pStyle w:val="TableParagraph"/>
              <w:spacing w:before="72"/>
              <w:ind w:left="194"/>
              <w:rPr>
                <w:b/>
                <w:sz w:val="20"/>
              </w:rPr>
            </w:pPr>
            <w:r>
              <w:rPr>
                <w:b/>
                <w:sz w:val="20"/>
              </w:rPr>
              <w:t>合同终止</w:t>
            </w:r>
          </w:p>
        </w:tc>
        <w:tc>
          <w:tcPr>
            <w:tcW w:w="7940" w:type="dxa"/>
          </w:tcPr>
          <w:p>
            <w:pPr>
              <w:pStyle w:val="TableParagraph"/>
              <w:spacing w:before="72"/>
              <w:ind w:left="110"/>
              <w:rPr>
                <w:sz w:val="20"/>
              </w:rPr>
            </w:pPr>
            <w:r>
              <w:rPr>
                <w:w w:val="95"/>
                <w:sz w:val="20"/>
              </w:rPr>
              <w:t>若发生下列情况之一，本合同终止：</w:t>
            </w:r>
          </w:p>
          <w:p>
            <w:pPr>
              <w:pStyle w:val="TableParagraph"/>
              <w:numPr>
                <w:ilvl w:val="0"/>
                <w:numId w:val="11"/>
              </w:numPr>
              <w:tabs>
                <w:tab w:pos="531" w:val="left" w:leader="none"/>
              </w:tabs>
              <w:spacing w:line="240" w:lineRule="auto" w:before="50" w:after="0"/>
              <w:ind w:left="530" w:right="0" w:hanging="420"/>
              <w:jc w:val="left"/>
              <w:rPr>
                <w:sz w:val="20"/>
              </w:rPr>
            </w:pPr>
            <w:r>
              <w:rPr>
                <w:w w:val="95"/>
                <w:sz w:val="20"/>
              </w:rPr>
              <w:t>您在本合同保险期间内向我们申请撤销或解除本合同；</w:t>
            </w:r>
          </w:p>
          <w:p>
            <w:pPr>
              <w:pStyle w:val="TableParagraph"/>
              <w:numPr>
                <w:ilvl w:val="0"/>
                <w:numId w:val="11"/>
              </w:numPr>
              <w:tabs>
                <w:tab w:pos="531" w:val="left" w:leader="none"/>
              </w:tabs>
              <w:spacing w:line="240" w:lineRule="auto" w:before="50" w:after="0"/>
              <w:ind w:left="530" w:right="0" w:hanging="420"/>
              <w:jc w:val="left"/>
              <w:rPr>
                <w:sz w:val="20"/>
              </w:rPr>
            </w:pPr>
            <w:r>
              <w:rPr>
                <w:w w:val="95"/>
                <w:sz w:val="20"/>
              </w:rPr>
              <w:t>被保险人于本合同保险期间内身故或发生本合同约定的</w:t>
            </w:r>
            <w:r>
              <w:rPr>
                <w:b/>
                <w:w w:val="95"/>
                <w:sz w:val="20"/>
              </w:rPr>
              <w:t>全残</w:t>
            </w:r>
            <w:r>
              <w:rPr>
                <w:b/>
                <w:w w:val="95"/>
                <w:position w:val="10"/>
                <w:sz w:val="10"/>
              </w:rPr>
              <w:t>[7]</w:t>
            </w:r>
            <w:r>
              <w:rPr>
                <w:w w:val="95"/>
                <w:sz w:val="20"/>
              </w:rPr>
              <w:t>；</w:t>
            </w:r>
          </w:p>
          <w:p>
            <w:pPr>
              <w:pStyle w:val="TableParagraph"/>
              <w:numPr>
                <w:ilvl w:val="0"/>
                <w:numId w:val="11"/>
              </w:numPr>
              <w:tabs>
                <w:tab w:pos="531" w:val="left" w:leader="none"/>
              </w:tabs>
              <w:spacing w:line="285" w:lineRule="auto" w:before="50" w:after="0"/>
              <w:ind w:left="530" w:right="137" w:hanging="420"/>
              <w:jc w:val="left"/>
              <w:rPr>
                <w:sz w:val="20"/>
              </w:rPr>
            </w:pPr>
            <w:r>
              <w:rPr>
                <w:sz w:val="20"/>
              </w:rPr>
              <w:t>被保险人于本合同保险期间内被确诊为</w:t>
            </w:r>
            <w:r>
              <w:rPr>
                <w:b/>
                <w:spacing w:val="2"/>
                <w:sz w:val="20"/>
              </w:rPr>
              <w:t>终末期疾病</w:t>
            </w:r>
            <w:r>
              <w:rPr>
                <w:b/>
                <w:position w:val="10"/>
                <w:sz w:val="10"/>
              </w:rPr>
              <w:t>[8]</w:t>
            </w:r>
            <w:r>
              <w:rPr>
                <w:sz w:val="20"/>
              </w:rPr>
              <w:t>并领取了生命尊严提前给付保</w:t>
            </w:r>
            <w:r>
              <w:rPr>
                <w:w w:val="95"/>
                <w:sz w:val="20"/>
              </w:rPr>
              <w:t>险金；</w:t>
            </w:r>
          </w:p>
          <w:p>
            <w:pPr>
              <w:pStyle w:val="TableParagraph"/>
              <w:numPr>
                <w:ilvl w:val="0"/>
                <w:numId w:val="11"/>
              </w:numPr>
              <w:tabs>
                <w:tab w:pos="531" w:val="left" w:leader="none"/>
              </w:tabs>
              <w:spacing w:line="240" w:lineRule="auto" w:before="12" w:after="0"/>
              <w:ind w:left="530" w:right="0" w:hanging="420"/>
              <w:jc w:val="left"/>
              <w:rPr>
                <w:sz w:val="20"/>
              </w:rPr>
            </w:pPr>
            <w:r>
              <w:rPr>
                <w:w w:val="95"/>
                <w:sz w:val="20"/>
              </w:rPr>
              <w:t>本合同效力中止后两年内（含两年），您未与我们就本合同效力恢复达成一致的；</w:t>
            </w:r>
          </w:p>
          <w:p>
            <w:pPr>
              <w:pStyle w:val="TableParagraph"/>
              <w:numPr>
                <w:ilvl w:val="0"/>
                <w:numId w:val="11"/>
              </w:numPr>
              <w:tabs>
                <w:tab w:pos="531" w:val="left" w:leader="none"/>
              </w:tabs>
              <w:spacing w:line="240" w:lineRule="auto" w:before="50" w:after="0"/>
              <w:ind w:left="530" w:right="0" w:hanging="420"/>
              <w:jc w:val="left"/>
              <w:rPr>
                <w:sz w:val="20"/>
              </w:rPr>
            </w:pPr>
            <w:r>
              <w:rPr>
                <w:w w:val="95"/>
                <w:sz w:val="20"/>
              </w:rPr>
              <w:t>因本合同约定或法律法规规定的其他情况导致本合同终止的。</w:t>
            </w:r>
          </w:p>
        </w:tc>
      </w:tr>
      <w:tr>
        <w:trPr>
          <w:trHeight w:val="469" w:hRule="atLeast"/>
        </w:trPr>
        <w:tc>
          <w:tcPr>
            <w:tcW w:w="10247" w:type="dxa"/>
            <w:gridSpan w:val="3"/>
            <w:tcBorders>
              <w:bottom w:val="single" w:sz="4" w:space="0" w:color="000000"/>
            </w:tcBorders>
          </w:tcPr>
          <w:p>
            <w:pPr>
              <w:pStyle w:val="TableParagraph"/>
              <w:tabs>
                <w:tab w:pos="1469" w:val="left" w:leader="none"/>
              </w:tabs>
              <w:spacing w:before="150"/>
              <w:ind w:left="287"/>
              <w:rPr>
                <w:b/>
                <w:sz w:val="20"/>
              </w:rPr>
            </w:pPr>
            <w:r>
              <w:rPr>
                <w:b/>
                <w:sz w:val="20"/>
              </w:rPr>
              <w:t>第二部分</w:t>
              <w:tab/>
            </w:r>
            <w:r>
              <w:rPr>
                <w:b/>
                <w:w w:val="95"/>
                <w:sz w:val="20"/>
              </w:rPr>
              <w:t>我们提供的保障</w:t>
            </w:r>
          </w:p>
        </w:tc>
      </w:tr>
      <w:tr>
        <w:trPr>
          <w:trHeight w:val="409" w:hRule="atLeast"/>
        </w:trPr>
        <w:tc>
          <w:tcPr>
            <w:tcW w:w="576" w:type="dxa"/>
            <w:tcBorders>
              <w:top w:val="single" w:sz="4" w:space="0" w:color="000000"/>
            </w:tcBorders>
          </w:tcPr>
          <w:p>
            <w:pPr>
              <w:pStyle w:val="TableParagraph"/>
              <w:spacing w:line="242" w:lineRule="exact" w:before="148"/>
              <w:ind w:left="107"/>
              <w:rPr>
                <w:b/>
                <w:sz w:val="20"/>
              </w:rPr>
            </w:pPr>
            <w:r>
              <w:rPr>
                <w:b/>
                <w:sz w:val="20"/>
              </w:rPr>
              <w:t>2.1</w:t>
            </w:r>
          </w:p>
        </w:tc>
        <w:tc>
          <w:tcPr>
            <w:tcW w:w="1731" w:type="dxa"/>
            <w:tcBorders>
              <w:top w:val="single" w:sz="4" w:space="0" w:color="000000"/>
            </w:tcBorders>
          </w:tcPr>
          <w:p>
            <w:pPr>
              <w:pStyle w:val="TableParagraph"/>
              <w:spacing w:line="242" w:lineRule="exact" w:before="148"/>
              <w:ind w:left="166"/>
              <w:rPr>
                <w:b/>
                <w:sz w:val="20"/>
              </w:rPr>
            </w:pPr>
            <w:r>
              <w:rPr>
                <w:b/>
                <w:sz w:val="20"/>
              </w:rPr>
              <w:t>等待期</w:t>
            </w:r>
          </w:p>
        </w:tc>
        <w:tc>
          <w:tcPr>
            <w:tcW w:w="7940" w:type="dxa"/>
            <w:tcBorders>
              <w:top w:val="single" w:sz="4" w:space="0" w:color="000000"/>
            </w:tcBorders>
          </w:tcPr>
          <w:p>
            <w:pPr>
              <w:pStyle w:val="TableParagraph"/>
              <w:spacing w:line="242" w:lineRule="exact" w:before="148"/>
              <w:ind w:left="110"/>
              <w:rPr>
                <w:b/>
                <w:sz w:val="20"/>
              </w:rPr>
            </w:pPr>
            <w:r>
              <w:rPr>
                <w:b/>
                <w:w w:val="95"/>
                <w:sz w:val="20"/>
              </w:rPr>
              <w:t>本合同生效日零时起九十日及本合同效力恢复日零时起九十日为等待期。</w:t>
            </w:r>
          </w:p>
        </w:tc>
      </w:tr>
    </w:tbl>
    <w:p>
      <w:pPr>
        <w:spacing w:after="0" w:line="242" w:lineRule="exact"/>
        <w:rPr>
          <w:sz w:val="20"/>
        </w:rPr>
        <w:sectPr>
          <w:pgSz w:w="11910" w:h="16840"/>
          <w:pgMar w:header="0" w:footer="831" w:top="1420" w:bottom="1100" w:left="840" w:right="60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76"/>
        <w:gridCol w:w="1408"/>
        <w:gridCol w:w="8265"/>
      </w:tblGrid>
      <w:tr>
        <w:trPr>
          <w:trHeight w:val="14165" w:hRule="atLeast"/>
        </w:trPr>
        <w:tc>
          <w:tcPr>
            <w:tcW w:w="576" w:type="dxa"/>
            <w:tcBorders>
              <w:top w:val="single" w:sz="4" w:space="0" w:color="000000"/>
            </w:tcBorders>
          </w:tcPr>
          <w:p>
            <w:pPr>
              <w:pStyle w:val="TableParagraph"/>
              <w:spacing w:before="144"/>
              <w:ind w:left="107"/>
              <w:rPr>
                <w:b/>
                <w:sz w:val="20"/>
              </w:rPr>
            </w:pPr>
            <w:r>
              <w:rPr>
                <w:b/>
                <w:sz w:val="20"/>
              </w:rPr>
              <w:t>2.2</w:t>
            </w:r>
          </w:p>
        </w:tc>
        <w:tc>
          <w:tcPr>
            <w:tcW w:w="1408" w:type="dxa"/>
            <w:tcBorders>
              <w:top w:val="single" w:sz="4" w:space="0" w:color="000000"/>
            </w:tcBorders>
          </w:tcPr>
          <w:p>
            <w:pPr>
              <w:pStyle w:val="TableParagraph"/>
              <w:spacing w:before="144"/>
              <w:ind w:left="166"/>
              <w:rPr>
                <w:b/>
                <w:sz w:val="20"/>
              </w:rPr>
            </w:pPr>
            <w:r>
              <w:rPr>
                <w:b/>
                <w:sz w:val="20"/>
              </w:rPr>
              <w:t>保险责任</w:t>
            </w:r>
          </w:p>
        </w:tc>
        <w:tc>
          <w:tcPr>
            <w:tcW w:w="8265" w:type="dxa"/>
            <w:tcBorders>
              <w:top w:val="single" w:sz="4" w:space="0" w:color="000000"/>
            </w:tcBorders>
          </w:tcPr>
          <w:p>
            <w:pPr>
              <w:pStyle w:val="TableParagraph"/>
              <w:spacing w:line="250" w:lineRule="exact"/>
              <w:ind w:left="433"/>
              <w:rPr>
                <w:b/>
                <w:sz w:val="20"/>
              </w:rPr>
            </w:pPr>
            <w:r>
              <w:rPr>
                <w:b/>
                <w:w w:val="95"/>
                <w:sz w:val="20"/>
              </w:rPr>
              <w:t>一、在本合同保险期间内，我们承担以下保险责任：</w:t>
            </w:r>
          </w:p>
          <w:p>
            <w:pPr>
              <w:pStyle w:val="TableParagraph"/>
              <w:spacing w:line="285" w:lineRule="auto" w:before="170"/>
              <w:ind w:left="433" w:right="42"/>
              <w:rPr>
                <w:b/>
                <w:sz w:val="20"/>
              </w:rPr>
            </w:pPr>
            <w:r>
              <w:rPr>
                <w:b/>
                <w:w w:val="95"/>
                <w:sz w:val="20"/>
              </w:rPr>
              <w:t>本合同首个保单年度的保险金额为本合同的基本保险金额</w:t>
            </w:r>
            <w:r>
              <w:rPr>
                <w:b/>
                <w:w w:val="95"/>
                <w:position w:val="10"/>
                <w:sz w:val="10"/>
              </w:rPr>
              <w:t>[9]</w:t>
            </w:r>
            <w:r>
              <w:rPr>
                <w:b/>
                <w:w w:val="95"/>
                <w:sz w:val="20"/>
              </w:rPr>
              <w:t>。从第二个保单年度开始，每  年的保险金额按基本保险金额的百分之十递增，并以基本保险金额的三倍为限。</w:t>
            </w:r>
          </w:p>
          <w:p>
            <w:pPr>
              <w:pStyle w:val="TableParagraph"/>
              <w:spacing w:before="12"/>
              <w:ind w:left="433"/>
              <w:rPr>
                <w:b/>
                <w:sz w:val="20"/>
              </w:rPr>
            </w:pPr>
            <w:r>
              <w:rPr>
                <w:b/>
                <w:w w:val="95"/>
                <w:sz w:val="20"/>
              </w:rPr>
              <w:t>1、身故给付</w:t>
            </w:r>
          </w:p>
          <w:p>
            <w:pPr>
              <w:pStyle w:val="TableParagraph"/>
              <w:spacing w:line="285" w:lineRule="auto" w:before="170"/>
              <w:ind w:left="433" w:right="200"/>
              <w:rPr>
                <w:b/>
                <w:sz w:val="20"/>
              </w:rPr>
            </w:pPr>
            <w:r>
              <w:rPr>
                <w:b/>
                <w:w w:val="95"/>
                <w:sz w:val="20"/>
              </w:rPr>
              <w:t>若被保险人于18周岁保单周年日（不含）之前身故，我们无息返还身故时累计应交保险   费，本合同终止；</w:t>
            </w:r>
          </w:p>
          <w:p>
            <w:pPr>
              <w:pStyle w:val="TableParagraph"/>
              <w:spacing w:line="285" w:lineRule="auto" w:before="12"/>
              <w:ind w:left="433" w:right="199"/>
              <w:rPr>
                <w:b/>
                <w:sz w:val="20"/>
              </w:rPr>
            </w:pPr>
            <w:r>
              <w:rPr>
                <w:b/>
                <w:w w:val="95"/>
                <w:sz w:val="20"/>
              </w:rPr>
              <w:t>若被保险人于18周岁保单周年日（含）之后身故，我们按被保险人身故时该保单年度对  应的保险金额给付身故保险金，本合同终止。</w:t>
            </w:r>
          </w:p>
          <w:p>
            <w:pPr>
              <w:pStyle w:val="TableParagraph"/>
              <w:spacing w:before="168"/>
              <w:ind w:left="433"/>
              <w:rPr>
                <w:b/>
                <w:sz w:val="20"/>
              </w:rPr>
            </w:pPr>
            <w:r>
              <w:rPr>
                <w:b/>
                <w:w w:val="95"/>
                <w:sz w:val="20"/>
              </w:rPr>
              <w:t>2、全残给付</w:t>
            </w:r>
          </w:p>
          <w:p>
            <w:pPr>
              <w:pStyle w:val="TableParagraph"/>
              <w:spacing w:line="285" w:lineRule="auto" w:before="170"/>
              <w:ind w:left="433" w:right="199"/>
              <w:rPr>
                <w:b/>
                <w:sz w:val="20"/>
              </w:rPr>
            </w:pPr>
            <w:r>
              <w:rPr>
                <w:b/>
                <w:w w:val="95"/>
                <w:sz w:val="20"/>
              </w:rPr>
              <w:t>若被保险人全残，我们按被保险人全残时该保单年度对应的保险金额给付全残保险金，  本合同终止。</w:t>
            </w:r>
          </w:p>
          <w:p>
            <w:pPr>
              <w:pStyle w:val="TableParagraph"/>
              <w:spacing w:before="168"/>
              <w:ind w:left="433"/>
              <w:rPr>
                <w:b/>
                <w:sz w:val="20"/>
              </w:rPr>
            </w:pPr>
            <w:r>
              <w:rPr>
                <w:b/>
                <w:w w:val="95"/>
                <w:sz w:val="20"/>
              </w:rPr>
              <w:t>3、生命尊严提前给付</w:t>
            </w:r>
          </w:p>
          <w:p>
            <w:pPr>
              <w:pStyle w:val="TableParagraph"/>
              <w:spacing w:line="285" w:lineRule="auto" w:before="170"/>
              <w:ind w:left="433" w:right="107"/>
              <w:jc w:val="both"/>
              <w:rPr>
                <w:b/>
                <w:sz w:val="20"/>
              </w:rPr>
            </w:pPr>
            <w:r>
              <w:rPr>
                <w:b/>
                <w:sz w:val="20"/>
              </w:rPr>
              <w:t>自本合同生效日或最近一次效力恢复日（以较迟者为准）零时起一年后，若被保险人由我们指定或认可的医院</w:t>
            </w:r>
            <w:r>
              <w:rPr>
                <w:b/>
                <w:position w:val="10"/>
                <w:sz w:val="10"/>
              </w:rPr>
              <w:t>[10]</w:t>
            </w:r>
            <w:r>
              <w:rPr>
                <w:b/>
                <w:sz w:val="20"/>
              </w:rPr>
              <w:t>的专科医生</w:t>
            </w:r>
            <w:r>
              <w:rPr>
                <w:b/>
                <w:position w:val="10"/>
                <w:sz w:val="10"/>
              </w:rPr>
              <w:t>[11]</w:t>
            </w:r>
            <w:r>
              <w:rPr>
                <w:b/>
                <w:sz w:val="20"/>
              </w:rPr>
              <w:t>确诊患有终末期疾病，可向我们申请领取生命尊严提前给付保险金。我们按申请时该保单年度对应的保险金额给付生命尊严提前给付保</w:t>
            </w:r>
            <w:r>
              <w:rPr>
                <w:b/>
                <w:w w:val="95"/>
                <w:sz w:val="20"/>
              </w:rPr>
              <w:t>险金后，本合同终止。</w:t>
            </w:r>
          </w:p>
          <w:p>
            <w:pPr>
              <w:pStyle w:val="TableParagraph"/>
              <w:spacing w:before="167"/>
              <w:ind w:left="433"/>
              <w:rPr>
                <w:b/>
                <w:sz w:val="20"/>
              </w:rPr>
            </w:pPr>
            <w:r>
              <w:rPr>
                <w:rFonts w:ascii="Times New Roman" w:eastAsia="Times New Roman"/>
                <w:b/>
                <w:w w:val="95"/>
                <w:sz w:val="20"/>
              </w:rPr>
              <w:t>4</w:t>
            </w:r>
            <w:r>
              <w:rPr>
                <w:b/>
                <w:w w:val="95"/>
                <w:sz w:val="20"/>
              </w:rPr>
              <w:t>、重大疾病给付</w:t>
            </w:r>
          </w:p>
          <w:p>
            <w:pPr>
              <w:pStyle w:val="TableParagraph"/>
              <w:spacing w:before="190"/>
              <w:ind w:left="433"/>
              <w:rPr>
                <w:b/>
                <w:sz w:val="20"/>
              </w:rPr>
            </w:pPr>
            <w:r>
              <w:rPr>
                <w:b/>
                <w:w w:val="95"/>
                <w:sz w:val="20"/>
              </w:rPr>
              <w:t>（1）首次重大疾病保险金</w:t>
            </w:r>
          </w:p>
          <w:p>
            <w:pPr>
              <w:pStyle w:val="TableParagraph"/>
              <w:spacing w:line="285" w:lineRule="auto" w:before="170"/>
              <w:ind w:left="433" w:right="199"/>
              <w:jc w:val="both"/>
              <w:rPr>
                <w:b/>
                <w:sz w:val="20"/>
              </w:rPr>
            </w:pPr>
            <w:r>
              <w:rPr>
                <w:b/>
                <w:w w:val="95"/>
                <w:sz w:val="20"/>
              </w:rPr>
              <w:t>若被保险人于等待期满后首次出现本合同约定的重大疾病的症状或体征，并且按本合同   对重大疾病的定义和诊断标准被我们指定或认可的医院初次确诊为患有本合同所列的重  大疾病，则我们按该保单年度对应的保险金额给付首次重大疾病保险金。若被保险人因  意外事故</w:t>
            </w:r>
            <w:r>
              <w:rPr>
                <w:b/>
                <w:w w:val="95"/>
                <w:position w:val="10"/>
                <w:sz w:val="10"/>
              </w:rPr>
              <w:t>[12]</w:t>
            </w:r>
            <w:r>
              <w:rPr>
                <w:b/>
                <w:w w:val="95"/>
                <w:sz w:val="20"/>
              </w:rPr>
              <w:t>而患有本合同所列的重大疾病，则不受等待期的限制。</w:t>
            </w:r>
          </w:p>
          <w:p>
            <w:pPr>
              <w:pStyle w:val="TableParagraph"/>
              <w:spacing w:line="285" w:lineRule="auto" w:before="130"/>
              <w:ind w:left="433" w:right="201"/>
              <w:jc w:val="both"/>
              <w:rPr>
                <w:b/>
                <w:sz w:val="20"/>
              </w:rPr>
            </w:pPr>
            <w:r>
              <w:rPr>
                <w:b/>
                <w:w w:val="95"/>
                <w:sz w:val="20"/>
              </w:rPr>
              <w:t>我们给付首次重大疾病保险金后，本合同的现金价值降为零，并同时豁免本合同在首次   重大疾病确诊日以后的各期保险费，并</w:t>
            </w:r>
            <w:r>
              <w:rPr>
                <w:b/>
                <w:w w:val="95"/>
                <w:sz w:val="20"/>
                <w:u w:val="single"/>
              </w:rPr>
              <w:t>不再承担给付身故或全残保险金、生命尊严提前  给付保险金、轻症重疾保险金的责任</w:t>
            </w:r>
            <w:r>
              <w:rPr>
                <w:b/>
                <w:w w:val="95"/>
                <w:sz w:val="20"/>
              </w:rPr>
              <w:t>。</w:t>
            </w:r>
          </w:p>
          <w:p>
            <w:pPr>
              <w:pStyle w:val="TableParagraph"/>
              <w:spacing w:line="285" w:lineRule="auto" w:before="168"/>
              <w:ind w:left="433" w:right="6"/>
              <w:rPr>
                <w:b/>
                <w:sz w:val="20"/>
              </w:rPr>
            </w:pPr>
            <w:r>
              <w:rPr>
                <w:b/>
                <w:sz w:val="20"/>
              </w:rPr>
              <w:t>若被保险人在等待期内首次出现本合同约定的重大疾病的症状或体征，或者在等待期内按本合同对重大疾病的定义和诊断标准被我们指定或认可的医院初次确诊为患有本合同</w:t>
            </w:r>
            <w:r>
              <w:rPr>
                <w:b/>
                <w:w w:val="95"/>
                <w:sz w:val="20"/>
              </w:rPr>
              <w:t>所列的重大疾病，我们不承担给付保险金的责任，仅无息退还本合同累计已交的保险费，   本合同终止。</w:t>
            </w:r>
          </w:p>
          <w:p>
            <w:pPr>
              <w:pStyle w:val="TableParagraph"/>
              <w:spacing w:before="168"/>
              <w:ind w:left="433"/>
              <w:rPr>
                <w:b/>
                <w:sz w:val="20"/>
              </w:rPr>
            </w:pPr>
            <w:r>
              <w:rPr>
                <w:b/>
                <w:w w:val="95"/>
                <w:sz w:val="20"/>
              </w:rPr>
              <w:t>（2）第二次重大疾病保险金</w:t>
            </w:r>
          </w:p>
          <w:p>
            <w:pPr>
              <w:pStyle w:val="TableParagraph"/>
              <w:spacing w:line="285" w:lineRule="auto" w:before="170"/>
              <w:ind w:left="433" w:right="199"/>
              <w:jc w:val="both"/>
              <w:rPr>
                <w:b/>
                <w:sz w:val="20"/>
              </w:rPr>
            </w:pPr>
            <w:r>
              <w:rPr>
                <w:b/>
                <w:w w:val="95"/>
                <w:sz w:val="20"/>
              </w:rPr>
              <w:t>我们给付首次重大疾病保险金后，若被保险人自首次重大疾病确诊之日起三百六十五日   后，初次出现首次重大疾病所属组别以外的其他组别中的任何一种重大疾病的症状或体   征，并且按本合同对重大疾病的定义和诊断标准被我们指定或认可的医院初次确诊为患  有该重大疾病，我们按本合同的基本保险金额给付第二次重大疾病保险金。</w:t>
            </w:r>
          </w:p>
          <w:p>
            <w:pPr>
              <w:pStyle w:val="TableParagraph"/>
              <w:spacing w:before="168"/>
              <w:ind w:left="433"/>
              <w:rPr>
                <w:b/>
                <w:sz w:val="20"/>
              </w:rPr>
            </w:pPr>
            <w:r>
              <w:rPr>
                <w:b/>
                <w:w w:val="95"/>
                <w:sz w:val="20"/>
              </w:rPr>
              <w:t>（3）第三次重大疾病保险金</w:t>
            </w:r>
          </w:p>
          <w:p>
            <w:pPr>
              <w:pStyle w:val="TableParagraph"/>
              <w:spacing w:line="310" w:lineRule="atLeast" w:before="122"/>
              <w:ind w:left="433" w:right="198"/>
              <w:jc w:val="both"/>
              <w:rPr>
                <w:b/>
                <w:sz w:val="20"/>
              </w:rPr>
            </w:pPr>
            <w:r>
              <w:rPr>
                <w:b/>
                <w:w w:val="95"/>
                <w:sz w:val="20"/>
              </w:rPr>
              <w:t>我们给付第二次重大疾病保险金后，若被保险人自上述第二次重大疾病确诊之日起三百   六十五日后，初次出现首次重大疾病以及第二次重大疾病所属组别以外的其他组别中的   任何一种重大疾病的症状或体征，并且按本合同对重大疾病的定义和诊断标准被我们指  定或认可的医院初次确诊为患有该重大疾病，我们按本合同的基本保险金额给付第三次</w:t>
            </w:r>
          </w:p>
        </w:tc>
      </w:tr>
    </w:tbl>
    <w:p>
      <w:pPr>
        <w:spacing w:after="0" w:line="310" w:lineRule="atLeast"/>
        <w:jc w:val="both"/>
        <w:rPr>
          <w:sz w:val="20"/>
        </w:rPr>
        <w:sectPr>
          <w:pgSz w:w="11910" w:h="16840"/>
          <w:pgMar w:header="0" w:footer="831" w:top="1120" w:bottom="1020" w:left="840" w:right="60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76"/>
        <w:gridCol w:w="1408"/>
        <w:gridCol w:w="8265"/>
      </w:tblGrid>
      <w:tr>
        <w:trPr>
          <w:trHeight w:val="4723" w:hRule="atLeast"/>
        </w:trPr>
        <w:tc>
          <w:tcPr>
            <w:tcW w:w="576" w:type="dxa"/>
            <w:tcBorders>
              <w:top w:val="single" w:sz="4" w:space="0" w:color="000000"/>
            </w:tcBorders>
          </w:tcPr>
          <w:p>
            <w:pPr>
              <w:pStyle w:val="TableParagraph"/>
              <w:ind w:left="0"/>
              <w:rPr>
                <w:rFonts w:ascii="Times New Roman"/>
                <w:sz w:val="18"/>
              </w:rPr>
            </w:pPr>
          </w:p>
        </w:tc>
        <w:tc>
          <w:tcPr>
            <w:tcW w:w="1408" w:type="dxa"/>
            <w:tcBorders>
              <w:top w:val="single" w:sz="4" w:space="0" w:color="000000"/>
            </w:tcBorders>
          </w:tcPr>
          <w:p>
            <w:pPr>
              <w:pStyle w:val="TableParagraph"/>
              <w:ind w:left="0"/>
              <w:rPr>
                <w:rFonts w:ascii="Times New Roman"/>
                <w:sz w:val="18"/>
              </w:rPr>
            </w:pPr>
          </w:p>
        </w:tc>
        <w:tc>
          <w:tcPr>
            <w:tcW w:w="8265" w:type="dxa"/>
            <w:tcBorders>
              <w:top w:val="single" w:sz="4" w:space="0" w:color="000000"/>
            </w:tcBorders>
          </w:tcPr>
          <w:p>
            <w:pPr>
              <w:pStyle w:val="TableParagraph"/>
              <w:spacing w:line="250" w:lineRule="exact"/>
              <w:ind w:left="433"/>
              <w:rPr>
                <w:b/>
                <w:sz w:val="20"/>
              </w:rPr>
            </w:pPr>
            <w:r>
              <w:rPr>
                <w:b/>
                <w:w w:val="95"/>
                <w:sz w:val="20"/>
              </w:rPr>
              <w:t>重大疾病保险金，本合同终止。</w:t>
            </w:r>
          </w:p>
          <w:p>
            <w:pPr>
              <w:pStyle w:val="TableParagraph"/>
              <w:spacing w:before="9"/>
              <w:ind w:left="0"/>
              <w:rPr>
                <w:b/>
                <w:sz w:val="15"/>
              </w:rPr>
            </w:pPr>
          </w:p>
          <w:p>
            <w:pPr>
              <w:pStyle w:val="TableParagraph"/>
              <w:spacing w:before="1"/>
              <w:ind w:left="433"/>
              <w:rPr>
                <w:b/>
                <w:sz w:val="20"/>
              </w:rPr>
            </w:pPr>
            <w:r>
              <w:rPr>
                <w:b/>
                <w:w w:val="95"/>
                <w:sz w:val="20"/>
              </w:rPr>
              <w:t>5、轻症重疾给付及保险费豁免</w:t>
            </w:r>
          </w:p>
          <w:p>
            <w:pPr>
              <w:pStyle w:val="TableParagraph"/>
              <w:spacing w:line="283" w:lineRule="auto" w:before="170"/>
              <w:ind w:left="433" w:right="149"/>
              <w:jc w:val="both"/>
              <w:rPr>
                <w:b/>
                <w:sz w:val="20"/>
              </w:rPr>
            </w:pPr>
            <w:r>
              <w:rPr>
                <w:b/>
                <w:sz w:val="20"/>
              </w:rPr>
              <w:t>若被保险人于等待期满后首次出现本合同约定的轻症重疾的症状或体征，并且按本合同对轻症重疾的定义和诊断标准被我们指定或认可的医院初次确诊为患有本合同所列的轻</w:t>
            </w:r>
            <w:r>
              <w:rPr>
                <w:b/>
                <w:spacing w:val="-3"/>
                <w:sz w:val="20"/>
              </w:rPr>
              <w:t>症重疾中的一种或多种，则我们按该保单年度对应的保险金额的 </w:t>
            </w:r>
            <w:r>
              <w:rPr>
                <w:b/>
                <w:sz w:val="20"/>
              </w:rPr>
              <w:t>2</w:t>
            </w:r>
            <w:r>
              <w:rPr>
                <w:rFonts w:ascii="Times New Roman" w:eastAsia="Times New Roman"/>
                <w:b/>
                <w:sz w:val="20"/>
              </w:rPr>
              <w:t>0%</w:t>
            </w:r>
            <w:r>
              <w:rPr>
                <w:b/>
                <w:sz w:val="20"/>
              </w:rPr>
              <w:t>给付轻症重疾保险金，并同时豁免本合同在轻症重疾确诊日以后的各期保险费，本合同继续有效，但此后我们不再承担给付轻症重疾保险金的责任。若被保险人因意外事故而患有本合同所列的</w:t>
            </w:r>
            <w:r>
              <w:rPr>
                <w:b/>
                <w:w w:val="95"/>
                <w:sz w:val="20"/>
              </w:rPr>
              <w:t>轻症重疾，则不受等待期的限制。</w:t>
            </w:r>
          </w:p>
          <w:p>
            <w:pPr>
              <w:pStyle w:val="TableParagraph"/>
              <w:spacing w:line="285" w:lineRule="auto" w:before="169"/>
              <w:ind w:left="433" w:right="109"/>
              <w:jc w:val="both"/>
              <w:rPr>
                <w:b/>
                <w:sz w:val="20"/>
              </w:rPr>
            </w:pPr>
            <w:r>
              <w:rPr>
                <w:b/>
                <w:sz w:val="20"/>
              </w:rPr>
              <w:t>若被保险人在等待期内首次出现本合同约定的轻症重疾的症状或体征，或者在等待期内按本合同对轻症重疾的定义和诊断标准被我们指定或认可的医院初次确诊为患有本合同所列的轻症重疾，我们不承担给付轻症重疾保险金及豁免保险费的责任，仅无息退还本</w:t>
            </w:r>
            <w:r>
              <w:rPr>
                <w:b/>
                <w:w w:val="95"/>
                <w:sz w:val="20"/>
              </w:rPr>
              <w:t>合同累计已交的保险费，本合同终止。</w:t>
            </w:r>
          </w:p>
          <w:p>
            <w:pPr>
              <w:pStyle w:val="TableParagraph"/>
              <w:spacing w:before="168"/>
              <w:ind w:left="433"/>
              <w:jc w:val="both"/>
              <w:rPr>
                <w:b/>
                <w:sz w:val="20"/>
              </w:rPr>
            </w:pPr>
            <w:r>
              <w:rPr>
                <w:b/>
                <w:w w:val="95"/>
                <w:sz w:val="20"/>
              </w:rPr>
              <w:t>二、在本合同终止、撤销、解除后或效力中止期间，我们不再承担本合同的保险责任。</w:t>
            </w:r>
          </w:p>
        </w:tc>
      </w:tr>
      <w:tr>
        <w:trPr>
          <w:trHeight w:val="9538" w:hRule="atLeast"/>
        </w:trPr>
        <w:tc>
          <w:tcPr>
            <w:tcW w:w="576" w:type="dxa"/>
          </w:tcPr>
          <w:p>
            <w:pPr>
              <w:pStyle w:val="TableParagraph"/>
              <w:spacing w:before="66"/>
              <w:ind w:left="107"/>
              <w:rPr>
                <w:b/>
                <w:sz w:val="20"/>
              </w:rPr>
            </w:pPr>
            <w:r>
              <w:rPr>
                <w:b/>
                <w:sz w:val="20"/>
              </w:rPr>
              <w:t>2.3</w:t>
            </w:r>
          </w:p>
        </w:tc>
        <w:tc>
          <w:tcPr>
            <w:tcW w:w="1408" w:type="dxa"/>
          </w:tcPr>
          <w:p>
            <w:pPr>
              <w:pStyle w:val="TableParagraph"/>
              <w:spacing w:before="66"/>
              <w:ind w:left="166"/>
              <w:rPr>
                <w:b/>
                <w:sz w:val="20"/>
              </w:rPr>
            </w:pPr>
            <w:r>
              <w:rPr>
                <w:b/>
                <w:sz w:val="20"/>
              </w:rPr>
              <w:t>责任免除</w:t>
            </w:r>
          </w:p>
        </w:tc>
        <w:tc>
          <w:tcPr>
            <w:tcW w:w="8265" w:type="dxa"/>
          </w:tcPr>
          <w:p>
            <w:pPr>
              <w:pStyle w:val="TableParagraph"/>
              <w:spacing w:line="285" w:lineRule="auto" w:before="66"/>
              <w:ind w:left="433" w:right="106"/>
              <w:jc w:val="both"/>
              <w:rPr>
                <w:b/>
                <w:sz w:val="20"/>
              </w:rPr>
            </w:pPr>
            <w:r>
              <w:rPr>
                <w:b/>
                <w:w w:val="95"/>
                <w:sz w:val="20"/>
              </w:rPr>
              <w:t>（1）因下列情形之一导致被保险人身故、全残或患有终末期疾病的，我们不承担身故给  付、全残给付或生命尊严提前给付的责任：</w:t>
            </w:r>
          </w:p>
          <w:p>
            <w:pPr>
              <w:pStyle w:val="TableParagraph"/>
              <w:numPr>
                <w:ilvl w:val="0"/>
                <w:numId w:val="12"/>
              </w:numPr>
              <w:tabs>
                <w:tab w:pos="1113" w:val="left" w:leader="none"/>
              </w:tabs>
              <w:spacing w:line="240" w:lineRule="auto" w:before="12" w:after="0"/>
              <w:ind w:left="1113" w:right="0" w:hanging="428"/>
              <w:jc w:val="left"/>
              <w:rPr>
                <w:b/>
                <w:sz w:val="20"/>
              </w:rPr>
            </w:pPr>
            <w:r>
              <w:rPr>
                <w:b/>
                <w:w w:val="95"/>
                <w:sz w:val="20"/>
              </w:rPr>
              <w:t>投保人对被保险人的故意杀害、故意伤害；</w:t>
            </w:r>
          </w:p>
          <w:p>
            <w:pPr>
              <w:pStyle w:val="TableParagraph"/>
              <w:numPr>
                <w:ilvl w:val="0"/>
                <w:numId w:val="12"/>
              </w:numPr>
              <w:tabs>
                <w:tab w:pos="1113" w:val="left" w:leader="none"/>
              </w:tabs>
              <w:spacing w:line="240" w:lineRule="auto" w:before="50" w:after="0"/>
              <w:ind w:left="1113" w:right="0" w:hanging="428"/>
              <w:jc w:val="left"/>
              <w:rPr>
                <w:b/>
                <w:sz w:val="20"/>
              </w:rPr>
            </w:pPr>
            <w:r>
              <w:rPr>
                <w:b/>
                <w:w w:val="95"/>
                <w:sz w:val="20"/>
              </w:rPr>
              <w:t>被保险人故意犯罪或者抗拒依法采取的刑事强制措施；</w:t>
            </w:r>
          </w:p>
          <w:p>
            <w:pPr>
              <w:pStyle w:val="TableParagraph"/>
              <w:numPr>
                <w:ilvl w:val="0"/>
                <w:numId w:val="12"/>
              </w:numPr>
              <w:tabs>
                <w:tab w:pos="1113" w:val="left" w:leader="none"/>
              </w:tabs>
              <w:spacing w:line="285" w:lineRule="auto" w:before="50" w:after="0"/>
              <w:ind w:left="1113" w:right="135" w:hanging="428"/>
              <w:jc w:val="left"/>
              <w:rPr>
                <w:b/>
                <w:sz w:val="20"/>
              </w:rPr>
            </w:pPr>
            <w:r>
              <w:rPr>
                <w:b/>
                <w:spacing w:val="-1"/>
                <w:w w:val="95"/>
                <w:sz w:val="20"/>
              </w:rPr>
              <w:t>被保险人自本合同成立或者合同效力恢复之日起两年内</w:t>
            </w:r>
            <w:r>
              <w:rPr>
                <w:b/>
                <w:w w:val="95"/>
                <w:sz w:val="20"/>
              </w:rPr>
              <w:t>（含两年）自杀</w:t>
            </w:r>
            <w:r>
              <w:rPr>
                <w:b/>
                <w:w w:val="95"/>
                <w:position w:val="10"/>
                <w:sz w:val="10"/>
              </w:rPr>
              <w:t>[13]</w:t>
            </w:r>
            <w:r>
              <w:rPr>
                <w:b/>
                <w:w w:val="95"/>
                <w:sz w:val="20"/>
              </w:rPr>
              <w:t>，但被  保险人自杀时为无民事行为能力人的除外；</w:t>
            </w:r>
          </w:p>
          <w:p>
            <w:pPr>
              <w:pStyle w:val="TableParagraph"/>
              <w:numPr>
                <w:ilvl w:val="0"/>
                <w:numId w:val="12"/>
              </w:numPr>
              <w:tabs>
                <w:tab w:pos="1113" w:val="left" w:leader="none"/>
              </w:tabs>
              <w:spacing w:line="240" w:lineRule="auto" w:before="12" w:after="0"/>
              <w:ind w:left="1113" w:right="0" w:hanging="428"/>
              <w:jc w:val="left"/>
              <w:rPr>
                <w:b/>
                <w:sz w:val="20"/>
              </w:rPr>
            </w:pPr>
            <w:r>
              <w:rPr>
                <w:b/>
                <w:w w:val="95"/>
                <w:sz w:val="20"/>
              </w:rPr>
              <w:t>被保险人主动吸食或注射毒品</w:t>
            </w:r>
            <w:r>
              <w:rPr>
                <w:b/>
                <w:w w:val="95"/>
                <w:position w:val="10"/>
                <w:sz w:val="10"/>
              </w:rPr>
              <w:t>[14]</w:t>
            </w:r>
            <w:r>
              <w:rPr>
                <w:b/>
                <w:w w:val="95"/>
                <w:sz w:val="20"/>
              </w:rPr>
              <w:t>；</w:t>
            </w:r>
          </w:p>
          <w:p>
            <w:pPr>
              <w:pStyle w:val="TableParagraph"/>
              <w:numPr>
                <w:ilvl w:val="0"/>
                <w:numId w:val="12"/>
              </w:numPr>
              <w:tabs>
                <w:tab w:pos="1113" w:val="left" w:leader="none"/>
              </w:tabs>
              <w:spacing w:line="285" w:lineRule="auto" w:before="50" w:after="0"/>
              <w:ind w:left="1113" w:right="131" w:hanging="428"/>
              <w:jc w:val="left"/>
              <w:rPr>
                <w:b/>
                <w:sz w:val="20"/>
              </w:rPr>
            </w:pPr>
            <w:r>
              <w:rPr>
                <w:b/>
                <w:w w:val="95"/>
                <w:sz w:val="20"/>
              </w:rPr>
              <w:t>被保险人酒后驾驶</w:t>
            </w:r>
            <w:r>
              <w:rPr>
                <w:b/>
                <w:w w:val="95"/>
                <w:position w:val="10"/>
                <w:sz w:val="10"/>
              </w:rPr>
              <w:t>[15]</w:t>
            </w:r>
            <w:r>
              <w:rPr>
                <w:b/>
                <w:w w:val="95"/>
                <w:sz w:val="20"/>
              </w:rPr>
              <w:t>，无合法有效驾驶证驾驶</w:t>
            </w:r>
            <w:r>
              <w:rPr>
                <w:b/>
                <w:w w:val="95"/>
                <w:position w:val="10"/>
                <w:sz w:val="10"/>
              </w:rPr>
              <w:t>[16]</w:t>
            </w:r>
            <w:r>
              <w:rPr>
                <w:b/>
                <w:w w:val="95"/>
                <w:sz w:val="20"/>
              </w:rPr>
              <w:t>，或驾驶无有效行驶证</w:t>
            </w:r>
            <w:r>
              <w:rPr>
                <w:b/>
                <w:w w:val="95"/>
                <w:position w:val="10"/>
                <w:sz w:val="10"/>
              </w:rPr>
              <w:t>[17]</w:t>
            </w:r>
            <w:r>
              <w:rPr>
                <w:b/>
                <w:w w:val="95"/>
                <w:sz w:val="20"/>
              </w:rPr>
              <w:t>的机动  车；</w:t>
            </w:r>
          </w:p>
          <w:p>
            <w:pPr>
              <w:pStyle w:val="TableParagraph"/>
              <w:numPr>
                <w:ilvl w:val="0"/>
                <w:numId w:val="12"/>
              </w:numPr>
              <w:tabs>
                <w:tab w:pos="1113" w:val="left" w:leader="none"/>
              </w:tabs>
              <w:spacing w:line="240" w:lineRule="auto" w:before="12" w:after="0"/>
              <w:ind w:left="1113" w:right="0" w:hanging="428"/>
              <w:jc w:val="left"/>
              <w:rPr>
                <w:b/>
                <w:sz w:val="20"/>
              </w:rPr>
            </w:pPr>
            <w:r>
              <w:rPr>
                <w:b/>
                <w:w w:val="95"/>
                <w:sz w:val="20"/>
              </w:rPr>
              <w:t>战争、军事冲突、暴乱或武装叛乱；</w:t>
            </w:r>
          </w:p>
          <w:p>
            <w:pPr>
              <w:pStyle w:val="TableParagraph"/>
              <w:numPr>
                <w:ilvl w:val="0"/>
                <w:numId w:val="12"/>
              </w:numPr>
              <w:tabs>
                <w:tab w:pos="1113" w:val="left" w:leader="none"/>
              </w:tabs>
              <w:spacing w:line="240" w:lineRule="auto" w:before="50" w:after="0"/>
              <w:ind w:left="1113" w:right="0" w:hanging="428"/>
              <w:jc w:val="left"/>
              <w:rPr>
                <w:b/>
                <w:sz w:val="20"/>
              </w:rPr>
            </w:pPr>
            <w:r>
              <w:rPr>
                <w:b/>
                <w:w w:val="95"/>
                <w:sz w:val="20"/>
              </w:rPr>
              <w:t>核爆炸、核辐射或核污染；</w:t>
            </w:r>
          </w:p>
          <w:p>
            <w:pPr>
              <w:pStyle w:val="TableParagraph"/>
              <w:spacing w:before="10"/>
              <w:ind w:left="0"/>
              <w:rPr>
                <w:b/>
                <w:sz w:val="15"/>
              </w:rPr>
            </w:pPr>
          </w:p>
          <w:p>
            <w:pPr>
              <w:pStyle w:val="TableParagraph"/>
              <w:spacing w:line="285" w:lineRule="auto"/>
              <w:ind w:left="433" w:right="135"/>
              <w:jc w:val="both"/>
              <w:rPr>
                <w:b/>
                <w:sz w:val="20"/>
              </w:rPr>
            </w:pPr>
            <w:r>
              <w:rPr>
                <w:b/>
                <w:spacing w:val="-8"/>
                <w:sz w:val="20"/>
              </w:rPr>
              <w:t>发生上述第 </w:t>
            </w:r>
            <w:r>
              <w:rPr>
                <w:b/>
                <w:sz w:val="20"/>
              </w:rPr>
              <w:t>1)项情形导致被保险人身故、全残或患有终末期疾病的，本合同终止，您已交足两年以上（含两年</w:t>
            </w:r>
            <w:r>
              <w:rPr>
                <w:b/>
                <w:spacing w:val="2"/>
                <w:sz w:val="20"/>
              </w:rPr>
              <w:t>）</w:t>
            </w:r>
            <w:r>
              <w:rPr>
                <w:b/>
                <w:sz w:val="20"/>
              </w:rPr>
              <w:t>保险费的，我们向受益人退还本合同的现金价值；发生上述其他情形导致被保险人身故、全残或患有终末期疾病的，本合同终止，我们向您退还本合</w:t>
            </w:r>
            <w:r>
              <w:rPr>
                <w:b/>
                <w:w w:val="95"/>
                <w:sz w:val="20"/>
              </w:rPr>
              <w:t>同的现金价值。</w:t>
            </w:r>
          </w:p>
          <w:p>
            <w:pPr>
              <w:pStyle w:val="TableParagraph"/>
              <w:spacing w:line="285" w:lineRule="auto" w:before="167"/>
              <w:ind w:left="433" w:right="111"/>
              <w:jc w:val="both"/>
              <w:rPr>
                <w:b/>
                <w:sz w:val="20"/>
              </w:rPr>
            </w:pPr>
            <w:r>
              <w:rPr>
                <w:b/>
                <w:w w:val="95"/>
                <w:sz w:val="20"/>
              </w:rPr>
              <w:t>（2）</w:t>
            </w:r>
            <w:r>
              <w:rPr>
                <w:b/>
                <w:spacing w:val="-1"/>
                <w:w w:val="95"/>
                <w:sz w:val="20"/>
              </w:rPr>
              <w:t>因下列情形之一导致被保险人患有疾病、达到疾病状态或进行手术的，我们不承担  重大疾病给付、轻症重疾给付及保险费豁免的责任：</w:t>
            </w:r>
          </w:p>
          <w:p>
            <w:pPr>
              <w:pStyle w:val="TableParagraph"/>
              <w:numPr>
                <w:ilvl w:val="0"/>
                <w:numId w:val="13"/>
              </w:numPr>
              <w:tabs>
                <w:tab w:pos="1113" w:val="left" w:leader="none"/>
              </w:tabs>
              <w:spacing w:line="240" w:lineRule="auto" w:before="11" w:after="0"/>
              <w:ind w:left="1113" w:right="0" w:hanging="428"/>
              <w:jc w:val="left"/>
              <w:rPr>
                <w:b/>
                <w:sz w:val="20"/>
              </w:rPr>
            </w:pPr>
            <w:r>
              <w:rPr>
                <w:b/>
                <w:w w:val="95"/>
                <w:sz w:val="20"/>
              </w:rPr>
              <w:t>投保人对被保险人的故意杀害、故意伤害；</w:t>
            </w:r>
          </w:p>
          <w:p>
            <w:pPr>
              <w:pStyle w:val="TableParagraph"/>
              <w:numPr>
                <w:ilvl w:val="0"/>
                <w:numId w:val="13"/>
              </w:numPr>
              <w:tabs>
                <w:tab w:pos="1113" w:val="left" w:leader="none"/>
              </w:tabs>
              <w:spacing w:line="240" w:lineRule="auto" w:before="49" w:after="0"/>
              <w:ind w:left="1113" w:right="0" w:hanging="428"/>
              <w:jc w:val="left"/>
              <w:rPr>
                <w:b/>
                <w:sz w:val="20"/>
              </w:rPr>
            </w:pPr>
            <w:r>
              <w:rPr>
                <w:b/>
                <w:w w:val="95"/>
                <w:sz w:val="20"/>
              </w:rPr>
              <w:t>被保险人故意自伤、故意犯罪或者抗拒依法采取的刑事强制措施；</w:t>
            </w:r>
          </w:p>
          <w:p>
            <w:pPr>
              <w:pStyle w:val="TableParagraph"/>
              <w:numPr>
                <w:ilvl w:val="0"/>
                <w:numId w:val="13"/>
              </w:numPr>
              <w:tabs>
                <w:tab w:pos="1113" w:val="left" w:leader="none"/>
              </w:tabs>
              <w:spacing w:line="285" w:lineRule="auto" w:before="49" w:after="0"/>
              <w:ind w:left="1113" w:right="129" w:hanging="428"/>
              <w:jc w:val="left"/>
              <w:rPr>
                <w:b/>
                <w:sz w:val="20"/>
              </w:rPr>
            </w:pPr>
            <w:r>
              <w:rPr>
                <w:b/>
                <w:spacing w:val="5"/>
                <w:w w:val="95"/>
                <w:sz w:val="20"/>
              </w:rPr>
              <w:t>被保险人患艾滋病或感染艾滋病病毒</w:t>
            </w:r>
            <w:r>
              <w:rPr>
                <w:b/>
                <w:w w:val="95"/>
                <w:position w:val="10"/>
                <w:sz w:val="10"/>
              </w:rPr>
              <w:t>[18]</w:t>
            </w:r>
            <w:r>
              <w:rPr>
                <w:b/>
                <w:spacing w:val="5"/>
                <w:w w:val="95"/>
                <w:sz w:val="20"/>
              </w:rPr>
              <w:t>后患病（因输血或者工作原因导致的除  </w:t>
            </w:r>
            <w:r>
              <w:rPr>
                <w:b/>
                <w:sz w:val="20"/>
              </w:rPr>
              <w:t>外）；</w:t>
            </w:r>
          </w:p>
          <w:p>
            <w:pPr>
              <w:pStyle w:val="TableParagraph"/>
              <w:numPr>
                <w:ilvl w:val="0"/>
                <w:numId w:val="13"/>
              </w:numPr>
              <w:tabs>
                <w:tab w:pos="1113" w:val="left" w:leader="none"/>
              </w:tabs>
              <w:spacing w:line="240" w:lineRule="auto" w:before="11" w:after="0"/>
              <w:ind w:left="1113" w:right="0" w:hanging="428"/>
              <w:jc w:val="left"/>
              <w:rPr>
                <w:b/>
                <w:sz w:val="20"/>
              </w:rPr>
            </w:pPr>
            <w:r>
              <w:rPr>
                <w:b/>
                <w:w w:val="95"/>
                <w:sz w:val="20"/>
              </w:rPr>
              <w:t>被保险人主动吸食或注射毒品；</w:t>
            </w:r>
          </w:p>
          <w:p>
            <w:pPr>
              <w:pStyle w:val="TableParagraph"/>
              <w:numPr>
                <w:ilvl w:val="0"/>
                <w:numId w:val="13"/>
              </w:numPr>
              <w:tabs>
                <w:tab w:pos="1113" w:val="left" w:leader="none"/>
              </w:tabs>
              <w:spacing w:line="240" w:lineRule="auto" w:before="50" w:after="0"/>
              <w:ind w:left="1113" w:right="0" w:hanging="428"/>
              <w:jc w:val="left"/>
              <w:rPr>
                <w:b/>
                <w:sz w:val="20"/>
              </w:rPr>
            </w:pPr>
            <w:r>
              <w:rPr>
                <w:b/>
                <w:w w:val="95"/>
                <w:sz w:val="20"/>
              </w:rPr>
              <w:t>被保险人酒后驾驶，无合法有效驾驶证驾驶，或驾驶无有效行驶证的机动车；</w:t>
            </w:r>
          </w:p>
          <w:p>
            <w:pPr>
              <w:pStyle w:val="TableParagraph"/>
              <w:numPr>
                <w:ilvl w:val="0"/>
                <w:numId w:val="13"/>
              </w:numPr>
              <w:tabs>
                <w:tab w:pos="1113" w:val="left" w:leader="none"/>
              </w:tabs>
              <w:spacing w:line="240" w:lineRule="auto" w:before="50" w:after="0"/>
              <w:ind w:left="1113" w:right="0" w:hanging="428"/>
              <w:jc w:val="left"/>
              <w:rPr>
                <w:b/>
                <w:sz w:val="20"/>
              </w:rPr>
            </w:pPr>
            <w:r>
              <w:rPr>
                <w:b/>
                <w:w w:val="95"/>
                <w:sz w:val="20"/>
              </w:rPr>
              <w:t>战争、军事冲突、暴乱或武装叛乱；</w:t>
            </w:r>
          </w:p>
          <w:p>
            <w:pPr>
              <w:pStyle w:val="TableParagraph"/>
              <w:numPr>
                <w:ilvl w:val="0"/>
                <w:numId w:val="13"/>
              </w:numPr>
              <w:tabs>
                <w:tab w:pos="1113" w:val="left" w:leader="none"/>
              </w:tabs>
              <w:spacing w:line="240" w:lineRule="auto" w:before="50" w:after="0"/>
              <w:ind w:left="1113" w:right="0" w:hanging="428"/>
              <w:jc w:val="left"/>
              <w:rPr>
                <w:b/>
                <w:sz w:val="20"/>
              </w:rPr>
            </w:pPr>
            <w:r>
              <w:rPr>
                <w:b/>
                <w:w w:val="95"/>
                <w:sz w:val="20"/>
              </w:rPr>
              <w:t>核爆炸、核辐射或核污染；</w:t>
            </w:r>
          </w:p>
          <w:p>
            <w:pPr>
              <w:pStyle w:val="TableParagraph"/>
              <w:numPr>
                <w:ilvl w:val="0"/>
                <w:numId w:val="13"/>
              </w:numPr>
              <w:tabs>
                <w:tab w:pos="1113" w:val="left" w:leader="none"/>
              </w:tabs>
              <w:spacing w:line="240" w:lineRule="auto" w:before="50" w:after="0"/>
              <w:ind w:left="1113" w:right="0" w:hanging="428"/>
              <w:jc w:val="left"/>
              <w:rPr>
                <w:b/>
                <w:sz w:val="20"/>
              </w:rPr>
            </w:pPr>
            <w:r>
              <w:rPr>
                <w:b/>
                <w:w w:val="95"/>
                <w:sz w:val="20"/>
              </w:rPr>
              <w:t>遗传性疾病</w:t>
            </w:r>
            <w:r>
              <w:rPr>
                <w:b/>
                <w:w w:val="95"/>
                <w:position w:val="10"/>
                <w:sz w:val="10"/>
              </w:rPr>
              <w:t>[19]</w:t>
            </w:r>
            <w:r>
              <w:rPr>
                <w:b/>
                <w:w w:val="95"/>
                <w:sz w:val="20"/>
              </w:rPr>
              <w:t>（不包括肌营养不良症），先天性畸形、变形或染色体异常</w:t>
            </w:r>
            <w:r>
              <w:rPr>
                <w:b/>
                <w:w w:val="95"/>
                <w:position w:val="10"/>
                <w:sz w:val="10"/>
              </w:rPr>
              <w:t>[20]</w:t>
            </w:r>
            <w:r>
              <w:rPr>
                <w:b/>
                <w:w w:val="95"/>
                <w:sz w:val="20"/>
              </w:rPr>
              <w:t>。</w:t>
            </w:r>
          </w:p>
          <w:p>
            <w:pPr>
              <w:pStyle w:val="TableParagraph"/>
              <w:spacing w:line="310" w:lineRule="atLeast" w:before="158"/>
              <w:ind w:left="433" w:right="110"/>
              <w:jc w:val="both"/>
              <w:rPr>
                <w:b/>
                <w:sz w:val="20"/>
              </w:rPr>
            </w:pPr>
            <w:r>
              <w:rPr>
                <w:b/>
                <w:spacing w:val="-3"/>
                <w:sz w:val="20"/>
              </w:rPr>
              <w:t>发生上述第 </w:t>
            </w:r>
            <w:r>
              <w:rPr>
                <w:b/>
                <w:sz w:val="20"/>
              </w:rPr>
              <w:t>1)项情形的，本合同终止，您已交足两年以上（含两年）保险费的，我们向受益人退还本合同的现金价值；发生上述其他情形的，本合同终止，我们向您退还本合</w:t>
            </w:r>
            <w:r>
              <w:rPr>
                <w:b/>
                <w:w w:val="95"/>
                <w:sz w:val="20"/>
              </w:rPr>
              <w:t>同的现金价值。</w:t>
            </w:r>
          </w:p>
        </w:tc>
      </w:tr>
    </w:tbl>
    <w:p>
      <w:pPr>
        <w:spacing w:after="0" w:line="310" w:lineRule="atLeast"/>
        <w:jc w:val="both"/>
        <w:rPr>
          <w:sz w:val="20"/>
        </w:rPr>
        <w:sectPr>
          <w:pgSz w:w="11910" w:h="16840"/>
          <w:pgMar w:header="0" w:footer="831" w:top="1120" w:bottom="1020" w:left="840" w:right="600"/>
        </w:sectPr>
      </w:pPr>
    </w:p>
    <w:p>
      <w:pPr>
        <w:pStyle w:val="ListParagraph"/>
        <w:numPr>
          <w:ilvl w:val="1"/>
          <w:numId w:val="14"/>
        </w:numPr>
        <w:tabs>
          <w:tab w:pos="734" w:val="left" w:leader="none"/>
          <w:tab w:pos="735" w:val="left" w:leader="none"/>
        </w:tabs>
        <w:spacing w:line="285" w:lineRule="auto" w:before="26" w:after="0"/>
        <w:ind w:left="734" w:right="0" w:hanging="634"/>
        <w:jc w:val="left"/>
        <w:rPr>
          <w:b/>
          <w:sz w:val="20"/>
        </w:rPr>
      </w:pPr>
      <w:r>
        <w:rPr>
          <w:b/>
          <w:spacing w:val="5"/>
          <w:w w:val="95"/>
          <w:sz w:val="20"/>
        </w:rPr>
        <w:t>未成年人身故保</w:t>
      </w:r>
      <w:r>
        <w:rPr>
          <w:b/>
          <w:spacing w:val="5"/>
          <w:sz w:val="20"/>
        </w:rPr>
        <w:t>险金限制</w:t>
      </w:r>
    </w:p>
    <w:p>
      <w:pPr>
        <w:pStyle w:val="BodyText"/>
        <w:spacing w:line="237" w:lineRule="auto" w:before="58"/>
        <w:ind w:left="100" w:right="138"/>
      </w:pPr>
      <w:r>
        <w:rPr/>
        <w:br w:type="column"/>
      </w:r>
      <w:r>
        <w:rPr>
          <w:w w:val="95"/>
        </w:rPr>
        <w:t>为未成年子女投保的人身保险，因被保险人身故给付的保险金限额按国务院保险监督管   理机构规定执行。</w:t>
      </w:r>
    </w:p>
    <w:p>
      <w:pPr>
        <w:spacing w:after="0" w:line="237" w:lineRule="auto"/>
        <w:sectPr>
          <w:pgSz w:w="11910" w:h="16840"/>
          <w:pgMar w:header="0" w:footer="831" w:top="1080" w:bottom="1020" w:left="960" w:right="800"/>
          <w:cols w:num="2" w:equalWidth="0">
            <w:col w:w="2193" w:space="116"/>
            <w:col w:w="7841"/>
          </w:cols>
        </w:sectPr>
      </w:pPr>
    </w:p>
    <w:p>
      <w:pPr>
        <w:pStyle w:val="BodyText"/>
        <w:spacing w:before="1"/>
        <w:rPr>
          <w:sz w:val="8"/>
        </w:rPr>
      </w:pPr>
    </w:p>
    <w:p>
      <w:pPr>
        <w:spacing w:after="0"/>
        <w:rPr>
          <w:sz w:val="8"/>
        </w:rPr>
        <w:sectPr>
          <w:type w:val="continuous"/>
          <w:pgSz w:w="11910" w:h="16840"/>
          <w:pgMar w:top="640" w:bottom="1020" w:left="960" w:right="800"/>
        </w:sectPr>
      </w:pPr>
    </w:p>
    <w:p>
      <w:pPr>
        <w:pStyle w:val="Heading2"/>
        <w:numPr>
          <w:ilvl w:val="1"/>
          <w:numId w:val="14"/>
        </w:numPr>
        <w:tabs>
          <w:tab w:pos="734" w:val="left" w:leader="none"/>
          <w:tab w:pos="735" w:val="left" w:leader="none"/>
        </w:tabs>
        <w:spacing w:line="240" w:lineRule="auto" w:before="62" w:after="0"/>
        <w:ind w:left="734" w:right="0" w:hanging="634"/>
        <w:jc w:val="left"/>
      </w:pPr>
      <w:r>
        <w:rPr>
          <w:spacing w:val="5"/>
          <w:w w:val="95"/>
        </w:rPr>
        <w:t>基本保险金额的</w:t>
      </w:r>
    </w:p>
    <w:p>
      <w:pPr>
        <w:spacing w:before="49"/>
        <w:ind w:left="717" w:right="1034" w:firstLine="0"/>
        <w:jc w:val="center"/>
        <w:rPr>
          <w:b/>
          <w:sz w:val="20"/>
        </w:rPr>
      </w:pPr>
      <w:r>
        <w:rPr>
          <w:b/>
          <w:sz w:val="20"/>
        </w:rPr>
        <w:t>变更</w:t>
      </w:r>
    </w:p>
    <w:p>
      <w:pPr>
        <w:pStyle w:val="BodyText"/>
        <w:spacing w:before="38"/>
        <w:ind w:left="100" w:right="136"/>
        <w:jc w:val="both"/>
      </w:pPr>
      <w:r>
        <w:rPr/>
        <w:br w:type="column"/>
      </w:r>
      <w:r>
        <w:rPr/>
        <w:t>您在本合同保险期间内，可根据我们的规定提出降低本合同基本保险金额的书面申请， </w:t>
      </w:r>
      <w:r>
        <w:rPr>
          <w:w w:val="95"/>
        </w:rPr>
        <w:t>经我们同意并在本合同上批注后生效。</w:t>
      </w:r>
    </w:p>
    <w:p>
      <w:pPr>
        <w:spacing w:line="237" w:lineRule="auto" w:before="155"/>
        <w:ind w:left="100" w:right="112" w:firstLine="0"/>
        <w:jc w:val="both"/>
        <w:rPr>
          <w:b/>
          <w:sz w:val="20"/>
        </w:rPr>
      </w:pPr>
      <w:r>
        <w:rPr>
          <w:sz w:val="20"/>
        </w:rPr>
        <w:t>若申请降低本合同的基本保险金额，则降低后的基本保险金额不应低于我们规定的最低</w:t>
      </w:r>
      <w:r>
        <w:rPr>
          <w:w w:val="95"/>
          <w:sz w:val="20"/>
        </w:rPr>
        <w:t>金额。</w:t>
      </w:r>
      <w:r>
        <w:rPr>
          <w:b/>
          <w:w w:val="95"/>
          <w:sz w:val="20"/>
        </w:rPr>
        <w:t>基本保险金额的减少部分视为退保，我们将退还本合同基本保险金额减少部分所   对应的现金价值。</w:t>
      </w:r>
    </w:p>
    <w:p>
      <w:pPr>
        <w:pStyle w:val="BodyText"/>
        <w:spacing w:line="237" w:lineRule="auto" w:before="155"/>
        <w:ind w:left="100" w:right="135"/>
        <w:jc w:val="both"/>
      </w:pPr>
      <w:r>
        <w:rPr>
          <w:w w:val="95"/>
        </w:rPr>
        <w:t>基本保险金额变更后本合同的身故保险金、全残保险金、生命尊严提前给付保险金、各   项重大疾病保险金、轻症重疾保险金、现金价值均按变更后的基本保险金额计算。</w:t>
      </w:r>
    </w:p>
    <w:p>
      <w:pPr>
        <w:pStyle w:val="BodyText"/>
        <w:spacing w:before="153"/>
        <w:ind w:left="100"/>
        <w:jc w:val="both"/>
      </w:pPr>
      <w:r>
        <w:rPr>
          <w:w w:val="95"/>
        </w:rPr>
        <w:t>若您已交清本合同的全部保险费，则我们不接受变更本合同基本保险金额的申请。</w:t>
      </w:r>
    </w:p>
    <w:p>
      <w:pPr>
        <w:spacing w:after="0"/>
        <w:jc w:val="both"/>
        <w:sectPr>
          <w:type w:val="continuous"/>
          <w:pgSz w:w="11910" w:h="16840"/>
          <w:pgMar w:top="640" w:bottom="1020" w:left="960" w:right="800"/>
          <w:cols w:num="2" w:equalWidth="0">
            <w:col w:w="2193" w:space="116"/>
            <w:col w:w="7841"/>
          </w:cols>
        </w:sectPr>
      </w:pPr>
    </w:p>
    <w:p>
      <w:pPr>
        <w:pStyle w:val="BodyText"/>
        <w:spacing w:before="9"/>
        <w:rPr>
          <w:sz w:val="10"/>
        </w:rPr>
      </w:pPr>
    </w:p>
    <w:p>
      <w:pPr>
        <w:pStyle w:val="Heading2"/>
        <w:numPr>
          <w:ilvl w:val="1"/>
          <w:numId w:val="14"/>
        </w:numPr>
        <w:tabs>
          <w:tab w:pos="734" w:val="left" w:leader="none"/>
          <w:tab w:pos="735" w:val="left" w:leader="none"/>
          <w:tab w:pos="2409" w:val="left" w:leader="none"/>
        </w:tabs>
        <w:spacing w:line="240" w:lineRule="auto" w:before="37" w:after="0"/>
        <w:ind w:left="734" w:right="0" w:hanging="634"/>
        <w:jc w:val="left"/>
      </w:pPr>
      <w:r>
        <w:rPr/>
        <w:t>重大疾病的分组</w:t>
        <w:tab/>
      </w:r>
      <w:r>
        <w:rPr>
          <w:w w:val="95"/>
        </w:rPr>
        <w:t>本合同所承保的所有重大疾病分为以下三组：</w:t>
      </w:r>
    </w:p>
    <w:p>
      <w:pPr>
        <w:pStyle w:val="BodyText"/>
        <w:spacing w:before="4"/>
        <w:rPr>
          <w:b/>
          <w:sz w:val="16"/>
        </w:rPr>
      </w:pPr>
    </w:p>
    <w:tbl>
      <w:tblPr>
        <w:tblW w:w="0" w:type="auto"/>
        <w:jc w:val="left"/>
        <w:tblInd w:w="24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783"/>
        <w:gridCol w:w="6330"/>
      </w:tblGrid>
      <w:tr>
        <w:trPr>
          <w:trHeight w:val="311" w:hRule="atLeast"/>
        </w:trPr>
        <w:tc>
          <w:tcPr>
            <w:tcW w:w="783" w:type="dxa"/>
          </w:tcPr>
          <w:p>
            <w:pPr>
              <w:pStyle w:val="TableParagraph"/>
              <w:spacing w:line="253" w:lineRule="exact"/>
              <w:ind w:left="189"/>
              <w:rPr>
                <w:b/>
                <w:sz w:val="20"/>
              </w:rPr>
            </w:pPr>
            <w:r>
              <w:rPr>
                <w:b/>
                <w:sz w:val="20"/>
              </w:rPr>
              <w:t>组别</w:t>
            </w:r>
          </w:p>
        </w:tc>
        <w:tc>
          <w:tcPr>
            <w:tcW w:w="6330" w:type="dxa"/>
          </w:tcPr>
          <w:p>
            <w:pPr>
              <w:pStyle w:val="TableParagraph"/>
              <w:spacing w:line="253" w:lineRule="exact"/>
              <w:ind w:left="2743" w:right="2722"/>
              <w:jc w:val="center"/>
              <w:rPr>
                <w:b/>
                <w:sz w:val="20"/>
              </w:rPr>
            </w:pPr>
            <w:r>
              <w:rPr>
                <w:b/>
                <w:sz w:val="20"/>
              </w:rPr>
              <w:t>重大疾病</w:t>
            </w:r>
          </w:p>
        </w:tc>
      </w:tr>
      <w:tr>
        <w:trPr>
          <w:trHeight w:val="643" w:hRule="atLeast"/>
        </w:trPr>
        <w:tc>
          <w:tcPr>
            <w:tcW w:w="783" w:type="dxa"/>
            <w:vMerge w:val="restart"/>
          </w:tcPr>
          <w:p>
            <w:pPr>
              <w:pStyle w:val="TableParagraph"/>
              <w:ind w:left="0"/>
              <w:rPr>
                <w:b/>
                <w:sz w:val="20"/>
              </w:rPr>
            </w:pPr>
          </w:p>
          <w:p>
            <w:pPr>
              <w:pStyle w:val="TableParagraph"/>
              <w:ind w:left="0"/>
              <w:rPr>
                <w:b/>
                <w:sz w:val="20"/>
              </w:rPr>
            </w:pPr>
          </w:p>
          <w:p>
            <w:pPr>
              <w:pStyle w:val="TableParagraph"/>
              <w:ind w:left="0"/>
              <w:rPr>
                <w:b/>
                <w:sz w:val="20"/>
              </w:rPr>
            </w:pPr>
          </w:p>
          <w:p>
            <w:pPr>
              <w:pStyle w:val="TableParagraph"/>
              <w:ind w:left="0"/>
              <w:rPr>
                <w:b/>
                <w:sz w:val="20"/>
              </w:rPr>
            </w:pPr>
          </w:p>
          <w:p>
            <w:pPr>
              <w:pStyle w:val="TableParagraph"/>
              <w:ind w:left="0"/>
              <w:rPr>
                <w:b/>
                <w:sz w:val="20"/>
              </w:rPr>
            </w:pPr>
          </w:p>
          <w:p>
            <w:pPr>
              <w:pStyle w:val="TableParagraph"/>
              <w:ind w:left="0"/>
              <w:rPr>
                <w:b/>
                <w:sz w:val="20"/>
              </w:rPr>
            </w:pPr>
          </w:p>
          <w:p>
            <w:pPr>
              <w:pStyle w:val="TableParagraph"/>
              <w:ind w:left="0"/>
              <w:rPr>
                <w:b/>
                <w:sz w:val="20"/>
              </w:rPr>
            </w:pPr>
          </w:p>
          <w:p>
            <w:pPr>
              <w:pStyle w:val="TableParagraph"/>
              <w:ind w:left="0"/>
              <w:rPr>
                <w:b/>
                <w:sz w:val="20"/>
              </w:rPr>
            </w:pPr>
          </w:p>
          <w:p>
            <w:pPr>
              <w:pStyle w:val="TableParagraph"/>
              <w:ind w:left="0"/>
              <w:rPr>
                <w:b/>
                <w:sz w:val="20"/>
              </w:rPr>
            </w:pPr>
          </w:p>
          <w:p>
            <w:pPr>
              <w:pStyle w:val="TableParagraph"/>
              <w:ind w:left="0"/>
              <w:rPr>
                <w:b/>
                <w:sz w:val="20"/>
              </w:rPr>
            </w:pPr>
          </w:p>
          <w:p>
            <w:pPr>
              <w:pStyle w:val="TableParagraph"/>
              <w:ind w:left="0"/>
              <w:rPr>
                <w:b/>
                <w:sz w:val="20"/>
              </w:rPr>
            </w:pPr>
          </w:p>
          <w:p>
            <w:pPr>
              <w:pStyle w:val="TableParagraph"/>
              <w:ind w:left="0"/>
              <w:rPr>
                <w:b/>
                <w:sz w:val="20"/>
              </w:rPr>
            </w:pPr>
          </w:p>
          <w:p>
            <w:pPr>
              <w:pStyle w:val="TableParagraph"/>
              <w:ind w:left="0"/>
              <w:rPr>
                <w:b/>
                <w:sz w:val="20"/>
              </w:rPr>
            </w:pPr>
          </w:p>
          <w:p>
            <w:pPr>
              <w:pStyle w:val="TableParagraph"/>
              <w:ind w:left="0"/>
              <w:rPr>
                <w:b/>
                <w:sz w:val="20"/>
              </w:rPr>
            </w:pPr>
          </w:p>
          <w:p>
            <w:pPr>
              <w:pStyle w:val="TableParagraph"/>
              <w:spacing w:before="149"/>
              <w:ind w:left="213"/>
              <w:rPr>
                <w:b/>
                <w:sz w:val="20"/>
              </w:rPr>
            </w:pPr>
            <w:r>
              <w:rPr>
                <w:b/>
                <w:sz w:val="20"/>
              </w:rPr>
              <w:t>A 组</w:t>
            </w:r>
          </w:p>
        </w:tc>
        <w:tc>
          <w:tcPr>
            <w:tcW w:w="6330" w:type="dxa"/>
            <w:tcBorders>
              <w:bottom w:val="nil"/>
            </w:tcBorders>
          </w:tcPr>
          <w:p>
            <w:pPr>
              <w:pStyle w:val="TableParagraph"/>
              <w:spacing w:before="11"/>
              <w:ind w:left="0"/>
              <w:rPr>
                <w:b/>
                <w:sz w:val="24"/>
              </w:rPr>
            </w:pPr>
          </w:p>
          <w:p>
            <w:pPr>
              <w:pStyle w:val="TableParagraph"/>
              <w:ind w:left="107"/>
              <w:rPr>
                <w:b/>
                <w:sz w:val="20"/>
              </w:rPr>
            </w:pPr>
            <w:r>
              <w:rPr>
                <w:b/>
                <w:sz w:val="20"/>
              </w:rPr>
              <w:t>1. 恶性肿瘤</w:t>
            </w:r>
          </w:p>
        </w:tc>
      </w:tr>
      <w:tr>
        <w:trPr>
          <w:trHeight w:val="312" w:hRule="atLeast"/>
        </w:trPr>
        <w:tc>
          <w:tcPr>
            <w:tcW w:w="783" w:type="dxa"/>
            <w:vMerge/>
            <w:tcBorders>
              <w:top w:val="nil"/>
            </w:tcBorders>
          </w:tcPr>
          <w:p>
            <w:pPr>
              <w:rPr>
                <w:sz w:val="2"/>
                <w:szCs w:val="2"/>
              </w:rPr>
            </w:pPr>
          </w:p>
        </w:tc>
        <w:tc>
          <w:tcPr>
            <w:tcW w:w="6330" w:type="dxa"/>
            <w:tcBorders>
              <w:top w:val="nil"/>
              <w:bottom w:val="nil"/>
            </w:tcBorders>
          </w:tcPr>
          <w:p>
            <w:pPr>
              <w:pStyle w:val="TableParagraph"/>
              <w:spacing w:line="255" w:lineRule="exact"/>
              <w:ind w:left="107"/>
              <w:rPr>
                <w:b/>
                <w:sz w:val="20"/>
              </w:rPr>
            </w:pPr>
            <w:r>
              <w:rPr>
                <w:b/>
                <w:sz w:val="20"/>
              </w:rPr>
              <w:t>4. 重大器官移植术或造血干细胞移植术</w:t>
            </w:r>
          </w:p>
        </w:tc>
      </w:tr>
      <w:tr>
        <w:trPr>
          <w:trHeight w:val="312" w:hRule="atLeast"/>
        </w:trPr>
        <w:tc>
          <w:tcPr>
            <w:tcW w:w="783" w:type="dxa"/>
            <w:vMerge/>
            <w:tcBorders>
              <w:top w:val="nil"/>
            </w:tcBorders>
          </w:tcPr>
          <w:p>
            <w:pPr>
              <w:rPr>
                <w:sz w:val="2"/>
                <w:szCs w:val="2"/>
              </w:rPr>
            </w:pPr>
          </w:p>
        </w:tc>
        <w:tc>
          <w:tcPr>
            <w:tcW w:w="6330" w:type="dxa"/>
            <w:tcBorders>
              <w:top w:val="nil"/>
              <w:bottom w:val="nil"/>
            </w:tcBorders>
          </w:tcPr>
          <w:p>
            <w:pPr>
              <w:pStyle w:val="TableParagraph"/>
              <w:spacing w:line="257" w:lineRule="exact"/>
              <w:ind w:left="107"/>
              <w:rPr>
                <w:b/>
                <w:sz w:val="20"/>
              </w:rPr>
            </w:pPr>
            <w:r>
              <w:rPr>
                <w:b/>
                <w:sz w:val="20"/>
              </w:rPr>
              <w:t>6. 终末期肾病（或称慢性肾功能衰竭尿毒症期）</w:t>
            </w:r>
          </w:p>
        </w:tc>
      </w:tr>
      <w:tr>
        <w:trPr>
          <w:trHeight w:val="311" w:hRule="atLeast"/>
        </w:trPr>
        <w:tc>
          <w:tcPr>
            <w:tcW w:w="783" w:type="dxa"/>
            <w:vMerge/>
            <w:tcBorders>
              <w:top w:val="nil"/>
            </w:tcBorders>
          </w:tcPr>
          <w:p>
            <w:pPr>
              <w:rPr>
                <w:sz w:val="2"/>
                <w:szCs w:val="2"/>
              </w:rPr>
            </w:pPr>
          </w:p>
        </w:tc>
        <w:tc>
          <w:tcPr>
            <w:tcW w:w="6330" w:type="dxa"/>
            <w:tcBorders>
              <w:top w:val="nil"/>
              <w:bottom w:val="nil"/>
            </w:tcBorders>
          </w:tcPr>
          <w:p>
            <w:pPr>
              <w:pStyle w:val="TableParagraph"/>
              <w:spacing w:line="255" w:lineRule="exact"/>
              <w:ind w:left="107"/>
              <w:rPr>
                <w:b/>
                <w:sz w:val="20"/>
              </w:rPr>
            </w:pPr>
            <w:r>
              <w:rPr>
                <w:b/>
                <w:sz w:val="20"/>
              </w:rPr>
              <w:t>8. 急性或亚急性重症肝炎</w:t>
            </w:r>
          </w:p>
        </w:tc>
      </w:tr>
      <w:tr>
        <w:trPr>
          <w:trHeight w:val="312" w:hRule="atLeast"/>
        </w:trPr>
        <w:tc>
          <w:tcPr>
            <w:tcW w:w="783" w:type="dxa"/>
            <w:vMerge/>
            <w:tcBorders>
              <w:top w:val="nil"/>
            </w:tcBorders>
          </w:tcPr>
          <w:p>
            <w:pPr>
              <w:rPr>
                <w:sz w:val="2"/>
                <w:szCs w:val="2"/>
              </w:rPr>
            </w:pPr>
          </w:p>
        </w:tc>
        <w:tc>
          <w:tcPr>
            <w:tcW w:w="6330" w:type="dxa"/>
            <w:tcBorders>
              <w:top w:val="nil"/>
              <w:bottom w:val="nil"/>
            </w:tcBorders>
          </w:tcPr>
          <w:p>
            <w:pPr>
              <w:pStyle w:val="TableParagraph"/>
              <w:spacing w:line="255" w:lineRule="exact"/>
              <w:ind w:left="107"/>
              <w:rPr>
                <w:b/>
                <w:sz w:val="20"/>
              </w:rPr>
            </w:pPr>
            <w:r>
              <w:rPr>
                <w:b/>
                <w:w w:val="95"/>
                <w:sz w:val="20"/>
              </w:rPr>
              <w:t>10.慢性肝功能衰竭失代偿期</w:t>
            </w:r>
          </w:p>
        </w:tc>
      </w:tr>
      <w:tr>
        <w:trPr>
          <w:trHeight w:val="312" w:hRule="atLeast"/>
        </w:trPr>
        <w:tc>
          <w:tcPr>
            <w:tcW w:w="783" w:type="dxa"/>
            <w:vMerge/>
            <w:tcBorders>
              <w:top w:val="nil"/>
            </w:tcBorders>
          </w:tcPr>
          <w:p>
            <w:pPr>
              <w:rPr>
                <w:sz w:val="2"/>
                <w:szCs w:val="2"/>
              </w:rPr>
            </w:pPr>
          </w:p>
        </w:tc>
        <w:tc>
          <w:tcPr>
            <w:tcW w:w="6330" w:type="dxa"/>
            <w:tcBorders>
              <w:top w:val="nil"/>
              <w:bottom w:val="nil"/>
            </w:tcBorders>
          </w:tcPr>
          <w:p>
            <w:pPr>
              <w:pStyle w:val="TableParagraph"/>
              <w:spacing w:line="257" w:lineRule="exact"/>
              <w:ind w:left="107"/>
              <w:rPr>
                <w:b/>
                <w:sz w:val="20"/>
              </w:rPr>
            </w:pPr>
            <w:r>
              <w:rPr>
                <w:b/>
                <w:w w:val="95"/>
                <w:sz w:val="20"/>
              </w:rPr>
              <w:t>20.严重原发性肺动脉高压</w:t>
            </w:r>
          </w:p>
        </w:tc>
      </w:tr>
      <w:tr>
        <w:trPr>
          <w:trHeight w:val="311" w:hRule="atLeast"/>
        </w:trPr>
        <w:tc>
          <w:tcPr>
            <w:tcW w:w="783" w:type="dxa"/>
            <w:vMerge/>
            <w:tcBorders>
              <w:top w:val="nil"/>
            </w:tcBorders>
          </w:tcPr>
          <w:p>
            <w:pPr>
              <w:rPr>
                <w:sz w:val="2"/>
                <w:szCs w:val="2"/>
              </w:rPr>
            </w:pPr>
          </w:p>
        </w:tc>
        <w:tc>
          <w:tcPr>
            <w:tcW w:w="6330" w:type="dxa"/>
            <w:tcBorders>
              <w:top w:val="nil"/>
              <w:bottom w:val="nil"/>
            </w:tcBorders>
          </w:tcPr>
          <w:p>
            <w:pPr>
              <w:pStyle w:val="TableParagraph"/>
              <w:spacing w:line="255" w:lineRule="exact"/>
              <w:ind w:left="107"/>
              <w:rPr>
                <w:b/>
                <w:sz w:val="20"/>
              </w:rPr>
            </w:pPr>
            <w:r>
              <w:rPr>
                <w:b/>
                <w:w w:val="95"/>
                <w:sz w:val="20"/>
              </w:rPr>
              <w:t>23.重型再生障碍性贫血</w:t>
            </w:r>
          </w:p>
        </w:tc>
      </w:tr>
      <w:tr>
        <w:trPr>
          <w:trHeight w:val="312" w:hRule="atLeast"/>
        </w:trPr>
        <w:tc>
          <w:tcPr>
            <w:tcW w:w="783" w:type="dxa"/>
            <w:vMerge/>
            <w:tcBorders>
              <w:top w:val="nil"/>
            </w:tcBorders>
          </w:tcPr>
          <w:p>
            <w:pPr>
              <w:rPr>
                <w:sz w:val="2"/>
                <w:szCs w:val="2"/>
              </w:rPr>
            </w:pPr>
          </w:p>
        </w:tc>
        <w:tc>
          <w:tcPr>
            <w:tcW w:w="6330" w:type="dxa"/>
            <w:tcBorders>
              <w:top w:val="nil"/>
              <w:bottom w:val="nil"/>
            </w:tcBorders>
          </w:tcPr>
          <w:p>
            <w:pPr>
              <w:pStyle w:val="TableParagraph"/>
              <w:spacing w:line="255" w:lineRule="exact"/>
              <w:ind w:left="107"/>
              <w:rPr>
                <w:b/>
                <w:sz w:val="20"/>
              </w:rPr>
            </w:pPr>
            <w:r>
              <w:rPr>
                <w:b/>
                <w:w w:val="95"/>
                <w:sz w:val="20"/>
              </w:rPr>
              <w:t>30.系统性红斑狼疮</w:t>
            </w:r>
          </w:p>
        </w:tc>
      </w:tr>
      <w:tr>
        <w:trPr>
          <w:trHeight w:val="312" w:hRule="atLeast"/>
        </w:trPr>
        <w:tc>
          <w:tcPr>
            <w:tcW w:w="783" w:type="dxa"/>
            <w:vMerge/>
            <w:tcBorders>
              <w:top w:val="nil"/>
            </w:tcBorders>
          </w:tcPr>
          <w:p>
            <w:pPr>
              <w:rPr>
                <w:sz w:val="2"/>
                <w:szCs w:val="2"/>
              </w:rPr>
            </w:pPr>
          </w:p>
        </w:tc>
        <w:tc>
          <w:tcPr>
            <w:tcW w:w="6330" w:type="dxa"/>
            <w:tcBorders>
              <w:top w:val="nil"/>
              <w:bottom w:val="nil"/>
            </w:tcBorders>
          </w:tcPr>
          <w:p>
            <w:pPr>
              <w:pStyle w:val="TableParagraph"/>
              <w:spacing w:line="257" w:lineRule="exact"/>
              <w:ind w:left="107"/>
              <w:rPr>
                <w:b/>
                <w:sz w:val="20"/>
              </w:rPr>
            </w:pPr>
            <w:r>
              <w:rPr>
                <w:b/>
                <w:w w:val="95"/>
                <w:sz w:val="20"/>
              </w:rPr>
              <w:t>31.系统性硬化病</w:t>
            </w:r>
          </w:p>
        </w:tc>
      </w:tr>
      <w:tr>
        <w:trPr>
          <w:trHeight w:val="311" w:hRule="atLeast"/>
        </w:trPr>
        <w:tc>
          <w:tcPr>
            <w:tcW w:w="783" w:type="dxa"/>
            <w:vMerge/>
            <w:tcBorders>
              <w:top w:val="nil"/>
            </w:tcBorders>
          </w:tcPr>
          <w:p>
            <w:pPr>
              <w:rPr>
                <w:sz w:val="2"/>
                <w:szCs w:val="2"/>
              </w:rPr>
            </w:pPr>
          </w:p>
        </w:tc>
        <w:tc>
          <w:tcPr>
            <w:tcW w:w="6330" w:type="dxa"/>
            <w:tcBorders>
              <w:top w:val="nil"/>
              <w:bottom w:val="nil"/>
            </w:tcBorders>
          </w:tcPr>
          <w:p>
            <w:pPr>
              <w:pStyle w:val="TableParagraph"/>
              <w:spacing w:line="255" w:lineRule="exact"/>
              <w:ind w:left="107"/>
              <w:rPr>
                <w:b/>
                <w:sz w:val="20"/>
              </w:rPr>
            </w:pPr>
            <w:r>
              <w:rPr>
                <w:b/>
                <w:w w:val="95"/>
                <w:sz w:val="20"/>
              </w:rPr>
              <w:t>32.严重克隆病</w:t>
            </w:r>
          </w:p>
        </w:tc>
      </w:tr>
      <w:tr>
        <w:trPr>
          <w:trHeight w:val="312" w:hRule="atLeast"/>
        </w:trPr>
        <w:tc>
          <w:tcPr>
            <w:tcW w:w="783" w:type="dxa"/>
            <w:vMerge/>
            <w:tcBorders>
              <w:top w:val="nil"/>
            </w:tcBorders>
          </w:tcPr>
          <w:p>
            <w:pPr>
              <w:rPr>
                <w:sz w:val="2"/>
                <w:szCs w:val="2"/>
              </w:rPr>
            </w:pPr>
          </w:p>
        </w:tc>
        <w:tc>
          <w:tcPr>
            <w:tcW w:w="6330" w:type="dxa"/>
            <w:tcBorders>
              <w:top w:val="nil"/>
              <w:bottom w:val="nil"/>
            </w:tcBorders>
          </w:tcPr>
          <w:p>
            <w:pPr>
              <w:pStyle w:val="TableParagraph"/>
              <w:spacing w:line="255" w:lineRule="exact"/>
              <w:ind w:left="107"/>
              <w:rPr>
                <w:b/>
                <w:sz w:val="20"/>
              </w:rPr>
            </w:pPr>
            <w:r>
              <w:rPr>
                <w:b/>
                <w:w w:val="95"/>
                <w:sz w:val="20"/>
              </w:rPr>
              <w:t>33.严重溃疡性结肠炎</w:t>
            </w:r>
          </w:p>
        </w:tc>
      </w:tr>
      <w:tr>
        <w:trPr>
          <w:trHeight w:val="312" w:hRule="atLeast"/>
        </w:trPr>
        <w:tc>
          <w:tcPr>
            <w:tcW w:w="783" w:type="dxa"/>
            <w:vMerge/>
            <w:tcBorders>
              <w:top w:val="nil"/>
            </w:tcBorders>
          </w:tcPr>
          <w:p>
            <w:pPr>
              <w:rPr>
                <w:sz w:val="2"/>
                <w:szCs w:val="2"/>
              </w:rPr>
            </w:pPr>
          </w:p>
        </w:tc>
        <w:tc>
          <w:tcPr>
            <w:tcW w:w="6330" w:type="dxa"/>
            <w:tcBorders>
              <w:top w:val="nil"/>
              <w:bottom w:val="nil"/>
            </w:tcBorders>
          </w:tcPr>
          <w:p>
            <w:pPr>
              <w:pStyle w:val="TableParagraph"/>
              <w:spacing w:line="257" w:lineRule="exact"/>
              <w:ind w:left="107"/>
              <w:rPr>
                <w:b/>
                <w:sz w:val="20"/>
              </w:rPr>
            </w:pPr>
            <w:r>
              <w:rPr>
                <w:b/>
                <w:w w:val="95"/>
                <w:sz w:val="20"/>
              </w:rPr>
              <w:t>34.急性坏死性胰腺炎</w:t>
            </w:r>
          </w:p>
        </w:tc>
      </w:tr>
      <w:tr>
        <w:trPr>
          <w:trHeight w:val="311" w:hRule="atLeast"/>
        </w:trPr>
        <w:tc>
          <w:tcPr>
            <w:tcW w:w="783" w:type="dxa"/>
            <w:vMerge/>
            <w:tcBorders>
              <w:top w:val="nil"/>
            </w:tcBorders>
          </w:tcPr>
          <w:p>
            <w:pPr>
              <w:rPr>
                <w:sz w:val="2"/>
                <w:szCs w:val="2"/>
              </w:rPr>
            </w:pPr>
          </w:p>
        </w:tc>
        <w:tc>
          <w:tcPr>
            <w:tcW w:w="6330" w:type="dxa"/>
            <w:tcBorders>
              <w:top w:val="nil"/>
              <w:bottom w:val="nil"/>
            </w:tcBorders>
          </w:tcPr>
          <w:p>
            <w:pPr>
              <w:pStyle w:val="TableParagraph"/>
              <w:spacing w:line="255" w:lineRule="exact"/>
              <w:ind w:left="107"/>
              <w:rPr>
                <w:b/>
                <w:sz w:val="20"/>
              </w:rPr>
            </w:pPr>
            <w:r>
              <w:rPr>
                <w:b/>
                <w:w w:val="95"/>
                <w:sz w:val="20"/>
              </w:rPr>
              <w:t>35.慢性复发性胰腺炎</w:t>
            </w:r>
          </w:p>
        </w:tc>
      </w:tr>
      <w:tr>
        <w:trPr>
          <w:trHeight w:val="312" w:hRule="atLeast"/>
        </w:trPr>
        <w:tc>
          <w:tcPr>
            <w:tcW w:w="783" w:type="dxa"/>
            <w:vMerge/>
            <w:tcBorders>
              <w:top w:val="nil"/>
            </w:tcBorders>
          </w:tcPr>
          <w:p>
            <w:pPr>
              <w:rPr>
                <w:sz w:val="2"/>
                <w:szCs w:val="2"/>
              </w:rPr>
            </w:pPr>
          </w:p>
        </w:tc>
        <w:tc>
          <w:tcPr>
            <w:tcW w:w="6330" w:type="dxa"/>
            <w:tcBorders>
              <w:top w:val="nil"/>
              <w:bottom w:val="nil"/>
            </w:tcBorders>
          </w:tcPr>
          <w:p>
            <w:pPr>
              <w:pStyle w:val="TableParagraph"/>
              <w:spacing w:line="255" w:lineRule="exact"/>
              <w:ind w:left="107"/>
              <w:rPr>
                <w:b/>
                <w:sz w:val="20"/>
              </w:rPr>
            </w:pPr>
            <w:r>
              <w:rPr>
                <w:b/>
                <w:w w:val="95"/>
                <w:sz w:val="20"/>
              </w:rPr>
              <w:t>36.原发性硬化性胆管炎</w:t>
            </w:r>
          </w:p>
        </w:tc>
      </w:tr>
      <w:tr>
        <w:trPr>
          <w:trHeight w:val="312" w:hRule="atLeast"/>
        </w:trPr>
        <w:tc>
          <w:tcPr>
            <w:tcW w:w="783" w:type="dxa"/>
            <w:vMerge/>
            <w:tcBorders>
              <w:top w:val="nil"/>
            </w:tcBorders>
          </w:tcPr>
          <w:p>
            <w:pPr>
              <w:rPr>
                <w:sz w:val="2"/>
                <w:szCs w:val="2"/>
              </w:rPr>
            </w:pPr>
          </w:p>
        </w:tc>
        <w:tc>
          <w:tcPr>
            <w:tcW w:w="6330" w:type="dxa"/>
            <w:tcBorders>
              <w:top w:val="nil"/>
              <w:bottom w:val="nil"/>
            </w:tcBorders>
          </w:tcPr>
          <w:p>
            <w:pPr>
              <w:pStyle w:val="TableParagraph"/>
              <w:spacing w:line="257" w:lineRule="exact"/>
              <w:ind w:left="107"/>
              <w:rPr>
                <w:b/>
                <w:sz w:val="20"/>
              </w:rPr>
            </w:pPr>
            <w:r>
              <w:rPr>
                <w:b/>
                <w:w w:val="95"/>
                <w:sz w:val="20"/>
              </w:rPr>
              <w:t>38.慢性肾上腺皮质功能衰竭</w:t>
            </w:r>
          </w:p>
        </w:tc>
      </w:tr>
      <w:tr>
        <w:trPr>
          <w:trHeight w:val="311" w:hRule="atLeast"/>
        </w:trPr>
        <w:tc>
          <w:tcPr>
            <w:tcW w:w="783" w:type="dxa"/>
            <w:vMerge/>
            <w:tcBorders>
              <w:top w:val="nil"/>
            </w:tcBorders>
          </w:tcPr>
          <w:p>
            <w:pPr>
              <w:rPr>
                <w:sz w:val="2"/>
                <w:szCs w:val="2"/>
              </w:rPr>
            </w:pPr>
          </w:p>
        </w:tc>
        <w:tc>
          <w:tcPr>
            <w:tcW w:w="6330" w:type="dxa"/>
            <w:tcBorders>
              <w:top w:val="nil"/>
              <w:bottom w:val="nil"/>
            </w:tcBorders>
          </w:tcPr>
          <w:p>
            <w:pPr>
              <w:pStyle w:val="TableParagraph"/>
              <w:spacing w:line="255" w:lineRule="exact"/>
              <w:ind w:left="107"/>
              <w:rPr>
                <w:b/>
                <w:sz w:val="20"/>
              </w:rPr>
            </w:pPr>
            <w:r>
              <w:rPr>
                <w:b/>
                <w:w w:val="95"/>
                <w:sz w:val="20"/>
              </w:rPr>
              <w:t>39.慢性呼吸功能衰竭</w:t>
            </w:r>
          </w:p>
        </w:tc>
      </w:tr>
      <w:tr>
        <w:trPr>
          <w:trHeight w:val="312" w:hRule="atLeast"/>
        </w:trPr>
        <w:tc>
          <w:tcPr>
            <w:tcW w:w="783" w:type="dxa"/>
            <w:vMerge/>
            <w:tcBorders>
              <w:top w:val="nil"/>
            </w:tcBorders>
          </w:tcPr>
          <w:p>
            <w:pPr>
              <w:rPr>
                <w:sz w:val="2"/>
                <w:szCs w:val="2"/>
              </w:rPr>
            </w:pPr>
          </w:p>
        </w:tc>
        <w:tc>
          <w:tcPr>
            <w:tcW w:w="6330" w:type="dxa"/>
            <w:tcBorders>
              <w:top w:val="nil"/>
              <w:bottom w:val="nil"/>
            </w:tcBorders>
          </w:tcPr>
          <w:p>
            <w:pPr>
              <w:pStyle w:val="TableParagraph"/>
              <w:spacing w:line="255" w:lineRule="exact"/>
              <w:ind w:left="107"/>
              <w:rPr>
                <w:b/>
                <w:sz w:val="20"/>
              </w:rPr>
            </w:pPr>
            <w:r>
              <w:rPr>
                <w:b/>
                <w:w w:val="95"/>
                <w:sz w:val="20"/>
              </w:rPr>
              <w:t>45.严重肺源性心脏病</w:t>
            </w:r>
          </w:p>
        </w:tc>
      </w:tr>
      <w:tr>
        <w:trPr>
          <w:trHeight w:val="312" w:hRule="atLeast"/>
        </w:trPr>
        <w:tc>
          <w:tcPr>
            <w:tcW w:w="783" w:type="dxa"/>
            <w:vMerge/>
            <w:tcBorders>
              <w:top w:val="nil"/>
            </w:tcBorders>
          </w:tcPr>
          <w:p>
            <w:pPr>
              <w:rPr>
                <w:sz w:val="2"/>
                <w:szCs w:val="2"/>
              </w:rPr>
            </w:pPr>
          </w:p>
        </w:tc>
        <w:tc>
          <w:tcPr>
            <w:tcW w:w="6330" w:type="dxa"/>
            <w:tcBorders>
              <w:top w:val="nil"/>
              <w:bottom w:val="nil"/>
            </w:tcBorders>
          </w:tcPr>
          <w:p>
            <w:pPr>
              <w:pStyle w:val="TableParagraph"/>
              <w:spacing w:line="257" w:lineRule="exact"/>
              <w:ind w:left="107"/>
              <w:rPr>
                <w:b/>
                <w:sz w:val="20"/>
              </w:rPr>
            </w:pPr>
            <w:r>
              <w:rPr>
                <w:b/>
                <w:w w:val="95"/>
                <w:sz w:val="20"/>
              </w:rPr>
              <w:t>49.胰腺移植</w:t>
            </w:r>
          </w:p>
        </w:tc>
      </w:tr>
      <w:tr>
        <w:trPr>
          <w:trHeight w:val="311" w:hRule="atLeast"/>
        </w:trPr>
        <w:tc>
          <w:tcPr>
            <w:tcW w:w="783" w:type="dxa"/>
            <w:vMerge/>
            <w:tcBorders>
              <w:top w:val="nil"/>
            </w:tcBorders>
          </w:tcPr>
          <w:p>
            <w:pPr>
              <w:rPr>
                <w:sz w:val="2"/>
                <w:szCs w:val="2"/>
              </w:rPr>
            </w:pPr>
          </w:p>
        </w:tc>
        <w:tc>
          <w:tcPr>
            <w:tcW w:w="6330" w:type="dxa"/>
            <w:tcBorders>
              <w:top w:val="nil"/>
              <w:bottom w:val="nil"/>
            </w:tcBorders>
          </w:tcPr>
          <w:p>
            <w:pPr>
              <w:pStyle w:val="TableParagraph"/>
              <w:spacing w:line="255" w:lineRule="exact"/>
              <w:ind w:left="107"/>
              <w:rPr>
                <w:b/>
                <w:sz w:val="20"/>
              </w:rPr>
            </w:pPr>
            <w:r>
              <w:rPr>
                <w:b/>
                <w:w w:val="95"/>
                <w:sz w:val="20"/>
              </w:rPr>
              <w:t>50.严重自身免疫性肝炎</w:t>
            </w:r>
          </w:p>
        </w:tc>
      </w:tr>
      <w:tr>
        <w:trPr>
          <w:trHeight w:val="312" w:hRule="atLeast"/>
        </w:trPr>
        <w:tc>
          <w:tcPr>
            <w:tcW w:w="783" w:type="dxa"/>
            <w:vMerge/>
            <w:tcBorders>
              <w:top w:val="nil"/>
            </w:tcBorders>
          </w:tcPr>
          <w:p>
            <w:pPr>
              <w:rPr>
                <w:sz w:val="2"/>
                <w:szCs w:val="2"/>
              </w:rPr>
            </w:pPr>
          </w:p>
        </w:tc>
        <w:tc>
          <w:tcPr>
            <w:tcW w:w="6330" w:type="dxa"/>
            <w:tcBorders>
              <w:top w:val="nil"/>
              <w:bottom w:val="nil"/>
            </w:tcBorders>
          </w:tcPr>
          <w:p>
            <w:pPr>
              <w:pStyle w:val="TableParagraph"/>
              <w:spacing w:line="255" w:lineRule="exact"/>
              <w:ind w:left="107"/>
              <w:rPr>
                <w:b/>
                <w:sz w:val="20"/>
              </w:rPr>
            </w:pPr>
            <w:r>
              <w:rPr>
                <w:b/>
                <w:w w:val="95"/>
                <w:sz w:val="20"/>
              </w:rPr>
              <w:t>51.骨髓纤维化</w:t>
            </w:r>
          </w:p>
        </w:tc>
      </w:tr>
      <w:tr>
        <w:trPr>
          <w:trHeight w:val="312" w:hRule="atLeast"/>
        </w:trPr>
        <w:tc>
          <w:tcPr>
            <w:tcW w:w="783" w:type="dxa"/>
            <w:vMerge/>
            <w:tcBorders>
              <w:top w:val="nil"/>
            </w:tcBorders>
          </w:tcPr>
          <w:p>
            <w:pPr>
              <w:rPr>
                <w:sz w:val="2"/>
                <w:szCs w:val="2"/>
              </w:rPr>
            </w:pPr>
          </w:p>
        </w:tc>
        <w:tc>
          <w:tcPr>
            <w:tcW w:w="6330" w:type="dxa"/>
            <w:tcBorders>
              <w:top w:val="nil"/>
              <w:bottom w:val="nil"/>
            </w:tcBorders>
          </w:tcPr>
          <w:p>
            <w:pPr>
              <w:pStyle w:val="TableParagraph"/>
              <w:spacing w:line="257" w:lineRule="exact"/>
              <w:ind w:left="107"/>
              <w:rPr>
                <w:b/>
                <w:sz w:val="20"/>
              </w:rPr>
            </w:pPr>
            <w:r>
              <w:rPr>
                <w:b/>
                <w:w w:val="95"/>
                <w:sz w:val="20"/>
              </w:rPr>
              <w:t>54.严重获得性或继发性肺泡蛋白质沉积症</w:t>
            </w:r>
          </w:p>
        </w:tc>
      </w:tr>
      <w:tr>
        <w:trPr>
          <w:trHeight w:val="311" w:hRule="atLeast"/>
        </w:trPr>
        <w:tc>
          <w:tcPr>
            <w:tcW w:w="783" w:type="dxa"/>
            <w:vMerge/>
            <w:tcBorders>
              <w:top w:val="nil"/>
            </w:tcBorders>
          </w:tcPr>
          <w:p>
            <w:pPr>
              <w:rPr>
                <w:sz w:val="2"/>
                <w:szCs w:val="2"/>
              </w:rPr>
            </w:pPr>
          </w:p>
        </w:tc>
        <w:tc>
          <w:tcPr>
            <w:tcW w:w="6330" w:type="dxa"/>
            <w:tcBorders>
              <w:top w:val="nil"/>
              <w:bottom w:val="nil"/>
            </w:tcBorders>
          </w:tcPr>
          <w:p>
            <w:pPr>
              <w:pStyle w:val="TableParagraph"/>
              <w:spacing w:line="255" w:lineRule="exact"/>
              <w:ind w:left="107"/>
              <w:rPr>
                <w:b/>
                <w:sz w:val="20"/>
              </w:rPr>
            </w:pPr>
            <w:r>
              <w:rPr>
                <w:b/>
                <w:w w:val="95"/>
                <w:sz w:val="20"/>
              </w:rPr>
              <w:t>55.肺淋巴管肌瘤病</w:t>
            </w:r>
          </w:p>
        </w:tc>
      </w:tr>
      <w:tr>
        <w:trPr>
          <w:trHeight w:val="313" w:hRule="atLeast"/>
        </w:trPr>
        <w:tc>
          <w:tcPr>
            <w:tcW w:w="783" w:type="dxa"/>
            <w:vMerge/>
            <w:tcBorders>
              <w:top w:val="nil"/>
            </w:tcBorders>
          </w:tcPr>
          <w:p>
            <w:pPr>
              <w:rPr>
                <w:sz w:val="2"/>
                <w:szCs w:val="2"/>
              </w:rPr>
            </w:pPr>
          </w:p>
        </w:tc>
        <w:tc>
          <w:tcPr>
            <w:tcW w:w="6330" w:type="dxa"/>
            <w:tcBorders>
              <w:top w:val="nil"/>
            </w:tcBorders>
          </w:tcPr>
          <w:p>
            <w:pPr>
              <w:pStyle w:val="TableParagraph"/>
              <w:spacing w:line="256" w:lineRule="exact"/>
              <w:ind w:left="107"/>
              <w:rPr>
                <w:b/>
                <w:sz w:val="20"/>
              </w:rPr>
            </w:pPr>
            <w:r>
              <w:rPr>
                <w:b/>
                <w:w w:val="95"/>
                <w:sz w:val="20"/>
              </w:rPr>
              <w:t>57.肝豆状核变性（威尔逊氏病)</w:t>
            </w:r>
          </w:p>
        </w:tc>
      </w:tr>
      <w:tr>
        <w:trPr>
          <w:trHeight w:val="642" w:hRule="atLeast"/>
        </w:trPr>
        <w:tc>
          <w:tcPr>
            <w:tcW w:w="783" w:type="dxa"/>
            <w:vMerge w:val="restart"/>
          </w:tcPr>
          <w:p>
            <w:pPr>
              <w:pStyle w:val="TableParagraph"/>
              <w:ind w:left="0"/>
              <w:rPr>
                <w:b/>
                <w:sz w:val="20"/>
              </w:rPr>
            </w:pPr>
          </w:p>
          <w:p>
            <w:pPr>
              <w:pStyle w:val="TableParagraph"/>
              <w:ind w:left="0"/>
              <w:rPr>
                <w:b/>
                <w:sz w:val="20"/>
              </w:rPr>
            </w:pPr>
          </w:p>
          <w:p>
            <w:pPr>
              <w:pStyle w:val="TableParagraph"/>
              <w:spacing w:before="13"/>
              <w:ind w:left="0"/>
              <w:rPr>
                <w:b/>
                <w:sz w:val="22"/>
              </w:rPr>
            </w:pPr>
          </w:p>
          <w:p>
            <w:pPr>
              <w:pStyle w:val="TableParagraph"/>
              <w:ind w:left="213"/>
              <w:rPr>
                <w:b/>
                <w:sz w:val="20"/>
              </w:rPr>
            </w:pPr>
            <w:r>
              <w:rPr>
                <w:b/>
                <w:sz w:val="20"/>
              </w:rPr>
              <w:t>B 组</w:t>
            </w:r>
          </w:p>
        </w:tc>
        <w:tc>
          <w:tcPr>
            <w:tcW w:w="6330" w:type="dxa"/>
            <w:tcBorders>
              <w:bottom w:val="nil"/>
            </w:tcBorders>
          </w:tcPr>
          <w:p>
            <w:pPr>
              <w:pStyle w:val="TableParagraph"/>
              <w:spacing w:before="11"/>
              <w:ind w:left="0"/>
              <w:rPr>
                <w:b/>
                <w:sz w:val="24"/>
              </w:rPr>
            </w:pPr>
          </w:p>
          <w:p>
            <w:pPr>
              <w:pStyle w:val="TableParagraph"/>
              <w:ind w:left="107"/>
              <w:rPr>
                <w:b/>
                <w:sz w:val="20"/>
              </w:rPr>
            </w:pPr>
            <w:r>
              <w:rPr>
                <w:b/>
                <w:sz w:val="20"/>
              </w:rPr>
              <w:t>3. 脑中风后遗症</w:t>
            </w:r>
          </w:p>
        </w:tc>
      </w:tr>
      <w:tr>
        <w:trPr>
          <w:trHeight w:val="312" w:hRule="atLeast"/>
        </w:trPr>
        <w:tc>
          <w:tcPr>
            <w:tcW w:w="783" w:type="dxa"/>
            <w:vMerge/>
            <w:tcBorders>
              <w:top w:val="nil"/>
            </w:tcBorders>
          </w:tcPr>
          <w:p>
            <w:pPr>
              <w:rPr>
                <w:sz w:val="2"/>
                <w:szCs w:val="2"/>
              </w:rPr>
            </w:pPr>
          </w:p>
        </w:tc>
        <w:tc>
          <w:tcPr>
            <w:tcW w:w="6330" w:type="dxa"/>
            <w:tcBorders>
              <w:top w:val="nil"/>
              <w:bottom w:val="nil"/>
            </w:tcBorders>
          </w:tcPr>
          <w:p>
            <w:pPr>
              <w:pStyle w:val="TableParagraph"/>
              <w:spacing w:line="255" w:lineRule="exact"/>
              <w:ind w:left="107"/>
              <w:rPr>
                <w:b/>
                <w:sz w:val="20"/>
              </w:rPr>
            </w:pPr>
            <w:r>
              <w:rPr>
                <w:b/>
                <w:sz w:val="20"/>
              </w:rPr>
              <w:t>7. 多个肢体缺失</w:t>
            </w:r>
          </w:p>
        </w:tc>
      </w:tr>
      <w:tr>
        <w:trPr>
          <w:trHeight w:val="312" w:hRule="atLeast"/>
        </w:trPr>
        <w:tc>
          <w:tcPr>
            <w:tcW w:w="783" w:type="dxa"/>
            <w:vMerge/>
            <w:tcBorders>
              <w:top w:val="nil"/>
            </w:tcBorders>
          </w:tcPr>
          <w:p>
            <w:pPr>
              <w:rPr>
                <w:sz w:val="2"/>
                <w:szCs w:val="2"/>
              </w:rPr>
            </w:pPr>
          </w:p>
        </w:tc>
        <w:tc>
          <w:tcPr>
            <w:tcW w:w="6330" w:type="dxa"/>
            <w:tcBorders>
              <w:top w:val="nil"/>
              <w:bottom w:val="nil"/>
            </w:tcBorders>
          </w:tcPr>
          <w:p>
            <w:pPr>
              <w:pStyle w:val="TableParagraph"/>
              <w:spacing w:line="257" w:lineRule="exact"/>
              <w:ind w:left="107"/>
              <w:rPr>
                <w:b/>
                <w:sz w:val="20"/>
              </w:rPr>
            </w:pPr>
            <w:r>
              <w:rPr>
                <w:b/>
                <w:sz w:val="20"/>
              </w:rPr>
              <w:t>9. 良性脑肿瘤</w:t>
            </w:r>
          </w:p>
        </w:tc>
      </w:tr>
      <w:tr>
        <w:trPr>
          <w:trHeight w:val="311" w:hRule="atLeast"/>
        </w:trPr>
        <w:tc>
          <w:tcPr>
            <w:tcW w:w="783" w:type="dxa"/>
            <w:vMerge/>
            <w:tcBorders>
              <w:top w:val="nil"/>
            </w:tcBorders>
          </w:tcPr>
          <w:p>
            <w:pPr>
              <w:rPr>
                <w:sz w:val="2"/>
                <w:szCs w:val="2"/>
              </w:rPr>
            </w:pPr>
          </w:p>
        </w:tc>
        <w:tc>
          <w:tcPr>
            <w:tcW w:w="6330" w:type="dxa"/>
            <w:tcBorders>
              <w:top w:val="nil"/>
              <w:bottom w:val="nil"/>
            </w:tcBorders>
          </w:tcPr>
          <w:p>
            <w:pPr>
              <w:pStyle w:val="TableParagraph"/>
              <w:spacing w:line="255" w:lineRule="exact"/>
              <w:ind w:left="107"/>
              <w:rPr>
                <w:b/>
                <w:sz w:val="20"/>
              </w:rPr>
            </w:pPr>
            <w:r>
              <w:rPr>
                <w:b/>
                <w:w w:val="95"/>
                <w:sz w:val="20"/>
              </w:rPr>
              <w:t>11.脑炎后遗症或脑膜炎后遗症</w:t>
            </w:r>
          </w:p>
        </w:tc>
      </w:tr>
      <w:tr>
        <w:trPr>
          <w:trHeight w:val="315" w:hRule="atLeast"/>
        </w:trPr>
        <w:tc>
          <w:tcPr>
            <w:tcW w:w="783" w:type="dxa"/>
            <w:vMerge/>
            <w:tcBorders>
              <w:top w:val="nil"/>
            </w:tcBorders>
          </w:tcPr>
          <w:p>
            <w:pPr>
              <w:rPr>
                <w:sz w:val="2"/>
                <w:szCs w:val="2"/>
              </w:rPr>
            </w:pPr>
          </w:p>
        </w:tc>
        <w:tc>
          <w:tcPr>
            <w:tcW w:w="6330" w:type="dxa"/>
            <w:tcBorders>
              <w:top w:val="nil"/>
              <w:bottom w:val="nil"/>
            </w:tcBorders>
          </w:tcPr>
          <w:p>
            <w:pPr>
              <w:pStyle w:val="TableParagraph"/>
              <w:spacing w:line="255" w:lineRule="exact"/>
              <w:ind w:left="107"/>
              <w:rPr>
                <w:b/>
                <w:sz w:val="20"/>
              </w:rPr>
            </w:pPr>
            <w:r>
              <w:rPr>
                <w:b/>
                <w:w w:val="95"/>
                <w:sz w:val="20"/>
              </w:rPr>
              <w:t>12.双耳失聪</w:t>
            </w:r>
          </w:p>
        </w:tc>
      </w:tr>
    </w:tbl>
    <w:p>
      <w:pPr>
        <w:spacing w:after="0" w:line="255" w:lineRule="exact"/>
        <w:rPr>
          <w:sz w:val="20"/>
        </w:rPr>
        <w:sectPr>
          <w:type w:val="continuous"/>
          <w:pgSz w:w="11910" w:h="16840"/>
          <w:pgMar w:top="640" w:bottom="1020" w:left="960" w:right="800"/>
        </w:sectPr>
      </w:pPr>
    </w:p>
    <w:tbl>
      <w:tblPr>
        <w:tblW w:w="0" w:type="auto"/>
        <w:jc w:val="left"/>
        <w:tblInd w:w="2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783"/>
        <w:gridCol w:w="6330"/>
      </w:tblGrid>
      <w:tr>
        <w:trPr>
          <w:trHeight w:val="311" w:hRule="atLeast"/>
        </w:trPr>
        <w:tc>
          <w:tcPr>
            <w:tcW w:w="783" w:type="dxa"/>
            <w:vMerge w:val="restart"/>
          </w:tcPr>
          <w:p>
            <w:pPr>
              <w:pStyle w:val="TableParagraph"/>
              <w:ind w:left="0"/>
              <w:rPr>
                <w:rFonts w:ascii="Times New Roman"/>
                <w:sz w:val="18"/>
              </w:rPr>
            </w:pPr>
          </w:p>
        </w:tc>
        <w:tc>
          <w:tcPr>
            <w:tcW w:w="6330" w:type="dxa"/>
            <w:tcBorders>
              <w:top w:val="nil"/>
              <w:bottom w:val="nil"/>
            </w:tcBorders>
          </w:tcPr>
          <w:p>
            <w:pPr>
              <w:pStyle w:val="TableParagraph"/>
              <w:spacing w:line="250" w:lineRule="exact"/>
              <w:ind w:left="107"/>
              <w:rPr>
                <w:b/>
                <w:sz w:val="20"/>
              </w:rPr>
            </w:pPr>
            <w:r>
              <w:rPr>
                <w:b/>
                <w:w w:val="95"/>
                <w:sz w:val="20"/>
              </w:rPr>
              <w:t>13.双目失明</w:t>
            </w:r>
          </w:p>
        </w:tc>
      </w:tr>
      <w:tr>
        <w:trPr>
          <w:trHeight w:val="311" w:hRule="atLeast"/>
        </w:trPr>
        <w:tc>
          <w:tcPr>
            <w:tcW w:w="783" w:type="dxa"/>
            <w:vMerge/>
            <w:tcBorders>
              <w:top w:val="nil"/>
            </w:tcBorders>
          </w:tcPr>
          <w:p>
            <w:pPr>
              <w:rPr>
                <w:sz w:val="2"/>
                <w:szCs w:val="2"/>
              </w:rPr>
            </w:pPr>
          </w:p>
        </w:tc>
        <w:tc>
          <w:tcPr>
            <w:tcW w:w="6330" w:type="dxa"/>
            <w:tcBorders>
              <w:top w:val="nil"/>
              <w:bottom w:val="nil"/>
            </w:tcBorders>
          </w:tcPr>
          <w:p>
            <w:pPr>
              <w:pStyle w:val="TableParagraph"/>
              <w:spacing w:line="250" w:lineRule="exact"/>
              <w:ind w:left="107"/>
              <w:rPr>
                <w:b/>
                <w:sz w:val="20"/>
              </w:rPr>
            </w:pPr>
            <w:r>
              <w:rPr>
                <w:b/>
                <w:w w:val="95"/>
                <w:sz w:val="20"/>
              </w:rPr>
              <w:t>14.瘫痪</w:t>
            </w:r>
          </w:p>
        </w:tc>
      </w:tr>
      <w:tr>
        <w:trPr>
          <w:trHeight w:val="312" w:hRule="atLeast"/>
        </w:trPr>
        <w:tc>
          <w:tcPr>
            <w:tcW w:w="783" w:type="dxa"/>
            <w:vMerge/>
            <w:tcBorders>
              <w:top w:val="nil"/>
            </w:tcBorders>
          </w:tcPr>
          <w:p>
            <w:pPr>
              <w:rPr>
                <w:sz w:val="2"/>
                <w:szCs w:val="2"/>
              </w:rPr>
            </w:pPr>
          </w:p>
        </w:tc>
        <w:tc>
          <w:tcPr>
            <w:tcW w:w="6330" w:type="dxa"/>
            <w:tcBorders>
              <w:top w:val="nil"/>
              <w:bottom w:val="nil"/>
            </w:tcBorders>
          </w:tcPr>
          <w:p>
            <w:pPr>
              <w:pStyle w:val="TableParagraph"/>
              <w:spacing w:line="250" w:lineRule="exact"/>
              <w:ind w:left="107"/>
              <w:rPr>
                <w:b/>
                <w:sz w:val="20"/>
              </w:rPr>
            </w:pPr>
            <w:r>
              <w:rPr>
                <w:b/>
                <w:w w:val="95"/>
                <w:sz w:val="20"/>
              </w:rPr>
              <w:t>16.严重阿尔茨海默病</w:t>
            </w:r>
          </w:p>
        </w:tc>
      </w:tr>
      <w:tr>
        <w:trPr>
          <w:trHeight w:val="312" w:hRule="atLeast"/>
        </w:trPr>
        <w:tc>
          <w:tcPr>
            <w:tcW w:w="783" w:type="dxa"/>
            <w:vMerge/>
            <w:tcBorders>
              <w:top w:val="nil"/>
            </w:tcBorders>
          </w:tcPr>
          <w:p>
            <w:pPr>
              <w:rPr>
                <w:sz w:val="2"/>
                <w:szCs w:val="2"/>
              </w:rPr>
            </w:pPr>
          </w:p>
        </w:tc>
        <w:tc>
          <w:tcPr>
            <w:tcW w:w="6330" w:type="dxa"/>
            <w:tcBorders>
              <w:top w:val="nil"/>
              <w:bottom w:val="nil"/>
            </w:tcBorders>
          </w:tcPr>
          <w:p>
            <w:pPr>
              <w:pStyle w:val="TableParagraph"/>
              <w:spacing w:line="251" w:lineRule="exact"/>
              <w:ind w:left="107"/>
              <w:rPr>
                <w:b/>
                <w:sz w:val="20"/>
              </w:rPr>
            </w:pPr>
            <w:r>
              <w:rPr>
                <w:b/>
                <w:w w:val="95"/>
                <w:sz w:val="20"/>
              </w:rPr>
              <w:t>17.严重脑损伤</w:t>
            </w:r>
          </w:p>
        </w:tc>
      </w:tr>
      <w:tr>
        <w:trPr>
          <w:trHeight w:val="311" w:hRule="atLeast"/>
        </w:trPr>
        <w:tc>
          <w:tcPr>
            <w:tcW w:w="783" w:type="dxa"/>
            <w:vMerge/>
            <w:tcBorders>
              <w:top w:val="nil"/>
            </w:tcBorders>
          </w:tcPr>
          <w:p>
            <w:pPr>
              <w:rPr>
                <w:sz w:val="2"/>
                <w:szCs w:val="2"/>
              </w:rPr>
            </w:pPr>
          </w:p>
        </w:tc>
        <w:tc>
          <w:tcPr>
            <w:tcW w:w="6330" w:type="dxa"/>
            <w:tcBorders>
              <w:top w:val="nil"/>
              <w:bottom w:val="nil"/>
            </w:tcBorders>
          </w:tcPr>
          <w:p>
            <w:pPr>
              <w:pStyle w:val="TableParagraph"/>
              <w:spacing w:line="250" w:lineRule="exact"/>
              <w:ind w:left="107"/>
              <w:rPr>
                <w:b/>
                <w:sz w:val="20"/>
              </w:rPr>
            </w:pPr>
            <w:r>
              <w:rPr>
                <w:b/>
                <w:w w:val="95"/>
                <w:sz w:val="20"/>
              </w:rPr>
              <w:t>18.严重帕金森病</w:t>
            </w:r>
          </w:p>
        </w:tc>
      </w:tr>
      <w:tr>
        <w:trPr>
          <w:trHeight w:val="312" w:hRule="atLeast"/>
        </w:trPr>
        <w:tc>
          <w:tcPr>
            <w:tcW w:w="783" w:type="dxa"/>
            <w:vMerge/>
            <w:tcBorders>
              <w:top w:val="nil"/>
            </w:tcBorders>
          </w:tcPr>
          <w:p>
            <w:pPr>
              <w:rPr>
                <w:sz w:val="2"/>
                <w:szCs w:val="2"/>
              </w:rPr>
            </w:pPr>
          </w:p>
        </w:tc>
        <w:tc>
          <w:tcPr>
            <w:tcW w:w="6330" w:type="dxa"/>
            <w:tcBorders>
              <w:top w:val="nil"/>
              <w:bottom w:val="nil"/>
            </w:tcBorders>
          </w:tcPr>
          <w:p>
            <w:pPr>
              <w:pStyle w:val="TableParagraph"/>
              <w:spacing w:line="250" w:lineRule="exact"/>
              <w:ind w:left="107"/>
              <w:rPr>
                <w:b/>
                <w:sz w:val="20"/>
              </w:rPr>
            </w:pPr>
            <w:r>
              <w:rPr>
                <w:b/>
                <w:w w:val="95"/>
                <w:sz w:val="20"/>
              </w:rPr>
              <w:t>21.严重运动神经元病</w:t>
            </w:r>
          </w:p>
        </w:tc>
      </w:tr>
      <w:tr>
        <w:trPr>
          <w:trHeight w:val="312" w:hRule="atLeast"/>
        </w:trPr>
        <w:tc>
          <w:tcPr>
            <w:tcW w:w="783" w:type="dxa"/>
            <w:vMerge/>
            <w:tcBorders>
              <w:top w:val="nil"/>
            </w:tcBorders>
          </w:tcPr>
          <w:p>
            <w:pPr>
              <w:rPr>
                <w:sz w:val="2"/>
                <w:szCs w:val="2"/>
              </w:rPr>
            </w:pPr>
          </w:p>
        </w:tc>
        <w:tc>
          <w:tcPr>
            <w:tcW w:w="6330" w:type="dxa"/>
            <w:tcBorders>
              <w:top w:val="nil"/>
              <w:bottom w:val="nil"/>
            </w:tcBorders>
          </w:tcPr>
          <w:p>
            <w:pPr>
              <w:pStyle w:val="TableParagraph"/>
              <w:spacing w:line="251" w:lineRule="exact"/>
              <w:ind w:left="107"/>
              <w:rPr>
                <w:b/>
                <w:sz w:val="20"/>
              </w:rPr>
            </w:pPr>
            <w:r>
              <w:rPr>
                <w:b/>
                <w:w w:val="95"/>
                <w:sz w:val="20"/>
              </w:rPr>
              <w:t>22.语言能力丧失</w:t>
            </w:r>
          </w:p>
        </w:tc>
      </w:tr>
      <w:tr>
        <w:trPr>
          <w:trHeight w:val="311" w:hRule="atLeast"/>
        </w:trPr>
        <w:tc>
          <w:tcPr>
            <w:tcW w:w="783" w:type="dxa"/>
            <w:vMerge/>
            <w:tcBorders>
              <w:top w:val="nil"/>
            </w:tcBorders>
          </w:tcPr>
          <w:p>
            <w:pPr>
              <w:rPr>
                <w:sz w:val="2"/>
                <w:szCs w:val="2"/>
              </w:rPr>
            </w:pPr>
          </w:p>
        </w:tc>
        <w:tc>
          <w:tcPr>
            <w:tcW w:w="6330" w:type="dxa"/>
            <w:tcBorders>
              <w:top w:val="nil"/>
              <w:bottom w:val="nil"/>
            </w:tcBorders>
          </w:tcPr>
          <w:p>
            <w:pPr>
              <w:pStyle w:val="TableParagraph"/>
              <w:spacing w:line="250" w:lineRule="exact"/>
              <w:ind w:left="107"/>
              <w:rPr>
                <w:b/>
                <w:sz w:val="20"/>
              </w:rPr>
            </w:pPr>
            <w:r>
              <w:rPr>
                <w:b/>
                <w:w w:val="95"/>
                <w:sz w:val="20"/>
              </w:rPr>
              <w:t>26.脊髓灰质炎</w:t>
            </w:r>
          </w:p>
        </w:tc>
      </w:tr>
      <w:tr>
        <w:trPr>
          <w:trHeight w:val="312" w:hRule="atLeast"/>
        </w:trPr>
        <w:tc>
          <w:tcPr>
            <w:tcW w:w="783" w:type="dxa"/>
            <w:vMerge/>
            <w:tcBorders>
              <w:top w:val="nil"/>
            </w:tcBorders>
          </w:tcPr>
          <w:p>
            <w:pPr>
              <w:rPr>
                <w:sz w:val="2"/>
                <w:szCs w:val="2"/>
              </w:rPr>
            </w:pPr>
          </w:p>
        </w:tc>
        <w:tc>
          <w:tcPr>
            <w:tcW w:w="6330" w:type="dxa"/>
            <w:tcBorders>
              <w:top w:val="nil"/>
              <w:bottom w:val="nil"/>
            </w:tcBorders>
          </w:tcPr>
          <w:p>
            <w:pPr>
              <w:pStyle w:val="TableParagraph"/>
              <w:spacing w:line="250" w:lineRule="exact"/>
              <w:ind w:left="107"/>
              <w:rPr>
                <w:b/>
                <w:sz w:val="20"/>
              </w:rPr>
            </w:pPr>
            <w:r>
              <w:rPr>
                <w:b/>
                <w:w w:val="95"/>
                <w:sz w:val="20"/>
              </w:rPr>
              <w:t>28.肌营养不良症</w:t>
            </w:r>
          </w:p>
        </w:tc>
      </w:tr>
      <w:tr>
        <w:trPr>
          <w:trHeight w:val="312" w:hRule="atLeast"/>
        </w:trPr>
        <w:tc>
          <w:tcPr>
            <w:tcW w:w="783" w:type="dxa"/>
            <w:vMerge/>
            <w:tcBorders>
              <w:top w:val="nil"/>
            </w:tcBorders>
          </w:tcPr>
          <w:p>
            <w:pPr>
              <w:rPr>
                <w:sz w:val="2"/>
                <w:szCs w:val="2"/>
              </w:rPr>
            </w:pPr>
          </w:p>
        </w:tc>
        <w:tc>
          <w:tcPr>
            <w:tcW w:w="6330" w:type="dxa"/>
            <w:tcBorders>
              <w:top w:val="nil"/>
              <w:bottom w:val="nil"/>
            </w:tcBorders>
          </w:tcPr>
          <w:p>
            <w:pPr>
              <w:pStyle w:val="TableParagraph"/>
              <w:spacing w:line="251" w:lineRule="exact"/>
              <w:ind w:left="107"/>
              <w:rPr>
                <w:b/>
                <w:sz w:val="20"/>
              </w:rPr>
            </w:pPr>
            <w:r>
              <w:rPr>
                <w:b/>
                <w:w w:val="95"/>
                <w:sz w:val="20"/>
              </w:rPr>
              <w:t>29.多发性硬化症</w:t>
            </w:r>
          </w:p>
        </w:tc>
      </w:tr>
      <w:tr>
        <w:trPr>
          <w:trHeight w:val="311" w:hRule="atLeast"/>
        </w:trPr>
        <w:tc>
          <w:tcPr>
            <w:tcW w:w="783" w:type="dxa"/>
            <w:vMerge/>
            <w:tcBorders>
              <w:top w:val="nil"/>
            </w:tcBorders>
          </w:tcPr>
          <w:p>
            <w:pPr>
              <w:rPr>
                <w:sz w:val="2"/>
                <w:szCs w:val="2"/>
              </w:rPr>
            </w:pPr>
          </w:p>
        </w:tc>
        <w:tc>
          <w:tcPr>
            <w:tcW w:w="6330" w:type="dxa"/>
            <w:tcBorders>
              <w:top w:val="nil"/>
              <w:bottom w:val="nil"/>
            </w:tcBorders>
          </w:tcPr>
          <w:p>
            <w:pPr>
              <w:pStyle w:val="TableParagraph"/>
              <w:spacing w:line="250" w:lineRule="exact"/>
              <w:ind w:left="107"/>
              <w:rPr>
                <w:b/>
                <w:sz w:val="20"/>
              </w:rPr>
            </w:pPr>
            <w:r>
              <w:rPr>
                <w:b/>
                <w:w w:val="95"/>
                <w:sz w:val="20"/>
              </w:rPr>
              <w:t>41.全身性重症肌无力</w:t>
            </w:r>
          </w:p>
        </w:tc>
      </w:tr>
      <w:tr>
        <w:trPr>
          <w:trHeight w:val="312" w:hRule="atLeast"/>
        </w:trPr>
        <w:tc>
          <w:tcPr>
            <w:tcW w:w="783" w:type="dxa"/>
            <w:vMerge/>
            <w:tcBorders>
              <w:top w:val="nil"/>
            </w:tcBorders>
          </w:tcPr>
          <w:p>
            <w:pPr>
              <w:rPr>
                <w:sz w:val="2"/>
                <w:szCs w:val="2"/>
              </w:rPr>
            </w:pPr>
          </w:p>
        </w:tc>
        <w:tc>
          <w:tcPr>
            <w:tcW w:w="6330" w:type="dxa"/>
            <w:tcBorders>
              <w:top w:val="nil"/>
              <w:bottom w:val="nil"/>
            </w:tcBorders>
          </w:tcPr>
          <w:p>
            <w:pPr>
              <w:pStyle w:val="TableParagraph"/>
              <w:spacing w:line="250" w:lineRule="exact"/>
              <w:ind w:left="107"/>
              <w:rPr>
                <w:b/>
                <w:sz w:val="20"/>
              </w:rPr>
            </w:pPr>
            <w:r>
              <w:rPr>
                <w:b/>
                <w:w w:val="95"/>
                <w:sz w:val="20"/>
              </w:rPr>
              <w:t>42.疯牛病</w:t>
            </w:r>
          </w:p>
        </w:tc>
      </w:tr>
      <w:tr>
        <w:trPr>
          <w:trHeight w:val="312" w:hRule="atLeast"/>
        </w:trPr>
        <w:tc>
          <w:tcPr>
            <w:tcW w:w="783" w:type="dxa"/>
            <w:vMerge/>
            <w:tcBorders>
              <w:top w:val="nil"/>
            </w:tcBorders>
          </w:tcPr>
          <w:p>
            <w:pPr>
              <w:rPr>
                <w:sz w:val="2"/>
                <w:szCs w:val="2"/>
              </w:rPr>
            </w:pPr>
          </w:p>
        </w:tc>
        <w:tc>
          <w:tcPr>
            <w:tcW w:w="6330" w:type="dxa"/>
            <w:tcBorders>
              <w:top w:val="nil"/>
              <w:bottom w:val="nil"/>
            </w:tcBorders>
          </w:tcPr>
          <w:p>
            <w:pPr>
              <w:pStyle w:val="TableParagraph"/>
              <w:spacing w:line="251" w:lineRule="exact"/>
              <w:ind w:left="107"/>
              <w:rPr>
                <w:b/>
                <w:sz w:val="20"/>
              </w:rPr>
            </w:pPr>
            <w:r>
              <w:rPr>
                <w:b/>
                <w:w w:val="95"/>
                <w:sz w:val="20"/>
              </w:rPr>
              <w:t>46.植物人状态</w:t>
            </w:r>
          </w:p>
        </w:tc>
      </w:tr>
      <w:tr>
        <w:trPr>
          <w:trHeight w:val="623" w:hRule="atLeast"/>
        </w:trPr>
        <w:tc>
          <w:tcPr>
            <w:tcW w:w="783" w:type="dxa"/>
            <w:vMerge/>
            <w:tcBorders>
              <w:top w:val="nil"/>
            </w:tcBorders>
          </w:tcPr>
          <w:p>
            <w:pPr>
              <w:rPr>
                <w:sz w:val="2"/>
                <w:szCs w:val="2"/>
              </w:rPr>
            </w:pPr>
          </w:p>
        </w:tc>
        <w:tc>
          <w:tcPr>
            <w:tcW w:w="6330" w:type="dxa"/>
            <w:tcBorders>
              <w:top w:val="nil"/>
              <w:bottom w:val="nil"/>
            </w:tcBorders>
          </w:tcPr>
          <w:p>
            <w:pPr>
              <w:pStyle w:val="TableParagraph"/>
              <w:spacing w:line="250" w:lineRule="exact"/>
              <w:ind w:left="107"/>
              <w:rPr>
                <w:b/>
                <w:sz w:val="20"/>
              </w:rPr>
            </w:pPr>
            <w:r>
              <w:rPr>
                <w:b/>
                <w:w w:val="95"/>
                <w:sz w:val="20"/>
              </w:rPr>
              <w:t>47.非阿尔茨海默病所致严重痴呆</w:t>
            </w:r>
          </w:p>
          <w:p>
            <w:pPr>
              <w:pStyle w:val="TableParagraph"/>
              <w:spacing w:before="50"/>
              <w:ind w:left="107"/>
              <w:rPr>
                <w:b/>
                <w:sz w:val="20"/>
              </w:rPr>
            </w:pPr>
            <w:r>
              <w:rPr>
                <w:b/>
                <w:sz w:val="20"/>
              </w:rPr>
              <w:t>48. 埃博拉病毒感染</w:t>
            </w:r>
          </w:p>
        </w:tc>
      </w:tr>
      <w:tr>
        <w:trPr>
          <w:trHeight w:val="312" w:hRule="atLeast"/>
        </w:trPr>
        <w:tc>
          <w:tcPr>
            <w:tcW w:w="783" w:type="dxa"/>
            <w:vMerge/>
            <w:tcBorders>
              <w:top w:val="nil"/>
            </w:tcBorders>
          </w:tcPr>
          <w:p>
            <w:pPr>
              <w:rPr>
                <w:sz w:val="2"/>
                <w:szCs w:val="2"/>
              </w:rPr>
            </w:pPr>
          </w:p>
        </w:tc>
        <w:tc>
          <w:tcPr>
            <w:tcW w:w="6330" w:type="dxa"/>
            <w:tcBorders>
              <w:top w:val="nil"/>
              <w:bottom w:val="nil"/>
            </w:tcBorders>
          </w:tcPr>
          <w:p>
            <w:pPr>
              <w:pStyle w:val="TableParagraph"/>
              <w:spacing w:line="250" w:lineRule="exact"/>
              <w:ind w:left="107"/>
              <w:rPr>
                <w:b/>
                <w:sz w:val="20"/>
              </w:rPr>
            </w:pPr>
            <w:r>
              <w:rPr>
                <w:b/>
                <w:w w:val="95"/>
                <w:sz w:val="20"/>
              </w:rPr>
              <w:t>52.进行性核上性麻痹</w:t>
            </w:r>
          </w:p>
        </w:tc>
      </w:tr>
      <w:tr>
        <w:trPr>
          <w:trHeight w:val="312" w:hRule="atLeast"/>
        </w:trPr>
        <w:tc>
          <w:tcPr>
            <w:tcW w:w="783" w:type="dxa"/>
            <w:vMerge/>
            <w:tcBorders>
              <w:top w:val="nil"/>
            </w:tcBorders>
          </w:tcPr>
          <w:p>
            <w:pPr>
              <w:rPr>
                <w:sz w:val="2"/>
                <w:szCs w:val="2"/>
              </w:rPr>
            </w:pPr>
          </w:p>
        </w:tc>
        <w:tc>
          <w:tcPr>
            <w:tcW w:w="6330" w:type="dxa"/>
            <w:tcBorders>
              <w:top w:val="nil"/>
              <w:bottom w:val="nil"/>
            </w:tcBorders>
          </w:tcPr>
          <w:p>
            <w:pPr>
              <w:pStyle w:val="TableParagraph"/>
              <w:spacing w:line="251" w:lineRule="exact"/>
              <w:ind w:left="107"/>
              <w:rPr>
                <w:b/>
                <w:sz w:val="20"/>
              </w:rPr>
            </w:pPr>
            <w:r>
              <w:rPr>
                <w:b/>
                <w:w w:val="95"/>
                <w:sz w:val="20"/>
              </w:rPr>
              <w:t>53.一肢及单眼缺失</w:t>
            </w:r>
          </w:p>
        </w:tc>
      </w:tr>
      <w:tr>
        <w:trPr>
          <w:trHeight w:val="313" w:hRule="atLeast"/>
        </w:trPr>
        <w:tc>
          <w:tcPr>
            <w:tcW w:w="783" w:type="dxa"/>
            <w:vMerge/>
            <w:tcBorders>
              <w:top w:val="nil"/>
            </w:tcBorders>
          </w:tcPr>
          <w:p>
            <w:pPr>
              <w:rPr>
                <w:sz w:val="2"/>
                <w:szCs w:val="2"/>
              </w:rPr>
            </w:pPr>
          </w:p>
        </w:tc>
        <w:tc>
          <w:tcPr>
            <w:tcW w:w="6330" w:type="dxa"/>
            <w:tcBorders>
              <w:top w:val="nil"/>
            </w:tcBorders>
          </w:tcPr>
          <w:p>
            <w:pPr>
              <w:pStyle w:val="TableParagraph"/>
              <w:spacing w:line="250" w:lineRule="exact"/>
              <w:ind w:left="107"/>
              <w:rPr>
                <w:b/>
                <w:sz w:val="20"/>
              </w:rPr>
            </w:pPr>
            <w:r>
              <w:rPr>
                <w:b/>
                <w:w w:val="95"/>
                <w:sz w:val="20"/>
              </w:rPr>
              <w:t>58.破裂脑动脉瘤夹闭手术</w:t>
            </w:r>
          </w:p>
        </w:tc>
      </w:tr>
      <w:tr>
        <w:trPr>
          <w:trHeight w:val="642" w:hRule="atLeast"/>
        </w:trPr>
        <w:tc>
          <w:tcPr>
            <w:tcW w:w="783" w:type="dxa"/>
            <w:vMerge w:val="restart"/>
          </w:tcPr>
          <w:p>
            <w:pPr>
              <w:pStyle w:val="TableParagraph"/>
              <w:ind w:left="0"/>
              <w:rPr>
                <w:b/>
                <w:sz w:val="20"/>
              </w:rPr>
            </w:pPr>
          </w:p>
          <w:p>
            <w:pPr>
              <w:pStyle w:val="TableParagraph"/>
              <w:ind w:left="0"/>
              <w:rPr>
                <w:b/>
                <w:sz w:val="20"/>
              </w:rPr>
            </w:pPr>
          </w:p>
          <w:p>
            <w:pPr>
              <w:pStyle w:val="TableParagraph"/>
              <w:ind w:left="0"/>
              <w:rPr>
                <w:b/>
                <w:sz w:val="20"/>
              </w:rPr>
            </w:pPr>
          </w:p>
          <w:p>
            <w:pPr>
              <w:pStyle w:val="TableParagraph"/>
              <w:ind w:left="0"/>
              <w:rPr>
                <w:b/>
                <w:sz w:val="20"/>
              </w:rPr>
            </w:pPr>
          </w:p>
          <w:p>
            <w:pPr>
              <w:pStyle w:val="TableParagraph"/>
              <w:ind w:left="0"/>
              <w:rPr>
                <w:b/>
                <w:sz w:val="20"/>
              </w:rPr>
            </w:pPr>
          </w:p>
          <w:p>
            <w:pPr>
              <w:pStyle w:val="TableParagraph"/>
              <w:ind w:left="0"/>
              <w:rPr>
                <w:b/>
                <w:sz w:val="20"/>
              </w:rPr>
            </w:pPr>
          </w:p>
          <w:p>
            <w:pPr>
              <w:pStyle w:val="TableParagraph"/>
              <w:ind w:left="0"/>
              <w:rPr>
                <w:b/>
                <w:sz w:val="20"/>
              </w:rPr>
            </w:pPr>
          </w:p>
          <w:p>
            <w:pPr>
              <w:pStyle w:val="TableParagraph"/>
              <w:ind w:left="0"/>
              <w:rPr>
                <w:b/>
                <w:sz w:val="20"/>
              </w:rPr>
            </w:pPr>
          </w:p>
          <w:p>
            <w:pPr>
              <w:pStyle w:val="TableParagraph"/>
              <w:spacing w:before="8"/>
              <w:ind w:left="0"/>
              <w:rPr>
                <w:b/>
                <w:sz w:val="16"/>
              </w:rPr>
            </w:pPr>
          </w:p>
          <w:p>
            <w:pPr>
              <w:pStyle w:val="TableParagraph"/>
              <w:spacing w:before="1"/>
              <w:ind w:left="213"/>
              <w:rPr>
                <w:b/>
                <w:sz w:val="20"/>
              </w:rPr>
            </w:pPr>
            <w:r>
              <w:rPr>
                <w:b/>
                <w:sz w:val="20"/>
              </w:rPr>
              <w:t>C 组</w:t>
            </w:r>
          </w:p>
        </w:tc>
        <w:tc>
          <w:tcPr>
            <w:tcW w:w="6330" w:type="dxa"/>
            <w:tcBorders>
              <w:bottom w:val="nil"/>
            </w:tcBorders>
          </w:tcPr>
          <w:p>
            <w:pPr>
              <w:pStyle w:val="TableParagraph"/>
              <w:spacing w:before="5"/>
              <w:ind w:left="0"/>
              <w:rPr>
                <w:b/>
                <w:sz w:val="24"/>
              </w:rPr>
            </w:pPr>
          </w:p>
          <w:p>
            <w:pPr>
              <w:pStyle w:val="TableParagraph"/>
              <w:ind w:left="107"/>
              <w:rPr>
                <w:b/>
                <w:sz w:val="20"/>
              </w:rPr>
            </w:pPr>
            <w:r>
              <w:rPr>
                <w:b/>
                <w:sz w:val="20"/>
              </w:rPr>
              <w:t>2. 急性心肌梗塞</w:t>
            </w:r>
          </w:p>
        </w:tc>
      </w:tr>
      <w:tr>
        <w:trPr>
          <w:trHeight w:val="311" w:hRule="atLeast"/>
        </w:trPr>
        <w:tc>
          <w:tcPr>
            <w:tcW w:w="783" w:type="dxa"/>
            <w:vMerge/>
            <w:tcBorders>
              <w:top w:val="nil"/>
            </w:tcBorders>
          </w:tcPr>
          <w:p>
            <w:pPr>
              <w:rPr>
                <w:sz w:val="2"/>
                <w:szCs w:val="2"/>
              </w:rPr>
            </w:pPr>
          </w:p>
        </w:tc>
        <w:tc>
          <w:tcPr>
            <w:tcW w:w="6330" w:type="dxa"/>
            <w:tcBorders>
              <w:top w:val="nil"/>
              <w:bottom w:val="nil"/>
            </w:tcBorders>
          </w:tcPr>
          <w:p>
            <w:pPr>
              <w:pStyle w:val="TableParagraph"/>
              <w:spacing w:line="250" w:lineRule="exact"/>
              <w:ind w:left="107"/>
              <w:rPr>
                <w:b/>
                <w:sz w:val="20"/>
              </w:rPr>
            </w:pPr>
            <w:r>
              <w:rPr>
                <w:b/>
                <w:sz w:val="20"/>
              </w:rPr>
              <w:t>5. 冠状动脉搭桥术（或称冠状动脉旁路移植术）</w:t>
            </w:r>
          </w:p>
        </w:tc>
      </w:tr>
      <w:tr>
        <w:trPr>
          <w:trHeight w:val="312" w:hRule="atLeast"/>
        </w:trPr>
        <w:tc>
          <w:tcPr>
            <w:tcW w:w="783" w:type="dxa"/>
            <w:vMerge/>
            <w:tcBorders>
              <w:top w:val="nil"/>
            </w:tcBorders>
          </w:tcPr>
          <w:p>
            <w:pPr>
              <w:rPr>
                <w:sz w:val="2"/>
                <w:szCs w:val="2"/>
              </w:rPr>
            </w:pPr>
          </w:p>
        </w:tc>
        <w:tc>
          <w:tcPr>
            <w:tcW w:w="6330" w:type="dxa"/>
            <w:tcBorders>
              <w:top w:val="nil"/>
              <w:bottom w:val="nil"/>
            </w:tcBorders>
          </w:tcPr>
          <w:p>
            <w:pPr>
              <w:pStyle w:val="TableParagraph"/>
              <w:spacing w:line="250" w:lineRule="exact"/>
              <w:ind w:left="107"/>
              <w:rPr>
                <w:b/>
                <w:sz w:val="20"/>
              </w:rPr>
            </w:pPr>
            <w:r>
              <w:rPr>
                <w:b/>
                <w:w w:val="95"/>
                <w:sz w:val="20"/>
              </w:rPr>
              <w:t>15.心脏瓣膜手术</w:t>
            </w:r>
          </w:p>
        </w:tc>
      </w:tr>
      <w:tr>
        <w:trPr>
          <w:trHeight w:val="312" w:hRule="atLeast"/>
        </w:trPr>
        <w:tc>
          <w:tcPr>
            <w:tcW w:w="783" w:type="dxa"/>
            <w:vMerge/>
            <w:tcBorders>
              <w:top w:val="nil"/>
            </w:tcBorders>
          </w:tcPr>
          <w:p>
            <w:pPr>
              <w:rPr>
                <w:sz w:val="2"/>
                <w:szCs w:val="2"/>
              </w:rPr>
            </w:pPr>
          </w:p>
        </w:tc>
        <w:tc>
          <w:tcPr>
            <w:tcW w:w="6330" w:type="dxa"/>
            <w:tcBorders>
              <w:top w:val="nil"/>
              <w:bottom w:val="nil"/>
            </w:tcBorders>
          </w:tcPr>
          <w:p>
            <w:pPr>
              <w:pStyle w:val="TableParagraph"/>
              <w:spacing w:line="251" w:lineRule="exact"/>
              <w:ind w:left="107"/>
              <w:rPr>
                <w:b/>
                <w:sz w:val="20"/>
              </w:rPr>
            </w:pPr>
            <w:r>
              <w:rPr>
                <w:b/>
                <w:w w:val="95"/>
                <w:sz w:val="20"/>
              </w:rPr>
              <w:t>19.严重Ⅲ度烧伤</w:t>
            </w:r>
          </w:p>
        </w:tc>
      </w:tr>
      <w:tr>
        <w:trPr>
          <w:trHeight w:val="311" w:hRule="atLeast"/>
        </w:trPr>
        <w:tc>
          <w:tcPr>
            <w:tcW w:w="783" w:type="dxa"/>
            <w:vMerge/>
            <w:tcBorders>
              <w:top w:val="nil"/>
            </w:tcBorders>
          </w:tcPr>
          <w:p>
            <w:pPr>
              <w:rPr>
                <w:sz w:val="2"/>
                <w:szCs w:val="2"/>
              </w:rPr>
            </w:pPr>
          </w:p>
        </w:tc>
        <w:tc>
          <w:tcPr>
            <w:tcW w:w="6330" w:type="dxa"/>
            <w:tcBorders>
              <w:top w:val="nil"/>
              <w:bottom w:val="nil"/>
            </w:tcBorders>
          </w:tcPr>
          <w:p>
            <w:pPr>
              <w:pStyle w:val="TableParagraph"/>
              <w:spacing w:line="250" w:lineRule="exact"/>
              <w:ind w:left="107"/>
              <w:rPr>
                <w:b/>
                <w:sz w:val="20"/>
              </w:rPr>
            </w:pPr>
            <w:r>
              <w:rPr>
                <w:b/>
                <w:w w:val="95"/>
                <w:sz w:val="20"/>
              </w:rPr>
              <w:t>24.主动脉手术</w:t>
            </w:r>
          </w:p>
        </w:tc>
      </w:tr>
      <w:tr>
        <w:trPr>
          <w:trHeight w:val="312" w:hRule="atLeast"/>
        </w:trPr>
        <w:tc>
          <w:tcPr>
            <w:tcW w:w="783" w:type="dxa"/>
            <w:vMerge/>
            <w:tcBorders>
              <w:top w:val="nil"/>
            </w:tcBorders>
          </w:tcPr>
          <w:p>
            <w:pPr>
              <w:rPr>
                <w:sz w:val="2"/>
                <w:szCs w:val="2"/>
              </w:rPr>
            </w:pPr>
          </w:p>
        </w:tc>
        <w:tc>
          <w:tcPr>
            <w:tcW w:w="6330" w:type="dxa"/>
            <w:tcBorders>
              <w:top w:val="nil"/>
              <w:bottom w:val="nil"/>
            </w:tcBorders>
          </w:tcPr>
          <w:p>
            <w:pPr>
              <w:pStyle w:val="TableParagraph"/>
              <w:spacing w:line="250" w:lineRule="exact"/>
              <w:ind w:left="107"/>
              <w:rPr>
                <w:b/>
                <w:sz w:val="20"/>
              </w:rPr>
            </w:pPr>
            <w:r>
              <w:rPr>
                <w:b/>
                <w:w w:val="95"/>
                <w:sz w:val="20"/>
              </w:rPr>
              <w:t>25.原发性心肌病</w:t>
            </w:r>
          </w:p>
        </w:tc>
      </w:tr>
      <w:tr>
        <w:trPr>
          <w:trHeight w:val="312" w:hRule="atLeast"/>
        </w:trPr>
        <w:tc>
          <w:tcPr>
            <w:tcW w:w="783" w:type="dxa"/>
            <w:vMerge/>
            <w:tcBorders>
              <w:top w:val="nil"/>
            </w:tcBorders>
          </w:tcPr>
          <w:p>
            <w:pPr>
              <w:rPr>
                <w:sz w:val="2"/>
                <w:szCs w:val="2"/>
              </w:rPr>
            </w:pPr>
          </w:p>
        </w:tc>
        <w:tc>
          <w:tcPr>
            <w:tcW w:w="6330" w:type="dxa"/>
            <w:tcBorders>
              <w:top w:val="nil"/>
              <w:bottom w:val="nil"/>
            </w:tcBorders>
          </w:tcPr>
          <w:p>
            <w:pPr>
              <w:pStyle w:val="TableParagraph"/>
              <w:spacing w:line="251" w:lineRule="exact"/>
              <w:ind w:left="107"/>
              <w:rPr>
                <w:b/>
                <w:sz w:val="20"/>
              </w:rPr>
            </w:pPr>
            <w:r>
              <w:rPr>
                <w:b/>
                <w:w w:val="95"/>
                <w:sz w:val="20"/>
              </w:rPr>
              <w:t>27.经输血导致的人类免疫缺陷病毒感染</w:t>
            </w:r>
          </w:p>
        </w:tc>
      </w:tr>
      <w:tr>
        <w:trPr>
          <w:trHeight w:val="311" w:hRule="atLeast"/>
        </w:trPr>
        <w:tc>
          <w:tcPr>
            <w:tcW w:w="783" w:type="dxa"/>
            <w:vMerge/>
            <w:tcBorders>
              <w:top w:val="nil"/>
            </w:tcBorders>
          </w:tcPr>
          <w:p>
            <w:pPr>
              <w:rPr>
                <w:sz w:val="2"/>
                <w:szCs w:val="2"/>
              </w:rPr>
            </w:pPr>
          </w:p>
        </w:tc>
        <w:tc>
          <w:tcPr>
            <w:tcW w:w="6330" w:type="dxa"/>
            <w:tcBorders>
              <w:top w:val="nil"/>
              <w:bottom w:val="nil"/>
            </w:tcBorders>
          </w:tcPr>
          <w:p>
            <w:pPr>
              <w:pStyle w:val="TableParagraph"/>
              <w:spacing w:line="250" w:lineRule="exact"/>
              <w:ind w:left="107"/>
              <w:rPr>
                <w:b/>
                <w:sz w:val="20"/>
              </w:rPr>
            </w:pPr>
            <w:r>
              <w:rPr>
                <w:b/>
                <w:w w:val="95"/>
                <w:sz w:val="20"/>
              </w:rPr>
              <w:t>37.坏死性筋膜炎</w:t>
            </w:r>
          </w:p>
        </w:tc>
      </w:tr>
      <w:tr>
        <w:trPr>
          <w:trHeight w:val="312" w:hRule="atLeast"/>
        </w:trPr>
        <w:tc>
          <w:tcPr>
            <w:tcW w:w="783" w:type="dxa"/>
            <w:vMerge/>
            <w:tcBorders>
              <w:top w:val="nil"/>
            </w:tcBorders>
          </w:tcPr>
          <w:p>
            <w:pPr>
              <w:rPr>
                <w:sz w:val="2"/>
                <w:szCs w:val="2"/>
              </w:rPr>
            </w:pPr>
          </w:p>
        </w:tc>
        <w:tc>
          <w:tcPr>
            <w:tcW w:w="6330" w:type="dxa"/>
            <w:tcBorders>
              <w:top w:val="nil"/>
              <w:bottom w:val="nil"/>
            </w:tcBorders>
          </w:tcPr>
          <w:p>
            <w:pPr>
              <w:pStyle w:val="TableParagraph"/>
              <w:spacing w:line="250" w:lineRule="exact"/>
              <w:ind w:left="107"/>
              <w:rPr>
                <w:b/>
                <w:sz w:val="20"/>
              </w:rPr>
            </w:pPr>
            <w:r>
              <w:rPr>
                <w:b/>
                <w:w w:val="95"/>
                <w:sz w:val="20"/>
              </w:rPr>
              <w:t>40.象皮病</w:t>
            </w:r>
          </w:p>
        </w:tc>
      </w:tr>
      <w:tr>
        <w:trPr>
          <w:trHeight w:val="312" w:hRule="atLeast"/>
        </w:trPr>
        <w:tc>
          <w:tcPr>
            <w:tcW w:w="783" w:type="dxa"/>
            <w:vMerge/>
            <w:tcBorders>
              <w:top w:val="nil"/>
            </w:tcBorders>
          </w:tcPr>
          <w:p>
            <w:pPr>
              <w:rPr>
                <w:sz w:val="2"/>
                <w:szCs w:val="2"/>
              </w:rPr>
            </w:pPr>
          </w:p>
        </w:tc>
        <w:tc>
          <w:tcPr>
            <w:tcW w:w="6330" w:type="dxa"/>
            <w:tcBorders>
              <w:top w:val="nil"/>
              <w:bottom w:val="nil"/>
            </w:tcBorders>
          </w:tcPr>
          <w:p>
            <w:pPr>
              <w:pStyle w:val="TableParagraph"/>
              <w:spacing w:line="251" w:lineRule="exact"/>
              <w:ind w:left="107"/>
              <w:rPr>
                <w:b/>
                <w:sz w:val="20"/>
              </w:rPr>
            </w:pPr>
            <w:r>
              <w:rPr>
                <w:b/>
                <w:w w:val="95"/>
                <w:sz w:val="20"/>
              </w:rPr>
              <w:t>43.严重类风湿性关节炎</w:t>
            </w:r>
          </w:p>
        </w:tc>
      </w:tr>
      <w:tr>
        <w:trPr>
          <w:trHeight w:val="311" w:hRule="atLeast"/>
        </w:trPr>
        <w:tc>
          <w:tcPr>
            <w:tcW w:w="783" w:type="dxa"/>
            <w:vMerge/>
            <w:tcBorders>
              <w:top w:val="nil"/>
            </w:tcBorders>
          </w:tcPr>
          <w:p>
            <w:pPr>
              <w:rPr>
                <w:sz w:val="2"/>
                <w:szCs w:val="2"/>
              </w:rPr>
            </w:pPr>
          </w:p>
        </w:tc>
        <w:tc>
          <w:tcPr>
            <w:tcW w:w="6330" w:type="dxa"/>
            <w:tcBorders>
              <w:top w:val="nil"/>
              <w:bottom w:val="nil"/>
            </w:tcBorders>
          </w:tcPr>
          <w:p>
            <w:pPr>
              <w:pStyle w:val="TableParagraph"/>
              <w:spacing w:line="250" w:lineRule="exact"/>
              <w:ind w:left="107"/>
              <w:rPr>
                <w:b/>
                <w:sz w:val="20"/>
              </w:rPr>
            </w:pPr>
            <w:r>
              <w:rPr>
                <w:b/>
                <w:w w:val="95"/>
                <w:sz w:val="20"/>
              </w:rPr>
              <w:t>44.严重心肌炎</w:t>
            </w:r>
          </w:p>
        </w:tc>
      </w:tr>
      <w:tr>
        <w:trPr>
          <w:trHeight w:val="312" w:hRule="atLeast"/>
        </w:trPr>
        <w:tc>
          <w:tcPr>
            <w:tcW w:w="783" w:type="dxa"/>
            <w:vMerge/>
            <w:tcBorders>
              <w:top w:val="nil"/>
            </w:tcBorders>
          </w:tcPr>
          <w:p>
            <w:pPr>
              <w:rPr>
                <w:sz w:val="2"/>
                <w:szCs w:val="2"/>
              </w:rPr>
            </w:pPr>
          </w:p>
        </w:tc>
        <w:tc>
          <w:tcPr>
            <w:tcW w:w="6330" w:type="dxa"/>
            <w:tcBorders>
              <w:top w:val="nil"/>
              <w:bottom w:val="nil"/>
            </w:tcBorders>
          </w:tcPr>
          <w:p>
            <w:pPr>
              <w:pStyle w:val="TableParagraph"/>
              <w:spacing w:line="250" w:lineRule="exact"/>
              <w:ind w:left="107"/>
              <w:rPr>
                <w:b/>
                <w:sz w:val="20"/>
              </w:rPr>
            </w:pPr>
            <w:r>
              <w:rPr>
                <w:b/>
                <w:w w:val="95"/>
                <w:sz w:val="20"/>
              </w:rPr>
              <w:t>56.感染性心内膜炎</w:t>
            </w:r>
          </w:p>
        </w:tc>
      </w:tr>
      <w:tr>
        <w:trPr>
          <w:trHeight w:val="312" w:hRule="atLeast"/>
        </w:trPr>
        <w:tc>
          <w:tcPr>
            <w:tcW w:w="783" w:type="dxa"/>
            <w:vMerge/>
            <w:tcBorders>
              <w:top w:val="nil"/>
            </w:tcBorders>
          </w:tcPr>
          <w:p>
            <w:pPr>
              <w:rPr>
                <w:sz w:val="2"/>
                <w:szCs w:val="2"/>
              </w:rPr>
            </w:pPr>
          </w:p>
        </w:tc>
        <w:tc>
          <w:tcPr>
            <w:tcW w:w="6330" w:type="dxa"/>
            <w:tcBorders>
              <w:top w:val="nil"/>
              <w:bottom w:val="nil"/>
            </w:tcBorders>
          </w:tcPr>
          <w:p>
            <w:pPr>
              <w:pStyle w:val="TableParagraph"/>
              <w:spacing w:line="251" w:lineRule="exact"/>
              <w:ind w:left="107"/>
              <w:rPr>
                <w:b/>
                <w:sz w:val="20"/>
              </w:rPr>
            </w:pPr>
            <w:r>
              <w:rPr>
                <w:b/>
                <w:w w:val="95"/>
                <w:sz w:val="20"/>
              </w:rPr>
              <w:t>59.因职业关系导致的人类免疫缺陷病毒感染</w:t>
            </w:r>
          </w:p>
        </w:tc>
      </w:tr>
      <w:tr>
        <w:trPr>
          <w:trHeight w:val="313" w:hRule="atLeast"/>
        </w:trPr>
        <w:tc>
          <w:tcPr>
            <w:tcW w:w="783" w:type="dxa"/>
            <w:vMerge/>
            <w:tcBorders>
              <w:top w:val="nil"/>
            </w:tcBorders>
          </w:tcPr>
          <w:p>
            <w:pPr>
              <w:rPr>
                <w:sz w:val="2"/>
                <w:szCs w:val="2"/>
              </w:rPr>
            </w:pPr>
          </w:p>
        </w:tc>
        <w:tc>
          <w:tcPr>
            <w:tcW w:w="6330" w:type="dxa"/>
            <w:tcBorders>
              <w:top w:val="nil"/>
            </w:tcBorders>
          </w:tcPr>
          <w:p>
            <w:pPr>
              <w:pStyle w:val="TableParagraph"/>
              <w:spacing w:line="250" w:lineRule="exact"/>
              <w:ind w:left="107"/>
              <w:rPr>
                <w:b/>
                <w:sz w:val="20"/>
              </w:rPr>
            </w:pPr>
            <w:r>
              <w:rPr>
                <w:b/>
                <w:w w:val="95"/>
                <w:sz w:val="20"/>
              </w:rPr>
              <w:t>60.严重冠状动脉粥样硬化性心脏病</w:t>
            </w:r>
          </w:p>
        </w:tc>
      </w:tr>
    </w:tbl>
    <w:p>
      <w:pPr>
        <w:pStyle w:val="BodyText"/>
        <w:rPr>
          <w:b/>
          <w:sz w:val="8"/>
        </w:rPr>
      </w:pPr>
    </w:p>
    <w:p>
      <w:pPr>
        <w:tabs>
          <w:tab w:pos="1481" w:val="left" w:leader="none"/>
        </w:tabs>
        <w:spacing w:before="37"/>
        <w:ind w:left="400" w:right="0" w:firstLine="0"/>
        <w:jc w:val="left"/>
        <w:rPr>
          <w:b/>
          <w:sz w:val="20"/>
        </w:rPr>
      </w:pPr>
      <w:r>
        <w:rPr/>
        <w:pict>
          <v:group style="position:absolute;margin-left:47.639999pt;margin-top:17.849649pt;width:512.4pt;height:.5pt;mso-position-horizontal-relative:page;mso-position-vertical-relative:paragraph;z-index:1072;mso-wrap-distance-left:0;mso-wrap-distance-right:0" coordorigin="953,357" coordsize="10248,10">
            <v:line style="position:absolute" from="953,362" to="1616,362" stroked="true" strokeweight=".48004pt" strokecolor="#000000">
              <v:stroke dashstyle="solid"/>
            </v:line>
            <v:rect style="position:absolute;left:1615;top:356;width:10;height:10" filled="true" fillcolor="#000000" stroked="false">
              <v:fill type="solid"/>
            </v:rect>
            <v:line style="position:absolute" from="1625,362" to="3260,362" stroked="true" strokeweight=".48004pt" strokecolor="#000000">
              <v:stroke dashstyle="solid"/>
            </v:line>
            <v:rect style="position:absolute;left:3259;top:356;width:10;height:10" filled="true" fillcolor="#000000" stroked="false">
              <v:fill type="solid"/>
            </v:rect>
            <v:line style="position:absolute" from="3269,362" to="11200,362" stroked="true" strokeweight=".48004pt" strokecolor="#000000">
              <v:stroke dashstyle="solid"/>
            </v:line>
            <w10:wrap type="topAndBottom"/>
          </v:group>
        </w:pict>
      </w:r>
      <w:r>
        <w:rPr>
          <w:b/>
          <w:sz w:val="20"/>
        </w:rPr>
        <w:t>第三部分</w:t>
        <w:tab/>
      </w:r>
      <w:r>
        <w:rPr>
          <w:b/>
          <w:w w:val="95"/>
          <w:sz w:val="20"/>
        </w:rPr>
        <w:t>如何支付保险费</w:t>
      </w:r>
    </w:p>
    <w:p>
      <w:pPr>
        <w:pStyle w:val="BodyText"/>
        <w:spacing w:before="5"/>
        <w:rPr>
          <w:b/>
          <w:sz w:val="6"/>
        </w:rPr>
      </w:pPr>
    </w:p>
    <w:p>
      <w:pPr>
        <w:spacing w:after="0"/>
        <w:rPr>
          <w:sz w:val="6"/>
        </w:rPr>
        <w:sectPr>
          <w:pgSz w:w="11910" w:h="16840"/>
          <w:pgMar w:header="0" w:footer="831" w:top="1120" w:bottom="1100" w:left="840" w:right="600"/>
        </w:sectPr>
      </w:pPr>
    </w:p>
    <w:p>
      <w:pPr>
        <w:tabs>
          <w:tab w:pos="883" w:val="left" w:leader="none"/>
        </w:tabs>
        <w:spacing w:line="285" w:lineRule="auto" w:before="37"/>
        <w:ind w:left="883" w:right="0" w:hanging="663"/>
        <w:jc w:val="left"/>
        <w:rPr>
          <w:b/>
          <w:sz w:val="20"/>
        </w:rPr>
      </w:pPr>
      <w:r>
        <w:rPr>
          <w:b/>
          <w:sz w:val="20"/>
        </w:rPr>
        <w:t>3.1</w:t>
        <w:tab/>
      </w:r>
      <w:r>
        <w:rPr>
          <w:b/>
          <w:spacing w:val="1"/>
          <w:w w:val="95"/>
          <w:sz w:val="20"/>
        </w:rPr>
        <w:t>保险费的支付及 </w:t>
      </w:r>
      <w:r>
        <w:rPr>
          <w:b/>
          <w:spacing w:val="1"/>
          <w:sz w:val="20"/>
        </w:rPr>
        <w:t>宽限期</w:t>
      </w:r>
    </w:p>
    <w:p>
      <w:pPr>
        <w:pStyle w:val="BodyText"/>
        <w:spacing w:line="285" w:lineRule="auto" w:before="37"/>
        <w:ind w:left="179" w:right="115"/>
      </w:pPr>
      <w:r>
        <w:rPr/>
        <w:br w:type="column"/>
      </w:r>
      <w:r>
        <w:rPr>
          <w:spacing w:val="-8"/>
          <w:w w:val="95"/>
        </w:rPr>
        <w:t>您可选择本合同提供的交费方式支付保险费，并在保险单中约定。若您选择一次交清方式，   </w:t>
      </w:r>
      <w:r>
        <w:rPr>
          <w:spacing w:val="-12"/>
        </w:rPr>
        <w:t>保险费应在保单生效日之前一次付清；若您选择分期交费方式，保险费支付期应于保险单</w:t>
      </w:r>
      <w:r>
        <w:rPr>
          <w:spacing w:val="-11"/>
        </w:rPr>
        <w:t>中约定，首期保险费应在保单生效日之前支付，其余各期保险费应在保险单中所载的保险</w:t>
      </w:r>
      <w:r>
        <w:rPr>
          <w:spacing w:val="-11"/>
          <w:w w:val="95"/>
        </w:rPr>
        <w:t>费约定支付日支付。</w:t>
      </w:r>
    </w:p>
    <w:p>
      <w:pPr>
        <w:pStyle w:val="BodyText"/>
        <w:spacing w:line="285" w:lineRule="auto" w:before="167"/>
        <w:ind w:left="179" w:right="217"/>
      </w:pPr>
      <w:r>
        <w:rPr>
          <w:spacing w:val="-6"/>
          <w:w w:val="95"/>
        </w:rPr>
        <w:t>分期支付保险费的，您支付首期保险费后，除本合同另有约定外，如果您到期未支付当期   应交保险费，自保险费约定支付日的次日零时起六十日为宽限期。</w:t>
      </w:r>
    </w:p>
    <w:p>
      <w:pPr>
        <w:spacing w:line="237" w:lineRule="auto" w:before="146"/>
        <w:ind w:left="179" w:right="306" w:firstLine="0"/>
        <w:jc w:val="left"/>
        <w:rPr>
          <w:b/>
          <w:sz w:val="20"/>
        </w:rPr>
      </w:pPr>
      <w:r>
        <w:rPr>
          <w:sz w:val="20"/>
        </w:rPr>
        <w:t>对于在宽限期内发生的保险事故，我们仍会承担保险责任，但在给付保险金时会扣减您</w:t>
      </w:r>
      <w:r>
        <w:rPr>
          <w:w w:val="95"/>
          <w:sz w:val="20"/>
        </w:rPr>
        <w:t>欠交的保险费；</w:t>
      </w:r>
      <w:r>
        <w:rPr>
          <w:b/>
          <w:w w:val="95"/>
          <w:sz w:val="20"/>
        </w:rPr>
        <w:t>如果宽限期结束时您仍未支付当期应交保险费，则本合同自宽限期满的</w:t>
      </w:r>
    </w:p>
    <w:p>
      <w:pPr>
        <w:spacing w:after="0" w:line="237" w:lineRule="auto"/>
        <w:jc w:val="left"/>
        <w:rPr>
          <w:sz w:val="20"/>
        </w:rPr>
        <w:sectPr>
          <w:type w:val="continuous"/>
          <w:pgSz w:w="11910" w:h="16840"/>
          <w:pgMar w:top="640" w:bottom="1020" w:left="840" w:right="600"/>
          <w:cols w:num="2" w:equalWidth="0">
            <w:col w:w="2311" w:space="40"/>
            <w:col w:w="8119"/>
          </w:cols>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37"/>
        <w:gridCol w:w="1730"/>
        <w:gridCol w:w="7981"/>
      </w:tblGrid>
      <w:tr>
        <w:trPr>
          <w:trHeight w:val="320" w:hRule="atLeast"/>
        </w:trPr>
        <w:tc>
          <w:tcPr>
            <w:tcW w:w="537" w:type="dxa"/>
          </w:tcPr>
          <w:p>
            <w:pPr>
              <w:pStyle w:val="TableParagraph"/>
              <w:ind w:left="0"/>
              <w:rPr>
                <w:rFonts w:ascii="Times New Roman"/>
                <w:sz w:val="18"/>
              </w:rPr>
            </w:pPr>
          </w:p>
        </w:tc>
        <w:tc>
          <w:tcPr>
            <w:tcW w:w="1730" w:type="dxa"/>
          </w:tcPr>
          <w:p>
            <w:pPr>
              <w:pStyle w:val="TableParagraph"/>
              <w:ind w:left="0"/>
              <w:rPr>
                <w:rFonts w:ascii="Times New Roman"/>
                <w:sz w:val="18"/>
              </w:rPr>
            </w:pPr>
          </w:p>
        </w:tc>
        <w:tc>
          <w:tcPr>
            <w:tcW w:w="7981" w:type="dxa"/>
          </w:tcPr>
          <w:p>
            <w:pPr>
              <w:pStyle w:val="TableParagraph"/>
              <w:spacing w:line="199" w:lineRule="exact"/>
              <w:ind w:left="150"/>
              <w:rPr>
                <w:sz w:val="20"/>
              </w:rPr>
            </w:pPr>
            <w:r>
              <w:rPr>
                <w:b/>
                <w:w w:val="95"/>
                <w:sz w:val="20"/>
              </w:rPr>
              <w:t>次日零时起效力中止，</w:t>
            </w:r>
            <w:r>
              <w:rPr>
                <w:w w:val="95"/>
                <w:sz w:val="20"/>
              </w:rPr>
              <w:t>但本合同另有约定的除外。</w:t>
            </w:r>
          </w:p>
        </w:tc>
      </w:tr>
      <w:tr>
        <w:trPr>
          <w:trHeight w:val="4002" w:hRule="atLeast"/>
        </w:trPr>
        <w:tc>
          <w:tcPr>
            <w:tcW w:w="537" w:type="dxa"/>
          </w:tcPr>
          <w:p>
            <w:pPr>
              <w:pStyle w:val="TableParagraph"/>
              <w:spacing w:before="58"/>
              <w:ind w:left="0" w:right="124"/>
              <w:jc w:val="right"/>
              <w:rPr>
                <w:b/>
                <w:sz w:val="20"/>
              </w:rPr>
            </w:pPr>
            <w:r>
              <w:rPr>
                <w:b/>
                <w:w w:val="95"/>
                <w:sz w:val="20"/>
              </w:rPr>
              <w:t>3.2</w:t>
            </w:r>
          </w:p>
        </w:tc>
        <w:tc>
          <w:tcPr>
            <w:tcW w:w="1730" w:type="dxa"/>
          </w:tcPr>
          <w:p>
            <w:pPr>
              <w:pStyle w:val="TableParagraph"/>
              <w:spacing w:line="285" w:lineRule="auto" w:before="58"/>
              <w:ind w:left="233" w:right="67"/>
              <w:rPr>
                <w:b/>
                <w:sz w:val="20"/>
              </w:rPr>
            </w:pPr>
            <w:r>
              <w:rPr>
                <w:b/>
                <w:w w:val="95"/>
                <w:sz w:val="20"/>
              </w:rPr>
              <w:t>保险费的自动垫</w:t>
            </w:r>
            <w:r>
              <w:rPr>
                <w:b/>
                <w:sz w:val="20"/>
              </w:rPr>
              <w:t>交</w:t>
            </w:r>
          </w:p>
        </w:tc>
        <w:tc>
          <w:tcPr>
            <w:tcW w:w="7981" w:type="dxa"/>
          </w:tcPr>
          <w:p>
            <w:pPr>
              <w:pStyle w:val="TableParagraph"/>
              <w:numPr>
                <w:ilvl w:val="0"/>
                <w:numId w:val="15"/>
              </w:numPr>
              <w:tabs>
                <w:tab w:pos="763" w:val="left" w:leader="none"/>
              </w:tabs>
              <w:spacing w:line="285" w:lineRule="auto" w:before="58" w:after="0"/>
              <w:ind w:left="762" w:right="194" w:hanging="612"/>
              <w:jc w:val="both"/>
              <w:rPr>
                <w:b/>
                <w:sz w:val="20"/>
              </w:rPr>
            </w:pPr>
            <w:r>
              <w:rPr>
                <w:b/>
                <w:w w:val="95"/>
                <w:sz w:val="20"/>
              </w:rPr>
              <w:t>如您未选择保险费的自动垫交选项的，若宽限期结束时您仍未支付当期应交保险  费，则本合同及所附的附加合同效力中止。</w:t>
            </w:r>
          </w:p>
          <w:p>
            <w:pPr>
              <w:pStyle w:val="TableParagraph"/>
              <w:numPr>
                <w:ilvl w:val="0"/>
                <w:numId w:val="15"/>
              </w:numPr>
              <w:tabs>
                <w:tab w:pos="763" w:val="left" w:leader="none"/>
              </w:tabs>
              <w:spacing w:line="285" w:lineRule="auto" w:before="167" w:after="0"/>
              <w:ind w:left="762" w:right="212" w:hanging="612"/>
              <w:jc w:val="both"/>
              <w:rPr>
                <w:sz w:val="20"/>
              </w:rPr>
            </w:pPr>
            <w:r>
              <w:rPr>
                <w:sz w:val="20"/>
              </w:rPr>
              <w:t>如您选择保险费自动垫交选项的，若宽限期结束时您仍未支付当期应交保险费， </w:t>
            </w:r>
            <w:r>
              <w:rPr>
                <w:w w:val="95"/>
                <w:sz w:val="20"/>
              </w:rPr>
              <w:t>且本合同及所附的附加合同的现金价值的和在减去</w:t>
            </w:r>
            <w:r>
              <w:rPr>
                <w:b/>
                <w:w w:val="95"/>
                <w:sz w:val="20"/>
              </w:rPr>
              <w:t>保单欠款</w:t>
            </w:r>
            <w:r>
              <w:rPr>
                <w:b/>
                <w:w w:val="95"/>
                <w:position w:val="10"/>
                <w:sz w:val="10"/>
              </w:rPr>
              <w:t>[21]</w:t>
            </w:r>
            <w:r>
              <w:rPr>
                <w:w w:val="95"/>
                <w:sz w:val="20"/>
              </w:rPr>
              <w:t>后的净额足以垫交  </w:t>
            </w:r>
            <w:r>
              <w:rPr>
                <w:sz w:val="20"/>
              </w:rPr>
              <w:t>本合同及所附的附加合同的当期应交保险费及其</w:t>
            </w:r>
            <w:r>
              <w:rPr>
                <w:b/>
                <w:sz w:val="20"/>
              </w:rPr>
              <w:t>利息</w:t>
            </w:r>
            <w:r>
              <w:rPr>
                <w:b/>
                <w:position w:val="10"/>
                <w:sz w:val="10"/>
              </w:rPr>
              <w:t>[22]</w:t>
            </w:r>
            <w:r>
              <w:rPr>
                <w:sz w:val="20"/>
              </w:rPr>
              <w:t>，我们有权自动为您垫交应交保险费，使本合同及所附的附加合同继续有效，直到我们收到您的书面反对声明为止。垫交保险费视作保单贷款，其利率同保单贷款利率，并自保险费自动</w:t>
            </w:r>
            <w:r>
              <w:rPr>
                <w:w w:val="95"/>
                <w:sz w:val="20"/>
              </w:rPr>
              <w:t>垫交发生之日起予以计息。</w:t>
            </w:r>
          </w:p>
          <w:p>
            <w:pPr>
              <w:pStyle w:val="TableParagraph"/>
              <w:spacing w:line="237" w:lineRule="auto" w:before="146"/>
              <w:ind w:left="759" w:right="190"/>
              <w:jc w:val="both"/>
              <w:rPr>
                <w:sz w:val="20"/>
              </w:rPr>
            </w:pPr>
            <w:r>
              <w:rPr>
                <w:b/>
                <w:w w:val="95"/>
                <w:sz w:val="20"/>
              </w:rPr>
              <w:t>如您选择保险费自动垫交选项的，若宽限期结束时您仍未支付当期应交保险费，  </w:t>
            </w:r>
            <w:r>
              <w:rPr>
                <w:b/>
                <w:sz w:val="20"/>
              </w:rPr>
              <w:t>且本合同及所附的附加合同的现金价值的和在减去保单欠款后的净额不足以垫交</w:t>
            </w:r>
            <w:r>
              <w:rPr>
                <w:b/>
                <w:w w:val="95"/>
                <w:sz w:val="20"/>
              </w:rPr>
              <w:t>本合同及所附的附加合同的当期应交保险费及其利息时，本合同及所附的附加合  </w:t>
            </w:r>
            <w:r>
              <w:rPr>
                <w:b/>
                <w:sz w:val="20"/>
              </w:rPr>
              <w:t>同效力中止</w:t>
            </w:r>
            <w:r>
              <w:rPr>
                <w:sz w:val="20"/>
              </w:rPr>
              <w:t>。</w:t>
            </w:r>
          </w:p>
        </w:tc>
      </w:tr>
      <w:tr>
        <w:trPr>
          <w:trHeight w:val="2637" w:hRule="atLeast"/>
        </w:trPr>
        <w:tc>
          <w:tcPr>
            <w:tcW w:w="537" w:type="dxa"/>
          </w:tcPr>
          <w:p>
            <w:pPr>
              <w:pStyle w:val="TableParagraph"/>
              <w:spacing w:before="58"/>
              <w:ind w:left="0" w:right="124"/>
              <w:jc w:val="right"/>
              <w:rPr>
                <w:b/>
                <w:sz w:val="20"/>
              </w:rPr>
            </w:pPr>
            <w:r>
              <w:rPr>
                <w:b/>
                <w:w w:val="95"/>
                <w:sz w:val="20"/>
              </w:rPr>
              <w:t>3.3</w:t>
            </w:r>
          </w:p>
        </w:tc>
        <w:tc>
          <w:tcPr>
            <w:tcW w:w="1730" w:type="dxa"/>
          </w:tcPr>
          <w:p>
            <w:pPr>
              <w:pStyle w:val="TableParagraph"/>
              <w:spacing w:before="58"/>
              <w:ind w:left="233"/>
              <w:rPr>
                <w:b/>
                <w:sz w:val="20"/>
              </w:rPr>
            </w:pPr>
            <w:r>
              <w:rPr>
                <w:b/>
                <w:w w:val="95"/>
                <w:sz w:val="20"/>
              </w:rPr>
              <w:t>减额交清选择</w:t>
            </w:r>
          </w:p>
        </w:tc>
        <w:tc>
          <w:tcPr>
            <w:tcW w:w="7981" w:type="dxa"/>
          </w:tcPr>
          <w:p>
            <w:pPr>
              <w:pStyle w:val="TableParagraph"/>
              <w:spacing w:line="285" w:lineRule="auto" w:before="58"/>
              <w:ind w:left="150" w:right="106"/>
              <w:jc w:val="both"/>
              <w:rPr>
                <w:b/>
                <w:sz w:val="20"/>
              </w:rPr>
            </w:pPr>
            <w:r>
              <w:rPr>
                <w:b/>
                <w:sz w:val="20"/>
              </w:rPr>
              <w:t>在本合同约定的期间内，您可以申请减额交清。经我们同意，我们以当时本合同的现金价值扣除保单欠款后的净额作为一次交清的保险费，同时相应减少本合同的基本保险金</w:t>
            </w:r>
            <w:r>
              <w:rPr>
                <w:b/>
                <w:w w:val="95"/>
                <w:sz w:val="20"/>
              </w:rPr>
              <w:t>额。减少后的基本保险金额将代替原保险单所载的基本保险金额。</w:t>
            </w:r>
          </w:p>
          <w:p>
            <w:pPr>
              <w:pStyle w:val="TableParagraph"/>
              <w:spacing w:line="285" w:lineRule="auto" w:before="168"/>
              <w:ind w:left="150" w:right="104"/>
              <w:jc w:val="both"/>
              <w:rPr>
                <w:b/>
                <w:sz w:val="20"/>
              </w:rPr>
            </w:pPr>
            <w:r>
              <w:rPr>
                <w:spacing w:val="-4"/>
                <w:sz w:val="20"/>
              </w:rPr>
              <w:t>若本合同所附的附加合同有减额交清选择的，则本合同减额交清时该附加合同必须同时减</w:t>
            </w:r>
            <w:r>
              <w:rPr>
                <w:spacing w:val="-2"/>
                <w:sz w:val="20"/>
              </w:rPr>
              <w:t>额交清；</w:t>
            </w:r>
            <w:r>
              <w:rPr>
                <w:b/>
                <w:sz w:val="20"/>
              </w:rPr>
              <w:t>若本合同所附的附加合同没有减额交清选择的，则本合同减额交清时该附加合同解除。</w:t>
            </w:r>
          </w:p>
          <w:p>
            <w:pPr>
              <w:pStyle w:val="TableParagraph"/>
              <w:spacing w:before="168"/>
              <w:ind w:left="150"/>
              <w:jc w:val="both"/>
              <w:rPr>
                <w:sz w:val="20"/>
              </w:rPr>
            </w:pPr>
            <w:r>
              <w:rPr>
                <w:w w:val="95"/>
                <w:sz w:val="20"/>
              </w:rPr>
              <w:t>本合同减额交清后的基本保险金额应不低于我们规定的最低基本保险金额。</w:t>
            </w:r>
          </w:p>
        </w:tc>
      </w:tr>
      <w:tr>
        <w:trPr>
          <w:trHeight w:val="4836" w:hRule="atLeast"/>
        </w:trPr>
        <w:tc>
          <w:tcPr>
            <w:tcW w:w="537" w:type="dxa"/>
          </w:tcPr>
          <w:p>
            <w:pPr>
              <w:pStyle w:val="TableParagraph"/>
              <w:spacing w:before="72"/>
              <w:ind w:left="0" w:right="125"/>
              <w:jc w:val="right"/>
              <w:rPr>
                <w:b/>
                <w:sz w:val="20"/>
              </w:rPr>
            </w:pPr>
            <w:r>
              <w:rPr>
                <w:b/>
                <w:w w:val="95"/>
                <w:sz w:val="20"/>
              </w:rPr>
              <w:t>3.4</w:t>
            </w:r>
          </w:p>
        </w:tc>
        <w:tc>
          <w:tcPr>
            <w:tcW w:w="1730" w:type="dxa"/>
          </w:tcPr>
          <w:p>
            <w:pPr>
              <w:pStyle w:val="TableParagraph"/>
              <w:spacing w:before="72"/>
              <w:ind w:left="233"/>
              <w:rPr>
                <w:b/>
                <w:sz w:val="20"/>
              </w:rPr>
            </w:pPr>
            <w:r>
              <w:rPr>
                <w:b/>
                <w:sz w:val="20"/>
              </w:rPr>
              <w:t>保单贷款</w:t>
            </w:r>
          </w:p>
        </w:tc>
        <w:tc>
          <w:tcPr>
            <w:tcW w:w="7981" w:type="dxa"/>
          </w:tcPr>
          <w:p>
            <w:pPr>
              <w:pStyle w:val="TableParagraph"/>
              <w:spacing w:before="72"/>
              <w:ind w:left="150"/>
              <w:rPr>
                <w:sz w:val="20"/>
              </w:rPr>
            </w:pPr>
            <w:r>
              <w:rPr>
                <w:w w:val="95"/>
                <w:sz w:val="20"/>
              </w:rPr>
              <w:t>本合同保险期间内，在下列条件下，您可向我们申请保单贷款：</w:t>
            </w:r>
          </w:p>
          <w:p>
            <w:pPr>
              <w:pStyle w:val="TableParagraph"/>
              <w:spacing w:before="10"/>
              <w:ind w:left="0"/>
              <w:rPr>
                <w:b/>
                <w:sz w:val="15"/>
              </w:rPr>
            </w:pPr>
          </w:p>
          <w:p>
            <w:pPr>
              <w:pStyle w:val="TableParagraph"/>
              <w:numPr>
                <w:ilvl w:val="0"/>
                <w:numId w:val="16"/>
              </w:numPr>
              <w:tabs>
                <w:tab w:pos="830" w:val="left" w:leader="none"/>
              </w:tabs>
              <w:spacing w:line="285" w:lineRule="auto" w:before="0" w:after="0"/>
              <w:ind w:left="830" w:right="147" w:hanging="680"/>
              <w:jc w:val="left"/>
              <w:rPr>
                <w:sz w:val="20"/>
              </w:rPr>
            </w:pPr>
            <w:r>
              <w:rPr>
                <w:sz w:val="20"/>
              </w:rPr>
              <w:t>累计贷款金额最高为本合同及所附的附加合同的现金价值的和的百分之八十，另</w:t>
            </w:r>
            <w:r>
              <w:rPr>
                <w:w w:val="95"/>
                <w:sz w:val="20"/>
              </w:rPr>
              <w:t>有约定的除外；</w:t>
            </w:r>
          </w:p>
          <w:p>
            <w:pPr>
              <w:pStyle w:val="TableParagraph"/>
              <w:numPr>
                <w:ilvl w:val="0"/>
                <w:numId w:val="16"/>
              </w:numPr>
              <w:tabs>
                <w:tab w:pos="830" w:val="left" w:leader="none"/>
              </w:tabs>
              <w:spacing w:line="240" w:lineRule="auto" w:before="168" w:after="0"/>
              <w:ind w:left="830" w:right="0" w:hanging="680"/>
              <w:jc w:val="left"/>
              <w:rPr>
                <w:sz w:val="20"/>
              </w:rPr>
            </w:pPr>
            <w:r>
              <w:rPr>
                <w:w w:val="95"/>
                <w:sz w:val="20"/>
              </w:rPr>
              <w:t>每次贷款的期限不超过六个月。</w:t>
            </w:r>
          </w:p>
          <w:p>
            <w:pPr>
              <w:pStyle w:val="TableParagraph"/>
              <w:spacing w:before="9"/>
              <w:ind w:left="0"/>
              <w:rPr>
                <w:b/>
                <w:sz w:val="15"/>
              </w:rPr>
            </w:pPr>
          </w:p>
          <w:p>
            <w:pPr>
              <w:pStyle w:val="TableParagraph"/>
              <w:ind w:left="150"/>
              <w:rPr>
                <w:sz w:val="20"/>
              </w:rPr>
            </w:pPr>
            <w:r>
              <w:rPr>
                <w:w w:val="95"/>
                <w:sz w:val="20"/>
              </w:rPr>
              <w:t>贷款利率参照中国人民银行同期六个月流动资金贷款基准利率加合理的浮动确定。</w:t>
            </w:r>
          </w:p>
          <w:p>
            <w:pPr>
              <w:pStyle w:val="TableParagraph"/>
              <w:spacing w:before="9"/>
              <w:ind w:left="0"/>
              <w:rPr>
                <w:b/>
                <w:sz w:val="15"/>
              </w:rPr>
            </w:pPr>
          </w:p>
          <w:p>
            <w:pPr>
              <w:pStyle w:val="TableParagraph"/>
              <w:spacing w:line="285" w:lineRule="auto"/>
              <w:ind w:left="150" w:right="107"/>
              <w:jc w:val="both"/>
              <w:rPr>
                <w:sz w:val="20"/>
              </w:rPr>
            </w:pPr>
            <w:r>
              <w:rPr>
                <w:spacing w:val="-6"/>
                <w:w w:val="95"/>
                <w:sz w:val="20"/>
              </w:rPr>
              <w:t>若您逾期未偿还全部贷款及利息，且本合同及所附的附加合同的现金价值的和大于逾期未   </w:t>
            </w:r>
            <w:r>
              <w:rPr>
                <w:spacing w:val="-11"/>
                <w:w w:val="95"/>
                <w:sz w:val="20"/>
              </w:rPr>
              <w:t>偿还全部贷款及利息，则所欠的贷款及累计利息将构成新的贷款本金，按我们公布的最新   保单贷款利率计算利息。</w:t>
            </w:r>
          </w:p>
          <w:p>
            <w:pPr>
              <w:pStyle w:val="TableParagraph"/>
              <w:spacing w:line="285" w:lineRule="auto" w:before="167"/>
              <w:ind w:left="150" w:right="112"/>
              <w:rPr>
                <w:b/>
                <w:sz w:val="20"/>
              </w:rPr>
            </w:pPr>
            <w:r>
              <w:rPr>
                <w:b/>
                <w:sz w:val="20"/>
              </w:rPr>
              <w:t>若本合同及所附的附加合同的现金价值的和小于或等于保险单全部贷款及利息，本合同</w:t>
            </w:r>
            <w:r>
              <w:rPr>
                <w:b/>
                <w:w w:val="95"/>
                <w:sz w:val="20"/>
              </w:rPr>
              <w:t>及所附的附加合同效力中止。</w:t>
            </w:r>
          </w:p>
          <w:p>
            <w:pPr>
              <w:pStyle w:val="TableParagraph"/>
              <w:spacing w:line="285" w:lineRule="auto" w:before="167"/>
              <w:ind w:left="150" w:right="832"/>
              <w:rPr>
                <w:sz w:val="20"/>
              </w:rPr>
            </w:pPr>
            <w:r>
              <w:rPr>
                <w:w w:val="95"/>
                <w:sz w:val="20"/>
              </w:rPr>
              <w:t>如果您部分还款的，该款项将首先用于偿还累计利息，然后用于偿还贷款本金。  如果您申请保单贷款的，本合同及所附的附加合同须质押于我们。</w:t>
            </w:r>
          </w:p>
        </w:tc>
      </w:tr>
      <w:tr>
        <w:trPr>
          <w:trHeight w:val="858" w:hRule="atLeast"/>
        </w:trPr>
        <w:tc>
          <w:tcPr>
            <w:tcW w:w="537" w:type="dxa"/>
          </w:tcPr>
          <w:p>
            <w:pPr>
              <w:pStyle w:val="TableParagraph"/>
              <w:spacing w:before="72"/>
              <w:ind w:left="0" w:right="125"/>
              <w:jc w:val="right"/>
              <w:rPr>
                <w:b/>
                <w:sz w:val="20"/>
              </w:rPr>
            </w:pPr>
            <w:r>
              <w:rPr>
                <w:b/>
                <w:w w:val="95"/>
                <w:sz w:val="20"/>
              </w:rPr>
              <w:t>3.5</w:t>
            </w:r>
          </w:p>
        </w:tc>
        <w:tc>
          <w:tcPr>
            <w:tcW w:w="1730" w:type="dxa"/>
          </w:tcPr>
          <w:p>
            <w:pPr>
              <w:pStyle w:val="TableParagraph"/>
              <w:spacing w:before="72"/>
              <w:ind w:left="233"/>
              <w:rPr>
                <w:b/>
                <w:sz w:val="20"/>
              </w:rPr>
            </w:pPr>
            <w:r>
              <w:rPr>
                <w:b/>
                <w:w w:val="95"/>
                <w:sz w:val="20"/>
              </w:rPr>
              <w:t>保单欠款的扣除</w:t>
            </w:r>
          </w:p>
        </w:tc>
        <w:tc>
          <w:tcPr>
            <w:tcW w:w="7981" w:type="dxa"/>
          </w:tcPr>
          <w:p>
            <w:pPr>
              <w:pStyle w:val="TableParagraph"/>
              <w:spacing w:line="285" w:lineRule="auto" w:before="72"/>
              <w:ind w:left="150" w:right="204"/>
              <w:rPr>
                <w:b/>
                <w:sz w:val="20"/>
              </w:rPr>
            </w:pPr>
            <w:r>
              <w:rPr>
                <w:b/>
                <w:w w:val="95"/>
                <w:sz w:val="20"/>
              </w:rPr>
              <w:t>我们在给付各项保险金、退还现金价值或保险费时，若您尚有保单欠款，则我们将在扣  除保单欠款后给付剩余部分。</w:t>
            </w:r>
          </w:p>
        </w:tc>
      </w:tr>
      <w:tr>
        <w:trPr>
          <w:trHeight w:val="469" w:hRule="atLeast"/>
        </w:trPr>
        <w:tc>
          <w:tcPr>
            <w:tcW w:w="10248" w:type="dxa"/>
            <w:gridSpan w:val="3"/>
            <w:tcBorders>
              <w:bottom w:val="single" w:sz="4" w:space="0" w:color="000000"/>
            </w:tcBorders>
          </w:tcPr>
          <w:p>
            <w:pPr>
              <w:pStyle w:val="TableParagraph"/>
              <w:tabs>
                <w:tab w:pos="1368" w:val="left" w:leader="none"/>
              </w:tabs>
              <w:spacing w:before="150"/>
              <w:ind w:left="287"/>
              <w:rPr>
                <w:b/>
                <w:sz w:val="20"/>
              </w:rPr>
            </w:pPr>
            <w:r>
              <w:rPr>
                <w:b/>
                <w:sz w:val="20"/>
              </w:rPr>
              <w:t>第四部分</w:t>
              <w:tab/>
            </w:r>
            <w:r>
              <w:rPr>
                <w:b/>
                <w:w w:val="95"/>
                <w:sz w:val="20"/>
              </w:rPr>
              <w:t>如何申请领取保险金</w:t>
            </w:r>
          </w:p>
        </w:tc>
      </w:tr>
      <w:tr>
        <w:trPr>
          <w:trHeight w:val="1345" w:hRule="atLeast"/>
        </w:trPr>
        <w:tc>
          <w:tcPr>
            <w:tcW w:w="537" w:type="dxa"/>
            <w:tcBorders>
              <w:top w:val="single" w:sz="4" w:space="0" w:color="000000"/>
            </w:tcBorders>
          </w:tcPr>
          <w:p>
            <w:pPr>
              <w:pStyle w:val="TableParagraph"/>
              <w:spacing w:before="148"/>
              <w:ind w:left="28"/>
              <w:rPr>
                <w:b/>
                <w:sz w:val="20"/>
              </w:rPr>
            </w:pPr>
            <w:r>
              <w:rPr>
                <w:b/>
                <w:sz w:val="20"/>
              </w:rPr>
              <w:t>4.1</w:t>
            </w:r>
          </w:p>
        </w:tc>
        <w:tc>
          <w:tcPr>
            <w:tcW w:w="1730" w:type="dxa"/>
            <w:tcBorders>
              <w:top w:val="single" w:sz="4" w:space="0" w:color="000000"/>
            </w:tcBorders>
          </w:tcPr>
          <w:p>
            <w:pPr>
              <w:pStyle w:val="TableParagraph"/>
              <w:spacing w:before="148"/>
              <w:ind w:left="125"/>
              <w:rPr>
                <w:b/>
                <w:sz w:val="20"/>
              </w:rPr>
            </w:pPr>
            <w:r>
              <w:rPr>
                <w:b/>
                <w:sz w:val="20"/>
              </w:rPr>
              <w:t>受益人</w:t>
            </w:r>
          </w:p>
        </w:tc>
        <w:tc>
          <w:tcPr>
            <w:tcW w:w="7981" w:type="dxa"/>
            <w:tcBorders>
              <w:top w:val="single" w:sz="4" w:space="0" w:color="000000"/>
            </w:tcBorders>
          </w:tcPr>
          <w:p>
            <w:pPr>
              <w:pStyle w:val="TableParagraph"/>
              <w:spacing w:before="148"/>
              <w:ind w:left="68"/>
              <w:rPr>
                <w:sz w:val="20"/>
              </w:rPr>
            </w:pPr>
            <w:r>
              <w:rPr>
                <w:w w:val="95"/>
                <w:sz w:val="20"/>
              </w:rPr>
              <w:t>（1）身故保险金受益人</w:t>
            </w:r>
          </w:p>
          <w:p>
            <w:pPr>
              <w:pStyle w:val="TableParagraph"/>
              <w:spacing w:before="10"/>
              <w:ind w:left="0"/>
              <w:rPr>
                <w:b/>
                <w:sz w:val="15"/>
              </w:rPr>
            </w:pPr>
          </w:p>
          <w:p>
            <w:pPr>
              <w:pStyle w:val="TableParagraph"/>
              <w:ind w:left="68"/>
              <w:rPr>
                <w:sz w:val="20"/>
              </w:rPr>
            </w:pPr>
            <w:r>
              <w:rPr>
                <w:w w:val="95"/>
                <w:sz w:val="20"/>
              </w:rPr>
              <w:t>您或者被保险人可以指定一人或多人为身故保险金受益人。</w:t>
            </w:r>
          </w:p>
          <w:p>
            <w:pPr>
              <w:pStyle w:val="TableParagraph"/>
              <w:spacing w:before="9"/>
              <w:ind w:left="0"/>
              <w:rPr>
                <w:b/>
                <w:sz w:val="15"/>
              </w:rPr>
            </w:pPr>
          </w:p>
          <w:p>
            <w:pPr>
              <w:pStyle w:val="TableParagraph"/>
              <w:spacing w:line="242" w:lineRule="exact" w:before="1"/>
              <w:ind w:left="68"/>
              <w:rPr>
                <w:sz w:val="20"/>
              </w:rPr>
            </w:pPr>
            <w:r>
              <w:rPr>
                <w:w w:val="95"/>
                <w:sz w:val="20"/>
              </w:rPr>
              <w:t>身故保险金受益人为多人时，可以确定受益顺序和受益份额；如果没有确定份额，各受益</w:t>
            </w:r>
          </w:p>
        </w:tc>
      </w:tr>
    </w:tbl>
    <w:p>
      <w:pPr>
        <w:spacing w:after="0" w:line="242" w:lineRule="exact"/>
        <w:rPr>
          <w:sz w:val="20"/>
        </w:rPr>
        <w:sectPr>
          <w:pgSz w:w="11910" w:h="16840"/>
          <w:pgMar w:header="0" w:footer="831" w:top="1140" w:bottom="1020" w:left="840" w:right="60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3"/>
        <w:gridCol w:w="1606"/>
        <w:gridCol w:w="8318"/>
      </w:tblGrid>
      <w:tr>
        <w:trPr>
          <w:trHeight w:val="6262" w:hRule="atLeast"/>
        </w:trPr>
        <w:tc>
          <w:tcPr>
            <w:tcW w:w="683" w:type="dxa"/>
          </w:tcPr>
          <w:p>
            <w:pPr>
              <w:pStyle w:val="TableParagraph"/>
              <w:ind w:left="0"/>
              <w:rPr>
                <w:rFonts w:ascii="Times New Roman"/>
                <w:sz w:val="18"/>
              </w:rPr>
            </w:pPr>
          </w:p>
        </w:tc>
        <w:tc>
          <w:tcPr>
            <w:tcW w:w="1606" w:type="dxa"/>
          </w:tcPr>
          <w:p>
            <w:pPr>
              <w:pStyle w:val="TableParagraph"/>
              <w:ind w:left="0"/>
              <w:rPr>
                <w:rFonts w:ascii="Times New Roman"/>
                <w:sz w:val="18"/>
              </w:rPr>
            </w:pPr>
          </w:p>
        </w:tc>
        <w:tc>
          <w:tcPr>
            <w:tcW w:w="8318" w:type="dxa"/>
          </w:tcPr>
          <w:p>
            <w:pPr>
              <w:pStyle w:val="TableParagraph"/>
              <w:spacing w:line="199" w:lineRule="exact"/>
              <w:ind w:left="138"/>
              <w:rPr>
                <w:sz w:val="20"/>
              </w:rPr>
            </w:pPr>
            <w:r>
              <w:rPr>
                <w:w w:val="95"/>
                <w:sz w:val="20"/>
              </w:rPr>
              <w:t>人按照相等份额享有受益权。</w:t>
            </w:r>
          </w:p>
          <w:p>
            <w:pPr>
              <w:pStyle w:val="TableParagraph"/>
              <w:spacing w:before="9"/>
              <w:ind w:left="0"/>
              <w:rPr>
                <w:b/>
                <w:sz w:val="15"/>
              </w:rPr>
            </w:pPr>
          </w:p>
          <w:p>
            <w:pPr>
              <w:pStyle w:val="TableParagraph"/>
              <w:spacing w:before="1"/>
              <w:ind w:left="138"/>
              <w:rPr>
                <w:sz w:val="20"/>
              </w:rPr>
            </w:pPr>
            <w:r>
              <w:rPr>
                <w:w w:val="95"/>
                <w:sz w:val="20"/>
              </w:rPr>
              <w:t>被保险人为无民事行为能力人或限制民事行为能力人的，可以由其监护人指定受益人。</w:t>
            </w:r>
          </w:p>
          <w:p>
            <w:pPr>
              <w:pStyle w:val="TableParagraph"/>
              <w:spacing w:before="10"/>
              <w:ind w:left="0"/>
              <w:rPr>
                <w:b/>
                <w:sz w:val="15"/>
              </w:rPr>
            </w:pPr>
          </w:p>
          <w:p>
            <w:pPr>
              <w:pStyle w:val="TableParagraph"/>
              <w:spacing w:line="285" w:lineRule="auto"/>
              <w:ind w:left="138" w:right="382"/>
              <w:rPr>
                <w:sz w:val="20"/>
              </w:rPr>
            </w:pPr>
            <w:r>
              <w:rPr>
                <w:w w:val="95"/>
                <w:sz w:val="20"/>
              </w:rPr>
              <w:t>您或者被保险人可以变更身故保险金受益人并书面通知我们。我们收到变更受益人的书面   通知后，在保险单或其他保险凭证上批注或附贴批单。</w:t>
            </w:r>
          </w:p>
          <w:p>
            <w:pPr>
              <w:pStyle w:val="TableParagraph"/>
              <w:spacing w:before="168"/>
              <w:ind w:left="138"/>
              <w:rPr>
                <w:sz w:val="20"/>
              </w:rPr>
            </w:pPr>
            <w:r>
              <w:rPr>
                <w:w w:val="95"/>
                <w:sz w:val="20"/>
              </w:rPr>
              <w:t>您在指定和变更身故保险金受益人时，必须经过被保险人同意。</w:t>
            </w:r>
          </w:p>
          <w:p>
            <w:pPr>
              <w:pStyle w:val="TableParagraph"/>
              <w:spacing w:before="10"/>
              <w:ind w:left="0"/>
              <w:rPr>
                <w:b/>
                <w:sz w:val="15"/>
              </w:rPr>
            </w:pPr>
          </w:p>
          <w:p>
            <w:pPr>
              <w:pStyle w:val="TableParagraph"/>
              <w:spacing w:line="285" w:lineRule="auto"/>
              <w:ind w:left="138" w:right="382"/>
              <w:rPr>
                <w:sz w:val="20"/>
              </w:rPr>
            </w:pPr>
            <w:r>
              <w:rPr>
                <w:w w:val="95"/>
                <w:sz w:val="20"/>
              </w:rPr>
              <w:t>被保险人身故后，有下列情形之一的，保险金作为被保险人的遗产，由我们依照《中华人   民共和国继承法》的规定履行给付保险金的义务：</w:t>
            </w:r>
          </w:p>
          <w:p>
            <w:pPr>
              <w:pStyle w:val="TableParagraph"/>
              <w:numPr>
                <w:ilvl w:val="0"/>
                <w:numId w:val="17"/>
              </w:numPr>
              <w:tabs>
                <w:tab w:pos="1112" w:val="left" w:leader="none"/>
              </w:tabs>
              <w:spacing w:line="240" w:lineRule="auto" w:before="12" w:after="0"/>
              <w:ind w:left="1111" w:right="0" w:hanging="361"/>
              <w:jc w:val="left"/>
              <w:rPr>
                <w:sz w:val="20"/>
              </w:rPr>
            </w:pPr>
            <w:r>
              <w:rPr>
                <w:w w:val="95"/>
                <w:sz w:val="20"/>
              </w:rPr>
              <w:t>没有指定受益人，或者受益人指定不明无法确定的；</w:t>
            </w:r>
          </w:p>
          <w:p>
            <w:pPr>
              <w:pStyle w:val="TableParagraph"/>
              <w:numPr>
                <w:ilvl w:val="0"/>
                <w:numId w:val="17"/>
              </w:numPr>
              <w:tabs>
                <w:tab w:pos="1112" w:val="left" w:leader="none"/>
              </w:tabs>
              <w:spacing w:line="240" w:lineRule="auto" w:before="50" w:after="0"/>
              <w:ind w:left="1111" w:right="0" w:hanging="361"/>
              <w:jc w:val="left"/>
              <w:rPr>
                <w:sz w:val="20"/>
              </w:rPr>
            </w:pPr>
            <w:r>
              <w:rPr>
                <w:w w:val="95"/>
                <w:sz w:val="20"/>
              </w:rPr>
              <w:t>受益人先于被保险人身故，没有其他受益人的；</w:t>
            </w:r>
          </w:p>
          <w:p>
            <w:pPr>
              <w:pStyle w:val="TableParagraph"/>
              <w:numPr>
                <w:ilvl w:val="0"/>
                <w:numId w:val="17"/>
              </w:numPr>
              <w:tabs>
                <w:tab w:pos="1112" w:val="left" w:leader="none"/>
              </w:tabs>
              <w:spacing w:line="240" w:lineRule="auto" w:before="50" w:after="0"/>
              <w:ind w:left="1111" w:right="0" w:hanging="361"/>
              <w:jc w:val="left"/>
              <w:rPr>
                <w:sz w:val="20"/>
              </w:rPr>
            </w:pPr>
            <w:r>
              <w:rPr>
                <w:w w:val="95"/>
                <w:sz w:val="20"/>
              </w:rPr>
              <w:t>受益人依法丧失受益权或者放弃受益权，没有其他受益人的。</w:t>
            </w:r>
          </w:p>
          <w:p>
            <w:pPr>
              <w:pStyle w:val="TableParagraph"/>
              <w:spacing w:before="9"/>
              <w:ind w:left="0"/>
              <w:rPr>
                <w:b/>
                <w:sz w:val="15"/>
              </w:rPr>
            </w:pPr>
          </w:p>
          <w:p>
            <w:pPr>
              <w:pStyle w:val="TableParagraph"/>
              <w:spacing w:before="1"/>
              <w:ind w:left="138"/>
              <w:rPr>
                <w:sz w:val="20"/>
              </w:rPr>
            </w:pPr>
            <w:r>
              <w:rPr>
                <w:w w:val="95"/>
                <w:sz w:val="20"/>
              </w:rPr>
              <w:t>受益人与被保险人在同一事件中身故，且不能确定身故先后顺序的，推定受益人身故在先。</w:t>
            </w:r>
          </w:p>
          <w:p>
            <w:pPr>
              <w:pStyle w:val="TableParagraph"/>
              <w:spacing w:before="10"/>
              <w:ind w:left="0"/>
              <w:rPr>
                <w:b/>
                <w:sz w:val="15"/>
              </w:rPr>
            </w:pPr>
          </w:p>
          <w:p>
            <w:pPr>
              <w:pStyle w:val="TableParagraph"/>
              <w:spacing w:line="285" w:lineRule="auto"/>
              <w:ind w:left="138" w:right="382"/>
              <w:rPr>
                <w:sz w:val="20"/>
              </w:rPr>
            </w:pPr>
            <w:r>
              <w:rPr>
                <w:w w:val="95"/>
                <w:sz w:val="20"/>
              </w:rPr>
              <w:t>受益人故意造成被保险人身故、伤残、疾病的，或者故意杀害被保险人未遂的，该受益人   丧失受益权。</w:t>
            </w:r>
          </w:p>
          <w:p>
            <w:pPr>
              <w:pStyle w:val="TableParagraph"/>
              <w:spacing w:line="285" w:lineRule="auto" w:before="167"/>
              <w:ind w:left="138" w:right="326"/>
              <w:rPr>
                <w:sz w:val="20"/>
              </w:rPr>
            </w:pPr>
            <w:r>
              <w:rPr>
                <w:spacing w:val="-4"/>
                <w:w w:val="95"/>
                <w:sz w:val="20"/>
              </w:rPr>
              <w:t>（2）全残保险金、生命尊严提前给付保险金、各项重大疾病保险金、轻症重疾保险金受益   </w:t>
            </w:r>
            <w:r>
              <w:rPr>
                <w:spacing w:val="-4"/>
                <w:sz w:val="20"/>
              </w:rPr>
              <w:t>人</w:t>
            </w:r>
          </w:p>
          <w:p>
            <w:pPr>
              <w:pStyle w:val="TableParagraph"/>
              <w:spacing w:before="167"/>
              <w:ind w:left="138"/>
              <w:rPr>
                <w:sz w:val="20"/>
              </w:rPr>
            </w:pPr>
            <w:r>
              <w:rPr>
                <w:w w:val="95"/>
                <w:sz w:val="20"/>
              </w:rPr>
              <w:t>本合同以上各项保险金的受益人均为被保险人本人。</w:t>
            </w:r>
          </w:p>
        </w:tc>
      </w:tr>
      <w:tr>
        <w:trPr>
          <w:trHeight w:val="1872" w:hRule="atLeast"/>
        </w:trPr>
        <w:tc>
          <w:tcPr>
            <w:tcW w:w="683" w:type="dxa"/>
          </w:tcPr>
          <w:p>
            <w:pPr>
              <w:pStyle w:val="TableParagraph"/>
              <w:spacing w:before="72"/>
              <w:ind w:left="179" w:right="160"/>
              <w:jc w:val="center"/>
              <w:rPr>
                <w:b/>
                <w:sz w:val="20"/>
              </w:rPr>
            </w:pPr>
            <w:r>
              <w:rPr>
                <w:b/>
                <w:sz w:val="20"/>
              </w:rPr>
              <w:t>4.2</w:t>
            </w:r>
          </w:p>
        </w:tc>
        <w:tc>
          <w:tcPr>
            <w:tcW w:w="1606" w:type="dxa"/>
          </w:tcPr>
          <w:p>
            <w:pPr>
              <w:pStyle w:val="TableParagraph"/>
              <w:spacing w:before="72"/>
              <w:ind w:left="179"/>
              <w:rPr>
                <w:b/>
                <w:sz w:val="20"/>
              </w:rPr>
            </w:pPr>
            <w:r>
              <w:rPr>
                <w:b/>
                <w:w w:val="95"/>
                <w:sz w:val="20"/>
              </w:rPr>
              <w:t>保险事故通知</w:t>
            </w:r>
          </w:p>
        </w:tc>
        <w:tc>
          <w:tcPr>
            <w:tcW w:w="8318" w:type="dxa"/>
          </w:tcPr>
          <w:p>
            <w:pPr>
              <w:pStyle w:val="TableParagraph"/>
              <w:spacing w:before="72"/>
              <w:ind w:left="220"/>
              <w:rPr>
                <w:sz w:val="20"/>
              </w:rPr>
            </w:pPr>
            <w:r>
              <w:rPr>
                <w:w w:val="95"/>
                <w:sz w:val="20"/>
              </w:rPr>
              <w:t>您或受益人知道保险事故后应当在十日内通知我们。</w:t>
            </w:r>
          </w:p>
          <w:p>
            <w:pPr>
              <w:pStyle w:val="TableParagraph"/>
              <w:spacing w:before="10"/>
              <w:ind w:left="0"/>
              <w:rPr>
                <w:b/>
                <w:sz w:val="15"/>
              </w:rPr>
            </w:pPr>
          </w:p>
          <w:p>
            <w:pPr>
              <w:pStyle w:val="TableParagraph"/>
              <w:spacing w:line="285" w:lineRule="auto"/>
              <w:ind w:left="220" w:right="379"/>
              <w:rPr>
                <w:sz w:val="20"/>
              </w:rPr>
            </w:pPr>
            <w:r>
              <w:rPr>
                <w:spacing w:val="-4"/>
                <w:w w:val="95"/>
                <w:sz w:val="20"/>
              </w:rPr>
              <w:t>如果您或受益人故意或者因重大过失未及时通知，致使保险事故的性质、原因、损失程度   </w:t>
            </w:r>
            <w:r>
              <w:rPr>
                <w:spacing w:val="-9"/>
                <w:w w:val="95"/>
                <w:sz w:val="20"/>
              </w:rPr>
              <w:t>等难以确定的，我们对无法确定的部分，不承担给付保险金的责任，但我们通过其他途径  </w:t>
            </w:r>
            <w:r>
              <w:rPr>
                <w:spacing w:val="-9"/>
                <w:sz w:val="20"/>
              </w:rPr>
              <w:t>已经及时知道或者应当及时知道保险事故发生或者虽未及时通知但不影响我们确定保险</w:t>
            </w:r>
            <w:r>
              <w:rPr>
                <w:spacing w:val="-9"/>
                <w:w w:val="95"/>
                <w:sz w:val="20"/>
              </w:rPr>
              <w:t>事故的性质、原因、损失程度的除外。</w:t>
            </w:r>
          </w:p>
        </w:tc>
      </w:tr>
      <w:tr>
        <w:trPr>
          <w:trHeight w:val="5794" w:hRule="atLeast"/>
        </w:trPr>
        <w:tc>
          <w:tcPr>
            <w:tcW w:w="683" w:type="dxa"/>
          </w:tcPr>
          <w:p>
            <w:pPr>
              <w:pStyle w:val="TableParagraph"/>
              <w:spacing w:before="72"/>
              <w:ind w:left="179" w:right="160"/>
              <w:jc w:val="center"/>
              <w:rPr>
                <w:b/>
                <w:sz w:val="20"/>
              </w:rPr>
            </w:pPr>
            <w:r>
              <w:rPr>
                <w:b/>
                <w:sz w:val="20"/>
              </w:rPr>
              <w:t>4.3</w:t>
            </w:r>
          </w:p>
        </w:tc>
        <w:tc>
          <w:tcPr>
            <w:tcW w:w="1606" w:type="dxa"/>
          </w:tcPr>
          <w:p>
            <w:pPr>
              <w:pStyle w:val="TableParagraph"/>
              <w:spacing w:before="72"/>
              <w:ind w:left="179"/>
              <w:rPr>
                <w:b/>
                <w:sz w:val="20"/>
              </w:rPr>
            </w:pPr>
            <w:r>
              <w:rPr>
                <w:b/>
                <w:w w:val="95"/>
                <w:sz w:val="20"/>
              </w:rPr>
              <w:t>保险金申请</w:t>
            </w:r>
          </w:p>
        </w:tc>
        <w:tc>
          <w:tcPr>
            <w:tcW w:w="8318" w:type="dxa"/>
          </w:tcPr>
          <w:p>
            <w:pPr>
              <w:pStyle w:val="TableParagraph"/>
              <w:spacing w:before="72"/>
              <w:ind w:left="220"/>
              <w:rPr>
                <w:sz w:val="20"/>
              </w:rPr>
            </w:pPr>
            <w:r>
              <w:rPr>
                <w:w w:val="95"/>
                <w:sz w:val="20"/>
              </w:rPr>
              <w:t>（1）身故保险金</w:t>
            </w:r>
          </w:p>
          <w:p>
            <w:pPr>
              <w:pStyle w:val="TableParagraph"/>
              <w:spacing w:before="9"/>
              <w:ind w:left="0"/>
              <w:rPr>
                <w:b/>
                <w:sz w:val="15"/>
              </w:rPr>
            </w:pPr>
          </w:p>
          <w:p>
            <w:pPr>
              <w:pStyle w:val="TableParagraph"/>
              <w:ind w:left="220"/>
              <w:rPr>
                <w:sz w:val="20"/>
              </w:rPr>
            </w:pPr>
            <w:r>
              <w:rPr>
                <w:w w:val="95"/>
                <w:sz w:val="20"/>
              </w:rPr>
              <w:t>在申请身故保险金时，申请人须填写保险金给付申请书，并提供下列证明和资料：</w:t>
            </w:r>
          </w:p>
          <w:p>
            <w:pPr>
              <w:pStyle w:val="TableParagraph"/>
              <w:numPr>
                <w:ilvl w:val="0"/>
                <w:numId w:val="18"/>
              </w:numPr>
              <w:tabs>
                <w:tab w:pos="1193" w:val="left" w:leader="none"/>
              </w:tabs>
              <w:spacing w:line="240" w:lineRule="auto" w:before="49" w:after="0"/>
              <w:ind w:left="1192" w:right="0" w:hanging="360"/>
              <w:jc w:val="left"/>
              <w:rPr>
                <w:sz w:val="20"/>
              </w:rPr>
            </w:pPr>
            <w:r>
              <w:rPr>
                <w:w w:val="95"/>
                <w:sz w:val="20"/>
              </w:rPr>
              <w:t>保险合同；</w:t>
            </w:r>
          </w:p>
          <w:p>
            <w:pPr>
              <w:pStyle w:val="TableParagraph"/>
              <w:numPr>
                <w:ilvl w:val="0"/>
                <w:numId w:val="18"/>
              </w:numPr>
              <w:tabs>
                <w:tab w:pos="1193" w:val="left" w:leader="none"/>
              </w:tabs>
              <w:spacing w:line="240" w:lineRule="auto" w:before="49" w:after="0"/>
              <w:ind w:left="1192" w:right="0" w:hanging="360"/>
              <w:jc w:val="left"/>
              <w:rPr>
                <w:sz w:val="20"/>
              </w:rPr>
            </w:pPr>
            <w:r>
              <w:rPr>
                <w:w w:val="95"/>
                <w:sz w:val="20"/>
              </w:rPr>
              <w:t>申请人的有效身份证件；</w:t>
            </w:r>
          </w:p>
          <w:p>
            <w:pPr>
              <w:pStyle w:val="TableParagraph"/>
              <w:numPr>
                <w:ilvl w:val="0"/>
                <w:numId w:val="18"/>
              </w:numPr>
              <w:tabs>
                <w:tab w:pos="1193" w:val="left" w:leader="none"/>
              </w:tabs>
              <w:spacing w:line="285" w:lineRule="auto" w:before="49" w:after="0"/>
              <w:ind w:left="1192" w:right="376" w:hanging="360"/>
              <w:jc w:val="left"/>
              <w:rPr>
                <w:sz w:val="20"/>
              </w:rPr>
            </w:pPr>
            <w:r>
              <w:rPr>
                <w:spacing w:val="-4"/>
                <w:w w:val="95"/>
                <w:sz w:val="20"/>
              </w:rPr>
              <w:t>国家卫生行政部门认定的医疗机构、公安部门或其他相关机构出具的被保险人  的死亡证明；</w:t>
            </w:r>
          </w:p>
          <w:p>
            <w:pPr>
              <w:pStyle w:val="TableParagraph"/>
              <w:numPr>
                <w:ilvl w:val="0"/>
                <w:numId w:val="18"/>
              </w:numPr>
              <w:tabs>
                <w:tab w:pos="1191" w:val="left" w:leader="none"/>
              </w:tabs>
              <w:spacing w:line="240" w:lineRule="auto" w:before="11" w:after="0"/>
              <w:ind w:left="1190" w:right="0" w:hanging="358"/>
              <w:jc w:val="left"/>
              <w:rPr>
                <w:sz w:val="20"/>
              </w:rPr>
            </w:pPr>
            <w:r>
              <w:rPr>
                <w:w w:val="95"/>
                <w:sz w:val="20"/>
              </w:rPr>
              <w:t>受益人身份证明及受益人与被保险人的关系证明；</w:t>
            </w:r>
          </w:p>
          <w:p>
            <w:pPr>
              <w:pStyle w:val="TableParagraph"/>
              <w:numPr>
                <w:ilvl w:val="0"/>
                <w:numId w:val="18"/>
              </w:numPr>
              <w:tabs>
                <w:tab w:pos="1191" w:val="left" w:leader="none"/>
              </w:tabs>
              <w:spacing w:line="285" w:lineRule="auto" w:before="49" w:after="0"/>
              <w:ind w:left="1190" w:right="376" w:hanging="358"/>
              <w:jc w:val="left"/>
              <w:rPr>
                <w:sz w:val="20"/>
              </w:rPr>
            </w:pPr>
            <w:r>
              <w:rPr>
                <w:spacing w:val="-5"/>
                <w:w w:val="95"/>
                <w:sz w:val="20"/>
              </w:rPr>
              <w:t>如为意外身故，须提供意外事故证明。如为疾病身故，须提供疾病治疗、诊断  证明；</w:t>
            </w:r>
          </w:p>
          <w:p>
            <w:pPr>
              <w:pStyle w:val="TableParagraph"/>
              <w:numPr>
                <w:ilvl w:val="0"/>
                <w:numId w:val="18"/>
              </w:numPr>
              <w:tabs>
                <w:tab w:pos="1191" w:val="left" w:leader="none"/>
              </w:tabs>
              <w:spacing w:line="240" w:lineRule="auto" w:before="11" w:after="0"/>
              <w:ind w:left="1190" w:right="0" w:hanging="358"/>
              <w:jc w:val="left"/>
              <w:rPr>
                <w:sz w:val="20"/>
              </w:rPr>
            </w:pPr>
            <w:r>
              <w:rPr>
                <w:w w:val="95"/>
                <w:sz w:val="20"/>
              </w:rPr>
              <w:t>申请人所能提供的与确认保险事故的性质、原因等有关的其他证明和资料。</w:t>
            </w:r>
          </w:p>
          <w:p>
            <w:pPr>
              <w:pStyle w:val="TableParagraph"/>
              <w:spacing w:before="9"/>
              <w:ind w:left="0"/>
              <w:rPr>
                <w:b/>
                <w:sz w:val="15"/>
              </w:rPr>
            </w:pPr>
          </w:p>
          <w:p>
            <w:pPr>
              <w:pStyle w:val="TableParagraph"/>
              <w:ind w:left="220"/>
              <w:rPr>
                <w:sz w:val="20"/>
              </w:rPr>
            </w:pPr>
            <w:r>
              <w:rPr>
                <w:w w:val="95"/>
                <w:sz w:val="20"/>
              </w:rPr>
              <w:t>（2）全残保险金</w:t>
            </w:r>
          </w:p>
          <w:p>
            <w:pPr>
              <w:pStyle w:val="TableParagraph"/>
              <w:spacing w:before="10"/>
              <w:ind w:left="0"/>
              <w:rPr>
                <w:b/>
                <w:sz w:val="15"/>
              </w:rPr>
            </w:pPr>
          </w:p>
          <w:p>
            <w:pPr>
              <w:pStyle w:val="TableParagraph"/>
              <w:ind w:left="220"/>
              <w:rPr>
                <w:sz w:val="20"/>
              </w:rPr>
            </w:pPr>
            <w:r>
              <w:rPr>
                <w:w w:val="95"/>
                <w:sz w:val="20"/>
              </w:rPr>
              <w:t>在申请全残保险金时，申请人需填写保险金给付申请书，并提供下列证明和资料：</w:t>
            </w:r>
          </w:p>
          <w:p>
            <w:pPr>
              <w:pStyle w:val="TableParagraph"/>
              <w:numPr>
                <w:ilvl w:val="0"/>
                <w:numId w:val="19"/>
              </w:numPr>
              <w:tabs>
                <w:tab w:pos="1193" w:val="left" w:leader="none"/>
              </w:tabs>
              <w:spacing w:line="240" w:lineRule="auto" w:before="50" w:after="0"/>
              <w:ind w:left="900" w:right="0" w:hanging="68"/>
              <w:jc w:val="left"/>
              <w:rPr>
                <w:sz w:val="20"/>
              </w:rPr>
            </w:pPr>
            <w:r>
              <w:rPr>
                <w:w w:val="95"/>
                <w:sz w:val="20"/>
              </w:rPr>
              <w:t>保险合同；</w:t>
            </w:r>
          </w:p>
          <w:p>
            <w:pPr>
              <w:pStyle w:val="TableParagraph"/>
              <w:numPr>
                <w:ilvl w:val="0"/>
                <w:numId w:val="19"/>
              </w:numPr>
              <w:tabs>
                <w:tab w:pos="1193" w:val="left" w:leader="none"/>
              </w:tabs>
              <w:spacing w:line="240" w:lineRule="auto" w:before="50" w:after="0"/>
              <w:ind w:left="900" w:right="0" w:hanging="68"/>
              <w:jc w:val="left"/>
              <w:rPr>
                <w:sz w:val="20"/>
              </w:rPr>
            </w:pPr>
            <w:r>
              <w:rPr>
                <w:w w:val="95"/>
                <w:sz w:val="20"/>
              </w:rPr>
              <w:t>申请人的有效身份证件；</w:t>
            </w:r>
          </w:p>
          <w:p>
            <w:pPr>
              <w:pStyle w:val="TableParagraph"/>
              <w:numPr>
                <w:ilvl w:val="0"/>
                <w:numId w:val="19"/>
              </w:numPr>
              <w:tabs>
                <w:tab w:pos="1193" w:val="left" w:leader="none"/>
              </w:tabs>
              <w:spacing w:line="285" w:lineRule="auto" w:before="50" w:after="0"/>
              <w:ind w:left="900" w:right="525" w:hanging="68"/>
              <w:jc w:val="left"/>
              <w:rPr>
                <w:sz w:val="20"/>
              </w:rPr>
            </w:pPr>
            <w:r>
              <w:rPr>
                <w:w w:val="95"/>
                <w:sz w:val="20"/>
              </w:rPr>
              <w:t>由我们指定或认可的医院或具备资质的鉴定机构的专科医生出具的被保险人  残疾程度鉴定书；</w:t>
            </w:r>
          </w:p>
          <w:p>
            <w:pPr>
              <w:pStyle w:val="TableParagraph"/>
              <w:numPr>
                <w:ilvl w:val="0"/>
                <w:numId w:val="19"/>
              </w:numPr>
              <w:tabs>
                <w:tab w:pos="1193" w:val="left" w:leader="none"/>
              </w:tabs>
              <w:spacing w:line="242" w:lineRule="exact" w:before="12" w:after="0"/>
              <w:ind w:left="900" w:right="0" w:hanging="68"/>
              <w:jc w:val="left"/>
              <w:rPr>
                <w:sz w:val="20"/>
              </w:rPr>
            </w:pPr>
            <w:r>
              <w:rPr>
                <w:w w:val="95"/>
                <w:sz w:val="20"/>
              </w:rPr>
              <w:t>申请人所能提供的与确认保险事故的性质、原因等有关的其他证明和资料。</w:t>
            </w:r>
          </w:p>
        </w:tc>
      </w:tr>
    </w:tbl>
    <w:p>
      <w:pPr>
        <w:spacing w:after="0" w:line="242" w:lineRule="exact"/>
        <w:jc w:val="left"/>
        <w:rPr>
          <w:sz w:val="20"/>
        </w:rPr>
        <w:sectPr>
          <w:pgSz w:w="11910" w:h="16840"/>
          <w:pgMar w:header="0" w:footer="831" w:top="1160" w:bottom="1020" w:left="760" w:right="34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3"/>
        <w:gridCol w:w="1505"/>
        <w:gridCol w:w="8322"/>
      </w:tblGrid>
      <w:tr>
        <w:trPr>
          <w:trHeight w:val="7460" w:hRule="atLeast"/>
        </w:trPr>
        <w:tc>
          <w:tcPr>
            <w:tcW w:w="683" w:type="dxa"/>
          </w:tcPr>
          <w:p>
            <w:pPr>
              <w:pStyle w:val="TableParagraph"/>
              <w:ind w:left="0"/>
              <w:rPr>
                <w:rFonts w:ascii="Times New Roman"/>
                <w:sz w:val="18"/>
              </w:rPr>
            </w:pPr>
          </w:p>
        </w:tc>
        <w:tc>
          <w:tcPr>
            <w:tcW w:w="1505" w:type="dxa"/>
          </w:tcPr>
          <w:p>
            <w:pPr>
              <w:pStyle w:val="TableParagraph"/>
              <w:ind w:left="0"/>
              <w:rPr>
                <w:rFonts w:ascii="Times New Roman"/>
                <w:sz w:val="18"/>
              </w:rPr>
            </w:pPr>
          </w:p>
        </w:tc>
        <w:tc>
          <w:tcPr>
            <w:tcW w:w="8322" w:type="dxa"/>
          </w:tcPr>
          <w:p>
            <w:pPr>
              <w:pStyle w:val="TableParagraph"/>
              <w:spacing w:line="199" w:lineRule="exact"/>
              <w:ind w:left="321"/>
              <w:rPr>
                <w:sz w:val="20"/>
              </w:rPr>
            </w:pPr>
            <w:r>
              <w:rPr>
                <w:w w:val="95"/>
                <w:sz w:val="20"/>
              </w:rPr>
              <w:t>（3）生命尊严提前给付保险金</w:t>
            </w:r>
          </w:p>
          <w:p>
            <w:pPr>
              <w:pStyle w:val="TableParagraph"/>
              <w:spacing w:before="9"/>
              <w:ind w:left="0"/>
              <w:rPr>
                <w:b/>
                <w:sz w:val="15"/>
              </w:rPr>
            </w:pPr>
          </w:p>
          <w:p>
            <w:pPr>
              <w:pStyle w:val="TableParagraph"/>
              <w:spacing w:line="285" w:lineRule="auto" w:before="1"/>
              <w:ind w:left="321" w:right="280"/>
              <w:rPr>
                <w:sz w:val="20"/>
              </w:rPr>
            </w:pPr>
            <w:r>
              <w:rPr>
                <w:spacing w:val="-5"/>
                <w:w w:val="95"/>
                <w:sz w:val="20"/>
              </w:rPr>
              <w:t>在申请生命尊严提前给付保险金时，申请人需填写保险金给付申请书，并提供下列证明和   资料：</w:t>
            </w:r>
          </w:p>
          <w:p>
            <w:pPr>
              <w:pStyle w:val="TableParagraph"/>
              <w:numPr>
                <w:ilvl w:val="0"/>
                <w:numId w:val="20"/>
              </w:numPr>
              <w:tabs>
                <w:tab w:pos="1294" w:val="left" w:leader="none"/>
              </w:tabs>
              <w:spacing w:line="240" w:lineRule="auto" w:before="12" w:after="0"/>
              <w:ind w:left="1349" w:right="0" w:hanging="416"/>
              <w:jc w:val="left"/>
              <w:rPr>
                <w:sz w:val="20"/>
              </w:rPr>
            </w:pPr>
            <w:r>
              <w:rPr>
                <w:w w:val="95"/>
                <w:sz w:val="20"/>
              </w:rPr>
              <w:t>保险合同；</w:t>
            </w:r>
          </w:p>
          <w:p>
            <w:pPr>
              <w:pStyle w:val="TableParagraph"/>
              <w:numPr>
                <w:ilvl w:val="0"/>
                <w:numId w:val="20"/>
              </w:numPr>
              <w:tabs>
                <w:tab w:pos="1294" w:val="left" w:leader="none"/>
              </w:tabs>
              <w:spacing w:line="240" w:lineRule="auto" w:before="50" w:after="0"/>
              <w:ind w:left="1349" w:right="0" w:hanging="416"/>
              <w:jc w:val="left"/>
              <w:rPr>
                <w:sz w:val="20"/>
              </w:rPr>
            </w:pPr>
            <w:r>
              <w:rPr>
                <w:w w:val="95"/>
                <w:sz w:val="20"/>
              </w:rPr>
              <w:t>申请人的有效身份证件；</w:t>
            </w:r>
          </w:p>
          <w:p>
            <w:pPr>
              <w:pStyle w:val="TableParagraph"/>
              <w:numPr>
                <w:ilvl w:val="0"/>
                <w:numId w:val="20"/>
              </w:numPr>
              <w:tabs>
                <w:tab w:pos="1294" w:val="left" w:leader="none"/>
              </w:tabs>
              <w:spacing w:line="240" w:lineRule="auto" w:before="50" w:after="0"/>
              <w:ind w:left="1349" w:right="0" w:hanging="416"/>
              <w:jc w:val="left"/>
              <w:rPr>
                <w:sz w:val="20"/>
              </w:rPr>
            </w:pPr>
            <w:r>
              <w:rPr>
                <w:w w:val="95"/>
                <w:sz w:val="20"/>
              </w:rPr>
              <w:t>所有身故保险金受益人的有效身份证件；</w:t>
            </w:r>
          </w:p>
          <w:p>
            <w:pPr>
              <w:pStyle w:val="TableParagraph"/>
              <w:numPr>
                <w:ilvl w:val="0"/>
                <w:numId w:val="20"/>
              </w:numPr>
              <w:tabs>
                <w:tab w:pos="1294" w:val="left" w:leader="none"/>
              </w:tabs>
              <w:spacing w:line="285" w:lineRule="auto" w:before="50" w:after="0"/>
              <w:ind w:left="1349" w:right="428" w:hanging="428"/>
              <w:jc w:val="left"/>
              <w:rPr>
                <w:sz w:val="20"/>
              </w:rPr>
            </w:pPr>
            <w:r>
              <w:rPr>
                <w:w w:val="95"/>
                <w:sz w:val="20"/>
              </w:rPr>
              <w:t>由我们指定或认可医院或具备资质的鉴定机构的专科医生出具的被保险人符  合终末期疾病定义的诊断证明；</w:t>
            </w:r>
          </w:p>
          <w:p>
            <w:pPr>
              <w:pStyle w:val="TableParagraph"/>
              <w:numPr>
                <w:ilvl w:val="0"/>
                <w:numId w:val="20"/>
              </w:numPr>
              <w:tabs>
                <w:tab w:pos="1294" w:val="left" w:leader="none"/>
              </w:tabs>
              <w:spacing w:line="250" w:lineRule="exact" w:before="0" w:after="0"/>
              <w:ind w:left="1293" w:right="0" w:hanging="372"/>
              <w:jc w:val="left"/>
              <w:rPr>
                <w:sz w:val="20"/>
              </w:rPr>
            </w:pPr>
            <w:r>
              <w:rPr>
                <w:w w:val="95"/>
                <w:sz w:val="20"/>
              </w:rPr>
              <w:t>申请人所能提供的与确认保险事故的性质、原因等有关的其他证明和资料。</w:t>
            </w:r>
          </w:p>
          <w:p>
            <w:pPr>
              <w:pStyle w:val="TableParagraph"/>
              <w:spacing w:before="180"/>
              <w:ind w:left="321"/>
              <w:rPr>
                <w:sz w:val="20"/>
              </w:rPr>
            </w:pPr>
            <w:r>
              <w:rPr>
                <w:w w:val="95"/>
                <w:sz w:val="20"/>
              </w:rPr>
              <w:t>（4）重大疾病保险金、轻症重疾保险金</w:t>
            </w:r>
          </w:p>
          <w:p>
            <w:pPr>
              <w:pStyle w:val="TableParagraph"/>
              <w:spacing w:before="10"/>
              <w:ind w:left="0"/>
              <w:rPr>
                <w:b/>
                <w:sz w:val="15"/>
              </w:rPr>
            </w:pPr>
          </w:p>
          <w:p>
            <w:pPr>
              <w:pStyle w:val="TableParagraph"/>
              <w:spacing w:line="285" w:lineRule="auto"/>
              <w:ind w:left="321" w:right="276"/>
              <w:rPr>
                <w:sz w:val="20"/>
              </w:rPr>
            </w:pPr>
            <w:r>
              <w:rPr>
                <w:spacing w:val="-6"/>
                <w:w w:val="95"/>
                <w:sz w:val="20"/>
              </w:rPr>
              <w:t>在申请以上各项保险金时，受益人或其代理人需填写保险金给付申请书，并提供下列证明   和资料：</w:t>
            </w:r>
          </w:p>
          <w:p>
            <w:pPr>
              <w:pStyle w:val="TableParagraph"/>
              <w:numPr>
                <w:ilvl w:val="0"/>
                <w:numId w:val="21"/>
              </w:numPr>
              <w:tabs>
                <w:tab w:pos="1421" w:val="left" w:leader="none"/>
              </w:tabs>
              <w:spacing w:line="240" w:lineRule="auto" w:before="12" w:after="0"/>
              <w:ind w:left="1421" w:right="0" w:hanging="488"/>
              <w:jc w:val="left"/>
              <w:rPr>
                <w:sz w:val="20"/>
              </w:rPr>
            </w:pPr>
            <w:r>
              <w:rPr>
                <w:w w:val="95"/>
                <w:sz w:val="20"/>
              </w:rPr>
              <w:t>保险合同；</w:t>
            </w:r>
          </w:p>
          <w:p>
            <w:pPr>
              <w:pStyle w:val="TableParagraph"/>
              <w:numPr>
                <w:ilvl w:val="0"/>
                <w:numId w:val="21"/>
              </w:numPr>
              <w:tabs>
                <w:tab w:pos="1421" w:val="left" w:leader="none"/>
              </w:tabs>
              <w:spacing w:line="240" w:lineRule="auto" w:before="50" w:after="0"/>
              <w:ind w:left="1421" w:right="0" w:hanging="488"/>
              <w:jc w:val="left"/>
              <w:rPr>
                <w:sz w:val="20"/>
              </w:rPr>
            </w:pPr>
            <w:r>
              <w:rPr>
                <w:w w:val="95"/>
                <w:sz w:val="20"/>
              </w:rPr>
              <w:t>申请人的有效身份证件；</w:t>
            </w:r>
          </w:p>
          <w:p>
            <w:pPr>
              <w:pStyle w:val="TableParagraph"/>
              <w:numPr>
                <w:ilvl w:val="0"/>
                <w:numId w:val="21"/>
              </w:numPr>
              <w:tabs>
                <w:tab w:pos="1421" w:val="left" w:leader="none"/>
              </w:tabs>
              <w:spacing w:line="285" w:lineRule="auto" w:before="49" w:after="0"/>
              <w:ind w:left="1421" w:right="303" w:hanging="488"/>
              <w:jc w:val="left"/>
              <w:rPr>
                <w:sz w:val="20"/>
              </w:rPr>
            </w:pPr>
            <w:r>
              <w:rPr>
                <w:w w:val="95"/>
                <w:sz w:val="20"/>
              </w:rPr>
              <w:t>我们指定或认可的医院出具的附有病理显微镜检查、血液检验及其他科学方  </w:t>
            </w:r>
            <w:r>
              <w:rPr>
                <w:sz w:val="20"/>
              </w:rPr>
              <w:t>法检验报告的疾病诊断证明书（以上证明皆需原件或加盖医院公章的复印 </w:t>
            </w:r>
            <w:r>
              <w:rPr>
                <w:w w:val="95"/>
                <w:sz w:val="20"/>
              </w:rPr>
              <w:t>件），我们保留对被保险人的病情做进一步会诊的权利；</w:t>
            </w:r>
          </w:p>
          <w:p>
            <w:pPr>
              <w:pStyle w:val="TableParagraph"/>
              <w:numPr>
                <w:ilvl w:val="0"/>
                <w:numId w:val="21"/>
              </w:numPr>
              <w:tabs>
                <w:tab w:pos="1421" w:val="left" w:leader="none"/>
              </w:tabs>
              <w:spacing w:line="429" w:lineRule="auto" w:before="11" w:after="0"/>
              <w:ind w:left="321" w:right="300" w:firstLine="612"/>
              <w:jc w:val="left"/>
              <w:rPr>
                <w:sz w:val="20"/>
              </w:rPr>
            </w:pPr>
            <w:r>
              <w:rPr>
                <w:w w:val="95"/>
                <w:sz w:val="20"/>
              </w:rPr>
              <w:t>申请人所能提供的与确认保险事故的性质、原因等有关的其他证明和资料。  若申请人为代理人，还需提供由受益人出具的授权委托书、代理人本人身份证明；</w:t>
            </w:r>
          </w:p>
          <w:p>
            <w:pPr>
              <w:pStyle w:val="TableParagraph"/>
              <w:spacing w:before="47"/>
              <w:ind w:left="321"/>
              <w:rPr>
                <w:sz w:val="20"/>
              </w:rPr>
            </w:pPr>
            <w:r>
              <w:rPr>
                <w:w w:val="95"/>
                <w:sz w:val="20"/>
              </w:rPr>
              <w:t>保险金作为被保险人遗产时，申请人必须提供可证明其享有合法继承权的相关文件。</w:t>
            </w:r>
          </w:p>
          <w:p>
            <w:pPr>
              <w:pStyle w:val="TableParagraph"/>
              <w:spacing w:before="9"/>
              <w:ind w:left="0"/>
              <w:rPr>
                <w:b/>
                <w:sz w:val="15"/>
              </w:rPr>
            </w:pPr>
          </w:p>
          <w:p>
            <w:pPr>
              <w:pStyle w:val="TableParagraph"/>
              <w:ind w:left="321"/>
              <w:rPr>
                <w:sz w:val="20"/>
              </w:rPr>
            </w:pPr>
            <w:r>
              <w:rPr>
                <w:w w:val="95"/>
                <w:sz w:val="20"/>
              </w:rPr>
              <w:t>以上证明和资料不完整的，我们将及时一次性通知申请人补充提供有关证明和资料。</w:t>
            </w:r>
          </w:p>
        </w:tc>
      </w:tr>
      <w:tr>
        <w:trPr>
          <w:trHeight w:val="4524" w:hRule="atLeast"/>
        </w:trPr>
        <w:tc>
          <w:tcPr>
            <w:tcW w:w="683" w:type="dxa"/>
          </w:tcPr>
          <w:p>
            <w:pPr>
              <w:pStyle w:val="TableParagraph"/>
              <w:spacing w:before="72"/>
              <w:ind w:left="179" w:right="160"/>
              <w:jc w:val="center"/>
              <w:rPr>
                <w:b/>
                <w:sz w:val="20"/>
              </w:rPr>
            </w:pPr>
            <w:r>
              <w:rPr>
                <w:b/>
                <w:sz w:val="20"/>
              </w:rPr>
              <w:t>4.4</w:t>
            </w:r>
          </w:p>
        </w:tc>
        <w:tc>
          <w:tcPr>
            <w:tcW w:w="1505" w:type="dxa"/>
          </w:tcPr>
          <w:p>
            <w:pPr>
              <w:pStyle w:val="TableParagraph"/>
              <w:spacing w:before="72"/>
              <w:ind w:left="179"/>
              <w:rPr>
                <w:b/>
                <w:sz w:val="20"/>
              </w:rPr>
            </w:pPr>
            <w:r>
              <w:rPr>
                <w:b/>
                <w:w w:val="95"/>
                <w:sz w:val="20"/>
              </w:rPr>
              <w:t>保险金给付</w:t>
            </w:r>
          </w:p>
        </w:tc>
        <w:tc>
          <w:tcPr>
            <w:tcW w:w="8322" w:type="dxa"/>
          </w:tcPr>
          <w:p>
            <w:pPr>
              <w:pStyle w:val="TableParagraph"/>
              <w:spacing w:line="285" w:lineRule="auto" w:before="72"/>
              <w:ind w:left="321" w:right="198"/>
              <w:jc w:val="both"/>
              <w:rPr>
                <w:sz w:val="20"/>
              </w:rPr>
            </w:pPr>
            <w:r>
              <w:rPr>
                <w:sz w:val="20"/>
              </w:rPr>
              <w:t>我们在收到保险金给付申请书及合同约定的证明和资料后，将在五个工作日内作出核定； </w:t>
            </w:r>
            <w:r>
              <w:rPr>
                <w:w w:val="95"/>
                <w:sz w:val="20"/>
              </w:rPr>
              <w:t>情形复杂的，在三十日内作出核定。</w:t>
            </w:r>
          </w:p>
          <w:p>
            <w:pPr>
              <w:pStyle w:val="TableParagraph"/>
              <w:spacing w:line="285" w:lineRule="auto" w:before="168"/>
              <w:ind w:left="321" w:right="280"/>
              <w:jc w:val="both"/>
              <w:rPr>
                <w:sz w:val="20"/>
              </w:rPr>
            </w:pPr>
            <w:r>
              <w:rPr>
                <w:spacing w:val="-9"/>
                <w:w w:val="95"/>
                <w:sz w:val="20"/>
              </w:rPr>
              <w:t>对属于保险责任的，我们在与受益人或被保险人的继承人达成给付保险金的协议后十日内   </w:t>
            </w:r>
            <w:r>
              <w:rPr>
                <w:spacing w:val="-12"/>
                <w:w w:val="95"/>
                <w:sz w:val="20"/>
              </w:rPr>
              <w:t>履行给付保险金义务；我们未及时履行前款规定的义务的，除支付保险金外，还应当赔偿   受益人或被保险人的继承人因此受到的损失。</w:t>
            </w:r>
          </w:p>
          <w:p>
            <w:pPr>
              <w:pStyle w:val="TableParagraph"/>
              <w:spacing w:line="285" w:lineRule="auto" w:before="167"/>
              <w:ind w:left="321" w:right="279"/>
              <w:jc w:val="both"/>
              <w:rPr>
                <w:sz w:val="20"/>
              </w:rPr>
            </w:pPr>
            <w:r>
              <w:rPr>
                <w:spacing w:val="-8"/>
                <w:w w:val="95"/>
                <w:sz w:val="20"/>
              </w:rPr>
              <w:t>对不属于保险责任的，我们自作出核定之日起三个工作日内向受益人或被保险人的继承人   发出拒绝给付保险金通知书并说明理由。</w:t>
            </w:r>
          </w:p>
          <w:p>
            <w:pPr>
              <w:pStyle w:val="TableParagraph"/>
              <w:spacing w:line="285" w:lineRule="auto" w:before="167"/>
              <w:ind w:left="321" w:right="280"/>
              <w:jc w:val="both"/>
              <w:rPr>
                <w:sz w:val="20"/>
              </w:rPr>
            </w:pPr>
            <w:r>
              <w:rPr>
                <w:spacing w:val="-3"/>
                <w:w w:val="95"/>
                <w:sz w:val="20"/>
              </w:rPr>
              <w:t>我们在收到保险金给付申请书及有关证明和资料之日起六十日内，对给付保险金的数额不   </w:t>
            </w:r>
            <w:r>
              <w:rPr>
                <w:spacing w:val="-9"/>
                <w:w w:val="95"/>
                <w:sz w:val="20"/>
              </w:rPr>
              <w:t>能确定的，根据已有证明和资料可以确定的数额先予支付；我们最终确定给付保险金的数   额后，将支付相应的差额。</w:t>
            </w:r>
          </w:p>
          <w:p>
            <w:pPr>
              <w:pStyle w:val="TableParagraph"/>
              <w:spacing w:line="285" w:lineRule="auto" w:before="167"/>
              <w:ind w:left="321" w:right="280"/>
              <w:jc w:val="both"/>
              <w:rPr>
                <w:sz w:val="20"/>
              </w:rPr>
            </w:pPr>
            <w:r>
              <w:rPr>
                <w:spacing w:val="-5"/>
                <w:w w:val="95"/>
                <w:sz w:val="20"/>
              </w:rPr>
              <w:t>若被保险人在被人民法院宣告死亡后生还，已经领取了身故保险金的人应于知道或被通知   被保险人生还后三十日内退还我们已给付的保险金。</w:t>
            </w:r>
          </w:p>
        </w:tc>
      </w:tr>
      <w:tr>
        <w:trPr>
          <w:trHeight w:val="1425" w:hRule="atLeast"/>
        </w:trPr>
        <w:tc>
          <w:tcPr>
            <w:tcW w:w="683" w:type="dxa"/>
          </w:tcPr>
          <w:p>
            <w:pPr>
              <w:pStyle w:val="TableParagraph"/>
              <w:spacing w:before="72"/>
              <w:ind w:left="179" w:right="160"/>
              <w:jc w:val="center"/>
              <w:rPr>
                <w:b/>
                <w:sz w:val="20"/>
              </w:rPr>
            </w:pPr>
            <w:r>
              <w:rPr>
                <w:b/>
                <w:sz w:val="20"/>
              </w:rPr>
              <w:t>4.5</w:t>
            </w:r>
          </w:p>
        </w:tc>
        <w:tc>
          <w:tcPr>
            <w:tcW w:w="1505" w:type="dxa"/>
          </w:tcPr>
          <w:p>
            <w:pPr>
              <w:pStyle w:val="TableParagraph"/>
              <w:spacing w:before="72"/>
              <w:ind w:left="179"/>
              <w:rPr>
                <w:b/>
                <w:sz w:val="20"/>
              </w:rPr>
            </w:pPr>
            <w:r>
              <w:rPr>
                <w:b/>
                <w:sz w:val="20"/>
              </w:rPr>
              <w:t>诉讼时效</w:t>
            </w:r>
          </w:p>
        </w:tc>
        <w:tc>
          <w:tcPr>
            <w:tcW w:w="8322" w:type="dxa"/>
          </w:tcPr>
          <w:p>
            <w:pPr>
              <w:pStyle w:val="TableParagraph"/>
              <w:spacing w:line="285" w:lineRule="auto" w:before="72"/>
              <w:ind w:left="321" w:right="283"/>
              <w:rPr>
                <w:sz w:val="20"/>
              </w:rPr>
            </w:pPr>
            <w:r>
              <w:rPr>
                <w:sz w:val="20"/>
              </w:rPr>
              <w:t>受益人或被保险人的继承人向我们请求给付身故或全残保险金以及生命尊严提前给付保</w:t>
            </w:r>
            <w:r>
              <w:rPr>
                <w:w w:val="95"/>
                <w:sz w:val="20"/>
              </w:rPr>
              <w:t>险金的诉讼时效期间为五年，自其知道或者应当知道保险事故发生之日起计算。</w:t>
            </w:r>
          </w:p>
          <w:p>
            <w:pPr>
              <w:pStyle w:val="TableParagraph"/>
              <w:spacing w:line="310" w:lineRule="atLeast" w:before="119"/>
              <w:ind w:left="321" w:right="280"/>
              <w:rPr>
                <w:sz w:val="20"/>
              </w:rPr>
            </w:pPr>
            <w:r>
              <w:rPr>
                <w:spacing w:val="-3"/>
                <w:w w:val="95"/>
                <w:sz w:val="20"/>
              </w:rPr>
              <w:t>受益人向我们请求给付重大疾病保险金以及轻症重疾保险金的诉讼时效期间为两年，自其   知道或者应当知道保险事故发生之日起计算。</w:t>
            </w:r>
          </w:p>
        </w:tc>
      </w:tr>
    </w:tbl>
    <w:p>
      <w:pPr>
        <w:spacing w:after="0" w:line="310" w:lineRule="atLeast"/>
        <w:rPr>
          <w:sz w:val="20"/>
        </w:rPr>
        <w:sectPr>
          <w:pgSz w:w="11910" w:h="16840"/>
          <w:pgMar w:header="0" w:footer="831" w:top="1160" w:bottom="1020" w:left="760" w:right="42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91"/>
        <w:gridCol w:w="1681"/>
        <w:gridCol w:w="7976"/>
      </w:tblGrid>
      <w:tr>
        <w:trPr>
          <w:trHeight w:val="257" w:hRule="atLeast"/>
        </w:trPr>
        <w:tc>
          <w:tcPr>
            <w:tcW w:w="10248" w:type="dxa"/>
            <w:gridSpan w:val="3"/>
            <w:tcBorders>
              <w:bottom w:val="single" w:sz="4" w:space="0" w:color="000000"/>
            </w:tcBorders>
          </w:tcPr>
          <w:p>
            <w:pPr>
              <w:pStyle w:val="TableParagraph"/>
              <w:tabs>
                <w:tab w:pos="1368" w:val="left" w:leader="none"/>
              </w:tabs>
              <w:spacing w:line="199" w:lineRule="exact"/>
              <w:ind w:left="287"/>
              <w:rPr>
                <w:b/>
                <w:sz w:val="20"/>
              </w:rPr>
            </w:pPr>
            <w:r>
              <w:rPr>
                <w:b/>
                <w:sz w:val="20"/>
              </w:rPr>
              <w:t>第五部分</w:t>
              <w:tab/>
            </w:r>
            <w:r>
              <w:rPr>
                <w:b/>
                <w:w w:val="95"/>
                <w:sz w:val="20"/>
              </w:rPr>
              <w:t>合同效力的恢复</w:t>
            </w:r>
          </w:p>
        </w:tc>
      </w:tr>
      <w:tr>
        <w:trPr>
          <w:trHeight w:val="2028" w:hRule="atLeast"/>
        </w:trPr>
        <w:tc>
          <w:tcPr>
            <w:tcW w:w="591" w:type="dxa"/>
            <w:tcBorders>
              <w:top w:val="single" w:sz="4" w:space="0" w:color="000000"/>
            </w:tcBorders>
          </w:tcPr>
          <w:p>
            <w:pPr>
              <w:pStyle w:val="TableParagraph"/>
              <w:spacing w:before="150"/>
              <w:ind w:left="107"/>
              <w:rPr>
                <w:b/>
                <w:sz w:val="20"/>
              </w:rPr>
            </w:pPr>
            <w:r>
              <w:rPr>
                <w:b/>
                <w:sz w:val="20"/>
              </w:rPr>
              <w:t>5.1</w:t>
            </w:r>
          </w:p>
        </w:tc>
        <w:tc>
          <w:tcPr>
            <w:tcW w:w="1681" w:type="dxa"/>
            <w:tcBorders>
              <w:top w:val="single" w:sz="4" w:space="0" w:color="000000"/>
            </w:tcBorders>
          </w:tcPr>
          <w:p>
            <w:pPr>
              <w:pStyle w:val="TableParagraph"/>
              <w:spacing w:before="150"/>
              <w:ind w:left="179"/>
              <w:rPr>
                <w:b/>
                <w:sz w:val="20"/>
              </w:rPr>
            </w:pPr>
            <w:r>
              <w:rPr>
                <w:b/>
                <w:sz w:val="20"/>
              </w:rPr>
              <w:t>效力恢复</w:t>
            </w:r>
          </w:p>
        </w:tc>
        <w:tc>
          <w:tcPr>
            <w:tcW w:w="7976" w:type="dxa"/>
            <w:tcBorders>
              <w:top w:val="single" w:sz="4" w:space="0" w:color="000000"/>
            </w:tcBorders>
          </w:tcPr>
          <w:p>
            <w:pPr>
              <w:pStyle w:val="TableParagraph"/>
              <w:spacing w:line="285" w:lineRule="auto" w:before="150"/>
              <w:ind w:left="145" w:right="107"/>
              <w:jc w:val="both"/>
              <w:rPr>
                <w:sz w:val="20"/>
              </w:rPr>
            </w:pPr>
            <w:r>
              <w:rPr>
                <w:spacing w:val="-2"/>
                <w:w w:val="95"/>
                <w:sz w:val="20"/>
              </w:rPr>
              <w:t>本合同效力中止后两年内</w:t>
            </w:r>
            <w:r>
              <w:rPr>
                <w:w w:val="95"/>
                <w:sz w:val="20"/>
              </w:rPr>
              <w:t>（含两年</w:t>
            </w:r>
            <w:r>
              <w:rPr>
                <w:spacing w:val="-19"/>
                <w:w w:val="95"/>
                <w:sz w:val="20"/>
              </w:rPr>
              <w:t>）</w:t>
            </w:r>
            <w:r>
              <w:rPr>
                <w:spacing w:val="-7"/>
                <w:w w:val="95"/>
                <w:sz w:val="20"/>
              </w:rPr>
              <w:t>，您可以申请恢复合同效力。经我们与您协商并达成   协议，在您补交保单欠款之日起，合同效力恢复。</w:t>
            </w:r>
          </w:p>
          <w:p>
            <w:pPr>
              <w:pStyle w:val="TableParagraph"/>
              <w:spacing w:line="285" w:lineRule="auto" w:before="167"/>
              <w:ind w:left="145" w:right="99"/>
              <w:jc w:val="both"/>
              <w:rPr>
                <w:b/>
                <w:sz w:val="20"/>
              </w:rPr>
            </w:pPr>
            <w:r>
              <w:rPr>
                <w:b/>
                <w:sz w:val="20"/>
              </w:rPr>
              <w:t>自本合同效力中止之日起满两年您未和我们达成协议的，我们有权解除本合同及所附的附加合同。若我们解除合同，将向您退还合同效力中止时本合同及所附的附加合同的现</w:t>
            </w:r>
            <w:r>
              <w:rPr>
                <w:b/>
                <w:w w:val="95"/>
                <w:sz w:val="20"/>
              </w:rPr>
              <w:t>金价值。</w:t>
            </w:r>
          </w:p>
        </w:tc>
      </w:tr>
      <w:tr>
        <w:trPr>
          <w:trHeight w:val="469" w:hRule="atLeast"/>
        </w:trPr>
        <w:tc>
          <w:tcPr>
            <w:tcW w:w="10248" w:type="dxa"/>
            <w:gridSpan w:val="3"/>
            <w:tcBorders>
              <w:bottom w:val="single" w:sz="4" w:space="0" w:color="000000"/>
            </w:tcBorders>
          </w:tcPr>
          <w:p>
            <w:pPr>
              <w:pStyle w:val="TableParagraph"/>
              <w:tabs>
                <w:tab w:pos="1368" w:val="left" w:leader="none"/>
              </w:tabs>
              <w:spacing w:before="150"/>
              <w:ind w:left="287"/>
              <w:rPr>
                <w:b/>
                <w:sz w:val="20"/>
              </w:rPr>
            </w:pPr>
            <w:r>
              <w:rPr>
                <w:b/>
                <w:sz w:val="20"/>
              </w:rPr>
              <w:t>第六部分</w:t>
              <w:tab/>
            </w:r>
            <w:r>
              <w:rPr>
                <w:b/>
                <w:w w:val="95"/>
                <w:sz w:val="20"/>
              </w:rPr>
              <w:t>如何解除保险合同</w:t>
            </w:r>
          </w:p>
        </w:tc>
      </w:tr>
      <w:tr>
        <w:trPr>
          <w:trHeight w:val="2494" w:hRule="atLeast"/>
        </w:trPr>
        <w:tc>
          <w:tcPr>
            <w:tcW w:w="591" w:type="dxa"/>
            <w:tcBorders>
              <w:top w:val="single" w:sz="4" w:space="0" w:color="000000"/>
            </w:tcBorders>
          </w:tcPr>
          <w:p>
            <w:pPr>
              <w:pStyle w:val="TableParagraph"/>
              <w:spacing w:before="148"/>
              <w:ind w:left="107"/>
              <w:rPr>
                <w:b/>
                <w:sz w:val="20"/>
              </w:rPr>
            </w:pPr>
            <w:r>
              <w:rPr>
                <w:b/>
                <w:sz w:val="20"/>
              </w:rPr>
              <w:t>6.1</w:t>
            </w:r>
          </w:p>
        </w:tc>
        <w:tc>
          <w:tcPr>
            <w:tcW w:w="1681" w:type="dxa"/>
            <w:tcBorders>
              <w:top w:val="single" w:sz="4" w:space="0" w:color="000000"/>
            </w:tcBorders>
          </w:tcPr>
          <w:p>
            <w:pPr>
              <w:pStyle w:val="TableParagraph"/>
              <w:spacing w:line="285" w:lineRule="auto" w:before="148"/>
              <w:ind w:left="179" w:right="143"/>
              <w:rPr>
                <w:b/>
                <w:sz w:val="20"/>
              </w:rPr>
            </w:pPr>
            <w:r>
              <w:rPr>
                <w:b/>
                <w:w w:val="95"/>
                <w:sz w:val="20"/>
              </w:rPr>
              <w:t>合同的解除及</w:t>
            </w:r>
            <w:r>
              <w:rPr>
                <w:b/>
                <w:sz w:val="20"/>
              </w:rPr>
              <w:t>风险</w:t>
            </w:r>
          </w:p>
        </w:tc>
        <w:tc>
          <w:tcPr>
            <w:tcW w:w="7976" w:type="dxa"/>
            <w:tcBorders>
              <w:top w:val="single" w:sz="4" w:space="0" w:color="000000"/>
            </w:tcBorders>
          </w:tcPr>
          <w:p>
            <w:pPr>
              <w:pStyle w:val="TableParagraph"/>
              <w:spacing w:line="285" w:lineRule="auto" w:before="148"/>
              <w:ind w:left="145" w:right="706"/>
              <w:rPr>
                <w:sz w:val="20"/>
              </w:rPr>
            </w:pPr>
            <w:r>
              <w:rPr>
                <w:w w:val="95"/>
                <w:sz w:val="20"/>
              </w:rPr>
              <w:t>如您在犹豫期后申请解除本合同，请填写合同终止申请书并向我们提供下列资料： 1）保险合同；</w:t>
            </w:r>
          </w:p>
          <w:p>
            <w:pPr>
              <w:pStyle w:val="TableParagraph"/>
              <w:spacing w:before="12"/>
              <w:ind w:left="145"/>
              <w:rPr>
                <w:sz w:val="20"/>
              </w:rPr>
            </w:pPr>
            <w:r>
              <w:rPr>
                <w:w w:val="95"/>
                <w:sz w:val="20"/>
              </w:rPr>
              <w:t>2）您的有效身份证件。</w:t>
            </w:r>
          </w:p>
          <w:p>
            <w:pPr>
              <w:pStyle w:val="TableParagraph"/>
              <w:spacing w:before="9"/>
              <w:ind w:left="0"/>
              <w:rPr>
                <w:b/>
                <w:sz w:val="15"/>
              </w:rPr>
            </w:pPr>
          </w:p>
          <w:p>
            <w:pPr>
              <w:pStyle w:val="TableParagraph"/>
              <w:spacing w:line="285" w:lineRule="auto"/>
              <w:ind w:left="145" w:right="107"/>
              <w:rPr>
                <w:sz w:val="20"/>
              </w:rPr>
            </w:pPr>
            <w:r>
              <w:rPr>
                <w:spacing w:val="-5"/>
                <w:w w:val="95"/>
                <w:sz w:val="20"/>
              </w:rPr>
              <w:t>自我们收到解除合同申请书时起，本合同及所附的附加合同终止。我们自收到合同终止申   请书之日起三十日内向您退还本合同及所附的附加合同在终止日的现金价值。</w:t>
            </w:r>
          </w:p>
          <w:p>
            <w:pPr>
              <w:pStyle w:val="TableParagraph"/>
              <w:spacing w:before="167"/>
              <w:ind w:left="145"/>
              <w:rPr>
                <w:b/>
                <w:sz w:val="20"/>
              </w:rPr>
            </w:pPr>
            <w:r>
              <w:rPr>
                <w:b/>
                <w:w w:val="95"/>
                <w:sz w:val="20"/>
              </w:rPr>
              <w:t>如您在犹豫期后解除合同，会遭受一定的损失，故请您慎重考虑和决定。</w:t>
            </w:r>
          </w:p>
        </w:tc>
      </w:tr>
      <w:tr>
        <w:trPr>
          <w:trHeight w:val="469" w:hRule="atLeast"/>
        </w:trPr>
        <w:tc>
          <w:tcPr>
            <w:tcW w:w="10248" w:type="dxa"/>
            <w:gridSpan w:val="3"/>
            <w:tcBorders>
              <w:bottom w:val="single" w:sz="4" w:space="0" w:color="000000"/>
            </w:tcBorders>
          </w:tcPr>
          <w:p>
            <w:pPr>
              <w:pStyle w:val="TableParagraph"/>
              <w:tabs>
                <w:tab w:pos="1368" w:val="left" w:leader="none"/>
              </w:tabs>
              <w:spacing w:before="150"/>
              <w:ind w:left="287"/>
              <w:rPr>
                <w:b/>
                <w:sz w:val="20"/>
              </w:rPr>
            </w:pPr>
            <w:r>
              <w:rPr>
                <w:b/>
                <w:sz w:val="20"/>
              </w:rPr>
              <w:t>第七部分</w:t>
              <w:tab/>
            </w:r>
            <w:r>
              <w:rPr>
                <w:b/>
                <w:w w:val="95"/>
                <w:sz w:val="20"/>
              </w:rPr>
              <w:t>其他重要事项</w:t>
            </w:r>
          </w:p>
        </w:tc>
      </w:tr>
      <w:tr>
        <w:trPr>
          <w:trHeight w:val="5380" w:hRule="atLeast"/>
        </w:trPr>
        <w:tc>
          <w:tcPr>
            <w:tcW w:w="591" w:type="dxa"/>
            <w:tcBorders>
              <w:top w:val="single" w:sz="4" w:space="0" w:color="000000"/>
            </w:tcBorders>
          </w:tcPr>
          <w:p>
            <w:pPr>
              <w:pStyle w:val="TableParagraph"/>
              <w:spacing w:before="148"/>
              <w:ind w:left="107"/>
              <w:rPr>
                <w:b/>
                <w:sz w:val="20"/>
              </w:rPr>
            </w:pPr>
            <w:r>
              <w:rPr>
                <w:b/>
                <w:sz w:val="20"/>
              </w:rPr>
              <w:t>7.1</w:t>
            </w:r>
          </w:p>
        </w:tc>
        <w:tc>
          <w:tcPr>
            <w:tcW w:w="1681" w:type="dxa"/>
            <w:tcBorders>
              <w:top w:val="single" w:sz="4" w:space="0" w:color="000000"/>
            </w:tcBorders>
          </w:tcPr>
          <w:p>
            <w:pPr>
              <w:pStyle w:val="TableParagraph"/>
              <w:spacing w:line="285" w:lineRule="auto" w:before="148"/>
              <w:ind w:left="179" w:right="143"/>
              <w:rPr>
                <w:b/>
                <w:sz w:val="20"/>
              </w:rPr>
            </w:pPr>
            <w:r>
              <w:rPr>
                <w:b/>
                <w:w w:val="95"/>
                <w:sz w:val="20"/>
              </w:rPr>
              <w:t>明确说明与如</w:t>
            </w:r>
            <w:r>
              <w:rPr>
                <w:b/>
                <w:sz w:val="20"/>
              </w:rPr>
              <w:t>实告知</w:t>
            </w:r>
          </w:p>
        </w:tc>
        <w:tc>
          <w:tcPr>
            <w:tcW w:w="7976" w:type="dxa"/>
            <w:tcBorders>
              <w:top w:val="single" w:sz="4" w:space="0" w:color="000000"/>
            </w:tcBorders>
          </w:tcPr>
          <w:p>
            <w:pPr>
              <w:pStyle w:val="TableParagraph"/>
              <w:spacing w:before="148"/>
              <w:ind w:left="145"/>
              <w:rPr>
                <w:sz w:val="20"/>
              </w:rPr>
            </w:pPr>
            <w:r>
              <w:rPr>
                <w:w w:val="95"/>
                <w:sz w:val="20"/>
              </w:rPr>
              <w:t>订立合同时，我们应向您说明本合同的内容。</w:t>
            </w:r>
          </w:p>
          <w:p>
            <w:pPr>
              <w:pStyle w:val="TableParagraph"/>
              <w:spacing w:before="10"/>
              <w:ind w:left="0"/>
              <w:rPr>
                <w:b/>
                <w:sz w:val="15"/>
              </w:rPr>
            </w:pPr>
          </w:p>
          <w:p>
            <w:pPr>
              <w:pStyle w:val="TableParagraph"/>
              <w:spacing w:line="285" w:lineRule="auto"/>
              <w:ind w:left="145" w:right="108"/>
              <w:jc w:val="both"/>
              <w:rPr>
                <w:sz w:val="20"/>
              </w:rPr>
            </w:pPr>
            <w:r>
              <w:rPr>
                <w:spacing w:val="-5"/>
                <w:w w:val="95"/>
                <w:sz w:val="20"/>
              </w:rPr>
              <w:t>对保险条款中免除我们责任的条款，我们在订立合同时应当在投保单、保险单或者其他保   </w:t>
            </w:r>
            <w:r>
              <w:rPr>
                <w:spacing w:val="-10"/>
                <w:w w:val="95"/>
                <w:sz w:val="20"/>
              </w:rPr>
              <w:t>险凭证上作出足以引起您注意的提示，并对该条款的内容以书面或者口头形式向您作出明   确说明；未作提示或者明确说明的，该条款不产生效力。</w:t>
            </w:r>
          </w:p>
          <w:p>
            <w:pPr>
              <w:pStyle w:val="TableParagraph"/>
              <w:spacing w:line="285" w:lineRule="auto" w:before="168"/>
              <w:ind w:left="145" w:right="204"/>
              <w:jc w:val="both"/>
              <w:rPr>
                <w:b/>
                <w:sz w:val="20"/>
              </w:rPr>
            </w:pPr>
            <w:r>
              <w:rPr>
                <w:b/>
                <w:w w:val="95"/>
                <w:sz w:val="20"/>
              </w:rPr>
              <w:t>我们在合同订立、合同复效或合同变更时就您和被保险人的有关情况提出询问，您应当  如实告知。</w:t>
            </w:r>
          </w:p>
          <w:p>
            <w:pPr>
              <w:pStyle w:val="TableParagraph"/>
              <w:spacing w:line="285" w:lineRule="auto" w:before="168"/>
              <w:ind w:left="145" w:right="204"/>
              <w:jc w:val="both"/>
              <w:rPr>
                <w:b/>
                <w:sz w:val="20"/>
              </w:rPr>
            </w:pPr>
            <w:r>
              <w:rPr>
                <w:b/>
                <w:w w:val="95"/>
                <w:sz w:val="20"/>
              </w:rPr>
              <w:t>如果您故意或者因重大过失未履行前款规定的如实告知义务，足以影响我们决定是否同  意承保或者提高保险费率的，我们有权解除本合同。</w:t>
            </w:r>
          </w:p>
          <w:p>
            <w:pPr>
              <w:pStyle w:val="TableParagraph"/>
              <w:spacing w:line="285" w:lineRule="auto" w:before="167"/>
              <w:ind w:left="145" w:right="204"/>
              <w:jc w:val="both"/>
              <w:rPr>
                <w:b/>
                <w:sz w:val="20"/>
              </w:rPr>
            </w:pPr>
            <w:r>
              <w:rPr>
                <w:b/>
                <w:w w:val="95"/>
                <w:sz w:val="20"/>
              </w:rPr>
              <w:t>如果您故意不履行如实告知义务，对于本合同解除前发生的保险事故，我们不承担给付  保险金的责任，并不退还保险费；如果您因重大过失未履行如实告知义务，对保险事故  的发生有严重影响的，对于本合同解除前发生的保险事故，我们不承担给付保险金的责  任，但应当退还保险费。</w:t>
            </w:r>
          </w:p>
          <w:p>
            <w:pPr>
              <w:pStyle w:val="TableParagraph"/>
              <w:spacing w:line="285" w:lineRule="auto" w:before="167"/>
              <w:ind w:left="145" w:right="110"/>
              <w:jc w:val="both"/>
              <w:rPr>
                <w:sz w:val="20"/>
              </w:rPr>
            </w:pPr>
            <w:r>
              <w:rPr>
                <w:spacing w:val="-7"/>
                <w:w w:val="95"/>
                <w:sz w:val="20"/>
              </w:rPr>
              <w:t>我们在合同订立、合同复效或合同变更时已经知道您未如实告知的情况的，我们不得解除   合同；发生保险事故的，我们承担给付保险金的责任。</w:t>
            </w:r>
          </w:p>
        </w:tc>
      </w:tr>
      <w:tr>
        <w:trPr>
          <w:trHeight w:val="1092" w:hRule="atLeast"/>
        </w:trPr>
        <w:tc>
          <w:tcPr>
            <w:tcW w:w="591" w:type="dxa"/>
          </w:tcPr>
          <w:p>
            <w:pPr>
              <w:pStyle w:val="TableParagraph"/>
              <w:spacing w:before="72"/>
              <w:ind w:left="107"/>
              <w:rPr>
                <w:b/>
                <w:sz w:val="20"/>
              </w:rPr>
            </w:pPr>
            <w:r>
              <w:rPr>
                <w:b/>
                <w:sz w:val="20"/>
              </w:rPr>
              <w:t>7.2</w:t>
            </w:r>
          </w:p>
        </w:tc>
        <w:tc>
          <w:tcPr>
            <w:tcW w:w="1681" w:type="dxa"/>
          </w:tcPr>
          <w:p>
            <w:pPr>
              <w:pStyle w:val="TableParagraph"/>
              <w:spacing w:line="285" w:lineRule="auto" w:before="72"/>
              <w:ind w:left="179" w:right="143"/>
              <w:rPr>
                <w:b/>
                <w:sz w:val="20"/>
              </w:rPr>
            </w:pPr>
            <w:r>
              <w:rPr>
                <w:b/>
                <w:w w:val="95"/>
                <w:sz w:val="20"/>
              </w:rPr>
              <w:t>我们合同解除</w:t>
            </w:r>
            <w:r>
              <w:rPr>
                <w:b/>
                <w:sz w:val="20"/>
              </w:rPr>
              <w:t>权的限制</w:t>
            </w:r>
          </w:p>
        </w:tc>
        <w:tc>
          <w:tcPr>
            <w:tcW w:w="7976" w:type="dxa"/>
          </w:tcPr>
          <w:p>
            <w:pPr>
              <w:pStyle w:val="TableParagraph"/>
              <w:spacing w:line="285" w:lineRule="auto" w:before="72"/>
              <w:ind w:left="145" w:right="111"/>
              <w:jc w:val="both"/>
              <w:rPr>
                <w:sz w:val="20"/>
              </w:rPr>
            </w:pPr>
            <w:r>
              <w:rPr>
                <w:spacing w:val="-5"/>
                <w:w w:val="95"/>
                <w:sz w:val="20"/>
              </w:rPr>
              <w:t>前条规定的合同解除权，自我们知道有解除事由之日起，超过三十日不行使而消灭。自本   </w:t>
            </w:r>
            <w:r>
              <w:rPr>
                <w:spacing w:val="-9"/>
                <w:w w:val="95"/>
                <w:sz w:val="20"/>
              </w:rPr>
              <w:t>合同成立之日起超过两年的，我们不得解除合同；发生保险事故的，我们承担给付保险金   的责任。</w:t>
            </w:r>
          </w:p>
        </w:tc>
      </w:tr>
      <w:tr>
        <w:trPr>
          <w:trHeight w:val="1737" w:hRule="atLeast"/>
        </w:trPr>
        <w:tc>
          <w:tcPr>
            <w:tcW w:w="591" w:type="dxa"/>
          </w:tcPr>
          <w:p>
            <w:pPr>
              <w:pStyle w:val="TableParagraph"/>
              <w:spacing w:before="72"/>
              <w:ind w:left="107"/>
              <w:rPr>
                <w:b/>
                <w:sz w:val="20"/>
              </w:rPr>
            </w:pPr>
            <w:r>
              <w:rPr>
                <w:b/>
                <w:sz w:val="20"/>
              </w:rPr>
              <w:t>7.3</w:t>
            </w:r>
          </w:p>
        </w:tc>
        <w:tc>
          <w:tcPr>
            <w:tcW w:w="1681" w:type="dxa"/>
          </w:tcPr>
          <w:p>
            <w:pPr>
              <w:pStyle w:val="TableParagraph"/>
              <w:spacing w:line="285" w:lineRule="auto" w:before="72"/>
              <w:ind w:left="179" w:right="143"/>
              <w:rPr>
                <w:b/>
                <w:sz w:val="20"/>
              </w:rPr>
            </w:pPr>
            <w:r>
              <w:rPr>
                <w:b/>
                <w:w w:val="95"/>
                <w:sz w:val="20"/>
              </w:rPr>
              <w:t>年龄或性别错</w:t>
            </w:r>
            <w:r>
              <w:rPr>
                <w:b/>
                <w:sz w:val="20"/>
              </w:rPr>
              <w:t>误</w:t>
            </w:r>
          </w:p>
        </w:tc>
        <w:tc>
          <w:tcPr>
            <w:tcW w:w="7976" w:type="dxa"/>
          </w:tcPr>
          <w:p>
            <w:pPr>
              <w:pStyle w:val="TableParagraph"/>
              <w:spacing w:line="285" w:lineRule="auto" w:before="72"/>
              <w:ind w:left="145" w:right="106" w:firstLine="2"/>
              <w:rPr>
                <w:sz w:val="20"/>
              </w:rPr>
            </w:pPr>
            <w:r>
              <w:rPr>
                <w:spacing w:val="-9"/>
                <w:w w:val="95"/>
                <w:sz w:val="20"/>
              </w:rPr>
              <w:t>您在申请投保时，应将与有效身份证件相符的被保险人的出生日期及其真实性别在投保单   上填明，如果发生错误按照下列方式办理：</w:t>
            </w:r>
          </w:p>
          <w:p>
            <w:pPr>
              <w:pStyle w:val="TableParagraph"/>
              <w:spacing w:line="310" w:lineRule="atLeast" w:before="120"/>
              <w:ind w:left="825" w:right="140" w:hanging="680"/>
              <w:jc w:val="both"/>
              <w:rPr>
                <w:b/>
                <w:sz w:val="20"/>
              </w:rPr>
            </w:pPr>
            <w:r>
              <w:rPr>
                <w:sz w:val="20"/>
              </w:rPr>
              <w:t>（1）</w:t>
            </w:r>
            <w:r>
              <w:rPr>
                <w:spacing w:val="66"/>
                <w:sz w:val="20"/>
              </w:rPr>
              <w:t> </w:t>
            </w:r>
            <w:r>
              <w:rPr>
                <w:b/>
                <w:spacing w:val="-1"/>
                <w:sz w:val="20"/>
              </w:rPr>
              <w:t>您申报的被保险人年龄不真实，并且其真实年龄不符合本合同约定投保年龄限制</w:t>
            </w:r>
            <w:r>
              <w:rPr>
                <w:b/>
                <w:spacing w:val="-3"/>
                <w:w w:val="95"/>
                <w:sz w:val="20"/>
              </w:rPr>
              <w:t>的，我们有权解除合同，并向您退还本合同的现金价值。我们行使合同解除权适  </w:t>
            </w:r>
            <w:r>
              <w:rPr>
                <w:b/>
                <w:spacing w:val="-3"/>
                <w:sz w:val="20"/>
              </w:rPr>
              <w:t>用“7.2</w:t>
            </w:r>
            <w:r>
              <w:rPr>
                <w:b/>
                <w:spacing w:val="-8"/>
                <w:sz w:val="20"/>
              </w:rPr>
              <w:t> 我们合同解除权的限制”的规定。</w:t>
            </w:r>
          </w:p>
        </w:tc>
      </w:tr>
    </w:tbl>
    <w:p>
      <w:pPr>
        <w:spacing w:after="0" w:line="310" w:lineRule="atLeast"/>
        <w:jc w:val="both"/>
        <w:rPr>
          <w:sz w:val="20"/>
        </w:rPr>
        <w:sectPr>
          <w:pgSz w:w="11910" w:h="16840"/>
          <w:pgMar w:header="0" w:footer="831" w:top="1320" w:bottom="1020" w:left="840" w:right="60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3"/>
        <w:gridCol w:w="1681"/>
        <w:gridCol w:w="8064"/>
      </w:tblGrid>
      <w:tr>
        <w:trPr>
          <w:trHeight w:val="1738" w:hRule="atLeast"/>
        </w:trPr>
        <w:tc>
          <w:tcPr>
            <w:tcW w:w="683" w:type="dxa"/>
          </w:tcPr>
          <w:p>
            <w:pPr>
              <w:pStyle w:val="TableParagraph"/>
              <w:ind w:left="0"/>
              <w:rPr>
                <w:rFonts w:ascii="Times New Roman"/>
                <w:sz w:val="18"/>
              </w:rPr>
            </w:pPr>
          </w:p>
        </w:tc>
        <w:tc>
          <w:tcPr>
            <w:tcW w:w="1681" w:type="dxa"/>
          </w:tcPr>
          <w:p>
            <w:pPr>
              <w:pStyle w:val="TableParagraph"/>
              <w:ind w:left="0"/>
              <w:rPr>
                <w:rFonts w:ascii="Times New Roman"/>
                <w:sz w:val="18"/>
              </w:rPr>
            </w:pPr>
          </w:p>
        </w:tc>
        <w:tc>
          <w:tcPr>
            <w:tcW w:w="8064" w:type="dxa"/>
          </w:tcPr>
          <w:p>
            <w:pPr>
              <w:pStyle w:val="TableParagraph"/>
              <w:numPr>
                <w:ilvl w:val="0"/>
                <w:numId w:val="22"/>
              </w:numPr>
              <w:tabs>
                <w:tab w:pos="825" w:val="left" w:leader="none"/>
              </w:tabs>
              <w:spacing w:line="199" w:lineRule="exact" w:before="0" w:after="0"/>
              <w:ind w:left="825" w:right="0" w:hanging="680"/>
              <w:jc w:val="left"/>
              <w:rPr>
                <w:sz w:val="20"/>
              </w:rPr>
            </w:pPr>
            <w:r>
              <w:rPr>
                <w:w w:val="95"/>
                <w:sz w:val="20"/>
              </w:rPr>
              <w:t>您申报的被保险人年龄或性别不真实，致使您实付保险费少于应付保险费的，我</w:t>
            </w:r>
          </w:p>
          <w:p>
            <w:pPr>
              <w:pStyle w:val="TableParagraph"/>
              <w:spacing w:line="285" w:lineRule="auto" w:before="50"/>
              <w:ind w:left="825" w:right="240"/>
              <w:rPr>
                <w:sz w:val="20"/>
              </w:rPr>
            </w:pPr>
            <w:r>
              <w:rPr>
                <w:w w:val="95"/>
                <w:sz w:val="20"/>
              </w:rPr>
              <w:t>们有权更正并要求您补交保险费；若已经发生保险事故，在给付保险金时按实付  保险费和应付保险费的比例给付。</w:t>
            </w:r>
          </w:p>
          <w:p>
            <w:pPr>
              <w:pStyle w:val="TableParagraph"/>
              <w:numPr>
                <w:ilvl w:val="0"/>
                <w:numId w:val="22"/>
              </w:numPr>
              <w:tabs>
                <w:tab w:pos="825" w:val="left" w:leader="none"/>
              </w:tabs>
              <w:spacing w:line="285" w:lineRule="auto" w:before="168" w:after="0"/>
              <w:ind w:left="825" w:right="240" w:hanging="680"/>
              <w:jc w:val="left"/>
              <w:rPr>
                <w:sz w:val="20"/>
              </w:rPr>
            </w:pPr>
            <w:r>
              <w:rPr>
                <w:w w:val="95"/>
                <w:sz w:val="20"/>
              </w:rPr>
              <w:t>您申报的被保险人年龄或性别不真实，致使您实付保险费多于应付保险费的，我  们会无息将多收的保险费退还给您。</w:t>
            </w:r>
          </w:p>
        </w:tc>
      </w:tr>
      <w:tr>
        <w:trPr>
          <w:trHeight w:val="780" w:hRule="atLeast"/>
        </w:trPr>
        <w:tc>
          <w:tcPr>
            <w:tcW w:w="683" w:type="dxa"/>
          </w:tcPr>
          <w:p>
            <w:pPr>
              <w:pStyle w:val="TableParagraph"/>
              <w:spacing w:before="72"/>
              <w:ind w:left="179" w:right="160"/>
              <w:jc w:val="center"/>
              <w:rPr>
                <w:b/>
                <w:sz w:val="20"/>
              </w:rPr>
            </w:pPr>
            <w:r>
              <w:rPr>
                <w:b/>
                <w:sz w:val="20"/>
              </w:rPr>
              <w:t>7.4</w:t>
            </w:r>
          </w:p>
        </w:tc>
        <w:tc>
          <w:tcPr>
            <w:tcW w:w="1681" w:type="dxa"/>
          </w:tcPr>
          <w:p>
            <w:pPr>
              <w:pStyle w:val="TableParagraph"/>
              <w:spacing w:line="285" w:lineRule="auto" w:before="72"/>
              <w:ind w:left="179" w:right="143"/>
              <w:rPr>
                <w:b/>
                <w:sz w:val="20"/>
              </w:rPr>
            </w:pPr>
            <w:r>
              <w:rPr>
                <w:b/>
                <w:w w:val="95"/>
                <w:sz w:val="20"/>
              </w:rPr>
              <w:t>变更住所与通</w:t>
            </w:r>
            <w:r>
              <w:rPr>
                <w:b/>
                <w:sz w:val="20"/>
              </w:rPr>
              <w:t>讯地址</w:t>
            </w:r>
          </w:p>
        </w:tc>
        <w:tc>
          <w:tcPr>
            <w:tcW w:w="8064" w:type="dxa"/>
          </w:tcPr>
          <w:p>
            <w:pPr>
              <w:pStyle w:val="TableParagraph"/>
              <w:spacing w:line="285" w:lineRule="auto" w:before="72"/>
              <w:ind w:left="145" w:right="200"/>
              <w:rPr>
                <w:sz w:val="20"/>
              </w:rPr>
            </w:pPr>
            <w:r>
              <w:rPr>
                <w:spacing w:val="-4"/>
                <w:w w:val="95"/>
                <w:sz w:val="20"/>
              </w:rPr>
              <w:t>您或被保险人的住所或通讯地址发生变更时，应及时以书面形式通知我们；否则，所有我   们的通知信息都将按我们最近所知的地址发送，并视为已送达您或被保险人。</w:t>
            </w:r>
          </w:p>
        </w:tc>
      </w:tr>
      <w:tr>
        <w:trPr>
          <w:trHeight w:val="1091" w:hRule="atLeast"/>
        </w:trPr>
        <w:tc>
          <w:tcPr>
            <w:tcW w:w="683" w:type="dxa"/>
          </w:tcPr>
          <w:p>
            <w:pPr>
              <w:pStyle w:val="TableParagraph"/>
              <w:spacing w:before="72"/>
              <w:ind w:left="179" w:right="160"/>
              <w:jc w:val="center"/>
              <w:rPr>
                <w:b/>
                <w:sz w:val="20"/>
              </w:rPr>
            </w:pPr>
            <w:r>
              <w:rPr>
                <w:b/>
                <w:sz w:val="20"/>
              </w:rPr>
              <w:t>7.5</w:t>
            </w:r>
          </w:p>
        </w:tc>
        <w:tc>
          <w:tcPr>
            <w:tcW w:w="1681" w:type="dxa"/>
          </w:tcPr>
          <w:p>
            <w:pPr>
              <w:pStyle w:val="TableParagraph"/>
              <w:spacing w:before="72"/>
              <w:ind w:left="179"/>
              <w:rPr>
                <w:b/>
                <w:sz w:val="20"/>
              </w:rPr>
            </w:pPr>
            <w:r>
              <w:rPr>
                <w:b/>
                <w:w w:val="95"/>
                <w:sz w:val="20"/>
              </w:rPr>
              <w:t>合同内容变更</w:t>
            </w:r>
          </w:p>
        </w:tc>
        <w:tc>
          <w:tcPr>
            <w:tcW w:w="8064" w:type="dxa"/>
          </w:tcPr>
          <w:p>
            <w:pPr>
              <w:pStyle w:val="TableParagraph"/>
              <w:spacing w:line="285" w:lineRule="auto" w:before="72"/>
              <w:ind w:left="145" w:right="199"/>
              <w:jc w:val="both"/>
              <w:rPr>
                <w:sz w:val="20"/>
              </w:rPr>
            </w:pPr>
            <w:r>
              <w:rPr>
                <w:spacing w:val="-5"/>
                <w:w w:val="95"/>
                <w:sz w:val="20"/>
              </w:rPr>
              <w:t>在本合同规定的保险期间内，除法律、行政法规另有规定外，经您和我们协商同意，可以   </w:t>
            </w:r>
            <w:r>
              <w:rPr>
                <w:spacing w:val="-10"/>
                <w:w w:val="95"/>
                <w:sz w:val="20"/>
              </w:rPr>
              <w:t>变更本合同的有关内容。变更本合同后，应当由我们在原保险单或其它保险凭证上批注或   附贴批单，或由您和我们订立变更的书面协议。</w:t>
            </w:r>
          </w:p>
        </w:tc>
      </w:tr>
      <w:tr>
        <w:trPr>
          <w:trHeight w:val="1092" w:hRule="atLeast"/>
        </w:trPr>
        <w:tc>
          <w:tcPr>
            <w:tcW w:w="683" w:type="dxa"/>
          </w:tcPr>
          <w:p>
            <w:pPr>
              <w:pStyle w:val="TableParagraph"/>
              <w:spacing w:before="72"/>
              <w:ind w:left="179" w:right="160"/>
              <w:jc w:val="center"/>
              <w:rPr>
                <w:b/>
                <w:sz w:val="20"/>
              </w:rPr>
            </w:pPr>
            <w:r>
              <w:rPr>
                <w:b/>
                <w:sz w:val="20"/>
              </w:rPr>
              <w:t>7.6</w:t>
            </w:r>
          </w:p>
        </w:tc>
        <w:tc>
          <w:tcPr>
            <w:tcW w:w="1681" w:type="dxa"/>
          </w:tcPr>
          <w:p>
            <w:pPr>
              <w:pStyle w:val="TableParagraph"/>
              <w:spacing w:before="72"/>
              <w:ind w:left="179"/>
              <w:rPr>
                <w:b/>
                <w:sz w:val="20"/>
              </w:rPr>
            </w:pPr>
            <w:r>
              <w:rPr>
                <w:b/>
                <w:sz w:val="20"/>
              </w:rPr>
              <w:t>法律法规</w:t>
            </w:r>
          </w:p>
        </w:tc>
        <w:tc>
          <w:tcPr>
            <w:tcW w:w="8064" w:type="dxa"/>
          </w:tcPr>
          <w:p>
            <w:pPr>
              <w:pStyle w:val="TableParagraph"/>
              <w:spacing w:line="285" w:lineRule="auto" w:before="72"/>
              <w:ind w:left="145" w:right="198"/>
              <w:jc w:val="both"/>
              <w:rPr>
                <w:sz w:val="20"/>
              </w:rPr>
            </w:pPr>
            <w:r>
              <w:rPr>
                <w:spacing w:val="-5"/>
                <w:w w:val="95"/>
                <w:sz w:val="20"/>
              </w:rPr>
              <w:t>本合同受中华人民共和国法律管辖。本合同中的任何部分，若与当时有效的中华人民共和   </w:t>
            </w:r>
            <w:r>
              <w:rPr>
                <w:spacing w:val="-9"/>
                <w:w w:val="95"/>
                <w:sz w:val="20"/>
              </w:rPr>
              <w:t>国法律、法规及国务院保险监督管理机构的规范性文件的强制性规定相冲突，都应作相应   的修改。</w:t>
            </w:r>
          </w:p>
        </w:tc>
      </w:tr>
      <w:tr>
        <w:trPr>
          <w:trHeight w:val="1581" w:hRule="atLeast"/>
        </w:trPr>
        <w:tc>
          <w:tcPr>
            <w:tcW w:w="683" w:type="dxa"/>
          </w:tcPr>
          <w:p>
            <w:pPr>
              <w:pStyle w:val="TableParagraph"/>
              <w:spacing w:before="72"/>
              <w:ind w:left="179" w:right="160"/>
              <w:jc w:val="center"/>
              <w:rPr>
                <w:b/>
                <w:sz w:val="20"/>
              </w:rPr>
            </w:pPr>
            <w:r>
              <w:rPr>
                <w:b/>
                <w:sz w:val="20"/>
              </w:rPr>
              <w:t>7.7</w:t>
            </w:r>
          </w:p>
        </w:tc>
        <w:tc>
          <w:tcPr>
            <w:tcW w:w="1681" w:type="dxa"/>
          </w:tcPr>
          <w:p>
            <w:pPr>
              <w:pStyle w:val="TableParagraph"/>
              <w:spacing w:before="72"/>
              <w:ind w:left="179"/>
              <w:rPr>
                <w:b/>
                <w:sz w:val="20"/>
              </w:rPr>
            </w:pPr>
            <w:r>
              <w:rPr>
                <w:b/>
                <w:sz w:val="20"/>
              </w:rPr>
              <w:t>争议处理</w:t>
            </w:r>
          </w:p>
        </w:tc>
        <w:tc>
          <w:tcPr>
            <w:tcW w:w="8064" w:type="dxa"/>
          </w:tcPr>
          <w:p>
            <w:pPr>
              <w:pStyle w:val="TableParagraph"/>
              <w:spacing w:before="72"/>
              <w:ind w:left="145"/>
              <w:rPr>
                <w:sz w:val="20"/>
              </w:rPr>
            </w:pPr>
            <w:r>
              <w:rPr>
                <w:w w:val="95"/>
                <w:sz w:val="20"/>
              </w:rPr>
              <w:t>合同争议解决方式由当事人从下列两种方式中选择一种：</w:t>
            </w:r>
          </w:p>
          <w:p>
            <w:pPr>
              <w:pStyle w:val="TableParagraph"/>
              <w:numPr>
                <w:ilvl w:val="0"/>
                <w:numId w:val="23"/>
              </w:numPr>
              <w:tabs>
                <w:tab w:pos="825" w:val="left" w:leader="none"/>
              </w:tabs>
              <w:spacing w:line="285" w:lineRule="auto" w:before="50" w:after="0"/>
              <w:ind w:left="825" w:right="229" w:hanging="680"/>
              <w:jc w:val="left"/>
              <w:rPr>
                <w:sz w:val="20"/>
              </w:rPr>
            </w:pPr>
            <w:r>
              <w:rPr>
                <w:sz w:val="20"/>
              </w:rPr>
              <w:t>因履行本合同发生的争议，由双方协商解决；协商不成的，提交双方同意的仲裁</w:t>
            </w:r>
            <w:r>
              <w:rPr>
                <w:w w:val="95"/>
                <w:sz w:val="20"/>
              </w:rPr>
              <w:t>委员会仲裁。</w:t>
            </w:r>
          </w:p>
          <w:p>
            <w:pPr>
              <w:pStyle w:val="TableParagraph"/>
              <w:numPr>
                <w:ilvl w:val="0"/>
                <w:numId w:val="23"/>
              </w:numPr>
              <w:tabs>
                <w:tab w:pos="825" w:val="left" w:leader="none"/>
              </w:tabs>
              <w:spacing w:line="240" w:lineRule="auto" w:before="12" w:after="0"/>
              <w:ind w:left="825" w:right="0" w:hanging="680"/>
              <w:jc w:val="left"/>
              <w:rPr>
                <w:sz w:val="20"/>
              </w:rPr>
            </w:pPr>
            <w:r>
              <w:rPr>
                <w:sz w:val="20"/>
              </w:rPr>
              <w:t>因履行本合同发生的争议，由双方协商解决；协商不成的，依法向被告所在地人</w:t>
            </w:r>
          </w:p>
          <w:p>
            <w:pPr>
              <w:pStyle w:val="TableParagraph"/>
              <w:spacing w:line="242" w:lineRule="exact" w:before="50"/>
              <w:ind w:left="825"/>
              <w:rPr>
                <w:sz w:val="20"/>
              </w:rPr>
            </w:pPr>
            <w:r>
              <w:rPr>
                <w:w w:val="95"/>
                <w:sz w:val="20"/>
              </w:rPr>
              <w:t>民法院起诉。</w:t>
            </w:r>
          </w:p>
        </w:tc>
      </w:tr>
    </w:tbl>
    <w:p>
      <w:pPr>
        <w:spacing w:after="0" w:line="242" w:lineRule="exact"/>
        <w:rPr>
          <w:sz w:val="20"/>
        </w:rPr>
        <w:sectPr>
          <w:pgSz w:w="11910" w:h="16840"/>
          <w:pgMar w:header="0" w:footer="831" w:top="1160" w:bottom="1020" w:left="760" w:right="500"/>
        </w:sectPr>
      </w:pPr>
    </w:p>
    <w:p>
      <w:pPr>
        <w:pStyle w:val="Heading1"/>
        <w:spacing w:line="311" w:lineRule="exact"/>
      </w:pPr>
      <w:r>
        <w:rPr/>
        <w:pict>
          <v:line style="position:absolute;mso-position-horizontal-relative:page;mso-position-vertical-relative:paragraph;z-index:1096;mso-wrap-distance-left:0;mso-wrap-distance-right:0" from="55.200001pt,18.639999pt" to="539.620001pt,18.639999pt" stroked="true" strokeweight=".48pt" strokecolor="#000000">
            <v:stroke dashstyle="solid"/>
            <w10:wrap type="topAndBottom"/>
          </v:line>
        </w:pict>
      </w:r>
      <w:r>
        <w:rPr/>
        <w:t>附录一 本合同承保的重大疾病列表</w:t>
      </w:r>
    </w:p>
    <w:p>
      <w:pPr>
        <w:pStyle w:val="BodyText"/>
        <w:spacing w:before="2"/>
        <w:rPr>
          <w:b/>
          <w:sz w:val="6"/>
        </w:rPr>
      </w:pPr>
    </w:p>
    <w:p>
      <w:pPr>
        <w:pStyle w:val="BodyText"/>
        <w:spacing w:before="38"/>
        <w:ind w:left="132"/>
      </w:pPr>
      <w:r>
        <w:rPr>
          <w:spacing w:val="10"/>
        </w:rPr>
        <w:t>以下第</w:t>
      </w:r>
      <w:r>
        <w:rPr/>
        <w:t>1</w:t>
      </w:r>
      <w:r>
        <w:rPr>
          <w:spacing w:val="-21"/>
        </w:rPr>
        <w:t> 至</w:t>
      </w:r>
      <w:r>
        <w:rPr/>
        <w:t>24</w:t>
      </w:r>
      <w:r>
        <w:rPr>
          <w:spacing w:val="-15"/>
        </w:rPr>
        <w:t> 种重大疾病的名称及定义均出自中国保险行业协会颁布的《重大疾病保险的疾病定义使用规范》；</w:t>
      </w:r>
    </w:p>
    <w:p>
      <w:pPr>
        <w:pStyle w:val="BodyText"/>
        <w:spacing w:before="50" w:after="58"/>
        <w:ind w:left="132"/>
      </w:pPr>
      <w:r>
        <w:rPr/>
        <w:t>第 25 至 60 种重大疾病由于没有行业统一的名称和定义，为自行定义的重大疾病。</w:t>
      </w:r>
    </w:p>
    <w:tbl>
      <w:tblPr>
        <w:tblW w:w="0" w:type="auto"/>
        <w:jc w:val="left"/>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60"/>
        <w:gridCol w:w="7933"/>
      </w:tblGrid>
      <w:tr>
        <w:trPr>
          <w:trHeight w:val="366" w:hRule="atLeast"/>
        </w:trPr>
        <w:tc>
          <w:tcPr>
            <w:tcW w:w="1860" w:type="dxa"/>
            <w:shd w:val="clear" w:color="auto" w:fill="D7D7D7"/>
          </w:tcPr>
          <w:p>
            <w:pPr>
              <w:pStyle w:val="TableParagraph"/>
              <w:spacing w:before="20"/>
              <w:ind w:left="326"/>
              <w:rPr>
                <w:b/>
                <w:sz w:val="20"/>
              </w:rPr>
            </w:pPr>
            <w:r>
              <w:rPr>
                <w:b/>
                <w:w w:val="95"/>
                <w:sz w:val="20"/>
              </w:rPr>
              <w:t>重大疾病名称</w:t>
            </w:r>
          </w:p>
        </w:tc>
        <w:tc>
          <w:tcPr>
            <w:tcW w:w="7933" w:type="dxa"/>
            <w:shd w:val="clear" w:color="auto" w:fill="D7D7D7"/>
          </w:tcPr>
          <w:p>
            <w:pPr>
              <w:pStyle w:val="TableParagraph"/>
              <w:spacing w:before="20"/>
              <w:ind w:left="237" w:right="224"/>
              <w:jc w:val="center"/>
              <w:rPr>
                <w:b/>
                <w:sz w:val="20"/>
              </w:rPr>
            </w:pPr>
            <w:r>
              <w:rPr>
                <w:b/>
                <w:sz w:val="20"/>
              </w:rPr>
              <w:t>定义</w:t>
            </w:r>
          </w:p>
        </w:tc>
      </w:tr>
      <w:tr>
        <w:trPr>
          <w:trHeight w:val="3168" w:hRule="atLeast"/>
        </w:trPr>
        <w:tc>
          <w:tcPr>
            <w:tcW w:w="1860" w:type="dxa"/>
          </w:tcPr>
          <w:p>
            <w:pPr>
              <w:pStyle w:val="TableParagraph"/>
              <w:spacing w:before="11"/>
              <w:ind w:left="107"/>
              <w:rPr>
                <w:sz w:val="20"/>
              </w:rPr>
            </w:pPr>
            <w:r>
              <w:rPr>
                <w:sz w:val="20"/>
              </w:rPr>
              <w:t>1. 恶性肿瘤</w:t>
            </w:r>
          </w:p>
        </w:tc>
        <w:tc>
          <w:tcPr>
            <w:tcW w:w="7933" w:type="dxa"/>
          </w:tcPr>
          <w:p>
            <w:pPr>
              <w:pStyle w:val="TableParagraph"/>
              <w:spacing w:line="285" w:lineRule="auto" w:before="11"/>
              <w:ind w:right="104"/>
              <w:jc w:val="both"/>
              <w:rPr>
                <w:sz w:val="20"/>
              </w:rPr>
            </w:pPr>
            <w:r>
              <w:rPr>
                <w:spacing w:val="-4"/>
                <w:w w:val="95"/>
                <w:sz w:val="20"/>
              </w:rPr>
              <w:t>指恶性细胞不受控制的进行性增长和扩散，浸润和破坏周围正常组织，可以经血管、淋巴   </w:t>
            </w:r>
            <w:r>
              <w:rPr>
                <w:spacing w:val="-9"/>
                <w:w w:val="95"/>
                <w:sz w:val="20"/>
              </w:rPr>
              <w:t>管和体腔扩散转移到身体其它部位的疾病。经病理学检查结果明确诊断，临床诊断属于世   界卫生组织《疾病和有关健康问题的国际统计分类》（ICD-10）的恶性肿瘤范畴。</w:t>
            </w:r>
          </w:p>
          <w:p>
            <w:pPr>
              <w:pStyle w:val="TableParagraph"/>
              <w:spacing w:before="12"/>
              <w:jc w:val="both"/>
              <w:rPr>
                <w:b/>
                <w:sz w:val="20"/>
              </w:rPr>
            </w:pPr>
            <w:r>
              <w:rPr>
                <w:b/>
                <w:w w:val="95"/>
                <w:sz w:val="20"/>
              </w:rPr>
              <w:t>下列疾病不在保障范围内：</w:t>
            </w:r>
          </w:p>
          <w:p>
            <w:pPr>
              <w:pStyle w:val="TableParagraph"/>
              <w:numPr>
                <w:ilvl w:val="0"/>
                <w:numId w:val="24"/>
              </w:numPr>
              <w:tabs>
                <w:tab w:pos="713" w:val="left" w:leader="none"/>
              </w:tabs>
              <w:spacing w:line="240" w:lineRule="auto" w:before="50" w:after="0"/>
              <w:ind w:left="713" w:right="0" w:hanging="605"/>
              <w:jc w:val="both"/>
              <w:rPr>
                <w:b/>
                <w:sz w:val="20"/>
              </w:rPr>
            </w:pPr>
            <w:r>
              <w:rPr>
                <w:b/>
                <w:w w:val="95"/>
                <w:sz w:val="20"/>
              </w:rPr>
              <w:t>原位癌；</w:t>
            </w:r>
          </w:p>
          <w:p>
            <w:pPr>
              <w:pStyle w:val="TableParagraph"/>
              <w:numPr>
                <w:ilvl w:val="0"/>
                <w:numId w:val="24"/>
              </w:numPr>
              <w:tabs>
                <w:tab w:pos="713" w:val="left" w:leader="none"/>
              </w:tabs>
              <w:spacing w:line="240" w:lineRule="auto" w:before="50" w:after="0"/>
              <w:ind w:left="713" w:right="0" w:hanging="605"/>
              <w:jc w:val="both"/>
              <w:rPr>
                <w:b/>
                <w:sz w:val="20"/>
              </w:rPr>
            </w:pPr>
            <w:r>
              <w:rPr>
                <w:b/>
                <w:spacing w:val="-14"/>
                <w:sz w:val="20"/>
              </w:rPr>
              <w:t>相当于 </w:t>
            </w:r>
            <w:r>
              <w:rPr>
                <w:b/>
                <w:sz w:val="20"/>
              </w:rPr>
              <w:t>Binet</w:t>
            </w:r>
            <w:r>
              <w:rPr>
                <w:b/>
                <w:spacing w:val="-20"/>
                <w:sz w:val="20"/>
              </w:rPr>
              <w:t> 分期方案 </w:t>
            </w:r>
            <w:r>
              <w:rPr>
                <w:b/>
                <w:sz w:val="20"/>
              </w:rPr>
              <w:t>A</w:t>
            </w:r>
            <w:r>
              <w:rPr>
                <w:b/>
                <w:spacing w:val="-8"/>
                <w:sz w:val="20"/>
              </w:rPr>
              <w:t> 期程度的慢性淋巴细胞白血病；</w:t>
            </w:r>
          </w:p>
          <w:p>
            <w:pPr>
              <w:pStyle w:val="TableParagraph"/>
              <w:numPr>
                <w:ilvl w:val="0"/>
                <w:numId w:val="24"/>
              </w:numPr>
              <w:tabs>
                <w:tab w:pos="713" w:val="left" w:leader="none"/>
              </w:tabs>
              <w:spacing w:line="240" w:lineRule="auto" w:before="50" w:after="0"/>
              <w:ind w:left="713" w:right="0" w:hanging="605"/>
              <w:jc w:val="both"/>
              <w:rPr>
                <w:b/>
                <w:sz w:val="20"/>
              </w:rPr>
            </w:pPr>
            <w:r>
              <w:rPr>
                <w:b/>
                <w:spacing w:val="-13"/>
                <w:sz w:val="20"/>
              </w:rPr>
              <w:t>相当于 </w:t>
            </w:r>
            <w:r>
              <w:rPr>
                <w:b/>
                <w:sz w:val="20"/>
              </w:rPr>
              <w:t>Ann</w:t>
            </w:r>
            <w:r>
              <w:rPr>
                <w:b/>
                <w:spacing w:val="-2"/>
                <w:sz w:val="20"/>
              </w:rPr>
              <w:t> </w:t>
            </w:r>
            <w:r>
              <w:rPr>
                <w:b/>
                <w:sz w:val="20"/>
              </w:rPr>
              <w:t>Arbor</w:t>
            </w:r>
            <w:r>
              <w:rPr>
                <w:b/>
                <w:spacing w:val="-18"/>
                <w:sz w:val="20"/>
              </w:rPr>
              <w:t> 分期方案 </w:t>
            </w:r>
            <w:r>
              <w:rPr>
                <w:rFonts w:ascii="Arial" w:hAnsi="Arial" w:eastAsia="Arial"/>
                <w:b/>
                <w:sz w:val="20"/>
              </w:rPr>
              <w:t>Ι</w:t>
            </w:r>
            <w:r>
              <w:rPr>
                <w:rFonts w:ascii="Arial" w:hAnsi="Arial" w:eastAsia="Arial"/>
                <w:b/>
                <w:spacing w:val="6"/>
                <w:sz w:val="20"/>
              </w:rPr>
              <w:t>   </w:t>
            </w:r>
            <w:r>
              <w:rPr>
                <w:b/>
                <w:sz w:val="20"/>
              </w:rPr>
              <w:t>期程度的何杰金氏病；</w:t>
            </w:r>
          </w:p>
          <w:p>
            <w:pPr>
              <w:pStyle w:val="TableParagraph"/>
              <w:numPr>
                <w:ilvl w:val="0"/>
                <w:numId w:val="24"/>
              </w:numPr>
              <w:tabs>
                <w:tab w:pos="713" w:val="left" w:leader="none"/>
              </w:tabs>
              <w:spacing w:line="240" w:lineRule="auto" w:before="36" w:after="0"/>
              <w:ind w:left="713" w:right="0" w:hanging="605"/>
              <w:jc w:val="both"/>
              <w:rPr>
                <w:b/>
                <w:sz w:val="20"/>
              </w:rPr>
            </w:pPr>
            <w:r>
              <w:rPr>
                <w:b/>
                <w:w w:val="95"/>
                <w:sz w:val="20"/>
              </w:rPr>
              <w:t>皮肤癌（不包括恶性黑色素瘤及已发生转移的皮肤癌）；</w:t>
            </w:r>
          </w:p>
          <w:p>
            <w:pPr>
              <w:pStyle w:val="TableParagraph"/>
              <w:numPr>
                <w:ilvl w:val="0"/>
                <w:numId w:val="24"/>
              </w:numPr>
              <w:tabs>
                <w:tab w:pos="711" w:val="left" w:leader="none"/>
              </w:tabs>
              <w:spacing w:line="240" w:lineRule="auto" w:before="50" w:after="0"/>
              <w:ind w:left="710" w:right="0" w:hanging="602"/>
              <w:jc w:val="both"/>
              <w:rPr>
                <w:b/>
                <w:sz w:val="20"/>
              </w:rPr>
            </w:pPr>
            <w:r>
              <w:rPr>
                <w:b/>
                <w:position w:val="1"/>
                <w:sz w:val="20"/>
              </w:rPr>
              <w:t>TNM</w:t>
            </w:r>
            <w:r>
              <w:rPr>
                <w:b/>
                <w:spacing w:val="-12"/>
                <w:position w:val="1"/>
                <w:sz w:val="20"/>
              </w:rPr>
              <w:t> 分期为 </w:t>
            </w:r>
            <w:r>
              <w:rPr>
                <w:b/>
                <w:position w:val="1"/>
                <w:sz w:val="20"/>
              </w:rPr>
              <w:t>T</w:t>
            </w:r>
            <w:r>
              <w:rPr>
                <w:b/>
                <w:sz w:val="10"/>
              </w:rPr>
              <w:t>1</w:t>
            </w:r>
            <w:r>
              <w:rPr>
                <w:b/>
                <w:position w:val="1"/>
                <w:sz w:val="20"/>
              </w:rPr>
              <w:t>N</w:t>
            </w:r>
            <w:r>
              <w:rPr>
                <w:b/>
                <w:sz w:val="10"/>
              </w:rPr>
              <w:t>0</w:t>
            </w:r>
            <w:r>
              <w:rPr>
                <w:b/>
                <w:position w:val="1"/>
                <w:sz w:val="20"/>
              </w:rPr>
              <w:t>M</w:t>
            </w:r>
            <w:r>
              <w:rPr>
                <w:b/>
                <w:sz w:val="10"/>
              </w:rPr>
              <w:t>0</w:t>
            </w:r>
            <w:r>
              <w:rPr>
                <w:b/>
                <w:spacing w:val="-26"/>
                <w:sz w:val="10"/>
              </w:rPr>
              <w:t> </w:t>
            </w:r>
            <w:r>
              <w:rPr>
                <w:b/>
                <w:position w:val="1"/>
                <w:sz w:val="20"/>
              </w:rPr>
              <w:t>期或更轻分期的前列腺癌；</w:t>
            </w:r>
          </w:p>
          <w:p>
            <w:pPr>
              <w:pStyle w:val="TableParagraph"/>
              <w:numPr>
                <w:ilvl w:val="0"/>
                <w:numId w:val="24"/>
              </w:numPr>
              <w:tabs>
                <w:tab w:pos="713" w:val="left" w:leader="none"/>
              </w:tabs>
              <w:spacing w:line="240" w:lineRule="auto" w:before="51" w:after="0"/>
              <w:ind w:left="713" w:right="0" w:hanging="605"/>
              <w:jc w:val="both"/>
              <w:rPr>
                <w:b/>
                <w:sz w:val="20"/>
              </w:rPr>
            </w:pPr>
            <w:r>
              <w:rPr>
                <w:b/>
                <w:w w:val="95"/>
                <w:sz w:val="20"/>
              </w:rPr>
              <w:t>感染艾滋病病毒或患艾滋病期间所患恶性肿瘤。</w:t>
            </w:r>
          </w:p>
        </w:tc>
      </w:tr>
      <w:tr>
        <w:trPr>
          <w:trHeight w:val="1917" w:hRule="atLeast"/>
        </w:trPr>
        <w:tc>
          <w:tcPr>
            <w:tcW w:w="1860" w:type="dxa"/>
          </w:tcPr>
          <w:p>
            <w:pPr>
              <w:pStyle w:val="TableParagraph"/>
              <w:spacing w:before="8"/>
              <w:ind w:left="107"/>
              <w:rPr>
                <w:sz w:val="20"/>
              </w:rPr>
            </w:pPr>
            <w:r>
              <w:rPr>
                <w:sz w:val="20"/>
              </w:rPr>
              <w:t>2. 急性心肌梗塞</w:t>
            </w:r>
          </w:p>
        </w:tc>
        <w:tc>
          <w:tcPr>
            <w:tcW w:w="7933" w:type="dxa"/>
          </w:tcPr>
          <w:p>
            <w:pPr>
              <w:pStyle w:val="TableParagraph"/>
              <w:spacing w:line="285" w:lineRule="auto" w:before="8"/>
              <w:ind w:right="104"/>
              <w:rPr>
                <w:sz w:val="20"/>
              </w:rPr>
            </w:pPr>
            <w:r>
              <w:rPr>
                <w:sz w:val="20"/>
              </w:rPr>
              <w:t>指因冠状动脉阻塞导致的相应区域供血不足造成部分心肌坏死。须满足下列至少三项条</w:t>
            </w:r>
            <w:r>
              <w:rPr>
                <w:w w:val="95"/>
                <w:sz w:val="20"/>
              </w:rPr>
              <w:t>件：</w:t>
            </w:r>
          </w:p>
          <w:p>
            <w:pPr>
              <w:pStyle w:val="TableParagraph"/>
              <w:numPr>
                <w:ilvl w:val="0"/>
                <w:numId w:val="25"/>
              </w:numPr>
              <w:tabs>
                <w:tab w:pos="709" w:val="left" w:leader="none"/>
              </w:tabs>
              <w:spacing w:line="240" w:lineRule="auto" w:before="11" w:after="0"/>
              <w:ind w:left="708" w:right="0" w:hanging="600"/>
              <w:jc w:val="left"/>
              <w:rPr>
                <w:sz w:val="20"/>
              </w:rPr>
            </w:pPr>
            <w:r>
              <w:rPr>
                <w:w w:val="95"/>
                <w:sz w:val="20"/>
              </w:rPr>
              <w:t>典型临床表现，例如急性胸痛等；</w:t>
            </w:r>
          </w:p>
          <w:p>
            <w:pPr>
              <w:pStyle w:val="TableParagraph"/>
              <w:numPr>
                <w:ilvl w:val="0"/>
                <w:numId w:val="25"/>
              </w:numPr>
              <w:tabs>
                <w:tab w:pos="709" w:val="left" w:leader="none"/>
              </w:tabs>
              <w:spacing w:line="240" w:lineRule="auto" w:before="49" w:after="0"/>
              <w:ind w:left="708" w:right="0" w:hanging="600"/>
              <w:jc w:val="left"/>
              <w:rPr>
                <w:sz w:val="20"/>
              </w:rPr>
            </w:pPr>
            <w:r>
              <w:rPr>
                <w:w w:val="95"/>
                <w:sz w:val="20"/>
              </w:rPr>
              <w:t>新近的心电图改变提示急性心肌梗塞；</w:t>
            </w:r>
          </w:p>
          <w:p>
            <w:pPr>
              <w:pStyle w:val="TableParagraph"/>
              <w:numPr>
                <w:ilvl w:val="0"/>
                <w:numId w:val="25"/>
              </w:numPr>
              <w:tabs>
                <w:tab w:pos="709" w:val="left" w:leader="none"/>
              </w:tabs>
              <w:spacing w:line="240" w:lineRule="auto" w:before="49" w:after="0"/>
              <w:ind w:left="708" w:right="0" w:hanging="600"/>
              <w:jc w:val="left"/>
              <w:rPr>
                <w:sz w:val="20"/>
              </w:rPr>
            </w:pPr>
            <w:r>
              <w:rPr>
                <w:w w:val="95"/>
                <w:sz w:val="20"/>
              </w:rPr>
              <w:t>心肌酶或肌钙蛋白有诊断意义的升高，或呈符合急性心肌梗塞的动态性变化；</w:t>
            </w:r>
          </w:p>
          <w:p>
            <w:pPr>
              <w:pStyle w:val="TableParagraph"/>
              <w:numPr>
                <w:ilvl w:val="0"/>
                <w:numId w:val="25"/>
              </w:numPr>
              <w:tabs>
                <w:tab w:pos="709" w:val="left" w:leader="none"/>
              </w:tabs>
              <w:spacing w:line="240" w:lineRule="auto" w:before="49" w:after="0"/>
              <w:ind w:left="708" w:right="0" w:hanging="600"/>
              <w:jc w:val="left"/>
              <w:rPr>
                <w:sz w:val="20"/>
              </w:rPr>
            </w:pPr>
            <w:r>
              <w:rPr>
                <w:spacing w:val="-18"/>
                <w:sz w:val="20"/>
              </w:rPr>
              <w:t>发病 </w:t>
            </w:r>
            <w:r>
              <w:rPr>
                <w:sz w:val="20"/>
              </w:rPr>
              <w:t>90</w:t>
            </w:r>
            <w:r>
              <w:rPr>
                <w:spacing w:val="-10"/>
                <w:sz w:val="20"/>
              </w:rPr>
              <w:t> 天后，经检查证实左心室功能降低，如左心室射血分数低于 </w:t>
            </w:r>
            <w:r>
              <w:rPr>
                <w:sz w:val="20"/>
              </w:rPr>
              <w:t>50%。</w:t>
            </w:r>
          </w:p>
        </w:tc>
      </w:tr>
      <w:tr>
        <w:trPr>
          <w:trHeight w:val="1917" w:hRule="atLeast"/>
        </w:trPr>
        <w:tc>
          <w:tcPr>
            <w:tcW w:w="1860" w:type="dxa"/>
          </w:tcPr>
          <w:p>
            <w:pPr>
              <w:pStyle w:val="TableParagraph"/>
              <w:spacing w:before="11"/>
              <w:ind w:left="107"/>
              <w:rPr>
                <w:sz w:val="20"/>
              </w:rPr>
            </w:pPr>
            <w:r>
              <w:rPr>
                <w:sz w:val="20"/>
              </w:rPr>
              <w:t>3. 脑中风后遗症</w:t>
            </w:r>
          </w:p>
        </w:tc>
        <w:tc>
          <w:tcPr>
            <w:tcW w:w="7933" w:type="dxa"/>
          </w:tcPr>
          <w:p>
            <w:pPr>
              <w:pStyle w:val="TableParagraph"/>
              <w:spacing w:line="285" w:lineRule="auto" w:before="11"/>
              <w:ind w:right="3"/>
              <w:rPr>
                <w:sz w:val="20"/>
              </w:rPr>
            </w:pPr>
            <w:r>
              <w:rPr>
                <w:spacing w:val="-10"/>
                <w:w w:val="95"/>
                <w:sz w:val="20"/>
              </w:rPr>
              <w:t>指因脑血管的突发病变引起脑血管出血、栓塞或梗塞，并导致神经系统永久性的功能障碍。   </w:t>
            </w:r>
            <w:r>
              <w:rPr>
                <w:spacing w:val="-13"/>
                <w:sz w:val="20"/>
              </w:rPr>
              <w:t>神经系统永久性的功能障碍，指疾病确诊 </w:t>
            </w:r>
            <w:r>
              <w:rPr>
                <w:sz w:val="20"/>
              </w:rPr>
              <w:t>180</w:t>
            </w:r>
            <w:r>
              <w:rPr>
                <w:spacing w:val="-8"/>
                <w:sz w:val="20"/>
              </w:rPr>
              <w:t> 天后，仍遗留下列一种或一种以上障碍：</w:t>
            </w:r>
          </w:p>
          <w:p>
            <w:pPr>
              <w:pStyle w:val="TableParagraph"/>
              <w:numPr>
                <w:ilvl w:val="0"/>
                <w:numId w:val="26"/>
              </w:numPr>
              <w:tabs>
                <w:tab w:pos="709" w:val="left" w:leader="none"/>
              </w:tabs>
              <w:spacing w:line="240" w:lineRule="auto" w:before="12" w:after="0"/>
              <w:ind w:left="108" w:right="0" w:firstLine="0"/>
              <w:jc w:val="left"/>
              <w:rPr>
                <w:sz w:val="20"/>
              </w:rPr>
            </w:pPr>
            <w:r>
              <w:rPr>
                <w:w w:val="95"/>
                <w:sz w:val="20"/>
              </w:rPr>
              <w:t>一肢或一肢以上</w:t>
            </w:r>
            <w:r>
              <w:rPr>
                <w:b/>
                <w:w w:val="95"/>
                <w:sz w:val="20"/>
              </w:rPr>
              <w:t>肢体机能完全丧失</w:t>
            </w:r>
            <w:r>
              <w:rPr>
                <w:b/>
                <w:w w:val="95"/>
                <w:position w:val="10"/>
                <w:sz w:val="10"/>
              </w:rPr>
              <w:t>[23]</w:t>
            </w:r>
            <w:r>
              <w:rPr>
                <w:w w:val="95"/>
                <w:sz w:val="20"/>
              </w:rPr>
              <w:t>；</w:t>
            </w:r>
          </w:p>
          <w:p>
            <w:pPr>
              <w:pStyle w:val="TableParagraph"/>
              <w:numPr>
                <w:ilvl w:val="0"/>
                <w:numId w:val="26"/>
              </w:numPr>
              <w:tabs>
                <w:tab w:pos="709" w:val="left" w:leader="none"/>
              </w:tabs>
              <w:spacing w:line="240" w:lineRule="auto" w:before="50" w:after="0"/>
              <w:ind w:left="108" w:right="0" w:firstLine="0"/>
              <w:jc w:val="left"/>
              <w:rPr>
                <w:sz w:val="20"/>
              </w:rPr>
            </w:pPr>
            <w:r>
              <w:rPr>
                <w:b/>
                <w:sz w:val="20"/>
              </w:rPr>
              <w:t>语言能力或咀嚼吞咽能力完全丧失</w:t>
            </w:r>
            <w:r>
              <w:rPr>
                <w:b/>
                <w:position w:val="10"/>
                <w:sz w:val="10"/>
              </w:rPr>
              <w:t>[24]</w:t>
            </w:r>
            <w:r>
              <w:rPr>
                <w:sz w:val="20"/>
              </w:rPr>
              <w:t>；</w:t>
            </w:r>
          </w:p>
          <w:p>
            <w:pPr>
              <w:pStyle w:val="TableParagraph"/>
              <w:numPr>
                <w:ilvl w:val="0"/>
                <w:numId w:val="26"/>
              </w:numPr>
              <w:tabs>
                <w:tab w:pos="661" w:val="left" w:leader="none"/>
              </w:tabs>
              <w:spacing w:line="285" w:lineRule="auto" w:before="50" w:after="0"/>
              <w:ind w:left="108" w:right="98" w:firstLine="0"/>
              <w:jc w:val="left"/>
              <w:rPr>
                <w:sz w:val="20"/>
              </w:rPr>
            </w:pPr>
            <w:r>
              <w:rPr>
                <w:spacing w:val="-5"/>
                <w:sz w:val="20"/>
              </w:rPr>
              <w:t>自主生活能力完全丧失，无法独立完成</w:t>
            </w:r>
            <w:r>
              <w:rPr>
                <w:b/>
                <w:sz w:val="20"/>
              </w:rPr>
              <w:t>六项基本日常生活活动</w:t>
            </w:r>
            <w:r>
              <w:rPr>
                <w:b/>
                <w:position w:val="10"/>
                <w:sz w:val="10"/>
              </w:rPr>
              <w:t>[25]</w:t>
            </w:r>
            <w:r>
              <w:rPr>
                <w:sz w:val="20"/>
              </w:rPr>
              <w:t>中的三项或三项以</w:t>
            </w:r>
            <w:r>
              <w:rPr>
                <w:w w:val="95"/>
                <w:sz w:val="20"/>
              </w:rPr>
              <w:t>上。</w:t>
            </w:r>
          </w:p>
        </w:tc>
      </w:tr>
      <w:tr>
        <w:trPr>
          <w:trHeight w:val="1295" w:hRule="atLeast"/>
        </w:trPr>
        <w:tc>
          <w:tcPr>
            <w:tcW w:w="1860" w:type="dxa"/>
          </w:tcPr>
          <w:p>
            <w:pPr>
              <w:pStyle w:val="TableParagraph"/>
              <w:spacing w:line="285" w:lineRule="auto" w:before="11"/>
              <w:ind w:left="107" w:right="74"/>
              <w:jc w:val="both"/>
              <w:rPr>
                <w:sz w:val="20"/>
              </w:rPr>
            </w:pPr>
            <w:r>
              <w:rPr>
                <w:sz w:val="20"/>
              </w:rPr>
              <w:t>4. 重大器官移植术或造血干细胞移</w:t>
            </w:r>
            <w:r>
              <w:rPr>
                <w:w w:val="95"/>
                <w:sz w:val="20"/>
              </w:rPr>
              <w:t>植术</w:t>
            </w:r>
          </w:p>
        </w:tc>
        <w:tc>
          <w:tcPr>
            <w:tcW w:w="7933" w:type="dxa"/>
          </w:tcPr>
          <w:p>
            <w:pPr>
              <w:pStyle w:val="TableParagraph"/>
              <w:spacing w:line="285" w:lineRule="auto" w:before="11"/>
              <w:ind w:right="103"/>
              <w:rPr>
                <w:sz w:val="20"/>
              </w:rPr>
            </w:pPr>
            <w:r>
              <w:rPr>
                <w:spacing w:val="-6"/>
                <w:w w:val="95"/>
                <w:sz w:val="20"/>
              </w:rPr>
              <w:t>重大器官移植术，指因相应器官功能衰竭，已经实施了肾脏、肝脏、心脏或肺脏的异体移   植手术。</w:t>
            </w:r>
          </w:p>
          <w:p>
            <w:pPr>
              <w:pStyle w:val="TableParagraph"/>
              <w:spacing w:line="285" w:lineRule="auto" w:before="12"/>
              <w:ind w:right="103"/>
              <w:rPr>
                <w:sz w:val="20"/>
              </w:rPr>
            </w:pPr>
            <w:r>
              <w:rPr>
                <w:spacing w:val="-5"/>
                <w:w w:val="95"/>
                <w:sz w:val="20"/>
              </w:rPr>
              <w:t>造血干细胞移植术，指因造血功能损害或造血系统恶性肿瘤，已经实施了造血干细胞</w:t>
            </w:r>
            <w:r>
              <w:rPr>
                <w:w w:val="95"/>
                <w:sz w:val="20"/>
              </w:rPr>
              <w:t>（包   括骨髓造血干细胞、外周血造血干细胞和脐血造血干细胞）的异体移植手术。</w:t>
            </w:r>
          </w:p>
        </w:tc>
      </w:tr>
      <w:tr>
        <w:trPr>
          <w:trHeight w:val="981" w:hRule="atLeast"/>
        </w:trPr>
        <w:tc>
          <w:tcPr>
            <w:tcW w:w="1860" w:type="dxa"/>
          </w:tcPr>
          <w:p>
            <w:pPr>
              <w:pStyle w:val="TableParagraph"/>
              <w:spacing w:line="285" w:lineRule="auto" w:before="8"/>
              <w:ind w:left="107" w:right="74"/>
              <w:jc w:val="both"/>
              <w:rPr>
                <w:sz w:val="20"/>
              </w:rPr>
            </w:pPr>
            <w:r>
              <w:rPr>
                <w:sz w:val="20"/>
              </w:rPr>
              <w:t>5. 冠状动脉搭桥术（或称冠状动脉</w:t>
            </w:r>
            <w:r>
              <w:rPr>
                <w:w w:val="95"/>
                <w:sz w:val="20"/>
              </w:rPr>
              <w:t>旁路移植术）</w:t>
            </w:r>
          </w:p>
        </w:tc>
        <w:tc>
          <w:tcPr>
            <w:tcW w:w="7933" w:type="dxa"/>
          </w:tcPr>
          <w:p>
            <w:pPr>
              <w:pStyle w:val="TableParagraph"/>
              <w:spacing w:line="285" w:lineRule="auto" w:before="8"/>
              <w:ind w:right="95"/>
              <w:jc w:val="both"/>
              <w:rPr>
                <w:b/>
                <w:sz w:val="20"/>
              </w:rPr>
            </w:pPr>
            <w:r>
              <w:rPr>
                <w:spacing w:val="-4"/>
                <w:w w:val="95"/>
                <w:sz w:val="20"/>
              </w:rPr>
              <w:t>指为治疗严重的冠心病，实际实施了开胸进行的冠状动脉血管旁路移植的手术</w:t>
            </w:r>
            <w:r>
              <w:rPr>
                <w:b/>
                <w:spacing w:val="-9"/>
                <w:w w:val="95"/>
                <w:sz w:val="20"/>
              </w:rPr>
              <w:t>。冠状动脉  </w:t>
            </w:r>
            <w:r>
              <w:rPr>
                <w:b/>
                <w:sz w:val="20"/>
              </w:rPr>
              <w:t>支架植入术、心导管球囊扩张术、激光射频技术及其它非开胸的介入手术、腔镜手术不</w:t>
            </w:r>
            <w:r>
              <w:rPr>
                <w:b/>
                <w:w w:val="95"/>
                <w:sz w:val="20"/>
              </w:rPr>
              <w:t>在保障范围内。</w:t>
            </w:r>
          </w:p>
        </w:tc>
      </w:tr>
      <w:tr>
        <w:trPr>
          <w:trHeight w:val="981" w:hRule="atLeast"/>
        </w:trPr>
        <w:tc>
          <w:tcPr>
            <w:tcW w:w="1860" w:type="dxa"/>
          </w:tcPr>
          <w:p>
            <w:pPr>
              <w:pStyle w:val="TableParagraph"/>
              <w:spacing w:line="285" w:lineRule="auto" w:before="11"/>
              <w:ind w:left="107" w:right="90"/>
              <w:jc w:val="both"/>
              <w:rPr>
                <w:sz w:val="20"/>
              </w:rPr>
            </w:pPr>
            <w:r>
              <w:rPr>
                <w:sz w:val="20"/>
              </w:rPr>
              <w:t>6</w:t>
            </w:r>
            <w:r>
              <w:rPr>
                <w:spacing w:val="-10"/>
                <w:sz w:val="20"/>
              </w:rPr>
              <w:t>. 终末期肾病</w:t>
            </w:r>
            <w:r>
              <w:rPr>
                <w:sz w:val="20"/>
              </w:rPr>
              <w:t>（或</w:t>
            </w:r>
            <w:r>
              <w:rPr>
                <w:spacing w:val="5"/>
                <w:sz w:val="20"/>
              </w:rPr>
              <w:t>称慢性肾功能衰竭</w:t>
            </w:r>
            <w:r>
              <w:rPr>
                <w:w w:val="95"/>
                <w:sz w:val="20"/>
              </w:rPr>
              <w:t>尿毒症期）</w:t>
            </w:r>
          </w:p>
        </w:tc>
        <w:tc>
          <w:tcPr>
            <w:tcW w:w="7933" w:type="dxa"/>
          </w:tcPr>
          <w:p>
            <w:pPr>
              <w:pStyle w:val="TableParagraph"/>
              <w:spacing w:line="285" w:lineRule="auto" w:before="11"/>
              <w:ind w:right="101"/>
              <w:rPr>
                <w:sz w:val="20"/>
              </w:rPr>
            </w:pPr>
            <w:r>
              <w:rPr>
                <w:spacing w:val="-5"/>
                <w:sz w:val="20"/>
              </w:rPr>
              <w:t>指双肾功能慢性不可逆性衰竭，达到尿毒症期，经诊断后已经进行了至少 </w:t>
            </w:r>
            <w:r>
              <w:rPr>
                <w:sz w:val="20"/>
              </w:rPr>
              <w:t>90</w:t>
            </w:r>
            <w:r>
              <w:rPr>
                <w:spacing w:val="-3"/>
                <w:sz w:val="20"/>
              </w:rPr>
              <w:t> 天的规律性</w:t>
            </w:r>
            <w:r>
              <w:rPr>
                <w:spacing w:val="-3"/>
                <w:w w:val="95"/>
                <w:sz w:val="20"/>
              </w:rPr>
              <w:t>透析治疗或实施了肾脏移植手术。</w:t>
            </w:r>
          </w:p>
        </w:tc>
      </w:tr>
      <w:tr>
        <w:trPr>
          <w:trHeight w:val="672" w:hRule="atLeast"/>
        </w:trPr>
        <w:tc>
          <w:tcPr>
            <w:tcW w:w="1860" w:type="dxa"/>
          </w:tcPr>
          <w:p>
            <w:pPr>
              <w:pStyle w:val="TableParagraph"/>
              <w:spacing w:before="11"/>
              <w:ind w:left="107"/>
              <w:rPr>
                <w:sz w:val="20"/>
              </w:rPr>
            </w:pPr>
            <w:r>
              <w:rPr>
                <w:sz w:val="20"/>
              </w:rPr>
              <w:t>7. 多个肢体缺失</w:t>
            </w:r>
          </w:p>
        </w:tc>
        <w:tc>
          <w:tcPr>
            <w:tcW w:w="7933" w:type="dxa"/>
          </w:tcPr>
          <w:p>
            <w:pPr>
              <w:pStyle w:val="TableParagraph"/>
              <w:spacing w:line="285" w:lineRule="auto" w:before="11"/>
              <w:ind w:right="103"/>
              <w:rPr>
                <w:sz w:val="20"/>
              </w:rPr>
            </w:pPr>
            <w:r>
              <w:rPr>
                <w:spacing w:val="-2"/>
                <w:w w:val="95"/>
                <w:sz w:val="20"/>
              </w:rPr>
              <w:t>指因疾病或意外伤害导致两个或两个以上肢体自腕关节或踝关节近端</w:t>
            </w:r>
            <w:r>
              <w:rPr>
                <w:w w:val="95"/>
                <w:sz w:val="20"/>
              </w:rPr>
              <w:t>（靠近躯干端</w:t>
            </w:r>
            <w:r>
              <w:rPr>
                <w:spacing w:val="-44"/>
                <w:w w:val="95"/>
                <w:sz w:val="20"/>
              </w:rPr>
              <w:t>）</w:t>
            </w:r>
            <w:r>
              <w:rPr>
                <w:w w:val="95"/>
                <w:sz w:val="20"/>
              </w:rPr>
              <w:t>以上   完全性断离。</w:t>
            </w:r>
          </w:p>
        </w:tc>
      </w:tr>
      <w:tr>
        <w:trPr>
          <w:trHeight w:val="1917" w:hRule="atLeast"/>
        </w:trPr>
        <w:tc>
          <w:tcPr>
            <w:tcW w:w="1860" w:type="dxa"/>
          </w:tcPr>
          <w:p>
            <w:pPr>
              <w:pStyle w:val="TableParagraph"/>
              <w:spacing w:line="285" w:lineRule="auto" w:before="8"/>
              <w:ind w:left="107" w:right="74"/>
              <w:rPr>
                <w:sz w:val="20"/>
              </w:rPr>
            </w:pPr>
            <w:r>
              <w:rPr>
                <w:sz w:val="20"/>
              </w:rPr>
              <w:t>8. 急性或亚急性</w:t>
            </w:r>
            <w:r>
              <w:rPr>
                <w:w w:val="95"/>
                <w:sz w:val="20"/>
              </w:rPr>
              <w:t>重症肝炎</w:t>
            </w:r>
          </w:p>
        </w:tc>
        <w:tc>
          <w:tcPr>
            <w:tcW w:w="7933" w:type="dxa"/>
          </w:tcPr>
          <w:p>
            <w:pPr>
              <w:pStyle w:val="TableParagraph"/>
              <w:spacing w:line="285" w:lineRule="auto" w:before="8"/>
              <w:ind w:right="103"/>
              <w:rPr>
                <w:sz w:val="20"/>
              </w:rPr>
            </w:pPr>
            <w:r>
              <w:rPr>
                <w:spacing w:val="-5"/>
                <w:w w:val="95"/>
                <w:sz w:val="20"/>
              </w:rPr>
              <w:t>指因肝炎病毒感染引起肝脏组织弥漫性坏死，导致急性肝功能衰竭，且经血清学或病毒学   检查证实，并须满足下列全部条件：</w:t>
            </w:r>
          </w:p>
          <w:p>
            <w:pPr>
              <w:pStyle w:val="TableParagraph"/>
              <w:numPr>
                <w:ilvl w:val="0"/>
                <w:numId w:val="27"/>
              </w:numPr>
              <w:tabs>
                <w:tab w:pos="709" w:val="left" w:leader="none"/>
              </w:tabs>
              <w:spacing w:line="240" w:lineRule="auto" w:before="11" w:after="0"/>
              <w:ind w:left="708" w:right="0" w:hanging="600"/>
              <w:jc w:val="left"/>
              <w:rPr>
                <w:sz w:val="20"/>
              </w:rPr>
            </w:pPr>
            <w:r>
              <w:rPr>
                <w:w w:val="95"/>
                <w:sz w:val="20"/>
              </w:rPr>
              <w:t>重度黄疸或黄疸迅速加重；</w:t>
            </w:r>
          </w:p>
          <w:p>
            <w:pPr>
              <w:pStyle w:val="TableParagraph"/>
              <w:numPr>
                <w:ilvl w:val="0"/>
                <w:numId w:val="27"/>
              </w:numPr>
              <w:tabs>
                <w:tab w:pos="709" w:val="left" w:leader="none"/>
              </w:tabs>
              <w:spacing w:line="240" w:lineRule="auto" w:before="49" w:after="0"/>
              <w:ind w:left="708" w:right="0" w:hanging="600"/>
              <w:jc w:val="left"/>
              <w:rPr>
                <w:sz w:val="20"/>
              </w:rPr>
            </w:pPr>
            <w:r>
              <w:rPr>
                <w:w w:val="95"/>
                <w:sz w:val="20"/>
              </w:rPr>
              <w:t>肝性脑病；</w:t>
            </w:r>
          </w:p>
          <w:p>
            <w:pPr>
              <w:pStyle w:val="TableParagraph"/>
              <w:numPr>
                <w:ilvl w:val="0"/>
                <w:numId w:val="27"/>
              </w:numPr>
              <w:tabs>
                <w:tab w:pos="709" w:val="left" w:leader="none"/>
              </w:tabs>
              <w:spacing w:line="240" w:lineRule="auto" w:before="49" w:after="0"/>
              <w:ind w:left="708" w:right="0" w:hanging="600"/>
              <w:jc w:val="left"/>
              <w:rPr>
                <w:sz w:val="20"/>
              </w:rPr>
            </w:pPr>
            <w:r>
              <w:rPr>
                <w:sz w:val="20"/>
              </w:rPr>
              <w:t>B</w:t>
            </w:r>
            <w:r>
              <w:rPr>
                <w:spacing w:val="-2"/>
                <w:sz w:val="20"/>
              </w:rPr>
              <w:t> 超或其他影像学检查显示肝脏体积急速萎缩；</w:t>
            </w:r>
          </w:p>
          <w:p>
            <w:pPr>
              <w:pStyle w:val="TableParagraph"/>
              <w:numPr>
                <w:ilvl w:val="0"/>
                <w:numId w:val="27"/>
              </w:numPr>
              <w:tabs>
                <w:tab w:pos="709" w:val="left" w:leader="none"/>
              </w:tabs>
              <w:spacing w:line="240" w:lineRule="auto" w:before="49" w:after="0"/>
              <w:ind w:left="708" w:right="0" w:hanging="600"/>
              <w:jc w:val="left"/>
              <w:rPr>
                <w:sz w:val="20"/>
              </w:rPr>
            </w:pPr>
            <w:r>
              <w:rPr>
                <w:w w:val="95"/>
                <w:sz w:val="20"/>
              </w:rPr>
              <w:t>肝功能指标进行性恶化。</w:t>
            </w:r>
          </w:p>
        </w:tc>
      </w:tr>
    </w:tbl>
    <w:p>
      <w:pPr>
        <w:spacing w:after="0" w:line="240" w:lineRule="auto"/>
        <w:jc w:val="left"/>
        <w:rPr>
          <w:sz w:val="20"/>
        </w:rPr>
        <w:sectPr>
          <w:pgSz w:w="11910" w:h="16840"/>
          <w:pgMar w:header="0" w:footer="831" w:top="1080" w:bottom="1020" w:left="1000" w:right="880"/>
        </w:sectPr>
      </w:pPr>
    </w:p>
    <w:tbl>
      <w:tblPr>
        <w:tblW w:w="0" w:type="auto"/>
        <w:jc w:val="left"/>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60"/>
        <w:gridCol w:w="7933"/>
      </w:tblGrid>
      <w:tr>
        <w:trPr>
          <w:trHeight w:val="369" w:hRule="atLeast"/>
        </w:trPr>
        <w:tc>
          <w:tcPr>
            <w:tcW w:w="1860" w:type="dxa"/>
            <w:shd w:val="clear" w:color="auto" w:fill="D7D7D7"/>
          </w:tcPr>
          <w:p>
            <w:pPr>
              <w:pStyle w:val="TableParagraph"/>
              <w:spacing w:before="15"/>
              <w:ind w:left="326"/>
              <w:rPr>
                <w:b/>
                <w:sz w:val="20"/>
              </w:rPr>
            </w:pPr>
            <w:r>
              <w:rPr>
                <w:b/>
                <w:w w:val="95"/>
                <w:sz w:val="20"/>
              </w:rPr>
              <w:t>重大疾病名称</w:t>
            </w:r>
          </w:p>
        </w:tc>
        <w:tc>
          <w:tcPr>
            <w:tcW w:w="7933" w:type="dxa"/>
            <w:shd w:val="clear" w:color="auto" w:fill="D7D7D7"/>
          </w:tcPr>
          <w:p>
            <w:pPr>
              <w:pStyle w:val="TableParagraph"/>
              <w:spacing w:before="15"/>
              <w:ind w:left="237" w:right="224"/>
              <w:jc w:val="center"/>
              <w:rPr>
                <w:b/>
                <w:sz w:val="20"/>
              </w:rPr>
            </w:pPr>
            <w:r>
              <w:rPr>
                <w:b/>
                <w:sz w:val="20"/>
              </w:rPr>
              <w:t>定义</w:t>
            </w:r>
          </w:p>
        </w:tc>
      </w:tr>
      <w:tr>
        <w:trPr>
          <w:trHeight w:val="1917" w:hRule="atLeast"/>
        </w:trPr>
        <w:tc>
          <w:tcPr>
            <w:tcW w:w="1860" w:type="dxa"/>
          </w:tcPr>
          <w:p>
            <w:pPr>
              <w:pStyle w:val="TableParagraph"/>
              <w:spacing w:before="5"/>
              <w:ind w:left="107"/>
              <w:rPr>
                <w:sz w:val="20"/>
              </w:rPr>
            </w:pPr>
            <w:r>
              <w:rPr>
                <w:sz w:val="20"/>
              </w:rPr>
              <w:t>9. 良性脑肿瘤</w:t>
            </w:r>
          </w:p>
        </w:tc>
        <w:tc>
          <w:tcPr>
            <w:tcW w:w="7933" w:type="dxa"/>
          </w:tcPr>
          <w:p>
            <w:pPr>
              <w:pStyle w:val="TableParagraph"/>
              <w:spacing w:line="285" w:lineRule="auto" w:before="5"/>
              <w:ind w:right="101"/>
              <w:jc w:val="both"/>
              <w:rPr>
                <w:sz w:val="20"/>
              </w:rPr>
            </w:pPr>
            <w:r>
              <w:rPr>
                <w:spacing w:val="-6"/>
                <w:w w:val="95"/>
                <w:sz w:val="20"/>
              </w:rPr>
              <w:t>指脑的良性肿瘤，已经引起颅内压增高，临床表现为视神经乳头水肿、精神症状、癫痫及  </w:t>
            </w:r>
            <w:r>
              <w:rPr>
                <w:spacing w:val="-6"/>
                <w:sz w:val="20"/>
              </w:rPr>
              <w:t>运动感觉障碍等，并危及生命。须由头颅断层扫描（CT）、核磁共振检查（MRI）或正电</w:t>
            </w:r>
            <w:r>
              <w:rPr>
                <w:spacing w:val="-6"/>
                <w:w w:val="95"/>
                <w:sz w:val="20"/>
              </w:rPr>
              <w:t>子发射断层扫描（PET）等影像学检查证实，并须满足下列至少一项条件：</w:t>
            </w:r>
          </w:p>
          <w:p>
            <w:pPr>
              <w:pStyle w:val="TableParagraph"/>
              <w:numPr>
                <w:ilvl w:val="0"/>
                <w:numId w:val="28"/>
              </w:numPr>
              <w:tabs>
                <w:tab w:pos="709" w:val="left" w:leader="none"/>
              </w:tabs>
              <w:spacing w:line="240" w:lineRule="auto" w:before="12" w:after="0"/>
              <w:ind w:left="708" w:right="0" w:hanging="600"/>
              <w:jc w:val="both"/>
              <w:rPr>
                <w:sz w:val="20"/>
              </w:rPr>
            </w:pPr>
            <w:r>
              <w:rPr>
                <w:w w:val="95"/>
                <w:sz w:val="20"/>
              </w:rPr>
              <w:t>实际实施了开颅进行的脑肿瘤完全切除或部分切除的手术；</w:t>
            </w:r>
          </w:p>
          <w:p>
            <w:pPr>
              <w:pStyle w:val="TableParagraph"/>
              <w:numPr>
                <w:ilvl w:val="0"/>
                <w:numId w:val="28"/>
              </w:numPr>
              <w:tabs>
                <w:tab w:pos="709" w:val="left" w:leader="none"/>
              </w:tabs>
              <w:spacing w:line="240" w:lineRule="auto" w:before="50" w:after="0"/>
              <w:ind w:left="708" w:right="0" w:hanging="600"/>
              <w:jc w:val="both"/>
              <w:rPr>
                <w:sz w:val="20"/>
              </w:rPr>
            </w:pPr>
            <w:r>
              <w:rPr>
                <w:w w:val="95"/>
                <w:sz w:val="20"/>
              </w:rPr>
              <w:t>实际实施了对脑肿瘤进行的放射治疗。</w:t>
            </w:r>
          </w:p>
          <w:p>
            <w:pPr>
              <w:pStyle w:val="TableParagraph"/>
              <w:spacing w:before="50"/>
              <w:jc w:val="both"/>
              <w:rPr>
                <w:b/>
                <w:sz w:val="20"/>
              </w:rPr>
            </w:pPr>
            <w:r>
              <w:rPr>
                <w:b/>
                <w:w w:val="95"/>
                <w:sz w:val="20"/>
              </w:rPr>
              <w:t>脑垂体瘤、脑囊肿、脑血管性疾病不在保障范围内。</w:t>
            </w:r>
          </w:p>
        </w:tc>
      </w:tr>
      <w:tr>
        <w:trPr>
          <w:trHeight w:val="1919" w:hRule="atLeast"/>
        </w:trPr>
        <w:tc>
          <w:tcPr>
            <w:tcW w:w="1860" w:type="dxa"/>
          </w:tcPr>
          <w:p>
            <w:pPr>
              <w:pStyle w:val="TableParagraph"/>
              <w:spacing w:line="285" w:lineRule="auto" w:before="5"/>
              <w:ind w:left="107" w:right="74"/>
              <w:rPr>
                <w:sz w:val="20"/>
              </w:rPr>
            </w:pPr>
            <w:r>
              <w:rPr>
                <w:sz w:val="20"/>
              </w:rPr>
              <w:t>10. 慢性肝功能衰</w:t>
            </w:r>
            <w:r>
              <w:rPr>
                <w:w w:val="95"/>
                <w:sz w:val="20"/>
              </w:rPr>
              <w:t>竭失代偿期</w:t>
            </w:r>
          </w:p>
        </w:tc>
        <w:tc>
          <w:tcPr>
            <w:tcW w:w="7933" w:type="dxa"/>
          </w:tcPr>
          <w:p>
            <w:pPr>
              <w:pStyle w:val="TableParagraph"/>
              <w:spacing w:before="5"/>
              <w:rPr>
                <w:sz w:val="20"/>
              </w:rPr>
            </w:pPr>
            <w:r>
              <w:rPr>
                <w:w w:val="95"/>
                <w:sz w:val="20"/>
              </w:rPr>
              <w:t>指因慢性肝脏疾病导致肝功能衰竭。须满足下列全部条件：</w:t>
            </w:r>
          </w:p>
          <w:p>
            <w:pPr>
              <w:pStyle w:val="TableParagraph"/>
              <w:numPr>
                <w:ilvl w:val="0"/>
                <w:numId w:val="29"/>
              </w:numPr>
              <w:tabs>
                <w:tab w:pos="512" w:val="left" w:leader="none"/>
              </w:tabs>
              <w:spacing w:line="240" w:lineRule="auto" w:before="50" w:after="0"/>
              <w:ind w:left="108" w:right="0" w:firstLine="0"/>
              <w:jc w:val="left"/>
              <w:rPr>
                <w:sz w:val="20"/>
              </w:rPr>
            </w:pPr>
            <w:r>
              <w:rPr>
                <w:w w:val="95"/>
                <w:sz w:val="20"/>
              </w:rPr>
              <w:t>持续性黄疸；</w:t>
            </w:r>
          </w:p>
          <w:p>
            <w:pPr>
              <w:pStyle w:val="TableParagraph"/>
              <w:numPr>
                <w:ilvl w:val="0"/>
                <w:numId w:val="29"/>
              </w:numPr>
              <w:tabs>
                <w:tab w:pos="512" w:val="left" w:leader="none"/>
              </w:tabs>
              <w:spacing w:line="240" w:lineRule="auto" w:before="50" w:after="0"/>
              <w:ind w:left="108" w:right="0" w:firstLine="0"/>
              <w:jc w:val="left"/>
              <w:rPr>
                <w:sz w:val="20"/>
              </w:rPr>
            </w:pPr>
            <w:r>
              <w:rPr>
                <w:w w:val="95"/>
                <w:sz w:val="20"/>
              </w:rPr>
              <w:t>腹水；</w:t>
            </w:r>
          </w:p>
          <w:p>
            <w:pPr>
              <w:pStyle w:val="TableParagraph"/>
              <w:numPr>
                <w:ilvl w:val="0"/>
                <w:numId w:val="29"/>
              </w:numPr>
              <w:tabs>
                <w:tab w:pos="512" w:val="left" w:leader="none"/>
              </w:tabs>
              <w:spacing w:line="240" w:lineRule="auto" w:before="50" w:after="0"/>
              <w:ind w:left="108" w:right="0" w:firstLine="0"/>
              <w:jc w:val="left"/>
              <w:rPr>
                <w:sz w:val="20"/>
              </w:rPr>
            </w:pPr>
            <w:r>
              <w:rPr>
                <w:w w:val="95"/>
                <w:sz w:val="20"/>
              </w:rPr>
              <w:t>肝性脑病；</w:t>
            </w:r>
          </w:p>
          <w:p>
            <w:pPr>
              <w:pStyle w:val="TableParagraph"/>
              <w:numPr>
                <w:ilvl w:val="0"/>
                <w:numId w:val="29"/>
              </w:numPr>
              <w:tabs>
                <w:tab w:pos="512" w:val="left" w:leader="none"/>
              </w:tabs>
              <w:spacing w:line="285" w:lineRule="auto" w:before="50" w:after="0"/>
              <w:ind w:left="108" w:right="2996" w:firstLine="0"/>
              <w:jc w:val="left"/>
              <w:rPr>
                <w:b/>
                <w:sz w:val="20"/>
              </w:rPr>
            </w:pPr>
            <w:r>
              <w:rPr>
                <w:sz w:val="20"/>
              </w:rPr>
              <w:t>充血性脾肿大伴脾功能亢进或食管胃底静脉曲张。</w:t>
            </w:r>
            <w:r>
              <w:rPr>
                <w:b/>
                <w:w w:val="95"/>
                <w:sz w:val="20"/>
              </w:rPr>
              <w:t>因酗酒或药物滥用导致的肝功能衰竭不在保障范围内。</w:t>
            </w:r>
          </w:p>
        </w:tc>
      </w:tr>
      <w:tr>
        <w:trPr>
          <w:trHeight w:val="1605" w:hRule="atLeast"/>
        </w:trPr>
        <w:tc>
          <w:tcPr>
            <w:tcW w:w="1860" w:type="dxa"/>
          </w:tcPr>
          <w:p>
            <w:pPr>
              <w:pStyle w:val="TableParagraph"/>
              <w:spacing w:line="285" w:lineRule="auto" w:before="3"/>
              <w:ind w:left="107" w:right="74"/>
              <w:rPr>
                <w:sz w:val="20"/>
              </w:rPr>
            </w:pPr>
            <w:r>
              <w:rPr>
                <w:sz w:val="20"/>
              </w:rPr>
              <w:t>11. 脑炎后遗症或</w:t>
            </w:r>
            <w:r>
              <w:rPr>
                <w:w w:val="95"/>
                <w:sz w:val="20"/>
              </w:rPr>
              <w:t>脑膜炎后遗症</w:t>
            </w:r>
          </w:p>
        </w:tc>
        <w:tc>
          <w:tcPr>
            <w:tcW w:w="7933" w:type="dxa"/>
          </w:tcPr>
          <w:p>
            <w:pPr>
              <w:pStyle w:val="TableParagraph"/>
              <w:spacing w:line="285" w:lineRule="auto" w:before="3"/>
              <w:ind w:right="104"/>
              <w:rPr>
                <w:sz w:val="20"/>
              </w:rPr>
            </w:pPr>
            <w:r>
              <w:rPr>
                <w:spacing w:val="-4"/>
                <w:w w:val="95"/>
                <w:sz w:val="20"/>
              </w:rPr>
              <w:t>指因患脑炎或脑膜炎导致的神经系统永久性的功能障碍。神经系统永久性的功能障碍，指  </w:t>
            </w:r>
            <w:r>
              <w:rPr>
                <w:spacing w:val="-14"/>
                <w:sz w:val="20"/>
              </w:rPr>
              <w:t>疾病确诊 </w:t>
            </w:r>
            <w:r>
              <w:rPr>
                <w:sz w:val="20"/>
              </w:rPr>
              <w:t>180</w:t>
            </w:r>
            <w:r>
              <w:rPr>
                <w:spacing w:val="-2"/>
                <w:sz w:val="20"/>
              </w:rPr>
              <w:t> 天后，仍遗留下列一种或一种以上障碍：</w:t>
            </w:r>
          </w:p>
          <w:p>
            <w:pPr>
              <w:pStyle w:val="TableParagraph"/>
              <w:numPr>
                <w:ilvl w:val="0"/>
                <w:numId w:val="30"/>
              </w:numPr>
              <w:tabs>
                <w:tab w:pos="512" w:val="left" w:leader="none"/>
              </w:tabs>
              <w:spacing w:line="240" w:lineRule="auto" w:before="12" w:after="0"/>
              <w:ind w:left="511" w:right="0" w:hanging="403"/>
              <w:jc w:val="left"/>
              <w:rPr>
                <w:sz w:val="20"/>
              </w:rPr>
            </w:pPr>
            <w:r>
              <w:rPr>
                <w:w w:val="95"/>
                <w:sz w:val="20"/>
              </w:rPr>
              <w:t>一肢或一肢以上肢体机能完全丧失；</w:t>
            </w:r>
          </w:p>
          <w:p>
            <w:pPr>
              <w:pStyle w:val="TableParagraph"/>
              <w:numPr>
                <w:ilvl w:val="0"/>
                <w:numId w:val="30"/>
              </w:numPr>
              <w:tabs>
                <w:tab w:pos="512" w:val="left" w:leader="none"/>
              </w:tabs>
              <w:spacing w:line="240" w:lineRule="auto" w:before="50" w:after="0"/>
              <w:ind w:left="511" w:right="0" w:hanging="403"/>
              <w:jc w:val="left"/>
              <w:rPr>
                <w:sz w:val="20"/>
              </w:rPr>
            </w:pPr>
            <w:r>
              <w:rPr>
                <w:w w:val="95"/>
                <w:sz w:val="20"/>
              </w:rPr>
              <w:t>语言能力或咀嚼吞咽能力完全丧失；</w:t>
            </w:r>
          </w:p>
          <w:p>
            <w:pPr>
              <w:pStyle w:val="TableParagraph"/>
              <w:numPr>
                <w:ilvl w:val="0"/>
                <w:numId w:val="30"/>
              </w:numPr>
              <w:tabs>
                <w:tab w:pos="512" w:val="left" w:leader="none"/>
              </w:tabs>
              <w:spacing w:line="240" w:lineRule="auto" w:before="50" w:after="0"/>
              <w:ind w:left="511" w:right="0" w:hanging="403"/>
              <w:jc w:val="left"/>
              <w:rPr>
                <w:sz w:val="20"/>
              </w:rPr>
            </w:pPr>
            <w:r>
              <w:rPr>
                <w:w w:val="95"/>
                <w:sz w:val="20"/>
              </w:rPr>
              <w:t>自主生活能力完全丧失，无法独立完成六项基本日常生活活动中的三项或三项以上。</w:t>
            </w:r>
          </w:p>
        </w:tc>
      </w:tr>
      <w:tr>
        <w:trPr>
          <w:trHeight w:val="981" w:hRule="atLeast"/>
        </w:trPr>
        <w:tc>
          <w:tcPr>
            <w:tcW w:w="1860" w:type="dxa"/>
          </w:tcPr>
          <w:p>
            <w:pPr>
              <w:pStyle w:val="TableParagraph"/>
              <w:spacing w:before="5"/>
              <w:ind w:left="107"/>
              <w:rPr>
                <w:sz w:val="20"/>
              </w:rPr>
            </w:pPr>
            <w:r>
              <w:rPr>
                <w:w w:val="95"/>
                <w:sz w:val="20"/>
              </w:rPr>
              <w:t>12.双耳失聪</w:t>
            </w:r>
          </w:p>
        </w:tc>
        <w:tc>
          <w:tcPr>
            <w:tcW w:w="7933" w:type="dxa"/>
          </w:tcPr>
          <w:p>
            <w:pPr>
              <w:pStyle w:val="TableParagraph"/>
              <w:spacing w:before="5"/>
              <w:rPr>
                <w:sz w:val="20"/>
              </w:rPr>
            </w:pPr>
            <w:r>
              <w:rPr>
                <w:sz w:val="20"/>
              </w:rPr>
              <w:t>指因疾病或意外伤害导致双耳听力</w:t>
            </w:r>
            <w:r>
              <w:rPr>
                <w:b/>
                <w:sz w:val="20"/>
              </w:rPr>
              <w:t>永久不可逆</w:t>
            </w:r>
            <w:r>
              <w:rPr>
                <w:b/>
                <w:position w:val="10"/>
                <w:sz w:val="10"/>
              </w:rPr>
              <w:t>[26]</w:t>
            </w:r>
            <w:r>
              <w:rPr>
                <w:spacing w:val="-17"/>
                <w:sz w:val="20"/>
              </w:rPr>
              <w:t>性丧失，在 </w:t>
            </w:r>
            <w:r>
              <w:rPr>
                <w:sz w:val="20"/>
              </w:rPr>
              <w:t>500</w:t>
            </w:r>
            <w:r>
              <w:rPr>
                <w:spacing w:val="-12"/>
                <w:sz w:val="20"/>
              </w:rPr>
              <w:t> 赫兹、</w:t>
            </w:r>
            <w:r>
              <w:rPr>
                <w:sz w:val="20"/>
              </w:rPr>
              <w:t>1000</w:t>
            </w:r>
            <w:r>
              <w:rPr>
                <w:spacing w:val="-11"/>
                <w:sz w:val="20"/>
              </w:rPr>
              <w:t> 赫兹和 </w:t>
            </w:r>
            <w:r>
              <w:rPr>
                <w:sz w:val="20"/>
              </w:rPr>
              <w:t>2000</w:t>
            </w:r>
          </w:p>
          <w:p>
            <w:pPr>
              <w:pStyle w:val="TableParagraph"/>
              <w:spacing w:line="285" w:lineRule="auto" w:before="50"/>
              <w:ind w:right="101"/>
              <w:rPr>
                <w:sz w:val="20"/>
              </w:rPr>
            </w:pPr>
            <w:r>
              <w:rPr>
                <w:spacing w:val="-6"/>
                <w:sz w:val="20"/>
              </w:rPr>
              <w:t>赫兹语音频率下，平均听阈大于 </w:t>
            </w:r>
            <w:r>
              <w:rPr>
                <w:sz w:val="20"/>
              </w:rPr>
              <w:t>90</w:t>
            </w:r>
            <w:r>
              <w:rPr>
                <w:spacing w:val="-5"/>
                <w:sz w:val="20"/>
              </w:rPr>
              <w:t> 分贝，且经纯音听力测试、声导抗检测或听觉诱发电</w:t>
            </w:r>
            <w:r>
              <w:rPr>
                <w:spacing w:val="-5"/>
                <w:w w:val="95"/>
                <w:sz w:val="20"/>
              </w:rPr>
              <w:t>位检测等证实。</w:t>
            </w:r>
          </w:p>
        </w:tc>
      </w:tr>
      <w:tr>
        <w:trPr>
          <w:trHeight w:val="1607" w:hRule="atLeast"/>
        </w:trPr>
        <w:tc>
          <w:tcPr>
            <w:tcW w:w="1860" w:type="dxa"/>
          </w:tcPr>
          <w:p>
            <w:pPr>
              <w:pStyle w:val="TableParagraph"/>
              <w:spacing w:before="5"/>
              <w:ind w:left="107"/>
              <w:rPr>
                <w:sz w:val="20"/>
              </w:rPr>
            </w:pPr>
            <w:r>
              <w:rPr>
                <w:w w:val="95"/>
                <w:sz w:val="20"/>
              </w:rPr>
              <w:t>13.双目失明</w:t>
            </w:r>
          </w:p>
        </w:tc>
        <w:tc>
          <w:tcPr>
            <w:tcW w:w="7933" w:type="dxa"/>
          </w:tcPr>
          <w:p>
            <w:pPr>
              <w:pStyle w:val="TableParagraph"/>
              <w:spacing w:line="285" w:lineRule="auto" w:before="5"/>
              <w:ind w:right="101"/>
              <w:rPr>
                <w:sz w:val="20"/>
              </w:rPr>
            </w:pPr>
            <w:r>
              <w:rPr>
                <w:spacing w:val="-4"/>
                <w:w w:val="95"/>
                <w:sz w:val="20"/>
              </w:rPr>
              <w:t>指因疾病或意外伤害导致双眼视力永久不可逆性丧失，双眼中较好眼须满足下列至少一项   条件：</w:t>
            </w:r>
          </w:p>
          <w:p>
            <w:pPr>
              <w:pStyle w:val="TableParagraph"/>
              <w:numPr>
                <w:ilvl w:val="0"/>
                <w:numId w:val="31"/>
              </w:numPr>
              <w:tabs>
                <w:tab w:pos="512" w:val="left" w:leader="none"/>
              </w:tabs>
              <w:spacing w:line="240" w:lineRule="auto" w:before="12" w:after="0"/>
              <w:ind w:left="511" w:right="0" w:hanging="403"/>
              <w:jc w:val="left"/>
              <w:rPr>
                <w:sz w:val="20"/>
              </w:rPr>
            </w:pPr>
            <w:r>
              <w:rPr>
                <w:w w:val="95"/>
                <w:sz w:val="20"/>
              </w:rPr>
              <w:t>眼球缺失或摘除；</w:t>
            </w:r>
          </w:p>
          <w:p>
            <w:pPr>
              <w:pStyle w:val="TableParagraph"/>
              <w:numPr>
                <w:ilvl w:val="0"/>
                <w:numId w:val="31"/>
              </w:numPr>
              <w:tabs>
                <w:tab w:pos="512" w:val="left" w:leader="none"/>
              </w:tabs>
              <w:spacing w:line="240" w:lineRule="auto" w:before="50" w:after="0"/>
              <w:ind w:left="511" w:right="0" w:hanging="403"/>
              <w:jc w:val="left"/>
              <w:rPr>
                <w:sz w:val="20"/>
              </w:rPr>
            </w:pPr>
            <w:r>
              <w:rPr>
                <w:spacing w:val="-9"/>
                <w:sz w:val="20"/>
              </w:rPr>
              <w:t>矫正视力低于 </w:t>
            </w:r>
            <w:r>
              <w:rPr>
                <w:sz w:val="20"/>
              </w:rPr>
              <w:t>0.02（采用国际标准视力表，如果使用其它视力表应进行换算）；</w:t>
            </w:r>
          </w:p>
          <w:p>
            <w:pPr>
              <w:pStyle w:val="TableParagraph"/>
              <w:numPr>
                <w:ilvl w:val="0"/>
                <w:numId w:val="31"/>
              </w:numPr>
              <w:tabs>
                <w:tab w:pos="512" w:val="left" w:leader="none"/>
              </w:tabs>
              <w:spacing w:line="240" w:lineRule="auto" w:before="50" w:after="0"/>
              <w:ind w:left="511" w:right="0" w:hanging="403"/>
              <w:jc w:val="left"/>
              <w:rPr>
                <w:sz w:val="20"/>
              </w:rPr>
            </w:pPr>
            <w:r>
              <w:rPr>
                <w:spacing w:val="-8"/>
                <w:sz w:val="20"/>
              </w:rPr>
              <w:t>视野半径小于 </w:t>
            </w:r>
            <w:r>
              <w:rPr>
                <w:sz w:val="20"/>
              </w:rPr>
              <w:t>5</w:t>
            </w:r>
            <w:r>
              <w:rPr>
                <w:spacing w:val="-2"/>
                <w:sz w:val="20"/>
              </w:rPr>
              <w:t> 度。</w:t>
            </w:r>
          </w:p>
        </w:tc>
      </w:tr>
      <w:tr>
        <w:trPr>
          <w:trHeight w:val="981" w:hRule="atLeast"/>
        </w:trPr>
        <w:tc>
          <w:tcPr>
            <w:tcW w:w="1860" w:type="dxa"/>
          </w:tcPr>
          <w:p>
            <w:pPr>
              <w:pStyle w:val="TableParagraph"/>
              <w:spacing w:before="3"/>
              <w:ind w:left="107"/>
              <w:rPr>
                <w:sz w:val="20"/>
              </w:rPr>
            </w:pPr>
            <w:r>
              <w:rPr>
                <w:sz w:val="20"/>
              </w:rPr>
              <w:t>14.瘫痪</w:t>
            </w:r>
          </w:p>
        </w:tc>
        <w:tc>
          <w:tcPr>
            <w:tcW w:w="7933" w:type="dxa"/>
          </w:tcPr>
          <w:p>
            <w:pPr>
              <w:pStyle w:val="TableParagraph"/>
              <w:spacing w:line="285" w:lineRule="auto" w:before="3"/>
              <w:ind w:right="99"/>
              <w:jc w:val="both"/>
              <w:rPr>
                <w:sz w:val="20"/>
              </w:rPr>
            </w:pPr>
            <w:r>
              <w:rPr>
                <w:sz w:val="20"/>
              </w:rPr>
              <w:t>指因疾病或意外伤害导致两肢或两肢以上肢体机能永久完全丧失。肢体机能永久完全丧</w:t>
            </w:r>
            <w:r>
              <w:rPr>
                <w:spacing w:val="-6"/>
                <w:sz w:val="20"/>
              </w:rPr>
              <w:t>失，指疾病确诊 </w:t>
            </w:r>
            <w:r>
              <w:rPr>
                <w:sz w:val="20"/>
              </w:rPr>
              <w:t>180</w:t>
            </w:r>
            <w:r>
              <w:rPr>
                <w:spacing w:val="-5"/>
                <w:sz w:val="20"/>
              </w:rPr>
              <w:t> 天后或意外伤害发生 </w:t>
            </w:r>
            <w:r>
              <w:rPr>
                <w:sz w:val="20"/>
              </w:rPr>
              <w:t>180</w:t>
            </w:r>
            <w:r>
              <w:rPr>
                <w:spacing w:val="-1"/>
                <w:sz w:val="20"/>
              </w:rPr>
              <w:t> 天后，每肢三大关节中的两大关节仍然完</w:t>
            </w:r>
            <w:r>
              <w:rPr>
                <w:spacing w:val="-1"/>
                <w:w w:val="95"/>
                <w:sz w:val="20"/>
              </w:rPr>
              <w:t>全僵硬，或不能随意识活动。</w:t>
            </w:r>
          </w:p>
        </w:tc>
      </w:tr>
      <w:tr>
        <w:trPr>
          <w:trHeight w:val="357" w:hRule="atLeast"/>
        </w:trPr>
        <w:tc>
          <w:tcPr>
            <w:tcW w:w="1860" w:type="dxa"/>
          </w:tcPr>
          <w:p>
            <w:pPr>
              <w:pStyle w:val="TableParagraph"/>
              <w:spacing w:before="5"/>
              <w:ind w:left="107"/>
              <w:rPr>
                <w:sz w:val="20"/>
              </w:rPr>
            </w:pPr>
            <w:r>
              <w:rPr>
                <w:w w:val="95"/>
                <w:sz w:val="20"/>
              </w:rPr>
              <w:t>15.心脏瓣膜手术</w:t>
            </w:r>
          </w:p>
        </w:tc>
        <w:tc>
          <w:tcPr>
            <w:tcW w:w="7933" w:type="dxa"/>
          </w:tcPr>
          <w:p>
            <w:pPr>
              <w:pStyle w:val="TableParagraph"/>
              <w:spacing w:before="5"/>
              <w:rPr>
                <w:sz w:val="20"/>
              </w:rPr>
            </w:pPr>
            <w:r>
              <w:rPr>
                <w:w w:val="95"/>
                <w:sz w:val="20"/>
              </w:rPr>
              <w:t>指为治疗心脏瓣膜疾病，实际实施了开胸进行的心脏瓣膜置换或修复的手术。</w:t>
            </w:r>
          </w:p>
        </w:tc>
      </w:tr>
      <w:tr>
        <w:trPr>
          <w:trHeight w:val="1607" w:hRule="atLeast"/>
        </w:trPr>
        <w:tc>
          <w:tcPr>
            <w:tcW w:w="1860" w:type="dxa"/>
          </w:tcPr>
          <w:p>
            <w:pPr>
              <w:pStyle w:val="TableParagraph"/>
              <w:spacing w:line="285" w:lineRule="auto" w:before="5"/>
              <w:ind w:left="107" w:right="74"/>
              <w:rPr>
                <w:sz w:val="20"/>
              </w:rPr>
            </w:pPr>
            <w:r>
              <w:rPr>
                <w:sz w:val="20"/>
              </w:rPr>
              <w:t>16. 严重阿尔茨海</w:t>
            </w:r>
            <w:r>
              <w:rPr>
                <w:w w:val="95"/>
                <w:sz w:val="20"/>
              </w:rPr>
              <w:t>默病</w:t>
            </w:r>
          </w:p>
        </w:tc>
        <w:tc>
          <w:tcPr>
            <w:tcW w:w="7933" w:type="dxa"/>
          </w:tcPr>
          <w:p>
            <w:pPr>
              <w:pStyle w:val="TableParagraph"/>
              <w:spacing w:line="285" w:lineRule="auto" w:before="5"/>
              <w:ind w:right="104"/>
              <w:rPr>
                <w:sz w:val="20"/>
              </w:rPr>
            </w:pPr>
            <w:r>
              <w:rPr>
                <w:spacing w:val="-8"/>
                <w:w w:val="95"/>
                <w:sz w:val="20"/>
              </w:rPr>
              <w:t>指因大脑进行性、不可逆性改变导致智能严重衰退或丧失，临床表现为明显的认知能力障  </w:t>
            </w:r>
            <w:r>
              <w:rPr>
                <w:spacing w:val="-1"/>
                <w:sz w:val="20"/>
              </w:rPr>
              <w:t>碍、行为异常和社交能力减退，其日常生活必须持续受到他人监护。须由头颅断层扫描</w:t>
            </w:r>
          </w:p>
          <w:p>
            <w:pPr>
              <w:pStyle w:val="TableParagraph"/>
              <w:spacing w:line="285" w:lineRule="auto" w:before="12"/>
              <w:ind w:right="100"/>
              <w:rPr>
                <w:sz w:val="20"/>
              </w:rPr>
            </w:pPr>
            <w:r>
              <w:rPr>
                <w:spacing w:val="-3"/>
                <w:w w:val="95"/>
                <w:sz w:val="20"/>
              </w:rPr>
              <w:t>（CT）</w:t>
            </w:r>
            <w:r>
              <w:rPr>
                <w:spacing w:val="-4"/>
                <w:w w:val="95"/>
                <w:sz w:val="20"/>
              </w:rPr>
              <w:t>、核磁共振检查</w:t>
            </w:r>
            <w:r>
              <w:rPr>
                <w:spacing w:val="-3"/>
                <w:w w:val="95"/>
                <w:sz w:val="20"/>
              </w:rPr>
              <w:t>（MRI）</w:t>
            </w:r>
            <w:r>
              <w:rPr>
                <w:spacing w:val="-1"/>
                <w:w w:val="95"/>
                <w:sz w:val="20"/>
              </w:rPr>
              <w:t>或正电子发射断层扫描</w:t>
            </w:r>
            <w:r>
              <w:rPr>
                <w:spacing w:val="-3"/>
                <w:w w:val="95"/>
                <w:sz w:val="20"/>
              </w:rPr>
              <w:t>（PET）</w:t>
            </w:r>
            <w:r>
              <w:rPr>
                <w:spacing w:val="-2"/>
                <w:w w:val="95"/>
                <w:sz w:val="20"/>
              </w:rPr>
              <w:t>等影像学检查证实，且自主   生活能力完全丧失，无法独立完成六项基本日常生活活动中的三项或三项以上。</w:t>
            </w:r>
          </w:p>
          <w:p>
            <w:pPr>
              <w:pStyle w:val="TableParagraph"/>
              <w:spacing w:before="12"/>
              <w:rPr>
                <w:b/>
                <w:sz w:val="20"/>
              </w:rPr>
            </w:pPr>
            <w:r>
              <w:rPr>
                <w:b/>
                <w:w w:val="95"/>
                <w:sz w:val="20"/>
              </w:rPr>
              <w:t>神经官能症和精神疾病不在保障范围内。</w:t>
            </w:r>
          </w:p>
        </w:tc>
      </w:tr>
      <w:tr>
        <w:trPr>
          <w:trHeight w:val="2229" w:hRule="atLeast"/>
        </w:trPr>
        <w:tc>
          <w:tcPr>
            <w:tcW w:w="1860" w:type="dxa"/>
          </w:tcPr>
          <w:p>
            <w:pPr>
              <w:pStyle w:val="TableParagraph"/>
              <w:spacing w:before="3"/>
              <w:ind w:left="107"/>
              <w:rPr>
                <w:sz w:val="20"/>
              </w:rPr>
            </w:pPr>
            <w:r>
              <w:rPr>
                <w:w w:val="95"/>
                <w:sz w:val="20"/>
              </w:rPr>
              <w:t>17.严重脑损伤</w:t>
            </w:r>
          </w:p>
        </w:tc>
        <w:tc>
          <w:tcPr>
            <w:tcW w:w="7933" w:type="dxa"/>
          </w:tcPr>
          <w:p>
            <w:pPr>
              <w:pStyle w:val="TableParagraph"/>
              <w:spacing w:line="285" w:lineRule="auto" w:before="3"/>
              <w:ind w:right="100"/>
              <w:jc w:val="both"/>
              <w:rPr>
                <w:sz w:val="20"/>
              </w:rPr>
            </w:pPr>
            <w:r>
              <w:rPr>
                <w:spacing w:val="-6"/>
                <w:w w:val="95"/>
                <w:sz w:val="20"/>
              </w:rPr>
              <w:t>指因头部遭受机械性外力，引起脑重要部位损伤，导致神经系统永久性的功能障碍。须由   </w:t>
            </w:r>
            <w:r>
              <w:rPr>
                <w:spacing w:val="-7"/>
                <w:w w:val="95"/>
                <w:sz w:val="20"/>
              </w:rPr>
              <w:t>头颅断层扫描</w:t>
            </w:r>
            <w:r>
              <w:rPr>
                <w:spacing w:val="-3"/>
                <w:w w:val="95"/>
                <w:sz w:val="20"/>
              </w:rPr>
              <w:t>（CT）</w:t>
            </w:r>
            <w:r>
              <w:rPr>
                <w:spacing w:val="-4"/>
                <w:w w:val="95"/>
                <w:sz w:val="20"/>
              </w:rPr>
              <w:t>、核磁共振检查</w:t>
            </w:r>
            <w:r>
              <w:rPr>
                <w:spacing w:val="-3"/>
                <w:w w:val="95"/>
                <w:sz w:val="20"/>
              </w:rPr>
              <w:t>（MRI）</w:t>
            </w:r>
            <w:r>
              <w:rPr>
                <w:spacing w:val="-2"/>
                <w:w w:val="95"/>
                <w:sz w:val="20"/>
              </w:rPr>
              <w:t>或正电子发射断层扫描</w:t>
            </w:r>
            <w:r>
              <w:rPr>
                <w:spacing w:val="-3"/>
                <w:w w:val="95"/>
                <w:sz w:val="20"/>
              </w:rPr>
              <w:t>（PET）</w:t>
            </w:r>
            <w:r>
              <w:rPr>
                <w:w w:val="95"/>
                <w:sz w:val="20"/>
              </w:rPr>
              <w:t>等影像学检查   </w:t>
            </w:r>
            <w:r>
              <w:rPr>
                <w:sz w:val="20"/>
              </w:rPr>
              <w:t>证实。神经系统永久性的功能障碍，指脑损伤 180 天后，仍遗留下列一种或一种以上障</w:t>
            </w:r>
            <w:r>
              <w:rPr>
                <w:w w:val="95"/>
                <w:sz w:val="20"/>
              </w:rPr>
              <w:t>碍：</w:t>
            </w:r>
          </w:p>
          <w:p>
            <w:pPr>
              <w:pStyle w:val="TableParagraph"/>
              <w:numPr>
                <w:ilvl w:val="0"/>
                <w:numId w:val="32"/>
              </w:numPr>
              <w:tabs>
                <w:tab w:pos="512" w:val="left" w:leader="none"/>
              </w:tabs>
              <w:spacing w:line="240" w:lineRule="auto" w:before="12" w:after="0"/>
              <w:ind w:left="511" w:right="0" w:hanging="403"/>
              <w:jc w:val="both"/>
              <w:rPr>
                <w:sz w:val="20"/>
              </w:rPr>
            </w:pPr>
            <w:r>
              <w:rPr>
                <w:w w:val="95"/>
                <w:sz w:val="20"/>
              </w:rPr>
              <w:t>一肢或一肢以上肢体机能完全丧失；</w:t>
            </w:r>
          </w:p>
          <w:p>
            <w:pPr>
              <w:pStyle w:val="TableParagraph"/>
              <w:numPr>
                <w:ilvl w:val="0"/>
                <w:numId w:val="32"/>
              </w:numPr>
              <w:tabs>
                <w:tab w:pos="512" w:val="left" w:leader="none"/>
              </w:tabs>
              <w:spacing w:line="240" w:lineRule="auto" w:before="50" w:after="0"/>
              <w:ind w:left="511" w:right="0" w:hanging="403"/>
              <w:jc w:val="both"/>
              <w:rPr>
                <w:sz w:val="20"/>
              </w:rPr>
            </w:pPr>
            <w:r>
              <w:rPr>
                <w:w w:val="95"/>
                <w:sz w:val="20"/>
              </w:rPr>
              <w:t>语言能力或咀嚼吞咽能力完全丧失；</w:t>
            </w:r>
          </w:p>
          <w:p>
            <w:pPr>
              <w:pStyle w:val="TableParagraph"/>
              <w:numPr>
                <w:ilvl w:val="0"/>
                <w:numId w:val="32"/>
              </w:numPr>
              <w:tabs>
                <w:tab w:pos="512" w:val="left" w:leader="none"/>
              </w:tabs>
              <w:spacing w:line="240" w:lineRule="auto" w:before="50" w:after="0"/>
              <w:ind w:left="511" w:right="0" w:hanging="403"/>
              <w:jc w:val="both"/>
              <w:rPr>
                <w:sz w:val="20"/>
              </w:rPr>
            </w:pPr>
            <w:r>
              <w:rPr>
                <w:w w:val="95"/>
                <w:sz w:val="20"/>
              </w:rPr>
              <w:t>自主生活能力完全丧失，无法独立完成六项基本日常生活活动中的三项或三项以上。</w:t>
            </w:r>
          </w:p>
        </w:tc>
      </w:tr>
      <w:tr>
        <w:trPr>
          <w:trHeight w:val="669" w:hRule="atLeast"/>
        </w:trPr>
        <w:tc>
          <w:tcPr>
            <w:tcW w:w="1860" w:type="dxa"/>
          </w:tcPr>
          <w:p>
            <w:pPr>
              <w:pStyle w:val="TableParagraph"/>
              <w:spacing w:before="5"/>
              <w:ind w:left="107"/>
              <w:rPr>
                <w:sz w:val="20"/>
              </w:rPr>
            </w:pPr>
            <w:r>
              <w:rPr>
                <w:w w:val="95"/>
                <w:sz w:val="20"/>
              </w:rPr>
              <w:t>18.严重帕金森病</w:t>
            </w:r>
          </w:p>
        </w:tc>
        <w:tc>
          <w:tcPr>
            <w:tcW w:w="7933" w:type="dxa"/>
          </w:tcPr>
          <w:p>
            <w:pPr>
              <w:pStyle w:val="TableParagraph"/>
              <w:spacing w:line="285" w:lineRule="auto" w:before="5"/>
              <w:ind w:right="104"/>
              <w:rPr>
                <w:sz w:val="20"/>
              </w:rPr>
            </w:pPr>
            <w:r>
              <w:rPr>
                <w:spacing w:val="-5"/>
                <w:w w:val="95"/>
                <w:sz w:val="20"/>
              </w:rPr>
              <w:t>是一种中枢神经系统的退行性疾病，临床表现为震颤麻痹、共济失调等。须满足下列全部   条件：</w:t>
            </w:r>
          </w:p>
        </w:tc>
      </w:tr>
    </w:tbl>
    <w:p>
      <w:pPr>
        <w:spacing w:after="0" w:line="285" w:lineRule="auto"/>
        <w:rPr>
          <w:sz w:val="20"/>
        </w:rPr>
        <w:sectPr>
          <w:pgSz w:w="11910" w:h="16840"/>
          <w:pgMar w:header="0" w:footer="831" w:top="1120" w:bottom="1020" w:left="1000" w:right="880"/>
        </w:sectPr>
      </w:pPr>
    </w:p>
    <w:tbl>
      <w:tblPr>
        <w:tblW w:w="0" w:type="auto"/>
        <w:jc w:val="left"/>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60"/>
        <w:gridCol w:w="7933"/>
      </w:tblGrid>
      <w:tr>
        <w:trPr>
          <w:trHeight w:val="369" w:hRule="atLeast"/>
        </w:trPr>
        <w:tc>
          <w:tcPr>
            <w:tcW w:w="1860" w:type="dxa"/>
            <w:shd w:val="clear" w:color="auto" w:fill="D7D7D7"/>
          </w:tcPr>
          <w:p>
            <w:pPr>
              <w:pStyle w:val="TableParagraph"/>
              <w:spacing w:before="15"/>
              <w:ind w:left="326"/>
              <w:rPr>
                <w:b/>
                <w:sz w:val="20"/>
              </w:rPr>
            </w:pPr>
            <w:r>
              <w:rPr>
                <w:b/>
                <w:w w:val="95"/>
                <w:sz w:val="20"/>
              </w:rPr>
              <w:t>重大疾病名称</w:t>
            </w:r>
          </w:p>
        </w:tc>
        <w:tc>
          <w:tcPr>
            <w:tcW w:w="7933" w:type="dxa"/>
            <w:shd w:val="clear" w:color="auto" w:fill="D7D7D7"/>
          </w:tcPr>
          <w:p>
            <w:pPr>
              <w:pStyle w:val="TableParagraph"/>
              <w:spacing w:before="15"/>
              <w:ind w:left="237" w:right="224"/>
              <w:jc w:val="center"/>
              <w:rPr>
                <w:b/>
                <w:sz w:val="20"/>
              </w:rPr>
            </w:pPr>
            <w:r>
              <w:rPr>
                <w:b/>
                <w:sz w:val="20"/>
              </w:rPr>
              <w:t>定义</w:t>
            </w:r>
          </w:p>
        </w:tc>
      </w:tr>
      <w:tr>
        <w:trPr>
          <w:trHeight w:val="981" w:hRule="atLeast"/>
        </w:trPr>
        <w:tc>
          <w:tcPr>
            <w:tcW w:w="1860" w:type="dxa"/>
          </w:tcPr>
          <w:p>
            <w:pPr>
              <w:pStyle w:val="TableParagraph"/>
              <w:ind w:left="0"/>
              <w:rPr>
                <w:rFonts w:ascii="Times New Roman"/>
                <w:sz w:val="18"/>
              </w:rPr>
            </w:pPr>
          </w:p>
        </w:tc>
        <w:tc>
          <w:tcPr>
            <w:tcW w:w="7933" w:type="dxa"/>
          </w:tcPr>
          <w:p>
            <w:pPr>
              <w:pStyle w:val="TableParagraph"/>
              <w:numPr>
                <w:ilvl w:val="0"/>
                <w:numId w:val="33"/>
              </w:numPr>
              <w:tabs>
                <w:tab w:pos="512" w:val="left" w:leader="none"/>
              </w:tabs>
              <w:spacing w:line="240" w:lineRule="auto" w:before="5" w:after="0"/>
              <w:ind w:left="108" w:right="0" w:firstLine="0"/>
              <w:jc w:val="left"/>
              <w:rPr>
                <w:sz w:val="20"/>
              </w:rPr>
            </w:pPr>
            <w:r>
              <w:rPr>
                <w:w w:val="95"/>
                <w:sz w:val="20"/>
              </w:rPr>
              <w:t>药物治疗无法控制病情；</w:t>
            </w:r>
          </w:p>
          <w:p>
            <w:pPr>
              <w:pStyle w:val="TableParagraph"/>
              <w:numPr>
                <w:ilvl w:val="0"/>
                <w:numId w:val="33"/>
              </w:numPr>
              <w:tabs>
                <w:tab w:pos="512" w:val="left" w:leader="none"/>
              </w:tabs>
              <w:spacing w:line="285" w:lineRule="auto" w:before="50" w:after="0"/>
              <w:ind w:left="108" w:right="17" w:firstLine="0"/>
              <w:jc w:val="left"/>
              <w:rPr>
                <w:b/>
                <w:sz w:val="20"/>
              </w:rPr>
            </w:pPr>
            <w:r>
              <w:rPr>
                <w:w w:val="95"/>
                <w:sz w:val="20"/>
              </w:rPr>
              <w:t>自主生活能力完全丧失，无法独立完成六项基本日常生活活动中的三项或三项以上。  </w:t>
            </w:r>
            <w:r>
              <w:rPr>
                <w:b/>
                <w:w w:val="95"/>
                <w:sz w:val="20"/>
              </w:rPr>
              <w:t>继发性帕金森综合征不在保障范围内。</w:t>
            </w:r>
          </w:p>
        </w:tc>
      </w:tr>
      <w:tr>
        <w:trPr>
          <w:trHeight w:val="671" w:hRule="atLeast"/>
        </w:trPr>
        <w:tc>
          <w:tcPr>
            <w:tcW w:w="1860" w:type="dxa"/>
          </w:tcPr>
          <w:p>
            <w:pPr>
              <w:pStyle w:val="TableParagraph"/>
              <w:spacing w:before="5"/>
              <w:ind w:left="107"/>
              <w:rPr>
                <w:sz w:val="20"/>
              </w:rPr>
            </w:pPr>
            <w:r>
              <w:rPr>
                <w:w w:val="95"/>
                <w:sz w:val="20"/>
              </w:rPr>
              <w:t>19.严重Ⅲ度烧伤</w:t>
            </w:r>
          </w:p>
        </w:tc>
        <w:tc>
          <w:tcPr>
            <w:tcW w:w="7933" w:type="dxa"/>
          </w:tcPr>
          <w:p>
            <w:pPr>
              <w:pStyle w:val="TableParagraph"/>
              <w:spacing w:line="285" w:lineRule="auto" w:before="5"/>
              <w:ind w:right="98"/>
              <w:rPr>
                <w:sz w:val="20"/>
              </w:rPr>
            </w:pPr>
            <w:r>
              <w:rPr>
                <w:spacing w:val="-2"/>
                <w:sz w:val="20"/>
              </w:rPr>
              <w:t>指烧伤程度为Ⅲ度，且Ⅲ度烧伤的面积达到全身体表面积的 </w:t>
            </w:r>
            <w:r>
              <w:rPr>
                <w:sz w:val="20"/>
              </w:rPr>
              <w:t>20</w:t>
            </w:r>
            <w:r>
              <w:rPr>
                <w:spacing w:val="-16"/>
                <w:sz w:val="20"/>
              </w:rPr>
              <w:t>％或 </w:t>
            </w:r>
            <w:r>
              <w:rPr>
                <w:sz w:val="20"/>
              </w:rPr>
              <w:t>20％以上。体表面积</w:t>
            </w:r>
            <w:r>
              <w:rPr>
                <w:w w:val="95"/>
                <w:sz w:val="20"/>
              </w:rPr>
              <w:t>根据《中国新九分法》计算。</w:t>
            </w:r>
          </w:p>
        </w:tc>
      </w:tr>
      <w:tr>
        <w:trPr>
          <w:trHeight w:val="981" w:hRule="atLeast"/>
        </w:trPr>
        <w:tc>
          <w:tcPr>
            <w:tcW w:w="1860" w:type="dxa"/>
          </w:tcPr>
          <w:p>
            <w:pPr>
              <w:pStyle w:val="TableParagraph"/>
              <w:spacing w:line="285" w:lineRule="auto" w:before="3"/>
              <w:ind w:left="107" w:right="74"/>
              <w:rPr>
                <w:sz w:val="20"/>
              </w:rPr>
            </w:pPr>
            <w:r>
              <w:rPr>
                <w:sz w:val="20"/>
              </w:rPr>
              <w:t>20. 严重原发性肺</w:t>
            </w:r>
            <w:r>
              <w:rPr>
                <w:w w:val="95"/>
                <w:sz w:val="20"/>
              </w:rPr>
              <w:t>动脉高压</w:t>
            </w:r>
          </w:p>
        </w:tc>
        <w:tc>
          <w:tcPr>
            <w:tcW w:w="7933" w:type="dxa"/>
          </w:tcPr>
          <w:p>
            <w:pPr>
              <w:pStyle w:val="TableParagraph"/>
              <w:spacing w:line="285" w:lineRule="auto" w:before="3"/>
              <w:ind w:right="97"/>
              <w:jc w:val="both"/>
              <w:rPr>
                <w:sz w:val="20"/>
              </w:rPr>
            </w:pPr>
            <w:r>
              <w:rPr>
                <w:spacing w:val="-5"/>
                <w:sz w:val="20"/>
              </w:rPr>
              <w:t>指不明原因的肺动脉压力持续性增高，进行性发展而导致的慢性疾病，已经造成永久不可</w:t>
            </w:r>
            <w:r>
              <w:rPr>
                <w:spacing w:val="-8"/>
                <w:sz w:val="20"/>
              </w:rPr>
              <w:t>逆性的体力活动能力受限，达到美国纽约心脏病学会心功能状态分级 </w:t>
            </w:r>
            <w:r>
              <w:rPr>
                <w:sz w:val="20"/>
              </w:rPr>
              <w:t>IV</w:t>
            </w:r>
            <w:r>
              <w:rPr>
                <w:spacing w:val="-5"/>
                <w:sz w:val="20"/>
              </w:rPr>
              <w:t> 级，且静息状态</w:t>
            </w:r>
            <w:r>
              <w:rPr>
                <w:spacing w:val="-10"/>
                <w:sz w:val="20"/>
              </w:rPr>
              <w:t>下肺动脉平均压超过 </w:t>
            </w:r>
            <w:r>
              <w:rPr>
                <w:sz w:val="20"/>
              </w:rPr>
              <w:t>30mmHg。</w:t>
            </w:r>
          </w:p>
        </w:tc>
      </w:tr>
      <w:tr>
        <w:trPr>
          <w:trHeight w:val="981" w:hRule="atLeast"/>
        </w:trPr>
        <w:tc>
          <w:tcPr>
            <w:tcW w:w="1860" w:type="dxa"/>
          </w:tcPr>
          <w:p>
            <w:pPr>
              <w:pStyle w:val="TableParagraph"/>
              <w:spacing w:line="285" w:lineRule="auto" w:before="5"/>
              <w:ind w:left="107" w:right="74"/>
              <w:rPr>
                <w:sz w:val="20"/>
              </w:rPr>
            </w:pPr>
            <w:r>
              <w:rPr>
                <w:sz w:val="20"/>
              </w:rPr>
              <w:t>21. 严重运动神经</w:t>
            </w:r>
            <w:r>
              <w:rPr>
                <w:w w:val="95"/>
                <w:sz w:val="20"/>
              </w:rPr>
              <w:t>元病</w:t>
            </w:r>
          </w:p>
        </w:tc>
        <w:tc>
          <w:tcPr>
            <w:tcW w:w="7933" w:type="dxa"/>
          </w:tcPr>
          <w:p>
            <w:pPr>
              <w:pStyle w:val="TableParagraph"/>
              <w:spacing w:line="285" w:lineRule="auto" w:before="5"/>
              <w:ind w:right="103"/>
              <w:jc w:val="both"/>
              <w:rPr>
                <w:sz w:val="20"/>
              </w:rPr>
            </w:pPr>
            <w:r>
              <w:rPr>
                <w:spacing w:val="-4"/>
                <w:w w:val="95"/>
                <w:sz w:val="20"/>
              </w:rPr>
              <w:t>是一组中枢神经系统运动神经元的进行性变性疾病，包括进行性脊肌萎缩症、进行性延髓   </w:t>
            </w:r>
            <w:r>
              <w:rPr>
                <w:spacing w:val="-10"/>
                <w:w w:val="95"/>
                <w:sz w:val="20"/>
              </w:rPr>
              <w:t>麻痹症、原发性侧索硬化症、肌萎缩性侧索硬化症。须满足自主生活能力完全丧失，无法   独立完成六项基本日常生活活动中的三项或三项以上的条件。</w:t>
            </w:r>
          </w:p>
        </w:tc>
      </w:tr>
      <w:tr>
        <w:trPr>
          <w:trHeight w:val="984" w:hRule="atLeast"/>
        </w:trPr>
        <w:tc>
          <w:tcPr>
            <w:tcW w:w="1860" w:type="dxa"/>
          </w:tcPr>
          <w:p>
            <w:pPr>
              <w:pStyle w:val="TableParagraph"/>
              <w:spacing w:before="5"/>
              <w:ind w:left="107"/>
              <w:rPr>
                <w:sz w:val="20"/>
              </w:rPr>
            </w:pPr>
            <w:r>
              <w:rPr>
                <w:w w:val="95"/>
                <w:sz w:val="20"/>
              </w:rPr>
              <w:t>22.语言能力丧失</w:t>
            </w:r>
          </w:p>
        </w:tc>
        <w:tc>
          <w:tcPr>
            <w:tcW w:w="7933" w:type="dxa"/>
          </w:tcPr>
          <w:p>
            <w:pPr>
              <w:pStyle w:val="TableParagraph"/>
              <w:spacing w:line="285" w:lineRule="auto" w:before="5"/>
              <w:ind w:right="98"/>
              <w:rPr>
                <w:sz w:val="20"/>
              </w:rPr>
            </w:pPr>
            <w:r>
              <w:rPr>
                <w:spacing w:val="-2"/>
                <w:sz w:val="20"/>
              </w:rPr>
              <w:t>指因疾病或意外伤害导致完全丧失语言能力，经过积极治疗至少 </w:t>
            </w:r>
            <w:r>
              <w:rPr>
                <w:sz w:val="20"/>
              </w:rPr>
              <w:t>12</w:t>
            </w:r>
            <w:r>
              <w:rPr>
                <w:spacing w:val="-16"/>
                <w:sz w:val="20"/>
              </w:rPr>
              <w:t> 个月</w:t>
            </w:r>
            <w:r>
              <w:rPr>
                <w:sz w:val="20"/>
              </w:rPr>
              <w:t>（声带完全切除</w:t>
            </w:r>
            <w:r>
              <w:rPr>
                <w:w w:val="95"/>
                <w:sz w:val="20"/>
              </w:rPr>
              <w:t>不受此时间限制），仍无法通过现有医疗手段恢复。</w:t>
            </w:r>
          </w:p>
          <w:p>
            <w:pPr>
              <w:pStyle w:val="TableParagraph"/>
              <w:spacing w:before="12"/>
              <w:rPr>
                <w:b/>
                <w:sz w:val="20"/>
              </w:rPr>
            </w:pPr>
            <w:r>
              <w:rPr>
                <w:b/>
                <w:w w:val="95"/>
                <w:sz w:val="20"/>
              </w:rPr>
              <w:t>精神心理因素所致的语言能力丧失不在保障范围内。</w:t>
            </w:r>
          </w:p>
        </w:tc>
      </w:tr>
      <w:tr>
        <w:trPr>
          <w:trHeight w:val="2229" w:hRule="atLeast"/>
        </w:trPr>
        <w:tc>
          <w:tcPr>
            <w:tcW w:w="1860" w:type="dxa"/>
          </w:tcPr>
          <w:p>
            <w:pPr>
              <w:pStyle w:val="TableParagraph"/>
              <w:spacing w:line="285" w:lineRule="auto" w:before="3"/>
              <w:ind w:left="107" w:right="74"/>
              <w:rPr>
                <w:sz w:val="20"/>
              </w:rPr>
            </w:pPr>
            <w:r>
              <w:rPr>
                <w:sz w:val="20"/>
              </w:rPr>
              <w:t>23. 重型再生障碍</w:t>
            </w:r>
            <w:r>
              <w:rPr>
                <w:w w:val="95"/>
                <w:sz w:val="20"/>
              </w:rPr>
              <w:t>性贫血</w:t>
            </w:r>
          </w:p>
        </w:tc>
        <w:tc>
          <w:tcPr>
            <w:tcW w:w="7933" w:type="dxa"/>
          </w:tcPr>
          <w:p>
            <w:pPr>
              <w:pStyle w:val="TableParagraph"/>
              <w:spacing w:line="285" w:lineRule="auto" w:before="3"/>
              <w:ind w:right="103"/>
              <w:rPr>
                <w:sz w:val="20"/>
              </w:rPr>
            </w:pPr>
            <w:r>
              <w:rPr>
                <w:spacing w:val="-4"/>
                <w:w w:val="95"/>
                <w:sz w:val="20"/>
              </w:rPr>
              <w:t>指因骨髓造血功能慢性持续性衰竭导致的贫血、中性粒细胞减少及血小板减少。须满足下   列全部条件：</w:t>
            </w:r>
          </w:p>
          <w:p>
            <w:pPr>
              <w:pStyle w:val="TableParagraph"/>
              <w:numPr>
                <w:ilvl w:val="0"/>
                <w:numId w:val="34"/>
              </w:numPr>
              <w:tabs>
                <w:tab w:pos="512" w:val="left" w:leader="none"/>
              </w:tabs>
              <w:spacing w:line="240" w:lineRule="auto" w:before="12" w:after="0"/>
              <w:ind w:left="511" w:right="0" w:hanging="403"/>
              <w:jc w:val="left"/>
              <w:rPr>
                <w:sz w:val="20"/>
              </w:rPr>
            </w:pPr>
            <w:r>
              <w:rPr>
                <w:w w:val="95"/>
                <w:sz w:val="20"/>
              </w:rPr>
              <w:t>骨髓穿刺检查或骨髓活检结果支持诊断；</w:t>
            </w:r>
          </w:p>
          <w:p>
            <w:pPr>
              <w:pStyle w:val="TableParagraph"/>
              <w:numPr>
                <w:ilvl w:val="0"/>
                <w:numId w:val="34"/>
              </w:numPr>
              <w:tabs>
                <w:tab w:pos="512" w:val="left" w:leader="none"/>
              </w:tabs>
              <w:spacing w:line="240" w:lineRule="auto" w:before="50" w:after="0"/>
              <w:ind w:left="511" w:right="0" w:hanging="403"/>
              <w:jc w:val="left"/>
              <w:rPr>
                <w:sz w:val="20"/>
              </w:rPr>
            </w:pPr>
            <w:r>
              <w:rPr>
                <w:w w:val="95"/>
                <w:sz w:val="20"/>
              </w:rPr>
              <w:t>外周血象须具备以下三项条件：</w:t>
            </w:r>
          </w:p>
          <w:p>
            <w:pPr>
              <w:pStyle w:val="TableParagraph"/>
              <w:spacing w:before="50"/>
              <w:rPr>
                <w:sz w:val="20"/>
              </w:rPr>
            </w:pPr>
            <w:r>
              <w:rPr>
                <w:sz w:val="20"/>
              </w:rPr>
              <w:t>1）中性粒细胞绝对值≤0.5×10</w:t>
            </w:r>
            <w:r>
              <w:rPr>
                <w:position w:val="10"/>
                <w:sz w:val="10"/>
              </w:rPr>
              <w:t>9</w:t>
            </w:r>
            <w:r>
              <w:rPr>
                <w:sz w:val="20"/>
              </w:rPr>
              <w:t>/L ；</w:t>
            </w:r>
          </w:p>
          <w:p>
            <w:pPr>
              <w:pStyle w:val="TableParagraph"/>
              <w:spacing w:before="50"/>
              <w:rPr>
                <w:sz w:val="20"/>
              </w:rPr>
            </w:pPr>
            <w:r>
              <w:rPr>
                <w:w w:val="95"/>
                <w:sz w:val="20"/>
              </w:rPr>
              <w:t>2）网织红细胞＜1%；</w:t>
            </w:r>
          </w:p>
          <w:p>
            <w:pPr>
              <w:pStyle w:val="TableParagraph"/>
              <w:spacing w:before="50"/>
              <w:rPr>
                <w:sz w:val="20"/>
              </w:rPr>
            </w:pPr>
            <w:r>
              <w:rPr>
                <w:w w:val="95"/>
                <w:sz w:val="20"/>
              </w:rPr>
              <w:t>3）血小板绝对值≤20×10</w:t>
            </w:r>
            <w:r>
              <w:rPr>
                <w:w w:val="95"/>
                <w:position w:val="10"/>
                <w:sz w:val="10"/>
              </w:rPr>
              <w:t>9</w:t>
            </w:r>
            <w:r>
              <w:rPr>
                <w:w w:val="95"/>
                <w:sz w:val="20"/>
              </w:rPr>
              <w:t>/L。</w:t>
            </w:r>
          </w:p>
        </w:tc>
      </w:tr>
      <w:tr>
        <w:trPr>
          <w:trHeight w:val="981" w:hRule="atLeast"/>
        </w:trPr>
        <w:tc>
          <w:tcPr>
            <w:tcW w:w="1860" w:type="dxa"/>
          </w:tcPr>
          <w:p>
            <w:pPr>
              <w:pStyle w:val="TableParagraph"/>
              <w:spacing w:before="5"/>
              <w:ind w:left="107"/>
              <w:rPr>
                <w:sz w:val="20"/>
              </w:rPr>
            </w:pPr>
            <w:r>
              <w:rPr>
                <w:w w:val="95"/>
                <w:sz w:val="20"/>
              </w:rPr>
              <w:t>24.主动脉手术</w:t>
            </w:r>
          </w:p>
        </w:tc>
        <w:tc>
          <w:tcPr>
            <w:tcW w:w="7933" w:type="dxa"/>
          </w:tcPr>
          <w:p>
            <w:pPr>
              <w:pStyle w:val="TableParagraph"/>
              <w:spacing w:line="285" w:lineRule="auto" w:before="5"/>
              <w:ind w:right="104"/>
              <w:rPr>
                <w:sz w:val="20"/>
              </w:rPr>
            </w:pPr>
            <w:r>
              <w:rPr>
                <w:spacing w:val="-5"/>
                <w:w w:val="95"/>
                <w:sz w:val="20"/>
              </w:rPr>
              <w:t>指为治疗主动脉疾病，实际实施了开胸或开腹进行的切除、置换、修补病损主动脉血管的   手术。主动脉指胸主动脉和腹主动脉，不包括胸主动脉和腹主动脉的分支血管。</w:t>
            </w:r>
          </w:p>
          <w:p>
            <w:pPr>
              <w:pStyle w:val="TableParagraph"/>
              <w:spacing w:before="12"/>
              <w:rPr>
                <w:b/>
                <w:sz w:val="20"/>
              </w:rPr>
            </w:pPr>
            <w:r>
              <w:rPr>
                <w:b/>
                <w:w w:val="95"/>
                <w:sz w:val="20"/>
              </w:rPr>
              <w:t>动脉内血管成形术不在保障范围内。</w:t>
            </w:r>
          </w:p>
        </w:tc>
      </w:tr>
      <w:tr>
        <w:trPr>
          <w:trHeight w:val="2231" w:hRule="atLeast"/>
        </w:trPr>
        <w:tc>
          <w:tcPr>
            <w:tcW w:w="1860" w:type="dxa"/>
          </w:tcPr>
          <w:p>
            <w:pPr>
              <w:pStyle w:val="TableParagraph"/>
              <w:spacing w:before="6"/>
              <w:ind w:left="107"/>
              <w:rPr>
                <w:sz w:val="20"/>
              </w:rPr>
            </w:pPr>
            <w:r>
              <w:rPr>
                <w:w w:val="95"/>
                <w:sz w:val="20"/>
              </w:rPr>
              <w:t>25.原发性心肌病</w:t>
            </w:r>
          </w:p>
        </w:tc>
        <w:tc>
          <w:tcPr>
            <w:tcW w:w="7933" w:type="dxa"/>
          </w:tcPr>
          <w:p>
            <w:pPr>
              <w:pStyle w:val="TableParagraph"/>
              <w:spacing w:line="285" w:lineRule="auto" w:before="6"/>
              <w:ind w:right="95"/>
              <w:jc w:val="both"/>
              <w:rPr>
                <w:sz w:val="20"/>
              </w:rPr>
            </w:pPr>
            <w:r>
              <w:rPr>
                <w:spacing w:val="-5"/>
                <w:w w:val="95"/>
                <w:sz w:val="20"/>
              </w:rPr>
              <w:t>指不明原因引起的一类心肌病变，包括原发性扩张型心肌病、原发性肥厚型心肌病及原发   </w:t>
            </w:r>
            <w:r>
              <w:rPr>
                <w:spacing w:val="-11"/>
                <w:sz w:val="20"/>
              </w:rPr>
              <w:t>性限制型心肌病三种，病变必须已造成事实上心室功能障碍而出现明显的心功能衰竭( 美</w:t>
            </w:r>
            <w:r>
              <w:rPr>
                <w:spacing w:val="-14"/>
                <w:sz w:val="20"/>
              </w:rPr>
              <w:t>国纽约心脏协会心功能分类标准心功能达 </w:t>
            </w:r>
            <w:r>
              <w:rPr>
                <w:sz w:val="20"/>
              </w:rPr>
              <w:t>IV</w:t>
            </w:r>
            <w:r>
              <w:rPr>
                <w:spacing w:val="-9"/>
                <w:sz w:val="20"/>
              </w:rPr>
              <w:t> 级)，且有相关住院医疗记录显示 </w:t>
            </w:r>
            <w:r>
              <w:rPr>
                <w:sz w:val="20"/>
              </w:rPr>
              <w:t>IV</w:t>
            </w:r>
            <w:r>
              <w:rPr>
                <w:spacing w:val="-14"/>
                <w:sz w:val="20"/>
              </w:rPr>
              <w:t> 级心功</w:t>
            </w:r>
            <w:r>
              <w:rPr>
                <w:spacing w:val="-16"/>
                <w:sz w:val="20"/>
              </w:rPr>
              <w:t>能衰竭状态持续至少一百八十天。该疾病索赔时须要经心内科专科医生做出明确诊断。继</w:t>
            </w:r>
            <w:r>
              <w:rPr>
                <w:spacing w:val="-2"/>
                <w:sz w:val="20"/>
              </w:rPr>
              <w:t>发于全身性疾病或其它器官系统疾病以及由于酒精和药物滥用导致的心肌病不在保障范</w:t>
            </w:r>
            <w:r>
              <w:rPr>
                <w:spacing w:val="-5"/>
                <w:sz w:val="20"/>
              </w:rPr>
              <w:t>围内。美国纽约心脏协会分类标准心功能 </w:t>
            </w:r>
            <w:r>
              <w:rPr>
                <w:sz w:val="20"/>
              </w:rPr>
              <w:t>IV</w:t>
            </w:r>
            <w:r>
              <w:rPr>
                <w:spacing w:val="-7"/>
                <w:sz w:val="20"/>
              </w:rPr>
              <w:t> 级是指有医院的医疗记录显示病人不能进行</w:t>
            </w:r>
            <w:r>
              <w:rPr>
                <w:spacing w:val="-7"/>
                <w:w w:val="95"/>
                <w:sz w:val="20"/>
              </w:rPr>
              <w:t>任何活动，休息时仍有心悸、呼吸困难等心力衰竭表现。</w:t>
            </w:r>
          </w:p>
        </w:tc>
      </w:tr>
      <w:tr>
        <w:trPr>
          <w:trHeight w:val="1293" w:hRule="atLeast"/>
        </w:trPr>
        <w:tc>
          <w:tcPr>
            <w:tcW w:w="1860" w:type="dxa"/>
          </w:tcPr>
          <w:p>
            <w:pPr>
              <w:pStyle w:val="TableParagraph"/>
              <w:spacing w:before="3"/>
              <w:ind w:left="107"/>
              <w:rPr>
                <w:sz w:val="20"/>
              </w:rPr>
            </w:pPr>
            <w:r>
              <w:rPr>
                <w:w w:val="95"/>
                <w:sz w:val="20"/>
              </w:rPr>
              <w:t>26.脊髓灰质炎</w:t>
            </w:r>
          </w:p>
        </w:tc>
        <w:tc>
          <w:tcPr>
            <w:tcW w:w="7933" w:type="dxa"/>
          </w:tcPr>
          <w:p>
            <w:pPr>
              <w:pStyle w:val="TableParagraph"/>
              <w:spacing w:line="285" w:lineRule="auto" w:before="3"/>
              <w:ind w:right="17"/>
              <w:rPr>
                <w:sz w:val="20"/>
              </w:rPr>
            </w:pPr>
            <w:r>
              <w:rPr>
                <w:spacing w:val="-4"/>
                <w:sz w:val="20"/>
              </w:rPr>
              <w:t>脊髓灰质炎是由于脊髓灰质炎病毒感染所致的瘫痪性疾病，临床表现为运动功能损害或呼</w:t>
            </w:r>
            <w:r>
              <w:rPr>
                <w:spacing w:val="-11"/>
                <w:sz w:val="20"/>
              </w:rPr>
              <w:t>吸无力。脊髓灰质炎必须明确诊断。我们仅对脊髓灰质炎造成的神经系统功能损害导致被</w:t>
            </w:r>
            <w:r>
              <w:rPr>
                <w:spacing w:val="-11"/>
                <w:w w:val="95"/>
                <w:sz w:val="20"/>
              </w:rPr>
              <w:t>保险人一肢或一肢以上肢体机能永久完全丧失的情况予以理赔。肢体机能永久完全丧失，  </w:t>
            </w:r>
            <w:r>
              <w:rPr>
                <w:spacing w:val="-19"/>
                <w:sz w:val="20"/>
              </w:rPr>
              <w:t>指疾病确诊 </w:t>
            </w:r>
            <w:r>
              <w:rPr>
                <w:sz w:val="20"/>
              </w:rPr>
              <w:t>180</w:t>
            </w:r>
            <w:r>
              <w:rPr>
                <w:spacing w:val="-8"/>
                <w:sz w:val="20"/>
              </w:rPr>
              <w:t> 天后，每肢三大关节中的两大关节仍然完全僵硬，或不能随意识活动。</w:t>
            </w:r>
          </w:p>
        </w:tc>
      </w:tr>
      <w:tr>
        <w:trPr>
          <w:trHeight w:val="2541" w:hRule="atLeast"/>
        </w:trPr>
        <w:tc>
          <w:tcPr>
            <w:tcW w:w="1860" w:type="dxa"/>
          </w:tcPr>
          <w:p>
            <w:pPr>
              <w:pStyle w:val="TableParagraph"/>
              <w:spacing w:line="285" w:lineRule="auto" w:before="5"/>
              <w:ind w:left="107" w:right="74"/>
              <w:jc w:val="both"/>
              <w:rPr>
                <w:sz w:val="20"/>
              </w:rPr>
            </w:pPr>
            <w:r>
              <w:rPr>
                <w:sz w:val="20"/>
              </w:rPr>
              <w:t>27. 经输血导致的人类免疫缺陷病毒</w:t>
            </w:r>
            <w:r>
              <w:rPr>
                <w:w w:val="95"/>
                <w:sz w:val="20"/>
              </w:rPr>
              <w:t>感染</w:t>
            </w:r>
          </w:p>
        </w:tc>
        <w:tc>
          <w:tcPr>
            <w:tcW w:w="7933" w:type="dxa"/>
          </w:tcPr>
          <w:p>
            <w:pPr>
              <w:pStyle w:val="TableParagraph"/>
              <w:spacing w:before="5"/>
              <w:rPr>
                <w:sz w:val="20"/>
              </w:rPr>
            </w:pPr>
            <w:r>
              <w:rPr>
                <w:w w:val="95"/>
                <w:sz w:val="20"/>
              </w:rPr>
              <w:t>被保险人感染上人类免疫缺陷病毒（HIV）并且符合下列所有条件：</w:t>
            </w:r>
          </w:p>
          <w:p>
            <w:pPr>
              <w:pStyle w:val="TableParagraph"/>
              <w:numPr>
                <w:ilvl w:val="0"/>
                <w:numId w:val="35"/>
              </w:numPr>
              <w:tabs>
                <w:tab w:pos="512" w:val="left" w:leader="none"/>
              </w:tabs>
              <w:spacing w:line="285" w:lineRule="auto" w:before="50" w:after="0"/>
              <w:ind w:left="108" w:right="103" w:firstLine="0"/>
              <w:jc w:val="left"/>
              <w:rPr>
                <w:sz w:val="20"/>
              </w:rPr>
            </w:pPr>
            <w:r>
              <w:rPr>
                <w:spacing w:val="-5"/>
                <w:w w:val="95"/>
                <w:sz w:val="20"/>
              </w:rPr>
              <w:t>在保障起始日或效力恢复日之后，被保险人因治疗必需而接受输血，并且因输血而感  </w:t>
            </w:r>
            <w:r>
              <w:rPr>
                <w:spacing w:val="-28"/>
                <w:sz w:val="20"/>
              </w:rPr>
              <w:t>染 </w:t>
            </w:r>
            <w:r>
              <w:rPr>
                <w:sz w:val="20"/>
              </w:rPr>
              <w:t>HIV；</w:t>
            </w:r>
          </w:p>
          <w:p>
            <w:pPr>
              <w:pStyle w:val="TableParagraph"/>
              <w:numPr>
                <w:ilvl w:val="0"/>
                <w:numId w:val="35"/>
              </w:numPr>
              <w:tabs>
                <w:tab w:pos="512" w:val="left" w:leader="none"/>
              </w:tabs>
              <w:spacing w:line="285" w:lineRule="auto" w:before="12" w:after="0"/>
              <w:ind w:left="108" w:right="101" w:firstLine="0"/>
              <w:jc w:val="left"/>
              <w:rPr>
                <w:sz w:val="20"/>
              </w:rPr>
            </w:pPr>
            <w:r>
              <w:rPr>
                <w:spacing w:val="-3"/>
                <w:w w:val="95"/>
                <w:sz w:val="20"/>
              </w:rPr>
              <w:t>提供输血治疗的输血中心或医院出具该项输血感染属医疗责任事故的报告，或者法院  终审裁定为医疗责任；</w:t>
            </w:r>
          </w:p>
          <w:p>
            <w:pPr>
              <w:pStyle w:val="TableParagraph"/>
              <w:numPr>
                <w:ilvl w:val="0"/>
                <w:numId w:val="35"/>
              </w:numPr>
              <w:tabs>
                <w:tab w:pos="512" w:val="left" w:leader="none"/>
              </w:tabs>
              <w:spacing w:line="240" w:lineRule="auto" w:before="12" w:after="0"/>
              <w:ind w:left="108" w:right="0" w:firstLine="0"/>
              <w:jc w:val="left"/>
              <w:rPr>
                <w:sz w:val="20"/>
              </w:rPr>
            </w:pPr>
            <w:r>
              <w:rPr>
                <w:w w:val="95"/>
                <w:sz w:val="20"/>
              </w:rPr>
              <w:t>提供输血治疗的输血中心或医院必须拥有合法经营执照；</w:t>
            </w:r>
          </w:p>
          <w:p>
            <w:pPr>
              <w:pStyle w:val="TableParagraph"/>
              <w:numPr>
                <w:ilvl w:val="0"/>
                <w:numId w:val="35"/>
              </w:numPr>
              <w:tabs>
                <w:tab w:pos="512" w:val="left" w:leader="none"/>
              </w:tabs>
              <w:spacing w:line="240" w:lineRule="auto" w:before="49" w:after="0"/>
              <w:ind w:left="108" w:right="0" w:firstLine="0"/>
              <w:jc w:val="left"/>
              <w:rPr>
                <w:sz w:val="20"/>
              </w:rPr>
            </w:pPr>
            <w:r>
              <w:rPr>
                <w:w w:val="95"/>
                <w:sz w:val="20"/>
              </w:rPr>
              <w:t>受感染的被保险人不是血友病患者。</w:t>
            </w:r>
          </w:p>
          <w:p>
            <w:pPr>
              <w:pStyle w:val="TableParagraph"/>
              <w:spacing w:before="49"/>
              <w:rPr>
                <w:sz w:val="20"/>
              </w:rPr>
            </w:pPr>
            <w:r>
              <w:rPr>
                <w:spacing w:val="-4"/>
                <w:sz w:val="20"/>
              </w:rPr>
              <w:t>在任何治愈艾滋病</w:t>
            </w:r>
            <w:r>
              <w:rPr>
                <w:spacing w:val="-5"/>
                <w:sz w:val="20"/>
              </w:rPr>
              <w:t>（AIDS）</w:t>
            </w:r>
            <w:r>
              <w:rPr>
                <w:spacing w:val="-13"/>
                <w:sz w:val="20"/>
              </w:rPr>
              <w:t>或阻止 </w:t>
            </w:r>
            <w:r>
              <w:rPr>
                <w:sz w:val="20"/>
              </w:rPr>
              <w:t>HIV</w:t>
            </w:r>
            <w:r>
              <w:rPr>
                <w:spacing w:val="-6"/>
                <w:sz w:val="20"/>
              </w:rPr>
              <w:t> 病毒作用的疗法被发现以后，或能防止 </w:t>
            </w:r>
            <w:r>
              <w:rPr>
                <w:sz w:val="20"/>
              </w:rPr>
              <w:t>AIDS</w:t>
            </w:r>
            <w:r>
              <w:rPr>
                <w:spacing w:val="-1"/>
                <w:sz w:val="20"/>
              </w:rPr>
              <w:t> 发生</w:t>
            </w:r>
          </w:p>
        </w:tc>
      </w:tr>
    </w:tbl>
    <w:p>
      <w:pPr>
        <w:spacing w:after="0"/>
        <w:rPr>
          <w:sz w:val="20"/>
        </w:rPr>
        <w:sectPr>
          <w:pgSz w:w="11910" w:h="16840"/>
          <w:pgMar w:header="0" w:footer="831" w:top="1120" w:bottom="1020" w:left="1000" w:right="880"/>
        </w:sectPr>
      </w:pPr>
    </w:p>
    <w:tbl>
      <w:tblPr>
        <w:tblW w:w="0" w:type="auto"/>
        <w:jc w:val="left"/>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60"/>
        <w:gridCol w:w="7933"/>
      </w:tblGrid>
      <w:tr>
        <w:trPr>
          <w:trHeight w:val="369" w:hRule="atLeast"/>
        </w:trPr>
        <w:tc>
          <w:tcPr>
            <w:tcW w:w="1860" w:type="dxa"/>
            <w:shd w:val="clear" w:color="auto" w:fill="D7D7D7"/>
          </w:tcPr>
          <w:p>
            <w:pPr>
              <w:pStyle w:val="TableParagraph"/>
              <w:spacing w:before="15"/>
              <w:ind w:left="326"/>
              <w:rPr>
                <w:b/>
                <w:sz w:val="20"/>
              </w:rPr>
            </w:pPr>
            <w:r>
              <w:rPr>
                <w:b/>
                <w:w w:val="95"/>
                <w:sz w:val="20"/>
              </w:rPr>
              <w:t>重大疾病名称</w:t>
            </w:r>
          </w:p>
        </w:tc>
        <w:tc>
          <w:tcPr>
            <w:tcW w:w="7933" w:type="dxa"/>
            <w:shd w:val="clear" w:color="auto" w:fill="D7D7D7"/>
          </w:tcPr>
          <w:p>
            <w:pPr>
              <w:pStyle w:val="TableParagraph"/>
              <w:spacing w:before="15"/>
              <w:ind w:left="237" w:right="224"/>
              <w:jc w:val="center"/>
              <w:rPr>
                <w:b/>
                <w:sz w:val="20"/>
              </w:rPr>
            </w:pPr>
            <w:r>
              <w:rPr>
                <w:b/>
                <w:sz w:val="20"/>
              </w:rPr>
              <w:t>定义</w:t>
            </w:r>
          </w:p>
        </w:tc>
      </w:tr>
      <w:tr>
        <w:trPr>
          <w:trHeight w:val="1293" w:hRule="atLeast"/>
        </w:trPr>
        <w:tc>
          <w:tcPr>
            <w:tcW w:w="1860" w:type="dxa"/>
          </w:tcPr>
          <w:p>
            <w:pPr>
              <w:pStyle w:val="TableParagraph"/>
              <w:ind w:left="0"/>
              <w:rPr>
                <w:rFonts w:ascii="Times New Roman"/>
                <w:sz w:val="18"/>
              </w:rPr>
            </w:pPr>
          </w:p>
        </w:tc>
        <w:tc>
          <w:tcPr>
            <w:tcW w:w="7933" w:type="dxa"/>
          </w:tcPr>
          <w:p>
            <w:pPr>
              <w:pStyle w:val="TableParagraph"/>
              <w:spacing w:before="5"/>
              <w:rPr>
                <w:sz w:val="20"/>
              </w:rPr>
            </w:pPr>
            <w:r>
              <w:rPr>
                <w:w w:val="95"/>
                <w:sz w:val="20"/>
              </w:rPr>
              <w:t>的医疗方法被研究出来以后，本保障将不再予以赔付。</w:t>
            </w:r>
          </w:p>
          <w:p>
            <w:pPr>
              <w:pStyle w:val="TableParagraph"/>
              <w:spacing w:line="285" w:lineRule="auto" w:before="50"/>
              <w:ind w:right="-15"/>
              <w:rPr>
                <w:sz w:val="20"/>
              </w:rPr>
            </w:pPr>
            <w:r>
              <w:rPr>
                <w:b/>
                <w:spacing w:val="-5"/>
                <w:sz w:val="20"/>
              </w:rPr>
              <w:t>任何因其他传播方式</w:t>
            </w:r>
            <w:r>
              <w:rPr>
                <w:b/>
                <w:sz w:val="20"/>
              </w:rPr>
              <w:t>（</w:t>
            </w:r>
            <w:r>
              <w:rPr>
                <w:b/>
                <w:spacing w:val="-6"/>
                <w:sz w:val="20"/>
              </w:rPr>
              <w:t>包括：性传播或静脉注射毒品</w:t>
            </w:r>
            <w:r>
              <w:rPr>
                <w:b/>
                <w:spacing w:val="-39"/>
                <w:sz w:val="20"/>
              </w:rPr>
              <w:t>）</w:t>
            </w:r>
            <w:r>
              <w:rPr>
                <w:b/>
                <w:spacing w:val="-2"/>
                <w:sz w:val="20"/>
              </w:rPr>
              <w:t>导致的 </w:t>
            </w:r>
            <w:r>
              <w:rPr>
                <w:b/>
                <w:sz w:val="20"/>
              </w:rPr>
              <w:t>HIV</w:t>
            </w:r>
            <w:r>
              <w:rPr>
                <w:b/>
                <w:spacing w:val="-2"/>
                <w:sz w:val="20"/>
              </w:rPr>
              <w:t> 感染不在保障范围内。</w:t>
            </w:r>
            <w:r>
              <w:rPr>
                <w:sz w:val="20"/>
              </w:rPr>
              <w:t>保险公司必须拥有获得使用被保险人的血液样本的权利和能够对这些样本进行独立检验</w:t>
            </w:r>
            <w:r>
              <w:rPr>
                <w:w w:val="95"/>
                <w:sz w:val="20"/>
              </w:rPr>
              <w:t>的权利。</w:t>
            </w:r>
          </w:p>
        </w:tc>
      </w:tr>
      <w:tr>
        <w:trPr>
          <w:trHeight w:val="1919" w:hRule="atLeast"/>
        </w:trPr>
        <w:tc>
          <w:tcPr>
            <w:tcW w:w="1860" w:type="dxa"/>
          </w:tcPr>
          <w:p>
            <w:pPr>
              <w:pStyle w:val="TableParagraph"/>
              <w:spacing w:before="5"/>
              <w:ind w:left="107"/>
              <w:rPr>
                <w:sz w:val="20"/>
              </w:rPr>
            </w:pPr>
            <w:r>
              <w:rPr>
                <w:w w:val="95"/>
                <w:sz w:val="20"/>
              </w:rPr>
              <w:t>28.肌营养不良症</w:t>
            </w:r>
          </w:p>
        </w:tc>
        <w:tc>
          <w:tcPr>
            <w:tcW w:w="7933" w:type="dxa"/>
          </w:tcPr>
          <w:p>
            <w:pPr>
              <w:pStyle w:val="TableParagraph"/>
              <w:spacing w:line="285" w:lineRule="auto" w:before="5"/>
              <w:ind w:right="101"/>
              <w:rPr>
                <w:sz w:val="20"/>
              </w:rPr>
            </w:pPr>
            <w:r>
              <w:rPr>
                <w:spacing w:val="-7"/>
                <w:w w:val="95"/>
                <w:sz w:val="20"/>
              </w:rPr>
              <w:t>指一组遗传性肌肉变性病变，临床特征为与神经系统无关的骨骼肌对称地进行性无力和萎   缩，其诊断需满足下列全部条件：</w:t>
            </w:r>
          </w:p>
          <w:p>
            <w:pPr>
              <w:pStyle w:val="TableParagraph"/>
              <w:numPr>
                <w:ilvl w:val="0"/>
                <w:numId w:val="36"/>
              </w:numPr>
              <w:tabs>
                <w:tab w:pos="512" w:val="left" w:leader="none"/>
              </w:tabs>
              <w:spacing w:line="240" w:lineRule="auto" w:before="12" w:after="0"/>
              <w:ind w:left="108" w:right="0" w:firstLine="0"/>
              <w:jc w:val="left"/>
              <w:rPr>
                <w:sz w:val="20"/>
              </w:rPr>
            </w:pPr>
            <w:r>
              <w:rPr>
                <w:w w:val="95"/>
                <w:sz w:val="20"/>
              </w:rPr>
              <w:t>肌电图显示典型肌营养不良症的阳性改变；</w:t>
            </w:r>
          </w:p>
          <w:p>
            <w:pPr>
              <w:pStyle w:val="TableParagraph"/>
              <w:numPr>
                <w:ilvl w:val="0"/>
                <w:numId w:val="36"/>
              </w:numPr>
              <w:tabs>
                <w:tab w:pos="512" w:val="left" w:leader="none"/>
              </w:tabs>
              <w:spacing w:line="240" w:lineRule="auto" w:before="50" w:after="0"/>
              <w:ind w:left="108" w:right="0" w:firstLine="0"/>
              <w:jc w:val="left"/>
              <w:rPr>
                <w:sz w:val="20"/>
              </w:rPr>
            </w:pPr>
            <w:r>
              <w:rPr>
                <w:w w:val="95"/>
                <w:sz w:val="20"/>
              </w:rPr>
              <w:t>肌肉活检的病理学诊断符合肌营养不良症的肌肉细胞变性、坏死等阳性改变；</w:t>
            </w:r>
          </w:p>
          <w:p>
            <w:pPr>
              <w:pStyle w:val="TableParagraph"/>
              <w:numPr>
                <w:ilvl w:val="0"/>
                <w:numId w:val="36"/>
              </w:numPr>
              <w:tabs>
                <w:tab w:pos="514" w:val="left" w:leader="none"/>
              </w:tabs>
              <w:spacing w:line="285" w:lineRule="auto" w:before="50" w:after="0"/>
              <w:ind w:left="108" w:right="106" w:firstLine="0"/>
              <w:jc w:val="left"/>
              <w:rPr>
                <w:sz w:val="20"/>
              </w:rPr>
            </w:pPr>
            <w:r>
              <w:rPr>
                <w:sz w:val="20"/>
              </w:rPr>
              <w:t>已导致被保险人持续超过三个月无法独立完成六项基本日常生活活动中的三项或三</w:t>
            </w:r>
            <w:r>
              <w:rPr>
                <w:w w:val="95"/>
                <w:sz w:val="20"/>
              </w:rPr>
              <w:t>项以上。</w:t>
            </w:r>
          </w:p>
        </w:tc>
      </w:tr>
      <w:tr>
        <w:trPr>
          <w:trHeight w:val="1293" w:hRule="atLeast"/>
        </w:trPr>
        <w:tc>
          <w:tcPr>
            <w:tcW w:w="1860" w:type="dxa"/>
          </w:tcPr>
          <w:p>
            <w:pPr>
              <w:pStyle w:val="TableParagraph"/>
              <w:spacing w:before="3"/>
              <w:ind w:left="107"/>
              <w:rPr>
                <w:sz w:val="20"/>
              </w:rPr>
            </w:pPr>
            <w:r>
              <w:rPr>
                <w:w w:val="95"/>
                <w:sz w:val="20"/>
              </w:rPr>
              <w:t>29.多发性硬化症</w:t>
            </w:r>
          </w:p>
        </w:tc>
        <w:tc>
          <w:tcPr>
            <w:tcW w:w="7933" w:type="dxa"/>
          </w:tcPr>
          <w:p>
            <w:pPr>
              <w:pStyle w:val="TableParagraph"/>
              <w:spacing w:line="285" w:lineRule="auto" w:before="3"/>
              <w:ind w:right="101"/>
              <w:jc w:val="both"/>
              <w:rPr>
                <w:sz w:val="20"/>
              </w:rPr>
            </w:pPr>
            <w:r>
              <w:rPr>
                <w:spacing w:val="-5"/>
                <w:w w:val="95"/>
                <w:sz w:val="20"/>
              </w:rPr>
              <w:t>指中枢神经系统白质多灶性脱髓鞘病变，病变有时累及灰质。多发性硬化症必须由我们认   </w:t>
            </w:r>
            <w:r>
              <w:rPr>
                <w:spacing w:val="-10"/>
                <w:w w:val="95"/>
                <w:sz w:val="20"/>
              </w:rPr>
              <w:t>可的医院的神经专科主任级医生确诊。诊断须包括：永久的运动及感觉功能障碍必须不间   </w:t>
            </w:r>
            <w:r>
              <w:rPr>
                <w:spacing w:val="-13"/>
                <w:w w:val="95"/>
                <w:sz w:val="20"/>
              </w:rPr>
              <w:t>断地持续至少六个月，必须有典型的脱髓鞘症状和运动及感觉功能障碍的客观证据，如腰   </w:t>
            </w:r>
            <w:r>
              <w:rPr>
                <w:spacing w:val="-16"/>
                <w:sz w:val="20"/>
              </w:rPr>
              <w:t>穿、听觉诱发反应、视觉诱发反应和 </w:t>
            </w:r>
            <w:r>
              <w:rPr>
                <w:sz w:val="20"/>
              </w:rPr>
              <w:t>MRI</w:t>
            </w:r>
            <w:r>
              <w:rPr>
                <w:spacing w:val="-2"/>
                <w:sz w:val="20"/>
              </w:rPr>
              <w:t> 检查的典型改变。</w:t>
            </w:r>
          </w:p>
        </w:tc>
      </w:tr>
      <w:tr>
        <w:trPr>
          <w:trHeight w:val="4101" w:hRule="atLeast"/>
        </w:trPr>
        <w:tc>
          <w:tcPr>
            <w:tcW w:w="1860" w:type="dxa"/>
          </w:tcPr>
          <w:p>
            <w:pPr>
              <w:pStyle w:val="TableParagraph"/>
              <w:spacing w:line="285" w:lineRule="auto" w:before="5"/>
              <w:ind w:left="107" w:right="74"/>
              <w:rPr>
                <w:sz w:val="20"/>
              </w:rPr>
            </w:pPr>
            <w:r>
              <w:rPr>
                <w:sz w:val="20"/>
              </w:rPr>
              <w:t>30. 系统性红斑狼疮</w:t>
            </w:r>
          </w:p>
        </w:tc>
        <w:tc>
          <w:tcPr>
            <w:tcW w:w="7933" w:type="dxa"/>
          </w:tcPr>
          <w:p>
            <w:pPr>
              <w:pStyle w:val="TableParagraph"/>
              <w:spacing w:line="285" w:lineRule="auto" w:before="5"/>
              <w:ind w:right="101"/>
              <w:jc w:val="both"/>
              <w:rPr>
                <w:sz w:val="20"/>
              </w:rPr>
            </w:pPr>
            <w:r>
              <w:rPr>
                <w:sz w:val="20"/>
              </w:rPr>
              <w:t>由于病理性自身抗体和免疫复合物的沉积破坏了血管和细胞而导致的一种自体免疫性疾</w:t>
            </w:r>
            <w:r>
              <w:rPr>
                <w:spacing w:val="-9"/>
                <w:w w:val="95"/>
                <w:sz w:val="20"/>
              </w:rPr>
              <w:t>病。由于系统性红斑狼疮会损害肾功能而导致狼疮肾炎，世界卫生组织根据肾脏活检结果   </w:t>
            </w:r>
            <w:r>
              <w:rPr>
                <w:spacing w:val="-14"/>
                <w:sz w:val="20"/>
              </w:rPr>
              <w:t>将狼疮肾炎分成 </w:t>
            </w:r>
            <w:r>
              <w:rPr>
                <w:sz w:val="20"/>
              </w:rPr>
              <w:t>I</w:t>
            </w:r>
            <w:r>
              <w:rPr>
                <w:spacing w:val="-12"/>
                <w:sz w:val="20"/>
              </w:rPr>
              <w:t> 型到 </w:t>
            </w:r>
            <w:r>
              <w:rPr>
                <w:sz w:val="20"/>
              </w:rPr>
              <w:t>VI</w:t>
            </w:r>
            <w:r>
              <w:rPr>
                <w:spacing w:val="-1"/>
                <w:sz w:val="20"/>
              </w:rPr>
              <w:t> 型六种类型，但本合同仅承保导致世界卫生组织</w:t>
            </w:r>
            <w:r>
              <w:rPr>
                <w:sz w:val="20"/>
              </w:rPr>
              <w:t>（WHO）狼疮</w:t>
            </w:r>
            <w:r>
              <w:rPr>
                <w:spacing w:val="-9"/>
                <w:sz w:val="20"/>
              </w:rPr>
              <w:t>肾炎分类的 </w:t>
            </w:r>
            <w:r>
              <w:rPr>
                <w:sz w:val="20"/>
              </w:rPr>
              <w:t>III</w:t>
            </w:r>
            <w:r>
              <w:rPr>
                <w:spacing w:val="-27"/>
                <w:sz w:val="20"/>
              </w:rPr>
              <w:t> 型到 </w:t>
            </w:r>
            <w:r>
              <w:rPr>
                <w:sz w:val="20"/>
              </w:rPr>
              <w:t>VI</w:t>
            </w:r>
            <w:r>
              <w:rPr>
                <w:spacing w:val="-11"/>
                <w:sz w:val="20"/>
              </w:rPr>
              <w:t> 型的系统性红斑狼疮。世界卫生组织</w:t>
            </w:r>
            <w:r>
              <w:rPr>
                <w:spacing w:val="-6"/>
                <w:sz w:val="20"/>
              </w:rPr>
              <w:t>（WHO）</w:t>
            </w:r>
            <w:r>
              <w:rPr>
                <w:sz w:val="20"/>
              </w:rPr>
              <w:t>对狼疮肾炎的六种分</w:t>
            </w:r>
            <w:r>
              <w:rPr>
                <w:w w:val="95"/>
                <w:sz w:val="20"/>
              </w:rPr>
              <w:t>类为：</w:t>
            </w:r>
          </w:p>
          <w:p>
            <w:pPr>
              <w:pStyle w:val="TableParagraph"/>
              <w:spacing w:line="285" w:lineRule="auto" w:before="12"/>
              <w:ind w:right="5115"/>
              <w:rPr>
                <w:sz w:val="20"/>
              </w:rPr>
            </w:pPr>
            <w:r>
              <w:rPr>
                <w:sz w:val="20"/>
              </w:rPr>
              <w:t>WHO</w:t>
            </w:r>
            <w:r>
              <w:rPr>
                <w:spacing w:val="31"/>
                <w:sz w:val="20"/>
              </w:rPr>
              <w:t> </w:t>
            </w:r>
            <w:r>
              <w:rPr>
                <w:sz w:val="20"/>
              </w:rPr>
              <w:t>I</w:t>
            </w:r>
            <w:r>
              <w:rPr>
                <w:spacing w:val="3"/>
                <w:sz w:val="20"/>
              </w:rPr>
              <w:t> 型： 正常肾小球； WHO</w:t>
            </w:r>
            <w:r>
              <w:rPr>
                <w:spacing w:val="-5"/>
                <w:sz w:val="20"/>
              </w:rPr>
              <w:t> </w:t>
            </w:r>
            <w:r>
              <w:rPr>
                <w:sz w:val="20"/>
              </w:rPr>
              <w:t>II</w:t>
            </w:r>
            <w:r>
              <w:rPr>
                <w:spacing w:val="-2"/>
                <w:sz w:val="20"/>
              </w:rPr>
              <w:t> 型：单纯系膜增生型；</w:t>
            </w:r>
          </w:p>
          <w:p>
            <w:pPr>
              <w:pStyle w:val="TableParagraph"/>
              <w:spacing w:line="285" w:lineRule="auto" w:before="12"/>
              <w:ind w:right="3335"/>
              <w:rPr>
                <w:sz w:val="20"/>
              </w:rPr>
            </w:pPr>
            <w:r>
              <w:rPr>
                <w:sz w:val="20"/>
              </w:rPr>
              <w:t>WHO III 型：局灶或节段性增生性肾小球肾炎； WHO IV 型：弥漫性增生性肾小球肾炎；</w:t>
            </w:r>
          </w:p>
          <w:p>
            <w:pPr>
              <w:pStyle w:val="TableParagraph"/>
              <w:spacing w:before="12"/>
              <w:rPr>
                <w:sz w:val="20"/>
              </w:rPr>
            </w:pPr>
            <w:r>
              <w:rPr>
                <w:sz w:val="20"/>
              </w:rPr>
              <w:t>WHO V 型：弥漫膜性肾小球肾炎；</w:t>
            </w:r>
          </w:p>
          <w:p>
            <w:pPr>
              <w:pStyle w:val="TableParagraph"/>
              <w:spacing w:before="50"/>
              <w:rPr>
                <w:sz w:val="20"/>
              </w:rPr>
            </w:pPr>
            <w:r>
              <w:rPr>
                <w:sz w:val="20"/>
              </w:rPr>
              <w:t>WHO VI 型：进行性硬化性肾小球肾炎。</w:t>
            </w:r>
          </w:p>
          <w:p>
            <w:pPr>
              <w:pStyle w:val="TableParagraph"/>
              <w:spacing w:line="285" w:lineRule="auto" w:before="50"/>
              <w:ind w:right="102"/>
              <w:rPr>
                <w:b/>
                <w:sz w:val="20"/>
              </w:rPr>
            </w:pPr>
            <w:r>
              <w:rPr>
                <w:b/>
                <w:sz w:val="20"/>
              </w:rPr>
              <w:t>其他类型的狼疮，例如盘状红斑狼疮或那些只影响血液和关节的红斑狼疮，不在保障范围内。</w:t>
            </w:r>
          </w:p>
        </w:tc>
      </w:tr>
      <w:tr>
        <w:trPr>
          <w:trHeight w:val="2231" w:hRule="atLeast"/>
        </w:trPr>
        <w:tc>
          <w:tcPr>
            <w:tcW w:w="1860" w:type="dxa"/>
          </w:tcPr>
          <w:p>
            <w:pPr>
              <w:pStyle w:val="TableParagraph"/>
              <w:spacing w:before="5"/>
              <w:ind w:left="107"/>
              <w:rPr>
                <w:sz w:val="20"/>
              </w:rPr>
            </w:pPr>
            <w:r>
              <w:rPr>
                <w:w w:val="95"/>
                <w:sz w:val="20"/>
              </w:rPr>
              <w:t>31.系统性硬化病</w:t>
            </w:r>
          </w:p>
        </w:tc>
        <w:tc>
          <w:tcPr>
            <w:tcW w:w="7933" w:type="dxa"/>
          </w:tcPr>
          <w:p>
            <w:pPr>
              <w:pStyle w:val="TableParagraph"/>
              <w:spacing w:line="285" w:lineRule="auto" w:before="5"/>
              <w:ind w:right="104"/>
              <w:jc w:val="both"/>
              <w:rPr>
                <w:sz w:val="20"/>
              </w:rPr>
            </w:pPr>
            <w:r>
              <w:rPr>
                <w:spacing w:val="-6"/>
                <w:w w:val="95"/>
                <w:sz w:val="20"/>
              </w:rPr>
              <w:t>系统性硬化病又称硬皮病，是以弥漫性皮肤、血管及内脏器官结缔组织纤维化、硬化及萎   </w:t>
            </w:r>
            <w:r>
              <w:rPr>
                <w:spacing w:val="-11"/>
                <w:w w:val="95"/>
                <w:sz w:val="20"/>
              </w:rPr>
              <w:t>缩为特点的结缔组织病。必须由具有执业医师资格的风湿免疫专科医生确诊。必须有活体   组织检查和血清学的检查作为确诊依据。病变需累及心脏，肺脏或肾脏。</w:t>
            </w:r>
          </w:p>
          <w:p>
            <w:pPr>
              <w:pStyle w:val="TableParagraph"/>
              <w:spacing w:before="12"/>
              <w:jc w:val="both"/>
              <w:rPr>
                <w:b/>
                <w:sz w:val="20"/>
              </w:rPr>
            </w:pPr>
            <w:r>
              <w:rPr>
                <w:b/>
                <w:w w:val="95"/>
                <w:sz w:val="20"/>
              </w:rPr>
              <w:t>下列疾病不在保障范围内：</w:t>
            </w:r>
          </w:p>
          <w:p>
            <w:pPr>
              <w:pStyle w:val="TableParagraph"/>
              <w:numPr>
                <w:ilvl w:val="0"/>
                <w:numId w:val="37"/>
              </w:numPr>
              <w:tabs>
                <w:tab w:pos="512" w:val="left" w:leader="none"/>
              </w:tabs>
              <w:spacing w:line="240" w:lineRule="auto" w:before="50" w:after="0"/>
              <w:ind w:left="511" w:right="0" w:hanging="403"/>
              <w:jc w:val="both"/>
              <w:rPr>
                <w:b/>
                <w:sz w:val="20"/>
              </w:rPr>
            </w:pPr>
            <w:r>
              <w:rPr>
                <w:b/>
                <w:w w:val="95"/>
                <w:sz w:val="20"/>
              </w:rPr>
              <w:t>局限性硬皮病（包括带状硬皮病、硬斑病）；</w:t>
            </w:r>
          </w:p>
          <w:p>
            <w:pPr>
              <w:pStyle w:val="TableParagraph"/>
              <w:numPr>
                <w:ilvl w:val="0"/>
                <w:numId w:val="37"/>
              </w:numPr>
              <w:tabs>
                <w:tab w:pos="512" w:val="left" w:leader="none"/>
              </w:tabs>
              <w:spacing w:line="240" w:lineRule="auto" w:before="50" w:after="0"/>
              <w:ind w:left="511" w:right="0" w:hanging="403"/>
              <w:jc w:val="both"/>
              <w:rPr>
                <w:b/>
                <w:sz w:val="20"/>
              </w:rPr>
            </w:pPr>
            <w:r>
              <w:rPr>
                <w:b/>
                <w:w w:val="95"/>
                <w:sz w:val="20"/>
              </w:rPr>
              <w:t>嗜酸细胞性筋膜炎；</w:t>
            </w:r>
          </w:p>
          <w:p>
            <w:pPr>
              <w:pStyle w:val="TableParagraph"/>
              <w:numPr>
                <w:ilvl w:val="0"/>
                <w:numId w:val="37"/>
              </w:numPr>
              <w:tabs>
                <w:tab w:pos="512" w:val="left" w:leader="none"/>
              </w:tabs>
              <w:spacing w:line="240" w:lineRule="auto" w:before="50" w:after="0"/>
              <w:ind w:left="511" w:right="0" w:hanging="403"/>
              <w:jc w:val="both"/>
              <w:rPr>
                <w:b/>
                <w:sz w:val="20"/>
              </w:rPr>
            </w:pPr>
            <w:r>
              <w:rPr>
                <w:b/>
                <w:sz w:val="20"/>
              </w:rPr>
              <w:t>CREST</w:t>
            </w:r>
            <w:r>
              <w:rPr>
                <w:b/>
                <w:spacing w:val="-12"/>
                <w:sz w:val="20"/>
              </w:rPr>
              <w:t> 综合征。</w:t>
            </w:r>
          </w:p>
        </w:tc>
      </w:tr>
      <w:tr>
        <w:trPr>
          <w:trHeight w:val="669" w:hRule="atLeast"/>
        </w:trPr>
        <w:tc>
          <w:tcPr>
            <w:tcW w:w="1860" w:type="dxa"/>
          </w:tcPr>
          <w:p>
            <w:pPr>
              <w:pStyle w:val="TableParagraph"/>
              <w:spacing w:before="3"/>
              <w:ind w:left="107"/>
              <w:rPr>
                <w:sz w:val="20"/>
              </w:rPr>
            </w:pPr>
            <w:r>
              <w:rPr>
                <w:w w:val="95"/>
                <w:sz w:val="20"/>
              </w:rPr>
              <w:t>32.严重克隆病</w:t>
            </w:r>
          </w:p>
        </w:tc>
        <w:tc>
          <w:tcPr>
            <w:tcW w:w="7933" w:type="dxa"/>
          </w:tcPr>
          <w:p>
            <w:pPr>
              <w:pStyle w:val="TableParagraph"/>
              <w:spacing w:line="285" w:lineRule="auto" w:before="3"/>
              <w:ind w:right="103"/>
              <w:rPr>
                <w:sz w:val="20"/>
              </w:rPr>
            </w:pPr>
            <w:r>
              <w:rPr>
                <w:spacing w:val="-5"/>
                <w:w w:val="95"/>
                <w:sz w:val="20"/>
              </w:rPr>
              <w:t>克隆病是一种慢性肉芽肿性肠炎，具有特征性的克隆病病理组织学变化。诊断必须由病理   检查结果证实。被保险人所患的克隆病必须已经造成瘘管形成并伴有肠梗阻或肠穿孔。</w:t>
            </w:r>
          </w:p>
        </w:tc>
      </w:tr>
      <w:tr>
        <w:trPr>
          <w:trHeight w:val="981" w:hRule="atLeast"/>
        </w:trPr>
        <w:tc>
          <w:tcPr>
            <w:tcW w:w="1860" w:type="dxa"/>
          </w:tcPr>
          <w:p>
            <w:pPr>
              <w:pStyle w:val="TableParagraph"/>
              <w:spacing w:line="285" w:lineRule="auto" w:before="6"/>
              <w:ind w:left="107" w:right="74"/>
              <w:rPr>
                <w:sz w:val="20"/>
              </w:rPr>
            </w:pPr>
            <w:r>
              <w:rPr>
                <w:sz w:val="20"/>
              </w:rPr>
              <w:t>33. 严重溃疡性结</w:t>
            </w:r>
            <w:r>
              <w:rPr>
                <w:w w:val="95"/>
                <w:sz w:val="20"/>
              </w:rPr>
              <w:t>肠炎</w:t>
            </w:r>
          </w:p>
        </w:tc>
        <w:tc>
          <w:tcPr>
            <w:tcW w:w="7933" w:type="dxa"/>
          </w:tcPr>
          <w:p>
            <w:pPr>
              <w:pStyle w:val="TableParagraph"/>
              <w:spacing w:line="285" w:lineRule="auto" w:before="6"/>
              <w:ind w:right="103"/>
              <w:jc w:val="both"/>
              <w:rPr>
                <w:sz w:val="20"/>
              </w:rPr>
            </w:pPr>
            <w:r>
              <w:rPr>
                <w:spacing w:val="-4"/>
                <w:w w:val="95"/>
                <w:sz w:val="20"/>
              </w:rPr>
              <w:t>指伴有致命性电解质紊乱的急性暴发性溃疡性结肠炎，病变累及全结肠，表现为严重的血   </w:t>
            </w:r>
            <w:r>
              <w:rPr>
                <w:spacing w:val="-10"/>
                <w:w w:val="95"/>
                <w:sz w:val="20"/>
              </w:rPr>
              <w:t>便和系统性症状体征，治疗通常采取全结肠切除和回肠造瘘术。溃疡性结肠炎必须根据组   织病理学特点诊断，并且被保险人已经接受了结肠切除和回肠造瘘术。</w:t>
            </w:r>
          </w:p>
        </w:tc>
      </w:tr>
      <w:tr>
        <w:trPr>
          <w:trHeight w:val="983" w:hRule="atLeast"/>
        </w:trPr>
        <w:tc>
          <w:tcPr>
            <w:tcW w:w="1860" w:type="dxa"/>
          </w:tcPr>
          <w:p>
            <w:pPr>
              <w:pStyle w:val="TableParagraph"/>
              <w:spacing w:line="285" w:lineRule="auto" w:before="5"/>
              <w:ind w:left="107" w:right="74"/>
              <w:rPr>
                <w:sz w:val="20"/>
              </w:rPr>
            </w:pPr>
            <w:r>
              <w:rPr>
                <w:sz w:val="20"/>
              </w:rPr>
              <w:t>34. 急性坏死性胰</w:t>
            </w:r>
            <w:r>
              <w:rPr>
                <w:w w:val="95"/>
                <w:sz w:val="20"/>
              </w:rPr>
              <w:t>腺炎</w:t>
            </w:r>
          </w:p>
        </w:tc>
        <w:tc>
          <w:tcPr>
            <w:tcW w:w="7933" w:type="dxa"/>
          </w:tcPr>
          <w:p>
            <w:pPr>
              <w:pStyle w:val="TableParagraph"/>
              <w:spacing w:line="285" w:lineRule="auto" w:before="5"/>
              <w:ind w:right="104"/>
              <w:rPr>
                <w:sz w:val="20"/>
              </w:rPr>
            </w:pPr>
            <w:r>
              <w:rPr>
                <w:spacing w:val="-5"/>
                <w:w w:val="95"/>
                <w:sz w:val="20"/>
              </w:rPr>
              <w:t>指由专科医生确诊为急性出血坏死性胰腺炎，并已经接受了外科开腹手术治疗，以进行坏   死组织清除、坏死病灶切除或胰腺切除。</w:t>
            </w:r>
          </w:p>
          <w:p>
            <w:pPr>
              <w:pStyle w:val="TableParagraph"/>
              <w:spacing w:before="11"/>
              <w:rPr>
                <w:b/>
                <w:sz w:val="20"/>
              </w:rPr>
            </w:pPr>
            <w:r>
              <w:rPr>
                <w:b/>
                <w:w w:val="95"/>
                <w:sz w:val="20"/>
              </w:rPr>
              <w:t>因饮酒所致的急性出血坏死性胰腺炎或经腹腔镜手术进行的治疗不在保障范围内。</w:t>
            </w:r>
          </w:p>
        </w:tc>
      </w:tr>
      <w:tr>
        <w:trPr>
          <w:trHeight w:val="357" w:hRule="atLeast"/>
        </w:trPr>
        <w:tc>
          <w:tcPr>
            <w:tcW w:w="1860" w:type="dxa"/>
          </w:tcPr>
          <w:p>
            <w:pPr>
              <w:pStyle w:val="TableParagraph"/>
              <w:spacing w:before="3"/>
              <w:ind w:left="107"/>
              <w:rPr>
                <w:sz w:val="20"/>
              </w:rPr>
            </w:pPr>
            <w:r>
              <w:rPr>
                <w:sz w:val="20"/>
              </w:rPr>
              <w:t>35. 慢性复发性胰</w:t>
            </w:r>
          </w:p>
        </w:tc>
        <w:tc>
          <w:tcPr>
            <w:tcW w:w="7933" w:type="dxa"/>
          </w:tcPr>
          <w:p>
            <w:pPr>
              <w:pStyle w:val="TableParagraph"/>
              <w:spacing w:before="3"/>
              <w:ind w:left="237" w:right="233"/>
              <w:jc w:val="center"/>
              <w:rPr>
                <w:sz w:val="20"/>
              </w:rPr>
            </w:pPr>
            <w:r>
              <w:rPr>
                <w:w w:val="95"/>
                <w:sz w:val="20"/>
              </w:rPr>
              <w:t>胰腺炎反复发作超过三次以上并导致胰腺功能紊乱和营养不良，且已持续接受酶替代治疗</w:t>
            </w:r>
          </w:p>
        </w:tc>
      </w:tr>
    </w:tbl>
    <w:p>
      <w:pPr>
        <w:spacing w:after="0"/>
        <w:jc w:val="center"/>
        <w:rPr>
          <w:sz w:val="20"/>
        </w:rPr>
        <w:sectPr>
          <w:pgSz w:w="11910" w:h="16840"/>
          <w:pgMar w:header="0" w:footer="831" w:top="1120" w:bottom="1020" w:left="1000" w:right="880"/>
        </w:sectPr>
      </w:pPr>
    </w:p>
    <w:tbl>
      <w:tblPr>
        <w:tblW w:w="0" w:type="auto"/>
        <w:jc w:val="left"/>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60"/>
        <w:gridCol w:w="7933"/>
      </w:tblGrid>
      <w:tr>
        <w:trPr>
          <w:trHeight w:val="369" w:hRule="atLeast"/>
        </w:trPr>
        <w:tc>
          <w:tcPr>
            <w:tcW w:w="1860" w:type="dxa"/>
            <w:shd w:val="clear" w:color="auto" w:fill="D7D7D7"/>
          </w:tcPr>
          <w:p>
            <w:pPr>
              <w:pStyle w:val="TableParagraph"/>
              <w:spacing w:before="15"/>
              <w:ind w:left="326"/>
              <w:rPr>
                <w:b/>
                <w:sz w:val="20"/>
              </w:rPr>
            </w:pPr>
            <w:r>
              <w:rPr>
                <w:b/>
                <w:w w:val="95"/>
                <w:sz w:val="20"/>
              </w:rPr>
              <w:t>重大疾病名称</w:t>
            </w:r>
          </w:p>
        </w:tc>
        <w:tc>
          <w:tcPr>
            <w:tcW w:w="7933" w:type="dxa"/>
            <w:shd w:val="clear" w:color="auto" w:fill="D7D7D7"/>
          </w:tcPr>
          <w:p>
            <w:pPr>
              <w:pStyle w:val="TableParagraph"/>
              <w:spacing w:before="15"/>
              <w:ind w:left="237" w:right="224"/>
              <w:jc w:val="center"/>
              <w:rPr>
                <w:b/>
                <w:sz w:val="20"/>
              </w:rPr>
            </w:pPr>
            <w:r>
              <w:rPr>
                <w:b/>
                <w:sz w:val="20"/>
              </w:rPr>
              <w:t>定义</w:t>
            </w:r>
          </w:p>
        </w:tc>
      </w:tr>
      <w:tr>
        <w:trPr>
          <w:trHeight w:val="669" w:hRule="atLeast"/>
        </w:trPr>
        <w:tc>
          <w:tcPr>
            <w:tcW w:w="1860" w:type="dxa"/>
          </w:tcPr>
          <w:p>
            <w:pPr>
              <w:pStyle w:val="TableParagraph"/>
              <w:spacing w:before="5"/>
              <w:ind w:left="107"/>
              <w:rPr>
                <w:sz w:val="20"/>
              </w:rPr>
            </w:pPr>
            <w:r>
              <w:rPr>
                <w:w w:val="95"/>
                <w:sz w:val="20"/>
              </w:rPr>
              <w:t>腺炎</w:t>
            </w:r>
          </w:p>
        </w:tc>
        <w:tc>
          <w:tcPr>
            <w:tcW w:w="7933" w:type="dxa"/>
          </w:tcPr>
          <w:p>
            <w:pPr>
              <w:pStyle w:val="TableParagraph"/>
              <w:spacing w:line="285" w:lineRule="auto" w:before="5"/>
              <w:ind w:right="466"/>
              <w:rPr>
                <w:b/>
                <w:sz w:val="20"/>
              </w:rPr>
            </w:pPr>
            <w:r>
              <w:rPr>
                <w:sz w:val="20"/>
              </w:rPr>
              <w:t>180</w:t>
            </w:r>
            <w:r>
              <w:rPr>
                <w:spacing w:val="-8"/>
                <w:sz w:val="20"/>
              </w:rPr>
              <w:t> 天以上。诊断必须有消化科专科医生确认并且有内窥镜逆行胰胆管造影所证实。</w:t>
            </w:r>
            <w:r>
              <w:rPr>
                <w:b/>
                <w:spacing w:val="-8"/>
                <w:w w:val="95"/>
                <w:sz w:val="20"/>
              </w:rPr>
              <w:t>因酒精所致的慢性复发性胰腺炎不在保障范围内。</w:t>
            </w:r>
          </w:p>
        </w:tc>
      </w:tr>
      <w:tr>
        <w:trPr>
          <w:trHeight w:val="2231" w:hRule="atLeast"/>
        </w:trPr>
        <w:tc>
          <w:tcPr>
            <w:tcW w:w="1860" w:type="dxa"/>
          </w:tcPr>
          <w:p>
            <w:pPr>
              <w:pStyle w:val="TableParagraph"/>
              <w:spacing w:line="285" w:lineRule="auto" w:before="5"/>
              <w:ind w:left="107" w:right="74"/>
              <w:rPr>
                <w:sz w:val="20"/>
              </w:rPr>
            </w:pPr>
            <w:r>
              <w:rPr>
                <w:sz w:val="20"/>
              </w:rPr>
              <w:t>36. 原发性硬化性</w:t>
            </w:r>
            <w:r>
              <w:rPr>
                <w:w w:val="95"/>
                <w:sz w:val="20"/>
              </w:rPr>
              <w:t>胆管炎</w:t>
            </w:r>
          </w:p>
        </w:tc>
        <w:tc>
          <w:tcPr>
            <w:tcW w:w="7933" w:type="dxa"/>
          </w:tcPr>
          <w:p>
            <w:pPr>
              <w:pStyle w:val="TableParagraph"/>
              <w:spacing w:line="285" w:lineRule="auto" w:before="5"/>
              <w:ind w:right="103"/>
              <w:jc w:val="both"/>
              <w:rPr>
                <w:sz w:val="20"/>
              </w:rPr>
            </w:pPr>
            <w:r>
              <w:rPr>
                <w:spacing w:val="-6"/>
                <w:w w:val="95"/>
                <w:sz w:val="20"/>
              </w:rPr>
              <w:t>指一种胆汁淤积综合征，其特征是肝内、肝外胆道因纤维化性炎症逐渐狭窄，并最终导致   </w:t>
            </w:r>
            <w:r>
              <w:rPr>
                <w:spacing w:val="-11"/>
                <w:w w:val="95"/>
                <w:sz w:val="20"/>
              </w:rPr>
              <w:t>完全阻塞而发展为肝硬化。本病须经内镜逆行胰胆管造影等影像学检查证实，并须满足下   列全部条件：</w:t>
            </w:r>
          </w:p>
          <w:p>
            <w:pPr>
              <w:pStyle w:val="TableParagraph"/>
              <w:spacing w:before="12"/>
              <w:jc w:val="both"/>
              <w:rPr>
                <w:sz w:val="20"/>
              </w:rPr>
            </w:pPr>
            <w:r>
              <w:rPr>
                <w:sz w:val="20"/>
              </w:rPr>
              <w:t>（1）总胆红素和直接胆红素同时升高，血清 ALP&gt;200U/L；</w:t>
            </w:r>
          </w:p>
          <w:p>
            <w:pPr>
              <w:pStyle w:val="TableParagraph"/>
              <w:spacing w:before="50"/>
              <w:jc w:val="both"/>
              <w:rPr>
                <w:sz w:val="20"/>
              </w:rPr>
            </w:pPr>
            <w:r>
              <w:rPr>
                <w:w w:val="95"/>
                <w:sz w:val="20"/>
              </w:rPr>
              <w:t>（2）持续性黄疸病史；</w:t>
            </w:r>
          </w:p>
          <w:p>
            <w:pPr>
              <w:pStyle w:val="TableParagraph"/>
              <w:spacing w:before="50"/>
              <w:jc w:val="both"/>
              <w:rPr>
                <w:sz w:val="20"/>
              </w:rPr>
            </w:pPr>
            <w:r>
              <w:rPr>
                <w:w w:val="95"/>
                <w:sz w:val="20"/>
              </w:rPr>
              <w:t>（3）出现胆汁性肝硬化或门脉高压。</w:t>
            </w:r>
          </w:p>
          <w:p>
            <w:pPr>
              <w:pStyle w:val="TableParagraph"/>
              <w:spacing w:before="50"/>
              <w:jc w:val="both"/>
              <w:rPr>
                <w:b/>
                <w:sz w:val="20"/>
              </w:rPr>
            </w:pPr>
            <w:r>
              <w:rPr>
                <w:b/>
                <w:w w:val="95"/>
                <w:sz w:val="20"/>
              </w:rPr>
              <w:t>因肿瘤或胆管损伤等继发性的硬化性胆管炎不在保障范围内。</w:t>
            </w:r>
          </w:p>
        </w:tc>
      </w:tr>
      <w:tr>
        <w:trPr>
          <w:trHeight w:val="1605" w:hRule="atLeast"/>
        </w:trPr>
        <w:tc>
          <w:tcPr>
            <w:tcW w:w="1860" w:type="dxa"/>
          </w:tcPr>
          <w:p>
            <w:pPr>
              <w:pStyle w:val="TableParagraph"/>
              <w:spacing w:before="3"/>
              <w:ind w:left="107"/>
              <w:rPr>
                <w:sz w:val="20"/>
              </w:rPr>
            </w:pPr>
            <w:r>
              <w:rPr>
                <w:w w:val="95"/>
                <w:sz w:val="20"/>
              </w:rPr>
              <w:t>37.坏死性筋膜炎</w:t>
            </w:r>
          </w:p>
        </w:tc>
        <w:tc>
          <w:tcPr>
            <w:tcW w:w="7933" w:type="dxa"/>
          </w:tcPr>
          <w:p>
            <w:pPr>
              <w:pStyle w:val="TableParagraph"/>
              <w:spacing w:before="3"/>
              <w:rPr>
                <w:sz w:val="20"/>
              </w:rPr>
            </w:pPr>
            <w:r>
              <w:rPr>
                <w:w w:val="95"/>
                <w:sz w:val="20"/>
              </w:rPr>
              <w:t>坏死性筋膜炎的诊断须同时符合下列要求：</w:t>
            </w:r>
          </w:p>
          <w:p>
            <w:pPr>
              <w:pStyle w:val="TableParagraph"/>
              <w:spacing w:before="50"/>
              <w:rPr>
                <w:sz w:val="20"/>
              </w:rPr>
            </w:pPr>
            <w:r>
              <w:rPr>
                <w:w w:val="95"/>
                <w:sz w:val="20"/>
              </w:rPr>
              <w:t>（1）符合坏死性筋膜炎的一般临床表现；</w:t>
            </w:r>
          </w:p>
          <w:p>
            <w:pPr>
              <w:pStyle w:val="TableParagraph"/>
              <w:spacing w:before="50"/>
              <w:rPr>
                <w:sz w:val="20"/>
              </w:rPr>
            </w:pPr>
            <w:r>
              <w:rPr>
                <w:w w:val="95"/>
                <w:sz w:val="20"/>
              </w:rPr>
              <w:t>（2）细菌培养检出致病菌；</w:t>
            </w:r>
          </w:p>
          <w:p>
            <w:pPr>
              <w:pStyle w:val="TableParagraph"/>
              <w:spacing w:line="285" w:lineRule="auto" w:before="50"/>
              <w:ind w:right="118"/>
              <w:rPr>
                <w:b/>
                <w:sz w:val="20"/>
              </w:rPr>
            </w:pPr>
            <w:r>
              <w:rPr>
                <w:w w:val="95"/>
                <w:sz w:val="20"/>
              </w:rPr>
              <w:t>（3）出现广泛性肌肉及组织坏死，并确实实施了坏死组织和筋膜以及肌肉的切除手术。   </w:t>
            </w:r>
            <w:r>
              <w:rPr>
                <w:b/>
                <w:w w:val="95"/>
                <w:sz w:val="20"/>
              </w:rPr>
              <w:t>清创术不在保障范围内。</w:t>
            </w:r>
          </w:p>
        </w:tc>
      </w:tr>
      <w:tr>
        <w:trPr>
          <w:trHeight w:val="2229" w:hRule="atLeast"/>
        </w:trPr>
        <w:tc>
          <w:tcPr>
            <w:tcW w:w="1860" w:type="dxa"/>
          </w:tcPr>
          <w:p>
            <w:pPr>
              <w:pStyle w:val="TableParagraph"/>
              <w:spacing w:line="285" w:lineRule="auto" w:before="5"/>
              <w:ind w:left="107" w:right="74"/>
              <w:rPr>
                <w:sz w:val="20"/>
              </w:rPr>
            </w:pPr>
            <w:r>
              <w:rPr>
                <w:sz w:val="20"/>
              </w:rPr>
              <w:t>38. 慢性肾上腺皮</w:t>
            </w:r>
            <w:r>
              <w:rPr>
                <w:w w:val="95"/>
                <w:sz w:val="20"/>
              </w:rPr>
              <w:t>质功能衰竭</w:t>
            </w:r>
          </w:p>
        </w:tc>
        <w:tc>
          <w:tcPr>
            <w:tcW w:w="7933" w:type="dxa"/>
          </w:tcPr>
          <w:p>
            <w:pPr>
              <w:pStyle w:val="TableParagraph"/>
              <w:spacing w:line="285" w:lineRule="auto" w:before="5"/>
              <w:ind w:right="104"/>
              <w:rPr>
                <w:sz w:val="20"/>
              </w:rPr>
            </w:pPr>
            <w:r>
              <w:rPr>
                <w:spacing w:val="-6"/>
                <w:w w:val="95"/>
                <w:sz w:val="20"/>
              </w:rPr>
              <w:t>因为自身免疫功能紊乱，使肾上腺组织逐渐受损，而需要长期接受糖皮质激素及肾上腺皮   质激素替代疗法。该病必须经内分泌专科医生确诊，并有以下报告作为证据：</w:t>
            </w:r>
          </w:p>
          <w:p>
            <w:pPr>
              <w:pStyle w:val="TableParagraph"/>
              <w:spacing w:before="12"/>
              <w:rPr>
                <w:sz w:val="20"/>
              </w:rPr>
            </w:pPr>
            <w:r>
              <w:rPr>
                <w:w w:val="95"/>
                <w:sz w:val="20"/>
              </w:rPr>
              <w:t>（1）促肾上腺皮质激素(ACTH)刺激试验；</w:t>
            </w:r>
          </w:p>
          <w:p>
            <w:pPr>
              <w:pStyle w:val="TableParagraph"/>
              <w:spacing w:before="50"/>
              <w:rPr>
                <w:sz w:val="20"/>
              </w:rPr>
            </w:pPr>
            <w:r>
              <w:rPr>
                <w:w w:val="95"/>
                <w:sz w:val="20"/>
              </w:rPr>
              <w:t>（2）胰岛素血糖减少测试；</w:t>
            </w:r>
          </w:p>
          <w:p>
            <w:pPr>
              <w:pStyle w:val="TableParagraph"/>
              <w:spacing w:before="50"/>
              <w:rPr>
                <w:sz w:val="20"/>
              </w:rPr>
            </w:pPr>
            <w:r>
              <w:rPr>
                <w:w w:val="95"/>
                <w:sz w:val="20"/>
              </w:rPr>
              <w:t>（3）血浆促肾上腺皮质激素(ACTH)水平测定；</w:t>
            </w:r>
          </w:p>
          <w:p>
            <w:pPr>
              <w:pStyle w:val="TableParagraph"/>
              <w:spacing w:before="50"/>
              <w:rPr>
                <w:sz w:val="20"/>
              </w:rPr>
            </w:pPr>
            <w:r>
              <w:rPr>
                <w:w w:val="95"/>
                <w:sz w:val="20"/>
              </w:rPr>
              <w:t>（4）血浆肾素活性(PRA)测定</w:t>
            </w:r>
          </w:p>
          <w:p>
            <w:pPr>
              <w:pStyle w:val="TableParagraph"/>
              <w:spacing w:before="50"/>
              <w:rPr>
                <w:b/>
                <w:sz w:val="20"/>
              </w:rPr>
            </w:pPr>
            <w:r>
              <w:rPr>
                <w:b/>
                <w:w w:val="95"/>
                <w:sz w:val="20"/>
              </w:rPr>
              <w:t>非由自身免疫功能紊乱引起的慢性肾上腺皮质功能衰竭不在保障范围内。</w:t>
            </w:r>
          </w:p>
        </w:tc>
      </w:tr>
      <w:tr>
        <w:trPr>
          <w:trHeight w:val="1920" w:hRule="atLeast"/>
        </w:trPr>
        <w:tc>
          <w:tcPr>
            <w:tcW w:w="1860" w:type="dxa"/>
          </w:tcPr>
          <w:p>
            <w:pPr>
              <w:pStyle w:val="TableParagraph"/>
              <w:spacing w:line="285" w:lineRule="auto" w:before="5"/>
              <w:ind w:left="107" w:right="74"/>
              <w:rPr>
                <w:sz w:val="20"/>
              </w:rPr>
            </w:pPr>
            <w:r>
              <w:rPr>
                <w:sz w:val="20"/>
              </w:rPr>
              <w:t>39. 慢性呼吸功能</w:t>
            </w:r>
            <w:r>
              <w:rPr>
                <w:w w:val="95"/>
                <w:sz w:val="20"/>
              </w:rPr>
              <w:t>衰竭</w:t>
            </w:r>
          </w:p>
        </w:tc>
        <w:tc>
          <w:tcPr>
            <w:tcW w:w="7933" w:type="dxa"/>
          </w:tcPr>
          <w:p>
            <w:pPr>
              <w:pStyle w:val="TableParagraph"/>
              <w:spacing w:line="285" w:lineRule="auto" w:before="5"/>
              <w:ind w:right="101"/>
              <w:rPr>
                <w:sz w:val="20"/>
              </w:rPr>
            </w:pPr>
            <w:r>
              <w:rPr>
                <w:spacing w:val="-4"/>
                <w:w w:val="95"/>
                <w:sz w:val="20"/>
              </w:rPr>
              <w:t>慢性肺部疾病导致永久不可逆性的慢性呼吸功能衰竭，必须由呼吸专科医师确认并符合下   列所有条件：</w:t>
            </w:r>
          </w:p>
          <w:p>
            <w:pPr>
              <w:pStyle w:val="TableParagraph"/>
              <w:spacing w:before="12"/>
              <w:rPr>
                <w:sz w:val="20"/>
              </w:rPr>
            </w:pPr>
            <w:r>
              <w:rPr>
                <w:w w:val="95"/>
                <w:sz w:val="20"/>
              </w:rPr>
              <w:t>（1）休息时出现呼吸困难；</w:t>
            </w:r>
          </w:p>
          <w:p>
            <w:pPr>
              <w:pStyle w:val="TableParagraph"/>
              <w:spacing w:before="50"/>
              <w:rPr>
                <w:sz w:val="20"/>
              </w:rPr>
            </w:pPr>
            <w:r>
              <w:rPr>
                <w:position w:val="1"/>
                <w:sz w:val="20"/>
              </w:rPr>
              <w:t>（2）动脉氧分压 （PaO</w:t>
            </w:r>
            <w:r>
              <w:rPr>
                <w:sz w:val="10"/>
              </w:rPr>
              <w:t>2</w:t>
            </w:r>
            <w:r>
              <w:rPr>
                <w:position w:val="1"/>
                <w:sz w:val="20"/>
              </w:rPr>
              <w:t>）&lt; 50mmHg；</w:t>
            </w:r>
          </w:p>
          <w:p>
            <w:pPr>
              <w:pStyle w:val="TableParagraph"/>
              <w:spacing w:before="50"/>
              <w:rPr>
                <w:sz w:val="20"/>
              </w:rPr>
            </w:pPr>
            <w:r>
              <w:rPr>
                <w:position w:val="1"/>
                <w:sz w:val="20"/>
              </w:rPr>
              <w:t>（3）动脉血氧饱和度 （SaO</w:t>
            </w:r>
            <w:r>
              <w:rPr>
                <w:sz w:val="10"/>
              </w:rPr>
              <w:t>2</w:t>
            </w:r>
            <w:r>
              <w:rPr>
                <w:position w:val="1"/>
                <w:sz w:val="20"/>
              </w:rPr>
              <w:t>）&lt; 80％；</w:t>
            </w:r>
          </w:p>
          <w:p>
            <w:pPr>
              <w:pStyle w:val="TableParagraph"/>
              <w:spacing w:before="51"/>
              <w:rPr>
                <w:sz w:val="20"/>
              </w:rPr>
            </w:pPr>
            <w:r>
              <w:rPr>
                <w:w w:val="95"/>
                <w:sz w:val="20"/>
              </w:rPr>
              <w:t>（4）因缺氧必须接受持续的输氧治疗。</w:t>
            </w:r>
          </w:p>
        </w:tc>
      </w:tr>
      <w:tr>
        <w:trPr>
          <w:trHeight w:val="981" w:hRule="atLeast"/>
        </w:trPr>
        <w:tc>
          <w:tcPr>
            <w:tcW w:w="1860" w:type="dxa"/>
          </w:tcPr>
          <w:p>
            <w:pPr>
              <w:pStyle w:val="TableParagraph"/>
              <w:spacing w:before="3"/>
              <w:ind w:left="107"/>
              <w:rPr>
                <w:sz w:val="20"/>
              </w:rPr>
            </w:pPr>
            <w:r>
              <w:rPr>
                <w:w w:val="95"/>
                <w:sz w:val="20"/>
              </w:rPr>
              <w:t>40.象皮病</w:t>
            </w:r>
          </w:p>
        </w:tc>
        <w:tc>
          <w:tcPr>
            <w:tcW w:w="7933" w:type="dxa"/>
          </w:tcPr>
          <w:p>
            <w:pPr>
              <w:pStyle w:val="TableParagraph"/>
              <w:spacing w:line="285" w:lineRule="auto" w:before="3"/>
              <w:ind w:right="103"/>
              <w:jc w:val="both"/>
              <w:rPr>
                <w:sz w:val="20"/>
              </w:rPr>
            </w:pPr>
            <w:r>
              <w:rPr>
                <w:spacing w:val="-9"/>
                <w:w w:val="95"/>
                <w:sz w:val="20"/>
              </w:rPr>
              <w:t>指末期丝虫病，按国际淋巴学会分级为三度淋巴液肿，其临床表现为肢体非凹陷性水肿伴   </w:t>
            </w:r>
            <w:r>
              <w:rPr>
                <w:spacing w:val="-12"/>
                <w:w w:val="95"/>
                <w:sz w:val="20"/>
              </w:rPr>
              <w:t>畸形增大、硬皮症和疣状增生。此病症须经专科医生根据临床表现和微丝蚴的化验结果确   诊。</w:t>
            </w:r>
          </w:p>
        </w:tc>
      </w:tr>
      <w:tr>
        <w:trPr>
          <w:trHeight w:val="1605" w:hRule="atLeast"/>
        </w:trPr>
        <w:tc>
          <w:tcPr>
            <w:tcW w:w="1860" w:type="dxa"/>
          </w:tcPr>
          <w:p>
            <w:pPr>
              <w:pStyle w:val="TableParagraph"/>
              <w:spacing w:line="285" w:lineRule="auto" w:before="5"/>
              <w:ind w:left="107" w:right="74"/>
              <w:rPr>
                <w:sz w:val="20"/>
              </w:rPr>
            </w:pPr>
            <w:r>
              <w:rPr>
                <w:sz w:val="20"/>
              </w:rPr>
              <w:t>41. 全身性重症肌</w:t>
            </w:r>
            <w:r>
              <w:rPr>
                <w:w w:val="95"/>
                <w:sz w:val="20"/>
              </w:rPr>
              <w:t>无力</w:t>
            </w:r>
          </w:p>
        </w:tc>
        <w:tc>
          <w:tcPr>
            <w:tcW w:w="7933" w:type="dxa"/>
          </w:tcPr>
          <w:p>
            <w:pPr>
              <w:pStyle w:val="TableParagraph"/>
              <w:spacing w:line="285" w:lineRule="auto" w:before="5"/>
              <w:ind w:right="103"/>
              <w:jc w:val="both"/>
              <w:rPr>
                <w:sz w:val="20"/>
              </w:rPr>
            </w:pPr>
            <w:r>
              <w:rPr>
                <w:spacing w:val="-4"/>
                <w:w w:val="95"/>
                <w:sz w:val="20"/>
              </w:rPr>
              <w:t>重症肌无力是一种神经肌肉接头传递障碍所致的疾病，表现为局部或全身骨骼肌</w:t>
            </w:r>
            <w:r>
              <w:rPr>
                <w:w w:val="95"/>
                <w:sz w:val="20"/>
              </w:rPr>
              <w:t>（特别是   眼外肌</w:t>
            </w:r>
            <w:r>
              <w:rPr>
                <w:spacing w:val="-22"/>
                <w:w w:val="95"/>
                <w:sz w:val="20"/>
              </w:rPr>
              <w:t>）</w:t>
            </w:r>
            <w:r>
              <w:rPr>
                <w:spacing w:val="-7"/>
                <w:w w:val="95"/>
                <w:sz w:val="20"/>
              </w:rPr>
              <w:t>极易疲劳。疾病可以累及呼吸肌、上肢或下肢的近端肌群或全身肌肉，必须满足   下列全部条件：</w:t>
            </w:r>
          </w:p>
          <w:p>
            <w:pPr>
              <w:pStyle w:val="TableParagraph"/>
              <w:spacing w:before="12"/>
              <w:jc w:val="both"/>
              <w:rPr>
                <w:sz w:val="20"/>
              </w:rPr>
            </w:pPr>
            <w:r>
              <w:rPr>
                <w:w w:val="95"/>
                <w:sz w:val="20"/>
              </w:rPr>
              <w:t>（1）经药物治疗和胸腺切除治疗一年以上仍无法控制病情；</w:t>
            </w:r>
          </w:p>
          <w:p>
            <w:pPr>
              <w:pStyle w:val="TableParagraph"/>
              <w:spacing w:before="50"/>
              <w:jc w:val="both"/>
              <w:rPr>
                <w:sz w:val="20"/>
              </w:rPr>
            </w:pPr>
            <w:r>
              <w:rPr>
                <w:w w:val="95"/>
                <w:sz w:val="20"/>
              </w:rPr>
              <w:t>（2）自主生活能力完全丧失，无法独立完成六项基本日常生活活动中的三项或三项以上。</w:t>
            </w:r>
          </w:p>
        </w:tc>
      </w:tr>
      <w:tr>
        <w:trPr>
          <w:trHeight w:val="2232" w:hRule="atLeast"/>
        </w:trPr>
        <w:tc>
          <w:tcPr>
            <w:tcW w:w="1860" w:type="dxa"/>
          </w:tcPr>
          <w:p>
            <w:pPr>
              <w:pStyle w:val="TableParagraph"/>
              <w:spacing w:before="5"/>
              <w:ind w:left="107"/>
              <w:rPr>
                <w:sz w:val="20"/>
              </w:rPr>
            </w:pPr>
            <w:r>
              <w:rPr>
                <w:w w:val="95"/>
                <w:sz w:val="20"/>
              </w:rPr>
              <w:t>42.疯牛病</w:t>
            </w:r>
          </w:p>
        </w:tc>
        <w:tc>
          <w:tcPr>
            <w:tcW w:w="7933" w:type="dxa"/>
          </w:tcPr>
          <w:p>
            <w:pPr>
              <w:pStyle w:val="TableParagraph"/>
              <w:spacing w:before="5"/>
              <w:rPr>
                <w:sz w:val="20"/>
              </w:rPr>
            </w:pPr>
            <w:r>
              <w:rPr>
                <w:w w:val="95"/>
                <w:sz w:val="20"/>
              </w:rPr>
              <w:t>神经系统疾病及致命的成胶质状脑病，并有以下症状：</w:t>
            </w:r>
          </w:p>
          <w:p>
            <w:pPr>
              <w:pStyle w:val="TableParagraph"/>
              <w:spacing w:before="50"/>
              <w:rPr>
                <w:sz w:val="20"/>
              </w:rPr>
            </w:pPr>
            <w:r>
              <w:rPr>
                <w:w w:val="95"/>
                <w:sz w:val="20"/>
              </w:rPr>
              <w:t>（1）不能控制的肌肉痉挛及震颤；</w:t>
            </w:r>
          </w:p>
          <w:p>
            <w:pPr>
              <w:pStyle w:val="TableParagraph"/>
              <w:spacing w:before="50"/>
              <w:rPr>
                <w:sz w:val="20"/>
              </w:rPr>
            </w:pPr>
            <w:r>
              <w:rPr>
                <w:w w:val="95"/>
                <w:sz w:val="20"/>
              </w:rPr>
              <w:t>（2）逐渐痴呆；</w:t>
            </w:r>
          </w:p>
          <w:p>
            <w:pPr>
              <w:pStyle w:val="TableParagraph"/>
              <w:spacing w:before="50"/>
              <w:rPr>
                <w:sz w:val="20"/>
              </w:rPr>
            </w:pPr>
            <w:r>
              <w:rPr>
                <w:w w:val="95"/>
                <w:sz w:val="20"/>
              </w:rPr>
              <w:t>（3）小脑功能不良，共济失调；</w:t>
            </w:r>
          </w:p>
          <w:p>
            <w:pPr>
              <w:pStyle w:val="TableParagraph"/>
              <w:spacing w:before="50"/>
              <w:rPr>
                <w:sz w:val="20"/>
              </w:rPr>
            </w:pPr>
            <w:r>
              <w:rPr>
                <w:w w:val="95"/>
                <w:sz w:val="20"/>
              </w:rPr>
              <w:t>（4）手足徐动症。</w:t>
            </w:r>
          </w:p>
          <w:p>
            <w:pPr>
              <w:pStyle w:val="TableParagraph"/>
              <w:spacing w:before="50"/>
              <w:rPr>
                <w:sz w:val="20"/>
              </w:rPr>
            </w:pPr>
            <w:r>
              <w:rPr>
                <w:w w:val="95"/>
                <w:sz w:val="20"/>
              </w:rPr>
              <w:t>诊断必须由神经科专科医生基于以下检查报告作出：脑电图、脑脊液报告、电脑断层扫描</w:t>
            </w:r>
          </w:p>
          <w:p>
            <w:pPr>
              <w:pStyle w:val="TableParagraph"/>
              <w:spacing w:before="49"/>
              <w:rPr>
                <w:sz w:val="20"/>
              </w:rPr>
            </w:pPr>
            <w:r>
              <w:rPr>
                <w:sz w:val="20"/>
              </w:rPr>
              <w:t>(CT)及核磁共振(MRI)。</w:t>
            </w:r>
          </w:p>
        </w:tc>
      </w:tr>
      <w:tr>
        <w:trPr>
          <w:trHeight w:val="357" w:hRule="atLeast"/>
        </w:trPr>
        <w:tc>
          <w:tcPr>
            <w:tcW w:w="1860" w:type="dxa"/>
          </w:tcPr>
          <w:p>
            <w:pPr>
              <w:pStyle w:val="TableParagraph"/>
              <w:spacing w:before="3"/>
              <w:ind w:left="107"/>
              <w:rPr>
                <w:sz w:val="20"/>
              </w:rPr>
            </w:pPr>
            <w:r>
              <w:rPr>
                <w:sz w:val="20"/>
              </w:rPr>
              <w:t>43. 严重类风湿性</w:t>
            </w:r>
          </w:p>
        </w:tc>
        <w:tc>
          <w:tcPr>
            <w:tcW w:w="7933" w:type="dxa"/>
          </w:tcPr>
          <w:p>
            <w:pPr>
              <w:pStyle w:val="TableParagraph"/>
              <w:spacing w:before="3"/>
              <w:ind w:left="236" w:right="234"/>
              <w:jc w:val="center"/>
              <w:rPr>
                <w:sz w:val="20"/>
              </w:rPr>
            </w:pPr>
            <w:r>
              <w:rPr>
                <w:w w:val="95"/>
                <w:sz w:val="20"/>
              </w:rPr>
              <w:t>类风湿性关节炎为广泛分布的慢性进行性多关节病变，表现为关节严重变形，侵犯至少三</w:t>
            </w:r>
          </w:p>
        </w:tc>
      </w:tr>
    </w:tbl>
    <w:p>
      <w:pPr>
        <w:spacing w:after="0"/>
        <w:jc w:val="center"/>
        <w:rPr>
          <w:sz w:val="20"/>
        </w:rPr>
        <w:sectPr>
          <w:pgSz w:w="11910" w:h="16840"/>
          <w:pgMar w:header="0" w:footer="831" w:top="1120" w:bottom="1020" w:left="1000" w:right="880"/>
        </w:sectPr>
      </w:pPr>
    </w:p>
    <w:tbl>
      <w:tblPr>
        <w:tblW w:w="0" w:type="auto"/>
        <w:jc w:val="left"/>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60"/>
        <w:gridCol w:w="7933"/>
      </w:tblGrid>
      <w:tr>
        <w:trPr>
          <w:trHeight w:val="369" w:hRule="atLeast"/>
        </w:trPr>
        <w:tc>
          <w:tcPr>
            <w:tcW w:w="1860" w:type="dxa"/>
            <w:shd w:val="clear" w:color="auto" w:fill="D7D7D7"/>
          </w:tcPr>
          <w:p>
            <w:pPr>
              <w:pStyle w:val="TableParagraph"/>
              <w:spacing w:before="15"/>
              <w:ind w:left="326"/>
              <w:rPr>
                <w:b/>
                <w:sz w:val="20"/>
              </w:rPr>
            </w:pPr>
            <w:r>
              <w:rPr>
                <w:b/>
                <w:w w:val="95"/>
                <w:sz w:val="20"/>
              </w:rPr>
              <w:t>重大疾病名称</w:t>
            </w:r>
          </w:p>
        </w:tc>
        <w:tc>
          <w:tcPr>
            <w:tcW w:w="7933" w:type="dxa"/>
            <w:shd w:val="clear" w:color="auto" w:fill="D7D7D7"/>
          </w:tcPr>
          <w:p>
            <w:pPr>
              <w:pStyle w:val="TableParagraph"/>
              <w:spacing w:before="15"/>
              <w:ind w:left="237" w:right="224"/>
              <w:jc w:val="center"/>
              <w:rPr>
                <w:b/>
                <w:sz w:val="20"/>
              </w:rPr>
            </w:pPr>
            <w:r>
              <w:rPr>
                <w:b/>
                <w:sz w:val="20"/>
              </w:rPr>
              <w:t>定义</w:t>
            </w:r>
          </w:p>
        </w:tc>
      </w:tr>
      <w:tr>
        <w:trPr>
          <w:trHeight w:val="2853" w:hRule="atLeast"/>
        </w:trPr>
        <w:tc>
          <w:tcPr>
            <w:tcW w:w="1860" w:type="dxa"/>
          </w:tcPr>
          <w:p>
            <w:pPr>
              <w:pStyle w:val="TableParagraph"/>
              <w:spacing w:before="5"/>
              <w:ind w:left="107"/>
              <w:rPr>
                <w:sz w:val="20"/>
              </w:rPr>
            </w:pPr>
            <w:r>
              <w:rPr>
                <w:w w:val="95"/>
                <w:sz w:val="20"/>
              </w:rPr>
              <w:t>关节炎</w:t>
            </w:r>
          </w:p>
        </w:tc>
        <w:tc>
          <w:tcPr>
            <w:tcW w:w="7933" w:type="dxa"/>
          </w:tcPr>
          <w:p>
            <w:pPr>
              <w:pStyle w:val="TableParagraph"/>
              <w:spacing w:line="285" w:lineRule="auto" w:before="5"/>
              <w:ind w:right="98"/>
              <w:jc w:val="both"/>
              <w:rPr>
                <w:sz w:val="20"/>
              </w:rPr>
            </w:pPr>
            <w:r>
              <w:rPr>
                <w:spacing w:val="-6"/>
                <w:w w:val="95"/>
                <w:sz w:val="20"/>
              </w:rPr>
              <w:t>个主要关节或关节组，如双手(多手指)关节、双足(多足趾)关节、双腕关节、双膝关节和   </w:t>
            </w:r>
            <w:r>
              <w:rPr>
                <w:spacing w:val="-11"/>
                <w:w w:val="95"/>
                <w:sz w:val="20"/>
              </w:rPr>
              <w:t>双髋关节。被保险人所患的类风湿性关节炎必须已经达到类风湿性关节炎功能分级Ⅲ级以   </w:t>
            </w:r>
            <w:r>
              <w:rPr>
                <w:spacing w:val="-14"/>
                <w:w w:val="95"/>
                <w:sz w:val="20"/>
              </w:rPr>
              <w:t>上的功能障碍</w:t>
            </w:r>
            <w:r>
              <w:rPr>
                <w:w w:val="95"/>
                <w:sz w:val="20"/>
              </w:rPr>
              <w:t>（</w:t>
            </w:r>
            <w:r>
              <w:rPr>
                <w:spacing w:val="-4"/>
                <w:w w:val="95"/>
                <w:sz w:val="20"/>
              </w:rPr>
              <w:t>关节活动严重限制，不能完成大部分的日常工作和活动</w:t>
            </w:r>
            <w:r>
              <w:rPr>
                <w:spacing w:val="-29"/>
                <w:w w:val="95"/>
                <w:sz w:val="20"/>
              </w:rPr>
              <w:t>）</w:t>
            </w:r>
            <w:r>
              <w:rPr>
                <w:w w:val="95"/>
                <w:sz w:val="20"/>
              </w:rPr>
              <w:t>并须满足下列全   部条件：</w:t>
            </w:r>
          </w:p>
          <w:p>
            <w:pPr>
              <w:pStyle w:val="TableParagraph"/>
              <w:spacing w:before="12"/>
              <w:jc w:val="both"/>
              <w:rPr>
                <w:sz w:val="20"/>
              </w:rPr>
            </w:pPr>
            <w:r>
              <w:rPr>
                <w:w w:val="95"/>
                <w:sz w:val="20"/>
              </w:rPr>
              <w:t>（1）晨僵；</w:t>
            </w:r>
          </w:p>
          <w:p>
            <w:pPr>
              <w:pStyle w:val="TableParagraph"/>
              <w:spacing w:before="50"/>
              <w:jc w:val="both"/>
              <w:rPr>
                <w:sz w:val="20"/>
              </w:rPr>
            </w:pPr>
            <w:r>
              <w:rPr>
                <w:w w:val="95"/>
                <w:sz w:val="20"/>
              </w:rPr>
              <w:t>（2）对称性关节炎；</w:t>
            </w:r>
          </w:p>
          <w:p>
            <w:pPr>
              <w:pStyle w:val="TableParagraph"/>
              <w:spacing w:before="50"/>
              <w:jc w:val="both"/>
              <w:rPr>
                <w:sz w:val="20"/>
              </w:rPr>
            </w:pPr>
            <w:r>
              <w:rPr>
                <w:w w:val="95"/>
                <w:sz w:val="20"/>
              </w:rPr>
              <w:t>（3）类风湿性皮下结节；</w:t>
            </w:r>
          </w:p>
          <w:p>
            <w:pPr>
              <w:pStyle w:val="TableParagraph"/>
              <w:spacing w:before="50"/>
              <w:jc w:val="both"/>
              <w:rPr>
                <w:sz w:val="20"/>
              </w:rPr>
            </w:pPr>
            <w:r>
              <w:rPr>
                <w:w w:val="95"/>
                <w:sz w:val="20"/>
              </w:rPr>
              <w:t>（4）类风湿因子滴度升高；</w:t>
            </w:r>
          </w:p>
          <w:p>
            <w:pPr>
              <w:pStyle w:val="TableParagraph"/>
              <w:spacing w:before="50"/>
              <w:jc w:val="both"/>
              <w:rPr>
                <w:sz w:val="20"/>
              </w:rPr>
            </w:pPr>
            <w:r>
              <w:rPr>
                <w:sz w:val="20"/>
              </w:rPr>
              <w:t>（5）X 线显示严重的关节(软骨和骨)破坏和关节畸形。</w:t>
            </w:r>
          </w:p>
        </w:tc>
      </w:tr>
      <w:tr>
        <w:trPr>
          <w:trHeight w:val="671" w:hRule="atLeast"/>
        </w:trPr>
        <w:tc>
          <w:tcPr>
            <w:tcW w:w="1860" w:type="dxa"/>
          </w:tcPr>
          <w:p>
            <w:pPr>
              <w:pStyle w:val="TableParagraph"/>
              <w:spacing w:before="5"/>
              <w:ind w:left="107"/>
              <w:rPr>
                <w:sz w:val="20"/>
              </w:rPr>
            </w:pPr>
            <w:r>
              <w:rPr>
                <w:w w:val="95"/>
                <w:sz w:val="20"/>
              </w:rPr>
              <w:t>44.严重心肌炎</w:t>
            </w:r>
          </w:p>
        </w:tc>
        <w:tc>
          <w:tcPr>
            <w:tcW w:w="7933" w:type="dxa"/>
          </w:tcPr>
          <w:p>
            <w:pPr>
              <w:pStyle w:val="TableParagraph"/>
              <w:spacing w:line="285" w:lineRule="auto" w:before="5"/>
              <w:ind w:right="98"/>
              <w:rPr>
                <w:sz w:val="20"/>
              </w:rPr>
            </w:pPr>
            <w:r>
              <w:rPr>
                <w:spacing w:val="-5"/>
                <w:sz w:val="20"/>
              </w:rPr>
              <w:t>指心肌局限性或弥漫性的急性或慢性炎症病变， 导致心脏功能障碍， 达到美国纽约心脏</w:t>
            </w:r>
            <w:r>
              <w:rPr>
                <w:spacing w:val="-10"/>
                <w:sz w:val="20"/>
              </w:rPr>
              <w:t>病学会心功能状态分级 </w:t>
            </w:r>
            <w:r>
              <w:rPr>
                <w:sz w:val="20"/>
              </w:rPr>
              <w:t>IV</w:t>
            </w:r>
            <w:r>
              <w:rPr>
                <w:spacing w:val="-13"/>
                <w:sz w:val="20"/>
              </w:rPr>
              <w:t> 级，且持续至少 </w:t>
            </w:r>
            <w:r>
              <w:rPr>
                <w:sz w:val="20"/>
              </w:rPr>
              <w:t>90</w:t>
            </w:r>
            <w:r>
              <w:rPr>
                <w:spacing w:val="-1"/>
                <w:sz w:val="20"/>
              </w:rPr>
              <w:t> 天。</w:t>
            </w:r>
          </w:p>
        </w:tc>
      </w:tr>
      <w:tr>
        <w:trPr>
          <w:trHeight w:val="1293" w:hRule="atLeast"/>
        </w:trPr>
        <w:tc>
          <w:tcPr>
            <w:tcW w:w="1860" w:type="dxa"/>
          </w:tcPr>
          <w:p>
            <w:pPr>
              <w:pStyle w:val="TableParagraph"/>
              <w:spacing w:line="285" w:lineRule="auto" w:before="3"/>
              <w:ind w:left="107" w:right="74"/>
              <w:rPr>
                <w:sz w:val="20"/>
              </w:rPr>
            </w:pPr>
            <w:r>
              <w:rPr>
                <w:sz w:val="20"/>
              </w:rPr>
              <w:t>45. 严重肺源性心</w:t>
            </w:r>
            <w:r>
              <w:rPr>
                <w:w w:val="95"/>
                <w:sz w:val="20"/>
              </w:rPr>
              <w:t>脏病</w:t>
            </w:r>
          </w:p>
        </w:tc>
        <w:tc>
          <w:tcPr>
            <w:tcW w:w="7933" w:type="dxa"/>
          </w:tcPr>
          <w:p>
            <w:pPr>
              <w:pStyle w:val="TableParagraph"/>
              <w:spacing w:line="285" w:lineRule="auto" w:before="3"/>
              <w:ind w:right="98"/>
              <w:jc w:val="both"/>
              <w:rPr>
                <w:sz w:val="20"/>
              </w:rPr>
            </w:pPr>
            <w:r>
              <w:rPr>
                <w:spacing w:val="-3"/>
                <w:w w:val="95"/>
                <w:sz w:val="20"/>
              </w:rPr>
              <w:t>指被保险人因慢性肺部疾病导致慢性心功能损害造成永久不可逆性的心功能衰竭。心功能  </w:t>
            </w:r>
            <w:r>
              <w:rPr>
                <w:spacing w:val="-5"/>
                <w:sz w:val="20"/>
              </w:rPr>
              <w:t>衰竭程度达到纽约心脏病学会的心功能分级标准之心功能 </w:t>
            </w:r>
            <w:r>
              <w:rPr>
                <w:sz w:val="20"/>
              </w:rPr>
              <w:t>IV</w:t>
            </w:r>
            <w:r>
              <w:rPr>
                <w:spacing w:val="-7"/>
                <w:sz w:val="20"/>
              </w:rPr>
              <w:t> 级。被保险人永久不可逆性</w:t>
            </w:r>
            <w:r>
              <w:rPr>
                <w:spacing w:val="-12"/>
                <w:w w:val="95"/>
                <w:sz w:val="20"/>
              </w:rPr>
              <w:t>的体力活动能力受限，不能从事任何体力活动。本疾病的诊断及严重程度均须由本公司认   可的医院的呼吸专科医生确认。</w:t>
            </w:r>
          </w:p>
        </w:tc>
      </w:tr>
      <w:tr>
        <w:trPr>
          <w:trHeight w:val="1293" w:hRule="atLeast"/>
        </w:trPr>
        <w:tc>
          <w:tcPr>
            <w:tcW w:w="1860" w:type="dxa"/>
          </w:tcPr>
          <w:p>
            <w:pPr>
              <w:pStyle w:val="TableParagraph"/>
              <w:spacing w:before="5"/>
              <w:ind w:left="107"/>
              <w:rPr>
                <w:sz w:val="20"/>
              </w:rPr>
            </w:pPr>
            <w:r>
              <w:rPr>
                <w:w w:val="95"/>
                <w:sz w:val="20"/>
              </w:rPr>
              <w:t>46.植物人状态</w:t>
            </w:r>
          </w:p>
        </w:tc>
        <w:tc>
          <w:tcPr>
            <w:tcW w:w="7933" w:type="dxa"/>
          </w:tcPr>
          <w:p>
            <w:pPr>
              <w:pStyle w:val="TableParagraph"/>
              <w:spacing w:line="285" w:lineRule="auto" w:before="5"/>
              <w:ind w:right="100"/>
              <w:jc w:val="both"/>
              <w:rPr>
                <w:sz w:val="20"/>
              </w:rPr>
            </w:pPr>
            <w:r>
              <w:rPr>
                <w:spacing w:val="-3"/>
                <w:w w:val="95"/>
                <w:sz w:val="20"/>
              </w:rPr>
              <w:t>植物人状态是指由于严重脑外伤造成大脑严重损害导致对自身和环境的意识完全丧失，仅   </w:t>
            </w:r>
            <w:r>
              <w:rPr>
                <w:spacing w:val="-7"/>
                <w:w w:val="95"/>
                <w:sz w:val="20"/>
              </w:rPr>
              <w:t>残存植物神经功能的疾病状态。诊断必须明确并且具有严重颅脑外伤和脑损害的证据。植   </w:t>
            </w:r>
            <w:r>
              <w:rPr>
                <w:spacing w:val="-13"/>
                <w:sz w:val="20"/>
              </w:rPr>
              <w:t>物人状态必须持续 </w:t>
            </w:r>
            <w:r>
              <w:rPr>
                <w:sz w:val="20"/>
              </w:rPr>
              <w:t>30</w:t>
            </w:r>
            <w:r>
              <w:rPr>
                <w:spacing w:val="-8"/>
                <w:sz w:val="20"/>
              </w:rPr>
              <w:t> 天以上方可申请理赔。</w:t>
            </w:r>
          </w:p>
          <w:p>
            <w:pPr>
              <w:pStyle w:val="TableParagraph"/>
              <w:spacing w:before="12"/>
              <w:jc w:val="both"/>
              <w:rPr>
                <w:b/>
                <w:sz w:val="20"/>
              </w:rPr>
            </w:pPr>
            <w:r>
              <w:rPr>
                <w:b/>
                <w:w w:val="95"/>
                <w:sz w:val="20"/>
              </w:rPr>
              <w:t>由于酗酒或滥用药物所致的植物人状态不在保障范围内。</w:t>
            </w:r>
          </w:p>
        </w:tc>
      </w:tr>
      <w:tr>
        <w:trPr>
          <w:trHeight w:val="1919" w:hRule="atLeast"/>
        </w:trPr>
        <w:tc>
          <w:tcPr>
            <w:tcW w:w="1860" w:type="dxa"/>
          </w:tcPr>
          <w:p>
            <w:pPr>
              <w:pStyle w:val="TableParagraph"/>
              <w:spacing w:line="285" w:lineRule="auto" w:before="5"/>
              <w:ind w:left="107" w:right="74"/>
              <w:rPr>
                <w:sz w:val="20"/>
              </w:rPr>
            </w:pPr>
            <w:r>
              <w:rPr>
                <w:sz w:val="20"/>
              </w:rPr>
              <w:t>47. 非阿尔茨海默</w:t>
            </w:r>
            <w:r>
              <w:rPr>
                <w:w w:val="95"/>
                <w:sz w:val="20"/>
              </w:rPr>
              <w:t>病所致严重痴呆</w:t>
            </w:r>
          </w:p>
        </w:tc>
        <w:tc>
          <w:tcPr>
            <w:tcW w:w="7933" w:type="dxa"/>
          </w:tcPr>
          <w:p>
            <w:pPr>
              <w:pStyle w:val="TableParagraph"/>
              <w:spacing w:line="285" w:lineRule="auto" w:before="5"/>
              <w:ind w:right="17"/>
              <w:rPr>
                <w:sz w:val="20"/>
              </w:rPr>
            </w:pPr>
            <w:r>
              <w:rPr>
                <w:w w:val="95"/>
                <w:sz w:val="20"/>
              </w:rPr>
              <w:t>指因阿尔茨海默病以外的脑的器质性疾病造成脑功能衰竭导致永久不可逆性的严重痴呆，  </w:t>
            </w:r>
            <w:r>
              <w:rPr>
                <w:spacing w:val="-5"/>
                <w:sz w:val="20"/>
              </w:rPr>
              <w:t>临床表现为明显的认知能力障碍、行为异常和社交能力减退。被保险人自主生活能力完全</w:t>
            </w:r>
            <w:r>
              <w:rPr>
                <w:spacing w:val="-10"/>
                <w:sz w:val="20"/>
              </w:rPr>
              <w:t>丧失，无法独立完成六项基本日常生活活动中的三项或三项以上，日常生活必须持续受到</w:t>
            </w:r>
            <w:r>
              <w:rPr>
                <w:spacing w:val="-12"/>
                <w:sz w:val="20"/>
              </w:rPr>
              <w:t>他人监护。导致痴呆的疾病必须明确诊断，并且由完整的临床、实验室和影像学检查结果</w:t>
            </w:r>
            <w:r>
              <w:rPr>
                <w:spacing w:val="-12"/>
                <w:w w:val="95"/>
                <w:sz w:val="20"/>
              </w:rPr>
              <w:t>证实。</w:t>
            </w:r>
          </w:p>
          <w:p>
            <w:pPr>
              <w:pStyle w:val="TableParagraph"/>
              <w:spacing w:before="12"/>
              <w:rPr>
                <w:b/>
                <w:sz w:val="20"/>
              </w:rPr>
            </w:pPr>
            <w:r>
              <w:rPr>
                <w:b/>
                <w:w w:val="95"/>
                <w:sz w:val="20"/>
              </w:rPr>
              <w:t>神经官能症，精神疾病及酒精中毒所致脑损害不在保障范围内。</w:t>
            </w:r>
          </w:p>
        </w:tc>
      </w:tr>
      <w:tr>
        <w:trPr>
          <w:trHeight w:val="669" w:hRule="atLeast"/>
        </w:trPr>
        <w:tc>
          <w:tcPr>
            <w:tcW w:w="1860" w:type="dxa"/>
          </w:tcPr>
          <w:p>
            <w:pPr>
              <w:pStyle w:val="TableParagraph"/>
              <w:spacing w:line="285" w:lineRule="auto" w:before="3"/>
              <w:ind w:left="107" w:right="242"/>
              <w:rPr>
                <w:sz w:val="20"/>
              </w:rPr>
            </w:pPr>
            <w:r>
              <w:rPr>
                <w:w w:val="95"/>
                <w:sz w:val="20"/>
              </w:rPr>
              <w:t>48.埃博拉病毒感</w:t>
            </w:r>
            <w:r>
              <w:rPr>
                <w:sz w:val="20"/>
              </w:rPr>
              <w:t>染</w:t>
            </w:r>
          </w:p>
        </w:tc>
        <w:tc>
          <w:tcPr>
            <w:tcW w:w="7933" w:type="dxa"/>
          </w:tcPr>
          <w:p>
            <w:pPr>
              <w:pStyle w:val="TableParagraph"/>
              <w:spacing w:line="285" w:lineRule="auto" w:before="3"/>
              <w:ind w:right="104"/>
              <w:rPr>
                <w:sz w:val="20"/>
              </w:rPr>
            </w:pPr>
            <w:r>
              <w:rPr>
                <w:spacing w:val="-5"/>
                <w:w w:val="95"/>
                <w:sz w:val="20"/>
              </w:rPr>
              <w:t>受埃博拉病毒感染导致出血性发热。埃博拉病必须经传染病专家确诊，并且埃博拉病毒的   存在必须经过实验室检查证实。该病必须从症状开始后三十天后持续出现并发症。</w:t>
            </w:r>
          </w:p>
        </w:tc>
      </w:tr>
      <w:tr>
        <w:trPr>
          <w:trHeight w:val="669" w:hRule="atLeast"/>
        </w:trPr>
        <w:tc>
          <w:tcPr>
            <w:tcW w:w="1860" w:type="dxa"/>
          </w:tcPr>
          <w:p>
            <w:pPr>
              <w:pStyle w:val="TableParagraph"/>
              <w:spacing w:before="5"/>
              <w:ind w:left="107"/>
              <w:rPr>
                <w:sz w:val="20"/>
              </w:rPr>
            </w:pPr>
            <w:r>
              <w:rPr>
                <w:w w:val="95"/>
                <w:sz w:val="20"/>
              </w:rPr>
              <w:t>49.胰腺移植</w:t>
            </w:r>
          </w:p>
        </w:tc>
        <w:tc>
          <w:tcPr>
            <w:tcW w:w="7933" w:type="dxa"/>
          </w:tcPr>
          <w:p>
            <w:pPr>
              <w:pStyle w:val="TableParagraph"/>
              <w:spacing w:line="285" w:lineRule="auto" w:before="5"/>
              <w:ind w:right="816"/>
              <w:rPr>
                <w:b/>
                <w:sz w:val="20"/>
              </w:rPr>
            </w:pPr>
            <w:r>
              <w:rPr>
                <w:w w:val="95"/>
                <w:sz w:val="20"/>
              </w:rPr>
              <w:t>指因胰腺功能衰竭，已经实施了在全身麻醉下进行的胰腺的异体器官移植手术。  </w:t>
            </w:r>
            <w:r>
              <w:rPr>
                <w:b/>
                <w:w w:val="95"/>
                <w:sz w:val="20"/>
              </w:rPr>
              <w:t>单纯胰岛移植、部分胰腺组织或细胞的移植不在保障范围内。</w:t>
            </w:r>
          </w:p>
        </w:tc>
      </w:tr>
      <w:tr>
        <w:trPr>
          <w:trHeight w:val="2544" w:hRule="atLeast"/>
        </w:trPr>
        <w:tc>
          <w:tcPr>
            <w:tcW w:w="1860" w:type="dxa"/>
          </w:tcPr>
          <w:p>
            <w:pPr>
              <w:pStyle w:val="TableParagraph"/>
              <w:spacing w:line="285" w:lineRule="auto" w:before="5"/>
              <w:ind w:left="107" w:right="74"/>
              <w:rPr>
                <w:sz w:val="20"/>
              </w:rPr>
            </w:pPr>
            <w:r>
              <w:rPr>
                <w:sz w:val="20"/>
              </w:rPr>
              <w:t>50. 严重自身免疫</w:t>
            </w:r>
            <w:r>
              <w:rPr>
                <w:w w:val="95"/>
                <w:sz w:val="20"/>
              </w:rPr>
              <w:t>性肝炎</w:t>
            </w:r>
          </w:p>
        </w:tc>
        <w:tc>
          <w:tcPr>
            <w:tcW w:w="7933" w:type="dxa"/>
          </w:tcPr>
          <w:p>
            <w:pPr>
              <w:pStyle w:val="TableParagraph"/>
              <w:spacing w:line="285" w:lineRule="auto" w:before="5"/>
              <w:ind w:right="103"/>
              <w:jc w:val="both"/>
              <w:rPr>
                <w:sz w:val="20"/>
              </w:rPr>
            </w:pPr>
            <w:r>
              <w:rPr>
                <w:spacing w:val="-4"/>
                <w:w w:val="95"/>
                <w:sz w:val="20"/>
              </w:rPr>
              <w:t>自身免疫性肝炎是一种原因不明的慢性肝脏的坏死性炎性疾病，机体免疫机制被破坏，产   </w:t>
            </w:r>
            <w:r>
              <w:rPr>
                <w:spacing w:val="-8"/>
                <w:w w:val="95"/>
                <w:sz w:val="20"/>
              </w:rPr>
              <w:t>生针对肝脏自身抗原的抗体导致自身免疫反应，从而破坏肝细胞造成肝脏炎症坏死，进而   发展为肝硬化。必须满足所有以下条件：</w:t>
            </w:r>
          </w:p>
          <w:p>
            <w:pPr>
              <w:pStyle w:val="TableParagraph"/>
              <w:spacing w:before="12"/>
              <w:rPr>
                <w:sz w:val="20"/>
              </w:rPr>
            </w:pPr>
            <w:r>
              <w:rPr>
                <w:sz w:val="20"/>
              </w:rPr>
              <w:t>（1）高 </w:t>
            </w:r>
            <w:r>
              <w:rPr>
                <w:rFonts w:ascii="Arial" w:hAnsi="Arial" w:eastAsia="Arial"/>
                <w:sz w:val="20"/>
              </w:rPr>
              <w:t>γ  </w:t>
            </w:r>
            <w:r>
              <w:rPr>
                <w:sz w:val="20"/>
              </w:rPr>
              <w:t>球蛋白血症；</w:t>
            </w:r>
          </w:p>
          <w:p>
            <w:pPr>
              <w:pStyle w:val="TableParagraph"/>
              <w:spacing w:line="285" w:lineRule="auto" w:before="36"/>
              <w:ind w:right="7"/>
              <w:rPr>
                <w:sz w:val="20"/>
              </w:rPr>
            </w:pPr>
            <w:r>
              <w:rPr>
                <w:sz w:val="20"/>
              </w:rPr>
              <w:t>（2）血液中存在高水平的自身免疫抗体，如 ANA（抗核抗体）、SMA（抗平滑肌抗体）、抗 LKM1 抗体或抗-SLA/LP 抗体；</w:t>
            </w:r>
          </w:p>
          <w:p>
            <w:pPr>
              <w:pStyle w:val="TableParagraph"/>
              <w:spacing w:before="12"/>
              <w:jc w:val="both"/>
              <w:rPr>
                <w:sz w:val="20"/>
              </w:rPr>
            </w:pPr>
            <w:r>
              <w:rPr>
                <w:w w:val="95"/>
                <w:sz w:val="20"/>
              </w:rPr>
              <w:t>（3）肝脏活检证实免疫性肝炎；</w:t>
            </w:r>
          </w:p>
          <w:p>
            <w:pPr>
              <w:pStyle w:val="TableParagraph"/>
              <w:spacing w:before="50"/>
              <w:jc w:val="both"/>
              <w:rPr>
                <w:sz w:val="20"/>
              </w:rPr>
            </w:pPr>
            <w:r>
              <w:rPr>
                <w:w w:val="95"/>
                <w:sz w:val="20"/>
              </w:rPr>
              <w:t>（4）临床已经出现腹水、食道静脉曲张和脾肿大等肝硬化表现。</w:t>
            </w:r>
          </w:p>
        </w:tc>
      </w:tr>
      <w:tr>
        <w:trPr>
          <w:trHeight w:val="1293" w:hRule="atLeast"/>
        </w:trPr>
        <w:tc>
          <w:tcPr>
            <w:tcW w:w="1860" w:type="dxa"/>
          </w:tcPr>
          <w:p>
            <w:pPr>
              <w:pStyle w:val="TableParagraph"/>
              <w:spacing w:before="3"/>
              <w:ind w:left="107"/>
              <w:rPr>
                <w:sz w:val="20"/>
              </w:rPr>
            </w:pPr>
            <w:r>
              <w:rPr>
                <w:w w:val="95"/>
                <w:sz w:val="20"/>
              </w:rPr>
              <w:t>51.骨髓纤维化</w:t>
            </w:r>
          </w:p>
        </w:tc>
        <w:tc>
          <w:tcPr>
            <w:tcW w:w="7933" w:type="dxa"/>
          </w:tcPr>
          <w:p>
            <w:pPr>
              <w:pStyle w:val="TableParagraph"/>
              <w:spacing w:line="285" w:lineRule="auto" w:before="3"/>
              <w:ind w:right="101"/>
              <w:jc w:val="both"/>
              <w:rPr>
                <w:sz w:val="20"/>
              </w:rPr>
            </w:pPr>
            <w:r>
              <w:rPr>
                <w:sz w:val="20"/>
              </w:rPr>
              <w:t>一种因纤维组织取代正常骨髓从而导致贫血、白血球及血小板含量过低及脾脏肿大的疾</w:t>
            </w:r>
            <w:r>
              <w:rPr>
                <w:spacing w:val="-10"/>
                <w:w w:val="95"/>
                <w:sz w:val="20"/>
              </w:rPr>
              <w:t>病。申请理赔时，被保险人须已经接受输血治疗至少六个月，并且每个月至少一次。骨髓   </w:t>
            </w:r>
            <w:r>
              <w:rPr>
                <w:spacing w:val="-13"/>
                <w:w w:val="95"/>
                <w:sz w:val="20"/>
              </w:rPr>
              <w:t>纤维化的诊断必须由我们认可的医院的专科医师作出。理赔时需提供骨髓穿刺检查诊断报   告。</w:t>
            </w:r>
          </w:p>
        </w:tc>
      </w:tr>
      <w:tr>
        <w:trPr>
          <w:trHeight w:val="669" w:hRule="atLeast"/>
        </w:trPr>
        <w:tc>
          <w:tcPr>
            <w:tcW w:w="1860" w:type="dxa"/>
          </w:tcPr>
          <w:p>
            <w:pPr>
              <w:pStyle w:val="TableParagraph"/>
              <w:spacing w:line="285" w:lineRule="auto" w:before="5"/>
              <w:ind w:left="107" w:right="74"/>
              <w:rPr>
                <w:sz w:val="20"/>
              </w:rPr>
            </w:pPr>
            <w:r>
              <w:rPr>
                <w:sz w:val="20"/>
              </w:rPr>
              <w:t>52. 进行性核上性</w:t>
            </w:r>
            <w:r>
              <w:rPr>
                <w:w w:val="95"/>
                <w:sz w:val="20"/>
              </w:rPr>
              <w:t>麻痹</w:t>
            </w:r>
          </w:p>
        </w:tc>
        <w:tc>
          <w:tcPr>
            <w:tcW w:w="7933" w:type="dxa"/>
          </w:tcPr>
          <w:p>
            <w:pPr>
              <w:pStyle w:val="TableParagraph"/>
              <w:spacing w:line="285" w:lineRule="auto" w:before="5"/>
              <w:ind w:right="103"/>
              <w:rPr>
                <w:sz w:val="20"/>
              </w:rPr>
            </w:pPr>
            <w:r>
              <w:rPr>
                <w:spacing w:val="-9"/>
                <w:w w:val="95"/>
                <w:sz w:val="20"/>
              </w:rPr>
              <w:t>一种隐匿起病、逐渐加重的神经系统变性疾病。本疾病必须由本公司认可的医院的神经科   专科医生确诊，并须满足下列所有条件：</w:t>
            </w:r>
          </w:p>
        </w:tc>
      </w:tr>
    </w:tbl>
    <w:p>
      <w:pPr>
        <w:spacing w:after="0" w:line="285" w:lineRule="auto"/>
        <w:rPr>
          <w:sz w:val="20"/>
        </w:rPr>
        <w:sectPr>
          <w:pgSz w:w="11910" w:h="16840"/>
          <w:pgMar w:header="0" w:footer="831" w:top="1120" w:bottom="1020" w:left="1000" w:right="880"/>
        </w:sectPr>
      </w:pPr>
    </w:p>
    <w:tbl>
      <w:tblPr>
        <w:tblW w:w="0" w:type="auto"/>
        <w:jc w:val="left"/>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60"/>
        <w:gridCol w:w="7933"/>
      </w:tblGrid>
      <w:tr>
        <w:trPr>
          <w:trHeight w:val="369" w:hRule="atLeast"/>
        </w:trPr>
        <w:tc>
          <w:tcPr>
            <w:tcW w:w="1860" w:type="dxa"/>
            <w:shd w:val="clear" w:color="auto" w:fill="D7D7D7"/>
          </w:tcPr>
          <w:p>
            <w:pPr>
              <w:pStyle w:val="TableParagraph"/>
              <w:spacing w:before="15"/>
              <w:ind w:left="326"/>
              <w:rPr>
                <w:b/>
                <w:sz w:val="20"/>
              </w:rPr>
            </w:pPr>
            <w:r>
              <w:rPr>
                <w:b/>
                <w:w w:val="95"/>
                <w:sz w:val="20"/>
              </w:rPr>
              <w:t>重大疾病名称</w:t>
            </w:r>
          </w:p>
        </w:tc>
        <w:tc>
          <w:tcPr>
            <w:tcW w:w="7933" w:type="dxa"/>
            <w:shd w:val="clear" w:color="auto" w:fill="D7D7D7"/>
          </w:tcPr>
          <w:p>
            <w:pPr>
              <w:pStyle w:val="TableParagraph"/>
              <w:spacing w:before="15"/>
              <w:ind w:left="237" w:right="224"/>
              <w:jc w:val="center"/>
              <w:rPr>
                <w:b/>
                <w:sz w:val="20"/>
              </w:rPr>
            </w:pPr>
            <w:r>
              <w:rPr>
                <w:b/>
                <w:sz w:val="20"/>
              </w:rPr>
              <w:t>定义</w:t>
            </w:r>
          </w:p>
        </w:tc>
      </w:tr>
      <w:tr>
        <w:trPr>
          <w:trHeight w:val="981" w:hRule="atLeast"/>
        </w:trPr>
        <w:tc>
          <w:tcPr>
            <w:tcW w:w="1860" w:type="dxa"/>
          </w:tcPr>
          <w:p>
            <w:pPr>
              <w:pStyle w:val="TableParagraph"/>
              <w:ind w:left="0"/>
              <w:rPr>
                <w:rFonts w:ascii="Times New Roman"/>
                <w:sz w:val="18"/>
              </w:rPr>
            </w:pPr>
          </w:p>
        </w:tc>
        <w:tc>
          <w:tcPr>
            <w:tcW w:w="7933" w:type="dxa"/>
          </w:tcPr>
          <w:p>
            <w:pPr>
              <w:pStyle w:val="TableParagraph"/>
              <w:numPr>
                <w:ilvl w:val="0"/>
                <w:numId w:val="38"/>
              </w:numPr>
              <w:tabs>
                <w:tab w:pos="709" w:val="left" w:leader="none"/>
              </w:tabs>
              <w:spacing w:line="240" w:lineRule="auto" w:before="5" w:after="0"/>
              <w:ind w:left="708" w:right="0" w:hanging="600"/>
              <w:jc w:val="left"/>
              <w:rPr>
                <w:sz w:val="20"/>
              </w:rPr>
            </w:pPr>
            <w:r>
              <w:rPr>
                <w:w w:val="95"/>
                <w:sz w:val="20"/>
              </w:rPr>
              <w:t>步态共济失调；</w:t>
            </w:r>
          </w:p>
          <w:p>
            <w:pPr>
              <w:pStyle w:val="TableParagraph"/>
              <w:numPr>
                <w:ilvl w:val="0"/>
                <w:numId w:val="38"/>
              </w:numPr>
              <w:tabs>
                <w:tab w:pos="709" w:val="left" w:leader="none"/>
              </w:tabs>
              <w:spacing w:line="240" w:lineRule="auto" w:before="50" w:after="0"/>
              <w:ind w:left="708" w:right="0" w:hanging="600"/>
              <w:jc w:val="left"/>
              <w:rPr>
                <w:sz w:val="20"/>
              </w:rPr>
            </w:pPr>
            <w:r>
              <w:rPr>
                <w:w w:val="95"/>
                <w:sz w:val="20"/>
              </w:rPr>
              <w:t>对称性眼球垂直运动障碍；</w:t>
            </w:r>
          </w:p>
          <w:p>
            <w:pPr>
              <w:pStyle w:val="TableParagraph"/>
              <w:numPr>
                <w:ilvl w:val="0"/>
                <w:numId w:val="38"/>
              </w:numPr>
              <w:tabs>
                <w:tab w:pos="709" w:val="left" w:leader="none"/>
              </w:tabs>
              <w:spacing w:line="240" w:lineRule="auto" w:before="50" w:after="0"/>
              <w:ind w:left="708" w:right="0" w:hanging="600"/>
              <w:jc w:val="left"/>
              <w:rPr>
                <w:sz w:val="20"/>
              </w:rPr>
            </w:pPr>
            <w:r>
              <w:rPr>
                <w:w w:val="95"/>
                <w:sz w:val="20"/>
              </w:rPr>
              <w:t>假性球麻痹，表现为构音障碍和吞咽困难。</w:t>
            </w:r>
          </w:p>
        </w:tc>
      </w:tr>
      <w:tr>
        <w:trPr>
          <w:trHeight w:val="2231" w:hRule="atLeast"/>
        </w:trPr>
        <w:tc>
          <w:tcPr>
            <w:tcW w:w="1860" w:type="dxa"/>
          </w:tcPr>
          <w:p>
            <w:pPr>
              <w:pStyle w:val="TableParagraph"/>
              <w:spacing w:line="285" w:lineRule="auto" w:before="5"/>
              <w:ind w:left="107" w:right="74"/>
              <w:rPr>
                <w:sz w:val="20"/>
              </w:rPr>
            </w:pPr>
            <w:r>
              <w:rPr>
                <w:sz w:val="20"/>
              </w:rPr>
              <w:t>53. 一肢及单眼缺失</w:t>
            </w:r>
          </w:p>
        </w:tc>
        <w:tc>
          <w:tcPr>
            <w:tcW w:w="7933" w:type="dxa"/>
          </w:tcPr>
          <w:p>
            <w:pPr>
              <w:pStyle w:val="TableParagraph"/>
              <w:spacing w:line="285" w:lineRule="auto" w:before="5"/>
              <w:ind w:right="103"/>
              <w:rPr>
                <w:sz w:val="20"/>
              </w:rPr>
            </w:pPr>
            <w:r>
              <w:rPr>
                <w:spacing w:val="-2"/>
                <w:w w:val="95"/>
                <w:sz w:val="20"/>
              </w:rPr>
              <w:t>因疾病或意外伤害导致单眼视力丧失及任何一肢自腕关节或踝关节近端</w:t>
            </w:r>
            <w:r>
              <w:rPr>
                <w:w w:val="95"/>
                <w:sz w:val="20"/>
              </w:rPr>
              <w:t>（靠近躯干端</w:t>
            </w:r>
            <w:r>
              <w:rPr>
                <w:spacing w:val="-44"/>
                <w:w w:val="95"/>
                <w:sz w:val="20"/>
              </w:rPr>
              <w:t>）</w:t>
            </w:r>
            <w:r>
              <w:rPr>
                <w:w w:val="95"/>
                <w:sz w:val="20"/>
              </w:rPr>
              <w:t>以   上完全性断离。</w:t>
            </w:r>
          </w:p>
          <w:p>
            <w:pPr>
              <w:pStyle w:val="TableParagraph"/>
              <w:spacing w:before="12"/>
              <w:rPr>
                <w:sz w:val="20"/>
              </w:rPr>
            </w:pPr>
            <w:r>
              <w:rPr>
                <w:w w:val="95"/>
                <w:sz w:val="20"/>
              </w:rPr>
              <w:t>单眼视力丧失指单眼视力永久不可逆性丧失，患眼须满足下列至少一项条件：</w:t>
            </w:r>
          </w:p>
          <w:p>
            <w:pPr>
              <w:pStyle w:val="TableParagraph"/>
              <w:spacing w:before="50"/>
              <w:rPr>
                <w:sz w:val="20"/>
              </w:rPr>
            </w:pPr>
            <w:r>
              <w:rPr>
                <w:w w:val="95"/>
                <w:sz w:val="20"/>
              </w:rPr>
              <w:t>（1）眼球缺失或摘除；</w:t>
            </w:r>
          </w:p>
          <w:p>
            <w:pPr>
              <w:pStyle w:val="TableParagraph"/>
              <w:spacing w:before="50"/>
              <w:rPr>
                <w:sz w:val="20"/>
              </w:rPr>
            </w:pPr>
            <w:r>
              <w:rPr>
                <w:sz w:val="20"/>
              </w:rPr>
              <w:t>（2）矫正视力低于 0.02（采用国际标准视力表，如果使用其它视力表应进行换算）；</w:t>
            </w:r>
          </w:p>
          <w:p>
            <w:pPr>
              <w:pStyle w:val="TableParagraph"/>
              <w:spacing w:before="50"/>
              <w:rPr>
                <w:sz w:val="20"/>
              </w:rPr>
            </w:pPr>
            <w:r>
              <w:rPr>
                <w:sz w:val="20"/>
              </w:rPr>
              <w:t>（3）视野半径小于 5 度。</w:t>
            </w:r>
          </w:p>
          <w:p>
            <w:pPr>
              <w:pStyle w:val="TableParagraph"/>
              <w:spacing w:before="50"/>
              <w:rPr>
                <w:b/>
                <w:sz w:val="20"/>
              </w:rPr>
            </w:pPr>
            <w:r>
              <w:rPr>
                <w:b/>
                <w:sz w:val="20"/>
              </w:rPr>
              <w:t>被保险人在 3 周岁之前因疾病导致单眼视力丧失不在保障范围内。</w:t>
            </w:r>
          </w:p>
        </w:tc>
      </w:tr>
      <w:tr>
        <w:trPr>
          <w:trHeight w:val="1605" w:hRule="atLeast"/>
        </w:trPr>
        <w:tc>
          <w:tcPr>
            <w:tcW w:w="1860" w:type="dxa"/>
          </w:tcPr>
          <w:p>
            <w:pPr>
              <w:pStyle w:val="TableParagraph"/>
              <w:spacing w:line="285" w:lineRule="auto" w:before="3"/>
              <w:ind w:left="107" w:right="74"/>
              <w:jc w:val="both"/>
              <w:rPr>
                <w:sz w:val="20"/>
              </w:rPr>
            </w:pPr>
            <w:r>
              <w:rPr>
                <w:sz w:val="20"/>
              </w:rPr>
              <w:t>54. 严重获得性或继发性肺泡蛋白质</w:t>
            </w:r>
            <w:r>
              <w:rPr>
                <w:w w:val="95"/>
                <w:sz w:val="20"/>
              </w:rPr>
              <w:t>沉积症</w:t>
            </w:r>
          </w:p>
        </w:tc>
        <w:tc>
          <w:tcPr>
            <w:tcW w:w="7933" w:type="dxa"/>
          </w:tcPr>
          <w:p>
            <w:pPr>
              <w:pStyle w:val="TableParagraph"/>
              <w:spacing w:line="285" w:lineRule="auto" w:before="3"/>
              <w:ind w:right="101"/>
              <w:rPr>
                <w:sz w:val="20"/>
              </w:rPr>
            </w:pPr>
            <w:r>
              <w:rPr>
                <w:spacing w:val="-3"/>
                <w:w w:val="95"/>
                <w:sz w:val="20"/>
              </w:rPr>
              <w:t>因获得性或继发性原因导致双肺肺泡和细支气管腔内充满不可溶性富磷脂蛋白的疾病。理   赔时须满足下列所有条件：</w:t>
            </w:r>
          </w:p>
          <w:p>
            <w:pPr>
              <w:pStyle w:val="TableParagraph"/>
              <w:spacing w:line="285" w:lineRule="auto" w:before="12"/>
              <w:ind w:right="100"/>
              <w:rPr>
                <w:sz w:val="20"/>
              </w:rPr>
            </w:pPr>
            <w:r>
              <w:rPr>
                <w:sz w:val="20"/>
              </w:rPr>
              <w:t>(1）支气管镜活检或开胸肺活检病理检查证实肺泡内充满有过碘酸雪夫（PAS）染色阳性</w:t>
            </w:r>
            <w:r>
              <w:rPr>
                <w:w w:val="95"/>
                <w:sz w:val="20"/>
              </w:rPr>
              <w:t>的蛋白样物质；</w:t>
            </w:r>
          </w:p>
          <w:p>
            <w:pPr>
              <w:pStyle w:val="TableParagraph"/>
              <w:spacing w:before="12"/>
              <w:rPr>
                <w:sz w:val="20"/>
              </w:rPr>
            </w:pPr>
            <w:r>
              <w:rPr>
                <w:w w:val="95"/>
                <w:sz w:val="20"/>
              </w:rPr>
              <w:t>(2）被保险人因中重度呼吸困难或低氧血症而实际已行全身麻醉下的全肺灌洗治疗。</w:t>
            </w:r>
          </w:p>
        </w:tc>
      </w:tr>
      <w:tr>
        <w:trPr>
          <w:trHeight w:val="1605" w:hRule="atLeast"/>
        </w:trPr>
        <w:tc>
          <w:tcPr>
            <w:tcW w:w="1860" w:type="dxa"/>
          </w:tcPr>
          <w:p>
            <w:pPr>
              <w:pStyle w:val="TableParagraph"/>
              <w:spacing w:line="285" w:lineRule="auto" w:before="5"/>
              <w:ind w:left="107" w:right="74"/>
              <w:rPr>
                <w:sz w:val="20"/>
              </w:rPr>
            </w:pPr>
            <w:r>
              <w:rPr>
                <w:sz w:val="20"/>
              </w:rPr>
              <w:t>55. 肺淋巴管肌瘤病</w:t>
            </w:r>
          </w:p>
        </w:tc>
        <w:tc>
          <w:tcPr>
            <w:tcW w:w="7933" w:type="dxa"/>
          </w:tcPr>
          <w:p>
            <w:pPr>
              <w:pStyle w:val="TableParagraph"/>
              <w:spacing w:line="285" w:lineRule="auto" w:before="5"/>
              <w:ind w:right="103"/>
              <w:rPr>
                <w:sz w:val="20"/>
              </w:rPr>
            </w:pPr>
            <w:r>
              <w:rPr>
                <w:spacing w:val="-4"/>
                <w:w w:val="95"/>
                <w:sz w:val="20"/>
              </w:rPr>
              <w:t>肺淋巴管肌瘤病是一种弥漫性肺部疾病，主要病理改变为肺间质、支气管、血管和淋巴管   内出现未成熟的平滑肌异常增生，同时需满足下列全部条件：</w:t>
            </w:r>
          </w:p>
          <w:p>
            <w:pPr>
              <w:pStyle w:val="TableParagraph"/>
              <w:spacing w:before="12"/>
              <w:rPr>
                <w:sz w:val="20"/>
              </w:rPr>
            </w:pPr>
            <w:r>
              <w:rPr>
                <w:w w:val="95"/>
                <w:sz w:val="20"/>
              </w:rPr>
              <w:t>(1）经组织病理学诊断；</w:t>
            </w:r>
          </w:p>
          <w:p>
            <w:pPr>
              <w:pStyle w:val="TableParagraph"/>
              <w:spacing w:before="50"/>
              <w:rPr>
                <w:sz w:val="20"/>
              </w:rPr>
            </w:pPr>
            <w:r>
              <w:rPr>
                <w:sz w:val="20"/>
              </w:rPr>
              <w:t>(2）CT 显示双肺弥漫性囊性改变；</w:t>
            </w:r>
          </w:p>
          <w:p>
            <w:pPr>
              <w:pStyle w:val="TableParagraph"/>
              <w:spacing w:before="50"/>
              <w:rPr>
                <w:sz w:val="20"/>
              </w:rPr>
            </w:pPr>
            <w:r>
              <w:rPr>
                <w:w w:val="95"/>
                <w:sz w:val="20"/>
              </w:rPr>
              <w:t>(3）休息时出现呼吸困难或经本公司认可医院的专科医生认可有必要进行肺移植手术。</w:t>
            </w:r>
          </w:p>
        </w:tc>
      </w:tr>
      <w:tr>
        <w:trPr>
          <w:trHeight w:val="1920" w:hRule="atLeast"/>
        </w:trPr>
        <w:tc>
          <w:tcPr>
            <w:tcW w:w="1860" w:type="dxa"/>
          </w:tcPr>
          <w:p>
            <w:pPr>
              <w:pStyle w:val="TableParagraph"/>
              <w:spacing w:line="285" w:lineRule="auto" w:before="5"/>
              <w:ind w:left="107" w:right="74"/>
              <w:rPr>
                <w:sz w:val="20"/>
              </w:rPr>
            </w:pPr>
            <w:r>
              <w:rPr>
                <w:sz w:val="20"/>
              </w:rPr>
              <w:t>56. 感染性心内膜炎</w:t>
            </w:r>
          </w:p>
        </w:tc>
        <w:tc>
          <w:tcPr>
            <w:tcW w:w="7933" w:type="dxa"/>
          </w:tcPr>
          <w:p>
            <w:pPr>
              <w:pStyle w:val="TableParagraph"/>
              <w:spacing w:before="5"/>
              <w:rPr>
                <w:sz w:val="20"/>
              </w:rPr>
            </w:pPr>
            <w:r>
              <w:rPr>
                <w:sz w:val="20"/>
              </w:rPr>
              <w:t>是指由感染性微生物导致的心脏内膜炎症，并须符合下</w:t>
            </w:r>
            <w:r>
              <w:rPr>
                <w:rFonts w:ascii="Arial" w:eastAsia="Arial"/>
                <w:w w:val="115"/>
                <w:sz w:val="20"/>
              </w:rPr>
              <w:t>列</w:t>
            </w:r>
            <w:r>
              <w:rPr>
                <w:sz w:val="20"/>
              </w:rPr>
              <w:t>所有条件：</w:t>
            </w:r>
          </w:p>
          <w:p>
            <w:pPr>
              <w:pStyle w:val="TableParagraph"/>
              <w:numPr>
                <w:ilvl w:val="0"/>
                <w:numId w:val="39"/>
              </w:numPr>
              <w:tabs>
                <w:tab w:pos="512" w:val="left" w:leader="none"/>
              </w:tabs>
              <w:spacing w:line="240" w:lineRule="auto" w:before="35" w:after="0"/>
              <w:ind w:left="108" w:right="0" w:firstLine="0"/>
              <w:jc w:val="left"/>
              <w:rPr>
                <w:sz w:val="20"/>
              </w:rPr>
            </w:pPr>
            <w:r>
              <w:rPr>
                <w:w w:val="95"/>
                <w:sz w:val="20"/>
              </w:rPr>
              <w:t>血液细菌培养结果呈阳性，证明感染性微生物的存在；</w:t>
            </w:r>
          </w:p>
          <w:p>
            <w:pPr>
              <w:pStyle w:val="TableParagraph"/>
              <w:numPr>
                <w:ilvl w:val="0"/>
                <w:numId w:val="39"/>
              </w:numPr>
              <w:tabs>
                <w:tab w:pos="512" w:val="left" w:leader="none"/>
              </w:tabs>
              <w:spacing w:line="271" w:lineRule="auto" w:before="49" w:after="0"/>
              <w:ind w:left="108" w:right="65" w:firstLine="0"/>
              <w:jc w:val="left"/>
              <w:rPr>
                <w:sz w:val="20"/>
              </w:rPr>
            </w:pPr>
            <w:r>
              <w:rPr>
                <w:sz w:val="20"/>
              </w:rPr>
              <w:t>感染性心内膜炎导致至少中度的心脏瓣膜关闭</w:t>
            </w:r>
            <w:r>
              <w:rPr>
                <w:rFonts w:ascii="Arial" w:eastAsia="Arial"/>
                <w:sz w:val="20"/>
              </w:rPr>
              <w:t>不</w:t>
            </w:r>
            <w:r>
              <w:rPr>
                <w:sz w:val="20"/>
              </w:rPr>
              <w:t>全（</w:t>
            </w:r>
            <w:r>
              <w:rPr>
                <w:spacing w:val="-1"/>
                <w:sz w:val="20"/>
              </w:rPr>
              <w:t>即返流部分面积达 </w:t>
            </w:r>
            <w:r>
              <w:rPr>
                <w:sz w:val="20"/>
              </w:rPr>
              <w:t>20%或以上</w:t>
            </w:r>
            <w:r>
              <w:rPr>
                <w:spacing w:val="-71"/>
                <w:sz w:val="20"/>
              </w:rPr>
              <w:t>） </w:t>
            </w:r>
            <w:r>
              <w:rPr>
                <w:sz w:val="20"/>
              </w:rPr>
              <w:t>或中度的心脏瓣膜狭窄（</w:t>
            </w:r>
            <w:r>
              <w:rPr>
                <w:spacing w:val="-5"/>
                <w:sz w:val="20"/>
              </w:rPr>
              <w:t>即心脏瓣膜面积为正常值的 </w:t>
            </w:r>
            <w:r>
              <w:rPr>
                <w:sz w:val="20"/>
              </w:rPr>
              <w:t>30%或以下）；</w:t>
            </w:r>
          </w:p>
          <w:p>
            <w:pPr>
              <w:pStyle w:val="TableParagraph"/>
              <w:numPr>
                <w:ilvl w:val="0"/>
                <w:numId w:val="39"/>
              </w:numPr>
              <w:tabs>
                <w:tab w:pos="514" w:val="left" w:leader="none"/>
              </w:tabs>
              <w:spacing w:line="285" w:lineRule="auto" w:before="24" w:after="0"/>
              <w:ind w:left="108" w:right="106" w:firstLine="0"/>
              <w:jc w:val="left"/>
              <w:rPr>
                <w:sz w:val="20"/>
              </w:rPr>
            </w:pPr>
            <w:r>
              <w:rPr>
                <w:sz w:val="20"/>
              </w:rPr>
              <w:t>感染性心内膜炎的诊断及瓣膜受损的严重程度必须由本公司认可医院的心脏病专科</w:t>
            </w:r>
            <w:r>
              <w:rPr>
                <w:w w:val="95"/>
                <w:sz w:val="20"/>
              </w:rPr>
              <w:t>医生确定，并提供超声心动图或放射影像学检查结果报告以支持诊断。</w:t>
            </w:r>
          </w:p>
        </w:tc>
      </w:tr>
      <w:tr>
        <w:trPr>
          <w:trHeight w:val="981" w:hRule="atLeast"/>
        </w:trPr>
        <w:tc>
          <w:tcPr>
            <w:tcW w:w="1860" w:type="dxa"/>
          </w:tcPr>
          <w:p>
            <w:pPr>
              <w:pStyle w:val="TableParagraph"/>
              <w:spacing w:before="3"/>
              <w:ind w:left="107"/>
              <w:rPr>
                <w:sz w:val="20"/>
              </w:rPr>
            </w:pPr>
            <w:r>
              <w:rPr>
                <w:sz w:val="20"/>
              </w:rPr>
              <w:t>57. 肝豆状核变性</w:t>
            </w:r>
          </w:p>
          <w:p>
            <w:pPr>
              <w:pStyle w:val="TableParagraph"/>
              <w:spacing w:before="50"/>
              <w:ind w:left="107"/>
              <w:rPr>
                <w:sz w:val="20"/>
              </w:rPr>
            </w:pPr>
            <w:r>
              <w:rPr>
                <w:w w:val="95"/>
                <w:sz w:val="20"/>
              </w:rPr>
              <w:t>（威尔逊氏病)</w:t>
            </w:r>
          </w:p>
        </w:tc>
        <w:tc>
          <w:tcPr>
            <w:tcW w:w="7933" w:type="dxa"/>
          </w:tcPr>
          <w:p>
            <w:pPr>
              <w:pStyle w:val="TableParagraph"/>
              <w:spacing w:line="285" w:lineRule="auto" w:before="3"/>
              <w:ind w:right="101"/>
              <w:jc w:val="both"/>
              <w:rPr>
                <w:sz w:val="20"/>
              </w:rPr>
            </w:pPr>
            <w:r>
              <w:rPr>
                <w:spacing w:val="-5"/>
                <w:w w:val="95"/>
                <w:sz w:val="20"/>
              </w:rPr>
              <w:t>威尔逊氏病是一种可能危及生命的铜代谢疾病，以铜沉积造成的渐进性肝功能损害及╱或   </w:t>
            </w:r>
            <w:r>
              <w:rPr>
                <w:spacing w:val="-11"/>
                <w:w w:val="95"/>
                <w:sz w:val="20"/>
              </w:rPr>
              <w:t>神经功能恶化为特征。必须由本公司认可医院的专科医生通过肝脏活组织检查结果确定诊  </w:t>
            </w:r>
            <w:r>
              <w:rPr>
                <w:spacing w:val="-14"/>
                <w:sz w:val="20"/>
              </w:rPr>
              <w:t>断并配合螯合剂治疗持续至少 </w:t>
            </w:r>
            <w:r>
              <w:rPr>
                <w:sz w:val="20"/>
              </w:rPr>
              <w:t>6</w:t>
            </w:r>
            <w:r>
              <w:rPr>
                <w:spacing w:val="-14"/>
                <w:sz w:val="20"/>
              </w:rPr>
              <w:t> 个月。</w:t>
            </w:r>
          </w:p>
        </w:tc>
      </w:tr>
      <w:tr>
        <w:trPr>
          <w:trHeight w:val="1293" w:hRule="atLeast"/>
        </w:trPr>
        <w:tc>
          <w:tcPr>
            <w:tcW w:w="1860" w:type="dxa"/>
          </w:tcPr>
          <w:p>
            <w:pPr>
              <w:pStyle w:val="TableParagraph"/>
              <w:spacing w:line="285" w:lineRule="auto" w:before="5"/>
              <w:ind w:left="107" w:right="74"/>
              <w:rPr>
                <w:sz w:val="20"/>
              </w:rPr>
            </w:pPr>
            <w:r>
              <w:rPr>
                <w:sz w:val="20"/>
              </w:rPr>
              <w:t>58. 破裂脑动脉瘤</w:t>
            </w:r>
            <w:r>
              <w:rPr>
                <w:w w:val="95"/>
                <w:sz w:val="20"/>
              </w:rPr>
              <w:t>夹闭手术</w:t>
            </w:r>
          </w:p>
        </w:tc>
        <w:tc>
          <w:tcPr>
            <w:tcW w:w="7933" w:type="dxa"/>
          </w:tcPr>
          <w:p>
            <w:pPr>
              <w:pStyle w:val="TableParagraph"/>
              <w:spacing w:line="285" w:lineRule="auto" w:before="5"/>
              <w:ind w:right="101"/>
              <w:rPr>
                <w:sz w:val="20"/>
              </w:rPr>
            </w:pPr>
            <w:r>
              <w:rPr>
                <w:spacing w:val="-5"/>
                <w:w w:val="95"/>
                <w:sz w:val="20"/>
              </w:rPr>
              <w:t>指因脑动脉瘤破裂造成蛛网膜下腔出血，被保险人实际接受了在全身麻醉下进行的开颅动   脉瘤夹闭手术。</w:t>
            </w:r>
          </w:p>
          <w:p>
            <w:pPr>
              <w:pStyle w:val="TableParagraph"/>
              <w:spacing w:line="285" w:lineRule="auto" w:before="12"/>
              <w:ind w:right="102"/>
              <w:rPr>
                <w:b/>
                <w:sz w:val="20"/>
              </w:rPr>
            </w:pPr>
            <w:r>
              <w:rPr>
                <w:b/>
                <w:sz w:val="20"/>
              </w:rPr>
              <w:t>脑动脉瘤（未破裂）预防性手术、颅骨打孔手术、动脉瘤栓塞手术、血管内手术及其他</w:t>
            </w:r>
            <w:r>
              <w:rPr>
                <w:b/>
                <w:w w:val="95"/>
                <w:sz w:val="20"/>
              </w:rPr>
              <w:t>颅脑手术不在保障范围内。</w:t>
            </w:r>
          </w:p>
        </w:tc>
      </w:tr>
      <w:tr>
        <w:trPr>
          <w:trHeight w:val="3480" w:hRule="atLeast"/>
        </w:trPr>
        <w:tc>
          <w:tcPr>
            <w:tcW w:w="1860" w:type="dxa"/>
          </w:tcPr>
          <w:p>
            <w:pPr>
              <w:pStyle w:val="TableParagraph"/>
              <w:spacing w:line="285" w:lineRule="auto" w:before="5"/>
              <w:ind w:left="107" w:right="74"/>
              <w:jc w:val="both"/>
              <w:rPr>
                <w:sz w:val="20"/>
              </w:rPr>
            </w:pPr>
            <w:r>
              <w:rPr>
                <w:sz w:val="20"/>
              </w:rPr>
              <w:t>59. 因职业关系导致的人类免疫缺陷</w:t>
            </w:r>
            <w:r>
              <w:rPr>
                <w:w w:val="95"/>
                <w:sz w:val="20"/>
              </w:rPr>
              <w:t>病毒感染</w:t>
            </w:r>
          </w:p>
        </w:tc>
        <w:tc>
          <w:tcPr>
            <w:tcW w:w="7933" w:type="dxa"/>
          </w:tcPr>
          <w:p>
            <w:pPr>
              <w:pStyle w:val="TableParagraph"/>
              <w:spacing w:line="285" w:lineRule="auto" w:before="5"/>
              <w:ind w:right="101"/>
              <w:rPr>
                <w:sz w:val="20"/>
              </w:rPr>
            </w:pPr>
            <w:r>
              <w:rPr>
                <w:spacing w:val="-5"/>
                <w:w w:val="95"/>
                <w:sz w:val="20"/>
              </w:rPr>
              <w:t>被保险人在其常规职业工作过程中遭遇外伤，或者职业需要处理血液或者其他体液时感染   人类免疫缺陷病毒（HIV）。</w:t>
            </w:r>
          </w:p>
          <w:p>
            <w:pPr>
              <w:pStyle w:val="TableParagraph"/>
              <w:spacing w:before="12"/>
              <w:rPr>
                <w:sz w:val="20"/>
              </w:rPr>
            </w:pPr>
            <w:r>
              <w:rPr>
                <w:w w:val="95"/>
                <w:sz w:val="20"/>
              </w:rPr>
              <w:t>必须满足下列全部条件：</w:t>
            </w:r>
          </w:p>
          <w:p>
            <w:pPr>
              <w:pStyle w:val="TableParagraph"/>
              <w:spacing w:line="285" w:lineRule="auto" w:before="51"/>
              <w:ind w:right="-15"/>
              <w:jc w:val="both"/>
              <w:rPr>
                <w:sz w:val="20"/>
              </w:rPr>
            </w:pPr>
            <w:r>
              <w:rPr>
                <w:spacing w:val="-15"/>
                <w:sz w:val="20"/>
              </w:rPr>
              <w:t>（1）</w:t>
            </w:r>
            <w:r>
              <w:rPr>
                <w:spacing w:val="-2"/>
                <w:sz w:val="20"/>
              </w:rPr>
              <w:t>感染必须是在被保险人正在从事其职业工作中发生，该职业必须属于以下职业之一： 医生和牙科医生、护士、医院化验室工作人员、医生助理和牙医助理、救护车工作人员、</w:t>
            </w:r>
            <w:r>
              <w:rPr>
                <w:spacing w:val="-2"/>
                <w:w w:val="95"/>
                <w:sz w:val="20"/>
              </w:rPr>
              <w:t>助产士、消防队员、警察、狱警；</w:t>
            </w:r>
          </w:p>
          <w:p>
            <w:pPr>
              <w:pStyle w:val="TableParagraph"/>
              <w:spacing w:before="12"/>
              <w:rPr>
                <w:sz w:val="20"/>
              </w:rPr>
            </w:pPr>
            <w:r>
              <w:rPr>
                <w:sz w:val="20"/>
              </w:rPr>
              <w:t>（2）血清转化必须出现在事故发生后的 6 个月以内；</w:t>
            </w:r>
          </w:p>
          <w:p>
            <w:pPr>
              <w:pStyle w:val="TableParagraph"/>
              <w:spacing w:line="285" w:lineRule="auto" w:before="50"/>
              <w:ind w:right="101"/>
              <w:rPr>
                <w:sz w:val="20"/>
              </w:rPr>
            </w:pPr>
            <w:r>
              <w:rPr>
                <w:sz w:val="20"/>
              </w:rPr>
              <w:t>（3）</w:t>
            </w:r>
            <w:r>
              <w:rPr>
                <w:spacing w:val="-3"/>
                <w:sz w:val="20"/>
              </w:rPr>
              <w:t>必须提供被保险人在所报事故发生后的 </w:t>
            </w:r>
            <w:r>
              <w:rPr>
                <w:sz w:val="20"/>
              </w:rPr>
              <w:t>5</w:t>
            </w:r>
            <w:r>
              <w:rPr>
                <w:spacing w:val="-7"/>
                <w:sz w:val="20"/>
              </w:rPr>
              <w:t> 天以内进行的检查报告，该报告必须显示</w:t>
            </w:r>
            <w:r>
              <w:rPr>
                <w:spacing w:val="-14"/>
                <w:sz w:val="20"/>
              </w:rPr>
              <w:t>被保险人血液 </w:t>
            </w:r>
            <w:r>
              <w:rPr>
                <w:sz w:val="20"/>
              </w:rPr>
              <w:t>HIV</w:t>
            </w:r>
            <w:r>
              <w:rPr>
                <w:spacing w:val="-10"/>
                <w:sz w:val="20"/>
              </w:rPr>
              <w:t> 病毒阴性和</w:t>
            </w:r>
            <w:r>
              <w:rPr>
                <w:sz w:val="20"/>
              </w:rPr>
              <w:t>/</w:t>
            </w:r>
            <w:r>
              <w:rPr>
                <w:spacing w:val="-26"/>
                <w:sz w:val="20"/>
              </w:rPr>
              <w:t>或 </w:t>
            </w:r>
            <w:r>
              <w:rPr>
                <w:sz w:val="20"/>
              </w:rPr>
              <w:t>HIV</w:t>
            </w:r>
            <w:r>
              <w:rPr>
                <w:spacing w:val="-10"/>
                <w:sz w:val="20"/>
              </w:rPr>
              <w:t> 抗体阴性；</w:t>
            </w:r>
          </w:p>
          <w:p>
            <w:pPr>
              <w:pStyle w:val="TableParagraph"/>
              <w:spacing w:before="12"/>
              <w:jc w:val="both"/>
              <w:rPr>
                <w:sz w:val="20"/>
              </w:rPr>
            </w:pPr>
            <w:r>
              <w:rPr>
                <w:sz w:val="20"/>
              </w:rPr>
              <w:t>（4）必须在事故发生后的 12 个月内证实被保险人体内存在 HIV 病毒或者 HIV 抗体。</w:t>
            </w:r>
          </w:p>
          <w:p>
            <w:pPr>
              <w:pStyle w:val="TableParagraph"/>
              <w:spacing w:before="50"/>
              <w:jc w:val="both"/>
              <w:rPr>
                <w:sz w:val="20"/>
              </w:rPr>
            </w:pPr>
            <w:r>
              <w:rPr>
                <w:spacing w:val="-2"/>
                <w:sz w:val="20"/>
              </w:rPr>
              <w:t>在任何治愈艾滋病</w:t>
            </w:r>
            <w:r>
              <w:rPr>
                <w:sz w:val="20"/>
              </w:rPr>
              <w:t>（AIDS）</w:t>
            </w:r>
            <w:r>
              <w:rPr>
                <w:spacing w:val="-14"/>
                <w:sz w:val="20"/>
              </w:rPr>
              <w:t>或阻止 </w:t>
            </w:r>
            <w:r>
              <w:rPr>
                <w:sz w:val="20"/>
              </w:rPr>
              <w:t>HIV</w:t>
            </w:r>
            <w:r>
              <w:rPr>
                <w:spacing w:val="-7"/>
                <w:sz w:val="20"/>
              </w:rPr>
              <w:t> 病毒作用的疗法被发现以后，或能防止 </w:t>
            </w:r>
            <w:r>
              <w:rPr>
                <w:sz w:val="20"/>
              </w:rPr>
              <w:t>AIDS</w:t>
            </w:r>
            <w:r>
              <w:rPr>
                <w:spacing w:val="-18"/>
                <w:sz w:val="20"/>
              </w:rPr>
              <w:t> 发生</w:t>
            </w:r>
          </w:p>
        </w:tc>
      </w:tr>
    </w:tbl>
    <w:p>
      <w:pPr>
        <w:spacing w:after="0"/>
        <w:jc w:val="both"/>
        <w:rPr>
          <w:sz w:val="20"/>
        </w:rPr>
        <w:sectPr>
          <w:pgSz w:w="11910" w:h="16840"/>
          <w:pgMar w:header="0" w:footer="831" w:top="1120" w:bottom="1020" w:left="1000" w:right="880"/>
        </w:sectPr>
      </w:pPr>
    </w:p>
    <w:tbl>
      <w:tblPr>
        <w:tblW w:w="0" w:type="auto"/>
        <w:jc w:val="left"/>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60"/>
        <w:gridCol w:w="7933"/>
      </w:tblGrid>
      <w:tr>
        <w:trPr>
          <w:trHeight w:val="369" w:hRule="atLeast"/>
        </w:trPr>
        <w:tc>
          <w:tcPr>
            <w:tcW w:w="1860" w:type="dxa"/>
            <w:shd w:val="clear" w:color="auto" w:fill="D7D7D7"/>
          </w:tcPr>
          <w:p>
            <w:pPr>
              <w:pStyle w:val="TableParagraph"/>
              <w:spacing w:before="15"/>
              <w:ind w:left="326"/>
              <w:rPr>
                <w:b/>
                <w:sz w:val="20"/>
              </w:rPr>
            </w:pPr>
            <w:r>
              <w:rPr>
                <w:b/>
                <w:w w:val="95"/>
                <w:sz w:val="20"/>
              </w:rPr>
              <w:t>重大疾病名称</w:t>
            </w:r>
          </w:p>
        </w:tc>
        <w:tc>
          <w:tcPr>
            <w:tcW w:w="7933" w:type="dxa"/>
            <w:shd w:val="clear" w:color="auto" w:fill="D7D7D7"/>
          </w:tcPr>
          <w:p>
            <w:pPr>
              <w:pStyle w:val="TableParagraph"/>
              <w:spacing w:before="15"/>
              <w:ind w:left="237" w:right="224"/>
              <w:jc w:val="center"/>
              <w:rPr>
                <w:b/>
                <w:sz w:val="20"/>
              </w:rPr>
            </w:pPr>
            <w:r>
              <w:rPr>
                <w:b/>
                <w:sz w:val="20"/>
              </w:rPr>
              <w:t>定义</w:t>
            </w:r>
          </w:p>
        </w:tc>
      </w:tr>
      <w:tr>
        <w:trPr>
          <w:trHeight w:val="1293" w:hRule="atLeast"/>
        </w:trPr>
        <w:tc>
          <w:tcPr>
            <w:tcW w:w="1860" w:type="dxa"/>
          </w:tcPr>
          <w:p>
            <w:pPr>
              <w:pStyle w:val="TableParagraph"/>
              <w:ind w:left="0"/>
              <w:rPr>
                <w:rFonts w:ascii="Times New Roman"/>
                <w:sz w:val="18"/>
              </w:rPr>
            </w:pPr>
          </w:p>
        </w:tc>
        <w:tc>
          <w:tcPr>
            <w:tcW w:w="7933" w:type="dxa"/>
          </w:tcPr>
          <w:p>
            <w:pPr>
              <w:pStyle w:val="TableParagraph"/>
              <w:spacing w:before="5"/>
              <w:rPr>
                <w:sz w:val="20"/>
              </w:rPr>
            </w:pPr>
            <w:r>
              <w:rPr>
                <w:w w:val="95"/>
                <w:sz w:val="20"/>
              </w:rPr>
              <w:t>的医疗方法被研究出来以后，本保障将不再予以赔付。</w:t>
            </w:r>
          </w:p>
          <w:p>
            <w:pPr>
              <w:pStyle w:val="TableParagraph"/>
              <w:spacing w:line="285" w:lineRule="auto" w:before="50"/>
              <w:ind w:right="-15"/>
              <w:rPr>
                <w:sz w:val="20"/>
              </w:rPr>
            </w:pPr>
            <w:r>
              <w:rPr>
                <w:b/>
                <w:spacing w:val="-3"/>
                <w:sz w:val="20"/>
              </w:rPr>
              <w:t>任何因其他传播方式</w:t>
            </w:r>
            <w:r>
              <w:rPr>
                <w:b/>
                <w:sz w:val="20"/>
              </w:rPr>
              <w:t>（</w:t>
            </w:r>
            <w:r>
              <w:rPr>
                <w:b/>
                <w:spacing w:val="-5"/>
                <w:sz w:val="20"/>
              </w:rPr>
              <w:t>包括：性传播或静脉注射毒品</w:t>
            </w:r>
            <w:r>
              <w:rPr>
                <w:b/>
                <w:spacing w:val="-22"/>
                <w:sz w:val="20"/>
              </w:rPr>
              <w:t>）</w:t>
            </w:r>
            <w:r>
              <w:rPr>
                <w:b/>
                <w:spacing w:val="-13"/>
                <w:sz w:val="20"/>
              </w:rPr>
              <w:t>导致的 </w:t>
            </w:r>
            <w:r>
              <w:rPr>
                <w:b/>
                <w:sz w:val="20"/>
              </w:rPr>
              <w:t>HIV</w:t>
            </w:r>
            <w:r>
              <w:rPr>
                <w:b/>
                <w:spacing w:val="-3"/>
                <w:sz w:val="20"/>
              </w:rPr>
              <w:t> 感染不在保障范围内。</w:t>
            </w:r>
            <w:r>
              <w:rPr>
                <w:sz w:val="20"/>
              </w:rPr>
              <w:t>保险公司必须拥有获得使用被保险人的血液样本的权利和能够对这些样本进行独立检验</w:t>
            </w:r>
            <w:r>
              <w:rPr>
                <w:w w:val="95"/>
                <w:sz w:val="20"/>
              </w:rPr>
              <w:t>的权利。</w:t>
            </w:r>
          </w:p>
        </w:tc>
      </w:tr>
      <w:tr>
        <w:trPr>
          <w:trHeight w:val="2543" w:hRule="atLeast"/>
        </w:trPr>
        <w:tc>
          <w:tcPr>
            <w:tcW w:w="1860" w:type="dxa"/>
          </w:tcPr>
          <w:p>
            <w:pPr>
              <w:pStyle w:val="TableParagraph"/>
              <w:spacing w:line="285" w:lineRule="auto" w:before="5"/>
              <w:ind w:left="107" w:right="74"/>
              <w:rPr>
                <w:sz w:val="20"/>
              </w:rPr>
            </w:pPr>
            <w:r>
              <w:rPr>
                <w:sz w:val="20"/>
              </w:rPr>
              <w:t>60. 严重冠状动脉</w:t>
            </w:r>
            <w:r>
              <w:rPr>
                <w:w w:val="95"/>
                <w:sz w:val="20"/>
              </w:rPr>
              <w:t>粥样硬化性心脏病</w:t>
            </w:r>
          </w:p>
        </w:tc>
        <w:tc>
          <w:tcPr>
            <w:tcW w:w="7933" w:type="dxa"/>
          </w:tcPr>
          <w:p>
            <w:pPr>
              <w:pStyle w:val="TableParagraph"/>
              <w:spacing w:line="285" w:lineRule="auto" w:before="5"/>
              <w:ind w:right="101"/>
              <w:rPr>
                <w:sz w:val="20"/>
              </w:rPr>
            </w:pPr>
            <w:r>
              <w:rPr>
                <w:spacing w:val="-3"/>
                <w:w w:val="95"/>
                <w:sz w:val="20"/>
              </w:rPr>
              <w:t>指经心脏科专科医师根据冠状动脉造影检查结果确诊为主要血管严重狭窄性病变，须满足   下列至少一项条件：</w:t>
            </w:r>
          </w:p>
          <w:p>
            <w:pPr>
              <w:pStyle w:val="TableParagraph"/>
              <w:spacing w:line="285" w:lineRule="auto" w:before="12"/>
              <w:ind w:right="101"/>
              <w:rPr>
                <w:sz w:val="20"/>
              </w:rPr>
            </w:pPr>
            <w:r>
              <w:rPr>
                <w:sz w:val="20"/>
              </w:rPr>
              <w:t>（1）左冠状动脉主干和右冠状动脉中，一支血管管腔堵塞≥75％，且另一支血管管腔堵</w:t>
            </w:r>
            <w:r>
              <w:rPr>
                <w:w w:val="95"/>
                <w:sz w:val="20"/>
              </w:rPr>
              <w:t>塞≥60％；</w:t>
            </w:r>
          </w:p>
          <w:p>
            <w:pPr>
              <w:pStyle w:val="TableParagraph"/>
              <w:spacing w:line="285" w:lineRule="auto" w:before="12"/>
              <w:ind w:right="97"/>
              <w:rPr>
                <w:sz w:val="20"/>
              </w:rPr>
            </w:pPr>
            <w:r>
              <w:rPr>
                <w:spacing w:val="-8"/>
                <w:sz w:val="20"/>
              </w:rPr>
              <w:t>（2）</w:t>
            </w:r>
            <w:r>
              <w:rPr>
                <w:spacing w:val="-6"/>
                <w:sz w:val="20"/>
              </w:rPr>
              <w:t>左前降支、左回旋支和右冠状动脉中，至少一支血管管腔堵塞≥</w:t>
            </w:r>
            <w:r>
              <w:rPr>
                <w:spacing w:val="-5"/>
                <w:sz w:val="20"/>
              </w:rPr>
              <w:t>75%</w:t>
            </w:r>
            <w:r>
              <w:rPr>
                <w:spacing w:val="-2"/>
                <w:sz w:val="20"/>
              </w:rPr>
              <w:t>，且其他两支血</w:t>
            </w:r>
            <w:r>
              <w:rPr>
                <w:spacing w:val="-2"/>
                <w:w w:val="95"/>
                <w:sz w:val="20"/>
              </w:rPr>
              <w:t>管管腔堵塞均≥60%。</w:t>
            </w:r>
          </w:p>
          <w:p>
            <w:pPr>
              <w:pStyle w:val="TableParagraph"/>
              <w:spacing w:line="285" w:lineRule="auto" w:before="12"/>
              <w:ind w:right="102"/>
              <w:rPr>
                <w:b/>
                <w:sz w:val="20"/>
              </w:rPr>
            </w:pPr>
            <w:r>
              <w:rPr>
                <w:b/>
                <w:sz w:val="20"/>
              </w:rPr>
              <w:t>左前降支的分支血管、左回旋支的分支血管及右冠状动脉的分支血管的狭窄不作为本保</w:t>
            </w:r>
            <w:r>
              <w:rPr>
                <w:b/>
                <w:w w:val="95"/>
                <w:sz w:val="20"/>
              </w:rPr>
              <w:t>障的衡量指标。</w:t>
            </w:r>
          </w:p>
        </w:tc>
      </w:tr>
    </w:tbl>
    <w:p>
      <w:pPr>
        <w:pStyle w:val="BodyText"/>
      </w:pPr>
    </w:p>
    <w:p>
      <w:pPr>
        <w:pStyle w:val="Heading1"/>
        <w:spacing w:before="163"/>
      </w:pPr>
      <w:r>
        <w:rPr/>
        <w:pict>
          <v:line style="position:absolute;mso-position-horizontal-relative:page;mso-position-vertical-relative:paragraph;z-index:1120;mso-wrap-distance-left:0;mso-wrap-distance-right:0" from="55.200001pt,26.845627pt" to="539.620001pt,26.845627pt" stroked="true" strokeweight=".47998pt" strokecolor="#000000">
            <v:stroke dashstyle="solid"/>
            <w10:wrap type="topAndBottom"/>
          </v:line>
        </w:pict>
      </w:r>
      <w:r>
        <w:rPr/>
        <w:t>附录二 本合同承保的轻症重疾列表</w:t>
      </w:r>
    </w:p>
    <w:p>
      <w:pPr>
        <w:pStyle w:val="BodyText"/>
        <w:spacing w:before="9"/>
        <w:rPr>
          <w:b/>
          <w:sz w:val="9"/>
        </w:rPr>
      </w:pPr>
    </w:p>
    <w:tbl>
      <w:tblPr>
        <w:tblW w:w="0" w:type="auto"/>
        <w:jc w:val="left"/>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60"/>
        <w:gridCol w:w="7933"/>
      </w:tblGrid>
      <w:tr>
        <w:trPr>
          <w:trHeight w:val="369" w:hRule="atLeast"/>
        </w:trPr>
        <w:tc>
          <w:tcPr>
            <w:tcW w:w="1860" w:type="dxa"/>
            <w:shd w:val="clear" w:color="auto" w:fill="D7D7D7"/>
          </w:tcPr>
          <w:p>
            <w:pPr>
              <w:pStyle w:val="TableParagraph"/>
              <w:spacing w:before="20"/>
              <w:ind w:left="107"/>
              <w:rPr>
                <w:b/>
                <w:sz w:val="20"/>
              </w:rPr>
            </w:pPr>
            <w:r>
              <w:rPr>
                <w:b/>
                <w:w w:val="95"/>
                <w:sz w:val="20"/>
              </w:rPr>
              <w:t>轻症重疾名称</w:t>
            </w:r>
          </w:p>
        </w:tc>
        <w:tc>
          <w:tcPr>
            <w:tcW w:w="7933" w:type="dxa"/>
            <w:shd w:val="clear" w:color="auto" w:fill="D7D7D7"/>
          </w:tcPr>
          <w:p>
            <w:pPr>
              <w:pStyle w:val="TableParagraph"/>
              <w:spacing w:before="20"/>
              <w:rPr>
                <w:b/>
                <w:sz w:val="20"/>
              </w:rPr>
            </w:pPr>
            <w:r>
              <w:rPr>
                <w:b/>
                <w:sz w:val="20"/>
              </w:rPr>
              <w:t>定义</w:t>
            </w:r>
          </w:p>
        </w:tc>
      </w:tr>
      <w:tr>
        <w:trPr>
          <w:trHeight w:val="2853" w:hRule="atLeast"/>
        </w:trPr>
        <w:tc>
          <w:tcPr>
            <w:tcW w:w="1860" w:type="dxa"/>
          </w:tcPr>
          <w:p>
            <w:pPr>
              <w:pStyle w:val="TableParagraph"/>
              <w:spacing w:line="285" w:lineRule="auto" w:before="8"/>
              <w:ind w:left="107" w:right="98"/>
              <w:rPr>
                <w:sz w:val="20"/>
              </w:rPr>
            </w:pPr>
            <w:r>
              <w:rPr>
                <w:w w:val="95"/>
                <w:sz w:val="20"/>
              </w:rPr>
              <w:t>1．极早期的恶性肿瘤或恶性病变</w:t>
            </w:r>
          </w:p>
        </w:tc>
        <w:tc>
          <w:tcPr>
            <w:tcW w:w="7933" w:type="dxa"/>
          </w:tcPr>
          <w:p>
            <w:pPr>
              <w:pStyle w:val="TableParagraph"/>
              <w:spacing w:before="8"/>
              <w:jc w:val="both"/>
              <w:rPr>
                <w:sz w:val="20"/>
              </w:rPr>
            </w:pPr>
            <w:r>
              <w:rPr>
                <w:w w:val="95"/>
                <w:sz w:val="20"/>
              </w:rPr>
              <w:t>指经组织病理学检查被明确诊断为下列恶性病变，并且接受了相应的治疗。</w:t>
            </w:r>
          </w:p>
          <w:p>
            <w:pPr>
              <w:pStyle w:val="TableParagraph"/>
              <w:spacing w:before="49"/>
              <w:jc w:val="both"/>
              <w:rPr>
                <w:sz w:val="20"/>
              </w:rPr>
            </w:pPr>
            <w:r>
              <w:rPr>
                <w:w w:val="95"/>
                <w:sz w:val="20"/>
              </w:rPr>
              <w:t>（1）原位癌；</w:t>
            </w:r>
          </w:p>
          <w:p>
            <w:pPr>
              <w:pStyle w:val="TableParagraph"/>
              <w:spacing w:before="49"/>
              <w:jc w:val="both"/>
              <w:rPr>
                <w:sz w:val="20"/>
              </w:rPr>
            </w:pPr>
            <w:r>
              <w:rPr>
                <w:sz w:val="20"/>
              </w:rPr>
              <w:t>（2）相当于 Binet 分期方案 A 期程度的慢性淋巴细胞白血病；</w:t>
            </w:r>
          </w:p>
          <w:p>
            <w:pPr>
              <w:pStyle w:val="TableParagraph"/>
              <w:spacing w:before="49"/>
              <w:jc w:val="both"/>
              <w:rPr>
                <w:sz w:val="20"/>
              </w:rPr>
            </w:pPr>
            <w:r>
              <w:rPr>
                <w:sz w:val="20"/>
              </w:rPr>
              <w:t>（3）相当于 Ann Arbor 分期方案 I 期程度的何杰金氏病；</w:t>
            </w:r>
          </w:p>
          <w:p>
            <w:pPr>
              <w:pStyle w:val="TableParagraph"/>
              <w:spacing w:before="49"/>
              <w:jc w:val="both"/>
              <w:rPr>
                <w:sz w:val="20"/>
              </w:rPr>
            </w:pPr>
            <w:r>
              <w:rPr>
                <w:w w:val="95"/>
                <w:sz w:val="20"/>
              </w:rPr>
              <w:t>（4）皮肤癌（不包括恶性黑色素瘤及已发生转移的皮肤癌）；</w:t>
            </w:r>
          </w:p>
          <w:p>
            <w:pPr>
              <w:pStyle w:val="TableParagraph"/>
              <w:spacing w:before="49"/>
              <w:jc w:val="both"/>
              <w:rPr>
                <w:sz w:val="20"/>
              </w:rPr>
            </w:pPr>
            <w:r>
              <w:rPr>
                <w:position w:val="1"/>
                <w:sz w:val="20"/>
              </w:rPr>
              <w:t>（5）TNM 分期为 T</w:t>
            </w:r>
            <w:r>
              <w:rPr>
                <w:sz w:val="10"/>
              </w:rPr>
              <w:t>1</w:t>
            </w:r>
            <w:r>
              <w:rPr>
                <w:position w:val="1"/>
                <w:sz w:val="20"/>
              </w:rPr>
              <w:t>N</w:t>
            </w:r>
            <w:r>
              <w:rPr>
                <w:sz w:val="10"/>
              </w:rPr>
              <w:t>0</w:t>
            </w:r>
            <w:r>
              <w:rPr>
                <w:position w:val="1"/>
                <w:sz w:val="20"/>
              </w:rPr>
              <w:t>M</w:t>
            </w:r>
            <w:r>
              <w:rPr>
                <w:sz w:val="10"/>
              </w:rPr>
              <w:t>0 </w:t>
            </w:r>
            <w:r>
              <w:rPr>
                <w:position w:val="1"/>
                <w:sz w:val="20"/>
              </w:rPr>
              <w:t>期或更轻分期的前列腺癌。</w:t>
            </w:r>
          </w:p>
          <w:p>
            <w:pPr>
              <w:pStyle w:val="TableParagraph"/>
              <w:spacing w:line="285" w:lineRule="auto" w:before="50"/>
              <w:ind w:right="103"/>
              <w:jc w:val="both"/>
              <w:rPr>
                <w:sz w:val="20"/>
              </w:rPr>
            </w:pPr>
            <w:r>
              <w:rPr>
                <w:sz w:val="20"/>
              </w:rPr>
              <w:t>上述原位癌是指恶性细胞局限于上皮内尚未穿破基底膜浸润周围正常组织的癌细胞新生</w:t>
            </w:r>
            <w:r>
              <w:rPr>
                <w:spacing w:val="-9"/>
                <w:w w:val="95"/>
                <w:sz w:val="20"/>
              </w:rPr>
              <w:t>物。原位癌必须经对固定活组织的组织病理学检查明确诊断。被保险人必须已经接受了针   对原位癌病灶的积极治疗。</w:t>
            </w:r>
          </w:p>
        </w:tc>
      </w:tr>
      <w:tr>
        <w:trPr>
          <w:trHeight w:val="981" w:hRule="atLeast"/>
        </w:trPr>
        <w:tc>
          <w:tcPr>
            <w:tcW w:w="1860" w:type="dxa"/>
          </w:tcPr>
          <w:p>
            <w:pPr>
              <w:pStyle w:val="TableParagraph"/>
              <w:spacing w:line="285" w:lineRule="auto" w:before="11"/>
              <w:ind w:left="107" w:right="95"/>
              <w:rPr>
                <w:sz w:val="20"/>
              </w:rPr>
            </w:pPr>
            <w:r>
              <w:rPr>
                <w:spacing w:val="-28"/>
                <w:sz w:val="20"/>
              </w:rPr>
              <w:t>2</w:t>
            </w:r>
            <w:r>
              <w:rPr>
                <w:spacing w:val="-15"/>
                <w:sz w:val="20"/>
              </w:rPr>
              <w:t>．较小面积 </w:t>
            </w:r>
            <w:r>
              <w:rPr>
                <w:sz w:val="20"/>
              </w:rPr>
              <w:t>III</w:t>
            </w:r>
            <w:r>
              <w:rPr>
                <w:spacing w:val="-26"/>
                <w:sz w:val="20"/>
              </w:rPr>
              <w:t> 度</w:t>
            </w:r>
            <w:r>
              <w:rPr>
                <w:spacing w:val="-26"/>
                <w:w w:val="95"/>
                <w:sz w:val="20"/>
              </w:rPr>
              <w:t>烧伤</w:t>
            </w:r>
          </w:p>
        </w:tc>
        <w:tc>
          <w:tcPr>
            <w:tcW w:w="7933" w:type="dxa"/>
          </w:tcPr>
          <w:p>
            <w:pPr>
              <w:pStyle w:val="TableParagraph"/>
              <w:spacing w:line="285" w:lineRule="auto" w:before="11"/>
              <w:ind w:right="-15"/>
              <w:rPr>
                <w:sz w:val="20"/>
              </w:rPr>
            </w:pPr>
            <w:r>
              <w:rPr>
                <w:spacing w:val="-10"/>
                <w:sz w:val="20"/>
              </w:rPr>
              <w:t>指烧伤程度为Ⅲ度，且Ⅲ度烧伤的面积达到全身体表面积的 </w:t>
            </w:r>
            <w:r>
              <w:rPr>
                <w:sz w:val="20"/>
              </w:rPr>
              <w:t>15</w:t>
            </w:r>
            <w:r>
              <w:rPr>
                <w:spacing w:val="-18"/>
                <w:sz w:val="20"/>
              </w:rPr>
              <w:t>％或 </w:t>
            </w:r>
            <w:r>
              <w:rPr>
                <w:sz w:val="20"/>
              </w:rPr>
              <w:t>15%</w:t>
            </w:r>
            <w:r>
              <w:rPr>
                <w:spacing w:val="-19"/>
                <w:sz w:val="20"/>
              </w:rPr>
              <w:t>以上，但少于 </w:t>
            </w:r>
            <w:r>
              <w:rPr>
                <w:sz w:val="20"/>
              </w:rPr>
              <w:t>20%。</w:t>
            </w:r>
            <w:r>
              <w:rPr>
                <w:w w:val="95"/>
                <w:sz w:val="20"/>
              </w:rPr>
              <w:t>体表面积根据《中国新九分法》计算。</w:t>
            </w:r>
          </w:p>
          <w:p>
            <w:pPr>
              <w:pStyle w:val="TableParagraph"/>
              <w:spacing w:before="12"/>
              <w:rPr>
                <w:b/>
                <w:sz w:val="20"/>
              </w:rPr>
            </w:pPr>
            <w:r>
              <w:rPr>
                <w:b/>
                <w:sz w:val="20"/>
              </w:rPr>
              <w:t>面积达到全身体表面积的 20％或 20%以上的Ⅲ度烧伤不在保障范围内。</w:t>
            </w:r>
          </w:p>
        </w:tc>
      </w:tr>
      <w:tr>
        <w:trPr>
          <w:trHeight w:val="983" w:hRule="atLeast"/>
        </w:trPr>
        <w:tc>
          <w:tcPr>
            <w:tcW w:w="1860" w:type="dxa"/>
          </w:tcPr>
          <w:p>
            <w:pPr>
              <w:pStyle w:val="TableParagraph"/>
              <w:spacing w:before="11"/>
              <w:ind w:left="107"/>
              <w:rPr>
                <w:sz w:val="20"/>
              </w:rPr>
            </w:pPr>
            <w:r>
              <w:rPr>
                <w:w w:val="95"/>
                <w:sz w:val="20"/>
              </w:rPr>
              <w:t>3．慢性肾功能不全</w:t>
            </w:r>
          </w:p>
        </w:tc>
        <w:tc>
          <w:tcPr>
            <w:tcW w:w="7933" w:type="dxa"/>
          </w:tcPr>
          <w:p>
            <w:pPr>
              <w:pStyle w:val="TableParagraph"/>
              <w:spacing w:before="11"/>
              <w:rPr>
                <w:sz w:val="20"/>
              </w:rPr>
            </w:pPr>
            <w:r>
              <w:rPr>
                <w:w w:val="95"/>
                <w:sz w:val="20"/>
              </w:rPr>
              <w:t>指双肾慢性肾功能不全，须满足下列全部条件：</w:t>
            </w:r>
          </w:p>
          <w:p>
            <w:pPr>
              <w:pStyle w:val="TableParagraph"/>
              <w:spacing w:before="50"/>
              <w:rPr>
                <w:sz w:val="20"/>
              </w:rPr>
            </w:pPr>
            <w:r>
              <w:rPr>
                <w:sz w:val="20"/>
              </w:rPr>
              <w:t>（1）肌酐清除率(Ccr)低于 30ml/min，持续超过 90 天；</w:t>
            </w:r>
          </w:p>
          <w:p>
            <w:pPr>
              <w:pStyle w:val="TableParagraph"/>
              <w:spacing w:before="50"/>
              <w:rPr>
                <w:sz w:val="20"/>
              </w:rPr>
            </w:pPr>
            <w:r>
              <w:rPr>
                <w:sz w:val="20"/>
              </w:rPr>
              <w:t>（2）血肌酐(Scr)高于 400umol/l，持续超过 90 天。</w:t>
            </w:r>
          </w:p>
        </w:tc>
      </w:tr>
      <w:tr>
        <w:trPr>
          <w:trHeight w:val="1605" w:hRule="atLeast"/>
        </w:trPr>
        <w:tc>
          <w:tcPr>
            <w:tcW w:w="1860" w:type="dxa"/>
          </w:tcPr>
          <w:p>
            <w:pPr>
              <w:pStyle w:val="TableParagraph"/>
              <w:spacing w:line="285" w:lineRule="auto" w:before="8"/>
              <w:ind w:left="107" w:right="90"/>
              <w:jc w:val="both"/>
              <w:rPr>
                <w:sz w:val="20"/>
              </w:rPr>
            </w:pPr>
            <w:r>
              <w:rPr>
                <w:spacing w:val="-15"/>
                <w:sz w:val="20"/>
              </w:rPr>
              <w:t>4</w:t>
            </w:r>
            <w:r>
              <w:rPr>
                <w:spacing w:val="-7"/>
                <w:sz w:val="20"/>
              </w:rPr>
              <w:t>．脑垂体瘤、脑囊</w:t>
            </w:r>
            <w:r>
              <w:rPr>
                <w:spacing w:val="5"/>
                <w:sz w:val="20"/>
              </w:rPr>
              <w:t>肿、脑动脉瘤及脑</w:t>
            </w:r>
            <w:r>
              <w:rPr>
                <w:w w:val="95"/>
                <w:sz w:val="20"/>
              </w:rPr>
              <w:t>血管瘤</w:t>
            </w:r>
          </w:p>
        </w:tc>
        <w:tc>
          <w:tcPr>
            <w:tcW w:w="7933" w:type="dxa"/>
          </w:tcPr>
          <w:p>
            <w:pPr>
              <w:pStyle w:val="TableParagraph"/>
              <w:spacing w:line="285" w:lineRule="auto" w:before="8"/>
              <w:ind w:right="102"/>
              <w:rPr>
                <w:sz w:val="20"/>
              </w:rPr>
            </w:pPr>
            <w:r>
              <w:rPr>
                <w:sz w:val="20"/>
              </w:rPr>
              <w:t>指经头颅断层扫描（CT）、核磁共振（MRI）或其他影像学检查被确诊为下列病变，并实</w:t>
            </w:r>
            <w:r>
              <w:rPr>
                <w:w w:val="95"/>
                <w:sz w:val="20"/>
              </w:rPr>
              <w:t>际接受了手术或放射治疗。</w:t>
            </w:r>
          </w:p>
          <w:p>
            <w:pPr>
              <w:pStyle w:val="TableParagraph"/>
              <w:spacing w:before="11"/>
              <w:rPr>
                <w:sz w:val="20"/>
              </w:rPr>
            </w:pPr>
            <w:r>
              <w:rPr>
                <w:w w:val="95"/>
                <w:sz w:val="20"/>
              </w:rPr>
              <w:t>（1）脑垂体瘤；</w:t>
            </w:r>
          </w:p>
          <w:p>
            <w:pPr>
              <w:pStyle w:val="TableParagraph"/>
              <w:spacing w:before="49"/>
              <w:rPr>
                <w:sz w:val="20"/>
              </w:rPr>
            </w:pPr>
            <w:r>
              <w:rPr>
                <w:w w:val="95"/>
                <w:sz w:val="20"/>
              </w:rPr>
              <w:t>（2）脑囊肿；</w:t>
            </w:r>
          </w:p>
          <w:p>
            <w:pPr>
              <w:pStyle w:val="TableParagraph"/>
              <w:spacing w:before="49"/>
              <w:rPr>
                <w:sz w:val="20"/>
              </w:rPr>
            </w:pPr>
            <w:r>
              <w:rPr>
                <w:w w:val="95"/>
                <w:sz w:val="20"/>
              </w:rPr>
              <w:t>（3）脑动脉瘤、脑血管瘤。</w:t>
            </w:r>
          </w:p>
        </w:tc>
      </w:tr>
      <w:tr>
        <w:trPr>
          <w:trHeight w:val="2232" w:hRule="atLeast"/>
        </w:trPr>
        <w:tc>
          <w:tcPr>
            <w:tcW w:w="1860" w:type="dxa"/>
          </w:tcPr>
          <w:p>
            <w:pPr>
              <w:pStyle w:val="TableParagraph"/>
              <w:spacing w:before="11"/>
              <w:ind w:left="107"/>
              <w:rPr>
                <w:sz w:val="20"/>
              </w:rPr>
            </w:pPr>
            <w:r>
              <w:rPr>
                <w:w w:val="95"/>
                <w:sz w:val="20"/>
              </w:rPr>
              <w:t>5．视力严重受损</w:t>
            </w:r>
          </w:p>
        </w:tc>
        <w:tc>
          <w:tcPr>
            <w:tcW w:w="7933" w:type="dxa"/>
          </w:tcPr>
          <w:p>
            <w:pPr>
              <w:pStyle w:val="TableParagraph"/>
              <w:spacing w:before="11"/>
              <w:rPr>
                <w:sz w:val="20"/>
              </w:rPr>
            </w:pPr>
            <w:r>
              <w:rPr>
                <w:w w:val="95"/>
                <w:sz w:val="20"/>
              </w:rPr>
              <w:t>指因疾病或意外伤害导致双目视力永久不可逆性丧失，须满足下列全部条件：</w:t>
            </w:r>
          </w:p>
          <w:p>
            <w:pPr>
              <w:pStyle w:val="TableParagraph"/>
              <w:spacing w:line="285" w:lineRule="auto" w:before="49"/>
              <w:ind w:right="103"/>
              <w:rPr>
                <w:sz w:val="20"/>
              </w:rPr>
            </w:pPr>
            <w:r>
              <w:rPr>
                <w:sz w:val="20"/>
              </w:rPr>
              <w:t>（1）双眼中较好眼矫正视力低于 0.1（采用国际标准视力表，如果使用其他视力表应进</w:t>
            </w:r>
            <w:r>
              <w:rPr>
                <w:w w:val="95"/>
                <w:sz w:val="20"/>
              </w:rPr>
              <w:t>行换算）；</w:t>
            </w:r>
          </w:p>
          <w:p>
            <w:pPr>
              <w:pStyle w:val="TableParagraph"/>
              <w:spacing w:before="11"/>
              <w:rPr>
                <w:sz w:val="20"/>
              </w:rPr>
            </w:pPr>
            <w:r>
              <w:rPr>
                <w:sz w:val="20"/>
              </w:rPr>
              <w:t>（2）视野半径小于 20 度。</w:t>
            </w:r>
          </w:p>
          <w:p>
            <w:pPr>
              <w:pStyle w:val="TableParagraph"/>
              <w:spacing w:before="49"/>
              <w:rPr>
                <w:b/>
                <w:sz w:val="20"/>
              </w:rPr>
            </w:pPr>
            <w:r>
              <w:rPr>
                <w:b/>
                <w:w w:val="95"/>
                <w:sz w:val="20"/>
              </w:rPr>
              <w:t>白内障导致的视力受损不在保障范围内。</w:t>
            </w:r>
          </w:p>
          <w:p>
            <w:pPr>
              <w:pStyle w:val="TableParagraph"/>
              <w:spacing w:line="285" w:lineRule="auto" w:before="49"/>
              <w:ind w:right="103"/>
              <w:rPr>
                <w:sz w:val="20"/>
              </w:rPr>
            </w:pPr>
            <w:r>
              <w:rPr>
                <w:sz w:val="20"/>
              </w:rPr>
              <w:t>申请理赔时，被保险人年龄必须在 3 周岁以上，并且须提供理赔当时的视力严重受损诊</w:t>
            </w:r>
            <w:r>
              <w:rPr>
                <w:w w:val="95"/>
                <w:sz w:val="20"/>
              </w:rPr>
              <w:t>断及检查证据。</w:t>
            </w:r>
          </w:p>
        </w:tc>
      </w:tr>
    </w:tbl>
    <w:p>
      <w:pPr>
        <w:spacing w:after="0" w:line="285" w:lineRule="auto"/>
        <w:rPr>
          <w:sz w:val="20"/>
        </w:rPr>
        <w:sectPr>
          <w:pgSz w:w="11910" w:h="16840"/>
          <w:pgMar w:header="0" w:footer="831" w:top="1120" w:bottom="1020" w:left="1000" w:right="880"/>
        </w:sectPr>
      </w:pPr>
    </w:p>
    <w:tbl>
      <w:tblPr>
        <w:tblW w:w="0" w:type="auto"/>
        <w:jc w:val="left"/>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60"/>
        <w:gridCol w:w="7933"/>
      </w:tblGrid>
      <w:tr>
        <w:trPr>
          <w:trHeight w:val="369" w:hRule="atLeast"/>
        </w:trPr>
        <w:tc>
          <w:tcPr>
            <w:tcW w:w="1860" w:type="dxa"/>
            <w:shd w:val="clear" w:color="auto" w:fill="D7D7D7"/>
          </w:tcPr>
          <w:p>
            <w:pPr>
              <w:pStyle w:val="TableParagraph"/>
              <w:spacing w:before="15"/>
              <w:ind w:left="107"/>
              <w:rPr>
                <w:b/>
                <w:sz w:val="20"/>
              </w:rPr>
            </w:pPr>
            <w:r>
              <w:rPr>
                <w:b/>
                <w:w w:val="95"/>
                <w:sz w:val="20"/>
              </w:rPr>
              <w:t>轻症重疾名称</w:t>
            </w:r>
          </w:p>
        </w:tc>
        <w:tc>
          <w:tcPr>
            <w:tcW w:w="7933" w:type="dxa"/>
            <w:shd w:val="clear" w:color="auto" w:fill="D7D7D7"/>
          </w:tcPr>
          <w:p>
            <w:pPr>
              <w:pStyle w:val="TableParagraph"/>
              <w:spacing w:before="15"/>
              <w:rPr>
                <w:b/>
                <w:sz w:val="20"/>
              </w:rPr>
            </w:pPr>
            <w:r>
              <w:rPr>
                <w:b/>
                <w:sz w:val="20"/>
              </w:rPr>
              <w:t>定义</w:t>
            </w:r>
          </w:p>
        </w:tc>
      </w:tr>
      <w:tr>
        <w:trPr>
          <w:trHeight w:val="1917" w:hRule="atLeast"/>
        </w:trPr>
        <w:tc>
          <w:tcPr>
            <w:tcW w:w="1860" w:type="dxa"/>
          </w:tcPr>
          <w:p>
            <w:pPr>
              <w:pStyle w:val="TableParagraph"/>
              <w:spacing w:line="285" w:lineRule="auto" w:before="5"/>
              <w:ind w:left="107" w:right="98"/>
              <w:rPr>
                <w:sz w:val="20"/>
              </w:rPr>
            </w:pPr>
            <w:r>
              <w:rPr>
                <w:w w:val="95"/>
                <w:sz w:val="20"/>
              </w:rPr>
              <w:t>6．慢性肝功能衰竭失代偿期</w:t>
            </w:r>
          </w:p>
        </w:tc>
        <w:tc>
          <w:tcPr>
            <w:tcW w:w="7933" w:type="dxa"/>
          </w:tcPr>
          <w:p>
            <w:pPr>
              <w:pStyle w:val="TableParagraph"/>
              <w:spacing w:before="5"/>
              <w:rPr>
                <w:sz w:val="20"/>
              </w:rPr>
            </w:pPr>
            <w:r>
              <w:rPr>
                <w:w w:val="95"/>
                <w:sz w:val="20"/>
              </w:rPr>
              <w:t>指因慢性肝脏疾病导致肝功能衰竭失代偿期，须满足下列任意三个条件：</w:t>
            </w:r>
          </w:p>
          <w:p>
            <w:pPr>
              <w:pStyle w:val="TableParagraph"/>
              <w:spacing w:before="50"/>
              <w:rPr>
                <w:sz w:val="20"/>
              </w:rPr>
            </w:pPr>
            <w:r>
              <w:rPr>
                <w:w w:val="95"/>
                <w:sz w:val="20"/>
              </w:rPr>
              <w:t>（1）持续性黄疸；</w:t>
            </w:r>
          </w:p>
          <w:p>
            <w:pPr>
              <w:pStyle w:val="TableParagraph"/>
              <w:spacing w:before="50"/>
              <w:rPr>
                <w:sz w:val="20"/>
              </w:rPr>
            </w:pPr>
            <w:r>
              <w:rPr>
                <w:w w:val="95"/>
                <w:sz w:val="20"/>
              </w:rPr>
              <w:t>（2）腹水；</w:t>
            </w:r>
          </w:p>
          <w:p>
            <w:pPr>
              <w:pStyle w:val="TableParagraph"/>
              <w:spacing w:before="50"/>
              <w:rPr>
                <w:sz w:val="20"/>
              </w:rPr>
            </w:pPr>
            <w:r>
              <w:rPr>
                <w:w w:val="95"/>
                <w:sz w:val="20"/>
              </w:rPr>
              <w:t>（3）肝性脑病；</w:t>
            </w:r>
          </w:p>
          <w:p>
            <w:pPr>
              <w:pStyle w:val="TableParagraph"/>
              <w:spacing w:line="285" w:lineRule="auto" w:before="50"/>
              <w:ind w:right="2915"/>
              <w:rPr>
                <w:b/>
                <w:sz w:val="20"/>
              </w:rPr>
            </w:pPr>
            <w:r>
              <w:rPr>
                <w:w w:val="95"/>
                <w:sz w:val="20"/>
              </w:rPr>
              <w:t>（4）充血性脾肿大伴脾功能亢进或食管胃底静脉曲张。 </w:t>
            </w:r>
            <w:r>
              <w:rPr>
                <w:b/>
                <w:w w:val="95"/>
                <w:sz w:val="20"/>
              </w:rPr>
              <w:t>因酗酒或药物滥用导致的肝功能衰竭不在保障范围内。</w:t>
            </w:r>
          </w:p>
        </w:tc>
      </w:tr>
      <w:tr>
        <w:trPr>
          <w:trHeight w:val="983" w:hRule="atLeast"/>
        </w:trPr>
        <w:tc>
          <w:tcPr>
            <w:tcW w:w="1860" w:type="dxa"/>
          </w:tcPr>
          <w:p>
            <w:pPr>
              <w:pStyle w:val="TableParagraph"/>
              <w:spacing w:before="5"/>
              <w:ind w:left="107"/>
              <w:rPr>
                <w:sz w:val="20"/>
              </w:rPr>
            </w:pPr>
            <w:r>
              <w:rPr>
                <w:w w:val="95"/>
                <w:sz w:val="20"/>
              </w:rPr>
              <w:t>7．脑中风</w:t>
            </w:r>
          </w:p>
        </w:tc>
        <w:tc>
          <w:tcPr>
            <w:tcW w:w="7933" w:type="dxa"/>
          </w:tcPr>
          <w:p>
            <w:pPr>
              <w:pStyle w:val="TableParagraph"/>
              <w:spacing w:line="285" w:lineRule="auto" w:before="5"/>
              <w:ind w:right="97"/>
              <w:rPr>
                <w:sz w:val="20"/>
              </w:rPr>
            </w:pPr>
            <w:r>
              <w:rPr>
                <w:spacing w:val="-2"/>
                <w:w w:val="95"/>
                <w:sz w:val="20"/>
              </w:rPr>
              <w:t>指实际发生了脑血管的突发病变出现神经系统功能障碍表现，头颅断层扫描</w:t>
            </w:r>
            <w:r>
              <w:rPr>
                <w:spacing w:val="-5"/>
                <w:w w:val="95"/>
                <w:sz w:val="20"/>
              </w:rPr>
              <w:t>（CT）</w:t>
            </w:r>
            <w:r>
              <w:rPr>
                <w:spacing w:val="-8"/>
                <w:w w:val="95"/>
                <w:sz w:val="20"/>
              </w:rPr>
              <w:t>、核磁   共振（MRI）等影像学检查证实存在对应病灶，确诊为脑出血、脑栓塞或脑梗塞。</w:t>
            </w:r>
          </w:p>
          <w:p>
            <w:pPr>
              <w:pStyle w:val="TableParagraph"/>
              <w:spacing w:before="12"/>
              <w:rPr>
                <w:sz w:val="20"/>
              </w:rPr>
            </w:pPr>
            <w:r>
              <w:rPr>
                <w:b/>
                <w:sz w:val="20"/>
              </w:rPr>
              <w:t>短暂性脑缺血发作(TIA) 和腔隙性脑梗塞不在保障范围内</w:t>
            </w:r>
            <w:r>
              <w:rPr>
                <w:sz w:val="20"/>
              </w:rPr>
              <w:t>。</w:t>
            </w:r>
          </w:p>
        </w:tc>
      </w:tr>
      <w:tr>
        <w:trPr>
          <w:trHeight w:val="1605" w:hRule="atLeast"/>
        </w:trPr>
        <w:tc>
          <w:tcPr>
            <w:tcW w:w="1860" w:type="dxa"/>
          </w:tcPr>
          <w:p>
            <w:pPr>
              <w:pStyle w:val="TableParagraph"/>
              <w:spacing w:line="285" w:lineRule="auto" w:before="3"/>
              <w:ind w:left="107" w:right="98"/>
              <w:rPr>
                <w:sz w:val="20"/>
              </w:rPr>
            </w:pPr>
            <w:r>
              <w:rPr>
                <w:w w:val="95"/>
                <w:sz w:val="20"/>
              </w:rPr>
              <w:t>8．不典型的急性心肌梗塞</w:t>
            </w:r>
          </w:p>
        </w:tc>
        <w:tc>
          <w:tcPr>
            <w:tcW w:w="7933" w:type="dxa"/>
          </w:tcPr>
          <w:p>
            <w:pPr>
              <w:pStyle w:val="TableParagraph"/>
              <w:spacing w:before="3"/>
              <w:rPr>
                <w:sz w:val="20"/>
              </w:rPr>
            </w:pPr>
            <w:r>
              <w:rPr>
                <w:w w:val="95"/>
                <w:sz w:val="20"/>
              </w:rPr>
              <w:t>指被临床诊断为急性心肌梗塞并接受了急性心肌梗塞治疗，须满足下列全部条件：</w:t>
            </w:r>
          </w:p>
          <w:p>
            <w:pPr>
              <w:pStyle w:val="TableParagraph"/>
              <w:spacing w:before="50"/>
              <w:rPr>
                <w:sz w:val="20"/>
              </w:rPr>
            </w:pPr>
            <w:r>
              <w:rPr>
                <w:w w:val="95"/>
                <w:sz w:val="20"/>
              </w:rPr>
              <w:t>（1）肌钙蛋白有诊断意义的升高；</w:t>
            </w:r>
          </w:p>
          <w:p>
            <w:pPr>
              <w:pStyle w:val="TableParagraph"/>
              <w:spacing w:before="50"/>
              <w:rPr>
                <w:sz w:val="20"/>
              </w:rPr>
            </w:pPr>
            <w:r>
              <w:rPr>
                <w:sz w:val="20"/>
              </w:rPr>
              <w:t>（2）心电图有损伤性的 ST 段改变但未出现病理 Q 波。</w:t>
            </w:r>
          </w:p>
          <w:p>
            <w:pPr>
              <w:pStyle w:val="TableParagraph"/>
              <w:spacing w:line="285" w:lineRule="auto" w:before="50"/>
              <w:ind w:right="92"/>
              <w:rPr>
                <w:b/>
                <w:sz w:val="20"/>
              </w:rPr>
            </w:pPr>
            <w:r>
              <w:rPr>
                <w:b/>
                <w:sz w:val="20"/>
              </w:rPr>
              <w:t>“不典型的急性心肌梗塞”、“冠状动脉介入手术”与“胸腔镜下冠状动脉搭桥手术” </w:t>
            </w:r>
            <w:r>
              <w:rPr>
                <w:b/>
                <w:w w:val="95"/>
                <w:sz w:val="20"/>
              </w:rPr>
              <w:t>三项中我们只赔付其中一项，任何一项赔付后我们不再承担其它两项的保险责任。</w:t>
            </w:r>
          </w:p>
        </w:tc>
      </w:tr>
      <w:tr>
        <w:trPr>
          <w:trHeight w:val="1293" w:hRule="atLeast"/>
        </w:trPr>
        <w:tc>
          <w:tcPr>
            <w:tcW w:w="1860" w:type="dxa"/>
          </w:tcPr>
          <w:p>
            <w:pPr>
              <w:pStyle w:val="TableParagraph"/>
              <w:spacing w:line="285" w:lineRule="auto" w:before="5"/>
              <w:ind w:left="107" w:right="98"/>
              <w:rPr>
                <w:sz w:val="20"/>
              </w:rPr>
            </w:pPr>
            <w:r>
              <w:rPr>
                <w:w w:val="95"/>
                <w:sz w:val="20"/>
              </w:rPr>
              <w:t>9．冠状动脉介入手</w:t>
            </w:r>
            <w:r>
              <w:rPr>
                <w:sz w:val="20"/>
              </w:rPr>
              <w:t>术</w:t>
            </w:r>
          </w:p>
        </w:tc>
        <w:tc>
          <w:tcPr>
            <w:tcW w:w="7933" w:type="dxa"/>
          </w:tcPr>
          <w:p>
            <w:pPr>
              <w:pStyle w:val="TableParagraph"/>
              <w:spacing w:line="285" w:lineRule="auto" w:before="5"/>
              <w:ind w:right="102"/>
              <w:rPr>
                <w:sz w:val="20"/>
              </w:rPr>
            </w:pPr>
            <w:r>
              <w:rPr>
                <w:spacing w:val="-5"/>
                <w:w w:val="95"/>
                <w:sz w:val="20"/>
              </w:rPr>
              <w:t>为了治疗明显的冠状动脉狭窄性疾病，首次实际实施的冠状动脉球囊扩张成形术、冠状动   脉支架植入术或激光冠状动脉成形术。</w:t>
            </w:r>
          </w:p>
          <w:p>
            <w:pPr>
              <w:pStyle w:val="TableParagraph"/>
              <w:spacing w:line="285" w:lineRule="auto" w:before="12"/>
              <w:ind w:right="92"/>
              <w:rPr>
                <w:b/>
                <w:sz w:val="20"/>
              </w:rPr>
            </w:pPr>
            <w:r>
              <w:rPr>
                <w:b/>
                <w:sz w:val="20"/>
              </w:rPr>
              <w:t>“不典型的急性心肌梗塞”、“冠状动脉介入手术”与“胸腔镜下冠状动脉搭桥手术” </w:t>
            </w:r>
            <w:r>
              <w:rPr>
                <w:b/>
                <w:w w:val="95"/>
                <w:sz w:val="20"/>
              </w:rPr>
              <w:t>三项中我们只赔付其中一项，任何一项赔付后我们不再承担其它两项的保险责任。</w:t>
            </w:r>
          </w:p>
        </w:tc>
      </w:tr>
      <w:tr>
        <w:trPr>
          <w:trHeight w:val="983" w:hRule="atLeast"/>
        </w:trPr>
        <w:tc>
          <w:tcPr>
            <w:tcW w:w="1860" w:type="dxa"/>
          </w:tcPr>
          <w:p>
            <w:pPr>
              <w:pStyle w:val="TableParagraph"/>
              <w:spacing w:line="285" w:lineRule="auto" w:before="5"/>
              <w:ind w:left="107" w:right="86"/>
              <w:rPr>
                <w:sz w:val="20"/>
              </w:rPr>
            </w:pPr>
            <w:r>
              <w:rPr>
                <w:sz w:val="20"/>
              </w:rPr>
              <w:t>10．胸腔镜下冠状</w:t>
            </w:r>
            <w:r>
              <w:rPr>
                <w:w w:val="95"/>
                <w:sz w:val="20"/>
              </w:rPr>
              <w:t>动脉搭桥手术</w:t>
            </w:r>
          </w:p>
        </w:tc>
        <w:tc>
          <w:tcPr>
            <w:tcW w:w="7933" w:type="dxa"/>
          </w:tcPr>
          <w:p>
            <w:pPr>
              <w:pStyle w:val="TableParagraph"/>
              <w:spacing w:before="5"/>
              <w:rPr>
                <w:sz w:val="20"/>
              </w:rPr>
            </w:pPr>
            <w:r>
              <w:rPr>
                <w:w w:val="95"/>
                <w:sz w:val="20"/>
              </w:rPr>
              <w:t>为了治疗明显的冠状动脉狭窄性疾病，首次实际实施的胸腔镜下冠状动脉搭桥手术。</w:t>
            </w:r>
          </w:p>
          <w:p>
            <w:pPr>
              <w:pStyle w:val="TableParagraph"/>
              <w:spacing w:line="285" w:lineRule="auto" w:before="50"/>
              <w:ind w:right="92"/>
              <w:rPr>
                <w:b/>
                <w:sz w:val="20"/>
              </w:rPr>
            </w:pPr>
            <w:r>
              <w:rPr>
                <w:b/>
                <w:sz w:val="20"/>
              </w:rPr>
              <w:t>“不典型的急性心肌梗塞”、“冠状动脉介入手术”与“胸腔镜下冠状动脉搭桥手术” </w:t>
            </w:r>
            <w:r>
              <w:rPr>
                <w:b/>
                <w:w w:val="95"/>
                <w:sz w:val="20"/>
              </w:rPr>
              <w:t>三项中我们只赔付其中一项，任何一项赔付后我们不再承担其它两项的保险责任。</w:t>
            </w:r>
          </w:p>
        </w:tc>
      </w:tr>
      <w:tr>
        <w:trPr>
          <w:trHeight w:val="669" w:hRule="atLeast"/>
        </w:trPr>
        <w:tc>
          <w:tcPr>
            <w:tcW w:w="1860" w:type="dxa"/>
          </w:tcPr>
          <w:p>
            <w:pPr>
              <w:pStyle w:val="TableParagraph"/>
              <w:spacing w:line="285" w:lineRule="auto" w:before="3"/>
              <w:ind w:left="107" w:right="86"/>
              <w:rPr>
                <w:sz w:val="20"/>
              </w:rPr>
            </w:pPr>
            <w:r>
              <w:rPr>
                <w:sz w:val="20"/>
              </w:rPr>
              <w:t>11．心脏瓣膜介入</w:t>
            </w:r>
            <w:r>
              <w:rPr>
                <w:w w:val="95"/>
                <w:sz w:val="20"/>
              </w:rPr>
              <w:t>手术</w:t>
            </w:r>
          </w:p>
        </w:tc>
        <w:tc>
          <w:tcPr>
            <w:tcW w:w="7933" w:type="dxa"/>
          </w:tcPr>
          <w:p>
            <w:pPr>
              <w:pStyle w:val="TableParagraph"/>
              <w:spacing w:line="285" w:lineRule="auto" w:before="3"/>
              <w:ind w:right="101"/>
              <w:rPr>
                <w:sz w:val="20"/>
              </w:rPr>
            </w:pPr>
            <w:r>
              <w:rPr>
                <w:spacing w:val="-8"/>
                <w:w w:val="95"/>
                <w:sz w:val="20"/>
              </w:rPr>
              <w:t>为了治疗心脏瓣膜疾病，实际实施的非开胸的经胸壁打孔内镜手术或经皮经导管介入手术   进行的心脏瓣膜置换或修复手术。</w:t>
            </w:r>
          </w:p>
        </w:tc>
      </w:tr>
      <w:tr>
        <w:trPr>
          <w:trHeight w:val="669" w:hRule="atLeast"/>
        </w:trPr>
        <w:tc>
          <w:tcPr>
            <w:tcW w:w="1860" w:type="dxa"/>
          </w:tcPr>
          <w:p>
            <w:pPr>
              <w:pStyle w:val="TableParagraph"/>
              <w:spacing w:before="5"/>
              <w:ind w:left="107"/>
              <w:rPr>
                <w:sz w:val="20"/>
              </w:rPr>
            </w:pPr>
            <w:r>
              <w:rPr>
                <w:w w:val="95"/>
                <w:sz w:val="20"/>
              </w:rPr>
              <w:t>12．主动脉内手术</w:t>
            </w:r>
          </w:p>
        </w:tc>
        <w:tc>
          <w:tcPr>
            <w:tcW w:w="7933" w:type="dxa"/>
          </w:tcPr>
          <w:p>
            <w:pPr>
              <w:pStyle w:val="TableParagraph"/>
              <w:spacing w:line="285" w:lineRule="auto" w:before="5"/>
              <w:ind w:right="101"/>
              <w:rPr>
                <w:b/>
                <w:sz w:val="20"/>
              </w:rPr>
            </w:pPr>
            <w:r>
              <w:rPr>
                <w:spacing w:val="-4"/>
                <w:w w:val="95"/>
                <w:sz w:val="20"/>
              </w:rPr>
              <w:t>为了治疗主动脉疾病实际实施的经皮经导管进行的动脉内手术。主动脉指胸主动脉和腹主   动脉，</w:t>
            </w:r>
            <w:r>
              <w:rPr>
                <w:b/>
                <w:spacing w:val="-4"/>
                <w:w w:val="95"/>
                <w:sz w:val="20"/>
              </w:rPr>
              <w:t>不包括胸主动脉和腹主动脉的分支血管。</w:t>
            </w:r>
          </w:p>
        </w:tc>
      </w:tr>
      <w:tr>
        <w:trPr>
          <w:trHeight w:val="2855" w:hRule="atLeast"/>
        </w:trPr>
        <w:tc>
          <w:tcPr>
            <w:tcW w:w="1860" w:type="dxa"/>
          </w:tcPr>
          <w:p>
            <w:pPr>
              <w:pStyle w:val="TableParagraph"/>
              <w:spacing w:line="285" w:lineRule="auto" w:before="5"/>
              <w:ind w:left="107" w:right="86"/>
              <w:rPr>
                <w:sz w:val="20"/>
              </w:rPr>
            </w:pPr>
            <w:r>
              <w:rPr>
                <w:sz w:val="20"/>
              </w:rPr>
              <w:t>13．早期原发性心</w:t>
            </w:r>
            <w:r>
              <w:rPr>
                <w:w w:val="95"/>
                <w:sz w:val="20"/>
              </w:rPr>
              <w:t>肌病</w:t>
            </w:r>
          </w:p>
        </w:tc>
        <w:tc>
          <w:tcPr>
            <w:tcW w:w="7933" w:type="dxa"/>
          </w:tcPr>
          <w:p>
            <w:pPr>
              <w:pStyle w:val="TableParagraph"/>
              <w:spacing w:before="5"/>
              <w:rPr>
                <w:sz w:val="20"/>
              </w:rPr>
            </w:pPr>
            <w:r>
              <w:rPr>
                <w:w w:val="95"/>
                <w:sz w:val="20"/>
              </w:rPr>
              <w:t>被诊断为原发性心肌病，并符合下列所有条件：</w:t>
            </w:r>
          </w:p>
          <w:p>
            <w:pPr>
              <w:pStyle w:val="TableParagraph"/>
              <w:spacing w:line="285" w:lineRule="auto" w:before="50"/>
              <w:ind w:right="-15"/>
              <w:rPr>
                <w:sz w:val="20"/>
              </w:rPr>
            </w:pPr>
            <w:r>
              <w:rPr>
                <w:spacing w:val="-15"/>
                <w:sz w:val="20"/>
              </w:rPr>
              <w:t>（1）</w:t>
            </w:r>
            <w:r>
              <w:rPr>
                <w:spacing w:val="-7"/>
                <w:sz w:val="20"/>
              </w:rPr>
              <w:t>导致心室功能受损，其受损程度达到美国纽约心脏病学会心脏功能分级的第 </w:t>
            </w:r>
            <w:r>
              <w:rPr>
                <w:sz w:val="20"/>
              </w:rPr>
              <w:t>III</w:t>
            </w:r>
            <w:r>
              <w:rPr>
                <w:spacing w:val="-18"/>
                <w:sz w:val="20"/>
              </w:rPr>
              <w:t> 级， </w:t>
            </w:r>
            <w:r>
              <w:rPr>
                <w:spacing w:val="-15"/>
                <w:sz w:val="20"/>
              </w:rPr>
              <w:t>或其同等级別，即：体力活动明显受限，休息时无症状，轻于日常的活动即可引起充血性</w:t>
            </w:r>
            <w:r>
              <w:rPr>
                <w:spacing w:val="-15"/>
                <w:w w:val="95"/>
                <w:sz w:val="20"/>
              </w:rPr>
              <w:t>心力衰竭的症状。</w:t>
            </w:r>
          </w:p>
          <w:p>
            <w:pPr>
              <w:pStyle w:val="TableParagraph"/>
              <w:spacing w:before="12"/>
              <w:rPr>
                <w:sz w:val="20"/>
              </w:rPr>
            </w:pPr>
            <w:r>
              <w:rPr>
                <w:sz w:val="20"/>
              </w:rPr>
              <w:t>（2）左室射血分数 LVEF&lt;35%。</w:t>
            </w:r>
          </w:p>
          <w:p>
            <w:pPr>
              <w:pStyle w:val="TableParagraph"/>
              <w:spacing w:line="285" w:lineRule="auto" w:before="50"/>
              <w:ind w:right="101"/>
              <w:rPr>
                <w:sz w:val="20"/>
              </w:rPr>
            </w:pPr>
            <w:r>
              <w:rPr>
                <w:spacing w:val="-3"/>
                <w:w w:val="95"/>
                <w:sz w:val="20"/>
              </w:rPr>
              <w:t>原发性心肌病的诊断必须由本公司认可医院的心脏专科医师确认，并提供心脏超声检查结   果报告。</w:t>
            </w:r>
          </w:p>
          <w:p>
            <w:pPr>
              <w:pStyle w:val="TableParagraph"/>
              <w:spacing w:line="285" w:lineRule="auto" w:before="12"/>
              <w:ind w:right="95"/>
              <w:rPr>
                <w:b/>
                <w:sz w:val="20"/>
              </w:rPr>
            </w:pPr>
            <w:r>
              <w:rPr>
                <w:spacing w:val="-5"/>
                <w:sz w:val="20"/>
              </w:rPr>
              <w:t>本保障范围内的心肌病包括扩张型心肌病、肥厚型心肌病及限制型心肌病。</w:t>
            </w:r>
            <w:r>
              <w:rPr>
                <w:b/>
                <w:sz w:val="20"/>
              </w:rPr>
              <w:t>继发于全身性</w:t>
            </w:r>
            <w:r>
              <w:rPr>
                <w:b/>
                <w:w w:val="95"/>
                <w:sz w:val="20"/>
              </w:rPr>
              <w:t>疾病或其它器官系统疾病以及由于酒精和药物滥用导致的心肌病不在保障范围内。</w:t>
            </w:r>
          </w:p>
        </w:tc>
      </w:tr>
      <w:tr>
        <w:trPr>
          <w:trHeight w:val="981" w:hRule="atLeast"/>
        </w:trPr>
        <w:tc>
          <w:tcPr>
            <w:tcW w:w="1860" w:type="dxa"/>
          </w:tcPr>
          <w:p>
            <w:pPr>
              <w:pStyle w:val="TableParagraph"/>
              <w:spacing w:before="3"/>
              <w:ind w:left="107"/>
              <w:rPr>
                <w:sz w:val="20"/>
              </w:rPr>
            </w:pPr>
            <w:r>
              <w:rPr>
                <w:sz w:val="20"/>
              </w:rPr>
              <w:t>14．侵蚀性葡萄胎</w:t>
            </w:r>
          </w:p>
          <w:p>
            <w:pPr>
              <w:pStyle w:val="TableParagraph"/>
              <w:spacing w:line="285" w:lineRule="auto" w:before="50"/>
              <w:ind w:left="107" w:right="99"/>
              <w:rPr>
                <w:sz w:val="20"/>
              </w:rPr>
            </w:pPr>
            <w:r>
              <w:rPr>
                <w:sz w:val="20"/>
              </w:rPr>
              <w:t>（</w:t>
            </w:r>
            <w:r>
              <w:rPr>
                <w:spacing w:val="-33"/>
                <w:sz w:val="20"/>
              </w:rPr>
              <w:t> 或 称 恶 性 葡 萄</w:t>
            </w:r>
            <w:r>
              <w:rPr>
                <w:spacing w:val="-33"/>
                <w:w w:val="95"/>
                <w:sz w:val="20"/>
              </w:rPr>
              <w:t>胎）</w:t>
            </w:r>
          </w:p>
        </w:tc>
        <w:tc>
          <w:tcPr>
            <w:tcW w:w="7933" w:type="dxa"/>
          </w:tcPr>
          <w:p>
            <w:pPr>
              <w:pStyle w:val="TableParagraph"/>
              <w:spacing w:line="285" w:lineRule="auto" w:before="3"/>
              <w:ind w:right="101"/>
              <w:jc w:val="both"/>
              <w:rPr>
                <w:sz w:val="20"/>
              </w:rPr>
            </w:pPr>
            <w:r>
              <w:rPr>
                <w:spacing w:val="-3"/>
                <w:w w:val="95"/>
                <w:sz w:val="20"/>
              </w:rPr>
              <w:t>指异常增生的绒毛组织浸润性生长浸入子宫肌层或转移至其他器官或组织的葡萄胎，并已   </w:t>
            </w:r>
            <w:r>
              <w:rPr>
                <w:spacing w:val="-11"/>
                <w:w w:val="95"/>
                <w:sz w:val="20"/>
              </w:rPr>
              <w:t>经进行化疗或手术治疗。诊断及治疗均须在本公司认可的医院内由专科医师认为是医疗必   须的情况下进行。</w:t>
            </w:r>
          </w:p>
        </w:tc>
      </w:tr>
      <w:tr>
        <w:trPr>
          <w:trHeight w:val="981" w:hRule="atLeast"/>
        </w:trPr>
        <w:tc>
          <w:tcPr>
            <w:tcW w:w="1860" w:type="dxa"/>
          </w:tcPr>
          <w:p>
            <w:pPr>
              <w:pStyle w:val="TableParagraph"/>
              <w:spacing w:line="285" w:lineRule="auto" w:before="5"/>
              <w:ind w:left="107" w:right="86"/>
              <w:rPr>
                <w:sz w:val="20"/>
              </w:rPr>
            </w:pPr>
            <w:r>
              <w:rPr>
                <w:sz w:val="20"/>
              </w:rPr>
              <w:t>15．心脏起搏器或</w:t>
            </w:r>
            <w:r>
              <w:rPr>
                <w:w w:val="95"/>
                <w:sz w:val="20"/>
              </w:rPr>
              <w:t>除颤器植入</w:t>
            </w:r>
          </w:p>
        </w:tc>
        <w:tc>
          <w:tcPr>
            <w:tcW w:w="7933" w:type="dxa"/>
          </w:tcPr>
          <w:p>
            <w:pPr>
              <w:pStyle w:val="TableParagraph"/>
              <w:spacing w:line="285" w:lineRule="auto" w:before="5"/>
              <w:ind w:right="101"/>
              <w:jc w:val="both"/>
              <w:rPr>
                <w:sz w:val="20"/>
              </w:rPr>
            </w:pPr>
            <w:r>
              <w:rPr>
                <w:spacing w:val="-3"/>
                <w:w w:val="95"/>
                <w:sz w:val="20"/>
              </w:rPr>
              <w:t>因严重心律失常而确实已实施植入永久性心脏起搏器或除顫器的手术。理赔时须提供完整   </w:t>
            </w:r>
            <w:r>
              <w:rPr>
                <w:spacing w:val="-6"/>
                <w:w w:val="95"/>
                <w:sz w:val="20"/>
              </w:rPr>
              <w:t>病历资料及手术记录以证实此严重心律失常并不能以其他方法治疗。诊断及治疗均须在本   公司认可的医院内由专科医师认为是医疗必须的情况下进行。</w:t>
            </w:r>
          </w:p>
        </w:tc>
      </w:tr>
      <w:tr>
        <w:trPr>
          <w:trHeight w:val="359" w:hRule="atLeast"/>
        </w:trPr>
        <w:tc>
          <w:tcPr>
            <w:tcW w:w="1860" w:type="dxa"/>
          </w:tcPr>
          <w:p>
            <w:pPr>
              <w:pStyle w:val="TableParagraph"/>
              <w:spacing w:before="5"/>
              <w:ind w:left="107"/>
              <w:rPr>
                <w:sz w:val="20"/>
              </w:rPr>
            </w:pPr>
            <w:r>
              <w:rPr>
                <w:w w:val="95"/>
                <w:sz w:val="20"/>
              </w:rPr>
              <w:t>16．单个肢体缺失</w:t>
            </w:r>
          </w:p>
        </w:tc>
        <w:tc>
          <w:tcPr>
            <w:tcW w:w="7933" w:type="dxa"/>
          </w:tcPr>
          <w:p>
            <w:pPr>
              <w:pStyle w:val="TableParagraph"/>
              <w:spacing w:before="5"/>
              <w:rPr>
                <w:sz w:val="20"/>
              </w:rPr>
            </w:pPr>
            <w:r>
              <w:rPr>
                <w:spacing w:val="-4"/>
                <w:w w:val="95"/>
                <w:sz w:val="20"/>
              </w:rPr>
              <w:t>指因疾病或意外伤害导致一个肢体自腕关节或踝关节近端</w:t>
            </w:r>
            <w:r>
              <w:rPr>
                <w:w w:val="95"/>
                <w:sz w:val="20"/>
              </w:rPr>
              <w:t>（靠近躯干端</w:t>
            </w:r>
            <w:r>
              <w:rPr>
                <w:spacing w:val="-94"/>
                <w:w w:val="95"/>
                <w:sz w:val="20"/>
              </w:rPr>
              <w:t>）</w:t>
            </w:r>
            <w:r>
              <w:rPr>
                <w:w w:val="95"/>
                <w:sz w:val="20"/>
              </w:rPr>
              <w:t>以上完全性断离。</w:t>
            </w:r>
          </w:p>
        </w:tc>
      </w:tr>
      <w:tr>
        <w:trPr>
          <w:trHeight w:val="669" w:hRule="atLeast"/>
        </w:trPr>
        <w:tc>
          <w:tcPr>
            <w:tcW w:w="1860" w:type="dxa"/>
          </w:tcPr>
          <w:p>
            <w:pPr>
              <w:pStyle w:val="TableParagraph"/>
              <w:spacing w:before="3"/>
              <w:ind w:left="107"/>
              <w:rPr>
                <w:sz w:val="20"/>
              </w:rPr>
            </w:pPr>
            <w:r>
              <w:rPr>
                <w:w w:val="95"/>
                <w:sz w:val="20"/>
              </w:rPr>
              <w:t>17．中度严重脑炎</w:t>
            </w:r>
          </w:p>
        </w:tc>
        <w:tc>
          <w:tcPr>
            <w:tcW w:w="7933" w:type="dxa"/>
          </w:tcPr>
          <w:p>
            <w:pPr>
              <w:pStyle w:val="TableParagraph"/>
              <w:spacing w:line="285" w:lineRule="auto" w:before="3"/>
              <w:ind w:right="103"/>
              <w:rPr>
                <w:sz w:val="20"/>
              </w:rPr>
            </w:pPr>
            <w:r>
              <w:rPr>
                <w:spacing w:val="-3"/>
                <w:w w:val="95"/>
                <w:sz w:val="20"/>
              </w:rPr>
              <w:t>因病毒感染致脑炎</w:t>
            </w:r>
            <w:r>
              <w:rPr>
                <w:w w:val="95"/>
                <w:sz w:val="20"/>
              </w:rPr>
              <w:t>（</w:t>
            </w:r>
            <w:r>
              <w:rPr>
                <w:spacing w:val="-5"/>
                <w:w w:val="95"/>
                <w:sz w:val="20"/>
              </w:rPr>
              <w:t>大脑半球、脑干或小脑</w:t>
            </w:r>
            <w:r>
              <w:rPr>
                <w:spacing w:val="-22"/>
                <w:w w:val="95"/>
                <w:sz w:val="20"/>
              </w:rPr>
              <w:t>）</w:t>
            </w:r>
            <w:r>
              <w:rPr>
                <w:spacing w:val="-3"/>
                <w:w w:val="95"/>
                <w:sz w:val="20"/>
              </w:rPr>
              <w:t>需要入住医院，并导致神经系统永久性的中  </w:t>
            </w:r>
            <w:r>
              <w:rPr>
                <w:spacing w:val="-7"/>
                <w:sz w:val="20"/>
              </w:rPr>
              <w:t>度功能障碍。疾病首次确诊 </w:t>
            </w:r>
            <w:r>
              <w:rPr>
                <w:sz w:val="20"/>
              </w:rPr>
              <w:t>180</w:t>
            </w:r>
            <w:r>
              <w:rPr>
                <w:spacing w:val="-8"/>
                <w:sz w:val="20"/>
              </w:rPr>
              <w:t> 天后，仍遗留下列一种或一种以上障碍：</w:t>
            </w:r>
          </w:p>
        </w:tc>
      </w:tr>
    </w:tbl>
    <w:p>
      <w:pPr>
        <w:spacing w:after="0" w:line="285" w:lineRule="auto"/>
        <w:rPr>
          <w:sz w:val="20"/>
        </w:rPr>
        <w:sectPr>
          <w:pgSz w:w="11910" w:h="16840"/>
          <w:pgMar w:header="0" w:footer="831" w:top="1120" w:bottom="1020" w:left="1000" w:right="880"/>
        </w:sectPr>
      </w:pPr>
    </w:p>
    <w:tbl>
      <w:tblPr>
        <w:tblW w:w="0" w:type="auto"/>
        <w:jc w:val="left"/>
        <w:tblInd w:w="3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60"/>
        <w:gridCol w:w="7933"/>
      </w:tblGrid>
      <w:tr>
        <w:trPr>
          <w:trHeight w:val="369" w:hRule="atLeast"/>
        </w:trPr>
        <w:tc>
          <w:tcPr>
            <w:tcW w:w="1860" w:type="dxa"/>
            <w:shd w:val="clear" w:color="auto" w:fill="D7D7D7"/>
          </w:tcPr>
          <w:p>
            <w:pPr>
              <w:pStyle w:val="TableParagraph"/>
              <w:spacing w:before="15"/>
              <w:ind w:left="107"/>
              <w:rPr>
                <w:b/>
                <w:sz w:val="20"/>
              </w:rPr>
            </w:pPr>
            <w:r>
              <w:rPr>
                <w:b/>
                <w:w w:val="95"/>
                <w:sz w:val="20"/>
              </w:rPr>
              <w:t>轻症重疾名称</w:t>
            </w:r>
          </w:p>
        </w:tc>
        <w:tc>
          <w:tcPr>
            <w:tcW w:w="7933" w:type="dxa"/>
            <w:shd w:val="clear" w:color="auto" w:fill="D7D7D7"/>
          </w:tcPr>
          <w:p>
            <w:pPr>
              <w:pStyle w:val="TableParagraph"/>
              <w:spacing w:before="15"/>
              <w:rPr>
                <w:b/>
                <w:sz w:val="20"/>
              </w:rPr>
            </w:pPr>
            <w:r>
              <w:rPr>
                <w:b/>
                <w:sz w:val="20"/>
              </w:rPr>
              <w:t>定义</w:t>
            </w:r>
          </w:p>
        </w:tc>
      </w:tr>
      <w:tr>
        <w:trPr>
          <w:trHeight w:val="1293" w:hRule="atLeast"/>
        </w:trPr>
        <w:tc>
          <w:tcPr>
            <w:tcW w:w="1860" w:type="dxa"/>
          </w:tcPr>
          <w:p>
            <w:pPr>
              <w:pStyle w:val="TableParagraph"/>
              <w:ind w:left="0"/>
              <w:rPr>
                <w:rFonts w:ascii="Times New Roman"/>
                <w:sz w:val="18"/>
              </w:rPr>
            </w:pPr>
          </w:p>
        </w:tc>
        <w:tc>
          <w:tcPr>
            <w:tcW w:w="7933" w:type="dxa"/>
          </w:tcPr>
          <w:p>
            <w:pPr>
              <w:pStyle w:val="TableParagraph"/>
              <w:spacing w:before="5"/>
              <w:rPr>
                <w:sz w:val="20"/>
              </w:rPr>
            </w:pPr>
            <w:r>
              <w:rPr>
                <w:sz w:val="20"/>
              </w:rPr>
              <w:t>（1）一肢或一肢以上肢体肌力 III 级或 III 级以下的运动功能障碍。</w:t>
            </w:r>
          </w:p>
          <w:p>
            <w:pPr>
              <w:pStyle w:val="TableParagraph"/>
              <w:spacing w:line="285" w:lineRule="auto" w:before="50"/>
              <w:ind w:right="-15"/>
              <w:rPr>
                <w:b/>
                <w:sz w:val="20"/>
              </w:rPr>
            </w:pPr>
            <w:r>
              <w:rPr>
                <w:spacing w:val="-15"/>
                <w:sz w:val="20"/>
              </w:rPr>
              <w:t>（2）</w:t>
            </w:r>
            <w:r>
              <w:rPr>
                <w:spacing w:val="-6"/>
                <w:sz w:val="20"/>
              </w:rPr>
              <w:t>自主生活能力部分丧失，无法独立完成六项基本日常生活活动中的 </w:t>
            </w:r>
            <w:r>
              <w:rPr>
                <w:sz w:val="20"/>
              </w:rPr>
              <w:t>2</w:t>
            </w:r>
            <w:r>
              <w:rPr>
                <w:spacing w:val="-26"/>
                <w:sz w:val="20"/>
              </w:rPr>
              <w:t> 项或 </w:t>
            </w:r>
            <w:r>
              <w:rPr>
                <w:sz w:val="20"/>
              </w:rPr>
              <w:t>2</w:t>
            </w:r>
            <w:r>
              <w:rPr>
                <w:spacing w:val="-12"/>
                <w:sz w:val="20"/>
              </w:rPr>
              <w:t> 项以上。</w:t>
            </w:r>
            <w:r>
              <w:rPr>
                <w:spacing w:val="-16"/>
                <w:sz w:val="20"/>
              </w:rPr>
              <w:t>诊断必须由本公司认可医院的神经专科医生确定，并必须由适当的检查证明为急性病毒感</w:t>
            </w:r>
            <w:r>
              <w:rPr>
                <w:spacing w:val="-16"/>
                <w:w w:val="95"/>
                <w:sz w:val="20"/>
              </w:rPr>
              <w:t>染导致的脑炎。</w:t>
            </w:r>
            <w:r>
              <w:rPr>
                <w:b/>
                <w:spacing w:val="-16"/>
                <w:w w:val="95"/>
                <w:sz w:val="20"/>
              </w:rPr>
              <w:t>由人类免疫缺陷病毒（HIV）导致的脑炎不在保障范围内。</w:t>
            </w:r>
          </w:p>
        </w:tc>
      </w:tr>
      <w:tr>
        <w:trPr>
          <w:trHeight w:val="3168" w:hRule="atLeast"/>
        </w:trPr>
        <w:tc>
          <w:tcPr>
            <w:tcW w:w="1860" w:type="dxa"/>
          </w:tcPr>
          <w:p>
            <w:pPr>
              <w:pStyle w:val="TableParagraph"/>
              <w:spacing w:line="285" w:lineRule="auto" w:before="5"/>
              <w:ind w:left="107" w:right="86"/>
              <w:rPr>
                <w:sz w:val="20"/>
              </w:rPr>
            </w:pPr>
            <w:r>
              <w:rPr>
                <w:sz w:val="20"/>
              </w:rPr>
              <w:t>18．中度严重重症</w:t>
            </w:r>
            <w:r>
              <w:rPr>
                <w:w w:val="95"/>
                <w:sz w:val="20"/>
              </w:rPr>
              <w:t>肌无力症</w:t>
            </w:r>
          </w:p>
        </w:tc>
        <w:tc>
          <w:tcPr>
            <w:tcW w:w="7933" w:type="dxa"/>
          </w:tcPr>
          <w:p>
            <w:pPr>
              <w:pStyle w:val="TableParagraph"/>
              <w:spacing w:line="285" w:lineRule="auto" w:before="5"/>
              <w:ind w:right="101"/>
              <w:jc w:val="both"/>
              <w:rPr>
                <w:sz w:val="20"/>
              </w:rPr>
            </w:pPr>
            <w:r>
              <w:rPr>
                <w:spacing w:val="-4"/>
                <w:w w:val="95"/>
                <w:sz w:val="20"/>
              </w:rPr>
              <w:t>重症肌无力是一种神经肌肉接头传递障碍所致的疾病，表现为局部或全身骨骼肌</w:t>
            </w:r>
            <w:r>
              <w:rPr>
                <w:w w:val="95"/>
                <w:sz w:val="20"/>
              </w:rPr>
              <w:t>（特别是   眼外肌</w:t>
            </w:r>
            <w:r>
              <w:rPr>
                <w:spacing w:val="-22"/>
                <w:w w:val="95"/>
                <w:sz w:val="20"/>
              </w:rPr>
              <w:t>）</w:t>
            </w:r>
            <w:r>
              <w:rPr>
                <w:spacing w:val="-7"/>
                <w:w w:val="95"/>
                <w:sz w:val="20"/>
              </w:rPr>
              <w:t>极易疲劳。疾病可以累及呼吸肌、上肢或下肢的近端肌群或全身肌肉。该病必须   </w:t>
            </w:r>
            <w:r>
              <w:rPr>
                <w:spacing w:val="-11"/>
                <w:w w:val="95"/>
                <w:sz w:val="20"/>
              </w:rPr>
              <w:t>由本公司认可的医院的神经专科医生明确诊断，根据下列美国重症肌无力基金会的临床分  </w:t>
            </w:r>
            <w:r>
              <w:rPr>
                <w:spacing w:val="-18"/>
                <w:sz w:val="20"/>
              </w:rPr>
              <w:t>类界定为第 </w:t>
            </w:r>
            <w:r>
              <w:rPr>
                <w:sz w:val="20"/>
              </w:rPr>
              <w:t>III</w:t>
            </w:r>
            <w:r>
              <w:rPr>
                <w:spacing w:val="-35"/>
                <w:sz w:val="20"/>
              </w:rPr>
              <w:t> 至 </w:t>
            </w:r>
            <w:r>
              <w:rPr>
                <w:sz w:val="20"/>
              </w:rPr>
              <w:t>V</w:t>
            </w:r>
            <w:r>
              <w:rPr>
                <w:spacing w:val="-13"/>
                <w:sz w:val="20"/>
              </w:rPr>
              <w:t> 级并且持续至少 </w:t>
            </w:r>
            <w:r>
              <w:rPr>
                <w:sz w:val="20"/>
              </w:rPr>
              <w:t>180</w:t>
            </w:r>
            <w:r>
              <w:rPr>
                <w:spacing w:val="-17"/>
                <w:sz w:val="20"/>
              </w:rPr>
              <w:t> 天。</w:t>
            </w:r>
          </w:p>
          <w:p>
            <w:pPr>
              <w:pStyle w:val="TableParagraph"/>
              <w:spacing w:before="12"/>
              <w:rPr>
                <w:sz w:val="20"/>
              </w:rPr>
            </w:pPr>
            <w:r>
              <w:rPr>
                <w:w w:val="95"/>
                <w:sz w:val="20"/>
              </w:rPr>
              <w:t>美国重症肌无力基金会的临床分类为：</w:t>
            </w:r>
          </w:p>
          <w:p>
            <w:pPr>
              <w:pStyle w:val="TableParagraph"/>
              <w:spacing w:line="285" w:lineRule="auto" w:before="50"/>
              <w:ind w:right="1017"/>
              <w:rPr>
                <w:sz w:val="20"/>
              </w:rPr>
            </w:pPr>
            <w:r>
              <w:rPr>
                <w:spacing w:val="-28"/>
                <w:sz w:val="20"/>
              </w:rPr>
              <w:t>第 </w:t>
            </w:r>
            <w:r>
              <w:rPr>
                <w:sz w:val="20"/>
              </w:rPr>
              <w:t>I</w:t>
            </w:r>
            <w:r>
              <w:rPr>
                <w:spacing w:val="-8"/>
                <w:sz w:val="20"/>
              </w:rPr>
              <w:t> 级：任何程度之眼部肌肉无力，可伴有上睑下垂，及无其他部位肌无力。</w:t>
            </w:r>
            <w:r>
              <w:rPr>
                <w:spacing w:val="-32"/>
                <w:sz w:val="20"/>
              </w:rPr>
              <w:t>第 </w:t>
            </w:r>
            <w:r>
              <w:rPr>
                <w:sz w:val="20"/>
              </w:rPr>
              <w:t>II</w:t>
            </w:r>
            <w:r>
              <w:rPr>
                <w:spacing w:val="-8"/>
                <w:sz w:val="20"/>
              </w:rPr>
              <w:t> 级：任何程度之眼部肌肉无力，及其他部位之轻度肌肉无力。</w:t>
            </w:r>
          </w:p>
          <w:p>
            <w:pPr>
              <w:pStyle w:val="TableParagraph"/>
              <w:spacing w:line="285" w:lineRule="auto" w:before="12"/>
              <w:ind w:right="1816"/>
              <w:rPr>
                <w:sz w:val="20"/>
              </w:rPr>
            </w:pPr>
            <w:r>
              <w:rPr>
                <w:spacing w:val="-27"/>
                <w:sz w:val="20"/>
              </w:rPr>
              <w:t>第 </w:t>
            </w:r>
            <w:r>
              <w:rPr>
                <w:sz w:val="20"/>
              </w:rPr>
              <w:t>III</w:t>
            </w:r>
            <w:r>
              <w:rPr>
                <w:spacing w:val="-8"/>
                <w:sz w:val="20"/>
              </w:rPr>
              <w:t> 级：任何程度之眼部肌肉无力，及其他部位之中度肌肉无力。</w:t>
            </w:r>
            <w:r>
              <w:rPr>
                <w:spacing w:val="-30"/>
                <w:sz w:val="20"/>
              </w:rPr>
              <w:t>第 </w:t>
            </w:r>
            <w:r>
              <w:rPr>
                <w:sz w:val="20"/>
              </w:rPr>
              <w:t>IV</w:t>
            </w:r>
            <w:r>
              <w:rPr>
                <w:spacing w:val="-8"/>
                <w:sz w:val="20"/>
              </w:rPr>
              <w:t> 级：任何程度之眼部肌肉无力，及其他部位之严重肌肉无力。</w:t>
            </w:r>
            <w:r>
              <w:rPr>
                <w:spacing w:val="-31"/>
                <w:sz w:val="20"/>
              </w:rPr>
              <w:t>第 </w:t>
            </w:r>
            <w:r>
              <w:rPr>
                <w:sz w:val="20"/>
              </w:rPr>
              <w:t>V</w:t>
            </w:r>
            <w:r>
              <w:rPr>
                <w:spacing w:val="-8"/>
                <w:sz w:val="20"/>
              </w:rPr>
              <w:t> 级：需要气管插管以维持气管畅通。</w:t>
            </w:r>
          </w:p>
        </w:tc>
      </w:tr>
      <w:tr>
        <w:trPr>
          <w:trHeight w:val="1917" w:hRule="atLeast"/>
        </w:trPr>
        <w:tc>
          <w:tcPr>
            <w:tcW w:w="1860" w:type="dxa"/>
          </w:tcPr>
          <w:p>
            <w:pPr>
              <w:pStyle w:val="TableParagraph"/>
              <w:spacing w:line="285" w:lineRule="auto" w:before="3"/>
              <w:ind w:left="107" w:right="86"/>
              <w:rPr>
                <w:sz w:val="20"/>
              </w:rPr>
            </w:pPr>
            <w:r>
              <w:rPr>
                <w:sz w:val="20"/>
              </w:rPr>
              <w:t>19．中度严重溃疡</w:t>
            </w:r>
            <w:r>
              <w:rPr>
                <w:w w:val="95"/>
                <w:sz w:val="20"/>
              </w:rPr>
              <w:t>性结肠炎</w:t>
            </w:r>
          </w:p>
        </w:tc>
        <w:tc>
          <w:tcPr>
            <w:tcW w:w="7933" w:type="dxa"/>
          </w:tcPr>
          <w:p>
            <w:pPr>
              <w:pStyle w:val="TableParagraph"/>
              <w:spacing w:line="285" w:lineRule="auto" w:before="3"/>
              <w:ind w:right="101"/>
              <w:rPr>
                <w:sz w:val="20"/>
              </w:rPr>
            </w:pPr>
            <w:r>
              <w:rPr>
                <w:spacing w:val="-3"/>
                <w:w w:val="95"/>
                <w:sz w:val="20"/>
              </w:rPr>
              <w:t>溃疡性结肠炎是指伴有致命性电解质紊乱及肠道肿胀及有肠破裂的风险的大肠</w:t>
            </w:r>
            <w:r>
              <w:rPr>
                <w:w w:val="95"/>
                <w:sz w:val="20"/>
              </w:rPr>
              <w:t>（结肠及直   肠）粘膜炎症。须满足下列所有条件：</w:t>
            </w:r>
          </w:p>
          <w:p>
            <w:pPr>
              <w:pStyle w:val="TableParagraph"/>
              <w:spacing w:line="285" w:lineRule="auto" w:before="12"/>
              <w:ind w:right="105"/>
              <w:rPr>
                <w:sz w:val="20"/>
              </w:rPr>
            </w:pPr>
            <w:r>
              <w:rPr>
                <w:sz w:val="20"/>
              </w:rPr>
              <w:t>（1）须经由内窥镜检查证实该疾病侵犯全部结肠及直肠，并经病理学组织切片检查证实</w:t>
            </w:r>
            <w:r>
              <w:rPr>
                <w:w w:val="95"/>
                <w:sz w:val="20"/>
              </w:rPr>
              <w:t>为溃疡性结肠炎。</w:t>
            </w:r>
          </w:p>
          <w:p>
            <w:pPr>
              <w:pStyle w:val="TableParagraph"/>
              <w:spacing w:before="12"/>
              <w:rPr>
                <w:sz w:val="20"/>
              </w:rPr>
            </w:pPr>
            <w:r>
              <w:rPr>
                <w:sz w:val="20"/>
              </w:rPr>
              <w:t>（2）经专科医生以类固醇或免疫抑制剂连续治疗 6 个月。</w:t>
            </w:r>
          </w:p>
          <w:p>
            <w:pPr>
              <w:pStyle w:val="TableParagraph"/>
              <w:spacing w:before="50"/>
              <w:rPr>
                <w:sz w:val="20"/>
              </w:rPr>
            </w:pPr>
            <w:r>
              <w:rPr>
                <w:w w:val="95"/>
                <w:sz w:val="20"/>
              </w:rPr>
              <w:t>诊断及治疗均须在本公司认可的医院内由专科医师认为是医疗必须的情况下进行。</w:t>
            </w:r>
          </w:p>
        </w:tc>
      </w:tr>
      <w:tr>
        <w:trPr>
          <w:trHeight w:val="1293" w:hRule="atLeast"/>
        </w:trPr>
        <w:tc>
          <w:tcPr>
            <w:tcW w:w="1860" w:type="dxa"/>
          </w:tcPr>
          <w:p>
            <w:pPr>
              <w:pStyle w:val="TableParagraph"/>
              <w:spacing w:line="285" w:lineRule="auto" w:before="5"/>
              <w:ind w:left="107" w:right="86"/>
              <w:jc w:val="both"/>
              <w:rPr>
                <w:sz w:val="20"/>
              </w:rPr>
            </w:pPr>
            <w:r>
              <w:rPr>
                <w:sz w:val="20"/>
              </w:rPr>
              <w:t>20．特定周围动脉狭窄的血管介入治疗</w:t>
            </w:r>
          </w:p>
        </w:tc>
        <w:tc>
          <w:tcPr>
            <w:tcW w:w="7933" w:type="dxa"/>
          </w:tcPr>
          <w:p>
            <w:pPr>
              <w:pStyle w:val="TableParagraph"/>
              <w:spacing w:line="285" w:lineRule="auto" w:before="5"/>
              <w:ind w:right="101"/>
              <w:jc w:val="both"/>
              <w:rPr>
                <w:sz w:val="20"/>
              </w:rPr>
            </w:pPr>
            <w:r>
              <w:rPr>
                <w:spacing w:val="-4"/>
                <w:w w:val="95"/>
                <w:sz w:val="20"/>
              </w:rPr>
              <w:t>指为治疗特定周围动脉的狭窄而实际实施的血管成形术、支架植入术或动脉粥样硬化斑块   </w:t>
            </w:r>
            <w:r>
              <w:rPr>
                <w:spacing w:val="-11"/>
                <w:w w:val="95"/>
                <w:sz w:val="20"/>
              </w:rPr>
              <w:t>清除手术。诊断及治疗均须在本公司认可的医院内由专科医师认为是医疗必须的情况下进  </w:t>
            </w:r>
            <w:r>
              <w:rPr>
                <w:spacing w:val="-13"/>
                <w:sz w:val="20"/>
              </w:rPr>
              <w:t>行，并须经血管造影术证实接受介入治疗的动脉有 </w:t>
            </w:r>
            <w:r>
              <w:rPr>
                <w:sz w:val="20"/>
              </w:rPr>
              <w:t>50%或以上的狭窄。</w:t>
            </w:r>
          </w:p>
          <w:p>
            <w:pPr>
              <w:pStyle w:val="TableParagraph"/>
              <w:spacing w:before="12"/>
              <w:jc w:val="both"/>
              <w:rPr>
                <w:sz w:val="20"/>
              </w:rPr>
            </w:pPr>
            <w:r>
              <w:rPr>
                <w:w w:val="95"/>
                <w:sz w:val="20"/>
              </w:rPr>
              <w:t>特定周围动脉指肾动脉、肠系统膜动脉和为下肢或上肢供血的动脉。</w:t>
            </w:r>
          </w:p>
        </w:tc>
      </w:tr>
    </w:tbl>
    <w:p>
      <w:pPr>
        <w:pStyle w:val="BodyText"/>
        <w:rPr>
          <w:b/>
        </w:rPr>
      </w:pPr>
    </w:p>
    <w:p>
      <w:pPr>
        <w:pStyle w:val="BodyText"/>
        <w:rPr>
          <w:b/>
        </w:rPr>
      </w:pPr>
    </w:p>
    <w:p>
      <w:pPr>
        <w:pStyle w:val="BodyText"/>
        <w:spacing w:before="4"/>
        <w:rPr>
          <w:b/>
          <w:sz w:val="23"/>
        </w:r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32"/>
        <w:gridCol w:w="1555"/>
        <w:gridCol w:w="8321"/>
      </w:tblGrid>
      <w:tr>
        <w:trPr>
          <w:trHeight w:val="333" w:hRule="atLeast"/>
        </w:trPr>
        <w:tc>
          <w:tcPr>
            <w:tcW w:w="10508" w:type="dxa"/>
            <w:gridSpan w:val="3"/>
          </w:tcPr>
          <w:p>
            <w:pPr>
              <w:pStyle w:val="TableParagraph"/>
              <w:spacing w:line="199" w:lineRule="exact"/>
              <w:ind w:left="380"/>
              <w:rPr>
                <w:b/>
                <w:sz w:val="20"/>
              </w:rPr>
            </w:pPr>
            <w:r>
              <w:rPr>
                <w:b/>
                <w:sz w:val="20"/>
              </w:rPr>
              <w:t>释义</w:t>
            </w:r>
          </w:p>
        </w:tc>
      </w:tr>
      <w:tr>
        <w:trPr>
          <w:trHeight w:val="1367" w:hRule="atLeast"/>
        </w:trPr>
        <w:tc>
          <w:tcPr>
            <w:tcW w:w="632" w:type="dxa"/>
          </w:tcPr>
          <w:p>
            <w:pPr>
              <w:pStyle w:val="TableParagraph"/>
              <w:spacing w:before="72"/>
              <w:ind w:left="200"/>
              <w:rPr>
                <w:b/>
                <w:sz w:val="20"/>
              </w:rPr>
            </w:pPr>
            <w:r>
              <w:rPr>
                <w:b/>
                <w:sz w:val="20"/>
              </w:rPr>
              <w:t>1.</w:t>
            </w:r>
          </w:p>
        </w:tc>
        <w:tc>
          <w:tcPr>
            <w:tcW w:w="1555" w:type="dxa"/>
          </w:tcPr>
          <w:p>
            <w:pPr>
              <w:pStyle w:val="TableParagraph"/>
              <w:spacing w:before="72"/>
              <w:ind w:left="230"/>
              <w:rPr>
                <w:b/>
                <w:sz w:val="20"/>
              </w:rPr>
            </w:pPr>
            <w:r>
              <w:rPr>
                <w:b/>
                <w:sz w:val="20"/>
              </w:rPr>
              <w:t>现金价值</w:t>
            </w:r>
          </w:p>
        </w:tc>
        <w:tc>
          <w:tcPr>
            <w:tcW w:w="8321" w:type="dxa"/>
          </w:tcPr>
          <w:p>
            <w:pPr>
              <w:pStyle w:val="TableParagraph"/>
              <w:spacing w:line="288" w:lineRule="auto" w:before="72"/>
              <w:ind w:left="322" w:right="366"/>
              <w:jc w:val="both"/>
              <w:rPr>
                <w:b/>
                <w:sz w:val="20"/>
              </w:rPr>
            </w:pPr>
            <w:r>
              <w:rPr>
                <w:b/>
                <w:w w:val="95"/>
                <w:sz w:val="20"/>
              </w:rPr>
              <w:t>指保险单所具有的价值，通常体现为解除合同时根据精算原理计算的由我们退还的那部   分金额。该项目保单年度末的金额将列示在本合同所附的现金价值表的对应列内，实际   退保时的现金价值系基于保单年度末的现金价值根据合理的方法换算所得。</w:t>
            </w:r>
            <w:r>
              <w:rPr>
                <w:b/>
                <w:w w:val="95"/>
                <w:sz w:val="20"/>
                <w:u w:val="single"/>
              </w:rPr>
              <w:t>给付首次重  大疾病保险金后，本合同的现金价值降为零</w:t>
            </w:r>
            <w:r>
              <w:rPr>
                <w:b/>
                <w:w w:val="95"/>
                <w:sz w:val="20"/>
              </w:rPr>
              <w:t>。</w:t>
            </w:r>
          </w:p>
        </w:tc>
      </w:tr>
      <w:tr>
        <w:trPr>
          <w:trHeight w:val="704" w:hRule="atLeast"/>
        </w:trPr>
        <w:tc>
          <w:tcPr>
            <w:tcW w:w="632" w:type="dxa"/>
          </w:tcPr>
          <w:p>
            <w:pPr>
              <w:pStyle w:val="TableParagraph"/>
              <w:spacing w:before="33"/>
              <w:ind w:left="200"/>
              <w:rPr>
                <w:b/>
                <w:sz w:val="20"/>
              </w:rPr>
            </w:pPr>
            <w:r>
              <w:rPr>
                <w:b/>
                <w:sz w:val="20"/>
              </w:rPr>
              <w:t>2.</w:t>
            </w:r>
          </w:p>
        </w:tc>
        <w:tc>
          <w:tcPr>
            <w:tcW w:w="1555" w:type="dxa"/>
          </w:tcPr>
          <w:p>
            <w:pPr>
              <w:pStyle w:val="TableParagraph"/>
              <w:spacing w:before="33"/>
              <w:ind w:left="230"/>
              <w:rPr>
                <w:b/>
                <w:sz w:val="20"/>
              </w:rPr>
            </w:pPr>
            <w:r>
              <w:rPr>
                <w:b/>
                <w:w w:val="95"/>
                <w:sz w:val="20"/>
              </w:rPr>
              <w:t>保单生效日</w:t>
            </w:r>
          </w:p>
        </w:tc>
        <w:tc>
          <w:tcPr>
            <w:tcW w:w="8321" w:type="dxa"/>
          </w:tcPr>
          <w:p>
            <w:pPr>
              <w:pStyle w:val="TableParagraph"/>
              <w:spacing w:line="288" w:lineRule="auto" w:before="33"/>
              <w:ind w:left="322" w:right="278"/>
              <w:rPr>
                <w:sz w:val="20"/>
              </w:rPr>
            </w:pPr>
            <w:r>
              <w:rPr>
                <w:spacing w:val="-4"/>
                <w:w w:val="95"/>
                <w:sz w:val="20"/>
              </w:rPr>
              <w:t>保险单所载的我们所承担的保险责任的开始日期。所有保单周年日、保单年度、保险费约   定支付日均以此日期为计算依据。</w:t>
            </w:r>
          </w:p>
        </w:tc>
      </w:tr>
      <w:tr>
        <w:trPr>
          <w:trHeight w:val="662" w:hRule="atLeast"/>
        </w:trPr>
        <w:tc>
          <w:tcPr>
            <w:tcW w:w="632" w:type="dxa"/>
          </w:tcPr>
          <w:p>
            <w:pPr>
              <w:pStyle w:val="TableParagraph"/>
              <w:spacing w:before="32"/>
              <w:ind w:left="200"/>
              <w:rPr>
                <w:b/>
                <w:sz w:val="20"/>
              </w:rPr>
            </w:pPr>
            <w:r>
              <w:rPr>
                <w:b/>
                <w:sz w:val="20"/>
              </w:rPr>
              <w:t>3.</w:t>
            </w:r>
          </w:p>
        </w:tc>
        <w:tc>
          <w:tcPr>
            <w:tcW w:w="1555" w:type="dxa"/>
          </w:tcPr>
          <w:p>
            <w:pPr>
              <w:pStyle w:val="TableParagraph"/>
              <w:spacing w:before="32"/>
              <w:ind w:left="230"/>
              <w:rPr>
                <w:b/>
                <w:sz w:val="20"/>
              </w:rPr>
            </w:pPr>
            <w:r>
              <w:rPr>
                <w:b/>
                <w:w w:val="95"/>
                <w:sz w:val="20"/>
              </w:rPr>
              <w:t>保单周年日</w:t>
            </w:r>
          </w:p>
        </w:tc>
        <w:tc>
          <w:tcPr>
            <w:tcW w:w="8321" w:type="dxa"/>
          </w:tcPr>
          <w:p>
            <w:pPr>
              <w:pStyle w:val="TableParagraph"/>
              <w:spacing w:line="312" w:lineRule="exact" w:before="16"/>
              <w:ind w:left="322" w:right="275"/>
              <w:rPr>
                <w:sz w:val="20"/>
              </w:rPr>
            </w:pPr>
            <w:r>
              <w:rPr>
                <w:spacing w:val="-3"/>
                <w:w w:val="95"/>
                <w:sz w:val="20"/>
              </w:rPr>
              <w:t>保险单所载的保单生效日之后每一年中保单生效日的对应日。若被保险人周岁生日与保单   周年日重合，即为被保险人周岁生日。</w:t>
            </w:r>
          </w:p>
        </w:tc>
      </w:tr>
      <w:tr>
        <w:trPr>
          <w:trHeight w:val="391" w:hRule="atLeast"/>
        </w:trPr>
        <w:tc>
          <w:tcPr>
            <w:tcW w:w="632" w:type="dxa"/>
          </w:tcPr>
          <w:p>
            <w:pPr>
              <w:pStyle w:val="TableParagraph"/>
              <w:spacing w:line="256" w:lineRule="exact"/>
              <w:ind w:left="200"/>
              <w:rPr>
                <w:b/>
                <w:sz w:val="20"/>
              </w:rPr>
            </w:pPr>
            <w:r>
              <w:rPr>
                <w:b/>
                <w:sz w:val="20"/>
              </w:rPr>
              <w:t>4.</w:t>
            </w:r>
          </w:p>
        </w:tc>
        <w:tc>
          <w:tcPr>
            <w:tcW w:w="1555" w:type="dxa"/>
          </w:tcPr>
          <w:p>
            <w:pPr>
              <w:pStyle w:val="TableParagraph"/>
              <w:spacing w:line="256" w:lineRule="exact"/>
              <w:ind w:left="230"/>
              <w:rPr>
                <w:b/>
                <w:sz w:val="20"/>
              </w:rPr>
            </w:pPr>
            <w:r>
              <w:rPr>
                <w:b/>
                <w:sz w:val="20"/>
              </w:rPr>
              <w:t>保单年度</w:t>
            </w:r>
          </w:p>
        </w:tc>
        <w:tc>
          <w:tcPr>
            <w:tcW w:w="8321" w:type="dxa"/>
          </w:tcPr>
          <w:p>
            <w:pPr>
              <w:pStyle w:val="TableParagraph"/>
              <w:spacing w:line="258" w:lineRule="exact"/>
              <w:ind w:left="322"/>
              <w:rPr>
                <w:sz w:val="20"/>
              </w:rPr>
            </w:pPr>
            <w:r>
              <w:rPr>
                <w:w w:val="95"/>
                <w:sz w:val="20"/>
              </w:rPr>
              <w:t>自保险单所载的保单生效日算起的每个周年期间。保单生效日包含在第一个保单年度中。</w:t>
            </w:r>
          </w:p>
        </w:tc>
      </w:tr>
      <w:tr>
        <w:trPr>
          <w:trHeight w:val="741" w:hRule="atLeast"/>
        </w:trPr>
        <w:tc>
          <w:tcPr>
            <w:tcW w:w="632" w:type="dxa"/>
          </w:tcPr>
          <w:p>
            <w:pPr>
              <w:pStyle w:val="TableParagraph"/>
              <w:spacing w:before="70"/>
              <w:ind w:left="200"/>
              <w:rPr>
                <w:b/>
                <w:sz w:val="20"/>
              </w:rPr>
            </w:pPr>
            <w:r>
              <w:rPr>
                <w:b/>
                <w:sz w:val="20"/>
              </w:rPr>
              <w:t>5.</w:t>
            </w:r>
          </w:p>
        </w:tc>
        <w:tc>
          <w:tcPr>
            <w:tcW w:w="1555" w:type="dxa"/>
          </w:tcPr>
          <w:p>
            <w:pPr>
              <w:pStyle w:val="TableParagraph"/>
              <w:spacing w:before="70"/>
              <w:ind w:left="230"/>
              <w:rPr>
                <w:b/>
                <w:sz w:val="20"/>
              </w:rPr>
            </w:pPr>
            <w:r>
              <w:rPr>
                <w:b/>
                <w:sz w:val="20"/>
              </w:rPr>
              <w:t>周岁</w:t>
            </w:r>
          </w:p>
        </w:tc>
        <w:tc>
          <w:tcPr>
            <w:tcW w:w="8321" w:type="dxa"/>
          </w:tcPr>
          <w:p>
            <w:pPr>
              <w:pStyle w:val="TableParagraph"/>
              <w:spacing w:line="288" w:lineRule="auto" w:before="70"/>
              <w:ind w:left="322" w:right="278"/>
              <w:rPr>
                <w:sz w:val="20"/>
              </w:rPr>
            </w:pPr>
            <w:r>
              <w:rPr>
                <w:spacing w:val="-4"/>
                <w:w w:val="95"/>
                <w:sz w:val="20"/>
              </w:rPr>
              <w:t>以法定身份证明文件中记载的出生日期为基准，自出生之日起为零周岁，每经过一年增加   一周岁，不足一年的不计，依此类推。</w:t>
            </w:r>
          </w:p>
        </w:tc>
      </w:tr>
      <w:tr>
        <w:trPr>
          <w:trHeight w:val="429" w:hRule="atLeast"/>
        </w:trPr>
        <w:tc>
          <w:tcPr>
            <w:tcW w:w="632" w:type="dxa"/>
          </w:tcPr>
          <w:p>
            <w:pPr>
              <w:pStyle w:val="TableParagraph"/>
              <w:spacing w:before="32"/>
              <w:ind w:left="200"/>
              <w:rPr>
                <w:b/>
                <w:sz w:val="20"/>
              </w:rPr>
            </w:pPr>
            <w:r>
              <w:rPr>
                <w:b/>
                <w:sz w:val="20"/>
              </w:rPr>
              <w:t>6.</w:t>
            </w:r>
          </w:p>
        </w:tc>
        <w:tc>
          <w:tcPr>
            <w:tcW w:w="1555" w:type="dxa"/>
          </w:tcPr>
          <w:p>
            <w:pPr>
              <w:pStyle w:val="TableParagraph"/>
              <w:spacing w:before="32"/>
              <w:ind w:left="230"/>
              <w:rPr>
                <w:b/>
                <w:sz w:val="20"/>
              </w:rPr>
            </w:pPr>
            <w:r>
              <w:rPr>
                <w:b/>
                <w:sz w:val="20"/>
              </w:rPr>
              <w:t>满期日</w:t>
            </w:r>
          </w:p>
        </w:tc>
        <w:tc>
          <w:tcPr>
            <w:tcW w:w="8321" w:type="dxa"/>
          </w:tcPr>
          <w:p>
            <w:pPr>
              <w:pStyle w:val="TableParagraph"/>
              <w:spacing w:before="34"/>
              <w:ind w:left="322"/>
              <w:rPr>
                <w:sz w:val="20"/>
              </w:rPr>
            </w:pPr>
            <w:r>
              <w:rPr>
                <w:w w:val="95"/>
                <w:sz w:val="20"/>
              </w:rPr>
              <w:t>本合同订立时约定的保险期间届满之日。</w:t>
            </w:r>
          </w:p>
        </w:tc>
      </w:tr>
      <w:tr>
        <w:trPr>
          <w:trHeight w:val="644" w:hRule="atLeast"/>
        </w:trPr>
        <w:tc>
          <w:tcPr>
            <w:tcW w:w="632" w:type="dxa"/>
          </w:tcPr>
          <w:p>
            <w:pPr>
              <w:pStyle w:val="TableParagraph"/>
              <w:spacing w:before="70"/>
              <w:ind w:left="200"/>
              <w:rPr>
                <w:b/>
                <w:sz w:val="20"/>
              </w:rPr>
            </w:pPr>
            <w:r>
              <w:rPr>
                <w:b/>
                <w:sz w:val="20"/>
              </w:rPr>
              <w:t>7.</w:t>
            </w:r>
          </w:p>
        </w:tc>
        <w:tc>
          <w:tcPr>
            <w:tcW w:w="1555" w:type="dxa"/>
          </w:tcPr>
          <w:p>
            <w:pPr>
              <w:pStyle w:val="TableParagraph"/>
              <w:spacing w:before="70"/>
              <w:ind w:left="230"/>
              <w:rPr>
                <w:b/>
                <w:sz w:val="20"/>
              </w:rPr>
            </w:pPr>
            <w:r>
              <w:rPr>
                <w:b/>
                <w:sz w:val="20"/>
              </w:rPr>
              <w:t>全残</w:t>
            </w:r>
          </w:p>
        </w:tc>
        <w:tc>
          <w:tcPr>
            <w:tcW w:w="8321" w:type="dxa"/>
          </w:tcPr>
          <w:p>
            <w:pPr>
              <w:pStyle w:val="TableParagraph"/>
              <w:spacing w:line="310" w:lineRule="atLeast" w:before="22"/>
              <w:ind w:left="322" w:right="275"/>
              <w:rPr>
                <w:sz w:val="20"/>
              </w:rPr>
            </w:pPr>
            <w:r>
              <w:rPr>
                <w:spacing w:val="-4"/>
                <w:w w:val="95"/>
                <w:sz w:val="20"/>
              </w:rPr>
              <w:t>若被保险人因疾病而导致下列残疾项目之一，或者因意外事故的伤害而自意外事故发生之   </w:t>
            </w:r>
            <w:r>
              <w:rPr>
                <w:spacing w:val="-8"/>
                <w:w w:val="95"/>
                <w:sz w:val="20"/>
              </w:rPr>
              <w:t>日起一百八十日内因该事故导致下列残疾项目之一，即认为全残。若被保险人接受治疗仍</w:t>
            </w:r>
          </w:p>
        </w:tc>
      </w:tr>
    </w:tbl>
    <w:p>
      <w:pPr>
        <w:spacing w:after="0" w:line="310" w:lineRule="atLeast"/>
        <w:rPr>
          <w:sz w:val="20"/>
        </w:rPr>
        <w:sectPr>
          <w:pgSz w:w="11910" w:h="16840"/>
          <w:pgMar w:header="0" w:footer="831" w:top="1120" w:bottom="1020" w:left="760" w:right="42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3"/>
        <w:gridCol w:w="1606"/>
        <w:gridCol w:w="8196"/>
      </w:tblGrid>
      <w:tr>
        <w:trPr>
          <w:trHeight w:val="5873" w:hRule="atLeast"/>
        </w:trPr>
        <w:tc>
          <w:tcPr>
            <w:tcW w:w="683" w:type="dxa"/>
          </w:tcPr>
          <w:p>
            <w:pPr>
              <w:pStyle w:val="TableParagraph"/>
              <w:ind w:left="0"/>
              <w:rPr>
                <w:rFonts w:ascii="Times New Roman"/>
                <w:sz w:val="18"/>
              </w:rPr>
            </w:pPr>
          </w:p>
        </w:tc>
        <w:tc>
          <w:tcPr>
            <w:tcW w:w="1606" w:type="dxa"/>
          </w:tcPr>
          <w:p>
            <w:pPr>
              <w:pStyle w:val="TableParagraph"/>
              <w:ind w:left="0"/>
              <w:rPr>
                <w:rFonts w:ascii="Times New Roman"/>
                <w:sz w:val="18"/>
              </w:rPr>
            </w:pPr>
          </w:p>
        </w:tc>
        <w:tc>
          <w:tcPr>
            <w:tcW w:w="8196" w:type="dxa"/>
          </w:tcPr>
          <w:p>
            <w:pPr>
              <w:pStyle w:val="TableParagraph"/>
              <w:spacing w:line="191" w:lineRule="exact"/>
              <w:ind w:left="220"/>
              <w:rPr>
                <w:sz w:val="20"/>
              </w:rPr>
            </w:pPr>
            <w:r>
              <w:rPr>
                <w:w w:val="95"/>
                <w:sz w:val="20"/>
              </w:rPr>
              <w:t>未结束的，按第一百八十日的身体情况进行残疾鉴定，并据此给付全残保险金。</w:t>
            </w:r>
          </w:p>
          <w:p>
            <w:pPr>
              <w:pStyle w:val="TableParagraph"/>
              <w:numPr>
                <w:ilvl w:val="0"/>
                <w:numId w:val="40"/>
              </w:numPr>
              <w:tabs>
                <w:tab w:pos="900" w:val="left" w:leader="none"/>
              </w:tabs>
              <w:spacing w:line="240" w:lineRule="auto" w:before="129" w:after="0"/>
              <w:ind w:left="900" w:right="0" w:hanging="680"/>
              <w:jc w:val="left"/>
              <w:rPr>
                <w:sz w:val="20"/>
              </w:rPr>
            </w:pPr>
            <w:r>
              <w:rPr>
                <w:sz w:val="20"/>
              </w:rPr>
              <w:t>双目永久完全失明的（</w:t>
            </w:r>
            <w:r>
              <w:rPr>
                <w:spacing w:val="-27"/>
                <w:sz w:val="20"/>
              </w:rPr>
              <w:t>注 </w:t>
            </w:r>
            <w:r>
              <w:rPr>
                <w:sz w:val="20"/>
              </w:rPr>
              <w:t>1）</w:t>
            </w:r>
          </w:p>
          <w:p>
            <w:pPr>
              <w:pStyle w:val="TableParagraph"/>
              <w:numPr>
                <w:ilvl w:val="0"/>
                <w:numId w:val="40"/>
              </w:numPr>
              <w:tabs>
                <w:tab w:pos="900" w:val="left" w:leader="none"/>
              </w:tabs>
              <w:spacing w:line="240" w:lineRule="auto" w:before="50" w:after="0"/>
              <w:ind w:left="900" w:right="0" w:hanging="680"/>
              <w:jc w:val="left"/>
              <w:rPr>
                <w:sz w:val="20"/>
              </w:rPr>
            </w:pPr>
            <w:r>
              <w:rPr>
                <w:w w:val="95"/>
                <w:sz w:val="20"/>
              </w:rPr>
              <w:t>两上肢腕关节以上或两下肢踝关节以上缺失的</w:t>
            </w:r>
          </w:p>
          <w:p>
            <w:pPr>
              <w:pStyle w:val="TableParagraph"/>
              <w:numPr>
                <w:ilvl w:val="0"/>
                <w:numId w:val="40"/>
              </w:numPr>
              <w:tabs>
                <w:tab w:pos="900" w:val="left" w:leader="none"/>
              </w:tabs>
              <w:spacing w:line="240" w:lineRule="auto" w:before="50" w:after="0"/>
              <w:ind w:left="900" w:right="0" w:hanging="680"/>
              <w:jc w:val="left"/>
              <w:rPr>
                <w:sz w:val="20"/>
              </w:rPr>
            </w:pPr>
            <w:r>
              <w:rPr>
                <w:w w:val="95"/>
                <w:sz w:val="20"/>
              </w:rPr>
              <w:t>一上肢腕关节以上及一下肢踝关节以上缺失的</w:t>
            </w:r>
          </w:p>
          <w:p>
            <w:pPr>
              <w:pStyle w:val="TableParagraph"/>
              <w:numPr>
                <w:ilvl w:val="0"/>
                <w:numId w:val="40"/>
              </w:numPr>
              <w:tabs>
                <w:tab w:pos="900" w:val="left" w:leader="none"/>
              </w:tabs>
              <w:spacing w:line="240" w:lineRule="auto" w:before="50" w:after="0"/>
              <w:ind w:left="900" w:right="0" w:hanging="680"/>
              <w:jc w:val="left"/>
              <w:rPr>
                <w:sz w:val="20"/>
              </w:rPr>
            </w:pPr>
            <w:r>
              <w:rPr>
                <w:w w:val="95"/>
                <w:sz w:val="20"/>
              </w:rPr>
              <w:t>一目永久完全失明及一上肢腕关节以上缺失的</w:t>
            </w:r>
          </w:p>
          <w:p>
            <w:pPr>
              <w:pStyle w:val="TableParagraph"/>
              <w:numPr>
                <w:ilvl w:val="0"/>
                <w:numId w:val="40"/>
              </w:numPr>
              <w:tabs>
                <w:tab w:pos="900" w:val="left" w:leader="none"/>
              </w:tabs>
              <w:spacing w:line="240" w:lineRule="auto" w:before="50" w:after="0"/>
              <w:ind w:left="900" w:right="0" w:hanging="680"/>
              <w:jc w:val="left"/>
              <w:rPr>
                <w:sz w:val="20"/>
              </w:rPr>
            </w:pPr>
            <w:r>
              <w:rPr>
                <w:w w:val="95"/>
                <w:sz w:val="20"/>
              </w:rPr>
              <w:t>一目永久完全失明及一下肢踝关节以上缺失的</w:t>
            </w:r>
          </w:p>
          <w:p>
            <w:pPr>
              <w:pStyle w:val="TableParagraph"/>
              <w:numPr>
                <w:ilvl w:val="0"/>
                <w:numId w:val="40"/>
              </w:numPr>
              <w:tabs>
                <w:tab w:pos="900" w:val="left" w:leader="none"/>
              </w:tabs>
              <w:spacing w:line="240" w:lineRule="auto" w:before="50" w:after="0"/>
              <w:ind w:left="900" w:right="0" w:hanging="680"/>
              <w:jc w:val="left"/>
              <w:rPr>
                <w:sz w:val="20"/>
              </w:rPr>
            </w:pPr>
            <w:r>
              <w:rPr>
                <w:sz w:val="20"/>
              </w:rPr>
              <w:t>四肢关节机能永久完全丧失的（</w:t>
            </w:r>
            <w:r>
              <w:rPr>
                <w:spacing w:val="-27"/>
                <w:sz w:val="20"/>
              </w:rPr>
              <w:t>注 </w:t>
            </w:r>
            <w:r>
              <w:rPr>
                <w:sz w:val="20"/>
              </w:rPr>
              <w:t>2）</w:t>
            </w:r>
          </w:p>
          <w:p>
            <w:pPr>
              <w:pStyle w:val="TableParagraph"/>
              <w:numPr>
                <w:ilvl w:val="0"/>
                <w:numId w:val="40"/>
              </w:numPr>
              <w:tabs>
                <w:tab w:pos="900" w:val="left" w:leader="none"/>
              </w:tabs>
              <w:spacing w:line="240" w:lineRule="auto" w:before="50" w:after="0"/>
              <w:ind w:left="900" w:right="0" w:hanging="680"/>
              <w:jc w:val="left"/>
              <w:rPr>
                <w:sz w:val="20"/>
              </w:rPr>
            </w:pPr>
            <w:r>
              <w:rPr>
                <w:sz w:val="20"/>
              </w:rPr>
              <w:t>咀嚼、吞咽机能永久完全丧失的（</w:t>
            </w:r>
            <w:r>
              <w:rPr>
                <w:spacing w:val="-28"/>
                <w:sz w:val="20"/>
              </w:rPr>
              <w:t>注 </w:t>
            </w:r>
            <w:r>
              <w:rPr>
                <w:sz w:val="20"/>
              </w:rPr>
              <w:t>3）</w:t>
            </w:r>
          </w:p>
          <w:p>
            <w:pPr>
              <w:pStyle w:val="TableParagraph"/>
              <w:numPr>
                <w:ilvl w:val="0"/>
                <w:numId w:val="40"/>
              </w:numPr>
              <w:tabs>
                <w:tab w:pos="900" w:val="left" w:leader="none"/>
              </w:tabs>
              <w:spacing w:line="285" w:lineRule="auto" w:before="50" w:after="0"/>
              <w:ind w:left="900" w:right="199" w:hanging="680"/>
              <w:jc w:val="left"/>
              <w:rPr>
                <w:sz w:val="20"/>
              </w:rPr>
            </w:pPr>
            <w:r>
              <w:rPr>
                <w:spacing w:val="-7"/>
                <w:w w:val="95"/>
                <w:sz w:val="20"/>
              </w:rPr>
              <w:t>中枢神经系统机能或胸、腹部脏器机能极度障碍，终生不能从事任何工作，为维持  </w:t>
            </w:r>
            <w:r>
              <w:rPr>
                <w:spacing w:val="-7"/>
                <w:sz w:val="20"/>
              </w:rPr>
              <w:t>生命必要的日常生活活动，全需他人扶助的（</w:t>
            </w:r>
            <w:r>
              <w:rPr>
                <w:spacing w:val="-31"/>
                <w:sz w:val="20"/>
              </w:rPr>
              <w:t>注 </w:t>
            </w:r>
            <w:r>
              <w:rPr>
                <w:sz w:val="20"/>
              </w:rPr>
              <w:t>4）</w:t>
            </w:r>
          </w:p>
          <w:p>
            <w:pPr>
              <w:pStyle w:val="TableParagraph"/>
              <w:spacing w:line="285" w:lineRule="auto" w:before="168"/>
              <w:ind w:left="1091" w:right="253" w:hanging="872"/>
              <w:jc w:val="both"/>
              <w:rPr>
                <w:sz w:val="20"/>
              </w:rPr>
            </w:pPr>
            <w:r>
              <w:rPr>
                <w:spacing w:val="0"/>
                <w:sz w:val="20"/>
              </w:rPr>
              <w:t>注： </w:t>
            </w:r>
            <w:r>
              <w:rPr>
                <w:sz w:val="20"/>
              </w:rPr>
              <w:t>1） 失明包括眼球缺失或摘除、或不能辨别明暗、或仅能辨别眼前手动者，最佳矫</w:t>
            </w:r>
            <w:r>
              <w:rPr>
                <w:spacing w:val="-4"/>
                <w:sz w:val="20"/>
              </w:rPr>
              <w:t>正视力低于国际标准视力表 </w:t>
            </w:r>
            <w:r>
              <w:rPr>
                <w:sz w:val="20"/>
              </w:rPr>
              <w:t>0.02</w:t>
            </w:r>
            <w:r>
              <w:rPr>
                <w:spacing w:val="-6"/>
                <w:sz w:val="20"/>
              </w:rPr>
              <w:t>，或视野半径小于 </w:t>
            </w:r>
            <w:r>
              <w:rPr>
                <w:sz w:val="20"/>
              </w:rPr>
              <w:t>5</w:t>
            </w:r>
            <w:r>
              <w:rPr>
                <w:spacing w:val="-8"/>
                <w:sz w:val="20"/>
              </w:rPr>
              <w:t> 度，并由保险公司指定有</w:t>
            </w:r>
            <w:r>
              <w:rPr>
                <w:spacing w:val="-8"/>
                <w:w w:val="95"/>
                <w:sz w:val="20"/>
              </w:rPr>
              <w:t>资格的眼科专科医生出具医疗诊断证明。</w:t>
            </w:r>
          </w:p>
          <w:p>
            <w:pPr>
              <w:pStyle w:val="TableParagraph"/>
              <w:numPr>
                <w:ilvl w:val="1"/>
                <w:numId w:val="40"/>
              </w:numPr>
              <w:tabs>
                <w:tab w:pos="1120" w:val="left" w:leader="none"/>
                <w:tab w:pos="1121" w:val="left" w:leader="none"/>
              </w:tabs>
              <w:spacing w:line="240" w:lineRule="auto" w:before="12" w:after="0"/>
              <w:ind w:left="1128" w:right="0" w:hanging="457"/>
              <w:jc w:val="left"/>
              <w:rPr>
                <w:sz w:val="20"/>
              </w:rPr>
            </w:pPr>
            <w:r>
              <w:rPr>
                <w:w w:val="95"/>
                <w:sz w:val="20"/>
              </w:rPr>
              <w:t>关节机能的丧失系指关节永久完全僵硬、或麻痹、或关节不能随意识活动。</w:t>
            </w:r>
          </w:p>
          <w:p>
            <w:pPr>
              <w:pStyle w:val="TableParagraph"/>
              <w:numPr>
                <w:ilvl w:val="1"/>
                <w:numId w:val="40"/>
              </w:numPr>
              <w:tabs>
                <w:tab w:pos="1120" w:val="left" w:leader="none"/>
                <w:tab w:pos="1121" w:val="left" w:leader="none"/>
              </w:tabs>
              <w:spacing w:line="285" w:lineRule="auto" w:before="50" w:after="0"/>
              <w:ind w:left="1128" w:right="278" w:hanging="457"/>
              <w:jc w:val="left"/>
              <w:rPr>
                <w:sz w:val="20"/>
              </w:rPr>
            </w:pPr>
            <w:r>
              <w:rPr>
                <w:w w:val="95"/>
                <w:sz w:val="20"/>
              </w:rPr>
              <w:t>咀嚼、吞咽机能的丧失系指由于牙齿以外的原因引起器质障碍或机能障碍，以  致不能作咀嚼、吞咽运动，除流质食物外不能摄取或吞咽的状态。</w:t>
            </w:r>
          </w:p>
          <w:p>
            <w:pPr>
              <w:pStyle w:val="TableParagraph"/>
              <w:numPr>
                <w:ilvl w:val="1"/>
                <w:numId w:val="40"/>
              </w:numPr>
              <w:tabs>
                <w:tab w:pos="1120" w:val="left" w:leader="none"/>
                <w:tab w:pos="1121" w:val="left" w:leader="none"/>
              </w:tabs>
              <w:spacing w:line="285" w:lineRule="auto" w:before="11" w:after="0"/>
              <w:ind w:left="1128" w:right="278" w:hanging="457"/>
              <w:jc w:val="left"/>
              <w:rPr>
                <w:sz w:val="20"/>
              </w:rPr>
            </w:pPr>
            <w:r>
              <w:rPr>
                <w:w w:val="95"/>
                <w:sz w:val="20"/>
              </w:rPr>
              <w:t>为维持生命必要之日常生活活动，全需他人扶助系指食物摄取、大小便始末、  穿脱衣服、起居、步行、入浴等，皆不能自己为之，需要他人帮助。</w:t>
            </w:r>
          </w:p>
        </w:tc>
      </w:tr>
      <w:tr>
        <w:trPr>
          <w:trHeight w:val="1054" w:hRule="atLeast"/>
        </w:trPr>
        <w:tc>
          <w:tcPr>
            <w:tcW w:w="683" w:type="dxa"/>
          </w:tcPr>
          <w:p>
            <w:pPr>
              <w:pStyle w:val="TableParagraph"/>
              <w:spacing w:before="63"/>
              <w:ind w:left="81" w:right="160"/>
              <w:jc w:val="center"/>
              <w:rPr>
                <w:b/>
                <w:sz w:val="20"/>
              </w:rPr>
            </w:pPr>
            <w:r>
              <w:rPr>
                <w:b/>
                <w:sz w:val="20"/>
              </w:rPr>
              <w:t>8.</w:t>
            </w:r>
          </w:p>
        </w:tc>
        <w:tc>
          <w:tcPr>
            <w:tcW w:w="1606" w:type="dxa"/>
          </w:tcPr>
          <w:p>
            <w:pPr>
              <w:pStyle w:val="TableParagraph"/>
              <w:spacing w:before="63"/>
              <w:ind w:left="179"/>
              <w:rPr>
                <w:b/>
                <w:sz w:val="20"/>
              </w:rPr>
            </w:pPr>
            <w:r>
              <w:rPr>
                <w:b/>
                <w:w w:val="95"/>
                <w:sz w:val="20"/>
              </w:rPr>
              <w:t>终末期疾病</w:t>
            </w:r>
          </w:p>
        </w:tc>
        <w:tc>
          <w:tcPr>
            <w:tcW w:w="8196" w:type="dxa"/>
          </w:tcPr>
          <w:p>
            <w:pPr>
              <w:pStyle w:val="TableParagraph"/>
              <w:spacing w:line="288" w:lineRule="auto" w:before="63"/>
              <w:ind w:left="220" w:right="255"/>
              <w:jc w:val="both"/>
              <w:rPr>
                <w:sz w:val="20"/>
              </w:rPr>
            </w:pPr>
            <w:r>
              <w:rPr>
                <w:spacing w:val="-4"/>
                <w:w w:val="95"/>
                <w:sz w:val="20"/>
              </w:rPr>
              <w:t>指被保险人达到疾病的终末期状态，所患疾病依现有的医疗技术无法治愈或缓解，且将导   </w:t>
            </w:r>
            <w:r>
              <w:rPr>
                <w:spacing w:val="-10"/>
                <w:w w:val="95"/>
                <w:sz w:val="20"/>
              </w:rPr>
              <w:t>致被保险人在未来六个月内死亡。在患者及其家属的要求和医生的同意下一切积极治疗已   被放弃，所有治疗措施仅以减轻患者痛苦为目的。</w:t>
            </w:r>
          </w:p>
        </w:tc>
      </w:tr>
      <w:tr>
        <w:trPr>
          <w:trHeight w:val="703" w:hRule="atLeast"/>
        </w:trPr>
        <w:tc>
          <w:tcPr>
            <w:tcW w:w="683" w:type="dxa"/>
          </w:tcPr>
          <w:p>
            <w:pPr>
              <w:pStyle w:val="TableParagraph"/>
              <w:spacing w:before="23"/>
              <w:ind w:left="81" w:right="160"/>
              <w:jc w:val="center"/>
              <w:rPr>
                <w:b/>
                <w:sz w:val="20"/>
              </w:rPr>
            </w:pPr>
            <w:r>
              <w:rPr>
                <w:b/>
                <w:sz w:val="20"/>
              </w:rPr>
              <w:t>9.</w:t>
            </w:r>
          </w:p>
        </w:tc>
        <w:tc>
          <w:tcPr>
            <w:tcW w:w="1606" w:type="dxa"/>
          </w:tcPr>
          <w:p>
            <w:pPr>
              <w:pStyle w:val="TableParagraph"/>
              <w:spacing w:before="23"/>
              <w:ind w:left="179"/>
              <w:rPr>
                <w:b/>
                <w:sz w:val="20"/>
              </w:rPr>
            </w:pPr>
            <w:r>
              <w:rPr>
                <w:b/>
                <w:w w:val="95"/>
                <w:sz w:val="20"/>
              </w:rPr>
              <w:t>基本保险金额</w:t>
            </w:r>
          </w:p>
        </w:tc>
        <w:tc>
          <w:tcPr>
            <w:tcW w:w="8196" w:type="dxa"/>
          </w:tcPr>
          <w:p>
            <w:pPr>
              <w:pStyle w:val="TableParagraph"/>
              <w:spacing w:line="288" w:lineRule="auto" w:before="23"/>
              <w:ind w:left="220" w:right="255"/>
              <w:rPr>
                <w:sz w:val="20"/>
              </w:rPr>
            </w:pPr>
            <w:r>
              <w:rPr>
                <w:spacing w:val="-3"/>
                <w:w w:val="95"/>
                <w:sz w:val="20"/>
              </w:rPr>
              <w:t>本合同所称的基本保险金额是指保险单所载的本合同的保险金额，若该金额经本合同其他   条款的修正而发生变更，则以变更后的金额作为基本保险金额。</w:t>
            </w:r>
          </w:p>
        </w:tc>
      </w:tr>
      <w:tr>
        <w:trPr>
          <w:trHeight w:val="2924" w:hRule="atLeast"/>
        </w:trPr>
        <w:tc>
          <w:tcPr>
            <w:tcW w:w="683" w:type="dxa"/>
          </w:tcPr>
          <w:p>
            <w:pPr>
              <w:pStyle w:val="TableParagraph"/>
              <w:spacing w:before="23"/>
              <w:ind w:left="179" w:right="160"/>
              <w:jc w:val="center"/>
              <w:rPr>
                <w:b/>
                <w:sz w:val="20"/>
              </w:rPr>
            </w:pPr>
            <w:r>
              <w:rPr>
                <w:b/>
                <w:sz w:val="20"/>
              </w:rPr>
              <w:t>10.</w:t>
            </w:r>
          </w:p>
        </w:tc>
        <w:tc>
          <w:tcPr>
            <w:tcW w:w="1606" w:type="dxa"/>
          </w:tcPr>
          <w:p>
            <w:pPr>
              <w:pStyle w:val="TableParagraph"/>
              <w:spacing w:before="23"/>
              <w:ind w:left="179"/>
              <w:rPr>
                <w:b/>
                <w:sz w:val="20"/>
              </w:rPr>
            </w:pPr>
            <w:r>
              <w:rPr>
                <w:b/>
                <w:sz w:val="20"/>
              </w:rPr>
              <w:t>医院</w:t>
            </w:r>
          </w:p>
        </w:tc>
        <w:tc>
          <w:tcPr>
            <w:tcW w:w="8196" w:type="dxa"/>
          </w:tcPr>
          <w:p>
            <w:pPr>
              <w:pStyle w:val="TableParagraph"/>
              <w:spacing w:before="23"/>
              <w:ind w:left="220"/>
              <w:rPr>
                <w:sz w:val="20"/>
              </w:rPr>
            </w:pPr>
            <w:r>
              <w:rPr>
                <w:w w:val="95"/>
                <w:sz w:val="20"/>
              </w:rPr>
              <w:t>指同时符合下列条件的机构：</w:t>
            </w:r>
          </w:p>
          <w:p>
            <w:pPr>
              <w:pStyle w:val="TableParagraph"/>
              <w:numPr>
                <w:ilvl w:val="0"/>
                <w:numId w:val="41"/>
              </w:numPr>
              <w:tabs>
                <w:tab w:pos="830" w:val="left" w:leader="none"/>
              </w:tabs>
              <w:spacing w:line="285" w:lineRule="auto" w:before="49" w:after="0"/>
              <w:ind w:left="220" w:right="295" w:firstLine="0"/>
              <w:jc w:val="both"/>
              <w:rPr>
                <w:sz w:val="20"/>
              </w:rPr>
            </w:pPr>
            <w:r>
              <w:rPr>
                <w:sz w:val="20"/>
              </w:rPr>
              <w:t>中华人民共和国境内合法经营的二级以上医院</w:t>
            </w:r>
            <w:r>
              <w:rPr>
                <w:spacing w:val="2"/>
                <w:sz w:val="20"/>
              </w:rPr>
              <w:t>（</w:t>
            </w:r>
            <w:r>
              <w:rPr>
                <w:sz w:val="20"/>
              </w:rPr>
              <w:t>含二级）或香港特别行政区、澳</w:t>
            </w:r>
            <w:r>
              <w:rPr>
                <w:w w:val="95"/>
                <w:sz w:val="20"/>
              </w:rPr>
              <w:t>门特别行政区及台湾地区医院；</w:t>
            </w:r>
          </w:p>
          <w:p>
            <w:pPr>
              <w:pStyle w:val="TableParagraph"/>
              <w:numPr>
                <w:ilvl w:val="0"/>
                <w:numId w:val="41"/>
              </w:numPr>
              <w:tabs>
                <w:tab w:pos="830" w:val="left" w:leader="none"/>
              </w:tabs>
              <w:spacing w:line="285" w:lineRule="auto" w:before="11" w:after="0"/>
              <w:ind w:left="220" w:right="292" w:firstLine="0"/>
              <w:jc w:val="both"/>
              <w:rPr>
                <w:sz w:val="20"/>
              </w:rPr>
            </w:pPr>
            <w:r>
              <w:rPr>
                <w:sz w:val="20"/>
              </w:rPr>
              <w:t>具有符合中华人民共和国（包括香港特别行政区、澳门特别行政区及台湾地区） </w:t>
            </w:r>
            <w:r>
              <w:rPr>
                <w:spacing w:val="-4"/>
                <w:sz w:val="20"/>
              </w:rPr>
              <w:t>有关医院管理规则设施标准的医疗设备，且全天 </w:t>
            </w:r>
            <w:r>
              <w:rPr>
                <w:sz w:val="20"/>
              </w:rPr>
              <w:t>24</w:t>
            </w:r>
            <w:r>
              <w:rPr>
                <w:spacing w:val="-10"/>
                <w:sz w:val="20"/>
              </w:rPr>
              <w:t> 小时有合格医师</w:t>
            </w:r>
            <w:r>
              <w:rPr>
                <w:sz w:val="20"/>
              </w:rPr>
              <w:t>（合格医师指具有与请求赔付的疾病相适应的专业资格认证和诊断处方权，且正在上述医院执业的医师，但</w:t>
            </w:r>
            <w:r>
              <w:rPr>
                <w:w w:val="95"/>
                <w:sz w:val="20"/>
              </w:rPr>
              <w:t>投保人、被保险人本人及其直系亲属除外。）及护士驻院提供医疗及护理服务；</w:t>
            </w:r>
          </w:p>
          <w:p>
            <w:pPr>
              <w:pStyle w:val="TableParagraph"/>
              <w:numPr>
                <w:ilvl w:val="0"/>
                <w:numId w:val="41"/>
              </w:numPr>
              <w:tabs>
                <w:tab w:pos="835" w:val="left" w:leader="none"/>
              </w:tabs>
              <w:spacing w:line="285" w:lineRule="auto" w:before="11" w:after="0"/>
              <w:ind w:left="220" w:right="260" w:firstLine="0"/>
              <w:jc w:val="both"/>
              <w:rPr>
                <w:b/>
                <w:sz w:val="20"/>
              </w:rPr>
            </w:pPr>
            <w:r>
              <w:rPr>
                <w:b/>
                <w:sz w:val="20"/>
              </w:rPr>
              <w:t>不包括未达卫生行政管理规定的二级医院标准的分院、联合医院及病房、外设挂</w:t>
            </w:r>
            <w:r>
              <w:rPr>
                <w:b/>
                <w:w w:val="95"/>
                <w:sz w:val="20"/>
              </w:rPr>
              <w:t>靠的门诊部、康复、疗养、戒酒、戒毒或类似的医疗机构。</w:t>
            </w:r>
          </w:p>
        </w:tc>
      </w:tr>
      <w:tr>
        <w:trPr>
          <w:trHeight w:val="1716" w:hRule="atLeast"/>
        </w:trPr>
        <w:tc>
          <w:tcPr>
            <w:tcW w:w="683" w:type="dxa"/>
          </w:tcPr>
          <w:p>
            <w:pPr>
              <w:pStyle w:val="TableParagraph"/>
              <w:spacing w:before="63"/>
              <w:ind w:left="179" w:right="160"/>
              <w:jc w:val="center"/>
              <w:rPr>
                <w:b/>
                <w:sz w:val="20"/>
              </w:rPr>
            </w:pPr>
            <w:r>
              <w:rPr>
                <w:b/>
                <w:sz w:val="20"/>
              </w:rPr>
              <w:t>11.</w:t>
            </w:r>
          </w:p>
        </w:tc>
        <w:tc>
          <w:tcPr>
            <w:tcW w:w="1606" w:type="dxa"/>
          </w:tcPr>
          <w:p>
            <w:pPr>
              <w:pStyle w:val="TableParagraph"/>
              <w:spacing w:before="63"/>
              <w:ind w:left="179"/>
              <w:rPr>
                <w:b/>
                <w:sz w:val="20"/>
              </w:rPr>
            </w:pPr>
            <w:r>
              <w:rPr>
                <w:b/>
                <w:sz w:val="20"/>
              </w:rPr>
              <w:t>专科医生</w:t>
            </w:r>
          </w:p>
        </w:tc>
        <w:tc>
          <w:tcPr>
            <w:tcW w:w="8196" w:type="dxa"/>
          </w:tcPr>
          <w:p>
            <w:pPr>
              <w:pStyle w:val="TableParagraph"/>
              <w:spacing w:before="63"/>
              <w:ind w:left="220"/>
              <w:rPr>
                <w:sz w:val="20"/>
              </w:rPr>
            </w:pPr>
            <w:r>
              <w:rPr>
                <w:w w:val="95"/>
                <w:sz w:val="20"/>
              </w:rPr>
              <w:t>专科医生应当同时满足以下四项资格条件：</w:t>
            </w:r>
          </w:p>
          <w:p>
            <w:pPr>
              <w:pStyle w:val="TableParagraph"/>
              <w:numPr>
                <w:ilvl w:val="0"/>
                <w:numId w:val="42"/>
              </w:numPr>
              <w:tabs>
                <w:tab w:pos="900" w:val="left" w:leader="none"/>
              </w:tabs>
              <w:spacing w:line="240" w:lineRule="auto" w:before="50" w:after="0"/>
              <w:ind w:left="900" w:right="0" w:hanging="680"/>
              <w:jc w:val="left"/>
              <w:rPr>
                <w:sz w:val="20"/>
              </w:rPr>
            </w:pPr>
            <w:r>
              <w:rPr>
                <w:w w:val="95"/>
                <w:sz w:val="20"/>
              </w:rPr>
              <w:t>具有有效的中华人民共和国《医师资格证书》；</w:t>
            </w:r>
          </w:p>
          <w:p>
            <w:pPr>
              <w:pStyle w:val="TableParagraph"/>
              <w:numPr>
                <w:ilvl w:val="0"/>
                <w:numId w:val="42"/>
              </w:numPr>
              <w:tabs>
                <w:tab w:pos="900" w:val="left" w:leader="none"/>
              </w:tabs>
              <w:spacing w:line="240" w:lineRule="auto" w:before="50" w:after="0"/>
              <w:ind w:left="900" w:right="0" w:hanging="680"/>
              <w:jc w:val="left"/>
              <w:rPr>
                <w:sz w:val="20"/>
              </w:rPr>
            </w:pPr>
            <w:r>
              <w:rPr>
                <w:w w:val="95"/>
                <w:sz w:val="20"/>
              </w:rPr>
              <w:t>具有有效的中华人民共和国《医师执业证书》，并按期到相关部门登记注册；</w:t>
            </w:r>
          </w:p>
          <w:p>
            <w:pPr>
              <w:pStyle w:val="TableParagraph"/>
              <w:numPr>
                <w:ilvl w:val="0"/>
                <w:numId w:val="42"/>
              </w:numPr>
              <w:tabs>
                <w:tab w:pos="900" w:val="left" w:leader="none"/>
              </w:tabs>
              <w:spacing w:line="240" w:lineRule="auto" w:before="50" w:after="0"/>
              <w:ind w:left="900" w:right="0" w:hanging="680"/>
              <w:jc w:val="left"/>
              <w:rPr>
                <w:sz w:val="20"/>
              </w:rPr>
            </w:pPr>
            <w:r>
              <w:rPr>
                <w:w w:val="95"/>
                <w:sz w:val="20"/>
              </w:rPr>
              <w:t>具有有效的中华人民共和国主治医师或主治医师以上职称的《医师职称证书》；</w:t>
            </w:r>
          </w:p>
          <w:p>
            <w:pPr>
              <w:pStyle w:val="TableParagraph"/>
              <w:numPr>
                <w:ilvl w:val="0"/>
                <w:numId w:val="42"/>
              </w:numPr>
              <w:tabs>
                <w:tab w:pos="900" w:val="left" w:leader="none"/>
              </w:tabs>
              <w:spacing w:line="240" w:lineRule="auto" w:before="51" w:after="0"/>
              <w:ind w:left="900" w:right="0" w:hanging="680"/>
              <w:jc w:val="left"/>
              <w:rPr>
                <w:b/>
                <w:sz w:val="20"/>
              </w:rPr>
            </w:pPr>
            <w:r>
              <w:rPr>
                <w:b/>
                <w:w w:val="95"/>
                <w:sz w:val="20"/>
              </w:rPr>
              <w:t>在二级或二级以上医院的相应科室从事临床工作三年以上。</w:t>
            </w:r>
          </w:p>
        </w:tc>
      </w:tr>
      <w:tr>
        <w:trPr>
          <w:trHeight w:val="469" w:hRule="atLeast"/>
        </w:trPr>
        <w:tc>
          <w:tcPr>
            <w:tcW w:w="683" w:type="dxa"/>
          </w:tcPr>
          <w:p>
            <w:pPr>
              <w:pStyle w:val="TableParagraph"/>
              <w:spacing w:before="63"/>
              <w:ind w:left="179" w:right="160"/>
              <w:jc w:val="center"/>
              <w:rPr>
                <w:b/>
                <w:sz w:val="20"/>
              </w:rPr>
            </w:pPr>
            <w:r>
              <w:rPr>
                <w:b/>
                <w:sz w:val="20"/>
              </w:rPr>
              <w:t>12.</w:t>
            </w:r>
          </w:p>
        </w:tc>
        <w:tc>
          <w:tcPr>
            <w:tcW w:w="1606" w:type="dxa"/>
          </w:tcPr>
          <w:p>
            <w:pPr>
              <w:pStyle w:val="TableParagraph"/>
              <w:spacing w:before="63"/>
              <w:ind w:left="179"/>
              <w:rPr>
                <w:b/>
                <w:sz w:val="20"/>
              </w:rPr>
            </w:pPr>
            <w:r>
              <w:rPr>
                <w:b/>
                <w:sz w:val="20"/>
              </w:rPr>
              <w:t>意外事故</w:t>
            </w:r>
          </w:p>
        </w:tc>
        <w:tc>
          <w:tcPr>
            <w:tcW w:w="8196" w:type="dxa"/>
          </w:tcPr>
          <w:p>
            <w:pPr>
              <w:pStyle w:val="TableParagraph"/>
              <w:spacing w:before="65"/>
              <w:ind w:left="220"/>
              <w:rPr>
                <w:sz w:val="20"/>
              </w:rPr>
            </w:pPr>
            <w:r>
              <w:rPr>
                <w:w w:val="95"/>
                <w:sz w:val="20"/>
              </w:rPr>
              <w:t>指外来的、突发的、非本意的、非疾病的使身体受到伤害的客观事件。</w:t>
            </w:r>
          </w:p>
        </w:tc>
      </w:tr>
      <w:tr>
        <w:trPr>
          <w:trHeight w:val="742" w:hRule="atLeast"/>
        </w:trPr>
        <w:tc>
          <w:tcPr>
            <w:tcW w:w="683" w:type="dxa"/>
          </w:tcPr>
          <w:p>
            <w:pPr>
              <w:pStyle w:val="TableParagraph"/>
              <w:spacing w:before="62"/>
              <w:ind w:left="179" w:right="160"/>
              <w:jc w:val="center"/>
              <w:rPr>
                <w:b/>
                <w:sz w:val="20"/>
              </w:rPr>
            </w:pPr>
            <w:r>
              <w:rPr>
                <w:b/>
                <w:sz w:val="20"/>
              </w:rPr>
              <w:t>13.</w:t>
            </w:r>
          </w:p>
        </w:tc>
        <w:tc>
          <w:tcPr>
            <w:tcW w:w="1606" w:type="dxa"/>
          </w:tcPr>
          <w:p>
            <w:pPr>
              <w:pStyle w:val="TableParagraph"/>
              <w:spacing w:before="62"/>
              <w:ind w:left="179"/>
              <w:rPr>
                <w:b/>
                <w:sz w:val="20"/>
              </w:rPr>
            </w:pPr>
            <w:r>
              <w:rPr>
                <w:b/>
                <w:sz w:val="20"/>
              </w:rPr>
              <w:t>自杀</w:t>
            </w:r>
          </w:p>
        </w:tc>
        <w:tc>
          <w:tcPr>
            <w:tcW w:w="8196" w:type="dxa"/>
          </w:tcPr>
          <w:p>
            <w:pPr>
              <w:pStyle w:val="TableParagraph"/>
              <w:spacing w:line="288" w:lineRule="auto" w:before="62"/>
              <w:ind w:left="220" w:right="255"/>
              <w:rPr>
                <w:sz w:val="20"/>
              </w:rPr>
            </w:pPr>
            <w:r>
              <w:rPr>
                <w:spacing w:val="-5"/>
                <w:w w:val="95"/>
                <w:sz w:val="20"/>
              </w:rPr>
              <w:t>根据自己意愿使自己生命终结的行为，如未遵医嘱私自服用、涂用、注射药物毒物、高空   坠落导致的死亡等。</w:t>
            </w:r>
          </w:p>
        </w:tc>
      </w:tr>
      <w:tr>
        <w:trPr>
          <w:trHeight w:val="607" w:hRule="atLeast"/>
        </w:trPr>
        <w:tc>
          <w:tcPr>
            <w:tcW w:w="683" w:type="dxa"/>
          </w:tcPr>
          <w:p>
            <w:pPr>
              <w:pStyle w:val="TableParagraph"/>
              <w:spacing w:before="24"/>
              <w:ind w:left="179" w:right="160"/>
              <w:jc w:val="center"/>
              <w:rPr>
                <w:b/>
                <w:sz w:val="20"/>
              </w:rPr>
            </w:pPr>
            <w:r>
              <w:rPr>
                <w:b/>
                <w:sz w:val="20"/>
              </w:rPr>
              <w:t>14.</w:t>
            </w:r>
          </w:p>
        </w:tc>
        <w:tc>
          <w:tcPr>
            <w:tcW w:w="1606" w:type="dxa"/>
          </w:tcPr>
          <w:p>
            <w:pPr>
              <w:pStyle w:val="TableParagraph"/>
              <w:spacing w:before="24"/>
              <w:ind w:left="179"/>
              <w:rPr>
                <w:b/>
                <w:sz w:val="20"/>
              </w:rPr>
            </w:pPr>
            <w:r>
              <w:rPr>
                <w:b/>
                <w:sz w:val="20"/>
              </w:rPr>
              <w:t>毒品</w:t>
            </w:r>
          </w:p>
        </w:tc>
        <w:tc>
          <w:tcPr>
            <w:tcW w:w="8196" w:type="dxa"/>
          </w:tcPr>
          <w:p>
            <w:pPr>
              <w:pStyle w:val="TableParagraph"/>
              <w:spacing w:line="312" w:lineRule="exact" w:before="8"/>
              <w:ind w:left="220" w:right="256"/>
              <w:rPr>
                <w:sz w:val="20"/>
              </w:rPr>
            </w:pPr>
            <w:r>
              <w:rPr>
                <w:spacing w:val="-3"/>
                <w:w w:val="95"/>
                <w:sz w:val="20"/>
              </w:rPr>
              <w:t>指中华人民共和国刑法规定的鸦片、海洛因、甲基苯丙胺</w:t>
            </w:r>
            <w:r>
              <w:rPr>
                <w:w w:val="95"/>
                <w:sz w:val="20"/>
              </w:rPr>
              <w:t>（冰毒</w:t>
            </w:r>
            <w:r>
              <w:rPr>
                <w:spacing w:val="-10"/>
                <w:w w:val="95"/>
                <w:sz w:val="20"/>
              </w:rPr>
              <w:t>）</w:t>
            </w:r>
            <w:r>
              <w:rPr>
                <w:spacing w:val="-6"/>
                <w:w w:val="95"/>
                <w:sz w:val="20"/>
              </w:rPr>
              <w:t>、吗啡、大麻、可卡因   </w:t>
            </w:r>
            <w:r>
              <w:rPr>
                <w:spacing w:val="-9"/>
                <w:w w:val="95"/>
                <w:sz w:val="20"/>
              </w:rPr>
              <w:t>以及国家规定管制的其他能够使人形成瘾癖的麻醉药品和精神药品，但不包括由医生开具</w:t>
            </w:r>
          </w:p>
        </w:tc>
      </w:tr>
    </w:tbl>
    <w:p>
      <w:pPr>
        <w:spacing w:after="0" w:line="312" w:lineRule="exact"/>
        <w:rPr>
          <w:sz w:val="20"/>
        </w:rPr>
        <w:sectPr>
          <w:pgSz w:w="11910" w:h="16840"/>
          <w:pgMar w:header="0" w:footer="831" w:top="1180" w:bottom="1020" w:left="760" w:right="46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3"/>
        <w:gridCol w:w="1717"/>
        <w:gridCol w:w="8128"/>
      </w:tblGrid>
      <w:tr>
        <w:trPr>
          <w:trHeight w:val="295" w:hRule="atLeast"/>
        </w:trPr>
        <w:tc>
          <w:tcPr>
            <w:tcW w:w="683" w:type="dxa"/>
          </w:tcPr>
          <w:p>
            <w:pPr>
              <w:pStyle w:val="TableParagraph"/>
              <w:ind w:left="0"/>
              <w:rPr>
                <w:rFonts w:ascii="Times New Roman"/>
                <w:sz w:val="18"/>
              </w:rPr>
            </w:pPr>
          </w:p>
        </w:tc>
        <w:tc>
          <w:tcPr>
            <w:tcW w:w="1717" w:type="dxa"/>
          </w:tcPr>
          <w:p>
            <w:pPr>
              <w:pStyle w:val="TableParagraph"/>
              <w:ind w:left="0"/>
              <w:rPr>
                <w:rFonts w:ascii="Times New Roman"/>
                <w:sz w:val="18"/>
              </w:rPr>
            </w:pPr>
          </w:p>
        </w:tc>
        <w:tc>
          <w:tcPr>
            <w:tcW w:w="8128" w:type="dxa"/>
          </w:tcPr>
          <w:p>
            <w:pPr>
              <w:pStyle w:val="TableParagraph"/>
              <w:spacing w:line="191" w:lineRule="exact"/>
              <w:ind w:left="109"/>
              <w:rPr>
                <w:sz w:val="20"/>
              </w:rPr>
            </w:pPr>
            <w:r>
              <w:rPr>
                <w:w w:val="95"/>
                <w:sz w:val="20"/>
              </w:rPr>
              <w:t>并遵医嘱使用的用于治疗疾病但含有毒品成分的处方药品。</w:t>
            </w:r>
          </w:p>
        </w:tc>
      </w:tr>
      <w:tr>
        <w:trPr>
          <w:trHeight w:val="1016" w:hRule="atLeast"/>
        </w:trPr>
        <w:tc>
          <w:tcPr>
            <w:tcW w:w="683" w:type="dxa"/>
          </w:tcPr>
          <w:p>
            <w:pPr>
              <w:pStyle w:val="TableParagraph"/>
              <w:spacing w:before="25"/>
              <w:ind w:left="179" w:right="160"/>
              <w:jc w:val="center"/>
              <w:rPr>
                <w:b/>
                <w:sz w:val="20"/>
              </w:rPr>
            </w:pPr>
            <w:r>
              <w:rPr>
                <w:b/>
                <w:sz w:val="20"/>
              </w:rPr>
              <w:t>15.</w:t>
            </w:r>
          </w:p>
        </w:tc>
        <w:tc>
          <w:tcPr>
            <w:tcW w:w="1717" w:type="dxa"/>
          </w:tcPr>
          <w:p>
            <w:pPr>
              <w:pStyle w:val="TableParagraph"/>
              <w:spacing w:before="25"/>
              <w:ind w:left="179"/>
              <w:rPr>
                <w:b/>
                <w:sz w:val="20"/>
              </w:rPr>
            </w:pPr>
            <w:r>
              <w:rPr>
                <w:b/>
                <w:sz w:val="20"/>
              </w:rPr>
              <w:t>酒后驾驶</w:t>
            </w:r>
          </w:p>
        </w:tc>
        <w:tc>
          <w:tcPr>
            <w:tcW w:w="8128" w:type="dxa"/>
          </w:tcPr>
          <w:p>
            <w:pPr>
              <w:pStyle w:val="TableParagraph"/>
              <w:spacing w:line="288" w:lineRule="auto" w:before="25"/>
              <w:ind w:left="109" w:right="298"/>
              <w:jc w:val="both"/>
              <w:rPr>
                <w:sz w:val="20"/>
              </w:rPr>
            </w:pPr>
            <w:r>
              <w:rPr>
                <w:spacing w:val="-9"/>
                <w:w w:val="95"/>
                <w:sz w:val="20"/>
              </w:rPr>
              <w:t>指经检测或鉴定，发生事故时车辆驾驶人员每百毫升血液中的酒精含量达到或超过一定的   </w:t>
            </w:r>
            <w:r>
              <w:rPr>
                <w:spacing w:val="-10"/>
                <w:w w:val="95"/>
                <w:sz w:val="20"/>
              </w:rPr>
              <w:t>标准，公安机关交通管理部门依据《道路交通安全法》的规定认定为饮酒后驾驶或醉酒后   驾驶。</w:t>
            </w:r>
          </w:p>
        </w:tc>
      </w:tr>
      <w:tr>
        <w:trPr>
          <w:trHeight w:val="1719" w:hRule="atLeast"/>
        </w:trPr>
        <w:tc>
          <w:tcPr>
            <w:tcW w:w="683" w:type="dxa"/>
          </w:tcPr>
          <w:p>
            <w:pPr>
              <w:pStyle w:val="TableParagraph"/>
              <w:spacing w:before="23"/>
              <w:ind w:left="179" w:right="160"/>
              <w:jc w:val="center"/>
              <w:rPr>
                <w:b/>
                <w:sz w:val="20"/>
              </w:rPr>
            </w:pPr>
            <w:r>
              <w:rPr>
                <w:b/>
                <w:sz w:val="20"/>
              </w:rPr>
              <w:t>16.</w:t>
            </w:r>
          </w:p>
        </w:tc>
        <w:tc>
          <w:tcPr>
            <w:tcW w:w="1717" w:type="dxa"/>
          </w:tcPr>
          <w:p>
            <w:pPr>
              <w:pStyle w:val="TableParagraph"/>
              <w:spacing w:line="285" w:lineRule="auto" w:before="23"/>
              <w:ind w:left="179" w:right="479"/>
              <w:rPr>
                <w:b/>
                <w:sz w:val="20"/>
              </w:rPr>
            </w:pPr>
            <w:r>
              <w:rPr>
                <w:b/>
                <w:w w:val="95"/>
                <w:sz w:val="20"/>
              </w:rPr>
              <w:t>无合法有效驾驶证驾驶</w:t>
            </w:r>
          </w:p>
        </w:tc>
        <w:tc>
          <w:tcPr>
            <w:tcW w:w="8128" w:type="dxa"/>
          </w:tcPr>
          <w:p>
            <w:pPr>
              <w:pStyle w:val="TableParagraph"/>
              <w:spacing w:before="26"/>
              <w:ind w:left="109"/>
              <w:rPr>
                <w:sz w:val="20"/>
              </w:rPr>
            </w:pPr>
            <w:r>
              <w:rPr>
                <w:w w:val="95"/>
                <w:sz w:val="20"/>
              </w:rPr>
              <w:t>指下列情形之一：</w:t>
            </w:r>
          </w:p>
          <w:p>
            <w:pPr>
              <w:pStyle w:val="TableParagraph"/>
              <w:numPr>
                <w:ilvl w:val="0"/>
                <w:numId w:val="43"/>
              </w:numPr>
              <w:tabs>
                <w:tab w:pos="530" w:val="left" w:leader="none"/>
              </w:tabs>
              <w:spacing w:line="240" w:lineRule="auto" w:before="127" w:after="0"/>
              <w:ind w:left="529" w:right="0" w:hanging="420"/>
              <w:jc w:val="left"/>
              <w:rPr>
                <w:sz w:val="20"/>
              </w:rPr>
            </w:pPr>
            <w:r>
              <w:rPr>
                <w:w w:val="95"/>
                <w:sz w:val="20"/>
              </w:rPr>
              <w:t>没有取得驾驶资格；</w:t>
            </w:r>
          </w:p>
          <w:p>
            <w:pPr>
              <w:pStyle w:val="TableParagraph"/>
              <w:numPr>
                <w:ilvl w:val="0"/>
                <w:numId w:val="43"/>
              </w:numPr>
              <w:tabs>
                <w:tab w:pos="530" w:val="left" w:leader="none"/>
              </w:tabs>
              <w:spacing w:line="240" w:lineRule="auto" w:before="50" w:after="0"/>
              <w:ind w:left="529" w:right="0" w:hanging="420"/>
              <w:jc w:val="left"/>
              <w:rPr>
                <w:sz w:val="20"/>
              </w:rPr>
            </w:pPr>
            <w:r>
              <w:rPr>
                <w:w w:val="95"/>
                <w:sz w:val="20"/>
              </w:rPr>
              <w:t>驾驶与驾驶证准驾车型不相符合的车辆；</w:t>
            </w:r>
          </w:p>
          <w:p>
            <w:pPr>
              <w:pStyle w:val="TableParagraph"/>
              <w:numPr>
                <w:ilvl w:val="0"/>
                <w:numId w:val="43"/>
              </w:numPr>
              <w:tabs>
                <w:tab w:pos="530" w:val="left" w:leader="none"/>
              </w:tabs>
              <w:spacing w:line="240" w:lineRule="auto" w:before="50" w:after="0"/>
              <w:ind w:left="529" w:right="0" w:hanging="420"/>
              <w:jc w:val="left"/>
              <w:rPr>
                <w:sz w:val="20"/>
              </w:rPr>
            </w:pPr>
            <w:r>
              <w:rPr>
                <w:w w:val="95"/>
                <w:sz w:val="20"/>
              </w:rPr>
              <w:t>持审验不合格或者未经审验的驾驶证驾驶；</w:t>
            </w:r>
          </w:p>
          <w:p>
            <w:pPr>
              <w:pStyle w:val="TableParagraph"/>
              <w:numPr>
                <w:ilvl w:val="0"/>
                <w:numId w:val="43"/>
              </w:numPr>
              <w:tabs>
                <w:tab w:pos="530" w:val="left" w:leader="none"/>
              </w:tabs>
              <w:spacing w:line="240" w:lineRule="auto" w:before="52" w:after="0"/>
              <w:ind w:left="529" w:right="0" w:hanging="420"/>
              <w:jc w:val="left"/>
              <w:rPr>
                <w:sz w:val="20"/>
              </w:rPr>
            </w:pPr>
            <w:r>
              <w:rPr>
                <w:w w:val="95"/>
                <w:sz w:val="20"/>
              </w:rPr>
              <w:t>持学习驾驶证学习驾车时，无教练员随车指导，或不按指定时间、路线学习驾车。</w:t>
            </w:r>
          </w:p>
        </w:tc>
      </w:tr>
      <w:tr>
        <w:trPr>
          <w:trHeight w:val="1095" w:hRule="atLeast"/>
        </w:trPr>
        <w:tc>
          <w:tcPr>
            <w:tcW w:w="683" w:type="dxa"/>
          </w:tcPr>
          <w:p>
            <w:pPr>
              <w:pStyle w:val="TableParagraph"/>
              <w:spacing w:before="25"/>
              <w:ind w:left="179" w:right="160"/>
              <w:jc w:val="center"/>
              <w:rPr>
                <w:b/>
                <w:sz w:val="20"/>
              </w:rPr>
            </w:pPr>
            <w:r>
              <w:rPr>
                <w:b/>
                <w:sz w:val="20"/>
              </w:rPr>
              <w:t>17.</w:t>
            </w:r>
          </w:p>
        </w:tc>
        <w:tc>
          <w:tcPr>
            <w:tcW w:w="1717" w:type="dxa"/>
          </w:tcPr>
          <w:p>
            <w:pPr>
              <w:pStyle w:val="TableParagraph"/>
              <w:spacing w:line="285" w:lineRule="auto" w:before="25"/>
              <w:ind w:left="179" w:right="479"/>
              <w:rPr>
                <w:b/>
                <w:sz w:val="20"/>
              </w:rPr>
            </w:pPr>
            <w:r>
              <w:rPr>
                <w:b/>
                <w:w w:val="95"/>
                <w:sz w:val="20"/>
              </w:rPr>
              <w:t>无有效行驶</w:t>
            </w:r>
            <w:r>
              <w:rPr>
                <w:b/>
                <w:sz w:val="20"/>
              </w:rPr>
              <w:t>证</w:t>
            </w:r>
          </w:p>
        </w:tc>
        <w:tc>
          <w:tcPr>
            <w:tcW w:w="8128" w:type="dxa"/>
          </w:tcPr>
          <w:p>
            <w:pPr>
              <w:pStyle w:val="TableParagraph"/>
              <w:spacing w:before="27"/>
              <w:ind w:left="109"/>
              <w:rPr>
                <w:sz w:val="20"/>
              </w:rPr>
            </w:pPr>
            <w:r>
              <w:rPr>
                <w:w w:val="95"/>
                <w:sz w:val="20"/>
              </w:rPr>
              <w:t>指下列情形之一：</w:t>
            </w:r>
          </w:p>
          <w:p>
            <w:pPr>
              <w:pStyle w:val="TableParagraph"/>
              <w:numPr>
                <w:ilvl w:val="0"/>
                <w:numId w:val="44"/>
              </w:numPr>
              <w:tabs>
                <w:tab w:pos="530" w:val="left" w:leader="none"/>
              </w:tabs>
              <w:spacing w:line="240" w:lineRule="auto" w:before="127" w:after="0"/>
              <w:ind w:left="529" w:right="0" w:hanging="420"/>
              <w:jc w:val="left"/>
              <w:rPr>
                <w:sz w:val="20"/>
              </w:rPr>
            </w:pPr>
            <w:r>
              <w:rPr>
                <w:w w:val="95"/>
                <w:sz w:val="20"/>
              </w:rPr>
              <w:t>机动车被依法注销登记的；</w:t>
            </w:r>
          </w:p>
          <w:p>
            <w:pPr>
              <w:pStyle w:val="TableParagraph"/>
              <w:numPr>
                <w:ilvl w:val="0"/>
                <w:numId w:val="44"/>
              </w:numPr>
              <w:tabs>
                <w:tab w:pos="530" w:val="left" w:leader="none"/>
              </w:tabs>
              <w:spacing w:line="240" w:lineRule="auto" w:before="53" w:after="0"/>
              <w:ind w:left="529" w:right="0" w:hanging="420"/>
              <w:jc w:val="left"/>
              <w:rPr>
                <w:sz w:val="20"/>
              </w:rPr>
            </w:pPr>
            <w:r>
              <w:rPr>
                <w:w w:val="95"/>
                <w:sz w:val="20"/>
              </w:rPr>
              <w:t>未依法按时进行或通过机动车安全技术检验的。</w:t>
            </w:r>
          </w:p>
        </w:tc>
      </w:tr>
      <w:tr>
        <w:trPr>
          <w:trHeight w:val="1409" w:hRule="atLeast"/>
        </w:trPr>
        <w:tc>
          <w:tcPr>
            <w:tcW w:w="683" w:type="dxa"/>
          </w:tcPr>
          <w:p>
            <w:pPr>
              <w:pStyle w:val="TableParagraph"/>
              <w:spacing w:before="23"/>
              <w:ind w:left="179" w:right="160"/>
              <w:jc w:val="center"/>
              <w:rPr>
                <w:b/>
                <w:sz w:val="20"/>
              </w:rPr>
            </w:pPr>
            <w:r>
              <w:rPr>
                <w:b/>
                <w:sz w:val="20"/>
              </w:rPr>
              <w:t>18.</w:t>
            </w:r>
          </w:p>
        </w:tc>
        <w:tc>
          <w:tcPr>
            <w:tcW w:w="1717" w:type="dxa"/>
          </w:tcPr>
          <w:p>
            <w:pPr>
              <w:pStyle w:val="TableParagraph"/>
              <w:spacing w:line="285" w:lineRule="auto" w:before="23"/>
              <w:ind w:left="179" w:right="239"/>
              <w:rPr>
                <w:b/>
                <w:sz w:val="20"/>
              </w:rPr>
            </w:pPr>
            <w:r>
              <w:rPr>
                <w:b/>
                <w:sz w:val="20"/>
              </w:rPr>
              <w:t>患艾滋病或感</w:t>
            </w:r>
            <w:r>
              <w:rPr>
                <w:b/>
                <w:w w:val="95"/>
                <w:sz w:val="20"/>
              </w:rPr>
              <w:t>染艾滋病病毒</w:t>
            </w:r>
          </w:p>
        </w:tc>
        <w:tc>
          <w:tcPr>
            <w:tcW w:w="8128" w:type="dxa"/>
          </w:tcPr>
          <w:p>
            <w:pPr>
              <w:pStyle w:val="TableParagraph"/>
              <w:spacing w:line="288" w:lineRule="auto" w:before="23"/>
              <w:ind w:left="109" w:right="216"/>
              <w:rPr>
                <w:sz w:val="20"/>
              </w:rPr>
            </w:pPr>
            <w:r>
              <w:rPr>
                <w:sz w:val="20"/>
              </w:rPr>
              <w:t>艾滋病病毒指人类免疫缺陷病毒，英文缩写为 HIV；艾滋病指人类免疫缺陷病毒引起的获得性免疫缺陷综合征， 英文缩写为 AIDS。</w:t>
            </w:r>
          </w:p>
          <w:p>
            <w:pPr>
              <w:pStyle w:val="TableParagraph"/>
              <w:spacing w:line="288" w:lineRule="auto" w:before="89"/>
              <w:ind w:left="109" w:right="303"/>
              <w:rPr>
                <w:b/>
                <w:sz w:val="20"/>
              </w:rPr>
            </w:pPr>
            <w:r>
              <w:rPr>
                <w:b/>
                <w:sz w:val="20"/>
              </w:rPr>
              <w:t>在人体血液或其它样本中检测到艾滋病病毒或其抗体呈阳性，没有出现临床症状或体征</w:t>
            </w:r>
            <w:r>
              <w:rPr>
                <w:b/>
                <w:w w:val="95"/>
                <w:sz w:val="20"/>
              </w:rPr>
              <w:t>的，为感染艾滋病病毒；如果同时出现了明显临床症状或体征的，为患艾滋病。</w:t>
            </w:r>
          </w:p>
        </w:tc>
      </w:tr>
      <w:tr>
        <w:trPr>
          <w:trHeight w:val="703" w:hRule="atLeast"/>
        </w:trPr>
        <w:tc>
          <w:tcPr>
            <w:tcW w:w="683" w:type="dxa"/>
          </w:tcPr>
          <w:p>
            <w:pPr>
              <w:pStyle w:val="TableParagraph"/>
              <w:spacing w:before="23"/>
              <w:ind w:left="179" w:right="160"/>
              <w:jc w:val="center"/>
              <w:rPr>
                <w:b/>
                <w:sz w:val="20"/>
              </w:rPr>
            </w:pPr>
            <w:r>
              <w:rPr>
                <w:b/>
                <w:sz w:val="20"/>
              </w:rPr>
              <w:t>19.</w:t>
            </w:r>
          </w:p>
        </w:tc>
        <w:tc>
          <w:tcPr>
            <w:tcW w:w="1717" w:type="dxa"/>
          </w:tcPr>
          <w:p>
            <w:pPr>
              <w:pStyle w:val="TableParagraph"/>
              <w:spacing w:before="23"/>
              <w:ind w:left="179"/>
              <w:rPr>
                <w:b/>
                <w:sz w:val="20"/>
              </w:rPr>
            </w:pPr>
            <w:r>
              <w:rPr>
                <w:b/>
                <w:w w:val="95"/>
                <w:sz w:val="20"/>
              </w:rPr>
              <w:t>遗传性疾病</w:t>
            </w:r>
          </w:p>
        </w:tc>
        <w:tc>
          <w:tcPr>
            <w:tcW w:w="8128" w:type="dxa"/>
          </w:tcPr>
          <w:p>
            <w:pPr>
              <w:pStyle w:val="TableParagraph"/>
              <w:spacing w:line="288" w:lineRule="auto" w:before="23"/>
              <w:ind w:left="109" w:right="298"/>
              <w:rPr>
                <w:sz w:val="20"/>
              </w:rPr>
            </w:pPr>
            <w:r>
              <w:rPr>
                <w:spacing w:val="-2"/>
                <w:w w:val="95"/>
                <w:sz w:val="20"/>
              </w:rPr>
              <w:t>指生殖细胞或受精卵的遗传物质</w:t>
            </w:r>
            <w:r>
              <w:rPr>
                <w:w w:val="95"/>
                <w:sz w:val="20"/>
              </w:rPr>
              <w:t>（染色体和基因</w:t>
            </w:r>
            <w:r>
              <w:rPr>
                <w:spacing w:val="-27"/>
                <w:w w:val="95"/>
                <w:sz w:val="20"/>
              </w:rPr>
              <w:t>）</w:t>
            </w:r>
            <w:r>
              <w:rPr>
                <w:spacing w:val="-2"/>
                <w:w w:val="95"/>
                <w:sz w:val="20"/>
              </w:rPr>
              <w:t>发生突变或畸变所引起的疾病，通常具   有由亲代传至后代的垂直传递的特征。</w:t>
            </w:r>
          </w:p>
        </w:tc>
      </w:tr>
      <w:tr>
        <w:trPr>
          <w:trHeight w:val="999" w:hRule="atLeast"/>
        </w:trPr>
        <w:tc>
          <w:tcPr>
            <w:tcW w:w="683" w:type="dxa"/>
          </w:tcPr>
          <w:p>
            <w:pPr>
              <w:pStyle w:val="TableParagraph"/>
              <w:spacing w:before="23"/>
              <w:ind w:left="179" w:right="160"/>
              <w:jc w:val="center"/>
              <w:rPr>
                <w:b/>
                <w:sz w:val="20"/>
              </w:rPr>
            </w:pPr>
            <w:r>
              <w:rPr>
                <w:b/>
                <w:sz w:val="20"/>
              </w:rPr>
              <w:t>20.</w:t>
            </w:r>
          </w:p>
        </w:tc>
        <w:tc>
          <w:tcPr>
            <w:tcW w:w="1717" w:type="dxa"/>
          </w:tcPr>
          <w:p>
            <w:pPr>
              <w:pStyle w:val="TableParagraph"/>
              <w:spacing w:line="285" w:lineRule="auto" w:before="23"/>
              <w:ind w:left="179" w:right="239"/>
              <w:jc w:val="both"/>
              <w:rPr>
                <w:b/>
                <w:sz w:val="20"/>
              </w:rPr>
            </w:pPr>
            <w:r>
              <w:rPr>
                <w:b/>
                <w:sz w:val="20"/>
              </w:rPr>
              <w:t>先天性畸形、变形或染色体异常</w:t>
            </w:r>
          </w:p>
        </w:tc>
        <w:tc>
          <w:tcPr>
            <w:tcW w:w="8128" w:type="dxa"/>
          </w:tcPr>
          <w:p>
            <w:pPr>
              <w:pStyle w:val="TableParagraph"/>
              <w:spacing w:line="288" w:lineRule="auto" w:before="23"/>
              <w:ind w:left="109" w:right="299"/>
              <w:rPr>
                <w:sz w:val="20"/>
              </w:rPr>
            </w:pPr>
            <w:r>
              <w:rPr>
                <w:spacing w:val="-4"/>
                <w:w w:val="95"/>
                <w:sz w:val="20"/>
              </w:rPr>
              <w:t>指被保险人出生时就具有的畸形、变形或染色体异常。先天性畸形、变形和染色体异常依   照世界卫生组织《疾病和有关健康问题的国际统计分类》（ICD-10）确定。</w:t>
            </w:r>
          </w:p>
        </w:tc>
      </w:tr>
      <w:tr>
        <w:trPr>
          <w:trHeight w:val="691" w:hRule="atLeast"/>
        </w:trPr>
        <w:tc>
          <w:tcPr>
            <w:tcW w:w="683" w:type="dxa"/>
          </w:tcPr>
          <w:p>
            <w:pPr>
              <w:pStyle w:val="TableParagraph"/>
              <w:spacing w:before="10"/>
              <w:ind w:left="179" w:right="160"/>
              <w:jc w:val="center"/>
              <w:rPr>
                <w:b/>
                <w:sz w:val="20"/>
              </w:rPr>
            </w:pPr>
            <w:r>
              <w:rPr>
                <w:b/>
                <w:sz w:val="20"/>
              </w:rPr>
              <w:t>21.</w:t>
            </w:r>
          </w:p>
        </w:tc>
        <w:tc>
          <w:tcPr>
            <w:tcW w:w="1717" w:type="dxa"/>
          </w:tcPr>
          <w:p>
            <w:pPr>
              <w:pStyle w:val="TableParagraph"/>
              <w:spacing w:before="10"/>
              <w:ind w:left="179"/>
              <w:rPr>
                <w:b/>
                <w:sz w:val="20"/>
              </w:rPr>
            </w:pPr>
            <w:r>
              <w:rPr>
                <w:b/>
                <w:sz w:val="20"/>
              </w:rPr>
              <w:t>保单欠款</w:t>
            </w:r>
          </w:p>
        </w:tc>
        <w:tc>
          <w:tcPr>
            <w:tcW w:w="8128" w:type="dxa"/>
          </w:tcPr>
          <w:p>
            <w:pPr>
              <w:pStyle w:val="TableParagraph"/>
              <w:spacing w:line="288" w:lineRule="auto" w:before="10"/>
              <w:ind w:left="109" w:right="199"/>
              <w:rPr>
                <w:sz w:val="20"/>
              </w:rPr>
            </w:pPr>
            <w:r>
              <w:rPr>
                <w:spacing w:val="-12"/>
                <w:w w:val="95"/>
                <w:sz w:val="20"/>
              </w:rPr>
              <w:t>指所有未交保险费、保单贷款</w:t>
            </w:r>
            <w:r>
              <w:rPr>
                <w:w w:val="95"/>
                <w:sz w:val="20"/>
              </w:rPr>
              <w:t>（包括我们自动为您垫交的保险费</w:t>
            </w:r>
            <w:r>
              <w:rPr>
                <w:spacing w:val="-60"/>
                <w:w w:val="95"/>
                <w:sz w:val="20"/>
              </w:rPr>
              <w:t>）</w:t>
            </w:r>
            <w:r>
              <w:rPr>
                <w:w w:val="95"/>
                <w:sz w:val="20"/>
              </w:rPr>
              <w:t>以及所有应付利息之和。   应付利息按本合同的约定计算。</w:t>
            </w:r>
          </w:p>
        </w:tc>
      </w:tr>
      <w:tr>
        <w:trPr>
          <w:trHeight w:val="742" w:hRule="atLeast"/>
        </w:trPr>
        <w:tc>
          <w:tcPr>
            <w:tcW w:w="683" w:type="dxa"/>
          </w:tcPr>
          <w:p>
            <w:pPr>
              <w:pStyle w:val="TableParagraph"/>
              <w:spacing w:before="25"/>
              <w:ind w:left="179" w:right="160"/>
              <w:jc w:val="center"/>
              <w:rPr>
                <w:b/>
                <w:sz w:val="20"/>
              </w:rPr>
            </w:pPr>
            <w:r>
              <w:rPr>
                <w:b/>
                <w:sz w:val="20"/>
              </w:rPr>
              <w:t>22.</w:t>
            </w:r>
          </w:p>
        </w:tc>
        <w:tc>
          <w:tcPr>
            <w:tcW w:w="1717" w:type="dxa"/>
          </w:tcPr>
          <w:p>
            <w:pPr>
              <w:pStyle w:val="TableParagraph"/>
              <w:spacing w:before="25"/>
              <w:ind w:left="179"/>
              <w:rPr>
                <w:b/>
                <w:sz w:val="20"/>
              </w:rPr>
            </w:pPr>
            <w:r>
              <w:rPr>
                <w:b/>
                <w:sz w:val="20"/>
              </w:rPr>
              <w:t>利息</w:t>
            </w:r>
          </w:p>
        </w:tc>
        <w:tc>
          <w:tcPr>
            <w:tcW w:w="8128" w:type="dxa"/>
          </w:tcPr>
          <w:p>
            <w:pPr>
              <w:pStyle w:val="TableParagraph"/>
              <w:spacing w:line="285" w:lineRule="auto" w:before="25"/>
              <w:ind w:left="109" w:right="344"/>
              <w:rPr>
                <w:sz w:val="20"/>
              </w:rPr>
            </w:pPr>
            <w:r>
              <w:rPr>
                <w:sz w:val="20"/>
              </w:rPr>
              <w:t>指保单贷款（包括我们自动为您垫交的保险费）的利息，按保单贷款的数额、经过的天</w:t>
            </w:r>
            <w:r>
              <w:rPr>
                <w:w w:val="95"/>
                <w:sz w:val="20"/>
              </w:rPr>
              <w:t>数和相关利率依单利方式计算。</w:t>
            </w:r>
          </w:p>
        </w:tc>
      </w:tr>
      <w:tr>
        <w:trPr>
          <w:trHeight w:val="780" w:hRule="atLeast"/>
        </w:trPr>
        <w:tc>
          <w:tcPr>
            <w:tcW w:w="683" w:type="dxa"/>
          </w:tcPr>
          <w:p>
            <w:pPr>
              <w:pStyle w:val="TableParagraph"/>
              <w:spacing w:before="63"/>
              <w:ind w:left="179" w:right="160"/>
              <w:jc w:val="center"/>
              <w:rPr>
                <w:b/>
                <w:sz w:val="20"/>
              </w:rPr>
            </w:pPr>
            <w:r>
              <w:rPr>
                <w:b/>
                <w:sz w:val="20"/>
              </w:rPr>
              <w:t>23.</w:t>
            </w:r>
          </w:p>
        </w:tc>
        <w:tc>
          <w:tcPr>
            <w:tcW w:w="1717" w:type="dxa"/>
          </w:tcPr>
          <w:p>
            <w:pPr>
              <w:pStyle w:val="TableParagraph"/>
              <w:spacing w:line="285" w:lineRule="auto" w:before="63"/>
              <w:ind w:left="179" w:right="109"/>
              <w:rPr>
                <w:b/>
                <w:sz w:val="20"/>
              </w:rPr>
            </w:pPr>
            <w:r>
              <w:rPr>
                <w:b/>
                <w:sz w:val="20"/>
              </w:rPr>
              <w:t>肢体机能完全丧失</w:t>
            </w:r>
          </w:p>
        </w:tc>
        <w:tc>
          <w:tcPr>
            <w:tcW w:w="8128" w:type="dxa"/>
          </w:tcPr>
          <w:p>
            <w:pPr>
              <w:pStyle w:val="TableParagraph"/>
              <w:spacing w:line="285" w:lineRule="auto" w:before="63"/>
              <w:ind w:left="109" w:right="344"/>
              <w:rPr>
                <w:sz w:val="20"/>
              </w:rPr>
            </w:pPr>
            <w:r>
              <w:rPr>
                <w:sz w:val="20"/>
              </w:rPr>
              <w:t>指肢体的三大关节中的两大关节僵硬，或不能随意识活动。肢体是指包括肩关节的整个</w:t>
            </w:r>
            <w:r>
              <w:rPr>
                <w:w w:val="95"/>
                <w:sz w:val="20"/>
              </w:rPr>
              <w:t>上肢或包括髋关节的整个下肢。</w:t>
            </w:r>
          </w:p>
        </w:tc>
      </w:tr>
      <w:tr>
        <w:trPr>
          <w:trHeight w:val="1560" w:hRule="atLeast"/>
        </w:trPr>
        <w:tc>
          <w:tcPr>
            <w:tcW w:w="683" w:type="dxa"/>
          </w:tcPr>
          <w:p>
            <w:pPr>
              <w:pStyle w:val="TableParagraph"/>
              <w:spacing w:before="63"/>
              <w:ind w:left="179" w:right="160"/>
              <w:jc w:val="center"/>
              <w:rPr>
                <w:b/>
                <w:sz w:val="20"/>
              </w:rPr>
            </w:pPr>
            <w:r>
              <w:rPr>
                <w:b/>
                <w:sz w:val="20"/>
              </w:rPr>
              <w:t>24.</w:t>
            </w:r>
          </w:p>
        </w:tc>
        <w:tc>
          <w:tcPr>
            <w:tcW w:w="1717" w:type="dxa"/>
          </w:tcPr>
          <w:p>
            <w:pPr>
              <w:pStyle w:val="TableParagraph"/>
              <w:spacing w:line="285" w:lineRule="auto" w:before="63"/>
              <w:ind w:left="179" w:right="109"/>
              <w:jc w:val="both"/>
              <w:rPr>
                <w:b/>
                <w:sz w:val="20"/>
              </w:rPr>
            </w:pPr>
            <w:r>
              <w:rPr>
                <w:b/>
                <w:sz w:val="20"/>
              </w:rPr>
              <w:t>语言能力或咀嚼吞咽能力完全丧失</w:t>
            </w:r>
          </w:p>
        </w:tc>
        <w:tc>
          <w:tcPr>
            <w:tcW w:w="8128" w:type="dxa"/>
          </w:tcPr>
          <w:p>
            <w:pPr>
              <w:pStyle w:val="TableParagraph"/>
              <w:spacing w:line="285" w:lineRule="auto" w:before="63"/>
              <w:ind w:left="109" w:right="344"/>
              <w:rPr>
                <w:sz w:val="20"/>
              </w:rPr>
            </w:pPr>
            <w:r>
              <w:rPr>
                <w:sz w:val="20"/>
              </w:rPr>
              <w:t>语言能力完全丧失，指无法发出四种语音（包括口唇音、齿舌音、口盖音和喉头音）中</w:t>
            </w:r>
            <w:r>
              <w:rPr>
                <w:w w:val="95"/>
                <w:sz w:val="20"/>
              </w:rPr>
              <w:t>的任何三种，或声带全部切除，或因大脑语言中枢受伤害而患失语症。</w:t>
            </w:r>
          </w:p>
          <w:p>
            <w:pPr>
              <w:pStyle w:val="TableParagraph"/>
              <w:spacing w:line="285" w:lineRule="auto" w:before="168"/>
              <w:ind w:left="109" w:right="344"/>
              <w:rPr>
                <w:sz w:val="20"/>
              </w:rPr>
            </w:pPr>
            <w:r>
              <w:rPr>
                <w:sz w:val="20"/>
              </w:rPr>
              <w:t>咀嚼吞咽能力完全丧失，指因牙齿以外的原因导致器质障碍或机能障碍，以致不能作咀</w:t>
            </w:r>
            <w:r>
              <w:rPr>
                <w:w w:val="95"/>
                <w:sz w:val="20"/>
              </w:rPr>
              <w:t>嚼吞咽运动，除流质食物外不能摄取或吞咽的状态。</w:t>
            </w:r>
          </w:p>
        </w:tc>
      </w:tr>
      <w:tr>
        <w:trPr>
          <w:trHeight w:val="1055" w:hRule="atLeast"/>
        </w:trPr>
        <w:tc>
          <w:tcPr>
            <w:tcW w:w="683" w:type="dxa"/>
          </w:tcPr>
          <w:p>
            <w:pPr>
              <w:pStyle w:val="TableParagraph"/>
              <w:spacing w:before="63"/>
              <w:ind w:left="179" w:right="160"/>
              <w:jc w:val="center"/>
              <w:rPr>
                <w:b/>
                <w:sz w:val="20"/>
              </w:rPr>
            </w:pPr>
            <w:r>
              <w:rPr>
                <w:b/>
                <w:sz w:val="20"/>
              </w:rPr>
              <w:t>25.</w:t>
            </w:r>
          </w:p>
        </w:tc>
        <w:tc>
          <w:tcPr>
            <w:tcW w:w="1717" w:type="dxa"/>
          </w:tcPr>
          <w:p>
            <w:pPr>
              <w:pStyle w:val="TableParagraph"/>
              <w:spacing w:line="285" w:lineRule="auto" w:before="63"/>
              <w:ind w:left="179" w:right="109"/>
              <w:rPr>
                <w:b/>
                <w:sz w:val="20"/>
              </w:rPr>
            </w:pPr>
            <w:r>
              <w:rPr>
                <w:b/>
                <w:sz w:val="20"/>
              </w:rPr>
              <w:t>六项基本日常生活活动</w:t>
            </w:r>
          </w:p>
        </w:tc>
        <w:tc>
          <w:tcPr>
            <w:tcW w:w="8128" w:type="dxa"/>
          </w:tcPr>
          <w:p>
            <w:pPr>
              <w:pStyle w:val="TableParagraph"/>
              <w:spacing w:line="288" w:lineRule="auto" w:before="63"/>
              <w:ind w:left="109" w:right="318"/>
              <w:jc w:val="both"/>
              <w:rPr>
                <w:sz w:val="20"/>
              </w:rPr>
            </w:pPr>
            <w:r>
              <w:rPr>
                <w:w w:val="95"/>
                <w:sz w:val="20"/>
              </w:rPr>
              <w:t>指（1）穿衣：自己能够穿衣及脱衣；（2）移动：自己从一个房间到另一个房间；（3）  </w:t>
            </w:r>
            <w:r>
              <w:rPr>
                <w:sz w:val="20"/>
              </w:rPr>
              <w:t>行动：自己上下床或上下轮椅；</w:t>
            </w:r>
            <w:r>
              <w:rPr>
                <w:spacing w:val="1"/>
                <w:sz w:val="20"/>
              </w:rPr>
              <w:t>（4）</w:t>
            </w:r>
            <w:r>
              <w:rPr>
                <w:sz w:val="20"/>
              </w:rPr>
              <w:t>如厕：自己控制进行大小便；</w:t>
            </w:r>
            <w:r>
              <w:rPr>
                <w:spacing w:val="1"/>
                <w:sz w:val="20"/>
              </w:rPr>
              <w:t>（5）</w:t>
            </w:r>
            <w:r>
              <w:rPr>
                <w:sz w:val="20"/>
              </w:rPr>
              <w:t>进食：自己从</w:t>
            </w:r>
            <w:r>
              <w:rPr>
                <w:w w:val="95"/>
                <w:sz w:val="20"/>
              </w:rPr>
              <w:t>已准备好的碗或碟中取食物放入口中；（6）洗澡：自己进行淋浴或盆浴。</w:t>
            </w:r>
          </w:p>
        </w:tc>
      </w:tr>
      <w:tr>
        <w:trPr>
          <w:trHeight w:val="606" w:hRule="atLeast"/>
        </w:trPr>
        <w:tc>
          <w:tcPr>
            <w:tcW w:w="683" w:type="dxa"/>
          </w:tcPr>
          <w:p>
            <w:pPr>
              <w:pStyle w:val="TableParagraph"/>
              <w:spacing w:before="24"/>
              <w:ind w:left="179" w:right="160"/>
              <w:jc w:val="center"/>
              <w:rPr>
                <w:b/>
                <w:sz w:val="20"/>
              </w:rPr>
            </w:pPr>
            <w:r>
              <w:rPr>
                <w:b/>
                <w:sz w:val="20"/>
              </w:rPr>
              <w:t>26.</w:t>
            </w:r>
          </w:p>
        </w:tc>
        <w:tc>
          <w:tcPr>
            <w:tcW w:w="1717" w:type="dxa"/>
          </w:tcPr>
          <w:p>
            <w:pPr>
              <w:pStyle w:val="TableParagraph"/>
              <w:spacing w:before="24"/>
              <w:ind w:left="179"/>
              <w:rPr>
                <w:b/>
                <w:sz w:val="20"/>
              </w:rPr>
            </w:pPr>
            <w:r>
              <w:rPr>
                <w:b/>
                <w:w w:val="95"/>
                <w:sz w:val="20"/>
              </w:rPr>
              <w:t>永久不可逆</w:t>
            </w:r>
          </w:p>
        </w:tc>
        <w:tc>
          <w:tcPr>
            <w:tcW w:w="8128" w:type="dxa"/>
          </w:tcPr>
          <w:p>
            <w:pPr>
              <w:pStyle w:val="TableParagraph"/>
              <w:spacing w:line="312" w:lineRule="exact" w:before="8"/>
              <w:ind w:left="109" w:right="288"/>
              <w:rPr>
                <w:sz w:val="20"/>
              </w:rPr>
            </w:pPr>
            <w:r>
              <w:rPr>
                <w:sz w:val="20"/>
              </w:rPr>
              <w:t>指自疾病确诊或意外伤害发生之日起，经过积极治疗 180 天后仍无法通过现有医疗手段</w:t>
            </w:r>
            <w:r>
              <w:rPr>
                <w:w w:val="95"/>
                <w:sz w:val="20"/>
              </w:rPr>
              <w:t>恢复。</w:t>
            </w:r>
          </w:p>
        </w:tc>
      </w:tr>
    </w:tbl>
    <w:sectPr>
      <w:pgSz w:w="11910" w:h="16840"/>
      <w:pgMar w:header="0" w:footer="831" w:top="1180" w:bottom="1020" w:left="760" w:right="4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Wingdings">
    <w:altName w:val="Wingdings"/>
    <w:charset w:val="2"/>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type id="_x0000_t202" o:spt="202" coordsize="21600,21600" path="m,l,21600r21600,l21600,xe">
          <v:stroke joinstyle="miter"/>
          <v:path gradientshapeok="t" o:connecttype="rect"/>
        </v:shapetype>
        <v:shape style="position:absolute;margin-left:55.639999pt;margin-top:785.386597pt;width:122.15pt;height:20.4pt;mso-position-horizontal-relative:page;mso-position-vertical-relative:page;z-index:-53968" type="#_x0000_t202" filled="false" stroked="false">
          <v:textbox inset="0,0,0,0">
            <w:txbxContent>
              <w:p>
                <w:pPr>
                  <w:spacing w:line="179" w:lineRule="exact" w:before="0"/>
                  <w:ind w:left="20" w:right="0" w:firstLine="0"/>
                  <w:jc w:val="left"/>
                  <w:rPr>
                    <w:sz w:val="16"/>
                  </w:rPr>
                </w:pPr>
                <w:r>
                  <w:rPr>
                    <w:sz w:val="16"/>
                  </w:rPr>
                  <w:t>中德安联人寿保险有限公司</w:t>
                </w:r>
              </w:p>
              <w:p>
                <w:pPr>
                  <w:spacing w:line="208" w:lineRule="exact" w:before="0"/>
                  <w:ind w:left="20" w:right="0" w:firstLine="0"/>
                  <w:jc w:val="left"/>
                  <w:rPr>
                    <w:sz w:val="16"/>
                  </w:rPr>
                </w:pPr>
                <w:r>
                  <w:rPr>
                    <w:spacing w:val="-7"/>
                    <w:sz w:val="16"/>
                  </w:rPr>
                  <w:t>安联安康长泰 </w:t>
                </w:r>
                <w:r>
                  <w:rPr>
                    <w:sz w:val="16"/>
                  </w:rPr>
                  <w:t>A</w:t>
                </w:r>
                <w:r>
                  <w:rPr>
                    <w:spacing w:val="-7"/>
                    <w:sz w:val="16"/>
                  </w:rPr>
                  <w:t> 长期重大疾病保险</w:t>
                </w:r>
              </w:p>
            </w:txbxContent>
          </v:textbox>
          <w10:wrap type="none"/>
        </v:shape>
      </w:pict>
    </w:r>
    <w:r>
      <w:rPr/>
      <w:pict>
        <v:shape style="position:absolute;margin-left:473.700012pt;margin-top:785.386597pt;width:70.2pt;height:10.050pt;mso-position-horizontal-relative:page;mso-position-vertical-relative:page;z-index:-53944" type="#_x0000_t202" filled="false" stroked="false">
          <v:textbox inset="0,0,0,0">
            <w:txbxContent>
              <w:p>
                <w:pPr>
                  <w:spacing w:line="181" w:lineRule="exact" w:before="0"/>
                  <w:ind w:left="20" w:right="0" w:firstLine="0"/>
                  <w:jc w:val="left"/>
                  <w:rPr>
                    <w:sz w:val="16"/>
                  </w:rPr>
                </w:pPr>
                <w:r>
                  <w:rPr>
                    <w:sz w:val="16"/>
                  </w:rPr>
                  <w:t>第 </w:t>
                </w:r>
                <w:r>
                  <w:rPr/>
                  <w:fldChar w:fldCharType="begin"/>
                </w:r>
                <w:r>
                  <w:rPr>
                    <w:sz w:val="16"/>
                  </w:rPr>
                  <w:instrText> PAGE </w:instrText>
                </w:r>
                <w:r>
                  <w:rPr/>
                  <w:fldChar w:fldCharType="separate"/>
                </w:r>
                <w:r>
                  <w:rPr/>
                  <w:t>10</w:t>
                </w:r>
                <w:r>
                  <w:rPr/>
                  <w:fldChar w:fldCharType="end"/>
                </w:r>
                <w:r>
                  <w:rPr>
                    <w:sz w:val="16"/>
                  </w:rPr>
                  <w:t> 页 共 23 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3">
    <w:multiLevelType w:val="hybridMultilevel"/>
    <w:lvl w:ilvl="0">
      <w:start w:val="1"/>
      <w:numFmt w:val="decimal"/>
      <w:lvlText w:val="(%1)"/>
      <w:lvlJc w:val="left"/>
      <w:pPr>
        <w:ind w:left="529" w:hanging="420"/>
        <w:jc w:val="left"/>
      </w:pPr>
      <w:rPr>
        <w:rFonts w:hint="default" w:ascii="宋体" w:hAnsi="宋体" w:eastAsia="宋体" w:cs="宋体"/>
        <w:spacing w:val="0"/>
        <w:w w:val="99"/>
        <w:sz w:val="20"/>
        <w:szCs w:val="20"/>
      </w:rPr>
    </w:lvl>
    <w:lvl w:ilvl="1">
      <w:start w:val="0"/>
      <w:numFmt w:val="bullet"/>
      <w:lvlText w:val="•"/>
      <w:lvlJc w:val="left"/>
      <w:pPr>
        <w:ind w:left="1280" w:hanging="420"/>
      </w:pPr>
      <w:rPr>
        <w:rFonts w:hint="default"/>
      </w:rPr>
    </w:lvl>
    <w:lvl w:ilvl="2">
      <w:start w:val="0"/>
      <w:numFmt w:val="bullet"/>
      <w:lvlText w:val="•"/>
      <w:lvlJc w:val="left"/>
      <w:pPr>
        <w:ind w:left="2041" w:hanging="420"/>
      </w:pPr>
      <w:rPr>
        <w:rFonts w:hint="default"/>
      </w:rPr>
    </w:lvl>
    <w:lvl w:ilvl="3">
      <w:start w:val="0"/>
      <w:numFmt w:val="bullet"/>
      <w:lvlText w:val="•"/>
      <w:lvlJc w:val="left"/>
      <w:pPr>
        <w:ind w:left="2802" w:hanging="420"/>
      </w:pPr>
      <w:rPr>
        <w:rFonts w:hint="default"/>
      </w:rPr>
    </w:lvl>
    <w:lvl w:ilvl="4">
      <w:start w:val="0"/>
      <w:numFmt w:val="bullet"/>
      <w:lvlText w:val="•"/>
      <w:lvlJc w:val="left"/>
      <w:pPr>
        <w:ind w:left="3563" w:hanging="420"/>
      </w:pPr>
      <w:rPr>
        <w:rFonts w:hint="default"/>
      </w:rPr>
    </w:lvl>
    <w:lvl w:ilvl="5">
      <w:start w:val="0"/>
      <w:numFmt w:val="bullet"/>
      <w:lvlText w:val="•"/>
      <w:lvlJc w:val="left"/>
      <w:pPr>
        <w:ind w:left="4324" w:hanging="420"/>
      </w:pPr>
      <w:rPr>
        <w:rFonts w:hint="default"/>
      </w:rPr>
    </w:lvl>
    <w:lvl w:ilvl="6">
      <w:start w:val="0"/>
      <w:numFmt w:val="bullet"/>
      <w:lvlText w:val="•"/>
      <w:lvlJc w:val="left"/>
      <w:pPr>
        <w:ind w:left="5084" w:hanging="420"/>
      </w:pPr>
      <w:rPr>
        <w:rFonts w:hint="default"/>
      </w:rPr>
    </w:lvl>
    <w:lvl w:ilvl="7">
      <w:start w:val="0"/>
      <w:numFmt w:val="bullet"/>
      <w:lvlText w:val="•"/>
      <w:lvlJc w:val="left"/>
      <w:pPr>
        <w:ind w:left="5845" w:hanging="420"/>
      </w:pPr>
      <w:rPr>
        <w:rFonts w:hint="default"/>
      </w:rPr>
    </w:lvl>
    <w:lvl w:ilvl="8">
      <w:start w:val="0"/>
      <w:numFmt w:val="bullet"/>
      <w:lvlText w:val="•"/>
      <w:lvlJc w:val="left"/>
      <w:pPr>
        <w:ind w:left="6606" w:hanging="420"/>
      </w:pPr>
      <w:rPr>
        <w:rFonts w:hint="default"/>
      </w:rPr>
    </w:lvl>
  </w:abstractNum>
  <w:abstractNum w:abstractNumId="42">
    <w:multiLevelType w:val="hybridMultilevel"/>
    <w:lvl w:ilvl="0">
      <w:start w:val="1"/>
      <w:numFmt w:val="decimal"/>
      <w:lvlText w:val="(%1)"/>
      <w:lvlJc w:val="left"/>
      <w:pPr>
        <w:ind w:left="529" w:hanging="420"/>
        <w:jc w:val="left"/>
      </w:pPr>
      <w:rPr>
        <w:rFonts w:hint="default" w:ascii="宋体" w:hAnsi="宋体" w:eastAsia="宋体" w:cs="宋体"/>
        <w:spacing w:val="0"/>
        <w:w w:val="99"/>
        <w:sz w:val="20"/>
        <w:szCs w:val="20"/>
      </w:rPr>
    </w:lvl>
    <w:lvl w:ilvl="1">
      <w:start w:val="0"/>
      <w:numFmt w:val="bullet"/>
      <w:lvlText w:val="•"/>
      <w:lvlJc w:val="left"/>
      <w:pPr>
        <w:ind w:left="1280" w:hanging="420"/>
      </w:pPr>
      <w:rPr>
        <w:rFonts w:hint="default"/>
      </w:rPr>
    </w:lvl>
    <w:lvl w:ilvl="2">
      <w:start w:val="0"/>
      <w:numFmt w:val="bullet"/>
      <w:lvlText w:val="•"/>
      <w:lvlJc w:val="left"/>
      <w:pPr>
        <w:ind w:left="2041" w:hanging="420"/>
      </w:pPr>
      <w:rPr>
        <w:rFonts w:hint="default"/>
      </w:rPr>
    </w:lvl>
    <w:lvl w:ilvl="3">
      <w:start w:val="0"/>
      <w:numFmt w:val="bullet"/>
      <w:lvlText w:val="•"/>
      <w:lvlJc w:val="left"/>
      <w:pPr>
        <w:ind w:left="2802" w:hanging="420"/>
      </w:pPr>
      <w:rPr>
        <w:rFonts w:hint="default"/>
      </w:rPr>
    </w:lvl>
    <w:lvl w:ilvl="4">
      <w:start w:val="0"/>
      <w:numFmt w:val="bullet"/>
      <w:lvlText w:val="•"/>
      <w:lvlJc w:val="left"/>
      <w:pPr>
        <w:ind w:left="3563" w:hanging="420"/>
      </w:pPr>
      <w:rPr>
        <w:rFonts w:hint="default"/>
      </w:rPr>
    </w:lvl>
    <w:lvl w:ilvl="5">
      <w:start w:val="0"/>
      <w:numFmt w:val="bullet"/>
      <w:lvlText w:val="•"/>
      <w:lvlJc w:val="left"/>
      <w:pPr>
        <w:ind w:left="4324" w:hanging="420"/>
      </w:pPr>
      <w:rPr>
        <w:rFonts w:hint="default"/>
      </w:rPr>
    </w:lvl>
    <w:lvl w:ilvl="6">
      <w:start w:val="0"/>
      <w:numFmt w:val="bullet"/>
      <w:lvlText w:val="•"/>
      <w:lvlJc w:val="left"/>
      <w:pPr>
        <w:ind w:left="5084" w:hanging="420"/>
      </w:pPr>
      <w:rPr>
        <w:rFonts w:hint="default"/>
      </w:rPr>
    </w:lvl>
    <w:lvl w:ilvl="7">
      <w:start w:val="0"/>
      <w:numFmt w:val="bullet"/>
      <w:lvlText w:val="•"/>
      <w:lvlJc w:val="left"/>
      <w:pPr>
        <w:ind w:left="5845" w:hanging="420"/>
      </w:pPr>
      <w:rPr>
        <w:rFonts w:hint="default"/>
      </w:rPr>
    </w:lvl>
    <w:lvl w:ilvl="8">
      <w:start w:val="0"/>
      <w:numFmt w:val="bullet"/>
      <w:lvlText w:val="•"/>
      <w:lvlJc w:val="left"/>
      <w:pPr>
        <w:ind w:left="6606" w:hanging="420"/>
      </w:pPr>
      <w:rPr>
        <w:rFonts w:hint="default"/>
      </w:rPr>
    </w:lvl>
  </w:abstractNum>
  <w:abstractNum w:abstractNumId="41">
    <w:multiLevelType w:val="hybridMultilevel"/>
    <w:lvl w:ilvl="0">
      <w:start w:val="1"/>
      <w:numFmt w:val="decimal"/>
      <w:lvlText w:val="（%1）"/>
      <w:lvlJc w:val="left"/>
      <w:pPr>
        <w:ind w:left="900" w:hanging="680"/>
        <w:jc w:val="left"/>
      </w:pPr>
      <w:rPr>
        <w:rFonts w:hint="default" w:ascii="宋体" w:hAnsi="宋体" w:eastAsia="宋体" w:cs="宋体"/>
        <w:w w:val="99"/>
        <w:sz w:val="20"/>
        <w:szCs w:val="20"/>
      </w:rPr>
    </w:lvl>
    <w:lvl w:ilvl="1">
      <w:start w:val="0"/>
      <w:numFmt w:val="bullet"/>
      <w:lvlText w:val="•"/>
      <w:lvlJc w:val="left"/>
      <w:pPr>
        <w:ind w:left="1629" w:hanging="680"/>
      </w:pPr>
      <w:rPr>
        <w:rFonts w:hint="default"/>
      </w:rPr>
    </w:lvl>
    <w:lvl w:ilvl="2">
      <w:start w:val="0"/>
      <w:numFmt w:val="bullet"/>
      <w:lvlText w:val="•"/>
      <w:lvlJc w:val="left"/>
      <w:pPr>
        <w:ind w:left="2359" w:hanging="680"/>
      </w:pPr>
      <w:rPr>
        <w:rFonts w:hint="default"/>
      </w:rPr>
    </w:lvl>
    <w:lvl w:ilvl="3">
      <w:start w:val="0"/>
      <w:numFmt w:val="bullet"/>
      <w:lvlText w:val="•"/>
      <w:lvlJc w:val="left"/>
      <w:pPr>
        <w:ind w:left="3088" w:hanging="680"/>
      </w:pPr>
      <w:rPr>
        <w:rFonts w:hint="default"/>
      </w:rPr>
    </w:lvl>
    <w:lvl w:ilvl="4">
      <w:start w:val="0"/>
      <w:numFmt w:val="bullet"/>
      <w:lvlText w:val="•"/>
      <w:lvlJc w:val="left"/>
      <w:pPr>
        <w:ind w:left="3818" w:hanging="680"/>
      </w:pPr>
      <w:rPr>
        <w:rFonts w:hint="default"/>
      </w:rPr>
    </w:lvl>
    <w:lvl w:ilvl="5">
      <w:start w:val="0"/>
      <w:numFmt w:val="bullet"/>
      <w:lvlText w:val="•"/>
      <w:lvlJc w:val="left"/>
      <w:pPr>
        <w:ind w:left="4548" w:hanging="680"/>
      </w:pPr>
      <w:rPr>
        <w:rFonts w:hint="default"/>
      </w:rPr>
    </w:lvl>
    <w:lvl w:ilvl="6">
      <w:start w:val="0"/>
      <w:numFmt w:val="bullet"/>
      <w:lvlText w:val="•"/>
      <w:lvlJc w:val="left"/>
      <w:pPr>
        <w:ind w:left="5277" w:hanging="680"/>
      </w:pPr>
      <w:rPr>
        <w:rFonts w:hint="default"/>
      </w:rPr>
    </w:lvl>
    <w:lvl w:ilvl="7">
      <w:start w:val="0"/>
      <w:numFmt w:val="bullet"/>
      <w:lvlText w:val="•"/>
      <w:lvlJc w:val="left"/>
      <w:pPr>
        <w:ind w:left="6007" w:hanging="680"/>
      </w:pPr>
      <w:rPr>
        <w:rFonts w:hint="default"/>
      </w:rPr>
    </w:lvl>
    <w:lvl w:ilvl="8">
      <w:start w:val="0"/>
      <w:numFmt w:val="bullet"/>
      <w:lvlText w:val="•"/>
      <w:lvlJc w:val="left"/>
      <w:pPr>
        <w:ind w:left="6736" w:hanging="680"/>
      </w:pPr>
      <w:rPr>
        <w:rFonts w:hint="default"/>
      </w:rPr>
    </w:lvl>
  </w:abstractNum>
  <w:abstractNum w:abstractNumId="40">
    <w:multiLevelType w:val="hybridMultilevel"/>
    <w:lvl w:ilvl="0">
      <w:start w:val="1"/>
      <w:numFmt w:val="decimal"/>
      <w:lvlText w:val="（%1）"/>
      <w:lvlJc w:val="left"/>
      <w:pPr>
        <w:ind w:left="220" w:hanging="610"/>
        <w:jc w:val="left"/>
      </w:pPr>
      <w:rPr>
        <w:rFonts w:hint="default"/>
        <w:spacing w:val="0"/>
        <w:w w:val="99"/>
      </w:rPr>
    </w:lvl>
    <w:lvl w:ilvl="1">
      <w:start w:val="0"/>
      <w:numFmt w:val="bullet"/>
      <w:lvlText w:val="•"/>
      <w:lvlJc w:val="left"/>
      <w:pPr>
        <w:ind w:left="1017" w:hanging="610"/>
      </w:pPr>
      <w:rPr>
        <w:rFonts w:hint="default"/>
      </w:rPr>
    </w:lvl>
    <w:lvl w:ilvl="2">
      <w:start w:val="0"/>
      <w:numFmt w:val="bullet"/>
      <w:lvlText w:val="•"/>
      <w:lvlJc w:val="left"/>
      <w:pPr>
        <w:ind w:left="1815" w:hanging="610"/>
      </w:pPr>
      <w:rPr>
        <w:rFonts w:hint="default"/>
      </w:rPr>
    </w:lvl>
    <w:lvl w:ilvl="3">
      <w:start w:val="0"/>
      <w:numFmt w:val="bullet"/>
      <w:lvlText w:val="•"/>
      <w:lvlJc w:val="left"/>
      <w:pPr>
        <w:ind w:left="2612" w:hanging="610"/>
      </w:pPr>
      <w:rPr>
        <w:rFonts w:hint="default"/>
      </w:rPr>
    </w:lvl>
    <w:lvl w:ilvl="4">
      <w:start w:val="0"/>
      <w:numFmt w:val="bullet"/>
      <w:lvlText w:val="•"/>
      <w:lvlJc w:val="left"/>
      <w:pPr>
        <w:ind w:left="3410" w:hanging="610"/>
      </w:pPr>
      <w:rPr>
        <w:rFonts w:hint="default"/>
      </w:rPr>
    </w:lvl>
    <w:lvl w:ilvl="5">
      <w:start w:val="0"/>
      <w:numFmt w:val="bullet"/>
      <w:lvlText w:val="•"/>
      <w:lvlJc w:val="left"/>
      <w:pPr>
        <w:ind w:left="4208" w:hanging="610"/>
      </w:pPr>
      <w:rPr>
        <w:rFonts w:hint="default"/>
      </w:rPr>
    </w:lvl>
    <w:lvl w:ilvl="6">
      <w:start w:val="0"/>
      <w:numFmt w:val="bullet"/>
      <w:lvlText w:val="•"/>
      <w:lvlJc w:val="left"/>
      <w:pPr>
        <w:ind w:left="5005" w:hanging="610"/>
      </w:pPr>
      <w:rPr>
        <w:rFonts w:hint="default"/>
      </w:rPr>
    </w:lvl>
    <w:lvl w:ilvl="7">
      <w:start w:val="0"/>
      <w:numFmt w:val="bullet"/>
      <w:lvlText w:val="•"/>
      <w:lvlJc w:val="left"/>
      <w:pPr>
        <w:ind w:left="5803" w:hanging="610"/>
      </w:pPr>
      <w:rPr>
        <w:rFonts w:hint="default"/>
      </w:rPr>
    </w:lvl>
    <w:lvl w:ilvl="8">
      <w:start w:val="0"/>
      <w:numFmt w:val="bullet"/>
      <w:lvlText w:val="•"/>
      <w:lvlJc w:val="left"/>
      <w:pPr>
        <w:ind w:left="6600" w:hanging="610"/>
      </w:pPr>
      <w:rPr>
        <w:rFonts w:hint="default"/>
      </w:rPr>
    </w:lvl>
  </w:abstractNum>
  <w:abstractNum w:abstractNumId="39">
    <w:multiLevelType w:val="hybridMultilevel"/>
    <w:lvl w:ilvl="0">
      <w:start w:val="1"/>
      <w:numFmt w:val="decimal"/>
      <w:lvlText w:val="（%1）"/>
      <w:lvlJc w:val="left"/>
      <w:pPr>
        <w:ind w:left="900" w:hanging="680"/>
        <w:jc w:val="left"/>
      </w:pPr>
      <w:rPr>
        <w:rFonts w:hint="default" w:ascii="宋体" w:hAnsi="宋体" w:eastAsia="宋体" w:cs="宋体"/>
        <w:w w:val="99"/>
        <w:sz w:val="20"/>
        <w:szCs w:val="20"/>
      </w:rPr>
    </w:lvl>
    <w:lvl w:ilvl="1">
      <w:start w:val="2"/>
      <w:numFmt w:val="decimal"/>
      <w:lvlText w:val="%2)"/>
      <w:lvlJc w:val="left"/>
      <w:pPr>
        <w:ind w:left="1128" w:hanging="450"/>
        <w:jc w:val="left"/>
      </w:pPr>
      <w:rPr>
        <w:rFonts w:hint="default" w:ascii="宋体" w:hAnsi="宋体" w:eastAsia="宋体" w:cs="宋体"/>
        <w:spacing w:val="0"/>
        <w:w w:val="99"/>
        <w:sz w:val="20"/>
        <w:szCs w:val="20"/>
      </w:rPr>
    </w:lvl>
    <w:lvl w:ilvl="2">
      <w:start w:val="0"/>
      <w:numFmt w:val="bullet"/>
      <w:lvlText w:val="•"/>
      <w:lvlJc w:val="left"/>
      <w:pPr>
        <w:ind w:left="1906" w:hanging="450"/>
      </w:pPr>
      <w:rPr>
        <w:rFonts w:hint="default"/>
      </w:rPr>
    </w:lvl>
    <w:lvl w:ilvl="3">
      <w:start w:val="0"/>
      <w:numFmt w:val="bullet"/>
      <w:lvlText w:val="•"/>
      <w:lvlJc w:val="left"/>
      <w:pPr>
        <w:ind w:left="2692" w:hanging="450"/>
      </w:pPr>
      <w:rPr>
        <w:rFonts w:hint="default"/>
      </w:rPr>
    </w:lvl>
    <w:lvl w:ilvl="4">
      <w:start w:val="0"/>
      <w:numFmt w:val="bullet"/>
      <w:lvlText w:val="•"/>
      <w:lvlJc w:val="left"/>
      <w:pPr>
        <w:ind w:left="3478" w:hanging="450"/>
      </w:pPr>
      <w:rPr>
        <w:rFonts w:hint="default"/>
      </w:rPr>
    </w:lvl>
    <w:lvl w:ilvl="5">
      <w:start w:val="0"/>
      <w:numFmt w:val="bullet"/>
      <w:lvlText w:val="•"/>
      <w:lvlJc w:val="left"/>
      <w:pPr>
        <w:ind w:left="4264" w:hanging="450"/>
      </w:pPr>
      <w:rPr>
        <w:rFonts w:hint="default"/>
      </w:rPr>
    </w:lvl>
    <w:lvl w:ilvl="6">
      <w:start w:val="0"/>
      <w:numFmt w:val="bullet"/>
      <w:lvlText w:val="•"/>
      <w:lvlJc w:val="left"/>
      <w:pPr>
        <w:ind w:left="5051" w:hanging="450"/>
      </w:pPr>
      <w:rPr>
        <w:rFonts w:hint="default"/>
      </w:rPr>
    </w:lvl>
    <w:lvl w:ilvl="7">
      <w:start w:val="0"/>
      <w:numFmt w:val="bullet"/>
      <w:lvlText w:val="•"/>
      <w:lvlJc w:val="left"/>
      <w:pPr>
        <w:ind w:left="5837" w:hanging="450"/>
      </w:pPr>
      <w:rPr>
        <w:rFonts w:hint="default"/>
      </w:rPr>
    </w:lvl>
    <w:lvl w:ilvl="8">
      <w:start w:val="0"/>
      <w:numFmt w:val="bullet"/>
      <w:lvlText w:val="•"/>
      <w:lvlJc w:val="left"/>
      <w:pPr>
        <w:ind w:left="6623" w:hanging="450"/>
      </w:pPr>
      <w:rPr>
        <w:rFonts w:hint="default"/>
      </w:rPr>
    </w:lvl>
  </w:abstractNum>
  <w:abstractNum w:abstractNumId="38">
    <w:multiLevelType w:val="hybridMultilevel"/>
    <w:lvl w:ilvl="0">
      <w:start w:val="1"/>
      <w:numFmt w:val="decimal"/>
      <w:lvlText w:val="(%1)"/>
      <w:lvlJc w:val="left"/>
      <w:pPr>
        <w:ind w:left="108" w:hanging="404"/>
        <w:jc w:val="left"/>
      </w:pPr>
      <w:rPr>
        <w:rFonts w:hint="default" w:ascii="宋体" w:hAnsi="宋体" w:eastAsia="宋体" w:cs="宋体"/>
        <w:spacing w:val="0"/>
        <w:w w:val="99"/>
        <w:sz w:val="20"/>
        <w:szCs w:val="20"/>
      </w:rPr>
    </w:lvl>
    <w:lvl w:ilvl="1">
      <w:start w:val="0"/>
      <w:numFmt w:val="bullet"/>
      <w:lvlText w:val="•"/>
      <w:lvlJc w:val="left"/>
      <w:pPr>
        <w:ind w:left="882" w:hanging="404"/>
      </w:pPr>
      <w:rPr>
        <w:rFonts w:hint="default"/>
      </w:rPr>
    </w:lvl>
    <w:lvl w:ilvl="2">
      <w:start w:val="0"/>
      <w:numFmt w:val="bullet"/>
      <w:lvlText w:val="•"/>
      <w:lvlJc w:val="left"/>
      <w:pPr>
        <w:ind w:left="1664" w:hanging="404"/>
      </w:pPr>
      <w:rPr>
        <w:rFonts w:hint="default"/>
      </w:rPr>
    </w:lvl>
    <w:lvl w:ilvl="3">
      <w:start w:val="0"/>
      <w:numFmt w:val="bullet"/>
      <w:lvlText w:val="•"/>
      <w:lvlJc w:val="left"/>
      <w:pPr>
        <w:ind w:left="2446" w:hanging="404"/>
      </w:pPr>
      <w:rPr>
        <w:rFonts w:hint="default"/>
      </w:rPr>
    </w:lvl>
    <w:lvl w:ilvl="4">
      <w:start w:val="0"/>
      <w:numFmt w:val="bullet"/>
      <w:lvlText w:val="•"/>
      <w:lvlJc w:val="left"/>
      <w:pPr>
        <w:ind w:left="3229" w:hanging="404"/>
      </w:pPr>
      <w:rPr>
        <w:rFonts w:hint="default"/>
      </w:rPr>
    </w:lvl>
    <w:lvl w:ilvl="5">
      <w:start w:val="0"/>
      <w:numFmt w:val="bullet"/>
      <w:lvlText w:val="•"/>
      <w:lvlJc w:val="left"/>
      <w:pPr>
        <w:ind w:left="4011" w:hanging="404"/>
      </w:pPr>
      <w:rPr>
        <w:rFonts w:hint="default"/>
      </w:rPr>
    </w:lvl>
    <w:lvl w:ilvl="6">
      <w:start w:val="0"/>
      <w:numFmt w:val="bullet"/>
      <w:lvlText w:val="•"/>
      <w:lvlJc w:val="left"/>
      <w:pPr>
        <w:ind w:left="4793" w:hanging="404"/>
      </w:pPr>
      <w:rPr>
        <w:rFonts w:hint="default"/>
      </w:rPr>
    </w:lvl>
    <w:lvl w:ilvl="7">
      <w:start w:val="0"/>
      <w:numFmt w:val="bullet"/>
      <w:lvlText w:val="•"/>
      <w:lvlJc w:val="left"/>
      <w:pPr>
        <w:ind w:left="5576" w:hanging="404"/>
      </w:pPr>
      <w:rPr>
        <w:rFonts w:hint="default"/>
      </w:rPr>
    </w:lvl>
    <w:lvl w:ilvl="8">
      <w:start w:val="0"/>
      <w:numFmt w:val="bullet"/>
      <w:lvlText w:val="•"/>
      <w:lvlJc w:val="left"/>
      <w:pPr>
        <w:ind w:left="6358" w:hanging="404"/>
      </w:pPr>
      <w:rPr>
        <w:rFonts w:hint="default"/>
      </w:rPr>
    </w:lvl>
  </w:abstractNum>
  <w:abstractNum w:abstractNumId="37">
    <w:multiLevelType w:val="hybridMultilevel"/>
    <w:lvl w:ilvl="0">
      <w:start w:val="1"/>
      <w:numFmt w:val="decimal"/>
      <w:lvlText w:val="（%1）"/>
      <w:lvlJc w:val="left"/>
      <w:pPr>
        <w:ind w:left="708" w:hanging="600"/>
        <w:jc w:val="left"/>
      </w:pPr>
      <w:rPr>
        <w:rFonts w:hint="default" w:ascii="宋体" w:hAnsi="宋体" w:eastAsia="宋体" w:cs="宋体"/>
        <w:w w:val="99"/>
        <w:sz w:val="20"/>
        <w:szCs w:val="20"/>
      </w:rPr>
    </w:lvl>
    <w:lvl w:ilvl="1">
      <w:start w:val="0"/>
      <w:numFmt w:val="bullet"/>
      <w:lvlText w:val="•"/>
      <w:lvlJc w:val="left"/>
      <w:pPr>
        <w:ind w:left="1422" w:hanging="600"/>
      </w:pPr>
      <w:rPr>
        <w:rFonts w:hint="default"/>
      </w:rPr>
    </w:lvl>
    <w:lvl w:ilvl="2">
      <w:start w:val="0"/>
      <w:numFmt w:val="bullet"/>
      <w:lvlText w:val="•"/>
      <w:lvlJc w:val="left"/>
      <w:pPr>
        <w:ind w:left="2144" w:hanging="600"/>
      </w:pPr>
      <w:rPr>
        <w:rFonts w:hint="default"/>
      </w:rPr>
    </w:lvl>
    <w:lvl w:ilvl="3">
      <w:start w:val="0"/>
      <w:numFmt w:val="bullet"/>
      <w:lvlText w:val="•"/>
      <w:lvlJc w:val="left"/>
      <w:pPr>
        <w:ind w:left="2866" w:hanging="600"/>
      </w:pPr>
      <w:rPr>
        <w:rFonts w:hint="default"/>
      </w:rPr>
    </w:lvl>
    <w:lvl w:ilvl="4">
      <w:start w:val="0"/>
      <w:numFmt w:val="bullet"/>
      <w:lvlText w:val="•"/>
      <w:lvlJc w:val="left"/>
      <w:pPr>
        <w:ind w:left="3589" w:hanging="600"/>
      </w:pPr>
      <w:rPr>
        <w:rFonts w:hint="default"/>
      </w:rPr>
    </w:lvl>
    <w:lvl w:ilvl="5">
      <w:start w:val="0"/>
      <w:numFmt w:val="bullet"/>
      <w:lvlText w:val="•"/>
      <w:lvlJc w:val="left"/>
      <w:pPr>
        <w:ind w:left="4311" w:hanging="600"/>
      </w:pPr>
      <w:rPr>
        <w:rFonts w:hint="default"/>
      </w:rPr>
    </w:lvl>
    <w:lvl w:ilvl="6">
      <w:start w:val="0"/>
      <w:numFmt w:val="bullet"/>
      <w:lvlText w:val="•"/>
      <w:lvlJc w:val="left"/>
      <w:pPr>
        <w:ind w:left="5033" w:hanging="600"/>
      </w:pPr>
      <w:rPr>
        <w:rFonts w:hint="default"/>
      </w:rPr>
    </w:lvl>
    <w:lvl w:ilvl="7">
      <w:start w:val="0"/>
      <w:numFmt w:val="bullet"/>
      <w:lvlText w:val="•"/>
      <w:lvlJc w:val="left"/>
      <w:pPr>
        <w:ind w:left="5756" w:hanging="600"/>
      </w:pPr>
      <w:rPr>
        <w:rFonts w:hint="default"/>
      </w:rPr>
    </w:lvl>
    <w:lvl w:ilvl="8">
      <w:start w:val="0"/>
      <w:numFmt w:val="bullet"/>
      <w:lvlText w:val="•"/>
      <w:lvlJc w:val="left"/>
      <w:pPr>
        <w:ind w:left="6478" w:hanging="600"/>
      </w:pPr>
      <w:rPr>
        <w:rFonts w:hint="default"/>
      </w:rPr>
    </w:lvl>
  </w:abstractNum>
  <w:abstractNum w:abstractNumId="36">
    <w:multiLevelType w:val="hybridMultilevel"/>
    <w:lvl w:ilvl="0">
      <w:start w:val="1"/>
      <w:numFmt w:val="decimal"/>
      <w:lvlText w:val="(%1)"/>
      <w:lvlJc w:val="left"/>
      <w:pPr>
        <w:ind w:left="511" w:hanging="404"/>
        <w:jc w:val="left"/>
      </w:pPr>
      <w:rPr>
        <w:rFonts w:hint="default" w:ascii="宋体" w:hAnsi="宋体" w:eastAsia="宋体" w:cs="宋体"/>
        <w:b/>
        <w:bCs/>
        <w:spacing w:val="0"/>
        <w:w w:val="98"/>
        <w:sz w:val="20"/>
        <w:szCs w:val="20"/>
      </w:rPr>
    </w:lvl>
    <w:lvl w:ilvl="1">
      <w:start w:val="0"/>
      <w:numFmt w:val="bullet"/>
      <w:lvlText w:val="•"/>
      <w:lvlJc w:val="left"/>
      <w:pPr>
        <w:ind w:left="1260" w:hanging="404"/>
      </w:pPr>
      <w:rPr>
        <w:rFonts w:hint="default"/>
      </w:rPr>
    </w:lvl>
    <w:lvl w:ilvl="2">
      <w:start w:val="0"/>
      <w:numFmt w:val="bullet"/>
      <w:lvlText w:val="•"/>
      <w:lvlJc w:val="left"/>
      <w:pPr>
        <w:ind w:left="2000" w:hanging="404"/>
      </w:pPr>
      <w:rPr>
        <w:rFonts w:hint="default"/>
      </w:rPr>
    </w:lvl>
    <w:lvl w:ilvl="3">
      <w:start w:val="0"/>
      <w:numFmt w:val="bullet"/>
      <w:lvlText w:val="•"/>
      <w:lvlJc w:val="left"/>
      <w:pPr>
        <w:ind w:left="2740" w:hanging="404"/>
      </w:pPr>
      <w:rPr>
        <w:rFonts w:hint="default"/>
      </w:rPr>
    </w:lvl>
    <w:lvl w:ilvl="4">
      <w:start w:val="0"/>
      <w:numFmt w:val="bullet"/>
      <w:lvlText w:val="•"/>
      <w:lvlJc w:val="left"/>
      <w:pPr>
        <w:ind w:left="3481" w:hanging="404"/>
      </w:pPr>
      <w:rPr>
        <w:rFonts w:hint="default"/>
      </w:rPr>
    </w:lvl>
    <w:lvl w:ilvl="5">
      <w:start w:val="0"/>
      <w:numFmt w:val="bullet"/>
      <w:lvlText w:val="•"/>
      <w:lvlJc w:val="left"/>
      <w:pPr>
        <w:ind w:left="4221" w:hanging="404"/>
      </w:pPr>
      <w:rPr>
        <w:rFonts w:hint="default"/>
      </w:rPr>
    </w:lvl>
    <w:lvl w:ilvl="6">
      <w:start w:val="0"/>
      <w:numFmt w:val="bullet"/>
      <w:lvlText w:val="•"/>
      <w:lvlJc w:val="left"/>
      <w:pPr>
        <w:ind w:left="4961" w:hanging="404"/>
      </w:pPr>
      <w:rPr>
        <w:rFonts w:hint="default"/>
      </w:rPr>
    </w:lvl>
    <w:lvl w:ilvl="7">
      <w:start w:val="0"/>
      <w:numFmt w:val="bullet"/>
      <w:lvlText w:val="•"/>
      <w:lvlJc w:val="left"/>
      <w:pPr>
        <w:ind w:left="5702" w:hanging="404"/>
      </w:pPr>
      <w:rPr>
        <w:rFonts w:hint="default"/>
      </w:rPr>
    </w:lvl>
    <w:lvl w:ilvl="8">
      <w:start w:val="0"/>
      <w:numFmt w:val="bullet"/>
      <w:lvlText w:val="•"/>
      <w:lvlJc w:val="left"/>
      <w:pPr>
        <w:ind w:left="6442" w:hanging="404"/>
      </w:pPr>
      <w:rPr>
        <w:rFonts w:hint="default"/>
      </w:rPr>
    </w:lvl>
  </w:abstractNum>
  <w:abstractNum w:abstractNumId="35">
    <w:multiLevelType w:val="hybridMultilevel"/>
    <w:lvl w:ilvl="0">
      <w:start w:val="1"/>
      <w:numFmt w:val="decimal"/>
      <w:lvlText w:val="(%1)"/>
      <w:lvlJc w:val="left"/>
      <w:pPr>
        <w:ind w:left="108" w:hanging="404"/>
        <w:jc w:val="left"/>
      </w:pPr>
      <w:rPr>
        <w:rFonts w:hint="default" w:ascii="宋体" w:hAnsi="宋体" w:eastAsia="宋体" w:cs="宋体"/>
        <w:spacing w:val="0"/>
        <w:w w:val="99"/>
        <w:sz w:val="20"/>
        <w:szCs w:val="20"/>
      </w:rPr>
    </w:lvl>
    <w:lvl w:ilvl="1">
      <w:start w:val="0"/>
      <w:numFmt w:val="bullet"/>
      <w:lvlText w:val="•"/>
      <w:lvlJc w:val="left"/>
      <w:pPr>
        <w:ind w:left="882" w:hanging="404"/>
      </w:pPr>
      <w:rPr>
        <w:rFonts w:hint="default"/>
      </w:rPr>
    </w:lvl>
    <w:lvl w:ilvl="2">
      <w:start w:val="0"/>
      <w:numFmt w:val="bullet"/>
      <w:lvlText w:val="•"/>
      <w:lvlJc w:val="left"/>
      <w:pPr>
        <w:ind w:left="1664" w:hanging="404"/>
      </w:pPr>
      <w:rPr>
        <w:rFonts w:hint="default"/>
      </w:rPr>
    </w:lvl>
    <w:lvl w:ilvl="3">
      <w:start w:val="0"/>
      <w:numFmt w:val="bullet"/>
      <w:lvlText w:val="•"/>
      <w:lvlJc w:val="left"/>
      <w:pPr>
        <w:ind w:left="2446" w:hanging="404"/>
      </w:pPr>
      <w:rPr>
        <w:rFonts w:hint="default"/>
      </w:rPr>
    </w:lvl>
    <w:lvl w:ilvl="4">
      <w:start w:val="0"/>
      <w:numFmt w:val="bullet"/>
      <w:lvlText w:val="•"/>
      <w:lvlJc w:val="left"/>
      <w:pPr>
        <w:ind w:left="3229" w:hanging="404"/>
      </w:pPr>
      <w:rPr>
        <w:rFonts w:hint="default"/>
      </w:rPr>
    </w:lvl>
    <w:lvl w:ilvl="5">
      <w:start w:val="0"/>
      <w:numFmt w:val="bullet"/>
      <w:lvlText w:val="•"/>
      <w:lvlJc w:val="left"/>
      <w:pPr>
        <w:ind w:left="4011" w:hanging="404"/>
      </w:pPr>
      <w:rPr>
        <w:rFonts w:hint="default"/>
      </w:rPr>
    </w:lvl>
    <w:lvl w:ilvl="6">
      <w:start w:val="0"/>
      <w:numFmt w:val="bullet"/>
      <w:lvlText w:val="•"/>
      <w:lvlJc w:val="left"/>
      <w:pPr>
        <w:ind w:left="4793" w:hanging="404"/>
      </w:pPr>
      <w:rPr>
        <w:rFonts w:hint="default"/>
      </w:rPr>
    </w:lvl>
    <w:lvl w:ilvl="7">
      <w:start w:val="0"/>
      <w:numFmt w:val="bullet"/>
      <w:lvlText w:val="•"/>
      <w:lvlJc w:val="left"/>
      <w:pPr>
        <w:ind w:left="5576" w:hanging="404"/>
      </w:pPr>
      <w:rPr>
        <w:rFonts w:hint="default"/>
      </w:rPr>
    </w:lvl>
    <w:lvl w:ilvl="8">
      <w:start w:val="0"/>
      <w:numFmt w:val="bullet"/>
      <w:lvlText w:val="•"/>
      <w:lvlJc w:val="left"/>
      <w:pPr>
        <w:ind w:left="6358" w:hanging="404"/>
      </w:pPr>
      <w:rPr>
        <w:rFonts w:hint="default"/>
      </w:rPr>
    </w:lvl>
  </w:abstractNum>
  <w:abstractNum w:abstractNumId="34">
    <w:multiLevelType w:val="hybridMultilevel"/>
    <w:lvl w:ilvl="0">
      <w:start w:val="1"/>
      <w:numFmt w:val="decimal"/>
      <w:lvlText w:val="(%1)"/>
      <w:lvlJc w:val="left"/>
      <w:pPr>
        <w:ind w:left="108" w:hanging="404"/>
        <w:jc w:val="left"/>
      </w:pPr>
      <w:rPr>
        <w:rFonts w:hint="default" w:ascii="宋体" w:hAnsi="宋体" w:eastAsia="宋体" w:cs="宋体"/>
        <w:spacing w:val="0"/>
        <w:w w:val="99"/>
        <w:sz w:val="20"/>
        <w:szCs w:val="20"/>
      </w:rPr>
    </w:lvl>
    <w:lvl w:ilvl="1">
      <w:start w:val="0"/>
      <w:numFmt w:val="bullet"/>
      <w:lvlText w:val="•"/>
      <w:lvlJc w:val="left"/>
      <w:pPr>
        <w:ind w:left="882" w:hanging="404"/>
      </w:pPr>
      <w:rPr>
        <w:rFonts w:hint="default"/>
      </w:rPr>
    </w:lvl>
    <w:lvl w:ilvl="2">
      <w:start w:val="0"/>
      <w:numFmt w:val="bullet"/>
      <w:lvlText w:val="•"/>
      <w:lvlJc w:val="left"/>
      <w:pPr>
        <w:ind w:left="1664" w:hanging="404"/>
      </w:pPr>
      <w:rPr>
        <w:rFonts w:hint="default"/>
      </w:rPr>
    </w:lvl>
    <w:lvl w:ilvl="3">
      <w:start w:val="0"/>
      <w:numFmt w:val="bullet"/>
      <w:lvlText w:val="•"/>
      <w:lvlJc w:val="left"/>
      <w:pPr>
        <w:ind w:left="2446" w:hanging="404"/>
      </w:pPr>
      <w:rPr>
        <w:rFonts w:hint="default"/>
      </w:rPr>
    </w:lvl>
    <w:lvl w:ilvl="4">
      <w:start w:val="0"/>
      <w:numFmt w:val="bullet"/>
      <w:lvlText w:val="•"/>
      <w:lvlJc w:val="left"/>
      <w:pPr>
        <w:ind w:left="3229" w:hanging="404"/>
      </w:pPr>
      <w:rPr>
        <w:rFonts w:hint="default"/>
      </w:rPr>
    </w:lvl>
    <w:lvl w:ilvl="5">
      <w:start w:val="0"/>
      <w:numFmt w:val="bullet"/>
      <w:lvlText w:val="•"/>
      <w:lvlJc w:val="left"/>
      <w:pPr>
        <w:ind w:left="4011" w:hanging="404"/>
      </w:pPr>
      <w:rPr>
        <w:rFonts w:hint="default"/>
      </w:rPr>
    </w:lvl>
    <w:lvl w:ilvl="6">
      <w:start w:val="0"/>
      <w:numFmt w:val="bullet"/>
      <w:lvlText w:val="•"/>
      <w:lvlJc w:val="left"/>
      <w:pPr>
        <w:ind w:left="4793" w:hanging="404"/>
      </w:pPr>
      <w:rPr>
        <w:rFonts w:hint="default"/>
      </w:rPr>
    </w:lvl>
    <w:lvl w:ilvl="7">
      <w:start w:val="0"/>
      <w:numFmt w:val="bullet"/>
      <w:lvlText w:val="•"/>
      <w:lvlJc w:val="left"/>
      <w:pPr>
        <w:ind w:left="5576" w:hanging="404"/>
      </w:pPr>
      <w:rPr>
        <w:rFonts w:hint="default"/>
      </w:rPr>
    </w:lvl>
    <w:lvl w:ilvl="8">
      <w:start w:val="0"/>
      <w:numFmt w:val="bullet"/>
      <w:lvlText w:val="•"/>
      <w:lvlJc w:val="left"/>
      <w:pPr>
        <w:ind w:left="6358" w:hanging="404"/>
      </w:pPr>
      <w:rPr>
        <w:rFonts w:hint="default"/>
      </w:rPr>
    </w:lvl>
  </w:abstractNum>
  <w:abstractNum w:abstractNumId="33">
    <w:multiLevelType w:val="hybridMultilevel"/>
    <w:lvl w:ilvl="0">
      <w:start w:val="1"/>
      <w:numFmt w:val="decimal"/>
      <w:lvlText w:val="(%1)"/>
      <w:lvlJc w:val="left"/>
      <w:pPr>
        <w:ind w:left="511" w:hanging="404"/>
        <w:jc w:val="left"/>
      </w:pPr>
      <w:rPr>
        <w:rFonts w:hint="default" w:ascii="宋体" w:hAnsi="宋体" w:eastAsia="宋体" w:cs="宋体"/>
        <w:spacing w:val="0"/>
        <w:w w:val="99"/>
        <w:sz w:val="20"/>
        <w:szCs w:val="20"/>
      </w:rPr>
    </w:lvl>
    <w:lvl w:ilvl="1">
      <w:start w:val="0"/>
      <w:numFmt w:val="bullet"/>
      <w:lvlText w:val="•"/>
      <w:lvlJc w:val="left"/>
      <w:pPr>
        <w:ind w:left="1260" w:hanging="404"/>
      </w:pPr>
      <w:rPr>
        <w:rFonts w:hint="default"/>
      </w:rPr>
    </w:lvl>
    <w:lvl w:ilvl="2">
      <w:start w:val="0"/>
      <w:numFmt w:val="bullet"/>
      <w:lvlText w:val="•"/>
      <w:lvlJc w:val="left"/>
      <w:pPr>
        <w:ind w:left="2000" w:hanging="404"/>
      </w:pPr>
      <w:rPr>
        <w:rFonts w:hint="default"/>
      </w:rPr>
    </w:lvl>
    <w:lvl w:ilvl="3">
      <w:start w:val="0"/>
      <w:numFmt w:val="bullet"/>
      <w:lvlText w:val="•"/>
      <w:lvlJc w:val="left"/>
      <w:pPr>
        <w:ind w:left="2740" w:hanging="404"/>
      </w:pPr>
      <w:rPr>
        <w:rFonts w:hint="default"/>
      </w:rPr>
    </w:lvl>
    <w:lvl w:ilvl="4">
      <w:start w:val="0"/>
      <w:numFmt w:val="bullet"/>
      <w:lvlText w:val="•"/>
      <w:lvlJc w:val="left"/>
      <w:pPr>
        <w:ind w:left="3481" w:hanging="404"/>
      </w:pPr>
      <w:rPr>
        <w:rFonts w:hint="default"/>
      </w:rPr>
    </w:lvl>
    <w:lvl w:ilvl="5">
      <w:start w:val="0"/>
      <w:numFmt w:val="bullet"/>
      <w:lvlText w:val="•"/>
      <w:lvlJc w:val="left"/>
      <w:pPr>
        <w:ind w:left="4221" w:hanging="404"/>
      </w:pPr>
      <w:rPr>
        <w:rFonts w:hint="default"/>
      </w:rPr>
    </w:lvl>
    <w:lvl w:ilvl="6">
      <w:start w:val="0"/>
      <w:numFmt w:val="bullet"/>
      <w:lvlText w:val="•"/>
      <w:lvlJc w:val="left"/>
      <w:pPr>
        <w:ind w:left="4961" w:hanging="404"/>
      </w:pPr>
      <w:rPr>
        <w:rFonts w:hint="default"/>
      </w:rPr>
    </w:lvl>
    <w:lvl w:ilvl="7">
      <w:start w:val="0"/>
      <w:numFmt w:val="bullet"/>
      <w:lvlText w:val="•"/>
      <w:lvlJc w:val="left"/>
      <w:pPr>
        <w:ind w:left="5702" w:hanging="404"/>
      </w:pPr>
      <w:rPr>
        <w:rFonts w:hint="default"/>
      </w:rPr>
    </w:lvl>
    <w:lvl w:ilvl="8">
      <w:start w:val="0"/>
      <w:numFmt w:val="bullet"/>
      <w:lvlText w:val="•"/>
      <w:lvlJc w:val="left"/>
      <w:pPr>
        <w:ind w:left="6442" w:hanging="404"/>
      </w:pPr>
      <w:rPr>
        <w:rFonts w:hint="default"/>
      </w:rPr>
    </w:lvl>
  </w:abstractNum>
  <w:abstractNum w:abstractNumId="32">
    <w:multiLevelType w:val="hybridMultilevel"/>
    <w:lvl w:ilvl="0">
      <w:start w:val="1"/>
      <w:numFmt w:val="decimal"/>
      <w:lvlText w:val="(%1)"/>
      <w:lvlJc w:val="left"/>
      <w:pPr>
        <w:ind w:left="108" w:hanging="404"/>
        <w:jc w:val="left"/>
      </w:pPr>
      <w:rPr>
        <w:rFonts w:hint="default" w:ascii="宋体" w:hAnsi="宋体" w:eastAsia="宋体" w:cs="宋体"/>
        <w:spacing w:val="0"/>
        <w:w w:val="99"/>
        <w:sz w:val="20"/>
        <w:szCs w:val="20"/>
      </w:rPr>
    </w:lvl>
    <w:lvl w:ilvl="1">
      <w:start w:val="0"/>
      <w:numFmt w:val="bullet"/>
      <w:lvlText w:val="•"/>
      <w:lvlJc w:val="left"/>
      <w:pPr>
        <w:ind w:left="882" w:hanging="404"/>
      </w:pPr>
      <w:rPr>
        <w:rFonts w:hint="default"/>
      </w:rPr>
    </w:lvl>
    <w:lvl w:ilvl="2">
      <w:start w:val="0"/>
      <w:numFmt w:val="bullet"/>
      <w:lvlText w:val="•"/>
      <w:lvlJc w:val="left"/>
      <w:pPr>
        <w:ind w:left="1664" w:hanging="404"/>
      </w:pPr>
      <w:rPr>
        <w:rFonts w:hint="default"/>
      </w:rPr>
    </w:lvl>
    <w:lvl w:ilvl="3">
      <w:start w:val="0"/>
      <w:numFmt w:val="bullet"/>
      <w:lvlText w:val="•"/>
      <w:lvlJc w:val="left"/>
      <w:pPr>
        <w:ind w:left="2446" w:hanging="404"/>
      </w:pPr>
      <w:rPr>
        <w:rFonts w:hint="default"/>
      </w:rPr>
    </w:lvl>
    <w:lvl w:ilvl="4">
      <w:start w:val="0"/>
      <w:numFmt w:val="bullet"/>
      <w:lvlText w:val="•"/>
      <w:lvlJc w:val="left"/>
      <w:pPr>
        <w:ind w:left="3229" w:hanging="404"/>
      </w:pPr>
      <w:rPr>
        <w:rFonts w:hint="default"/>
      </w:rPr>
    </w:lvl>
    <w:lvl w:ilvl="5">
      <w:start w:val="0"/>
      <w:numFmt w:val="bullet"/>
      <w:lvlText w:val="•"/>
      <w:lvlJc w:val="left"/>
      <w:pPr>
        <w:ind w:left="4011" w:hanging="404"/>
      </w:pPr>
      <w:rPr>
        <w:rFonts w:hint="default"/>
      </w:rPr>
    </w:lvl>
    <w:lvl w:ilvl="6">
      <w:start w:val="0"/>
      <w:numFmt w:val="bullet"/>
      <w:lvlText w:val="•"/>
      <w:lvlJc w:val="left"/>
      <w:pPr>
        <w:ind w:left="4793" w:hanging="404"/>
      </w:pPr>
      <w:rPr>
        <w:rFonts w:hint="default"/>
      </w:rPr>
    </w:lvl>
    <w:lvl w:ilvl="7">
      <w:start w:val="0"/>
      <w:numFmt w:val="bullet"/>
      <w:lvlText w:val="•"/>
      <w:lvlJc w:val="left"/>
      <w:pPr>
        <w:ind w:left="5576" w:hanging="404"/>
      </w:pPr>
      <w:rPr>
        <w:rFonts w:hint="default"/>
      </w:rPr>
    </w:lvl>
    <w:lvl w:ilvl="8">
      <w:start w:val="0"/>
      <w:numFmt w:val="bullet"/>
      <w:lvlText w:val="•"/>
      <w:lvlJc w:val="left"/>
      <w:pPr>
        <w:ind w:left="6358" w:hanging="404"/>
      </w:pPr>
      <w:rPr>
        <w:rFonts w:hint="default"/>
      </w:rPr>
    </w:lvl>
  </w:abstractNum>
  <w:abstractNum w:abstractNumId="31">
    <w:multiLevelType w:val="hybridMultilevel"/>
    <w:lvl w:ilvl="0">
      <w:start w:val="1"/>
      <w:numFmt w:val="decimal"/>
      <w:lvlText w:val="(%1)"/>
      <w:lvlJc w:val="left"/>
      <w:pPr>
        <w:ind w:left="511" w:hanging="404"/>
        <w:jc w:val="left"/>
      </w:pPr>
      <w:rPr>
        <w:rFonts w:hint="default" w:ascii="宋体" w:hAnsi="宋体" w:eastAsia="宋体" w:cs="宋体"/>
        <w:spacing w:val="0"/>
        <w:w w:val="99"/>
        <w:sz w:val="20"/>
        <w:szCs w:val="20"/>
      </w:rPr>
    </w:lvl>
    <w:lvl w:ilvl="1">
      <w:start w:val="0"/>
      <w:numFmt w:val="bullet"/>
      <w:lvlText w:val="•"/>
      <w:lvlJc w:val="left"/>
      <w:pPr>
        <w:ind w:left="1260" w:hanging="404"/>
      </w:pPr>
      <w:rPr>
        <w:rFonts w:hint="default"/>
      </w:rPr>
    </w:lvl>
    <w:lvl w:ilvl="2">
      <w:start w:val="0"/>
      <w:numFmt w:val="bullet"/>
      <w:lvlText w:val="•"/>
      <w:lvlJc w:val="left"/>
      <w:pPr>
        <w:ind w:left="2000" w:hanging="404"/>
      </w:pPr>
      <w:rPr>
        <w:rFonts w:hint="default"/>
      </w:rPr>
    </w:lvl>
    <w:lvl w:ilvl="3">
      <w:start w:val="0"/>
      <w:numFmt w:val="bullet"/>
      <w:lvlText w:val="•"/>
      <w:lvlJc w:val="left"/>
      <w:pPr>
        <w:ind w:left="2740" w:hanging="404"/>
      </w:pPr>
      <w:rPr>
        <w:rFonts w:hint="default"/>
      </w:rPr>
    </w:lvl>
    <w:lvl w:ilvl="4">
      <w:start w:val="0"/>
      <w:numFmt w:val="bullet"/>
      <w:lvlText w:val="•"/>
      <w:lvlJc w:val="left"/>
      <w:pPr>
        <w:ind w:left="3481" w:hanging="404"/>
      </w:pPr>
      <w:rPr>
        <w:rFonts w:hint="default"/>
      </w:rPr>
    </w:lvl>
    <w:lvl w:ilvl="5">
      <w:start w:val="0"/>
      <w:numFmt w:val="bullet"/>
      <w:lvlText w:val="•"/>
      <w:lvlJc w:val="left"/>
      <w:pPr>
        <w:ind w:left="4221" w:hanging="404"/>
      </w:pPr>
      <w:rPr>
        <w:rFonts w:hint="default"/>
      </w:rPr>
    </w:lvl>
    <w:lvl w:ilvl="6">
      <w:start w:val="0"/>
      <w:numFmt w:val="bullet"/>
      <w:lvlText w:val="•"/>
      <w:lvlJc w:val="left"/>
      <w:pPr>
        <w:ind w:left="4961" w:hanging="404"/>
      </w:pPr>
      <w:rPr>
        <w:rFonts w:hint="default"/>
      </w:rPr>
    </w:lvl>
    <w:lvl w:ilvl="7">
      <w:start w:val="0"/>
      <w:numFmt w:val="bullet"/>
      <w:lvlText w:val="•"/>
      <w:lvlJc w:val="left"/>
      <w:pPr>
        <w:ind w:left="5702" w:hanging="404"/>
      </w:pPr>
      <w:rPr>
        <w:rFonts w:hint="default"/>
      </w:rPr>
    </w:lvl>
    <w:lvl w:ilvl="8">
      <w:start w:val="0"/>
      <w:numFmt w:val="bullet"/>
      <w:lvlText w:val="•"/>
      <w:lvlJc w:val="left"/>
      <w:pPr>
        <w:ind w:left="6442" w:hanging="404"/>
      </w:pPr>
      <w:rPr>
        <w:rFonts w:hint="default"/>
      </w:rPr>
    </w:lvl>
  </w:abstractNum>
  <w:abstractNum w:abstractNumId="30">
    <w:multiLevelType w:val="hybridMultilevel"/>
    <w:lvl w:ilvl="0">
      <w:start w:val="1"/>
      <w:numFmt w:val="decimal"/>
      <w:lvlText w:val="(%1)"/>
      <w:lvlJc w:val="left"/>
      <w:pPr>
        <w:ind w:left="511" w:hanging="404"/>
        <w:jc w:val="left"/>
      </w:pPr>
      <w:rPr>
        <w:rFonts w:hint="default" w:ascii="宋体" w:hAnsi="宋体" w:eastAsia="宋体" w:cs="宋体"/>
        <w:spacing w:val="0"/>
        <w:w w:val="99"/>
        <w:sz w:val="20"/>
        <w:szCs w:val="20"/>
      </w:rPr>
    </w:lvl>
    <w:lvl w:ilvl="1">
      <w:start w:val="0"/>
      <w:numFmt w:val="bullet"/>
      <w:lvlText w:val="•"/>
      <w:lvlJc w:val="left"/>
      <w:pPr>
        <w:ind w:left="1260" w:hanging="404"/>
      </w:pPr>
      <w:rPr>
        <w:rFonts w:hint="default"/>
      </w:rPr>
    </w:lvl>
    <w:lvl w:ilvl="2">
      <w:start w:val="0"/>
      <w:numFmt w:val="bullet"/>
      <w:lvlText w:val="•"/>
      <w:lvlJc w:val="left"/>
      <w:pPr>
        <w:ind w:left="2000" w:hanging="404"/>
      </w:pPr>
      <w:rPr>
        <w:rFonts w:hint="default"/>
      </w:rPr>
    </w:lvl>
    <w:lvl w:ilvl="3">
      <w:start w:val="0"/>
      <w:numFmt w:val="bullet"/>
      <w:lvlText w:val="•"/>
      <w:lvlJc w:val="left"/>
      <w:pPr>
        <w:ind w:left="2740" w:hanging="404"/>
      </w:pPr>
      <w:rPr>
        <w:rFonts w:hint="default"/>
      </w:rPr>
    </w:lvl>
    <w:lvl w:ilvl="4">
      <w:start w:val="0"/>
      <w:numFmt w:val="bullet"/>
      <w:lvlText w:val="•"/>
      <w:lvlJc w:val="left"/>
      <w:pPr>
        <w:ind w:left="3481" w:hanging="404"/>
      </w:pPr>
      <w:rPr>
        <w:rFonts w:hint="default"/>
      </w:rPr>
    </w:lvl>
    <w:lvl w:ilvl="5">
      <w:start w:val="0"/>
      <w:numFmt w:val="bullet"/>
      <w:lvlText w:val="•"/>
      <w:lvlJc w:val="left"/>
      <w:pPr>
        <w:ind w:left="4221" w:hanging="404"/>
      </w:pPr>
      <w:rPr>
        <w:rFonts w:hint="default"/>
      </w:rPr>
    </w:lvl>
    <w:lvl w:ilvl="6">
      <w:start w:val="0"/>
      <w:numFmt w:val="bullet"/>
      <w:lvlText w:val="•"/>
      <w:lvlJc w:val="left"/>
      <w:pPr>
        <w:ind w:left="4961" w:hanging="404"/>
      </w:pPr>
      <w:rPr>
        <w:rFonts w:hint="default"/>
      </w:rPr>
    </w:lvl>
    <w:lvl w:ilvl="7">
      <w:start w:val="0"/>
      <w:numFmt w:val="bullet"/>
      <w:lvlText w:val="•"/>
      <w:lvlJc w:val="left"/>
      <w:pPr>
        <w:ind w:left="5702" w:hanging="404"/>
      </w:pPr>
      <w:rPr>
        <w:rFonts w:hint="default"/>
      </w:rPr>
    </w:lvl>
    <w:lvl w:ilvl="8">
      <w:start w:val="0"/>
      <w:numFmt w:val="bullet"/>
      <w:lvlText w:val="•"/>
      <w:lvlJc w:val="left"/>
      <w:pPr>
        <w:ind w:left="6442" w:hanging="404"/>
      </w:pPr>
      <w:rPr>
        <w:rFonts w:hint="default"/>
      </w:rPr>
    </w:lvl>
  </w:abstractNum>
  <w:abstractNum w:abstractNumId="29">
    <w:multiLevelType w:val="hybridMultilevel"/>
    <w:lvl w:ilvl="0">
      <w:start w:val="1"/>
      <w:numFmt w:val="decimal"/>
      <w:lvlText w:val="(%1)"/>
      <w:lvlJc w:val="left"/>
      <w:pPr>
        <w:ind w:left="511" w:hanging="404"/>
        <w:jc w:val="left"/>
      </w:pPr>
      <w:rPr>
        <w:rFonts w:hint="default" w:ascii="宋体" w:hAnsi="宋体" w:eastAsia="宋体" w:cs="宋体"/>
        <w:spacing w:val="0"/>
        <w:w w:val="99"/>
        <w:sz w:val="20"/>
        <w:szCs w:val="20"/>
      </w:rPr>
    </w:lvl>
    <w:lvl w:ilvl="1">
      <w:start w:val="0"/>
      <w:numFmt w:val="bullet"/>
      <w:lvlText w:val="•"/>
      <w:lvlJc w:val="left"/>
      <w:pPr>
        <w:ind w:left="1260" w:hanging="404"/>
      </w:pPr>
      <w:rPr>
        <w:rFonts w:hint="default"/>
      </w:rPr>
    </w:lvl>
    <w:lvl w:ilvl="2">
      <w:start w:val="0"/>
      <w:numFmt w:val="bullet"/>
      <w:lvlText w:val="•"/>
      <w:lvlJc w:val="left"/>
      <w:pPr>
        <w:ind w:left="2000" w:hanging="404"/>
      </w:pPr>
      <w:rPr>
        <w:rFonts w:hint="default"/>
      </w:rPr>
    </w:lvl>
    <w:lvl w:ilvl="3">
      <w:start w:val="0"/>
      <w:numFmt w:val="bullet"/>
      <w:lvlText w:val="•"/>
      <w:lvlJc w:val="left"/>
      <w:pPr>
        <w:ind w:left="2740" w:hanging="404"/>
      </w:pPr>
      <w:rPr>
        <w:rFonts w:hint="default"/>
      </w:rPr>
    </w:lvl>
    <w:lvl w:ilvl="4">
      <w:start w:val="0"/>
      <w:numFmt w:val="bullet"/>
      <w:lvlText w:val="•"/>
      <w:lvlJc w:val="left"/>
      <w:pPr>
        <w:ind w:left="3481" w:hanging="404"/>
      </w:pPr>
      <w:rPr>
        <w:rFonts w:hint="default"/>
      </w:rPr>
    </w:lvl>
    <w:lvl w:ilvl="5">
      <w:start w:val="0"/>
      <w:numFmt w:val="bullet"/>
      <w:lvlText w:val="•"/>
      <w:lvlJc w:val="left"/>
      <w:pPr>
        <w:ind w:left="4221" w:hanging="404"/>
      </w:pPr>
      <w:rPr>
        <w:rFonts w:hint="default"/>
      </w:rPr>
    </w:lvl>
    <w:lvl w:ilvl="6">
      <w:start w:val="0"/>
      <w:numFmt w:val="bullet"/>
      <w:lvlText w:val="•"/>
      <w:lvlJc w:val="left"/>
      <w:pPr>
        <w:ind w:left="4961" w:hanging="404"/>
      </w:pPr>
      <w:rPr>
        <w:rFonts w:hint="default"/>
      </w:rPr>
    </w:lvl>
    <w:lvl w:ilvl="7">
      <w:start w:val="0"/>
      <w:numFmt w:val="bullet"/>
      <w:lvlText w:val="•"/>
      <w:lvlJc w:val="left"/>
      <w:pPr>
        <w:ind w:left="5702" w:hanging="404"/>
      </w:pPr>
      <w:rPr>
        <w:rFonts w:hint="default"/>
      </w:rPr>
    </w:lvl>
    <w:lvl w:ilvl="8">
      <w:start w:val="0"/>
      <w:numFmt w:val="bullet"/>
      <w:lvlText w:val="•"/>
      <w:lvlJc w:val="left"/>
      <w:pPr>
        <w:ind w:left="6442" w:hanging="404"/>
      </w:pPr>
      <w:rPr>
        <w:rFonts w:hint="default"/>
      </w:rPr>
    </w:lvl>
  </w:abstractNum>
  <w:abstractNum w:abstractNumId="28">
    <w:multiLevelType w:val="hybridMultilevel"/>
    <w:lvl w:ilvl="0">
      <w:start w:val="1"/>
      <w:numFmt w:val="decimal"/>
      <w:lvlText w:val="(%1)"/>
      <w:lvlJc w:val="left"/>
      <w:pPr>
        <w:ind w:left="108" w:hanging="404"/>
        <w:jc w:val="left"/>
      </w:pPr>
      <w:rPr>
        <w:rFonts w:hint="default" w:ascii="宋体" w:hAnsi="宋体" w:eastAsia="宋体" w:cs="宋体"/>
        <w:spacing w:val="0"/>
        <w:w w:val="99"/>
        <w:sz w:val="20"/>
        <w:szCs w:val="20"/>
      </w:rPr>
    </w:lvl>
    <w:lvl w:ilvl="1">
      <w:start w:val="0"/>
      <w:numFmt w:val="bullet"/>
      <w:lvlText w:val="•"/>
      <w:lvlJc w:val="left"/>
      <w:pPr>
        <w:ind w:left="882" w:hanging="404"/>
      </w:pPr>
      <w:rPr>
        <w:rFonts w:hint="default"/>
      </w:rPr>
    </w:lvl>
    <w:lvl w:ilvl="2">
      <w:start w:val="0"/>
      <w:numFmt w:val="bullet"/>
      <w:lvlText w:val="•"/>
      <w:lvlJc w:val="left"/>
      <w:pPr>
        <w:ind w:left="1664" w:hanging="404"/>
      </w:pPr>
      <w:rPr>
        <w:rFonts w:hint="default"/>
      </w:rPr>
    </w:lvl>
    <w:lvl w:ilvl="3">
      <w:start w:val="0"/>
      <w:numFmt w:val="bullet"/>
      <w:lvlText w:val="•"/>
      <w:lvlJc w:val="left"/>
      <w:pPr>
        <w:ind w:left="2446" w:hanging="404"/>
      </w:pPr>
      <w:rPr>
        <w:rFonts w:hint="default"/>
      </w:rPr>
    </w:lvl>
    <w:lvl w:ilvl="4">
      <w:start w:val="0"/>
      <w:numFmt w:val="bullet"/>
      <w:lvlText w:val="•"/>
      <w:lvlJc w:val="left"/>
      <w:pPr>
        <w:ind w:left="3229" w:hanging="404"/>
      </w:pPr>
      <w:rPr>
        <w:rFonts w:hint="default"/>
      </w:rPr>
    </w:lvl>
    <w:lvl w:ilvl="5">
      <w:start w:val="0"/>
      <w:numFmt w:val="bullet"/>
      <w:lvlText w:val="•"/>
      <w:lvlJc w:val="left"/>
      <w:pPr>
        <w:ind w:left="4011" w:hanging="404"/>
      </w:pPr>
      <w:rPr>
        <w:rFonts w:hint="default"/>
      </w:rPr>
    </w:lvl>
    <w:lvl w:ilvl="6">
      <w:start w:val="0"/>
      <w:numFmt w:val="bullet"/>
      <w:lvlText w:val="•"/>
      <w:lvlJc w:val="left"/>
      <w:pPr>
        <w:ind w:left="4793" w:hanging="404"/>
      </w:pPr>
      <w:rPr>
        <w:rFonts w:hint="default"/>
      </w:rPr>
    </w:lvl>
    <w:lvl w:ilvl="7">
      <w:start w:val="0"/>
      <w:numFmt w:val="bullet"/>
      <w:lvlText w:val="•"/>
      <w:lvlJc w:val="left"/>
      <w:pPr>
        <w:ind w:left="5576" w:hanging="404"/>
      </w:pPr>
      <w:rPr>
        <w:rFonts w:hint="default"/>
      </w:rPr>
    </w:lvl>
    <w:lvl w:ilvl="8">
      <w:start w:val="0"/>
      <w:numFmt w:val="bullet"/>
      <w:lvlText w:val="•"/>
      <w:lvlJc w:val="left"/>
      <w:pPr>
        <w:ind w:left="6358" w:hanging="404"/>
      </w:pPr>
      <w:rPr>
        <w:rFonts w:hint="default"/>
      </w:rPr>
    </w:lvl>
  </w:abstractNum>
  <w:abstractNum w:abstractNumId="27">
    <w:multiLevelType w:val="hybridMultilevel"/>
    <w:lvl w:ilvl="0">
      <w:start w:val="1"/>
      <w:numFmt w:val="decimal"/>
      <w:lvlText w:val="（%1）"/>
      <w:lvlJc w:val="left"/>
      <w:pPr>
        <w:ind w:left="708" w:hanging="600"/>
        <w:jc w:val="left"/>
      </w:pPr>
      <w:rPr>
        <w:rFonts w:hint="default" w:ascii="宋体" w:hAnsi="宋体" w:eastAsia="宋体" w:cs="宋体"/>
        <w:w w:val="99"/>
        <w:sz w:val="20"/>
        <w:szCs w:val="20"/>
      </w:rPr>
    </w:lvl>
    <w:lvl w:ilvl="1">
      <w:start w:val="0"/>
      <w:numFmt w:val="bullet"/>
      <w:lvlText w:val="•"/>
      <w:lvlJc w:val="left"/>
      <w:pPr>
        <w:ind w:left="1422" w:hanging="600"/>
      </w:pPr>
      <w:rPr>
        <w:rFonts w:hint="default"/>
      </w:rPr>
    </w:lvl>
    <w:lvl w:ilvl="2">
      <w:start w:val="0"/>
      <w:numFmt w:val="bullet"/>
      <w:lvlText w:val="•"/>
      <w:lvlJc w:val="left"/>
      <w:pPr>
        <w:ind w:left="2144" w:hanging="600"/>
      </w:pPr>
      <w:rPr>
        <w:rFonts w:hint="default"/>
      </w:rPr>
    </w:lvl>
    <w:lvl w:ilvl="3">
      <w:start w:val="0"/>
      <w:numFmt w:val="bullet"/>
      <w:lvlText w:val="•"/>
      <w:lvlJc w:val="left"/>
      <w:pPr>
        <w:ind w:left="2866" w:hanging="600"/>
      </w:pPr>
      <w:rPr>
        <w:rFonts w:hint="default"/>
      </w:rPr>
    </w:lvl>
    <w:lvl w:ilvl="4">
      <w:start w:val="0"/>
      <w:numFmt w:val="bullet"/>
      <w:lvlText w:val="•"/>
      <w:lvlJc w:val="left"/>
      <w:pPr>
        <w:ind w:left="3589" w:hanging="600"/>
      </w:pPr>
      <w:rPr>
        <w:rFonts w:hint="default"/>
      </w:rPr>
    </w:lvl>
    <w:lvl w:ilvl="5">
      <w:start w:val="0"/>
      <w:numFmt w:val="bullet"/>
      <w:lvlText w:val="•"/>
      <w:lvlJc w:val="left"/>
      <w:pPr>
        <w:ind w:left="4311" w:hanging="600"/>
      </w:pPr>
      <w:rPr>
        <w:rFonts w:hint="default"/>
      </w:rPr>
    </w:lvl>
    <w:lvl w:ilvl="6">
      <w:start w:val="0"/>
      <w:numFmt w:val="bullet"/>
      <w:lvlText w:val="•"/>
      <w:lvlJc w:val="left"/>
      <w:pPr>
        <w:ind w:left="5033" w:hanging="600"/>
      </w:pPr>
      <w:rPr>
        <w:rFonts w:hint="default"/>
      </w:rPr>
    </w:lvl>
    <w:lvl w:ilvl="7">
      <w:start w:val="0"/>
      <w:numFmt w:val="bullet"/>
      <w:lvlText w:val="•"/>
      <w:lvlJc w:val="left"/>
      <w:pPr>
        <w:ind w:left="5756" w:hanging="600"/>
      </w:pPr>
      <w:rPr>
        <w:rFonts w:hint="default"/>
      </w:rPr>
    </w:lvl>
    <w:lvl w:ilvl="8">
      <w:start w:val="0"/>
      <w:numFmt w:val="bullet"/>
      <w:lvlText w:val="•"/>
      <w:lvlJc w:val="left"/>
      <w:pPr>
        <w:ind w:left="6478" w:hanging="600"/>
      </w:pPr>
      <w:rPr>
        <w:rFonts w:hint="default"/>
      </w:rPr>
    </w:lvl>
  </w:abstractNum>
  <w:abstractNum w:abstractNumId="26">
    <w:multiLevelType w:val="hybridMultilevel"/>
    <w:lvl w:ilvl="0">
      <w:start w:val="1"/>
      <w:numFmt w:val="decimal"/>
      <w:lvlText w:val="（%1）"/>
      <w:lvlJc w:val="left"/>
      <w:pPr>
        <w:ind w:left="708" w:hanging="600"/>
        <w:jc w:val="left"/>
      </w:pPr>
      <w:rPr>
        <w:rFonts w:hint="default" w:ascii="宋体" w:hAnsi="宋体" w:eastAsia="宋体" w:cs="宋体"/>
        <w:w w:val="99"/>
        <w:sz w:val="20"/>
        <w:szCs w:val="20"/>
      </w:rPr>
    </w:lvl>
    <w:lvl w:ilvl="1">
      <w:start w:val="0"/>
      <w:numFmt w:val="bullet"/>
      <w:lvlText w:val="•"/>
      <w:lvlJc w:val="left"/>
      <w:pPr>
        <w:ind w:left="1422" w:hanging="600"/>
      </w:pPr>
      <w:rPr>
        <w:rFonts w:hint="default"/>
      </w:rPr>
    </w:lvl>
    <w:lvl w:ilvl="2">
      <w:start w:val="0"/>
      <w:numFmt w:val="bullet"/>
      <w:lvlText w:val="•"/>
      <w:lvlJc w:val="left"/>
      <w:pPr>
        <w:ind w:left="2144" w:hanging="600"/>
      </w:pPr>
      <w:rPr>
        <w:rFonts w:hint="default"/>
      </w:rPr>
    </w:lvl>
    <w:lvl w:ilvl="3">
      <w:start w:val="0"/>
      <w:numFmt w:val="bullet"/>
      <w:lvlText w:val="•"/>
      <w:lvlJc w:val="left"/>
      <w:pPr>
        <w:ind w:left="2866" w:hanging="600"/>
      </w:pPr>
      <w:rPr>
        <w:rFonts w:hint="default"/>
      </w:rPr>
    </w:lvl>
    <w:lvl w:ilvl="4">
      <w:start w:val="0"/>
      <w:numFmt w:val="bullet"/>
      <w:lvlText w:val="•"/>
      <w:lvlJc w:val="left"/>
      <w:pPr>
        <w:ind w:left="3589" w:hanging="600"/>
      </w:pPr>
      <w:rPr>
        <w:rFonts w:hint="default"/>
      </w:rPr>
    </w:lvl>
    <w:lvl w:ilvl="5">
      <w:start w:val="0"/>
      <w:numFmt w:val="bullet"/>
      <w:lvlText w:val="•"/>
      <w:lvlJc w:val="left"/>
      <w:pPr>
        <w:ind w:left="4311" w:hanging="600"/>
      </w:pPr>
      <w:rPr>
        <w:rFonts w:hint="default"/>
      </w:rPr>
    </w:lvl>
    <w:lvl w:ilvl="6">
      <w:start w:val="0"/>
      <w:numFmt w:val="bullet"/>
      <w:lvlText w:val="•"/>
      <w:lvlJc w:val="left"/>
      <w:pPr>
        <w:ind w:left="5033" w:hanging="600"/>
      </w:pPr>
      <w:rPr>
        <w:rFonts w:hint="default"/>
      </w:rPr>
    </w:lvl>
    <w:lvl w:ilvl="7">
      <w:start w:val="0"/>
      <w:numFmt w:val="bullet"/>
      <w:lvlText w:val="•"/>
      <w:lvlJc w:val="left"/>
      <w:pPr>
        <w:ind w:left="5756" w:hanging="600"/>
      </w:pPr>
      <w:rPr>
        <w:rFonts w:hint="default"/>
      </w:rPr>
    </w:lvl>
    <w:lvl w:ilvl="8">
      <w:start w:val="0"/>
      <w:numFmt w:val="bullet"/>
      <w:lvlText w:val="•"/>
      <w:lvlJc w:val="left"/>
      <w:pPr>
        <w:ind w:left="6478" w:hanging="600"/>
      </w:pPr>
      <w:rPr>
        <w:rFonts w:hint="default"/>
      </w:rPr>
    </w:lvl>
  </w:abstractNum>
  <w:abstractNum w:abstractNumId="25">
    <w:multiLevelType w:val="hybridMultilevel"/>
    <w:lvl w:ilvl="0">
      <w:start w:val="1"/>
      <w:numFmt w:val="decimal"/>
      <w:lvlText w:val="（%1）"/>
      <w:lvlJc w:val="left"/>
      <w:pPr>
        <w:ind w:left="108" w:hanging="600"/>
        <w:jc w:val="left"/>
      </w:pPr>
      <w:rPr>
        <w:rFonts w:hint="default" w:ascii="宋体" w:hAnsi="宋体" w:eastAsia="宋体" w:cs="宋体"/>
        <w:w w:val="99"/>
        <w:sz w:val="20"/>
        <w:szCs w:val="20"/>
      </w:rPr>
    </w:lvl>
    <w:lvl w:ilvl="1">
      <w:start w:val="0"/>
      <w:numFmt w:val="bullet"/>
      <w:lvlText w:val="•"/>
      <w:lvlJc w:val="left"/>
      <w:pPr>
        <w:ind w:left="882" w:hanging="600"/>
      </w:pPr>
      <w:rPr>
        <w:rFonts w:hint="default"/>
      </w:rPr>
    </w:lvl>
    <w:lvl w:ilvl="2">
      <w:start w:val="0"/>
      <w:numFmt w:val="bullet"/>
      <w:lvlText w:val="•"/>
      <w:lvlJc w:val="left"/>
      <w:pPr>
        <w:ind w:left="1664" w:hanging="600"/>
      </w:pPr>
      <w:rPr>
        <w:rFonts w:hint="default"/>
      </w:rPr>
    </w:lvl>
    <w:lvl w:ilvl="3">
      <w:start w:val="0"/>
      <w:numFmt w:val="bullet"/>
      <w:lvlText w:val="•"/>
      <w:lvlJc w:val="left"/>
      <w:pPr>
        <w:ind w:left="2446" w:hanging="600"/>
      </w:pPr>
      <w:rPr>
        <w:rFonts w:hint="default"/>
      </w:rPr>
    </w:lvl>
    <w:lvl w:ilvl="4">
      <w:start w:val="0"/>
      <w:numFmt w:val="bullet"/>
      <w:lvlText w:val="•"/>
      <w:lvlJc w:val="left"/>
      <w:pPr>
        <w:ind w:left="3229" w:hanging="600"/>
      </w:pPr>
      <w:rPr>
        <w:rFonts w:hint="default"/>
      </w:rPr>
    </w:lvl>
    <w:lvl w:ilvl="5">
      <w:start w:val="0"/>
      <w:numFmt w:val="bullet"/>
      <w:lvlText w:val="•"/>
      <w:lvlJc w:val="left"/>
      <w:pPr>
        <w:ind w:left="4011" w:hanging="600"/>
      </w:pPr>
      <w:rPr>
        <w:rFonts w:hint="default"/>
      </w:rPr>
    </w:lvl>
    <w:lvl w:ilvl="6">
      <w:start w:val="0"/>
      <w:numFmt w:val="bullet"/>
      <w:lvlText w:val="•"/>
      <w:lvlJc w:val="left"/>
      <w:pPr>
        <w:ind w:left="4793" w:hanging="600"/>
      </w:pPr>
      <w:rPr>
        <w:rFonts w:hint="default"/>
      </w:rPr>
    </w:lvl>
    <w:lvl w:ilvl="7">
      <w:start w:val="0"/>
      <w:numFmt w:val="bullet"/>
      <w:lvlText w:val="•"/>
      <w:lvlJc w:val="left"/>
      <w:pPr>
        <w:ind w:left="5576" w:hanging="600"/>
      </w:pPr>
      <w:rPr>
        <w:rFonts w:hint="default"/>
      </w:rPr>
    </w:lvl>
    <w:lvl w:ilvl="8">
      <w:start w:val="0"/>
      <w:numFmt w:val="bullet"/>
      <w:lvlText w:val="•"/>
      <w:lvlJc w:val="left"/>
      <w:pPr>
        <w:ind w:left="6358" w:hanging="600"/>
      </w:pPr>
      <w:rPr>
        <w:rFonts w:hint="default"/>
      </w:rPr>
    </w:lvl>
  </w:abstractNum>
  <w:abstractNum w:abstractNumId="24">
    <w:multiLevelType w:val="hybridMultilevel"/>
    <w:lvl w:ilvl="0">
      <w:start w:val="1"/>
      <w:numFmt w:val="decimal"/>
      <w:lvlText w:val="（%1）"/>
      <w:lvlJc w:val="left"/>
      <w:pPr>
        <w:ind w:left="708" w:hanging="600"/>
        <w:jc w:val="left"/>
      </w:pPr>
      <w:rPr>
        <w:rFonts w:hint="default" w:ascii="宋体" w:hAnsi="宋体" w:eastAsia="宋体" w:cs="宋体"/>
        <w:w w:val="99"/>
        <w:sz w:val="20"/>
        <w:szCs w:val="20"/>
      </w:rPr>
    </w:lvl>
    <w:lvl w:ilvl="1">
      <w:start w:val="0"/>
      <w:numFmt w:val="bullet"/>
      <w:lvlText w:val="•"/>
      <w:lvlJc w:val="left"/>
      <w:pPr>
        <w:ind w:left="1422" w:hanging="600"/>
      </w:pPr>
      <w:rPr>
        <w:rFonts w:hint="default"/>
      </w:rPr>
    </w:lvl>
    <w:lvl w:ilvl="2">
      <w:start w:val="0"/>
      <w:numFmt w:val="bullet"/>
      <w:lvlText w:val="•"/>
      <w:lvlJc w:val="left"/>
      <w:pPr>
        <w:ind w:left="2144" w:hanging="600"/>
      </w:pPr>
      <w:rPr>
        <w:rFonts w:hint="default"/>
      </w:rPr>
    </w:lvl>
    <w:lvl w:ilvl="3">
      <w:start w:val="0"/>
      <w:numFmt w:val="bullet"/>
      <w:lvlText w:val="•"/>
      <w:lvlJc w:val="left"/>
      <w:pPr>
        <w:ind w:left="2866" w:hanging="600"/>
      </w:pPr>
      <w:rPr>
        <w:rFonts w:hint="default"/>
      </w:rPr>
    </w:lvl>
    <w:lvl w:ilvl="4">
      <w:start w:val="0"/>
      <w:numFmt w:val="bullet"/>
      <w:lvlText w:val="•"/>
      <w:lvlJc w:val="left"/>
      <w:pPr>
        <w:ind w:left="3589" w:hanging="600"/>
      </w:pPr>
      <w:rPr>
        <w:rFonts w:hint="default"/>
      </w:rPr>
    </w:lvl>
    <w:lvl w:ilvl="5">
      <w:start w:val="0"/>
      <w:numFmt w:val="bullet"/>
      <w:lvlText w:val="•"/>
      <w:lvlJc w:val="left"/>
      <w:pPr>
        <w:ind w:left="4311" w:hanging="600"/>
      </w:pPr>
      <w:rPr>
        <w:rFonts w:hint="default"/>
      </w:rPr>
    </w:lvl>
    <w:lvl w:ilvl="6">
      <w:start w:val="0"/>
      <w:numFmt w:val="bullet"/>
      <w:lvlText w:val="•"/>
      <w:lvlJc w:val="left"/>
      <w:pPr>
        <w:ind w:left="5033" w:hanging="600"/>
      </w:pPr>
      <w:rPr>
        <w:rFonts w:hint="default"/>
      </w:rPr>
    </w:lvl>
    <w:lvl w:ilvl="7">
      <w:start w:val="0"/>
      <w:numFmt w:val="bullet"/>
      <w:lvlText w:val="•"/>
      <w:lvlJc w:val="left"/>
      <w:pPr>
        <w:ind w:left="5756" w:hanging="600"/>
      </w:pPr>
      <w:rPr>
        <w:rFonts w:hint="default"/>
      </w:rPr>
    </w:lvl>
    <w:lvl w:ilvl="8">
      <w:start w:val="0"/>
      <w:numFmt w:val="bullet"/>
      <w:lvlText w:val="•"/>
      <w:lvlJc w:val="left"/>
      <w:pPr>
        <w:ind w:left="6478" w:hanging="600"/>
      </w:pPr>
      <w:rPr>
        <w:rFonts w:hint="default"/>
      </w:rPr>
    </w:lvl>
  </w:abstractNum>
  <w:abstractNum w:abstractNumId="23">
    <w:multiLevelType w:val="hybridMultilevel"/>
    <w:lvl w:ilvl="0">
      <w:start w:val="1"/>
      <w:numFmt w:val="decimal"/>
      <w:lvlText w:val="（%1）"/>
      <w:lvlJc w:val="left"/>
      <w:pPr>
        <w:ind w:left="713" w:hanging="605"/>
        <w:jc w:val="left"/>
      </w:pPr>
      <w:rPr>
        <w:rFonts w:hint="default" w:ascii="宋体" w:hAnsi="宋体" w:eastAsia="宋体" w:cs="宋体"/>
        <w:b/>
        <w:bCs/>
        <w:spacing w:val="0"/>
        <w:w w:val="98"/>
        <w:sz w:val="20"/>
        <w:szCs w:val="20"/>
      </w:rPr>
    </w:lvl>
    <w:lvl w:ilvl="1">
      <w:start w:val="0"/>
      <w:numFmt w:val="bullet"/>
      <w:lvlText w:val="•"/>
      <w:lvlJc w:val="left"/>
      <w:pPr>
        <w:ind w:left="1440" w:hanging="605"/>
      </w:pPr>
      <w:rPr>
        <w:rFonts w:hint="default"/>
      </w:rPr>
    </w:lvl>
    <w:lvl w:ilvl="2">
      <w:start w:val="0"/>
      <w:numFmt w:val="bullet"/>
      <w:lvlText w:val="•"/>
      <w:lvlJc w:val="left"/>
      <w:pPr>
        <w:ind w:left="2160" w:hanging="605"/>
      </w:pPr>
      <w:rPr>
        <w:rFonts w:hint="default"/>
      </w:rPr>
    </w:lvl>
    <w:lvl w:ilvl="3">
      <w:start w:val="0"/>
      <w:numFmt w:val="bullet"/>
      <w:lvlText w:val="•"/>
      <w:lvlJc w:val="left"/>
      <w:pPr>
        <w:ind w:left="2880" w:hanging="605"/>
      </w:pPr>
      <w:rPr>
        <w:rFonts w:hint="default"/>
      </w:rPr>
    </w:lvl>
    <w:lvl w:ilvl="4">
      <w:start w:val="0"/>
      <w:numFmt w:val="bullet"/>
      <w:lvlText w:val="•"/>
      <w:lvlJc w:val="left"/>
      <w:pPr>
        <w:ind w:left="3601" w:hanging="605"/>
      </w:pPr>
      <w:rPr>
        <w:rFonts w:hint="default"/>
      </w:rPr>
    </w:lvl>
    <w:lvl w:ilvl="5">
      <w:start w:val="0"/>
      <w:numFmt w:val="bullet"/>
      <w:lvlText w:val="•"/>
      <w:lvlJc w:val="left"/>
      <w:pPr>
        <w:ind w:left="4321" w:hanging="605"/>
      </w:pPr>
      <w:rPr>
        <w:rFonts w:hint="default"/>
      </w:rPr>
    </w:lvl>
    <w:lvl w:ilvl="6">
      <w:start w:val="0"/>
      <w:numFmt w:val="bullet"/>
      <w:lvlText w:val="•"/>
      <w:lvlJc w:val="left"/>
      <w:pPr>
        <w:ind w:left="5041" w:hanging="605"/>
      </w:pPr>
      <w:rPr>
        <w:rFonts w:hint="default"/>
      </w:rPr>
    </w:lvl>
    <w:lvl w:ilvl="7">
      <w:start w:val="0"/>
      <w:numFmt w:val="bullet"/>
      <w:lvlText w:val="•"/>
      <w:lvlJc w:val="left"/>
      <w:pPr>
        <w:ind w:left="5762" w:hanging="605"/>
      </w:pPr>
      <w:rPr>
        <w:rFonts w:hint="default"/>
      </w:rPr>
    </w:lvl>
    <w:lvl w:ilvl="8">
      <w:start w:val="0"/>
      <w:numFmt w:val="bullet"/>
      <w:lvlText w:val="•"/>
      <w:lvlJc w:val="left"/>
      <w:pPr>
        <w:ind w:left="6482" w:hanging="605"/>
      </w:pPr>
      <w:rPr>
        <w:rFonts w:hint="default"/>
      </w:rPr>
    </w:lvl>
  </w:abstractNum>
  <w:abstractNum w:abstractNumId="22">
    <w:multiLevelType w:val="hybridMultilevel"/>
    <w:lvl w:ilvl="0">
      <w:start w:val="1"/>
      <w:numFmt w:val="decimal"/>
      <w:lvlText w:val="（%1）"/>
      <w:lvlJc w:val="left"/>
      <w:pPr>
        <w:ind w:left="825" w:hanging="680"/>
        <w:jc w:val="left"/>
      </w:pPr>
      <w:rPr>
        <w:rFonts w:hint="default" w:ascii="宋体" w:hAnsi="宋体" w:eastAsia="宋体" w:cs="宋体"/>
        <w:w w:val="99"/>
        <w:sz w:val="20"/>
        <w:szCs w:val="20"/>
      </w:rPr>
    </w:lvl>
    <w:lvl w:ilvl="1">
      <w:start w:val="0"/>
      <w:numFmt w:val="bullet"/>
      <w:lvlText w:val="•"/>
      <w:lvlJc w:val="left"/>
      <w:pPr>
        <w:ind w:left="1544" w:hanging="680"/>
      </w:pPr>
      <w:rPr>
        <w:rFonts w:hint="default"/>
      </w:rPr>
    </w:lvl>
    <w:lvl w:ilvl="2">
      <w:start w:val="0"/>
      <w:numFmt w:val="bullet"/>
      <w:lvlText w:val="•"/>
      <w:lvlJc w:val="left"/>
      <w:pPr>
        <w:ind w:left="2268" w:hanging="680"/>
      </w:pPr>
      <w:rPr>
        <w:rFonts w:hint="default"/>
      </w:rPr>
    </w:lvl>
    <w:lvl w:ilvl="3">
      <w:start w:val="0"/>
      <w:numFmt w:val="bullet"/>
      <w:lvlText w:val="•"/>
      <w:lvlJc w:val="left"/>
      <w:pPr>
        <w:ind w:left="2993" w:hanging="680"/>
      </w:pPr>
      <w:rPr>
        <w:rFonts w:hint="default"/>
      </w:rPr>
    </w:lvl>
    <w:lvl w:ilvl="4">
      <w:start w:val="0"/>
      <w:numFmt w:val="bullet"/>
      <w:lvlText w:val="•"/>
      <w:lvlJc w:val="left"/>
      <w:pPr>
        <w:ind w:left="3717" w:hanging="680"/>
      </w:pPr>
      <w:rPr>
        <w:rFonts w:hint="default"/>
      </w:rPr>
    </w:lvl>
    <w:lvl w:ilvl="5">
      <w:start w:val="0"/>
      <w:numFmt w:val="bullet"/>
      <w:lvlText w:val="•"/>
      <w:lvlJc w:val="left"/>
      <w:pPr>
        <w:ind w:left="4442" w:hanging="680"/>
      </w:pPr>
      <w:rPr>
        <w:rFonts w:hint="default"/>
      </w:rPr>
    </w:lvl>
    <w:lvl w:ilvl="6">
      <w:start w:val="0"/>
      <w:numFmt w:val="bullet"/>
      <w:lvlText w:val="•"/>
      <w:lvlJc w:val="left"/>
      <w:pPr>
        <w:ind w:left="5166" w:hanging="680"/>
      </w:pPr>
      <w:rPr>
        <w:rFonts w:hint="default"/>
      </w:rPr>
    </w:lvl>
    <w:lvl w:ilvl="7">
      <w:start w:val="0"/>
      <w:numFmt w:val="bullet"/>
      <w:lvlText w:val="•"/>
      <w:lvlJc w:val="left"/>
      <w:pPr>
        <w:ind w:left="5890" w:hanging="680"/>
      </w:pPr>
      <w:rPr>
        <w:rFonts w:hint="default"/>
      </w:rPr>
    </w:lvl>
    <w:lvl w:ilvl="8">
      <w:start w:val="0"/>
      <w:numFmt w:val="bullet"/>
      <w:lvlText w:val="•"/>
      <w:lvlJc w:val="left"/>
      <w:pPr>
        <w:ind w:left="6615" w:hanging="680"/>
      </w:pPr>
      <w:rPr>
        <w:rFonts w:hint="default"/>
      </w:rPr>
    </w:lvl>
  </w:abstractNum>
  <w:abstractNum w:abstractNumId="21">
    <w:multiLevelType w:val="hybridMultilevel"/>
    <w:lvl w:ilvl="0">
      <w:start w:val="2"/>
      <w:numFmt w:val="decimal"/>
      <w:lvlText w:val="（%1）"/>
      <w:lvlJc w:val="left"/>
      <w:pPr>
        <w:ind w:left="825" w:hanging="680"/>
        <w:jc w:val="left"/>
      </w:pPr>
      <w:rPr>
        <w:rFonts w:hint="default" w:ascii="宋体" w:hAnsi="宋体" w:eastAsia="宋体" w:cs="宋体"/>
        <w:w w:val="99"/>
        <w:sz w:val="20"/>
        <w:szCs w:val="20"/>
      </w:rPr>
    </w:lvl>
    <w:lvl w:ilvl="1">
      <w:start w:val="0"/>
      <w:numFmt w:val="bullet"/>
      <w:lvlText w:val="•"/>
      <w:lvlJc w:val="left"/>
      <w:pPr>
        <w:ind w:left="1544" w:hanging="680"/>
      </w:pPr>
      <w:rPr>
        <w:rFonts w:hint="default"/>
      </w:rPr>
    </w:lvl>
    <w:lvl w:ilvl="2">
      <w:start w:val="0"/>
      <w:numFmt w:val="bullet"/>
      <w:lvlText w:val="•"/>
      <w:lvlJc w:val="left"/>
      <w:pPr>
        <w:ind w:left="2268" w:hanging="680"/>
      </w:pPr>
      <w:rPr>
        <w:rFonts w:hint="default"/>
      </w:rPr>
    </w:lvl>
    <w:lvl w:ilvl="3">
      <w:start w:val="0"/>
      <w:numFmt w:val="bullet"/>
      <w:lvlText w:val="•"/>
      <w:lvlJc w:val="left"/>
      <w:pPr>
        <w:ind w:left="2993" w:hanging="680"/>
      </w:pPr>
      <w:rPr>
        <w:rFonts w:hint="default"/>
      </w:rPr>
    </w:lvl>
    <w:lvl w:ilvl="4">
      <w:start w:val="0"/>
      <w:numFmt w:val="bullet"/>
      <w:lvlText w:val="•"/>
      <w:lvlJc w:val="left"/>
      <w:pPr>
        <w:ind w:left="3717" w:hanging="680"/>
      </w:pPr>
      <w:rPr>
        <w:rFonts w:hint="default"/>
      </w:rPr>
    </w:lvl>
    <w:lvl w:ilvl="5">
      <w:start w:val="0"/>
      <w:numFmt w:val="bullet"/>
      <w:lvlText w:val="•"/>
      <w:lvlJc w:val="left"/>
      <w:pPr>
        <w:ind w:left="4442" w:hanging="680"/>
      </w:pPr>
      <w:rPr>
        <w:rFonts w:hint="default"/>
      </w:rPr>
    </w:lvl>
    <w:lvl w:ilvl="6">
      <w:start w:val="0"/>
      <w:numFmt w:val="bullet"/>
      <w:lvlText w:val="•"/>
      <w:lvlJc w:val="left"/>
      <w:pPr>
        <w:ind w:left="5166" w:hanging="680"/>
      </w:pPr>
      <w:rPr>
        <w:rFonts w:hint="default"/>
      </w:rPr>
    </w:lvl>
    <w:lvl w:ilvl="7">
      <w:start w:val="0"/>
      <w:numFmt w:val="bullet"/>
      <w:lvlText w:val="•"/>
      <w:lvlJc w:val="left"/>
      <w:pPr>
        <w:ind w:left="5890" w:hanging="680"/>
      </w:pPr>
      <w:rPr>
        <w:rFonts w:hint="default"/>
      </w:rPr>
    </w:lvl>
    <w:lvl w:ilvl="8">
      <w:start w:val="0"/>
      <w:numFmt w:val="bullet"/>
      <w:lvlText w:val="•"/>
      <w:lvlJc w:val="left"/>
      <w:pPr>
        <w:ind w:left="6615" w:hanging="680"/>
      </w:pPr>
      <w:rPr>
        <w:rFonts w:hint="default"/>
      </w:rPr>
    </w:lvl>
  </w:abstractNum>
  <w:abstractNum w:abstractNumId="20">
    <w:multiLevelType w:val="hybridMultilevel"/>
    <w:lvl w:ilvl="0">
      <w:start w:val="1"/>
      <w:numFmt w:val="decimal"/>
      <w:lvlText w:val="%1）"/>
      <w:lvlJc w:val="left"/>
      <w:pPr>
        <w:ind w:left="1421" w:hanging="488"/>
        <w:jc w:val="left"/>
      </w:pPr>
      <w:rPr>
        <w:rFonts w:hint="default" w:ascii="宋体" w:hAnsi="宋体" w:eastAsia="宋体" w:cs="宋体"/>
        <w:spacing w:val="0"/>
        <w:w w:val="99"/>
        <w:sz w:val="20"/>
        <w:szCs w:val="20"/>
      </w:rPr>
    </w:lvl>
    <w:lvl w:ilvl="1">
      <w:start w:val="0"/>
      <w:numFmt w:val="bullet"/>
      <w:lvlText w:val="•"/>
      <w:lvlJc w:val="left"/>
      <w:pPr>
        <w:ind w:left="2110" w:hanging="488"/>
      </w:pPr>
      <w:rPr>
        <w:rFonts w:hint="default"/>
      </w:rPr>
    </w:lvl>
    <w:lvl w:ilvl="2">
      <w:start w:val="0"/>
      <w:numFmt w:val="bullet"/>
      <w:lvlText w:val="•"/>
      <w:lvlJc w:val="left"/>
      <w:pPr>
        <w:ind w:left="2800" w:hanging="488"/>
      </w:pPr>
      <w:rPr>
        <w:rFonts w:hint="default"/>
      </w:rPr>
    </w:lvl>
    <w:lvl w:ilvl="3">
      <w:start w:val="0"/>
      <w:numFmt w:val="bullet"/>
      <w:lvlText w:val="•"/>
      <w:lvlJc w:val="left"/>
      <w:pPr>
        <w:ind w:left="3490" w:hanging="488"/>
      </w:pPr>
      <w:rPr>
        <w:rFonts w:hint="default"/>
      </w:rPr>
    </w:lvl>
    <w:lvl w:ilvl="4">
      <w:start w:val="0"/>
      <w:numFmt w:val="bullet"/>
      <w:lvlText w:val="•"/>
      <w:lvlJc w:val="left"/>
      <w:pPr>
        <w:ind w:left="4180" w:hanging="488"/>
      </w:pPr>
      <w:rPr>
        <w:rFonts w:hint="default"/>
      </w:rPr>
    </w:lvl>
    <w:lvl w:ilvl="5">
      <w:start w:val="0"/>
      <w:numFmt w:val="bullet"/>
      <w:lvlText w:val="•"/>
      <w:lvlJc w:val="left"/>
      <w:pPr>
        <w:ind w:left="4871" w:hanging="488"/>
      </w:pPr>
      <w:rPr>
        <w:rFonts w:hint="default"/>
      </w:rPr>
    </w:lvl>
    <w:lvl w:ilvl="6">
      <w:start w:val="0"/>
      <w:numFmt w:val="bullet"/>
      <w:lvlText w:val="•"/>
      <w:lvlJc w:val="left"/>
      <w:pPr>
        <w:ind w:left="5561" w:hanging="488"/>
      </w:pPr>
      <w:rPr>
        <w:rFonts w:hint="default"/>
      </w:rPr>
    </w:lvl>
    <w:lvl w:ilvl="7">
      <w:start w:val="0"/>
      <w:numFmt w:val="bullet"/>
      <w:lvlText w:val="•"/>
      <w:lvlJc w:val="left"/>
      <w:pPr>
        <w:ind w:left="6251" w:hanging="488"/>
      </w:pPr>
      <w:rPr>
        <w:rFonts w:hint="default"/>
      </w:rPr>
    </w:lvl>
    <w:lvl w:ilvl="8">
      <w:start w:val="0"/>
      <w:numFmt w:val="bullet"/>
      <w:lvlText w:val="•"/>
      <w:lvlJc w:val="left"/>
      <w:pPr>
        <w:ind w:left="6941" w:hanging="488"/>
      </w:pPr>
      <w:rPr>
        <w:rFonts w:hint="default"/>
      </w:rPr>
    </w:lvl>
  </w:abstractNum>
  <w:abstractNum w:abstractNumId="19">
    <w:multiLevelType w:val="hybridMultilevel"/>
    <w:lvl w:ilvl="0">
      <w:start w:val="1"/>
      <w:numFmt w:val="decimal"/>
      <w:lvlText w:val="%1）"/>
      <w:lvlJc w:val="left"/>
      <w:pPr>
        <w:ind w:left="1349" w:hanging="361"/>
        <w:jc w:val="left"/>
      </w:pPr>
      <w:rPr>
        <w:rFonts w:hint="default" w:ascii="宋体" w:hAnsi="宋体" w:eastAsia="宋体" w:cs="宋体"/>
        <w:spacing w:val="0"/>
        <w:w w:val="99"/>
        <w:sz w:val="20"/>
        <w:szCs w:val="20"/>
      </w:rPr>
    </w:lvl>
    <w:lvl w:ilvl="1">
      <w:start w:val="0"/>
      <w:numFmt w:val="bullet"/>
      <w:lvlText w:val="•"/>
      <w:lvlJc w:val="left"/>
      <w:pPr>
        <w:ind w:left="2038" w:hanging="361"/>
      </w:pPr>
      <w:rPr>
        <w:rFonts w:hint="default"/>
      </w:rPr>
    </w:lvl>
    <w:lvl w:ilvl="2">
      <w:start w:val="0"/>
      <w:numFmt w:val="bullet"/>
      <w:lvlText w:val="•"/>
      <w:lvlJc w:val="left"/>
      <w:pPr>
        <w:ind w:left="2736" w:hanging="361"/>
      </w:pPr>
      <w:rPr>
        <w:rFonts w:hint="default"/>
      </w:rPr>
    </w:lvl>
    <w:lvl w:ilvl="3">
      <w:start w:val="0"/>
      <w:numFmt w:val="bullet"/>
      <w:lvlText w:val="•"/>
      <w:lvlJc w:val="left"/>
      <w:pPr>
        <w:ind w:left="3434" w:hanging="361"/>
      </w:pPr>
      <w:rPr>
        <w:rFonts w:hint="default"/>
      </w:rPr>
    </w:lvl>
    <w:lvl w:ilvl="4">
      <w:start w:val="0"/>
      <w:numFmt w:val="bullet"/>
      <w:lvlText w:val="•"/>
      <w:lvlJc w:val="left"/>
      <w:pPr>
        <w:ind w:left="4132" w:hanging="361"/>
      </w:pPr>
      <w:rPr>
        <w:rFonts w:hint="default"/>
      </w:rPr>
    </w:lvl>
    <w:lvl w:ilvl="5">
      <w:start w:val="0"/>
      <w:numFmt w:val="bullet"/>
      <w:lvlText w:val="•"/>
      <w:lvlJc w:val="left"/>
      <w:pPr>
        <w:ind w:left="4831" w:hanging="361"/>
      </w:pPr>
      <w:rPr>
        <w:rFonts w:hint="default"/>
      </w:rPr>
    </w:lvl>
    <w:lvl w:ilvl="6">
      <w:start w:val="0"/>
      <w:numFmt w:val="bullet"/>
      <w:lvlText w:val="•"/>
      <w:lvlJc w:val="left"/>
      <w:pPr>
        <w:ind w:left="5529" w:hanging="361"/>
      </w:pPr>
      <w:rPr>
        <w:rFonts w:hint="default"/>
      </w:rPr>
    </w:lvl>
    <w:lvl w:ilvl="7">
      <w:start w:val="0"/>
      <w:numFmt w:val="bullet"/>
      <w:lvlText w:val="•"/>
      <w:lvlJc w:val="left"/>
      <w:pPr>
        <w:ind w:left="6227" w:hanging="361"/>
      </w:pPr>
      <w:rPr>
        <w:rFonts w:hint="default"/>
      </w:rPr>
    </w:lvl>
    <w:lvl w:ilvl="8">
      <w:start w:val="0"/>
      <w:numFmt w:val="bullet"/>
      <w:lvlText w:val="•"/>
      <w:lvlJc w:val="left"/>
      <w:pPr>
        <w:ind w:left="6925" w:hanging="361"/>
      </w:pPr>
      <w:rPr>
        <w:rFonts w:hint="default"/>
      </w:rPr>
    </w:lvl>
  </w:abstractNum>
  <w:abstractNum w:abstractNumId="18">
    <w:multiLevelType w:val="hybridMultilevel"/>
    <w:lvl w:ilvl="0">
      <w:start w:val="1"/>
      <w:numFmt w:val="decimal"/>
      <w:lvlText w:val="%1）"/>
      <w:lvlJc w:val="left"/>
      <w:pPr>
        <w:ind w:left="900" w:hanging="361"/>
        <w:jc w:val="left"/>
      </w:pPr>
      <w:rPr>
        <w:rFonts w:hint="default" w:ascii="宋体" w:hAnsi="宋体" w:eastAsia="宋体" w:cs="宋体"/>
        <w:spacing w:val="0"/>
        <w:w w:val="99"/>
        <w:sz w:val="20"/>
        <w:szCs w:val="20"/>
      </w:rPr>
    </w:lvl>
    <w:lvl w:ilvl="1">
      <w:start w:val="0"/>
      <w:numFmt w:val="bullet"/>
      <w:lvlText w:val="•"/>
      <w:lvlJc w:val="left"/>
      <w:pPr>
        <w:ind w:left="1641" w:hanging="361"/>
      </w:pPr>
      <w:rPr>
        <w:rFonts w:hint="default"/>
      </w:rPr>
    </w:lvl>
    <w:lvl w:ilvl="2">
      <w:start w:val="0"/>
      <w:numFmt w:val="bullet"/>
      <w:lvlText w:val="•"/>
      <w:lvlJc w:val="left"/>
      <w:pPr>
        <w:ind w:left="2383" w:hanging="361"/>
      </w:pPr>
      <w:rPr>
        <w:rFonts w:hint="default"/>
      </w:rPr>
    </w:lvl>
    <w:lvl w:ilvl="3">
      <w:start w:val="0"/>
      <w:numFmt w:val="bullet"/>
      <w:lvlText w:val="•"/>
      <w:lvlJc w:val="left"/>
      <w:pPr>
        <w:ind w:left="3125" w:hanging="361"/>
      </w:pPr>
      <w:rPr>
        <w:rFonts w:hint="default"/>
      </w:rPr>
    </w:lvl>
    <w:lvl w:ilvl="4">
      <w:start w:val="0"/>
      <w:numFmt w:val="bullet"/>
      <w:lvlText w:val="•"/>
      <w:lvlJc w:val="left"/>
      <w:pPr>
        <w:ind w:left="3867" w:hanging="361"/>
      </w:pPr>
      <w:rPr>
        <w:rFonts w:hint="default"/>
      </w:rPr>
    </w:lvl>
    <w:lvl w:ilvl="5">
      <w:start w:val="0"/>
      <w:numFmt w:val="bullet"/>
      <w:lvlText w:val="•"/>
      <w:lvlJc w:val="left"/>
      <w:pPr>
        <w:ind w:left="4609" w:hanging="361"/>
      </w:pPr>
      <w:rPr>
        <w:rFonts w:hint="default"/>
      </w:rPr>
    </w:lvl>
    <w:lvl w:ilvl="6">
      <w:start w:val="0"/>
      <w:numFmt w:val="bullet"/>
      <w:lvlText w:val="•"/>
      <w:lvlJc w:val="left"/>
      <w:pPr>
        <w:ind w:left="5350" w:hanging="361"/>
      </w:pPr>
      <w:rPr>
        <w:rFonts w:hint="default"/>
      </w:rPr>
    </w:lvl>
    <w:lvl w:ilvl="7">
      <w:start w:val="0"/>
      <w:numFmt w:val="bullet"/>
      <w:lvlText w:val="•"/>
      <w:lvlJc w:val="left"/>
      <w:pPr>
        <w:ind w:left="6092" w:hanging="361"/>
      </w:pPr>
      <w:rPr>
        <w:rFonts w:hint="default"/>
      </w:rPr>
    </w:lvl>
    <w:lvl w:ilvl="8">
      <w:start w:val="0"/>
      <w:numFmt w:val="bullet"/>
      <w:lvlText w:val="•"/>
      <w:lvlJc w:val="left"/>
      <w:pPr>
        <w:ind w:left="6834" w:hanging="361"/>
      </w:pPr>
      <w:rPr>
        <w:rFonts w:hint="default"/>
      </w:rPr>
    </w:lvl>
  </w:abstractNum>
  <w:abstractNum w:abstractNumId="17">
    <w:multiLevelType w:val="hybridMultilevel"/>
    <w:lvl w:ilvl="0">
      <w:start w:val="1"/>
      <w:numFmt w:val="decimal"/>
      <w:lvlText w:val="%1）"/>
      <w:lvlJc w:val="left"/>
      <w:pPr>
        <w:ind w:left="1192" w:hanging="361"/>
        <w:jc w:val="left"/>
      </w:pPr>
      <w:rPr>
        <w:rFonts w:hint="default" w:ascii="宋体" w:hAnsi="宋体" w:eastAsia="宋体" w:cs="宋体"/>
        <w:spacing w:val="0"/>
        <w:w w:val="99"/>
        <w:sz w:val="20"/>
        <w:szCs w:val="20"/>
      </w:rPr>
    </w:lvl>
    <w:lvl w:ilvl="1">
      <w:start w:val="0"/>
      <w:numFmt w:val="bullet"/>
      <w:lvlText w:val="•"/>
      <w:lvlJc w:val="left"/>
      <w:pPr>
        <w:ind w:left="1911" w:hanging="361"/>
      </w:pPr>
      <w:rPr>
        <w:rFonts w:hint="default"/>
      </w:rPr>
    </w:lvl>
    <w:lvl w:ilvl="2">
      <w:start w:val="0"/>
      <w:numFmt w:val="bullet"/>
      <w:lvlText w:val="•"/>
      <w:lvlJc w:val="left"/>
      <w:pPr>
        <w:ind w:left="2623" w:hanging="361"/>
      </w:pPr>
      <w:rPr>
        <w:rFonts w:hint="default"/>
      </w:rPr>
    </w:lvl>
    <w:lvl w:ilvl="3">
      <w:start w:val="0"/>
      <w:numFmt w:val="bullet"/>
      <w:lvlText w:val="•"/>
      <w:lvlJc w:val="left"/>
      <w:pPr>
        <w:ind w:left="3335" w:hanging="361"/>
      </w:pPr>
      <w:rPr>
        <w:rFonts w:hint="default"/>
      </w:rPr>
    </w:lvl>
    <w:lvl w:ilvl="4">
      <w:start w:val="0"/>
      <w:numFmt w:val="bullet"/>
      <w:lvlText w:val="•"/>
      <w:lvlJc w:val="left"/>
      <w:pPr>
        <w:ind w:left="4047" w:hanging="361"/>
      </w:pPr>
      <w:rPr>
        <w:rFonts w:hint="default"/>
      </w:rPr>
    </w:lvl>
    <w:lvl w:ilvl="5">
      <w:start w:val="0"/>
      <w:numFmt w:val="bullet"/>
      <w:lvlText w:val="•"/>
      <w:lvlJc w:val="left"/>
      <w:pPr>
        <w:ind w:left="4759" w:hanging="361"/>
      </w:pPr>
      <w:rPr>
        <w:rFonts w:hint="default"/>
      </w:rPr>
    </w:lvl>
    <w:lvl w:ilvl="6">
      <w:start w:val="0"/>
      <w:numFmt w:val="bullet"/>
      <w:lvlText w:val="•"/>
      <w:lvlJc w:val="left"/>
      <w:pPr>
        <w:ind w:left="5470" w:hanging="361"/>
      </w:pPr>
      <w:rPr>
        <w:rFonts w:hint="default"/>
      </w:rPr>
    </w:lvl>
    <w:lvl w:ilvl="7">
      <w:start w:val="0"/>
      <w:numFmt w:val="bullet"/>
      <w:lvlText w:val="•"/>
      <w:lvlJc w:val="left"/>
      <w:pPr>
        <w:ind w:left="6182" w:hanging="361"/>
      </w:pPr>
      <w:rPr>
        <w:rFonts w:hint="default"/>
      </w:rPr>
    </w:lvl>
    <w:lvl w:ilvl="8">
      <w:start w:val="0"/>
      <w:numFmt w:val="bullet"/>
      <w:lvlText w:val="•"/>
      <w:lvlJc w:val="left"/>
      <w:pPr>
        <w:ind w:left="6894" w:hanging="361"/>
      </w:pPr>
      <w:rPr>
        <w:rFonts w:hint="default"/>
      </w:rPr>
    </w:lvl>
  </w:abstractNum>
  <w:abstractNum w:abstractNumId="16">
    <w:multiLevelType w:val="hybridMultilevel"/>
    <w:lvl w:ilvl="0">
      <w:start w:val="1"/>
      <w:numFmt w:val="decimal"/>
      <w:lvlText w:val="%1）"/>
      <w:lvlJc w:val="left"/>
      <w:pPr>
        <w:ind w:left="1111" w:hanging="361"/>
        <w:jc w:val="left"/>
      </w:pPr>
      <w:rPr>
        <w:rFonts w:hint="default" w:ascii="宋体" w:hAnsi="宋体" w:eastAsia="宋体" w:cs="宋体"/>
        <w:spacing w:val="0"/>
        <w:w w:val="99"/>
        <w:sz w:val="20"/>
        <w:szCs w:val="20"/>
      </w:rPr>
    </w:lvl>
    <w:lvl w:ilvl="1">
      <w:start w:val="0"/>
      <w:numFmt w:val="bullet"/>
      <w:lvlText w:val="•"/>
      <w:lvlJc w:val="left"/>
      <w:pPr>
        <w:ind w:left="1839" w:hanging="361"/>
      </w:pPr>
      <w:rPr>
        <w:rFonts w:hint="default"/>
      </w:rPr>
    </w:lvl>
    <w:lvl w:ilvl="2">
      <w:start w:val="0"/>
      <w:numFmt w:val="bullet"/>
      <w:lvlText w:val="•"/>
      <w:lvlJc w:val="left"/>
      <w:pPr>
        <w:ind w:left="2559" w:hanging="361"/>
      </w:pPr>
      <w:rPr>
        <w:rFonts w:hint="default"/>
      </w:rPr>
    </w:lvl>
    <w:lvl w:ilvl="3">
      <w:start w:val="0"/>
      <w:numFmt w:val="bullet"/>
      <w:lvlText w:val="•"/>
      <w:lvlJc w:val="left"/>
      <w:pPr>
        <w:ind w:left="3279" w:hanging="361"/>
      </w:pPr>
      <w:rPr>
        <w:rFonts w:hint="default"/>
      </w:rPr>
    </w:lvl>
    <w:lvl w:ilvl="4">
      <w:start w:val="0"/>
      <w:numFmt w:val="bullet"/>
      <w:lvlText w:val="•"/>
      <w:lvlJc w:val="left"/>
      <w:pPr>
        <w:ind w:left="3999" w:hanging="361"/>
      </w:pPr>
      <w:rPr>
        <w:rFonts w:hint="default"/>
      </w:rPr>
    </w:lvl>
    <w:lvl w:ilvl="5">
      <w:start w:val="0"/>
      <w:numFmt w:val="bullet"/>
      <w:lvlText w:val="•"/>
      <w:lvlJc w:val="left"/>
      <w:pPr>
        <w:ind w:left="4719" w:hanging="361"/>
      </w:pPr>
      <w:rPr>
        <w:rFonts w:hint="default"/>
      </w:rPr>
    </w:lvl>
    <w:lvl w:ilvl="6">
      <w:start w:val="0"/>
      <w:numFmt w:val="bullet"/>
      <w:lvlText w:val="•"/>
      <w:lvlJc w:val="left"/>
      <w:pPr>
        <w:ind w:left="5438" w:hanging="361"/>
      </w:pPr>
      <w:rPr>
        <w:rFonts w:hint="default"/>
      </w:rPr>
    </w:lvl>
    <w:lvl w:ilvl="7">
      <w:start w:val="0"/>
      <w:numFmt w:val="bullet"/>
      <w:lvlText w:val="•"/>
      <w:lvlJc w:val="left"/>
      <w:pPr>
        <w:ind w:left="6158" w:hanging="361"/>
      </w:pPr>
      <w:rPr>
        <w:rFonts w:hint="default"/>
      </w:rPr>
    </w:lvl>
    <w:lvl w:ilvl="8">
      <w:start w:val="0"/>
      <w:numFmt w:val="bullet"/>
      <w:lvlText w:val="•"/>
      <w:lvlJc w:val="left"/>
      <w:pPr>
        <w:ind w:left="6878" w:hanging="361"/>
      </w:pPr>
      <w:rPr>
        <w:rFonts w:hint="default"/>
      </w:rPr>
    </w:lvl>
  </w:abstractNum>
  <w:abstractNum w:abstractNumId="15">
    <w:multiLevelType w:val="hybridMultilevel"/>
    <w:lvl w:ilvl="0">
      <w:start w:val="1"/>
      <w:numFmt w:val="decimal"/>
      <w:lvlText w:val="（%1）"/>
      <w:lvlJc w:val="left"/>
      <w:pPr>
        <w:ind w:left="830" w:hanging="680"/>
        <w:jc w:val="left"/>
      </w:pPr>
      <w:rPr>
        <w:rFonts w:hint="default" w:ascii="宋体" w:hAnsi="宋体" w:eastAsia="宋体" w:cs="宋体"/>
        <w:w w:val="99"/>
        <w:sz w:val="20"/>
        <w:szCs w:val="20"/>
      </w:rPr>
    </w:lvl>
    <w:lvl w:ilvl="1">
      <w:start w:val="0"/>
      <w:numFmt w:val="bullet"/>
      <w:lvlText w:val="•"/>
      <w:lvlJc w:val="left"/>
      <w:pPr>
        <w:ind w:left="1554" w:hanging="680"/>
      </w:pPr>
      <w:rPr>
        <w:rFonts w:hint="default"/>
      </w:rPr>
    </w:lvl>
    <w:lvl w:ilvl="2">
      <w:start w:val="0"/>
      <w:numFmt w:val="bullet"/>
      <w:lvlText w:val="•"/>
      <w:lvlJc w:val="left"/>
      <w:pPr>
        <w:ind w:left="2268" w:hanging="680"/>
      </w:pPr>
      <w:rPr>
        <w:rFonts w:hint="default"/>
      </w:rPr>
    </w:lvl>
    <w:lvl w:ilvl="3">
      <w:start w:val="0"/>
      <w:numFmt w:val="bullet"/>
      <w:lvlText w:val="•"/>
      <w:lvlJc w:val="left"/>
      <w:pPr>
        <w:ind w:left="2982" w:hanging="680"/>
      </w:pPr>
      <w:rPr>
        <w:rFonts w:hint="default"/>
      </w:rPr>
    </w:lvl>
    <w:lvl w:ilvl="4">
      <w:start w:val="0"/>
      <w:numFmt w:val="bullet"/>
      <w:lvlText w:val="•"/>
      <w:lvlJc w:val="left"/>
      <w:pPr>
        <w:ind w:left="3696" w:hanging="680"/>
      </w:pPr>
      <w:rPr>
        <w:rFonts w:hint="default"/>
      </w:rPr>
    </w:lvl>
    <w:lvl w:ilvl="5">
      <w:start w:val="0"/>
      <w:numFmt w:val="bullet"/>
      <w:lvlText w:val="•"/>
      <w:lvlJc w:val="left"/>
      <w:pPr>
        <w:ind w:left="4410" w:hanging="680"/>
      </w:pPr>
      <w:rPr>
        <w:rFonts w:hint="default"/>
      </w:rPr>
    </w:lvl>
    <w:lvl w:ilvl="6">
      <w:start w:val="0"/>
      <w:numFmt w:val="bullet"/>
      <w:lvlText w:val="•"/>
      <w:lvlJc w:val="left"/>
      <w:pPr>
        <w:ind w:left="5124" w:hanging="680"/>
      </w:pPr>
      <w:rPr>
        <w:rFonts w:hint="default"/>
      </w:rPr>
    </w:lvl>
    <w:lvl w:ilvl="7">
      <w:start w:val="0"/>
      <w:numFmt w:val="bullet"/>
      <w:lvlText w:val="•"/>
      <w:lvlJc w:val="left"/>
      <w:pPr>
        <w:ind w:left="5838" w:hanging="680"/>
      </w:pPr>
      <w:rPr>
        <w:rFonts w:hint="default"/>
      </w:rPr>
    </w:lvl>
    <w:lvl w:ilvl="8">
      <w:start w:val="0"/>
      <w:numFmt w:val="bullet"/>
      <w:lvlText w:val="•"/>
      <w:lvlJc w:val="left"/>
      <w:pPr>
        <w:ind w:left="6552" w:hanging="680"/>
      </w:pPr>
      <w:rPr>
        <w:rFonts w:hint="default"/>
      </w:rPr>
    </w:lvl>
  </w:abstractNum>
  <w:abstractNum w:abstractNumId="14">
    <w:multiLevelType w:val="hybridMultilevel"/>
    <w:lvl w:ilvl="0">
      <w:start w:val="1"/>
      <w:numFmt w:val="decimal"/>
      <w:lvlText w:val="（%1）"/>
      <w:lvlJc w:val="left"/>
      <w:pPr>
        <w:ind w:left="762" w:hanging="612"/>
        <w:jc w:val="left"/>
      </w:pPr>
      <w:rPr>
        <w:rFonts w:hint="default" w:ascii="宋体" w:hAnsi="宋体" w:eastAsia="宋体" w:cs="宋体"/>
        <w:w w:val="99"/>
        <w:sz w:val="20"/>
        <w:szCs w:val="20"/>
      </w:rPr>
    </w:lvl>
    <w:lvl w:ilvl="1">
      <w:start w:val="0"/>
      <w:numFmt w:val="bullet"/>
      <w:lvlText w:val="•"/>
      <w:lvlJc w:val="left"/>
      <w:pPr>
        <w:ind w:left="1482" w:hanging="612"/>
      </w:pPr>
      <w:rPr>
        <w:rFonts w:hint="default"/>
      </w:rPr>
    </w:lvl>
    <w:lvl w:ilvl="2">
      <w:start w:val="0"/>
      <w:numFmt w:val="bullet"/>
      <w:lvlText w:val="•"/>
      <w:lvlJc w:val="left"/>
      <w:pPr>
        <w:ind w:left="2204" w:hanging="612"/>
      </w:pPr>
      <w:rPr>
        <w:rFonts w:hint="default"/>
      </w:rPr>
    </w:lvl>
    <w:lvl w:ilvl="3">
      <w:start w:val="0"/>
      <w:numFmt w:val="bullet"/>
      <w:lvlText w:val="•"/>
      <w:lvlJc w:val="left"/>
      <w:pPr>
        <w:ind w:left="2926" w:hanging="612"/>
      </w:pPr>
      <w:rPr>
        <w:rFonts w:hint="default"/>
      </w:rPr>
    </w:lvl>
    <w:lvl w:ilvl="4">
      <w:start w:val="0"/>
      <w:numFmt w:val="bullet"/>
      <w:lvlText w:val="•"/>
      <w:lvlJc w:val="left"/>
      <w:pPr>
        <w:ind w:left="3648" w:hanging="612"/>
      </w:pPr>
      <w:rPr>
        <w:rFonts w:hint="default"/>
      </w:rPr>
    </w:lvl>
    <w:lvl w:ilvl="5">
      <w:start w:val="0"/>
      <w:numFmt w:val="bullet"/>
      <w:lvlText w:val="•"/>
      <w:lvlJc w:val="left"/>
      <w:pPr>
        <w:ind w:left="4370" w:hanging="612"/>
      </w:pPr>
      <w:rPr>
        <w:rFonts w:hint="default"/>
      </w:rPr>
    </w:lvl>
    <w:lvl w:ilvl="6">
      <w:start w:val="0"/>
      <w:numFmt w:val="bullet"/>
      <w:lvlText w:val="•"/>
      <w:lvlJc w:val="left"/>
      <w:pPr>
        <w:ind w:left="5092" w:hanging="612"/>
      </w:pPr>
      <w:rPr>
        <w:rFonts w:hint="default"/>
      </w:rPr>
    </w:lvl>
    <w:lvl w:ilvl="7">
      <w:start w:val="0"/>
      <w:numFmt w:val="bullet"/>
      <w:lvlText w:val="•"/>
      <w:lvlJc w:val="left"/>
      <w:pPr>
        <w:ind w:left="5814" w:hanging="612"/>
      </w:pPr>
      <w:rPr>
        <w:rFonts w:hint="default"/>
      </w:rPr>
    </w:lvl>
    <w:lvl w:ilvl="8">
      <w:start w:val="0"/>
      <w:numFmt w:val="bullet"/>
      <w:lvlText w:val="•"/>
      <w:lvlJc w:val="left"/>
      <w:pPr>
        <w:ind w:left="6536" w:hanging="612"/>
      </w:pPr>
      <w:rPr>
        <w:rFonts w:hint="default"/>
      </w:rPr>
    </w:lvl>
  </w:abstractNum>
  <w:abstractNum w:abstractNumId="13">
    <w:multiLevelType w:val="hybridMultilevel"/>
    <w:lvl w:ilvl="0">
      <w:start w:val="2"/>
      <w:numFmt w:val="decimal"/>
      <w:lvlText w:val="%1"/>
      <w:lvlJc w:val="left"/>
      <w:pPr>
        <w:ind w:left="734" w:hanging="635"/>
        <w:jc w:val="left"/>
      </w:pPr>
      <w:rPr>
        <w:rFonts w:hint="default"/>
      </w:rPr>
    </w:lvl>
    <w:lvl w:ilvl="1">
      <w:start w:val="4"/>
      <w:numFmt w:val="decimal"/>
      <w:lvlText w:val="%1.%2"/>
      <w:lvlJc w:val="left"/>
      <w:pPr>
        <w:ind w:left="734" w:hanging="635"/>
        <w:jc w:val="left"/>
      </w:pPr>
      <w:rPr>
        <w:rFonts w:hint="default" w:ascii="宋体" w:hAnsi="宋体" w:eastAsia="宋体" w:cs="宋体"/>
        <w:b/>
        <w:bCs/>
        <w:spacing w:val="0"/>
        <w:w w:val="98"/>
        <w:sz w:val="20"/>
        <w:szCs w:val="20"/>
      </w:rPr>
    </w:lvl>
    <w:lvl w:ilvl="2">
      <w:start w:val="0"/>
      <w:numFmt w:val="bullet"/>
      <w:lvlText w:val="•"/>
      <w:lvlJc w:val="left"/>
      <w:pPr>
        <w:ind w:left="1030" w:hanging="635"/>
      </w:pPr>
      <w:rPr>
        <w:rFonts w:hint="default"/>
      </w:rPr>
    </w:lvl>
    <w:lvl w:ilvl="3">
      <w:start w:val="0"/>
      <w:numFmt w:val="bullet"/>
      <w:lvlText w:val="•"/>
      <w:lvlJc w:val="left"/>
      <w:pPr>
        <w:ind w:left="1175" w:hanging="635"/>
      </w:pPr>
      <w:rPr>
        <w:rFonts w:hint="default"/>
      </w:rPr>
    </w:lvl>
    <w:lvl w:ilvl="4">
      <w:start w:val="0"/>
      <w:numFmt w:val="bullet"/>
      <w:lvlText w:val="•"/>
      <w:lvlJc w:val="left"/>
      <w:pPr>
        <w:ind w:left="1321" w:hanging="635"/>
      </w:pPr>
      <w:rPr>
        <w:rFonts w:hint="default"/>
      </w:rPr>
    </w:lvl>
    <w:lvl w:ilvl="5">
      <w:start w:val="0"/>
      <w:numFmt w:val="bullet"/>
      <w:lvlText w:val="•"/>
      <w:lvlJc w:val="left"/>
      <w:pPr>
        <w:ind w:left="1466" w:hanging="635"/>
      </w:pPr>
      <w:rPr>
        <w:rFonts w:hint="default"/>
      </w:rPr>
    </w:lvl>
    <w:lvl w:ilvl="6">
      <w:start w:val="0"/>
      <w:numFmt w:val="bullet"/>
      <w:lvlText w:val="•"/>
      <w:lvlJc w:val="left"/>
      <w:pPr>
        <w:ind w:left="1611" w:hanging="635"/>
      </w:pPr>
      <w:rPr>
        <w:rFonts w:hint="default"/>
      </w:rPr>
    </w:lvl>
    <w:lvl w:ilvl="7">
      <w:start w:val="0"/>
      <w:numFmt w:val="bullet"/>
      <w:lvlText w:val="•"/>
      <w:lvlJc w:val="left"/>
      <w:pPr>
        <w:ind w:left="1756" w:hanging="635"/>
      </w:pPr>
      <w:rPr>
        <w:rFonts w:hint="default"/>
      </w:rPr>
    </w:lvl>
    <w:lvl w:ilvl="8">
      <w:start w:val="0"/>
      <w:numFmt w:val="bullet"/>
      <w:lvlText w:val="•"/>
      <w:lvlJc w:val="left"/>
      <w:pPr>
        <w:ind w:left="1902" w:hanging="635"/>
      </w:pPr>
      <w:rPr>
        <w:rFonts w:hint="default"/>
      </w:rPr>
    </w:lvl>
  </w:abstractNum>
  <w:abstractNum w:abstractNumId="12">
    <w:multiLevelType w:val="hybridMultilevel"/>
    <w:lvl w:ilvl="0">
      <w:start w:val="1"/>
      <w:numFmt w:val="decimal"/>
      <w:lvlText w:val="%1）"/>
      <w:lvlJc w:val="left"/>
      <w:pPr>
        <w:ind w:left="1113" w:hanging="428"/>
        <w:jc w:val="left"/>
      </w:pPr>
      <w:rPr>
        <w:rFonts w:hint="default" w:ascii="宋体" w:hAnsi="宋体" w:eastAsia="宋体" w:cs="宋体"/>
        <w:b/>
        <w:bCs/>
        <w:spacing w:val="0"/>
        <w:w w:val="98"/>
        <w:sz w:val="20"/>
        <w:szCs w:val="20"/>
      </w:rPr>
    </w:lvl>
    <w:lvl w:ilvl="1">
      <w:start w:val="0"/>
      <w:numFmt w:val="bullet"/>
      <w:lvlText w:val="•"/>
      <w:lvlJc w:val="left"/>
      <w:pPr>
        <w:ind w:left="1834" w:hanging="428"/>
      </w:pPr>
      <w:rPr>
        <w:rFonts w:hint="default"/>
      </w:rPr>
    </w:lvl>
    <w:lvl w:ilvl="2">
      <w:start w:val="0"/>
      <w:numFmt w:val="bullet"/>
      <w:lvlText w:val="•"/>
      <w:lvlJc w:val="left"/>
      <w:pPr>
        <w:ind w:left="2549" w:hanging="428"/>
      </w:pPr>
      <w:rPr>
        <w:rFonts w:hint="default"/>
      </w:rPr>
    </w:lvl>
    <w:lvl w:ilvl="3">
      <w:start w:val="0"/>
      <w:numFmt w:val="bullet"/>
      <w:lvlText w:val="•"/>
      <w:lvlJc w:val="left"/>
      <w:pPr>
        <w:ind w:left="3263" w:hanging="428"/>
      </w:pPr>
      <w:rPr>
        <w:rFonts w:hint="default"/>
      </w:rPr>
    </w:lvl>
    <w:lvl w:ilvl="4">
      <w:start w:val="0"/>
      <w:numFmt w:val="bullet"/>
      <w:lvlText w:val="•"/>
      <w:lvlJc w:val="left"/>
      <w:pPr>
        <w:ind w:left="3978" w:hanging="428"/>
      </w:pPr>
      <w:rPr>
        <w:rFonts w:hint="default"/>
      </w:rPr>
    </w:lvl>
    <w:lvl w:ilvl="5">
      <w:start w:val="0"/>
      <w:numFmt w:val="bullet"/>
      <w:lvlText w:val="•"/>
      <w:lvlJc w:val="left"/>
      <w:pPr>
        <w:ind w:left="4692" w:hanging="428"/>
      </w:pPr>
      <w:rPr>
        <w:rFonts w:hint="default"/>
      </w:rPr>
    </w:lvl>
    <w:lvl w:ilvl="6">
      <w:start w:val="0"/>
      <w:numFmt w:val="bullet"/>
      <w:lvlText w:val="•"/>
      <w:lvlJc w:val="left"/>
      <w:pPr>
        <w:ind w:left="5407" w:hanging="428"/>
      </w:pPr>
      <w:rPr>
        <w:rFonts w:hint="default"/>
      </w:rPr>
    </w:lvl>
    <w:lvl w:ilvl="7">
      <w:start w:val="0"/>
      <w:numFmt w:val="bullet"/>
      <w:lvlText w:val="•"/>
      <w:lvlJc w:val="left"/>
      <w:pPr>
        <w:ind w:left="6121" w:hanging="428"/>
      </w:pPr>
      <w:rPr>
        <w:rFonts w:hint="default"/>
      </w:rPr>
    </w:lvl>
    <w:lvl w:ilvl="8">
      <w:start w:val="0"/>
      <w:numFmt w:val="bullet"/>
      <w:lvlText w:val="•"/>
      <w:lvlJc w:val="left"/>
      <w:pPr>
        <w:ind w:left="6836" w:hanging="428"/>
      </w:pPr>
      <w:rPr>
        <w:rFonts w:hint="default"/>
      </w:rPr>
    </w:lvl>
  </w:abstractNum>
  <w:abstractNum w:abstractNumId="11">
    <w:multiLevelType w:val="hybridMultilevel"/>
    <w:lvl w:ilvl="0">
      <w:start w:val="1"/>
      <w:numFmt w:val="decimal"/>
      <w:lvlText w:val="%1）"/>
      <w:lvlJc w:val="left"/>
      <w:pPr>
        <w:ind w:left="1113" w:hanging="428"/>
        <w:jc w:val="left"/>
      </w:pPr>
      <w:rPr>
        <w:rFonts w:hint="default" w:ascii="宋体" w:hAnsi="宋体" w:eastAsia="宋体" w:cs="宋体"/>
        <w:b/>
        <w:bCs/>
        <w:spacing w:val="0"/>
        <w:w w:val="98"/>
        <w:sz w:val="20"/>
        <w:szCs w:val="20"/>
      </w:rPr>
    </w:lvl>
    <w:lvl w:ilvl="1">
      <w:start w:val="0"/>
      <w:numFmt w:val="bullet"/>
      <w:lvlText w:val="•"/>
      <w:lvlJc w:val="left"/>
      <w:pPr>
        <w:ind w:left="1834" w:hanging="428"/>
      </w:pPr>
      <w:rPr>
        <w:rFonts w:hint="default"/>
      </w:rPr>
    </w:lvl>
    <w:lvl w:ilvl="2">
      <w:start w:val="0"/>
      <w:numFmt w:val="bullet"/>
      <w:lvlText w:val="•"/>
      <w:lvlJc w:val="left"/>
      <w:pPr>
        <w:ind w:left="2549" w:hanging="428"/>
      </w:pPr>
      <w:rPr>
        <w:rFonts w:hint="default"/>
      </w:rPr>
    </w:lvl>
    <w:lvl w:ilvl="3">
      <w:start w:val="0"/>
      <w:numFmt w:val="bullet"/>
      <w:lvlText w:val="•"/>
      <w:lvlJc w:val="left"/>
      <w:pPr>
        <w:ind w:left="3263" w:hanging="428"/>
      </w:pPr>
      <w:rPr>
        <w:rFonts w:hint="default"/>
      </w:rPr>
    </w:lvl>
    <w:lvl w:ilvl="4">
      <w:start w:val="0"/>
      <w:numFmt w:val="bullet"/>
      <w:lvlText w:val="•"/>
      <w:lvlJc w:val="left"/>
      <w:pPr>
        <w:ind w:left="3978" w:hanging="428"/>
      </w:pPr>
      <w:rPr>
        <w:rFonts w:hint="default"/>
      </w:rPr>
    </w:lvl>
    <w:lvl w:ilvl="5">
      <w:start w:val="0"/>
      <w:numFmt w:val="bullet"/>
      <w:lvlText w:val="•"/>
      <w:lvlJc w:val="left"/>
      <w:pPr>
        <w:ind w:left="4692" w:hanging="428"/>
      </w:pPr>
      <w:rPr>
        <w:rFonts w:hint="default"/>
      </w:rPr>
    </w:lvl>
    <w:lvl w:ilvl="6">
      <w:start w:val="0"/>
      <w:numFmt w:val="bullet"/>
      <w:lvlText w:val="•"/>
      <w:lvlJc w:val="left"/>
      <w:pPr>
        <w:ind w:left="5407" w:hanging="428"/>
      </w:pPr>
      <w:rPr>
        <w:rFonts w:hint="default"/>
      </w:rPr>
    </w:lvl>
    <w:lvl w:ilvl="7">
      <w:start w:val="0"/>
      <w:numFmt w:val="bullet"/>
      <w:lvlText w:val="•"/>
      <w:lvlJc w:val="left"/>
      <w:pPr>
        <w:ind w:left="6121" w:hanging="428"/>
      </w:pPr>
      <w:rPr>
        <w:rFonts w:hint="default"/>
      </w:rPr>
    </w:lvl>
    <w:lvl w:ilvl="8">
      <w:start w:val="0"/>
      <w:numFmt w:val="bullet"/>
      <w:lvlText w:val="•"/>
      <w:lvlJc w:val="left"/>
      <w:pPr>
        <w:ind w:left="6836" w:hanging="428"/>
      </w:pPr>
      <w:rPr>
        <w:rFonts w:hint="default"/>
      </w:rPr>
    </w:lvl>
  </w:abstractNum>
  <w:abstractNum w:abstractNumId="10">
    <w:multiLevelType w:val="hybridMultilevel"/>
    <w:lvl w:ilvl="0">
      <w:start w:val="1"/>
      <w:numFmt w:val="decimal"/>
      <w:lvlText w:val="(%1)"/>
      <w:lvlJc w:val="left"/>
      <w:pPr>
        <w:ind w:left="530" w:hanging="420"/>
        <w:jc w:val="left"/>
      </w:pPr>
      <w:rPr>
        <w:rFonts w:hint="default" w:ascii="宋体" w:hAnsi="宋体" w:eastAsia="宋体" w:cs="宋体"/>
        <w:spacing w:val="0"/>
        <w:w w:val="99"/>
        <w:sz w:val="20"/>
        <w:szCs w:val="20"/>
      </w:rPr>
    </w:lvl>
    <w:lvl w:ilvl="1">
      <w:start w:val="0"/>
      <w:numFmt w:val="bullet"/>
      <w:lvlText w:val="•"/>
      <w:lvlJc w:val="left"/>
      <w:pPr>
        <w:ind w:left="1280" w:hanging="420"/>
      </w:pPr>
      <w:rPr>
        <w:rFonts w:hint="default"/>
      </w:rPr>
    </w:lvl>
    <w:lvl w:ilvl="2">
      <w:start w:val="0"/>
      <w:numFmt w:val="bullet"/>
      <w:lvlText w:val="•"/>
      <w:lvlJc w:val="left"/>
      <w:pPr>
        <w:ind w:left="2020" w:hanging="420"/>
      </w:pPr>
      <w:rPr>
        <w:rFonts w:hint="default"/>
      </w:rPr>
    </w:lvl>
    <w:lvl w:ilvl="3">
      <w:start w:val="0"/>
      <w:numFmt w:val="bullet"/>
      <w:lvlText w:val="•"/>
      <w:lvlJc w:val="left"/>
      <w:pPr>
        <w:ind w:left="2760" w:hanging="420"/>
      </w:pPr>
      <w:rPr>
        <w:rFonts w:hint="default"/>
      </w:rPr>
    </w:lvl>
    <w:lvl w:ilvl="4">
      <w:start w:val="0"/>
      <w:numFmt w:val="bullet"/>
      <w:lvlText w:val="•"/>
      <w:lvlJc w:val="left"/>
      <w:pPr>
        <w:ind w:left="3500" w:hanging="420"/>
      </w:pPr>
      <w:rPr>
        <w:rFonts w:hint="default"/>
      </w:rPr>
    </w:lvl>
    <w:lvl w:ilvl="5">
      <w:start w:val="0"/>
      <w:numFmt w:val="bullet"/>
      <w:lvlText w:val="•"/>
      <w:lvlJc w:val="left"/>
      <w:pPr>
        <w:ind w:left="4240" w:hanging="420"/>
      </w:pPr>
      <w:rPr>
        <w:rFonts w:hint="default"/>
      </w:rPr>
    </w:lvl>
    <w:lvl w:ilvl="6">
      <w:start w:val="0"/>
      <w:numFmt w:val="bullet"/>
      <w:lvlText w:val="•"/>
      <w:lvlJc w:val="left"/>
      <w:pPr>
        <w:ind w:left="4980" w:hanging="420"/>
      </w:pPr>
      <w:rPr>
        <w:rFonts w:hint="default"/>
      </w:rPr>
    </w:lvl>
    <w:lvl w:ilvl="7">
      <w:start w:val="0"/>
      <w:numFmt w:val="bullet"/>
      <w:lvlText w:val="•"/>
      <w:lvlJc w:val="left"/>
      <w:pPr>
        <w:ind w:left="5720" w:hanging="420"/>
      </w:pPr>
      <w:rPr>
        <w:rFonts w:hint="default"/>
      </w:rPr>
    </w:lvl>
    <w:lvl w:ilvl="8">
      <w:start w:val="0"/>
      <w:numFmt w:val="bullet"/>
      <w:lvlText w:val="•"/>
      <w:lvlJc w:val="left"/>
      <w:pPr>
        <w:ind w:left="6460" w:hanging="420"/>
      </w:pPr>
      <w:rPr>
        <w:rFonts w:hint="default"/>
      </w:rPr>
    </w:lvl>
  </w:abstractNum>
  <w:abstractNum w:abstractNumId="9">
    <w:multiLevelType w:val="hybridMultilevel"/>
    <w:lvl w:ilvl="0">
      <w:start w:val="11"/>
      <w:numFmt w:val="decimal"/>
      <w:lvlText w:val="%1."/>
      <w:lvlJc w:val="left"/>
      <w:pPr>
        <w:ind w:left="495" w:hanging="303"/>
        <w:jc w:val="left"/>
      </w:pPr>
      <w:rPr>
        <w:rFonts w:hint="default" w:ascii="宋体" w:hAnsi="宋体" w:eastAsia="宋体" w:cs="宋体"/>
        <w:spacing w:val="-2"/>
        <w:w w:val="100"/>
        <w:sz w:val="15"/>
        <w:szCs w:val="15"/>
      </w:rPr>
    </w:lvl>
    <w:lvl w:ilvl="1">
      <w:start w:val="0"/>
      <w:numFmt w:val="bullet"/>
      <w:lvlText w:val="•"/>
      <w:lvlJc w:val="left"/>
      <w:pPr>
        <w:ind w:left="668" w:hanging="303"/>
      </w:pPr>
      <w:rPr>
        <w:rFonts w:hint="default"/>
      </w:rPr>
    </w:lvl>
    <w:lvl w:ilvl="2">
      <w:start w:val="0"/>
      <w:numFmt w:val="bullet"/>
      <w:lvlText w:val="•"/>
      <w:lvlJc w:val="left"/>
      <w:pPr>
        <w:ind w:left="837" w:hanging="303"/>
      </w:pPr>
      <w:rPr>
        <w:rFonts w:hint="default"/>
      </w:rPr>
    </w:lvl>
    <w:lvl w:ilvl="3">
      <w:start w:val="0"/>
      <w:numFmt w:val="bullet"/>
      <w:lvlText w:val="•"/>
      <w:lvlJc w:val="left"/>
      <w:pPr>
        <w:ind w:left="1006" w:hanging="303"/>
      </w:pPr>
      <w:rPr>
        <w:rFonts w:hint="default"/>
      </w:rPr>
    </w:lvl>
    <w:lvl w:ilvl="4">
      <w:start w:val="0"/>
      <w:numFmt w:val="bullet"/>
      <w:lvlText w:val="•"/>
      <w:lvlJc w:val="left"/>
      <w:pPr>
        <w:ind w:left="1174" w:hanging="303"/>
      </w:pPr>
      <w:rPr>
        <w:rFonts w:hint="default"/>
      </w:rPr>
    </w:lvl>
    <w:lvl w:ilvl="5">
      <w:start w:val="0"/>
      <w:numFmt w:val="bullet"/>
      <w:lvlText w:val="•"/>
      <w:lvlJc w:val="left"/>
      <w:pPr>
        <w:ind w:left="1343" w:hanging="303"/>
      </w:pPr>
      <w:rPr>
        <w:rFonts w:hint="default"/>
      </w:rPr>
    </w:lvl>
    <w:lvl w:ilvl="6">
      <w:start w:val="0"/>
      <w:numFmt w:val="bullet"/>
      <w:lvlText w:val="•"/>
      <w:lvlJc w:val="left"/>
      <w:pPr>
        <w:ind w:left="1512" w:hanging="303"/>
      </w:pPr>
      <w:rPr>
        <w:rFonts w:hint="default"/>
      </w:rPr>
    </w:lvl>
    <w:lvl w:ilvl="7">
      <w:start w:val="0"/>
      <w:numFmt w:val="bullet"/>
      <w:lvlText w:val="•"/>
      <w:lvlJc w:val="left"/>
      <w:pPr>
        <w:ind w:left="1680" w:hanging="303"/>
      </w:pPr>
      <w:rPr>
        <w:rFonts w:hint="default"/>
      </w:rPr>
    </w:lvl>
    <w:lvl w:ilvl="8">
      <w:start w:val="0"/>
      <w:numFmt w:val="bullet"/>
      <w:lvlText w:val="•"/>
      <w:lvlJc w:val="left"/>
      <w:pPr>
        <w:ind w:left="1849" w:hanging="303"/>
      </w:pPr>
      <w:rPr>
        <w:rFonts w:hint="default"/>
      </w:rPr>
    </w:lvl>
  </w:abstractNum>
  <w:abstractNum w:abstractNumId="8">
    <w:multiLevelType w:val="hybridMultilevel"/>
    <w:lvl w:ilvl="0">
      <w:start w:val="1"/>
      <w:numFmt w:val="decimal"/>
      <w:lvlText w:val="%1."/>
      <w:lvlJc w:val="left"/>
      <w:pPr>
        <w:ind w:left="497" w:hanging="226"/>
        <w:jc w:val="left"/>
      </w:pPr>
      <w:rPr>
        <w:rFonts w:hint="default" w:ascii="宋体" w:hAnsi="宋体" w:eastAsia="宋体" w:cs="宋体"/>
        <w:spacing w:val="0"/>
        <w:w w:val="100"/>
        <w:sz w:val="15"/>
        <w:szCs w:val="15"/>
      </w:rPr>
    </w:lvl>
    <w:lvl w:ilvl="1">
      <w:start w:val="0"/>
      <w:numFmt w:val="bullet"/>
      <w:lvlText w:val="•"/>
      <w:lvlJc w:val="left"/>
      <w:pPr>
        <w:ind w:left="713" w:hanging="226"/>
      </w:pPr>
      <w:rPr>
        <w:rFonts w:hint="default"/>
      </w:rPr>
    </w:lvl>
    <w:lvl w:ilvl="2">
      <w:start w:val="0"/>
      <w:numFmt w:val="bullet"/>
      <w:lvlText w:val="•"/>
      <w:lvlJc w:val="left"/>
      <w:pPr>
        <w:ind w:left="927" w:hanging="226"/>
      </w:pPr>
      <w:rPr>
        <w:rFonts w:hint="default"/>
      </w:rPr>
    </w:lvl>
    <w:lvl w:ilvl="3">
      <w:start w:val="0"/>
      <w:numFmt w:val="bullet"/>
      <w:lvlText w:val="•"/>
      <w:lvlJc w:val="left"/>
      <w:pPr>
        <w:ind w:left="1141" w:hanging="226"/>
      </w:pPr>
      <w:rPr>
        <w:rFonts w:hint="default"/>
      </w:rPr>
    </w:lvl>
    <w:lvl w:ilvl="4">
      <w:start w:val="0"/>
      <w:numFmt w:val="bullet"/>
      <w:lvlText w:val="•"/>
      <w:lvlJc w:val="left"/>
      <w:pPr>
        <w:ind w:left="1354" w:hanging="226"/>
      </w:pPr>
      <w:rPr>
        <w:rFonts w:hint="default"/>
      </w:rPr>
    </w:lvl>
    <w:lvl w:ilvl="5">
      <w:start w:val="0"/>
      <w:numFmt w:val="bullet"/>
      <w:lvlText w:val="•"/>
      <w:lvlJc w:val="left"/>
      <w:pPr>
        <w:ind w:left="1568" w:hanging="226"/>
      </w:pPr>
      <w:rPr>
        <w:rFonts w:hint="default"/>
      </w:rPr>
    </w:lvl>
    <w:lvl w:ilvl="6">
      <w:start w:val="0"/>
      <w:numFmt w:val="bullet"/>
      <w:lvlText w:val="•"/>
      <w:lvlJc w:val="left"/>
      <w:pPr>
        <w:ind w:left="1782" w:hanging="226"/>
      </w:pPr>
      <w:rPr>
        <w:rFonts w:hint="default"/>
      </w:rPr>
    </w:lvl>
    <w:lvl w:ilvl="7">
      <w:start w:val="0"/>
      <w:numFmt w:val="bullet"/>
      <w:lvlText w:val="•"/>
      <w:lvlJc w:val="left"/>
      <w:pPr>
        <w:ind w:left="1995" w:hanging="226"/>
      </w:pPr>
      <w:rPr>
        <w:rFonts w:hint="default"/>
      </w:rPr>
    </w:lvl>
    <w:lvl w:ilvl="8">
      <w:start w:val="0"/>
      <w:numFmt w:val="bullet"/>
      <w:lvlText w:val="•"/>
      <w:lvlJc w:val="left"/>
      <w:pPr>
        <w:ind w:left="2209" w:hanging="226"/>
      </w:pPr>
      <w:rPr>
        <w:rFonts w:hint="default"/>
      </w:rPr>
    </w:lvl>
  </w:abstractNum>
  <w:abstractNum w:abstractNumId="7">
    <w:multiLevelType w:val="hybridMultilevel"/>
    <w:lvl w:ilvl="0">
      <w:start w:val="7"/>
      <w:numFmt w:val="decimal"/>
      <w:lvlText w:val="%1"/>
      <w:lvlJc w:val="left"/>
      <w:pPr>
        <w:ind w:left="573" w:hanging="303"/>
        <w:jc w:val="left"/>
      </w:pPr>
      <w:rPr>
        <w:rFonts w:hint="default"/>
      </w:rPr>
    </w:lvl>
    <w:lvl w:ilvl="1">
      <w:start w:val="4"/>
      <w:numFmt w:val="decimal"/>
      <w:lvlText w:val="%1.%2"/>
      <w:lvlJc w:val="left"/>
      <w:pPr>
        <w:ind w:left="573" w:hanging="303"/>
        <w:jc w:val="left"/>
      </w:pPr>
      <w:rPr>
        <w:rFonts w:hint="default" w:ascii="宋体" w:hAnsi="宋体" w:eastAsia="宋体" w:cs="宋体"/>
        <w:spacing w:val="-2"/>
        <w:w w:val="100"/>
        <w:sz w:val="15"/>
        <w:szCs w:val="15"/>
      </w:rPr>
    </w:lvl>
    <w:lvl w:ilvl="2">
      <w:start w:val="0"/>
      <w:numFmt w:val="bullet"/>
      <w:lvlText w:val="•"/>
      <w:lvlJc w:val="left"/>
      <w:pPr>
        <w:ind w:left="991" w:hanging="303"/>
      </w:pPr>
      <w:rPr>
        <w:rFonts w:hint="default"/>
      </w:rPr>
    </w:lvl>
    <w:lvl w:ilvl="3">
      <w:start w:val="0"/>
      <w:numFmt w:val="bullet"/>
      <w:lvlText w:val="•"/>
      <w:lvlJc w:val="left"/>
      <w:pPr>
        <w:ind w:left="1197" w:hanging="303"/>
      </w:pPr>
      <w:rPr>
        <w:rFonts w:hint="default"/>
      </w:rPr>
    </w:lvl>
    <w:lvl w:ilvl="4">
      <w:start w:val="0"/>
      <w:numFmt w:val="bullet"/>
      <w:lvlText w:val="•"/>
      <w:lvlJc w:val="left"/>
      <w:pPr>
        <w:ind w:left="1402" w:hanging="303"/>
      </w:pPr>
      <w:rPr>
        <w:rFonts w:hint="default"/>
      </w:rPr>
    </w:lvl>
    <w:lvl w:ilvl="5">
      <w:start w:val="0"/>
      <w:numFmt w:val="bullet"/>
      <w:lvlText w:val="•"/>
      <w:lvlJc w:val="left"/>
      <w:pPr>
        <w:ind w:left="1608" w:hanging="303"/>
      </w:pPr>
      <w:rPr>
        <w:rFonts w:hint="default"/>
      </w:rPr>
    </w:lvl>
    <w:lvl w:ilvl="6">
      <w:start w:val="0"/>
      <w:numFmt w:val="bullet"/>
      <w:lvlText w:val="•"/>
      <w:lvlJc w:val="left"/>
      <w:pPr>
        <w:ind w:left="1814" w:hanging="303"/>
      </w:pPr>
      <w:rPr>
        <w:rFonts w:hint="default"/>
      </w:rPr>
    </w:lvl>
    <w:lvl w:ilvl="7">
      <w:start w:val="0"/>
      <w:numFmt w:val="bullet"/>
      <w:lvlText w:val="•"/>
      <w:lvlJc w:val="left"/>
      <w:pPr>
        <w:ind w:left="2019" w:hanging="303"/>
      </w:pPr>
      <w:rPr>
        <w:rFonts w:hint="default"/>
      </w:rPr>
    </w:lvl>
    <w:lvl w:ilvl="8">
      <w:start w:val="0"/>
      <w:numFmt w:val="bullet"/>
      <w:lvlText w:val="•"/>
      <w:lvlJc w:val="left"/>
      <w:pPr>
        <w:ind w:left="2225" w:hanging="303"/>
      </w:pPr>
      <w:rPr>
        <w:rFonts w:hint="default"/>
      </w:rPr>
    </w:lvl>
  </w:abstractNum>
  <w:abstractNum w:abstractNumId="6">
    <w:multiLevelType w:val="hybridMultilevel"/>
    <w:lvl w:ilvl="0">
      <w:start w:val="7"/>
      <w:numFmt w:val="decimal"/>
      <w:lvlText w:val="%1"/>
      <w:lvlJc w:val="left"/>
      <w:pPr>
        <w:ind w:left="615" w:hanging="303"/>
        <w:jc w:val="left"/>
      </w:pPr>
      <w:rPr>
        <w:rFonts w:hint="default"/>
      </w:rPr>
    </w:lvl>
    <w:lvl w:ilvl="1">
      <w:start w:val="1"/>
      <w:numFmt w:val="decimal"/>
      <w:lvlText w:val="%1.%2"/>
      <w:lvlJc w:val="left"/>
      <w:pPr>
        <w:ind w:left="615" w:hanging="303"/>
        <w:jc w:val="left"/>
      </w:pPr>
      <w:rPr>
        <w:rFonts w:hint="default" w:ascii="宋体" w:hAnsi="宋体" w:eastAsia="宋体" w:cs="宋体"/>
        <w:spacing w:val="-2"/>
        <w:w w:val="100"/>
        <w:sz w:val="15"/>
        <w:szCs w:val="15"/>
      </w:rPr>
    </w:lvl>
    <w:lvl w:ilvl="2">
      <w:start w:val="0"/>
      <w:numFmt w:val="bullet"/>
      <w:lvlText w:val="•"/>
      <w:lvlJc w:val="left"/>
      <w:pPr>
        <w:ind w:left="958" w:hanging="303"/>
      </w:pPr>
      <w:rPr>
        <w:rFonts w:hint="default"/>
      </w:rPr>
    </w:lvl>
    <w:lvl w:ilvl="3">
      <w:start w:val="0"/>
      <w:numFmt w:val="bullet"/>
      <w:lvlText w:val="•"/>
      <w:lvlJc w:val="left"/>
      <w:pPr>
        <w:ind w:left="1127" w:hanging="303"/>
      </w:pPr>
      <w:rPr>
        <w:rFonts w:hint="default"/>
      </w:rPr>
    </w:lvl>
    <w:lvl w:ilvl="4">
      <w:start w:val="0"/>
      <w:numFmt w:val="bullet"/>
      <w:lvlText w:val="•"/>
      <w:lvlJc w:val="left"/>
      <w:pPr>
        <w:ind w:left="1296" w:hanging="303"/>
      </w:pPr>
      <w:rPr>
        <w:rFonts w:hint="default"/>
      </w:rPr>
    </w:lvl>
    <w:lvl w:ilvl="5">
      <w:start w:val="0"/>
      <w:numFmt w:val="bullet"/>
      <w:lvlText w:val="•"/>
      <w:lvlJc w:val="left"/>
      <w:pPr>
        <w:ind w:left="1465" w:hanging="303"/>
      </w:pPr>
      <w:rPr>
        <w:rFonts w:hint="default"/>
      </w:rPr>
    </w:lvl>
    <w:lvl w:ilvl="6">
      <w:start w:val="0"/>
      <w:numFmt w:val="bullet"/>
      <w:lvlText w:val="•"/>
      <w:lvlJc w:val="left"/>
      <w:pPr>
        <w:ind w:left="1634" w:hanging="303"/>
      </w:pPr>
      <w:rPr>
        <w:rFonts w:hint="default"/>
      </w:rPr>
    </w:lvl>
    <w:lvl w:ilvl="7">
      <w:start w:val="0"/>
      <w:numFmt w:val="bullet"/>
      <w:lvlText w:val="•"/>
      <w:lvlJc w:val="left"/>
      <w:pPr>
        <w:ind w:left="1803" w:hanging="303"/>
      </w:pPr>
      <w:rPr>
        <w:rFonts w:hint="default"/>
      </w:rPr>
    </w:lvl>
    <w:lvl w:ilvl="8">
      <w:start w:val="0"/>
      <w:numFmt w:val="bullet"/>
      <w:lvlText w:val="•"/>
      <w:lvlJc w:val="left"/>
      <w:pPr>
        <w:ind w:left="1972" w:hanging="303"/>
      </w:pPr>
      <w:rPr>
        <w:rFonts w:hint="default"/>
      </w:rPr>
    </w:lvl>
  </w:abstractNum>
  <w:abstractNum w:abstractNumId="5">
    <w:multiLevelType w:val="hybridMultilevel"/>
    <w:lvl w:ilvl="0">
      <w:start w:val="4"/>
      <w:numFmt w:val="decimal"/>
      <w:lvlText w:val="%1"/>
      <w:lvlJc w:val="left"/>
      <w:pPr>
        <w:ind w:left="615" w:hanging="303"/>
        <w:jc w:val="left"/>
      </w:pPr>
      <w:rPr>
        <w:rFonts w:hint="default"/>
      </w:rPr>
    </w:lvl>
    <w:lvl w:ilvl="1">
      <w:start w:val="1"/>
      <w:numFmt w:val="decimal"/>
      <w:lvlText w:val="%1.%2"/>
      <w:lvlJc w:val="left"/>
      <w:pPr>
        <w:ind w:left="615" w:hanging="303"/>
        <w:jc w:val="left"/>
      </w:pPr>
      <w:rPr>
        <w:rFonts w:hint="default" w:ascii="宋体" w:hAnsi="宋体" w:eastAsia="宋体" w:cs="宋体"/>
        <w:spacing w:val="-2"/>
        <w:w w:val="100"/>
        <w:sz w:val="15"/>
        <w:szCs w:val="15"/>
      </w:rPr>
    </w:lvl>
    <w:lvl w:ilvl="2">
      <w:start w:val="0"/>
      <w:numFmt w:val="bullet"/>
      <w:lvlText w:val="•"/>
      <w:lvlJc w:val="left"/>
      <w:pPr>
        <w:ind w:left="958" w:hanging="303"/>
      </w:pPr>
      <w:rPr>
        <w:rFonts w:hint="default"/>
      </w:rPr>
    </w:lvl>
    <w:lvl w:ilvl="3">
      <w:start w:val="0"/>
      <w:numFmt w:val="bullet"/>
      <w:lvlText w:val="•"/>
      <w:lvlJc w:val="left"/>
      <w:pPr>
        <w:ind w:left="1127" w:hanging="303"/>
      </w:pPr>
      <w:rPr>
        <w:rFonts w:hint="default"/>
      </w:rPr>
    </w:lvl>
    <w:lvl w:ilvl="4">
      <w:start w:val="0"/>
      <w:numFmt w:val="bullet"/>
      <w:lvlText w:val="•"/>
      <w:lvlJc w:val="left"/>
      <w:pPr>
        <w:ind w:left="1296" w:hanging="303"/>
      </w:pPr>
      <w:rPr>
        <w:rFonts w:hint="default"/>
      </w:rPr>
    </w:lvl>
    <w:lvl w:ilvl="5">
      <w:start w:val="0"/>
      <w:numFmt w:val="bullet"/>
      <w:lvlText w:val="•"/>
      <w:lvlJc w:val="left"/>
      <w:pPr>
        <w:ind w:left="1465" w:hanging="303"/>
      </w:pPr>
      <w:rPr>
        <w:rFonts w:hint="default"/>
      </w:rPr>
    </w:lvl>
    <w:lvl w:ilvl="6">
      <w:start w:val="0"/>
      <w:numFmt w:val="bullet"/>
      <w:lvlText w:val="•"/>
      <w:lvlJc w:val="left"/>
      <w:pPr>
        <w:ind w:left="1634" w:hanging="303"/>
      </w:pPr>
      <w:rPr>
        <w:rFonts w:hint="default"/>
      </w:rPr>
    </w:lvl>
    <w:lvl w:ilvl="7">
      <w:start w:val="0"/>
      <w:numFmt w:val="bullet"/>
      <w:lvlText w:val="•"/>
      <w:lvlJc w:val="left"/>
      <w:pPr>
        <w:ind w:left="1803" w:hanging="303"/>
      </w:pPr>
      <w:rPr>
        <w:rFonts w:hint="default"/>
      </w:rPr>
    </w:lvl>
    <w:lvl w:ilvl="8">
      <w:start w:val="0"/>
      <w:numFmt w:val="bullet"/>
      <w:lvlText w:val="•"/>
      <w:lvlJc w:val="left"/>
      <w:pPr>
        <w:ind w:left="1972" w:hanging="303"/>
      </w:pPr>
      <w:rPr>
        <w:rFonts w:hint="default"/>
      </w:rPr>
    </w:lvl>
  </w:abstractNum>
  <w:abstractNum w:abstractNumId="4">
    <w:multiLevelType w:val="hybridMultilevel"/>
    <w:lvl w:ilvl="0">
      <w:start w:val="3"/>
      <w:numFmt w:val="decimal"/>
      <w:lvlText w:val="%1"/>
      <w:lvlJc w:val="left"/>
      <w:pPr>
        <w:ind w:left="615" w:hanging="303"/>
        <w:jc w:val="left"/>
      </w:pPr>
      <w:rPr>
        <w:rFonts w:hint="default"/>
      </w:rPr>
    </w:lvl>
    <w:lvl w:ilvl="1">
      <w:start w:val="3"/>
      <w:numFmt w:val="decimal"/>
      <w:lvlText w:val="%1.%2"/>
      <w:lvlJc w:val="left"/>
      <w:pPr>
        <w:ind w:left="615" w:hanging="303"/>
        <w:jc w:val="left"/>
      </w:pPr>
      <w:rPr>
        <w:rFonts w:hint="default" w:ascii="宋体" w:hAnsi="宋体" w:eastAsia="宋体" w:cs="宋体"/>
        <w:spacing w:val="-2"/>
        <w:w w:val="100"/>
        <w:sz w:val="15"/>
        <w:szCs w:val="15"/>
      </w:rPr>
    </w:lvl>
    <w:lvl w:ilvl="2">
      <w:start w:val="0"/>
      <w:numFmt w:val="bullet"/>
      <w:lvlText w:val="•"/>
      <w:lvlJc w:val="left"/>
      <w:pPr>
        <w:ind w:left="958" w:hanging="303"/>
      </w:pPr>
      <w:rPr>
        <w:rFonts w:hint="default"/>
      </w:rPr>
    </w:lvl>
    <w:lvl w:ilvl="3">
      <w:start w:val="0"/>
      <w:numFmt w:val="bullet"/>
      <w:lvlText w:val="•"/>
      <w:lvlJc w:val="left"/>
      <w:pPr>
        <w:ind w:left="1127" w:hanging="303"/>
      </w:pPr>
      <w:rPr>
        <w:rFonts w:hint="default"/>
      </w:rPr>
    </w:lvl>
    <w:lvl w:ilvl="4">
      <w:start w:val="0"/>
      <w:numFmt w:val="bullet"/>
      <w:lvlText w:val="•"/>
      <w:lvlJc w:val="left"/>
      <w:pPr>
        <w:ind w:left="1296" w:hanging="303"/>
      </w:pPr>
      <w:rPr>
        <w:rFonts w:hint="default"/>
      </w:rPr>
    </w:lvl>
    <w:lvl w:ilvl="5">
      <w:start w:val="0"/>
      <w:numFmt w:val="bullet"/>
      <w:lvlText w:val="•"/>
      <w:lvlJc w:val="left"/>
      <w:pPr>
        <w:ind w:left="1465" w:hanging="303"/>
      </w:pPr>
      <w:rPr>
        <w:rFonts w:hint="default"/>
      </w:rPr>
    </w:lvl>
    <w:lvl w:ilvl="6">
      <w:start w:val="0"/>
      <w:numFmt w:val="bullet"/>
      <w:lvlText w:val="•"/>
      <w:lvlJc w:val="left"/>
      <w:pPr>
        <w:ind w:left="1634" w:hanging="303"/>
      </w:pPr>
      <w:rPr>
        <w:rFonts w:hint="default"/>
      </w:rPr>
    </w:lvl>
    <w:lvl w:ilvl="7">
      <w:start w:val="0"/>
      <w:numFmt w:val="bullet"/>
      <w:lvlText w:val="•"/>
      <w:lvlJc w:val="left"/>
      <w:pPr>
        <w:ind w:left="1803" w:hanging="303"/>
      </w:pPr>
      <w:rPr>
        <w:rFonts w:hint="default"/>
      </w:rPr>
    </w:lvl>
    <w:lvl w:ilvl="8">
      <w:start w:val="0"/>
      <w:numFmt w:val="bullet"/>
      <w:lvlText w:val="•"/>
      <w:lvlJc w:val="left"/>
      <w:pPr>
        <w:ind w:left="1972" w:hanging="303"/>
      </w:pPr>
      <w:rPr>
        <w:rFonts w:hint="default"/>
      </w:rPr>
    </w:lvl>
  </w:abstractNum>
  <w:abstractNum w:abstractNumId="3">
    <w:multiLevelType w:val="hybridMultilevel"/>
    <w:lvl w:ilvl="0">
      <w:start w:val="3"/>
      <w:numFmt w:val="decimal"/>
      <w:lvlText w:val="%1"/>
      <w:lvlJc w:val="left"/>
      <w:pPr>
        <w:ind w:left="564" w:hanging="303"/>
        <w:jc w:val="left"/>
      </w:pPr>
      <w:rPr>
        <w:rFonts w:hint="default"/>
      </w:rPr>
    </w:lvl>
    <w:lvl w:ilvl="1">
      <w:start w:val="1"/>
      <w:numFmt w:val="decimal"/>
      <w:lvlText w:val="%1.%2"/>
      <w:lvlJc w:val="left"/>
      <w:pPr>
        <w:ind w:left="564" w:hanging="303"/>
        <w:jc w:val="left"/>
      </w:pPr>
      <w:rPr>
        <w:rFonts w:hint="default" w:ascii="宋体" w:hAnsi="宋体" w:eastAsia="宋体" w:cs="宋体"/>
        <w:spacing w:val="-2"/>
        <w:w w:val="100"/>
        <w:sz w:val="15"/>
        <w:szCs w:val="15"/>
      </w:rPr>
    </w:lvl>
    <w:lvl w:ilvl="2">
      <w:start w:val="0"/>
      <w:numFmt w:val="bullet"/>
      <w:lvlText w:val="•"/>
      <w:lvlJc w:val="left"/>
      <w:pPr>
        <w:ind w:left="891" w:hanging="303"/>
      </w:pPr>
      <w:rPr>
        <w:rFonts w:hint="default"/>
      </w:rPr>
    </w:lvl>
    <w:lvl w:ilvl="3">
      <w:start w:val="0"/>
      <w:numFmt w:val="bullet"/>
      <w:lvlText w:val="•"/>
      <w:lvlJc w:val="left"/>
      <w:pPr>
        <w:ind w:left="1057" w:hanging="303"/>
      </w:pPr>
      <w:rPr>
        <w:rFonts w:hint="default"/>
      </w:rPr>
    </w:lvl>
    <w:lvl w:ilvl="4">
      <w:start w:val="0"/>
      <w:numFmt w:val="bullet"/>
      <w:lvlText w:val="•"/>
      <w:lvlJc w:val="left"/>
      <w:pPr>
        <w:ind w:left="1222" w:hanging="303"/>
      </w:pPr>
      <w:rPr>
        <w:rFonts w:hint="default"/>
      </w:rPr>
    </w:lvl>
    <w:lvl w:ilvl="5">
      <w:start w:val="0"/>
      <w:numFmt w:val="bullet"/>
      <w:lvlText w:val="•"/>
      <w:lvlJc w:val="left"/>
      <w:pPr>
        <w:ind w:left="1388" w:hanging="303"/>
      </w:pPr>
      <w:rPr>
        <w:rFonts w:hint="default"/>
      </w:rPr>
    </w:lvl>
    <w:lvl w:ilvl="6">
      <w:start w:val="0"/>
      <w:numFmt w:val="bullet"/>
      <w:lvlText w:val="•"/>
      <w:lvlJc w:val="left"/>
      <w:pPr>
        <w:ind w:left="1554" w:hanging="303"/>
      </w:pPr>
      <w:rPr>
        <w:rFonts w:hint="default"/>
      </w:rPr>
    </w:lvl>
    <w:lvl w:ilvl="7">
      <w:start w:val="0"/>
      <w:numFmt w:val="bullet"/>
      <w:lvlText w:val="•"/>
      <w:lvlJc w:val="left"/>
      <w:pPr>
        <w:ind w:left="1719" w:hanging="303"/>
      </w:pPr>
      <w:rPr>
        <w:rFonts w:hint="default"/>
      </w:rPr>
    </w:lvl>
    <w:lvl w:ilvl="8">
      <w:start w:val="0"/>
      <w:numFmt w:val="bullet"/>
      <w:lvlText w:val="•"/>
      <w:lvlJc w:val="left"/>
      <w:pPr>
        <w:ind w:left="1885" w:hanging="303"/>
      </w:pPr>
      <w:rPr>
        <w:rFonts w:hint="default"/>
      </w:rPr>
    </w:lvl>
  </w:abstractNum>
  <w:abstractNum w:abstractNumId="2">
    <w:multiLevelType w:val="hybridMultilevel"/>
    <w:lvl w:ilvl="0">
      <w:start w:val="2"/>
      <w:numFmt w:val="decimal"/>
      <w:lvlText w:val="%1"/>
      <w:lvlJc w:val="left"/>
      <w:pPr>
        <w:ind w:left="564" w:hanging="303"/>
        <w:jc w:val="left"/>
      </w:pPr>
      <w:rPr>
        <w:rFonts w:hint="default"/>
      </w:rPr>
    </w:lvl>
    <w:lvl w:ilvl="1">
      <w:start w:val="1"/>
      <w:numFmt w:val="decimal"/>
      <w:lvlText w:val="%1.%2"/>
      <w:lvlJc w:val="left"/>
      <w:pPr>
        <w:ind w:left="561" w:hanging="303"/>
        <w:jc w:val="left"/>
      </w:pPr>
      <w:rPr>
        <w:rFonts w:hint="default" w:ascii="宋体" w:hAnsi="宋体" w:eastAsia="宋体" w:cs="宋体"/>
        <w:spacing w:val="-2"/>
        <w:w w:val="100"/>
        <w:sz w:val="15"/>
        <w:szCs w:val="15"/>
      </w:rPr>
    </w:lvl>
    <w:lvl w:ilvl="2">
      <w:start w:val="0"/>
      <w:numFmt w:val="bullet"/>
      <w:lvlText w:val="•"/>
      <w:lvlJc w:val="left"/>
      <w:pPr>
        <w:ind w:left="891" w:hanging="303"/>
      </w:pPr>
      <w:rPr>
        <w:rFonts w:hint="default"/>
      </w:rPr>
    </w:lvl>
    <w:lvl w:ilvl="3">
      <w:start w:val="0"/>
      <w:numFmt w:val="bullet"/>
      <w:lvlText w:val="•"/>
      <w:lvlJc w:val="left"/>
      <w:pPr>
        <w:ind w:left="1057" w:hanging="303"/>
      </w:pPr>
      <w:rPr>
        <w:rFonts w:hint="default"/>
      </w:rPr>
    </w:lvl>
    <w:lvl w:ilvl="4">
      <w:start w:val="0"/>
      <w:numFmt w:val="bullet"/>
      <w:lvlText w:val="•"/>
      <w:lvlJc w:val="left"/>
      <w:pPr>
        <w:ind w:left="1222" w:hanging="303"/>
      </w:pPr>
      <w:rPr>
        <w:rFonts w:hint="default"/>
      </w:rPr>
    </w:lvl>
    <w:lvl w:ilvl="5">
      <w:start w:val="0"/>
      <w:numFmt w:val="bullet"/>
      <w:lvlText w:val="•"/>
      <w:lvlJc w:val="left"/>
      <w:pPr>
        <w:ind w:left="1388" w:hanging="303"/>
      </w:pPr>
      <w:rPr>
        <w:rFonts w:hint="default"/>
      </w:rPr>
    </w:lvl>
    <w:lvl w:ilvl="6">
      <w:start w:val="0"/>
      <w:numFmt w:val="bullet"/>
      <w:lvlText w:val="•"/>
      <w:lvlJc w:val="left"/>
      <w:pPr>
        <w:ind w:left="1554" w:hanging="303"/>
      </w:pPr>
      <w:rPr>
        <w:rFonts w:hint="default"/>
      </w:rPr>
    </w:lvl>
    <w:lvl w:ilvl="7">
      <w:start w:val="0"/>
      <w:numFmt w:val="bullet"/>
      <w:lvlText w:val="•"/>
      <w:lvlJc w:val="left"/>
      <w:pPr>
        <w:ind w:left="1719" w:hanging="303"/>
      </w:pPr>
      <w:rPr>
        <w:rFonts w:hint="default"/>
      </w:rPr>
    </w:lvl>
    <w:lvl w:ilvl="8">
      <w:start w:val="0"/>
      <w:numFmt w:val="bullet"/>
      <w:lvlText w:val="•"/>
      <w:lvlJc w:val="left"/>
      <w:pPr>
        <w:ind w:left="1885" w:hanging="303"/>
      </w:pPr>
      <w:rPr>
        <w:rFonts w:hint="default"/>
      </w:rPr>
    </w:lvl>
  </w:abstractNum>
  <w:abstractNum w:abstractNumId="1">
    <w:multiLevelType w:val="hybridMultilevel"/>
    <w:lvl w:ilvl="0">
      <w:start w:val="1"/>
      <w:numFmt w:val="decimal"/>
      <w:lvlText w:val="%1"/>
      <w:lvlJc w:val="left"/>
      <w:pPr>
        <w:ind w:left="564" w:hanging="303"/>
        <w:jc w:val="left"/>
      </w:pPr>
      <w:rPr>
        <w:rFonts w:hint="default"/>
      </w:rPr>
    </w:lvl>
    <w:lvl w:ilvl="1">
      <w:start w:val="1"/>
      <w:numFmt w:val="decimal"/>
      <w:lvlText w:val="%1.%2"/>
      <w:lvlJc w:val="left"/>
      <w:pPr>
        <w:ind w:left="564" w:hanging="303"/>
        <w:jc w:val="left"/>
      </w:pPr>
      <w:rPr>
        <w:rFonts w:hint="default" w:ascii="宋体" w:hAnsi="宋体" w:eastAsia="宋体" w:cs="宋体"/>
        <w:spacing w:val="-2"/>
        <w:w w:val="100"/>
        <w:sz w:val="15"/>
        <w:szCs w:val="15"/>
      </w:rPr>
    </w:lvl>
    <w:lvl w:ilvl="2">
      <w:start w:val="0"/>
      <w:numFmt w:val="bullet"/>
      <w:lvlText w:val="•"/>
      <w:lvlJc w:val="left"/>
      <w:pPr>
        <w:ind w:left="891" w:hanging="303"/>
      </w:pPr>
      <w:rPr>
        <w:rFonts w:hint="default"/>
      </w:rPr>
    </w:lvl>
    <w:lvl w:ilvl="3">
      <w:start w:val="0"/>
      <w:numFmt w:val="bullet"/>
      <w:lvlText w:val="•"/>
      <w:lvlJc w:val="left"/>
      <w:pPr>
        <w:ind w:left="1057" w:hanging="303"/>
      </w:pPr>
      <w:rPr>
        <w:rFonts w:hint="default"/>
      </w:rPr>
    </w:lvl>
    <w:lvl w:ilvl="4">
      <w:start w:val="0"/>
      <w:numFmt w:val="bullet"/>
      <w:lvlText w:val="•"/>
      <w:lvlJc w:val="left"/>
      <w:pPr>
        <w:ind w:left="1222" w:hanging="303"/>
      </w:pPr>
      <w:rPr>
        <w:rFonts w:hint="default"/>
      </w:rPr>
    </w:lvl>
    <w:lvl w:ilvl="5">
      <w:start w:val="0"/>
      <w:numFmt w:val="bullet"/>
      <w:lvlText w:val="•"/>
      <w:lvlJc w:val="left"/>
      <w:pPr>
        <w:ind w:left="1388" w:hanging="303"/>
      </w:pPr>
      <w:rPr>
        <w:rFonts w:hint="default"/>
      </w:rPr>
    </w:lvl>
    <w:lvl w:ilvl="6">
      <w:start w:val="0"/>
      <w:numFmt w:val="bullet"/>
      <w:lvlText w:val="•"/>
      <w:lvlJc w:val="left"/>
      <w:pPr>
        <w:ind w:left="1554" w:hanging="303"/>
      </w:pPr>
      <w:rPr>
        <w:rFonts w:hint="default"/>
      </w:rPr>
    </w:lvl>
    <w:lvl w:ilvl="7">
      <w:start w:val="0"/>
      <w:numFmt w:val="bullet"/>
      <w:lvlText w:val="•"/>
      <w:lvlJc w:val="left"/>
      <w:pPr>
        <w:ind w:left="1719" w:hanging="303"/>
      </w:pPr>
      <w:rPr>
        <w:rFonts w:hint="default"/>
      </w:rPr>
    </w:lvl>
    <w:lvl w:ilvl="8">
      <w:start w:val="0"/>
      <w:numFmt w:val="bullet"/>
      <w:lvlText w:val="•"/>
      <w:lvlJc w:val="left"/>
      <w:pPr>
        <w:ind w:left="1885" w:hanging="303"/>
      </w:pPr>
      <w:rPr>
        <w:rFonts w:hint="default"/>
      </w:rPr>
    </w:lvl>
  </w:abstractNum>
  <w:abstractNum w:abstractNumId="0">
    <w:multiLevelType w:val="hybridMultilevel"/>
    <w:lvl w:ilvl="0">
      <w:start w:val="0"/>
      <w:numFmt w:val="bullet"/>
      <w:lvlText w:val=""/>
      <w:lvlJc w:val="left"/>
      <w:pPr>
        <w:ind w:left="1213" w:hanging="420"/>
      </w:pPr>
      <w:rPr>
        <w:rFonts w:hint="default" w:ascii="Wingdings" w:hAnsi="Wingdings" w:eastAsia="Wingdings" w:cs="Wingdings"/>
        <w:w w:val="99"/>
        <w:sz w:val="20"/>
        <w:szCs w:val="20"/>
      </w:rPr>
    </w:lvl>
    <w:lvl w:ilvl="1">
      <w:start w:val="0"/>
      <w:numFmt w:val="bullet"/>
      <w:lvlText w:val="•"/>
      <w:lvlJc w:val="left"/>
      <w:pPr>
        <w:ind w:left="2108" w:hanging="420"/>
      </w:pPr>
      <w:rPr>
        <w:rFonts w:hint="default"/>
      </w:rPr>
    </w:lvl>
    <w:lvl w:ilvl="2">
      <w:start w:val="0"/>
      <w:numFmt w:val="bullet"/>
      <w:lvlText w:val="•"/>
      <w:lvlJc w:val="left"/>
      <w:pPr>
        <w:ind w:left="2997" w:hanging="420"/>
      </w:pPr>
      <w:rPr>
        <w:rFonts w:hint="default"/>
      </w:rPr>
    </w:lvl>
    <w:lvl w:ilvl="3">
      <w:start w:val="0"/>
      <w:numFmt w:val="bullet"/>
      <w:lvlText w:val="•"/>
      <w:lvlJc w:val="left"/>
      <w:pPr>
        <w:ind w:left="3885" w:hanging="420"/>
      </w:pPr>
      <w:rPr>
        <w:rFonts w:hint="default"/>
      </w:rPr>
    </w:lvl>
    <w:lvl w:ilvl="4">
      <w:start w:val="0"/>
      <w:numFmt w:val="bullet"/>
      <w:lvlText w:val="•"/>
      <w:lvlJc w:val="left"/>
      <w:pPr>
        <w:ind w:left="4774" w:hanging="420"/>
      </w:pPr>
      <w:rPr>
        <w:rFonts w:hint="default"/>
      </w:rPr>
    </w:lvl>
    <w:lvl w:ilvl="5">
      <w:start w:val="0"/>
      <w:numFmt w:val="bullet"/>
      <w:lvlText w:val="•"/>
      <w:lvlJc w:val="left"/>
      <w:pPr>
        <w:ind w:left="5663" w:hanging="420"/>
      </w:pPr>
      <w:rPr>
        <w:rFonts w:hint="default"/>
      </w:rPr>
    </w:lvl>
    <w:lvl w:ilvl="6">
      <w:start w:val="0"/>
      <w:numFmt w:val="bullet"/>
      <w:lvlText w:val="•"/>
      <w:lvlJc w:val="left"/>
      <w:pPr>
        <w:ind w:left="6551" w:hanging="420"/>
      </w:pPr>
      <w:rPr>
        <w:rFonts w:hint="default"/>
      </w:rPr>
    </w:lvl>
    <w:lvl w:ilvl="7">
      <w:start w:val="0"/>
      <w:numFmt w:val="bullet"/>
      <w:lvlText w:val="•"/>
      <w:lvlJc w:val="left"/>
      <w:pPr>
        <w:ind w:left="7440" w:hanging="420"/>
      </w:pPr>
      <w:rPr>
        <w:rFonts w:hint="default"/>
      </w:rPr>
    </w:lvl>
    <w:lvl w:ilvl="8">
      <w:start w:val="0"/>
      <w:numFmt w:val="bullet"/>
      <w:lvlText w:val="•"/>
      <w:lvlJc w:val="left"/>
      <w:pPr>
        <w:ind w:left="8329" w:hanging="420"/>
      </w:pPr>
      <w:rPr>
        <w:rFonts w:hint="default"/>
      </w:rPr>
    </w:lvl>
  </w:abstract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0"/>
      <w:szCs w:val="20"/>
    </w:rPr>
  </w:style>
  <w:style w:styleId="Heading1" w:type="paragraph">
    <w:name w:val="Heading 1"/>
    <w:basedOn w:val="Normal"/>
    <w:uiPriority w:val="1"/>
    <w:qFormat/>
    <w:pPr>
      <w:ind w:left="132"/>
      <w:outlineLvl w:val="1"/>
    </w:pPr>
    <w:rPr>
      <w:rFonts w:ascii="宋体" w:hAnsi="宋体" w:eastAsia="宋体" w:cs="宋体"/>
      <w:b/>
      <w:bCs/>
      <w:sz w:val="24"/>
      <w:szCs w:val="24"/>
    </w:rPr>
  </w:style>
  <w:style w:styleId="Heading2" w:type="paragraph">
    <w:name w:val="Heading 2"/>
    <w:basedOn w:val="Normal"/>
    <w:uiPriority w:val="1"/>
    <w:qFormat/>
    <w:pPr>
      <w:spacing w:before="37"/>
      <w:ind w:left="292"/>
      <w:outlineLvl w:val="2"/>
    </w:pPr>
    <w:rPr>
      <w:rFonts w:ascii="宋体" w:hAnsi="宋体" w:eastAsia="宋体" w:cs="宋体"/>
      <w:b/>
      <w:bCs/>
      <w:sz w:val="20"/>
      <w:szCs w:val="20"/>
    </w:rPr>
  </w:style>
  <w:style w:styleId="ListParagraph" w:type="paragraph">
    <w:name w:val="List Paragraph"/>
    <w:basedOn w:val="Normal"/>
    <w:uiPriority w:val="1"/>
    <w:qFormat/>
    <w:pPr>
      <w:spacing w:before="36"/>
      <w:ind w:left="1213" w:hanging="420"/>
    </w:pPr>
    <w:rPr>
      <w:rFonts w:ascii="宋体" w:hAnsi="宋体" w:eastAsia="宋体" w:cs="宋体"/>
    </w:rPr>
  </w:style>
  <w:style w:styleId="TableParagraph" w:type="paragraph">
    <w:name w:val="Table Paragraph"/>
    <w:basedOn w:val="Normal"/>
    <w:uiPriority w:val="1"/>
    <w:qFormat/>
    <w:pPr>
      <w:ind w:left="108"/>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celialiu</dc:creator>
  <dc:title>中德安联人寿保险有限公司</dc:title>
  <dcterms:created xsi:type="dcterms:W3CDTF">2018-10-20T02:10:31Z</dcterms:created>
  <dcterms:modified xsi:type="dcterms:W3CDTF">2018-10-20T02:10:31Z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2016-02-24T00:00:00Z</vt:filetime>
  </property>
  <property fmtid="{D5CDD505-2E9C-101B-9397-08002B2CF9AE}" pid="3" name="Creator">
    <vt:lpwstr>Microsoft® Office Word 2007</vt:lpwstr>
  </property>
  <property fmtid="{D5CDD505-2E9C-101B-9397-08002B2CF9AE}" pid="4" name="LastSaved">
    <vt:filetime>2018-10-19T00:00:00Z</vt:filetime>
  </property>
</Properties>
</file>