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0" w:firstLine="0"/>
        <w:jc w:val="right"/>
        <w:rPr>
          <w:sz w:val="16"/>
        </w:rPr>
      </w:pPr>
      <w:r>
        <w:rPr/>
        <w:drawing>
          <wp:anchor distT="0" distB="0" distL="0" distR="0" allowOverlap="1" layoutInCell="1" locked="0" behindDoc="0" simplePos="0" relativeHeight="0">
            <wp:simplePos x="0" y="0"/>
            <wp:positionH relativeFrom="page">
              <wp:posOffset>6323837</wp:posOffset>
            </wp:positionH>
            <wp:positionV relativeFrom="paragraph">
              <wp:posOffset>236394</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6"/>
        </w:rPr>
        <w:t>华夏人寿</w:t>
      </w:r>
      <w:r>
        <w:rPr>
          <w:rFonts w:ascii="Times New Roman" w:eastAsia="Times New Roman"/>
          <w:sz w:val="16"/>
        </w:rPr>
        <w:t>[2014]</w:t>
      </w:r>
      <w:r>
        <w:rPr>
          <w:sz w:val="16"/>
        </w:rPr>
        <w:t>疾病保险 </w:t>
      </w:r>
      <w:r>
        <w:rPr>
          <w:rFonts w:ascii="Times New Roman" w:eastAsia="Times New Roman"/>
          <w:sz w:val="16"/>
        </w:rPr>
        <w:t>003 </w:t>
      </w:r>
      <w:r>
        <w:rPr>
          <w:sz w:val="16"/>
        </w:rPr>
        <w:t>号</w:t>
      </w:r>
    </w:p>
    <w:p>
      <w:pPr>
        <w:pStyle w:val="BodyText"/>
        <w:rPr>
          <w:sz w:val="20"/>
        </w:rPr>
      </w:pPr>
    </w:p>
    <w:p>
      <w:pPr>
        <w:spacing w:after="0"/>
        <w:rPr>
          <w:sz w:val="20"/>
        </w:rPr>
        <w:sectPr>
          <w:type w:val="continuous"/>
          <w:pgSz w:w="11910" w:h="16840"/>
          <w:pgMar w:top="440" w:bottom="280" w:left="680" w:right="180"/>
        </w:sectPr>
      </w:pPr>
    </w:p>
    <w:p>
      <w:pPr>
        <w:pStyle w:val="Heading1"/>
        <w:spacing w:before="133"/>
        <w:ind w:left="2623" w:right="0"/>
        <w:jc w:val="left"/>
      </w:pPr>
      <w:r>
        <w:rPr>
          <w:w w:val="95"/>
        </w:rPr>
        <w:t>华夏人寿保险股份有限公司</w:t>
      </w:r>
    </w:p>
    <w:p>
      <w:pPr>
        <w:spacing w:line="324" w:lineRule="auto" w:before="48"/>
        <w:ind w:left="1961" w:right="2" w:firstLine="0"/>
        <w:jc w:val="center"/>
        <w:rPr>
          <w:b/>
          <w:sz w:val="44"/>
        </w:rPr>
      </w:pPr>
      <w:r>
        <w:rPr>
          <w:b/>
          <w:w w:val="95"/>
          <w:sz w:val="44"/>
        </w:rPr>
        <w:t>附加重大疾病保险（贺岁款）条款阅读指引</w:t>
      </w:r>
    </w:p>
    <w:p>
      <w:pPr>
        <w:pStyle w:val="BodyText"/>
        <w:spacing w:before="79"/>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1"/>
        <w:rPr>
          <w:sz w:val="18"/>
        </w:rPr>
      </w:pPr>
    </w:p>
    <w:p>
      <w:pPr>
        <w:spacing w:before="1"/>
        <w:ind w:left="419" w:right="0" w:firstLine="0"/>
        <w:jc w:val="left"/>
        <w:rPr>
          <w:rFonts w:ascii="微软雅黑" w:eastAsia="微软雅黑" w:hint="eastAsia"/>
          <w:sz w:val="16"/>
        </w:rPr>
      </w:pPr>
      <w:r>
        <w:rPr>
          <w:rFonts w:ascii="微软雅黑" w:eastAsia="微软雅黑" w:hint="eastAsia"/>
          <w:w w:val="95"/>
          <w:sz w:val="16"/>
        </w:rPr>
        <w:t>请扫描以查询验证条款</w:t>
      </w:r>
    </w:p>
    <w:p>
      <w:pPr>
        <w:spacing w:after="0"/>
        <w:jc w:val="left"/>
        <w:rPr>
          <w:rFonts w:ascii="微软雅黑" w:eastAsia="微软雅黑" w:hint="eastAsia"/>
          <w:sz w:val="16"/>
        </w:rPr>
        <w:sectPr>
          <w:type w:val="continuous"/>
          <w:pgSz w:w="11910" w:h="16840"/>
          <w:pgMar w:top="440" w:bottom="280" w:left="680" w:right="180"/>
          <w:cols w:num="2" w:equalWidth="0">
            <w:col w:w="8590" w:space="40"/>
            <w:col w:w="2420"/>
          </w:cols>
        </w:sectPr>
      </w:pPr>
    </w:p>
    <w:p>
      <w:pPr>
        <w:pStyle w:val="BodyText"/>
        <w:spacing w:before="5"/>
        <w:rPr>
          <w:rFonts w:ascii="微软雅黑"/>
          <w:sz w:val="29"/>
        </w:rPr>
      </w:pPr>
    </w:p>
    <w:p>
      <w:pPr>
        <w:pStyle w:val="Heading2"/>
        <w:tabs>
          <w:tab w:pos="1278" w:val="left" w:leader="none"/>
        </w:tabs>
        <w:spacing w:line="682" w:lineRule="exact"/>
        <w:ind w:left="266"/>
        <w:rPr>
          <w:rFonts w:ascii="宋体" w:hAnsi="宋体" w:eastAsia="宋体" w:hint="eastAsia"/>
        </w:rPr>
      </w:pPr>
      <w:r>
        <w:rPr/>
        <w:drawing>
          <wp:anchor distT="0" distB="0" distL="0" distR="0" allowOverlap="1" layoutInCell="1" locked="0" behindDoc="1" simplePos="0" relativeHeight="268407887">
            <wp:simplePos x="0" y="0"/>
            <wp:positionH relativeFrom="page">
              <wp:posOffset>502702</wp:posOffset>
            </wp:positionH>
            <wp:positionV relativeFrom="paragraph">
              <wp:posOffset>-207782</wp:posOffset>
            </wp:positionV>
            <wp:extent cx="6559730" cy="709541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59730" cy="7095417"/>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0" w:val="right" w:leader="dot"/>
        </w:tabs>
        <w:spacing w:line="179" w:lineRule="exact" w:before="37" w:after="0"/>
        <w:ind w:left="1677" w:right="0" w:hanging="439"/>
        <w:jc w:val="left"/>
        <w:rPr>
          <w:sz w:val="21"/>
        </w:rPr>
      </w:pPr>
      <w:r>
        <w:rPr>
          <w:sz w:val="21"/>
        </w:rPr>
        <w:t>您有解除合同的权利</w:t>
        <w:tab/>
        <w:t>7.1</w:t>
      </w:r>
    </w:p>
    <w:p>
      <w:pPr>
        <w:pStyle w:val="Heading2"/>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1"/>
          <w:sz w:val="21"/>
        </w:rPr>
        <w:t>在某些情况下，我们不承担保险责任……………………………………1.4;2.2;3.2;6.1;8.6</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6" w:val="left" w:leader="none"/>
          <w:tab w:pos="1677" w:val="left" w:leader="none"/>
          <w:tab w:pos="9971" w:val="right" w:leader="dot"/>
        </w:tabs>
        <w:spacing w:line="240" w:lineRule="auto" w:before="37" w:after="0"/>
        <w:ind w:left="1676" w:right="0" w:hanging="438"/>
        <w:jc w:val="left"/>
        <w:rPr>
          <w:sz w:val="21"/>
        </w:rPr>
      </w:pPr>
      <w:r>
        <w:rPr>
          <w:sz w:val="21"/>
        </w:rPr>
        <w:t>解除合同会给您造成一定的损失，请您慎重决策</w:t>
        <w:tab/>
        <w:t>7.1</w:t>
      </w:r>
    </w:p>
    <w:p>
      <w:pPr>
        <w:pStyle w:val="ListParagraph"/>
        <w:numPr>
          <w:ilvl w:val="0"/>
          <w:numId w:val="1"/>
        </w:numPr>
        <w:tabs>
          <w:tab w:pos="1677" w:val="left" w:leader="none"/>
          <w:tab w:pos="1678" w:val="left" w:leader="none"/>
          <w:tab w:pos="9761" w:val="right" w:leader="dot"/>
        </w:tabs>
        <w:spacing w:line="179" w:lineRule="exact" w:before="37" w:after="0"/>
        <w:ind w:left="1677" w:right="0" w:hanging="439"/>
        <w:jc w:val="left"/>
        <w:rPr>
          <w:sz w:val="21"/>
        </w:rPr>
      </w:pPr>
      <w:r>
        <w:rPr>
          <w:sz w:val="21"/>
        </w:rPr>
        <w:t>我们对一些重要术语进行了解释，并作了显著标识，请您注意</w:t>
        <w:tab/>
        <w:t>8</w:t>
      </w:r>
    </w:p>
    <w:p>
      <w:pPr>
        <w:pStyle w:val="Heading2"/>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440" w:bottom="280" w:left="680" w:right="180"/>
        </w:sectPr>
      </w:pPr>
    </w:p>
    <w:p>
      <w:pPr>
        <w:pStyle w:val="Heading2"/>
        <w:spacing w:line="299" w:lineRule="exact"/>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2"/>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2"/>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保险金的给付</w:t>
      </w:r>
    </w:p>
    <w:p>
      <w:pPr>
        <w:pStyle w:val="ListParagraph"/>
        <w:numPr>
          <w:ilvl w:val="1"/>
          <w:numId w:val="4"/>
        </w:numPr>
        <w:tabs>
          <w:tab w:pos="1849" w:val="left" w:leader="none"/>
        </w:tabs>
        <w:spacing w:line="260" w:lineRule="exact" w:before="0" w:after="0"/>
        <w:ind w:left="1848" w:right="0" w:hanging="420"/>
        <w:jc w:val="left"/>
        <w:rPr>
          <w:sz w:val="21"/>
        </w:rPr>
      </w:pPr>
      <w:r>
        <w:rPr>
          <w:spacing w:val="-1"/>
          <w:sz w:val="21"/>
        </w:rPr>
        <w:br w:type="column"/>
        <w:t>诉讼时效</w:t>
      </w:r>
    </w:p>
    <w:p>
      <w:pPr>
        <w:pStyle w:val="Heading2"/>
      </w:pP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6" w:after="0"/>
        <w:ind w:left="1848" w:right="0" w:hanging="419"/>
        <w:jc w:val="left"/>
        <w:rPr>
          <w:sz w:val="21"/>
        </w:rPr>
      </w:pPr>
      <w:r>
        <w:rPr>
          <w:sz w:val="21"/>
        </w:rPr>
        <w:t>宽限期</w:t>
      </w:r>
    </w:p>
    <w:p>
      <w:pPr>
        <w:pStyle w:val="Heading2"/>
      </w:pPr>
      <w:r>
        <w:rPr>
          <w:rFonts w:ascii="宋体" w:eastAsia="宋体" w:hint="eastAsia"/>
        </w:rPr>
        <w:t>5.</w:t>
      </w:r>
      <w:r>
        <w:rPr/>
        <w:t>现金价值权益</w:t>
      </w:r>
    </w:p>
    <w:p>
      <w:pPr>
        <w:pStyle w:val="BodyText"/>
        <w:spacing w:line="260" w:lineRule="exact" w:before="14"/>
        <w:ind w:left="1429"/>
      </w:pPr>
      <w:r>
        <w:rPr/>
        <w:t>5.1 本附加合同现金价值</w:t>
      </w:r>
    </w:p>
    <w:p>
      <w:pPr>
        <w:pStyle w:val="Heading2"/>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20"/>
        <w:jc w:val="left"/>
        <w:rPr>
          <w:sz w:val="21"/>
        </w:rPr>
      </w:pPr>
      <w:r>
        <w:rPr>
          <w:sz w:val="21"/>
        </w:rPr>
        <w:t>合同中止</w:t>
      </w:r>
    </w:p>
    <w:p>
      <w:pPr>
        <w:pStyle w:val="ListParagraph"/>
        <w:numPr>
          <w:ilvl w:val="1"/>
          <w:numId w:val="6"/>
        </w:numPr>
        <w:tabs>
          <w:tab w:pos="1849" w:val="left" w:leader="none"/>
        </w:tabs>
        <w:spacing w:line="260" w:lineRule="exact" w:before="37" w:after="0"/>
        <w:ind w:left="1848" w:right="0" w:hanging="419"/>
        <w:jc w:val="left"/>
        <w:rPr>
          <w:sz w:val="21"/>
        </w:rPr>
      </w:pPr>
      <w:r>
        <w:rPr>
          <w:sz w:val="21"/>
        </w:rPr>
        <w:t>合同复效</w:t>
      </w:r>
    </w:p>
    <w:p>
      <w:pPr>
        <w:pStyle w:val="Heading2"/>
      </w:pPr>
      <w:r>
        <w:rPr>
          <w:rFonts w:ascii="宋体" w:eastAsia="宋体" w:hint="eastAsia"/>
        </w:rPr>
        <w:t>7.</w:t>
      </w:r>
      <w:r>
        <w:rPr/>
        <w:t>合同解除和变更</w:t>
      </w:r>
    </w:p>
    <w:p>
      <w:pPr>
        <w:pStyle w:val="ListParagraph"/>
        <w:numPr>
          <w:ilvl w:val="1"/>
          <w:numId w:val="7"/>
        </w:numPr>
        <w:tabs>
          <w:tab w:pos="1849" w:val="left" w:leader="none"/>
        </w:tabs>
        <w:spacing w:line="240" w:lineRule="auto" w:before="13" w:after="0"/>
        <w:ind w:left="1848" w:right="0" w:hanging="420"/>
        <w:jc w:val="left"/>
        <w:rPr>
          <w:sz w:val="21"/>
        </w:rPr>
      </w:pPr>
      <w:r>
        <w:rPr>
          <w:sz w:val="21"/>
        </w:rPr>
        <w:t>您解除合同的手续及风险</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59" w:lineRule="exact" w:before="37" w:after="0"/>
        <w:ind w:left="1848" w:right="0" w:hanging="420"/>
        <w:jc w:val="left"/>
        <w:rPr>
          <w:sz w:val="21"/>
        </w:rPr>
      </w:pPr>
      <w:r>
        <w:rPr>
          <w:sz w:val="21"/>
        </w:rPr>
        <w:t>联系方式变更</w:t>
      </w:r>
    </w:p>
    <w:p>
      <w:pPr>
        <w:pStyle w:val="Heading2"/>
        <w:spacing w:line="350" w:lineRule="exact"/>
      </w:pPr>
      <w:r>
        <w:rPr>
          <w:rFonts w:ascii="宋体" w:eastAsia="宋体" w:hint="eastAsia"/>
        </w:rPr>
        <w:t>8.</w:t>
      </w:r>
      <w:r>
        <w:rPr/>
        <w:t>释义</w:t>
      </w:r>
    </w:p>
    <w:p>
      <w:pPr>
        <w:spacing w:after="0" w:line="350" w:lineRule="exact"/>
        <w:sectPr>
          <w:type w:val="continuous"/>
          <w:pgSz w:w="11910" w:h="16840"/>
          <w:pgMar w:top="440" w:bottom="280" w:left="680" w:right="180"/>
          <w:cols w:num="2" w:equalWidth="0">
            <w:col w:w="3327" w:space="1083"/>
            <w:col w:w="6640"/>
          </w:cols>
        </w:sectPr>
      </w:pPr>
    </w:p>
    <w:p>
      <w:pPr>
        <w:pStyle w:val="Heading1"/>
        <w:spacing w:line="525" w:lineRule="exact" w:before="0"/>
      </w:pPr>
      <w:r>
        <w:rPr>
          <w:w w:val="95"/>
        </w:rPr>
        <w:t>华夏人寿保险股份有限公司</w:t>
      </w:r>
    </w:p>
    <w:p>
      <w:pPr>
        <w:spacing w:before="48"/>
        <w:ind w:left="2028" w:right="2027" w:firstLine="0"/>
        <w:jc w:val="center"/>
        <w:rPr>
          <w:b/>
          <w:sz w:val="44"/>
        </w:rPr>
      </w:pPr>
      <w:r>
        <w:rPr>
          <w:b/>
          <w:w w:val="95"/>
          <w:sz w:val="44"/>
        </w:rPr>
        <w:t>附加重大疾病保险（贺岁款）条款</w:t>
      </w:r>
    </w:p>
    <w:p>
      <w:pPr>
        <w:pStyle w:val="BodyText"/>
        <w:rPr>
          <w:b/>
          <w:sz w:val="20"/>
        </w:rPr>
      </w:pPr>
    </w:p>
    <w:p>
      <w:pPr>
        <w:pStyle w:val="BodyText"/>
        <w:rPr>
          <w:b/>
          <w:sz w:val="20"/>
        </w:rPr>
      </w:pPr>
    </w:p>
    <w:p>
      <w:pPr>
        <w:pStyle w:val="BodyText"/>
        <w:spacing w:before="7"/>
        <w:rPr>
          <w:b/>
          <w:sz w:val="1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9513"/>
      </w:tblGrid>
      <w:tr>
        <w:trPr>
          <w:trHeight w:val="743" w:hRule="atLeast"/>
        </w:trPr>
        <w:tc>
          <w:tcPr>
            <w:tcW w:w="10164" w:type="dxa"/>
            <w:gridSpan w:val="2"/>
          </w:tcPr>
          <w:p>
            <w:pPr>
              <w:pStyle w:val="TableParagraph"/>
              <w:spacing w:line="210" w:lineRule="exact"/>
              <w:ind w:left="157"/>
              <w:rPr>
                <w:sz w:val="21"/>
              </w:rPr>
            </w:pPr>
            <w:r>
              <w:rPr>
                <w:spacing w:val="-3"/>
                <w:sz w:val="21"/>
              </w:rPr>
              <w:t>在本条款中，“您”指投保人，“我们”和“本公司”指华夏人寿保险股份有限公司，“本附加合同”指您</w:t>
            </w:r>
          </w:p>
          <w:p>
            <w:pPr>
              <w:pStyle w:val="TableParagraph"/>
              <w:spacing w:before="37"/>
              <w:ind w:left="157"/>
              <w:rPr>
                <w:sz w:val="21"/>
              </w:rPr>
            </w:pPr>
            <w:r>
              <w:rPr>
                <w:sz w:val="21"/>
              </w:rPr>
              <w:t>与我们之间订立的“华夏附加重大疾病保险（贺岁款）合同”。</w:t>
            </w:r>
          </w:p>
        </w:tc>
      </w:tr>
      <w:tr>
        <w:trPr>
          <w:trHeight w:val="744" w:hRule="atLeast"/>
        </w:trPr>
        <w:tc>
          <w:tcPr>
            <w:tcW w:w="651" w:type="dxa"/>
            <w:tcBorders>
              <w:bottom w:val="single" w:sz="8" w:space="0" w:color="000000"/>
            </w:tcBorders>
          </w:tcPr>
          <w:p>
            <w:pPr>
              <w:pStyle w:val="TableParagraph"/>
              <w:spacing w:before="4"/>
              <w:ind w:left="107"/>
              <w:rPr>
                <w:rFonts w:ascii="Yu Gothic"/>
                <w:b/>
                <w:sz w:val="40"/>
              </w:rPr>
            </w:pPr>
            <w:r>
              <w:rPr>
                <w:rFonts w:ascii="Yu Gothic"/>
                <w:b/>
                <w:w w:val="155"/>
                <w:sz w:val="40"/>
              </w:rPr>
              <w:t>0</w:t>
            </w:r>
          </w:p>
        </w:tc>
        <w:tc>
          <w:tcPr>
            <w:tcW w:w="9513" w:type="dxa"/>
            <w:tcBorders>
              <w:bottom w:val="single" w:sz="8" w:space="0" w:color="000000"/>
            </w:tcBorders>
          </w:tcPr>
          <w:p>
            <w:pPr>
              <w:pStyle w:val="TableParagraph"/>
              <w:spacing w:before="2"/>
              <w:rPr>
                <w:b/>
                <w:sz w:val="18"/>
              </w:rPr>
            </w:pPr>
          </w:p>
          <w:p>
            <w:pPr>
              <w:pStyle w:val="TableParagraph"/>
              <w:ind w:left="225"/>
              <w:rPr>
                <w:b/>
                <w:sz w:val="24"/>
              </w:rPr>
            </w:pPr>
            <w:r>
              <w:rPr>
                <w:b/>
                <w:sz w:val="24"/>
              </w:rPr>
              <w:t>您与我们订立的合同</w:t>
            </w:r>
          </w:p>
        </w:tc>
      </w:tr>
      <w:tr>
        <w:trPr>
          <w:trHeight w:val="1879" w:hRule="atLeast"/>
        </w:trPr>
        <w:tc>
          <w:tcPr>
            <w:tcW w:w="651" w:type="dxa"/>
            <w:tcBorders>
              <w:top w:val="single" w:sz="8" w:space="0" w:color="000000"/>
            </w:tcBorders>
          </w:tcPr>
          <w:p>
            <w:pPr>
              <w:pStyle w:val="TableParagraph"/>
              <w:spacing w:before="9"/>
              <w:rPr>
                <w:b/>
                <w:sz w:val="14"/>
              </w:rPr>
            </w:pPr>
          </w:p>
          <w:p>
            <w:pPr>
              <w:pStyle w:val="TableParagraph"/>
              <w:ind w:left="107"/>
              <w:rPr>
                <w:b/>
                <w:sz w:val="21"/>
              </w:rPr>
            </w:pPr>
            <w:r>
              <w:rPr>
                <w:b/>
                <w:sz w:val="21"/>
              </w:rPr>
              <w:t>1.1</w:t>
            </w:r>
          </w:p>
        </w:tc>
        <w:tc>
          <w:tcPr>
            <w:tcW w:w="9513" w:type="dxa"/>
            <w:tcBorders>
              <w:top w:val="single" w:sz="8" w:space="0" w:color="000000"/>
            </w:tcBorders>
          </w:tcPr>
          <w:p>
            <w:pPr>
              <w:pStyle w:val="TableParagraph"/>
              <w:spacing w:before="9"/>
              <w:rPr>
                <w:b/>
                <w:sz w:val="14"/>
              </w:rPr>
            </w:pPr>
          </w:p>
          <w:p>
            <w:pPr>
              <w:pStyle w:val="TableParagraph"/>
              <w:tabs>
                <w:tab w:pos="2254" w:val="left" w:leader="none"/>
              </w:tabs>
              <w:spacing w:line="273" w:lineRule="auto"/>
              <w:ind w:left="2674" w:right="116" w:hanging="2450"/>
              <w:jc w:val="both"/>
              <w:rPr>
                <w:sz w:val="21"/>
              </w:rPr>
            </w:pPr>
            <w:r>
              <w:rPr>
                <w:b/>
                <w:sz w:val="21"/>
              </w:rPr>
              <w:t>合同构成</w:t>
              <w:tab/>
            </w:r>
            <w:r>
              <w:rPr>
                <w:sz w:val="21"/>
              </w:rPr>
              <w:t>一、本附加合同是您与我们约定保险权利义务关系的协议，包括本保险条款、保险单或其他保险凭证、投保单、与保险合同有关的投保文件、合法有效的声明、健康告知书、变更申请书、批注、批单及其他您与我们共同认可的书面协议。</w:t>
            </w:r>
          </w:p>
          <w:p>
            <w:pPr>
              <w:pStyle w:val="TableParagraph"/>
              <w:spacing w:before="7"/>
              <w:ind w:left="2254"/>
              <w:rPr>
                <w:b/>
                <w:sz w:val="21"/>
              </w:rPr>
            </w:pPr>
            <w:r>
              <w:rPr>
                <w:w w:val="95"/>
                <w:sz w:val="21"/>
              </w:rPr>
              <w:t>二、</w:t>
            </w:r>
            <w:r>
              <w:rPr>
                <w:b/>
                <w:w w:val="95"/>
                <w:sz w:val="21"/>
              </w:rPr>
              <w:t>主合同的条款也适用于本附加合同，本附加合同对相关事项没有约定的，</w:t>
            </w:r>
          </w:p>
        </w:tc>
      </w:tr>
      <w:tr>
        <w:trPr>
          <w:trHeight w:val="1162" w:hRule="atLeast"/>
        </w:trPr>
        <w:tc>
          <w:tcPr>
            <w:tcW w:w="651" w:type="dxa"/>
          </w:tcPr>
          <w:p>
            <w:pPr>
              <w:pStyle w:val="TableParagraph"/>
              <w:rPr>
                <w:b/>
                <w:sz w:val="20"/>
              </w:rPr>
            </w:pPr>
          </w:p>
          <w:p>
            <w:pPr>
              <w:pStyle w:val="TableParagraph"/>
              <w:spacing w:before="149"/>
              <w:ind w:left="107"/>
              <w:rPr>
                <w:b/>
                <w:sz w:val="21"/>
              </w:rPr>
            </w:pPr>
            <w:r>
              <w:rPr>
                <w:b/>
                <w:sz w:val="21"/>
              </w:rPr>
              <w:t>1.2</w:t>
            </w:r>
          </w:p>
        </w:tc>
        <w:tc>
          <w:tcPr>
            <w:tcW w:w="9513" w:type="dxa"/>
          </w:tcPr>
          <w:p>
            <w:pPr>
              <w:pStyle w:val="TableParagraph"/>
              <w:spacing w:line="148" w:lineRule="exact"/>
              <w:ind w:right="1845"/>
              <w:jc w:val="center"/>
              <w:rPr>
                <w:b/>
                <w:sz w:val="21"/>
              </w:rPr>
            </w:pPr>
            <w:r>
              <w:rPr>
                <w:b/>
                <w:w w:val="95"/>
                <w:sz w:val="21"/>
              </w:rPr>
              <w:t>以主合同相关条款为准。</w:t>
            </w:r>
          </w:p>
          <w:p>
            <w:pPr>
              <w:pStyle w:val="TableParagraph"/>
              <w:spacing w:before="2"/>
              <w:rPr>
                <w:b/>
                <w:sz w:val="20"/>
              </w:rPr>
            </w:pPr>
          </w:p>
          <w:p>
            <w:pPr>
              <w:pStyle w:val="TableParagraph"/>
              <w:tabs>
                <w:tab w:pos="2029" w:val="left" w:leader="none"/>
              </w:tabs>
              <w:ind w:right="1781"/>
              <w:jc w:val="center"/>
              <w:rPr>
                <w:sz w:val="21"/>
              </w:rPr>
            </w:pPr>
            <w:r>
              <w:rPr>
                <w:b/>
                <w:sz w:val="21"/>
              </w:rPr>
              <w:t>合同成立与生效</w:t>
              <w:tab/>
            </w:r>
            <w:r>
              <w:rPr>
                <w:sz w:val="21"/>
              </w:rPr>
              <w:t>一、您提出保险申请、我们同意承保，本附加合同成立。</w:t>
            </w:r>
          </w:p>
          <w:p>
            <w:pPr>
              <w:pStyle w:val="TableParagraph"/>
              <w:spacing w:before="37"/>
              <w:ind w:left="2254"/>
              <w:rPr>
                <w:b/>
                <w:sz w:val="21"/>
              </w:rPr>
            </w:pPr>
            <w:r>
              <w:rPr>
                <w:w w:val="95"/>
                <w:sz w:val="21"/>
              </w:rPr>
              <w:t>二、本附加合同生效日在保险单上载明。</w:t>
            </w:r>
            <w:r>
              <w:rPr>
                <w:b/>
                <w:w w:val="95"/>
                <w:sz w:val="21"/>
              </w:rPr>
              <w:t>保单年度、保单周年日、保险费约定</w:t>
            </w:r>
          </w:p>
        </w:tc>
      </w:tr>
      <w:tr>
        <w:trPr>
          <w:trHeight w:val="1006" w:hRule="atLeast"/>
        </w:trPr>
        <w:tc>
          <w:tcPr>
            <w:tcW w:w="651" w:type="dxa"/>
          </w:tcPr>
          <w:p>
            <w:pPr>
              <w:pStyle w:val="TableParagraph"/>
              <w:rPr>
                <w:b/>
                <w:sz w:val="20"/>
              </w:rPr>
            </w:pPr>
          </w:p>
          <w:p>
            <w:pPr>
              <w:pStyle w:val="TableParagraph"/>
              <w:spacing w:before="150"/>
              <w:ind w:left="107"/>
              <w:rPr>
                <w:b/>
                <w:sz w:val="21"/>
              </w:rPr>
            </w:pPr>
            <w:r>
              <w:rPr>
                <w:b/>
                <w:sz w:val="21"/>
              </w:rPr>
              <w:t>1.3</w:t>
            </w:r>
          </w:p>
        </w:tc>
        <w:tc>
          <w:tcPr>
            <w:tcW w:w="9513" w:type="dxa"/>
          </w:tcPr>
          <w:p>
            <w:pPr>
              <w:pStyle w:val="TableParagraph"/>
              <w:spacing w:line="148" w:lineRule="exact"/>
              <w:ind w:left="2674"/>
              <w:rPr>
                <w:sz w:val="21"/>
              </w:rPr>
            </w:pPr>
            <w:r>
              <w:rPr>
                <w:b/>
                <w:w w:val="95"/>
                <w:sz w:val="21"/>
              </w:rPr>
              <w:t>支付日</w:t>
            </w:r>
            <w:r>
              <w:rPr>
                <w:w w:val="95"/>
                <w:sz w:val="21"/>
              </w:rPr>
              <w:t>均以该日期计算。</w:t>
            </w:r>
          </w:p>
          <w:p>
            <w:pPr>
              <w:pStyle w:val="TableParagraph"/>
              <w:spacing w:before="6"/>
              <w:rPr>
                <w:b/>
                <w:sz w:val="17"/>
              </w:rPr>
            </w:pPr>
          </w:p>
          <w:p>
            <w:pPr>
              <w:pStyle w:val="TableParagraph"/>
              <w:tabs>
                <w:tab w:pos="2275" w:val="left" w:leader="none"/>
              </w:tabs>
              <w:spacing w:line="310" w:lineRule="atLeast"/>
              <w:ind w:left="2275" w:right="98" w:hanging="2051"/>
              <w:rPr>
                <w:sz w:val="21"/>
              </w:rPr>
            </w:pPr>
            <w:r>
              <w:rPr>
                <w:b/>
                <w:sz w:val="21"/>
              </w:rPr>
              <w:t>投保年龄</w:t>
              <w:tab/>
            </w:r>
            <w:r>
              <w:rPr>
                <w:w w:val="95"/>
                <w:sz w:val="21"/>
              </w:rPr>
              <w:t>指投保时被保险人的年龄</w:t>
            </w:r>
            <w:r>
              <w:rPr>
                <w:spacing w:val="-3"/>
                <w:w w:val="95"/>
                <w:sz w:val="21"/>
              </w:rPr>
              <w:t>，</w:t>
            </w:r>
            <w:r>
              <w:rPr>
                <w:w w:val="95"/>
                <w:sz w:val="21"/>
              </w:rPr>
              <w:t>投保年龄以</w:t>
            </w:r>
            <w:r>
              <w:rPr>
                <w:b/>
                <w:w w:val="95"/>
                <w:sz w:val="21"/>
              </w:rPr>
              <w:t>周岁</w:t>
            </w:r>
            <w:r>
              <w:rPr>
                <w:w w:val="95"/>
                <w:sz w:val="21"/>
              </w:rPr>
              <w:t>计算</w:t>
            </w:r>
            <w:r>
              <w:rPr>
                <w:spacing w:val="-3"/>
                <w:w w:val="95"/>
                <w:sz w:val="21"/>
              </w:rPr>
              <w:t>，</w:t>
            </w:r>
            <w:r>
              <w:rPr>
                <w:w w:val="95"/>
                <w:sz w:val="21"/>
              </w:rPr>
              <w:t>本附加合同接受的投保年龄    </w:t>
            </w:r>
            <w:r>
              <w:rPr>
                <w:sz w:val="21"/>
              </w:rPr>
              <w:t>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50</w:t>
            </w:r>
            <w:r>
              <w:rPr>
                <w:spacing w:val="-55"/>
                <w:sz w:val="21"/>
              </w:rPr>
              <w:t> </w:t>
            </w:r>
            <w:r>
              <w:rPr>
                <w:sz w:val="21"/>
              </w:rPr>
              <w:t>周岁（含</w:t>
            </w:r>
            <w:r>
              <w:rPr>
                <w:spacing w:val="-56"/>
                <w:sz w:val="21"/>
              </w:rPr>
              <w:t> </w:t>
            </w:r>
            <w:r>
              <w:rPr>
                <w:sz w:val="21"/>
              </w:rPr>
              <w:t>50</w:t>
            </w:r>
            <w:r>
              <w:rPr>
                <w:spacing w:val="-55"/>
                <w:sz w:val="21"/>
              </w:rPr>
              <w:t> </w:t>
            </w:r>
            <w:r>
              <w:rPr>
                <w:sz w:val="21"/>
              </w:rPr>
              <w:t>周岁</w:t>
            </w:r>
            <w:r>
              <w:rPr>
                <w:spacing w:val="-105"/>
                <w:sz w:val="21"/>
              </w:rPr>
              <w:t>）</w:t>
            </w:r>
            <w:r>
              <w:rPr>
                <w:sz w:val="21"/>
              </w:rPr>
              <w:t>。</w:t>
            </w:r>
          </w:p>
        </w:tc>
      </w:tr>
      <w:tr>
        <w:trPr>
          <w:trHeight w:val="2446" w:hRule="atLeast"/>
        </w:trPr>
        <w:tc>
          <w:tcPr>
            <w:tcW w:w="651" w:type="dxa"/>
          </w:tcPr>
          <w:p>
            <w:pPr>
              <w:pStyle w:val="TableParagraph"/>
              <w:spacing w:before="6"/>
              <w:rPr>
                <w:b/>
                <w:sz w:val="19"/>
              </w:rPr>
            </w:pPr>
          </w:p>
          <w:p>
            <w:pPr>
              <w:pStyle w:val="TableParagraph"/>
              <w:spacing w:before="1"/>
              <w:ind w:left="107"/>
              <w:rPr>
                <w:b/>
                <w:sz w:val="21"/>
              </w:rPr>
            </w:pPr>
            <w:r>
              <w:rPr>
                <w:b/>
                <w:sz w:val="21"/>
              </w:rPr>
              <w:t>1.4</w:t>
            </w:r>
          </w:p>
        </w:tc>
        <w:tc>
          <w:tcPr>
            <w:tcW w:w="9513" w:type="dxa"/>
          </w:tcPr>
          <w:p>
            <w:pPr>
              <w:pStyle w:val="TableParagraph"/>
              <w:spacing w:before="6"/>
              <w:rPr>
                <w:b/>
                <w:sz w:val="19"/>
              </w:rPr>
            </w:pPr>
          </w:p>
          <w:p>
            <w:pPr>
              <w:pStyle w:val="TableParagraph"/>
              <w:tabs>
                <w:tab w:pos="2254" w:val="left" w:leader="none"/>
              </w:tabs>
              <w:spacing w:line="273" w:lineRule="auto" w:before="1"/>
              <w:ind w:left="2674" w:right="99" w:hanging="2450"/>
              <w:jc w:val="both"/>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日）为犹豫期，在此期间请您仔细审阅本附加合同的各项内容，特别是责任免除条款、合同解除条款以及如实告知等内容。若您认为本附加合同与您的需求不相符， 您可以在此期间提出解除本附加合同</w:t>
            </w:r>
            <w:r>
              <w:rPr>
                <w:spacing w:val="-87"/>
                <w:sz w:val="21"/>
              </w:rPr>
              <w:t>，</w:t>
            </w:r>
            <w:r>
              <w:rPr>
                <w:sz w:val="21"/>
              </w:rPr>
              <w:t>我们将在扣除不超过</w:t>
            </w:r>
            <w:r>
              <w:rPr>
                <w:spacing w:val="-60"/>
                <w:sz w:val="21"/>
              </w:rPr>
              <w:t> </w:t>
            </w:r>
            <w:r>
              <w:rPr>
                <w:sz w:val="21"/>
              </w:rPr>
              <w:t>10</w:t>
            </w:r>
            <w:r>
              <w:rPr>
                <w:spacing w:val="-59"/>
                <w:sz w:val="21"/>
              </w:rPr>
              <w:t> </w:t>
            </w:r>
            <w:r>
              <w:rPr>
                <w:sz w:val="21"/>
              </w:rPr>
              <w:t>元的工本费</w:t>
            </w:r>
            <w:r>
              <w:rPr>
                <w:spacing w:val="-1"/>
                <w:sz w:val="21"/>
              </w:rPr>
              <w:t>后无息退还您所交纳的保险费。</w:t>
            </w:r>
          </w:p>
          <w:p>
            <w:pPr>
              <w:pStyle w:val="TableParagraph"/>
              <w:spacing w:line="261" w:lineRule="auto" w:before="7"/>
              <w:ind w:left="2674" w:right="100" w:hanging="420"/>
              <w:rPr>
                <w:rFonts w:ascii="黑体" w:eastAsia="黑体" w:hint="eastAsia"/>
                <w:b/>
                <w:i/>
                <w:sz w:val="22"/>
              </w:rPr>
            </w:pPr>
            <w:r>
              <w:rPr>
                <w:sz w:val="21"/>
              </w:rPr>
              <w:t>二、您在犹豫期内提出解除合同时需填写解除合同申请书，并提供保险合同及</w:t>
            </w:r>
            <w:r>
              <w:rPr>
                <w:w w:val="95"/>
                <w:sz w:val="21"/>
              </w:rPr>
              <w:t>您的</w:t>
            </w:r>
            <w:r>
              <w:rPr>
                <w:b/>
                <w:w w:val="95"/>
                <w:sz w:val="21"/>
              </w:rPr>
              <w:t>有效身份证件</w:t>
            </w:r>
            <w:r>
              <w:rPr>
                <w:w w:val="95"/>
                <w:sz w:val="21"/>
              </w:rPr>
              <w:t>。</w:t>
            </w:r>
            <w:r>
              <w:rPr>
                <w:rFonts w:ascii="黑体" w:eastAsia="黑体" w:hint="eastAsia"/>
                <w:b/>
                <w:i/>
                <w:w w:val="95"/>
                <w:sz w:val="22"/>
              </w:rPr>
              <w:t>自我们收到解除合同申请书时起，本附加合同即被解</w:t>
            </w:r>
          </w:p>
        </w:tc>
      </w:tr>
      <w:tr>
        <w:trPr>
          <w:trHeight w:val="1190" w:hRule="atLeast"/>
        </w:trPr>
        <w:tc>
          <w:tcPr>
            <w:tcW w:w="651" w:type="dxa"/>
            <w:tcBorders>
              <w:bottom w:val="single" w:sz="8" w:space="0" w:color="000000"/>
            </w:tcBorders>
          </w:tcPr>
          <w:p>
            <w:pPr>
              <w:pStyle w:val="TableParagraph"/>
              <w:spacing w:before="5"/>
              <w:rPr>
                <w:b/>
                <w:sz w:val="34"/>
              </w:rPr>
            </w:pPr>
          </w:p>
          <w:p>
            <w:pPr>
              <w:pStyle w:val="TableParagraph"/>
              <w:ind w:left="107"/>
              <w:rPr>
                <w:rFonts w:ascii="Yu Gothic"/>
                <w:b/>
                <w:sz w:val="40"/>
              </w:rPr>
            </w:pPr>
            <w:r>
              <w:rPr>
                <w:rFonts w:ascii="Yu Gothic"/>
                <w:b/>
                <w:w w:val="155"/>
                <w:sz w:val="40"/>
              </w:rPr>
              <w:t>4</w:t>
            </w:r>
          </w:p>
        </w:tc>
        <w:tc>
          <w:tcPr>
            <w:tcW w:w="9513" w:type="dxa"/>
            <w:tcBorders>
              <w:bottom w:val="single" w:sz="8" w:space="0" w:color="000000"/>
            </w:tcBorders>
          </w:tcPr>
          <w:p>
            <w:pPr>
              <w:pStyle w:val="TableParagraph"/>
              <w:spacing w:line="270" w:lineRule="exact"/>
              <w:ind w:left="2674"/>
              <w:rPr>
                <w:rFonts w:ascii="黑体" w:eastAsia="黑体" w:hint="eastAsia"/>
                <w:b/>
                <w:i/>
                <w:sz w:val="22"/>
              </w:rPr>
            </w:pPr>
            <w:r>
              <w:rPr>
                <w:rFonts w:ascii="黑体" w:eastAsia="黑体" w:hint="eastAsia"/>
                <w:b/>
                <w:i/>
                <w:w w:val="95"/>
                <w:sz w:val="22"/>
              </w:rPr>
              <w:t>除</w:t>
            </w:r>
            <w:r>
              <w:rPr>
                <w:w w:val="95"/>
                <w:sz w:val="21"/>
              </w:rPr>
              <w:t>，</w:t>
            </w:r>
            <w:r>
              <w:rPr>
                <w:rFonts w:ascii="黑体" w:eastAsia="黑体" w:hint="eastAsia"/>
                <w:b/>
                <w:i/>
                <w:w w:val="95"/>
                <w:sz w:val="22"/>
              </w:rPr>
              <w:t>对于合同解除前发Th的保险事故，我们不承担保险责任。</w:t>
            </w:r>
          </w:p>
          <w:p>
            <w:pPr>
              <w:pStyle w:val="TableParagraph"/>
              <w:spacing w:before="7"/>
              <w:rPr>
                <w:b/>
                <w:sz w:val="31"/>
              </w:rPr>
            </w:pPr>
          </w:p>
          <w:p>
            <w:pPr>
              <w:pStyle w:val="TableParagraph"/>
              <w:spacing w:before="1"/>
              <w:ind w:left="225"/>
              <w:rPr>
                <w:b/>
                <w:sz w:val="24"/>
              </w:rPr>
            </w:pPr>
            <w:r>
              <w:rPr>
                <w:b/>
                <w:sz w:val="24"/>
              </w:rPr>
              <w:t>我们提供的保障</w:t>
            </w:r>
          </w:p>
        </w:tc>
      </w:tr>
      <w:tr>
        <w:trPr>
          <w:trHeight w:val="650" w:hRule="atLeast"/>
        </w:trPr>
        <w:tc>
          <w:tcPr>
            <w:tcW w:w="651" w:type="dxa"/>
            <w:tcBorders>
              <w:top w:val="single" w:sz="8" w:space="0" w:color="000000"/>
            </w:tcBorders>
          </w:tcPr>
          <w:p>
            <w:pPr>
              <w:pStyle w:val="TableParagraph"/>
              <w:spacing w:before="2"/>
              <w:rPr>
                <w:b/>
                <w:sz w:val="16"/>
              </w:rPr>
            </w:pPr>
          </w:p>
          <w:p>
            <w:pPr>
              <w:pStyle w:val="TableParagraph"/>
              <w:ind w:left="107"/>
              <w:rPr>
                <w:b/>
                <w:sz w:val="21"/>
              </w:rPr>
            </w:pPr>
            <w:r>
              <w:rPr>
                <w:b/>
                <w:sz w:val="21"/>
              </w:rPr>
              <w:t>2.1</w:t>
            </w:r>
          </w:p>
        </w:tc>
        <w:tc>
          <w:tcPr>
            <w:tcW w:w="9513" w:type="dxa"/>
            <w:tcBorders>
              <w:top w:val="single" w:sz="8" w:space="0" w:color="000000"/>
            </w:tcBorders>
          </w:tcPr>
          <w:p>
            <w:pPr>
              <w:pStyle w:val="TableParagraph"/>
              <w:spacing w:before="2"/>
              <w:rPr>
                <w:b/>
                <w:sz w:val="16"/>
              </w:rPr>
            </w:pPr>
          </w:p>
          <w:p>
            <w:pPr>
              <w:pStyle w:val="TableParagraph"/>
              <w:tabs>
                <w:tab w:pos="2254" w:val="left" w:leader="none"/>
              </w:tabs>
              <w:ind w:left="224"/>
              <w:rPr>
                <w:sz w:val="21"/>
              </w:rPr>
            </w:pPr>
            <w:r>
              <w:rPr>
                <w:b/>
                <w:sz w:val="21"/>
              </w:rPr>
              <w:t>保险责任</w:t>
              <w:tab/>
            </w:r>
            <w:r>
              <w:rPr>
                <w:sz w:val="21"/>
              </w:rPr>
              <w:t>在本附加合同有效期间内，我们按照以下约定承担保险责任：</w:t>
            </w:r>
          </w:p>
        </w:tc>
      </w:tr>
      <w:tr>
        <w:trPr>
          <w:trHeight w:val="1626" w:hRule="atLeast"/>
        </w:trPr>
        <w:tc>
          <w:tcPr>
            <w:tcW w:w="651" w:type="dxa"/>
          </w:tcPr>
          <w:p>
            <w:pPr>
              <w:pStyle w:val="TableParagraph"/>
              <w:rPr>
                <w:rFonts w:ascii="Times New Roman"/>
                <w:sz w:val="20"/>
              </w:rPr>
            </w:pPr>
          </w:p>
        </w:tc>
        <w:tc>
          <w:tcPr>
            <w:tcW w:w="9513" w:type="dxa"/>
          </w:tcPr>
          <w:p>
            <w:pPr>
              <w:pStyle w:val="TableParagraph"/>
              <w:tabs>
                <w:tab w:pos="2254" w:val="left" w:leader="none"/>
              </w:tabs>
              <w:spacing w:line="223" w:lineRule="auto" w:before="45"/>
              <w:ind w:left="2674" w:right="98" w:hanging="2450"/>
              <w:rPr>
                <w:sz w:val="21"/>
              </w:rPr>
            </w:pPr>
            <w:r>
              <w:rPr>
                <w:rFonts w:ascii="Microsoft JhengHei" w:eastAsia="Microsoft JhengHei" w:hint="eastAsia"/>
                <w:b/>
                <w:position w:val="-2"/>
                <w:sz w:val="24"/>
              </w:rPr>
              <w:t>重大疾病保险金</w:t>
              <w:tab/>
            </w:r>
            <w:r>
              <w:rPr>
                <w:sz w:val="21"/>
              </w:rPr>
              <w:t>一、若被保险人于本附加合同生效或最后一次复效之日起</w:t>
            </w:r>
            <w:r>
              <w:rPr>
                <w:spacing w:val="-30"/>
                <w:sz w:val="21"/>
              </w:rPr>
              <w:t> </w:t>
            </w:r>
            <w:r>
              <w:rPr>
                <w:sz w:val="21"/>
              </w:rPr>
              <w:t>365</w:t>
            </w:r>
            <w:r>
              <w:rPr>
                <w:spacing w:val="-30"/>
                <w:sz w:val="21"/>
              </w:rPr>
              <w:t> </w:t>
            </w:r>
            <w:r>
              <w:rPr>
                <w:sz w:val="21"/>
              </w:rPr>
              <w:t>日内（含第</w:t>
            </w:r>
            <w:r>
              <w:rPr>
                <w:spacing w:val="-30"/>
                <w:sz w:val="21"/>
              </w:rPr>
              <w:t> </w:t>
            </w:r>
            <w:r>
              <w:rPr>
                <w:sz w:val="21"/>
              </w:rPr>
              <w:t>365日）</w:t>
            </w:r>
            <w:r>
              <w:rPr>
                <w:b/>
                <w:sz w:val="21"/>
              </w:rPr>
              <w:t>初次患本附加合同所列的重大疾病</w:t>
            </w:r>
            <w:r>
              <w:rPr>
                <w:sz w:val="21"/>
              </w:rPr>
              <w:t>，我们向您无息返还本附加合同已</w:t>
            </w:r>
          </w:p>
          <w:p>
            <w:pPr>
              <w:pStyle w:val="TableParagraph"/>
              <w:spacing w:before="37"/>
              <w:ind w:left="2674"/>
              <w:rPr>
                <w:sz w:val="21"/>
              </w:rPr>
            </w:pPr>
            <w:r>
              <w:rPr>
                <w:sz w:val="21"/>
              </w:rPr>
              <w:t>交保险费，同时本附加合同终止。</w:t>
            </w:r>
          </w:p>
          <w:p>
            <w:pPr>
              <w:pStyle w:val="TableParagraph"/>
              <w:spacing w:line="310" w:lineRule="atLeast" w:before="2"/>
              <w:ind w:left="2674" w:right="98" w:hanging="420"/>
              <w:rPr>
                <w:sz w:val="21"/>
              </w:rPr>
            </w:pPr>
            <w:r>
              <w:rPr>
                <w:spacing w:val="-2"/>
                <w:sz w:val="21"/>
              </w:rPr>
              <w:t>二、若被保险人于本附加合同生效或最后一次复效之日起 </w:t>
            </w:r>
            <w:r>
              <w:rPr>
                <w:sz w:val="21"/>
              </w:rPr>
              <w:t>365</w:t>
            </w:r>
            <w:r>
              <w:rPr>
                <w:spacing w:val="-7"/>
                <w:sz w:val="21"/>
              </w:rPr>
              <w:t> 日后初次患本附加合同所列的重大疾病的，我们将按本附加合同载明的保险金额给付重大</w:t>
            </w:r>
          </w:p>
        </w:tc>
      </w:tr>
      <w:tr>
        <w:trPr>
          <w:trHeight w:val="849" w:hRule="atLeast"/>
        </w:trPr>
        <w:tc>
          <w:tcPr>
            <w:tcW w:w="651" w:type="dxa"/>
          </w:tcPr>
          <w:p>
            <w:pPr>
              <w:pStyle w:val="TableParagraph"/>
              <w:rPr>
                <w:b/>
                <w:sz w:val="20"/>
              </w:rPr>
            </w:pPr>
          </w:p>
          <w:p>
            <w:pPr>
              <w:pStyle w:val="TableParagraph"/>
              <w:spacing w:before="10"/>
              <w:rPr>
                <w:b/>
                <w:sz w:val="23"/>
              </w:rPr>
            </w:pPr>
          </w:p>
          <w:p>
            <w:pPr>
              <w:pStyle w:val="TableParagraph"/>
              <w:spacing w:line="257" w:lineRule="exact"/>
              <w:ind w:left="107"/>
              <w:rPr>
                <w:rFonts w:ascii="黑体"/>
                <w:b/>
                <w:sz w:val="21"/>
              </w:rPr>
            </w:pPr>
            <w:r>
              <w:rPr>
                <w:rFonts w:ascii="黑体"/>
                <w:b/>
                <w:sz w:val="21"/>
              </w:rPr>
              <w:t>2.2</w:t>
            </w:r>
          </w:p>
        </w:tc>
        <w:tc>
          <w:tcPr>
            <w:tcW w:w="9513" w:type="dxa"/>
          </w:tcPr>
          <w:p>
            <w:pPr>
              <w:pStyle w:val="TableParagraph"/>
              <w:spacing w:before="33"/>
              <w:ind w:left="2674"/>
              <w:rPr>
                <w:sz w:val="21"/>
              </w:rPr>
            </w:pPr>
            <w:r>
              <w:rPr>
                <w:sz w:val="21"/>
              </w:rPr>
              <w:t>疾病保险金，同时本附加合同终止。</w:t>
            </w:r>
          </w:p>
          <w:p>
            <w:pPr>
              <w:pStyle w:val="TableParagraph"/>
              <w:spacing w:before="4"/>
              <w:rPr>
                <w:b/>
                <w:sz w:val="19"/>
              </w:rPr>
            </w:pPr>
          </w:p>
          <w:p>
            <w:pPr>
              <w:pStyle w:val="TableParagraph"/>
              <w:tabs>
                <w:tab w:pos="2254" w:val="left" w:leader="none"/>
              </w:tabs>
              <w:spacing w:line="268" w:lineRule="exact"/>
              <w:ind w:left="224"/>
              <w:rPr>
                <w:rFonts w:ascii="黑体" w:eastAsia="黑体" w:hint="eastAsia"/>
                <w:i/>
                <w:sz w:val="22"/>
              </w:rPr>
            </w:pPr>
            <w:r>
              <w:rPr>
                <w:rFonts w:ascii="黑体" w:eastAsia="黑体" w:hint="eastAsia"/>
                <w:b/>
                <w:sz w:val="21"/>
              </w:rPr>
              <w:t>责任免除</w:t>
              <w:tab/>
            </w:r>
            <w:r>
              <w:rPr>
                <w:rFonts w:ascii="黑体" w:eastAsia="黑体" w:hint="eastAsia"/>
                <w:i/>
                <w:w w:val="95"/>
                <w:sz w:val="22"/>
              </w:rPr>
              <w:t>一、被保险人因下列情形之一在本附加合同有效期内初次患本附加合同所列的</w:t>
            </w:r>
          </w:p>
        </w:tc>
      </w:tr>
    </w:tbl>
    <w:p>
      <w:pPr>
        <w:spacing w:after="0" w:line="268" w:lineRule="exact"/>
        <w:rPr>
          <w:rFonts w:ascii="黑体" w:eastAsia="黑体" w:hint="eastAsia"/>
          <w:sz w:val="22"/>
        </w:rPr>
        <w:sectPr>
          <w:footerReference w:type="default" r:id="rId7"/>
          <w:pgSz w:w="11910" w:h="16840"/>
          <w:pgMar w:footer="362" w:header="0" w:top="1140" w:bottom="560" w:left="760" w:right="760"/>
          <w:pgNumType w:start="2"/>
        </w:sectPr>
      </w:pPr>
    </w:p>
    <w:p>
      <w:pPr>
        <w:spacing w:before="7"/>
        <w:ind w:left="3429" w:right="0" w:firstLine="0"/>
        <w:jc w:val="left"/>
        <w:rPr>
          <w:rFonts w:ascii="黑体" w:eastAsia="黑体" w:hint="eastAsia"/>
          <w:i/>
          <w:sz w:val="22"/>
        </w:rPr>
      </w:pPr>
      <w:r>
        <w:rPr>
          <w:rFonts w:ascii="黑体" w:eastAsia="黑体" w:hint="eastAsia"/>
          <w:i/>
          <w:w w:val="95"/>
          <w:sz w:val="22"/>
        </w:rPr>
        <w:t>重大疾病，我们不承担给付保险金的责任：</w:t>
      </w:r>
    </w:p>
    <w:p>
      <w:pPr>
        <w:pStyle w:val="BodyText"/>
        <w:spacing w:before="11"/>
        <w:rPr>
          <w:rFonts w:ascii="黑体"/>
          <w:i/>
          <w:sz w:val="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9514"/>
      </w:tblGrid>
      <w:tr>
        <w:trPr>
          <w:trHeight w:val="4753" w:hRule="atLeast"/>
        </w:trPr>
        <w:tc>
          <w:tcPr>
            <w:tcW w:w="650" w:type="dxa"/>
          </w:tcPr>
          <w:p>
            <w:pPr>
              <w:pStyle w:val="TableParagraph"/>
              <w:rPr>
                <w:rFonts w:ascii="Times New Roman"/>
                <w:sz w:val="20"/>
              </w:rPr>
            </w:pPr>
          </w:p>
        </w:tc>
        <w:tc>
          <w:tcPr>
            <w:tcW w:w="9514" w:type="dxa"/>
          </w:tcPr>
          <w:p>
            <w:pPr>
              <w:pStyle w:val="TableParagraph"/>
              <w:spacing w:line="222" w:lineRule="exact"/>
              <w:ind w:left="2675"/>
              <w:rPr>
                <w:rFonts w:ascii="黑体" w:eastAsia="黑体" w:hint="eastAsia"/>
                <w:i/>
                <w:sz w:val="22"/>
              </w:rPr>
            </w:pPr>
            <w:r>
              <w:rPr>
                <w:rFonts w:ascii="黑体" w:eastAsia="黑体" w:hint="eastAsia"/>
                <w:i/>
                <w:w w:val="95"/>
                <w:sz w:val="22"/>
              </w:rPr>
              <w:t>(一)投保人对被保险人的故意杀害、故意伤害；</w:t>
            </w:r>
          </w:p>
          <w:p>
            <w:pPr>
              <w:pStyle w:val="TableParagraph"/>
              <w:spacing w:before="24"/>
              <w:ind w:left="2675"/>
              <w:rPr>
                <w:rFonts w:ascii="黑体" w:eastAsia="黑体" w:hint="eastAsia"/>
                <w:i/>
                <w:sz w:val="22"/>
              </w:rPr>
            </w:pPr>
            <w:r>
              <w:rPr>
                <w:rFonts w:ascii="黑体" w:eastAsia="黑体" w:hint="eastAsia"/>
                <w:i/>
                <w:w w:val="95"/>
                <w:sz w:val="22"/>
              </w:rPr>
              <w:t>(二)被保险人故意犯罪或抗拒依法采取的刑事强制措施；</w:t>
            </w:r>
          </w:p>
          <w:p>
            <w:pPr>
              <w:pStyle w:val="TableParagraph"/>
              <w:spacing w:line="259" w:lineRule="auto" w:before="24"/>
              <w:ind w:left="2675" w:right="3473"/>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pStyle w:val="TableParagraph"/>
              <w:spacing w:line="259" w:lineRule="auto" w:before="6"/>
              <w:ind w:left="3095" w:right="98" w:hanging="420"/>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pStyle w:val="TableParagraph"/>
              <w:spacing w:line="259" w:lineRule="auto" w:before="6"/>
              <w:ind w:left="3095" w:right="99" w:hanging="420"/>
              <w:rPr>
                <w:rFonts w:ascii="黑体" w:eastAsia="黑体" w:hint="eastAsia"/>
                <w:i/>
                <w:sz w:val="22"/>
              </w:rPr>
            </w:pPr>
            <w:r>
              <w:rPr>
                <w:rFonts w:ascii="黑体" w:eastAsia="黑体" w:hint="eastAsia"/>
                <w:i/>
                <w:w w:val="95"/>
                <w:sz w:val="22"/>
              </w:rPr>
              <w:t>(六)被保险人</w:t>
            </w:r>
            <w:r>
              <w:rPr>
                <w:rFonts w:ascii="黑体" w:eastAsia="黑体" w:hint="eastAsia"/>
                <w:b/>
                <w:i/>
                <w:spacing w:val="-4"/>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49"/>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TableParagraph"/>
              <w:spacing w:line="259" w:lineRule="auto" w:before="6"/>
              <w:ind w:left="2675" w:right="2006"/>
              <w:rPr>
                <w:rFonts w:ascii="黑体" w:eastAsia="黑体" w:hint="eastAsia"/>
                <w:i/>
                <w:sz w:val="22"/>
              </w:rPr>
            </w:pPr>
            <w:r>
              <w:rPr>
                <w:rFonts w:ascii="黑体" w:eastAsia="黑体" w:hint="eastAsia"/>
                <w:i/>
                <w:sz w:val="22"/>
              </w:rPr>
              <w:t>(七)战争、军事冲突、暴乱或武装叛乱；       (八)核爆炸、核辐射或核污染；               </w:t>
            </w:r>
            <w:r>
              <w:rPr>
                <w:rFonts w:ascii="黑体" w:eastAsia="黑体" w:hint="eastAsia"/>
                <w:i/>
                <w:w w:val="95"/>
                <w:sz w:val="22"/>
              </w:rPr>
              <w:t>(九)遗传性疾病，先天性畸形、变形或染色体异常。</w:t>
            </w:r>
          </w:p>
          <w:p>
            <w:pPr>
              <w:pStyle w:val="TableParagraph"/>
              <w:spacing w:line="259" w:lineRule="auto" w:before="6"/>
              <w:ind w:left="2675" w:right="116" w:hanging="420"/>
              <w:jc w:val="both"/>
              <w:rPr>
                <w:rFonts w:ascii="黑体" w:eastAsia="黑体" w:hint="eastAsia"/>
                <w:i/>
                <w:sz w:val="22"/>
              </w:rPr>
            </w:pPr>
            <w:r>
              <w:rPr>
                <w:rFonts w:ascii="黑体" w:eastAsia="黑体" w:hint="eastAsia"/>
                <w:i/>
                <w:w w:val="95"/>
                <w:sz w:val="22"/>
              </w:rPr>
              <w:t>二、发Th上述第（一）种情形导致被保险人患本附加合同所列的重大疾病，本</w:t>
            </w:r>
            <w:r>
              <w:rPr>
                <w:rFonts w:ascii="黑体" w:eastAsia="黑体" w:hint="eastAsia"/>
                <w:i/>
                <w:spacing w:val="-4"/>
                <w:w w:val="95"/>
                <w:sz w:val="22"/>
              </w:rPr>
              <w:t>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w:t>
            </w:r>
            <w:r>
              <w:rPr>
                <w:rFonts w:ascii="黑体" w:eastAsia="黑体" w:hint="eastAsia"/>
                <w:b/>
                <w:i/>
                <w:spacing w:val="-6"/>
                <w:w w:val="95"/>
                <w:sz w:val="22"/>
              </w:rPr>
              <w:t>现金价值</w:t>
            </w:r>
            <w:r>
              <w:rPr>
                <w:rFonts w:ascii="黑体" w:eastAsia="黑体" w:hint="eastAsia"/>
                <w:i/>
                <w:spacing w:val="-6"/>
                <w:w w:val="95"/>
                <w:sz w:val="22"/>
              </w:rPr>
              <w:t>。</w:t>
            </w:r>
          </w:p>
          <w:p>
            <w:pPr>
              <w:pStyle w:val="TableParagraph"/>
              <w:spacing w:before="6"/>
              <w:ind w:left="2255"/>
              <w:rPr>
                <w:rFonts w:ascii="黑体" w:eastAsia="黑体" w:hint="eastAsia"/>
                <w:i/>
                <w:sz w:val="22"/>
              </w:rPr>
            </w:pPr>
            <w:r>
              <w:rPr>
                <w:rFonts w:ascii="黑体" w:eastAsia="黑体" w:hint="eastAsia"/>
                <w:i/>
                <w:w w:val="95"/>
                <w:sz w:val="22"/>
              </w:rPr>
              <w:t>三、发Th上述其他情形导致被保险人患本附加合同所列的重大疾病，本附加合</w:t>
            </w:r>
          </w:p>
        </w:tc>
      </w:tr>
      <w:tr>
        <w:trPr>
          <w:trHeight w:val="1171" w:hRule="atLeast"/>
        </w:trPr>
        <w:tc>
          <w:tcPr>
            <w:tcW w:w="650" w:type="dxa"/>
          </w:tcPr>
          <w:p>
            <w:pPr>
              <w:pStyle w:val="TableParagraph"/>
              <w:rPr>
                <w:rFonts w:ascii="黑体"/>
                <w:i/>
                <w:sz w:val="20"/>
              </w:rPr>
            </w:pPr>
          </w:p>
          <w:p>
            <w:pPr>
              <w:pStyle w:val="TableParagraph"/>
              <w:spacing w:before="149"/>
              <w:ind w:left="107"/>
              <w:rPr>
                <w:b/>
                <w:sz w:val="21"/>
              </w:rPr>
            </w:pPr>
            <w:r>
              <w:rPr>
                <w:b/>
                <w:sz w:val="21"/>
              </w:rPr>
              <w:t>2.3</w:t>
            </w:r>
          </w:p>
        </w:tc>
        <w:tc>
          <w:tcPr>
            <w:tcW w:w="9514" w:type="dxa"/>
          </w:tcPr>
          <w:p>
            <w:pPr>
              <w:pStyle w:val="TableParagraph"/>
              <w:spacing w:line="148" w:lineRule="exact"/>
              <w:ind w:left="2671"/>
              <w:rPr>
                <w:rFonts w:ascii="黑体" w:eastAsia="黑体" w:hint="eastAsia"/>
                <w:i/>
                <w:sz w:val="22"/>
              </w:rPr>
            </w:pPr>
            <w:r>
              <w:rPr>
                <w:rFonts w:ascii="黑体" w:eastAsia="黑体" w:hint="eastAsia"/>
                <w:i/>
                <w:w w:val="95"/>
                <w:sz w:val="22"/>
              </w:rPr>
              <w:t>同终止，我们向您退还本附加合同的现金价值。</w:t>
            </w:r>
          </w:p>
          <w:p>
            <w:pPr>
              <w:pStyle w:val="TableParagraph"/>
              <w:rPr>
                <w:rFonts w:ascii="黑体"/>
                <w:i/>
                <w:sz w:val="20"/>
              </w:rPr>
            </w:pPr>
          </w:p>
          <w:p>
            <w:pPr>
              <w:pStyle w:val="TableParagraph"/>
              <w:tabs>
                <w:tab w:pos="2255" w:val="left" w:leader="none"/>
              </w:tabs>
              <w:spacing w:line="273" w:lineRule="auto" w:before="1"/>
              <w:ind w:left="2255" w:right="116" w:hanging="2031"/>
              <w:rPr>
                <w:sz w:val="21"/>
              </w:rPr>
            </w:pPr>
            <w:r>
              <w:rPr>
                <w:b/>
                <w:sz w:val="21"/>
              </w:rPr>
              <w:t>保险金额</w:t>
              <w:tab/>
            </w:r>
            <w:r>
              <w:rPr>
                <w:sz w:val="21"/>
              </w:rPr>
              <w:t>本附加合同的保险金额由您在投保时与我们约定并在保险单中载明，投保时的保险金额须符合我们当时的投保规则。若该金额发生变更，则以变更后的金额</w:t>
            </w:r>
          </w:p>
        </w:tc>
      </w:tr>
      <w:tr>
        <w:trPr>
          <w:trHeight w:val="1666" w:hRule="atLeast"/>
        </w:trPr>
        <w:tc>
          <w:tcPr>
            <w:tcW w:w="650" w:type="dxa"/>
          </w:tcPr>
          <w:p>
            <w:pPr>
              <w:pStyle w:val="TableParagraph"/>
              <w:rPr>
                <w:rFonts w:ascii="黑体"/>
                <w:i/>
                <w:sz w:val="20"/>
              </w:rPr>
            </w:pPr>
          </w:p>
          <w:p>
            <w:pPr>
              <w:pStyle w:val="TableParagraph"/>
              <w:spacing w:before="159"/>
              <w:ind w:left="107"/>
              <w:rPr>
                <w:b/>
                <w:sz w:val="21"/>
              </w:rPr>
            </w:pPr>
            <w:r>
              <w:rPr>
                <w:b/>
                <w:sz w:val="21"/>
              </w:rPr>
              <w:t>2.4</w:t>
            </w:r>
          </w:p>
        </w:tc>
        <w:tc>
          <w:tcPr>
            <w:tcW w:w="9514" w:type="dxa"/>
          </w:tcPr>
          <w:p>
            <w:pPr>
              <w:pStyle w:val="TableParagraph"/>
              <w:spacing w:line="138" w:lineRule="exact"/>
              <w:ind w:left="2255"/>
              <w:rPr>
                <w:sz w:val="21"/>
              </w:rPr>
            </w:pPr>
            <w:r>
              <w:rPr>
                <w:sz w:val="21"/>
              </w:rPr>
              <w:t>为保险金额。</w:t>
            </w:r>
          </w:p>
          <w:p>
            <w:pPr>
              <w:pStyle w:val="TableParagraph"/>
              <w:spacing w:before="8"/>
              <w:rPr>
                <w:rFonts w:ascii="黑体"/>
                <w:i/>
                <w:sz w:val="21"/>
              </w:rPr>
            </w:pPr>
          </w:p>
          <w:p>
            <w:pPr>
              <w:pStyle w:val="TableParagraph"/>
              <w:tabs>
                <w:tab w:pos="2255" w:val="left" w:leader="none"/>
              </w:tabs>
              <w:spacing w:line="273" w:lineRule="auto"/>
              <w:ind w:left="2675" w:right="115" w:hanging="2451"/>
              <w:jc w:val="both"/>
              <w:rPr>
                <w:sz w:val="21"/>
              </w:rPr>
            </w:pPr>
            <w:r>
              <w:rPr>
                <w:b/>
                <w:sz w:val="21"/>
              </w:rPr>
              <w:t>保险期间</w:t>
              <w:tab/>
            </w:r>
            <w:r>
              <w:rPr>
                <w:sz w:val="21"/>
              </w:rPr>
              <w:t>一、本保险的保险期间分为两种：30</w:t>
            </w:r>
            <w:r>
              <w:rPr>
                <w:spacing w:val="-56"/>
                <w:sz w:val="21"/>
              </w:rPr>
              <w:t> </w:t>
            </w:r>
            <w:r>
              <w:rPr>
                <w:sz w:val="21"/>
              </w:rPr>
              <w:t>年、至被保险人</w:t>
            </w:r>
            <w:r>
              <w:rPr>
                <w:b/>
                <w:sz w:val="21"/>
              </w:rPr>
              <w:t>年满</w:t>
            </w:r>
            <w:r>
              <w:rPr>
                <w:b/>
                <w:spacing w:val="-57"/>
                <w:sz w:val="21"/>
              </w:rPr>
              <w:t> </w:t>
            </w:r>
            <w:r>
              <w:rPr>
                <w:b/>
                <w:sz w:val="21"/>
              </w:rPr>
              <w:t>80</w:t>
            </w:r>
            <w:r>
              <w:rPr>
                <w:b/>
                <w:spacing w:val="-57"/>
                <w:sz w:val="21"/>
              </w:rPr>
              <w:t> </w:t>
            </w:r>
            <w:r>
              <w:rPr>
                <w:b/>
                <w:sz w:val="21"/>
              </w:rPr>
              <w:t>周岁的保单周年日</w:t>
            </w:r>
            <w:r>
              <w:rPr>
                <w:sz w:val="21"/>
              </w:rPr>
              <w:t>零时，自本合同生效日零时起算。您可在投保时选择其中任何一种作为本合同的保险期间。</w:t>
            </w:r>
          </w:p>
          <w:p>
            <w:pPr>
              <w:pStyle w:val="TableParagraph"/>
              <w:spacing w:before="7"/>
              <w:ind w:left="2255"/>
              <w:rPr>
                <w:sz w:val="21"/>
              </w:rPr>
            </w:pPr>
            <w:r>
              <w:rPr>
                <w:sz w:val="21"/>
              </w:rPr>
              <w:t>二、本附加合同所附主合同终止的，本附加合同同时终止。</w:t>
            </w:r>
          </w:p>
        </w:tc>
      </w:tr>
      <w:tr>
        <w:trPr>
          <w:trHeight w:val="868" w:hRule="atLeast"/>
        </w:trPr>
        <w:tc>
          <w:tcPr>
            <w:tcW w:w="650" w:type="dxa"/>
            <w:tcBorders>
              <w:bottom w:val="single" w:sz="8" w:space="0" w:color="000000"/>
            </w:tcBorders>
          </w:tcPr>
          <w:p>
            <w:pPr>
              <w:pStyle w:val="TableParagraph"/>
              <w:spacing w:before="128"/>
              <w:ind w:left="107"/>
              <w:rPr>
                <w:rFonts w:ascii="Yu Gothic"/>
                <w:b/>
                <w:sz w:val="40"/>
              </w:rPr>
            </w:pPr>
            <w:r>
              <w:rPr>
                <w:rFonts w:ascii="Yu Gothic"/>
                <w:b/>
                <w:w w:val="116"/>
                <w:sz w:val="40"/>
              </w:rPr>
              <w:t>O</w:t>
            </w:r>
          </w:p>
        </w:tc>
        <w:tc>
          <w:tcPr>
            <w:tcW w:w="9514" w:type="dxa"/>
            <w:tcBorders>
              <w:bottom w:val="single" w:sz="8" w:space="0" w:color="000000"/>
            </w:tcBorders>
          </w:tcPr>
          <w:p>
            <w:pPr>
              <w:pStyle w:val="TableParagraph"/>
              <w:spacing w:before="8"/>
              <w:rPr>
                <w:rFonts w:ascii="黑体"/>
                <w:i/>
                <w:sz w:val="27"/>
              </w:rPr>
            </w:pPr>
          </w:p>
          <w:p>
            <w:pPr>
              <w:pStyle w:val="TableParagraph"/>
              <w:ind w:left="225"/>
              <w:rPr>
                <w:b/>
                <w:sz w:val="24"/>
              </w:rPr>
            </w:pPr>
            <w:r>
              <w:rPr>
                <w:b/>
                <w:w w:val="95"/>
                <w:sz w:val="24"/>
              </w:rPr>
              <w:t>保险金的申请</w:t>
            </w:r>
          </w:p>
        </w:tc>
      </w:tr>
      <w:tr>
        <w:trPr>
          <w:trHeight w:val="632" w:hRule="atLeast"/>
        </w:trPr>
        <w:tc>
          <w:tcPr>
            <w:tcW w:w="650"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9514" w:type="dxa"/>
            <w:tcBorders>
              <w:top w:val="single" w:sz="8" w:space="0" w:color="000000"/>
            </w:tcBorders>
          </w:tcPr>
          <w:p>
            <w:pPr>
              <w:pStyle w:val="TableParagraph"/>
              <w:spacing w:before="9"/>
              <w:rPr>
                <w:rFonts w:ascii="黑体"/>
                <w:i/>
                <w:sz w:val="14"/>
              </w:rPr>
            </w:pPr>
          </w:p>
          <w:p>
            <w:pPr>
              <w:pStyle w:val="TableParagraph"/>
              <w:tabs>
                <w:tab w:pos="2255" w:val="left" w:leader="none"/>
              </w:tabs>
              <w:ind w:left="226"/>
              <w:rPr>
                <w:sz w:val="21"/>
              </w:rPr>
            </w:pPr>
            <w:r>
              <w:rPr>
                <w:b/>
                <w:sz w:val="21"/>
              </w:rPr>
              <w:t>受益人</w:t>
              <w:tab/>
            </w:r>
            <w:r>
              <w:rPr>
                <w:sz w:val="21"/>
              </w:rPr>
              <w:t>除另有约定外，重大疾病保险金的受益人为被保险人本人。</w:t>
            </w:r>
          </w:p>
        </w:tc>
      </w:tr>
      <w:tr>
        <w:trPr>
          <w:trHeight w:val="1163" w:hRule="atLeast"/>
        </w:trPr>
        <w:tc>
          <w:tcPr>
            <w:tcW w:w="650" w:type="dxa"/>
          </w:tcPr>
          <w:p>
            <w:pPr>
              <w:pStyle w:val="TableParagraph"/>
              <w:spacing w:before="100"/>
              <w:ind w:left="107"/>
              <w:rPr>
                <w:b/>
                <w:sz w:val="21"/>
              </w:rPr>
            </w:pPr>
            <w:r>
              <w:rPr>
                <w:b/>
                <w:sz w:val="21"/>
              </w:rPr>
              <w:t>3.2</w:t>
            </w:r>
          </w:p>
        </w:tc>
        <w:tc>
          <w:tcPr>
            <w:tcW w:w="9514" w:type="dxa"/>
          </w:tcPr>
          <w:p>
            <w:pPr>
              <w:pStyle w:val="TableParagraph"/>
              <w:spacing w:line="259" w:lineRule="auto" w:before="88"/>
              <w:ind w:left="2255" w:right="99" w:hanging="2029"/>
              <w:jc w:val="both"/>
              <w:rPr>
                <w:sz w:val="21"/>
              </w:rPr>
            </w:pPr>
            <w:r>
              <w:rPr>
                <w:b/>
                <w:spacing w:val="5"/>
                <w:sz w:val="21"/>
              </w:rPr>
              <w:t>保险事故通知     </w:t>
            </w:r>
            <w:r>
              <w:rPr>
                <w:spacing w:val="-10"/>
                <w:sz w:val="21"/>
              </w:rPr>
              <w:t>您、被保险人或受益人应于知道保险事故发生之日起 </w:t>
            </w:r>
            <w:r>
              <w:rPr>
                <w:sz w:val="21"/>
              </w:rPr>
              <w:t>10</w:t>
            </w:r>
            <w:r>
              <w:rPr>
                <w:spacing w:val="-14"/>
                <w:sz w:val="21"/>
              </w:rPr>
              <w:t> 日内通知我们。</w:t>
            </w:r>
            <w:r>
              <w:rPr>
                <w:rFonts w:ascii="黑体" w:eastAsia="黑体" w:hint="eastAsia"/>
                <w:b/>
                <w:i/>
                <w:sz w:val="22"/>
              </w:rPr>
              <w:t>若故意</w:t>
            </w:r>
            <w:r>
              <w:rPr>
                <w:rFonts w:ascii="黑体" w:eastAsia="黑体" w:hint="eastAsia"/>
                <w:b/>
                <w:i/>
                <w:spacing w:val="-3"/>
                <w:w w:val="95"/>
                <w:sz w:val="22"/>
              </w:rPr>
              <w:t>或因重大过失未及时通知，致使保险事故的性质、原因、损失程度等难以确定的，我们对无法确定的部分，不承担给付保险金的责任</w:t>
            </w:r>
            <w:r>
              <w:rPr>
                <w:spacing w:val="-3"/>
                <w:w w:val="95"/>
                <w:sz w:val="21"/>
              </w:rPr>
              <w:t>，但我们通过其他途径</w:t>
            </w:r>
          </w:p>
        </w:tc>
      </w:tr>
      <w:tr>
        <w:trPr>
          <w:trHeight w:val="1474" w:hRule="atLeast"/>
        </w:trPr>
        <w:tc>
          <w:tcPr>
            <w:tcW w:w="650" w:type="dxa"/>
          </w:tcPr>
          <w:p>
            <w:pPr>
              <w:pStyle w:val="TableParagraph"/>
              <w:rPr>
                <w:rFonts w:ascii="黑体"/>
                <w:i/>
                <w:sz w:val="20"/>
              </w:rPr>
            </w:pPr>
          </w:p>
          <w:p>
            <w:pPr>
              <w:pStyle w:val="TableParagraph"/>
              <w:rPr>
                <w:rFonts w:ascii="黑体"/>
                <w:i/>
                <w:sz w:val="20"/>
              </w:rPr>
            </w:pPr>
          </w:p>
          <w:p>
            <w:pPr>
              <w:pStyle w:val="TableParagraph"/>
              <w:spacing w:before="3"/>
              <w:rPr>
                <w:rFonts w:ascii="黑体"/>
                <w:i/>
                <w:sz w:val="15"/>
              </w:rPr>
            </w:pPr>
          </w:p>
          <w:p>
            <w:pPr>
              <w:pStyle w:val="TableParagraph"/>
              <w:spacing w:before="1"/>
              <w:ind w:left="108"/>
              <w:rPr>
                <w:b/>
                <w:sz w:val="21"/>
              </w:rPr>
            </w:pPr>
            <w:r>
              <w:rPr>
                <w:b/>
                <w:sz w:val="21"/>
              </w:rPr>
              <w:t>3.3</w:t>
            </w:r>
          </w:p>
        </w:tc>
        <w:tc>
          <w:tcPr>
            <w:tcW w:w="9514" w:type="dxa"/>
          </w:tcPr>
          <w:p>
            <w:pPr>
              <w:pStyle w:val="TableParagraph"/>
              <w:spacing w:line="148" w:lineRule="exact"/>
              <w:ind w:left="2255"/>
              <w:rPr>
                <w:sz w:val="21"/>
              </w:rPr>
            </w:pPr>
            <w:r>
              <w:rPr>
                <w:sz w:val="21"/>
              </w:rPr>
              <w:t>已经及时知道或应当及时知道保险事故发生或虽未及时通知但不影响我们确定</w:t>
            </w:r>
          </w:p>
          <w:p>
            <w:pPr>
              <w:pStyle w:val="TableParagraph"/>
              <w:spacing w:before="37"/>
              <w:ind w:left="2255"/>
              <w:rPr>
                <w:sz w:val="21"/>
              </w:rPr>
            </w:pPr>
            <w:r>
              <w:rPr>
                <w:sz w:val="21"/>
              </w:rPr>
              <w:t>保险事故的性质、原因、损失程度的除外。</w:t>
            </w:r>
          </w:p>
          <w:p>
            <w:pPr>
              <w:pStyle w:val="TableParagraph"/>
              <w:spacing w:before="1"/>
              <w:rPr>
                <w:rFonts w:ascii="黑体"/>
                <w:i/>
                <w:sz w:val="20"/>
              </w:rPr>
            </w:pPr>
          </w:p>
          <w:p>
            <w:pPr>
              <w:pStyle w:val="TableParagraph"/>
              <w:tabs>
                <w:tab w:pos="2255" w:val="left" w:leader="none"/>
              </w:tabs>
              <w:spacing w:line="273" w:lineRule="auto" w:before="1"/>
              <w:ind w:left="2675" w:right="-15" w:hanging="2450"/>
              <w:rPr>
                <w:sz w:val="21"/>
              </w:rPr>
            </w:pPr>
            <w:r>
              <w:rPr>
                <w:b/>
                <w:sz w:val="21"/>
              </w:rPr>
              <w:t>保险金申请</w:t>
              <w:tab/>
            </w:r>
            <w:r>
              <w:rPr>
                <w:spacing w:val="-1"/>
                <w:sz w:val="21"/>
              </w:rPr>
              <w:t>一、</w:t>
            </w:r>
            <w:r>
              <w:rPr>
                <w:sz w:val="21"/>
              </w:rPr>
              <w:t>在本附加合同有效期间内</w:t>
            </w:r>
            <w:r>
              <w:rPr>
                <w:spacing w:val="-87"/>
                <w:sz w:val="21"/>
              </w:rPr>
              <w:t>，</w:t>
            </w:r>
            <w:r>
              <w:rPr>
                <w:sz w:val="21"/>
              </w:rPr>
              <w:t>若发生符合本附加合同约定的保险金给付情形，受益人或被保险人的继承人可向我们申请给付保险金，但应当按照下列约</w:t>
            </w:r>
          </w:p>
        </w:tc>
      </w:tr>
      <w:tr>
        <w:trPr>
          <w:trHeight w:val="2246" w:hRule="atLeast"/>
        </w:trPr>
        <w:tc>
          <w:tcPr>
            <w:tcW w:w="650" w:type="dxa"/>
          </w:tcPr>
          <w:p>
            <w:pPr>
              <w:pStyle w:val="TableParagraph"/>
              <w:rPr>
                <w:rFonts w:ascii="Times New Roman"/>
                <w:sz w:val="20"/>
              </w:rPr>
            </w:pPr>
          </w:p>
        </w:tc>
        <w:tc>
          <w:tcPr>
            <w:tcW w:w="9514" w:type="dxa"/>
          </w:tcPr>
          <w:p>
            <w:pPr>
              <w:pStyle w:val="TableParagraph"/>
              <w:spacing w:line="148" w:lineRule="exact"/>
              <w:ind w:left="2675"/>
              <w:rPr>
                <w:sz w:val="21"/>
              </w:rPr>
            </w:pPr>
            <w:r>
              <w:rPr>
                <w:sz w:val="21"/>
              </w:rPr>
              <w:t>定的程序和条件进行：</w:t>
            </w:r>
          </w:p>
          <w:p>
            <w:pPr>
              <w:pStyle w:val="TableParagraph"/>
              <w:spacing w:before="12"/>
              <w:rPr>
                <w:rFonts w:ascii="黑体"/>
                <w:i/>
                <w:sz w:val="13"/>
              </w:rPr>
            </w:pPr>
          </w:p>
          <w:p>
            <w:pPr>
              <w:pStyle w:val="TableParagraph"/>
              <w:tabs>
                <w:tab w:pos="2255" w:val="left" w:leader="none"/>
              </w:tabs>
              <w:spacing w:line="365" w:lineRule="exact"/>
              <w:ind w:left="225"/>
              <w:rPr>
                <w:sz w:val="21"/>
              </w:rPr>
            </w:pPr>
            <w:r>
              <w:rPr>
                <w:rFonts w:ascii="Microsoft JhengHei" w:eastAsia="Microsoft JhengHei" w:hint="eastAsia"/>
                <w:b/>
                <w:position w:val="-2"/>
                <w:sz w:val="24"/>
              </w:rPr>
              <w:t>重大疾病保险金</w:t>
              <w:tab/>
            </w:r>
            <w:r>
              <w:rPr>
                <w:sz w:val="21"/>
              </w:rPr>
              <w:t>申请重大疾病保险金的，申请人须填写保险金给付申请书，并向我们提供下列</w:t>
            </w:r>
          </w:p>
          <w:p>
            <w:pPr>
              <w:pStyle w:val="TableParagraph"/>
              <w:tabs>
                <w:tab w:pos="2255" w:val="left" w:leader="none"/>
              </w:tabs>
              <w:spacing w:line="353" w:lineRule="exact"/>
              <w:ind w:left="225"/>
              <w:rPr>
                <w:sz w:val="21"/>
              </w:rPr>
            </w:pPr>
            <w:r>
              <w:rPr>
                <w:rFonts w:ascii="Microsoft JhengHei" w:eastAsia="Microsoft JhengHei" w:hint="eastAsia"/>
                <w:b/>
                <w:position w:val="-2"/>
                <w:sz w:val="24"/>
              </w:rPr>
              <w:t>申请</w:t>
              <w:tab/>
            </w:r>
            <w:r>
              <w:rPr>
                <w:sz w:val="21"/>
              </w:rPr>
              <w:t>资料：</w:t>
            </w:r>
          </w:p>
          <w:p>
            <w:pPr>
              <w:pStyle w:val="TableParagraph"/>
              <w:spacing w:line="273" w:lineRule="auto"/>
              <w:ind w:left="2255" w:right="4526"/>
              <w:rPr>
                <w:sz w:val="21"/>
              </w:rPr>
            </w:pPr>
            <w:r>
              <w:rPr>
                <w:sz w:val="21"/>
              </w:rPr>
              <w:t>(一)保险合同；            (二)申请人的有效身份证件；</w:t>
            </w:r>
          </w:p>
          <w:p>
            <w:pPr>
              <w:pStyle w:val="TableParagraph"/>
              <w:spacing w:line="312" w:lineRule="exact" w:before="15"/>
              <w:ind w:left="2675" w:right="98" w:hanging="420"/>
              <w:rPr>
                <w:sz w:val="21"/>
              </w:rPr>
            </w:pPr>
            <w:r>
              <w:rPr>
                <w:sz w:val="21"/>
              </w:rPr>
              <w:t>(三)由</w:t>
            </w:r>
            <w:r>
              <w:rPr>
                <w:b/>
                <w:sz w:val="21"/>
              </w:rPr>
              <w:t>医疗机构</w:t>
            </w:r>
            <w:r>
              <w:rPr>
                <w:sz w:val="21"/>
              </w:rPr>
              <w:t>出具的可证明被保险人患重大疾病的诊断证明和诊断所患重大疾病必需的检查报告；</w:t>
            </w:r>
          </w:p>
        </w:tc>
      </w:tr>
    </w:tbl>
    <w:p>
      <w:pPr>
        <w:spacing w:after="0" w:line="312" w:lineRule="exact"/>
        <w:rPr>
          <w:sz w:val="21"/>
        </w:rPr>
        <w:sectPr>
          <w:pgSz w:w="11910" w:h="16840"/>
          <w:pgMar w:header="0" w:footer="362" w:top="1100" w:bottom="640" w:left="760" w:right="760"/>
        </w:sectPr>
      </w:pPr>
    </w:p>
    <w:p>
      <w:pPr>
        <w:pStyle w:val="BodyText"/>
        <w:spacing w:before="19"/>
        <w:ind w:left="3009"/>
      </w:pPr>
      <w:r>
        <w:rPr/>
        <w:t>(四)所能提供的与确认保险事故的性质、原因、伤害程度等有关的其他资料。</w:t>
      </w:r>
    </w:p>
    <w:p>
      <w:pPr>
        <w:pStyle w:val="BodyText"/>
        <w:spacing w:before="2"/>
        <w:rPr>
          <w:sz w:val="20"/>
        </w:rPr>
      </w:pPr>
    </w:p>
    <w:p>
      <w:pPr>
        <w:pStyle w:val="BodyText"/>
        <w:spacing w:line="273" w:lineRule="auto"/>
        <w:ind w:left="3429" w:right="215" w:hanging="420"/>
      </w:pPr>
      <w:r>
        <w:rPr/>
        <w:t>二、保险金作为被保险人遗产时，申请人还须提供可证明合法继承权的相关权利文件。</w:t>
      </w:r>
    </w:p>
    <w:p>
      <w:pPr>
        <w:pStyle w:val="BodyText"/>
        <w:spacing w:before="7"/>
        <w:ind w:left="3009"/>
      </w:pPr>
      <w:r>
        <w:rPr/>
        <w:t>三、上述申请资料不完整的，我们将及时一次性通知申请人补充提供有关资料。</w:t>
      </w:r>
    </w:p>
    <w:p>
      <w:pPr>
        <w:pStyle w:val="BodyText"/>
        <w:spacing w:before="9"/>
        <w:rPr>
          <w:sz w:val="2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9514"/>
      </w:tblGrid>
      <w:tr>
        <w:trPr>
          <w:trHeight w:val="2714" w:hRule="atLeast"/>
        </w:trPr>
        <w:tc>
          <w:tcPr>
            <w:tcW w:w="651" w:type="dxa"/>
          </w:tcPr>
          <w:p>
            <w:pPr>
              <w:pStyle w:val="TableParagraph"/>
              <w:spacing w:line="210" w:lineRule="exact"/>
              <w:ind w:left="107"/>
              <w:rPr>
                <w:b/>
                <w:sz w:val="21"/>
              </w:rPr>
            </w:pPr>
            <w:r>
              <w:rPr>
                <w:b/>
                <w:sz w:val="21"/>
              </w:rPr>
              <w:t>3.4</w:t>
            </w:r>
          </w:p>
        </w:tc>
        <w:tc>
          <w:tcPr>
            <w:tcW w:w="9514" w:type="dxa"/>
          </w:tcPr>
          <w:p>
            <w:pPr>
              <w:pStyle w:val="TableParagraph"/>
              <w:tabs>
                <w:tab w:pos="2254" w:val="left" w:leader="none"/>
              </w:tabs>
              <w:spacing w:line="210" w:lineRule="exact"/>
              <w:ind w:left="225"/>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50"/>
                <w:sz w:val="21"/>
              </w:rPr>
              <w:t> </w:t>
            </w:r>
            <w:r>
              <w:rPr>
                <w:sz w:val="21"/>
              </w:rPr>
              <w:t>5</w:t>
            </w:r>
            <w:r>
              <w:rPr>
                <w:spacing w:val="-50"/>
                <w:sz w:val="21"/>
              </w:rPr>
              <w:t> </w:t>
            </w:r>
            <w:r>
              <w:rPr>
                <w:sz w:val="21"/>
              </w:rPr>
              <w:t>日内作</w:t>
            </w:r>
          </w:p>
          <w:p>
            <w:pPr>
              <w:pStyle w:val="TableParagraph"/>
              <w:spacing w:before="37"/>
              <w:ind w:left="2659"/>
              <w:rPr>
                <w:sz w:val="21"/>
              </w:rPr>
            </w:pPr>
            <w:r>
              <w:rPr>
                <w:spacing w:val="-11"/>
                <w:sz w:val="21"/>
              </w:rPr>
              <w:t>出核定；情形复杂的，在 </w:t>
            </w:r>
            <w:r>
              <w:rPr>
                <w:sz w:val="21"/>
              </w:rPr>
              <w:t>30</w:t>
            </w:r>
            <w:r>
              <w:rPr>
                <w:spacing w:val="-10"/>
                <w:sz w:val="21"/>
              </w:rPr>
              <w:t> 日内作出核定。对属于保险责任的，我们在与</w:t>
            </w:r>
          </w:p>
          <w:p>
            <w:pPr>
              <w:pStyle w:val="TableParagraph"/>
              <w:spacing w:before="37"/>
              <w:ind w:left="2659"/>
              <w:rPr>
                <w:sz w:val="21"/>
              </w:rPr>
            </w:pPr>
            <w:r>
              <w:rPr>
                <w:sz w:val="21"/>
              </w:rPr>
              <w:t>受益人达成给付保险金的协议后 10 日内，履行给付保险金义务。</w:t>
            </w:r>
          </w:p>
          <w:p>
            <w:pPr>
              <w:pStyle w:val="TableParagraph"/>
              <w:spacing w:line="273" w:lineRule="auto" w:before="37"/>
              <w:ind w:left="2659" w:right="99" w:hanging="406"/>
              <w:rPr>
                <w:sz w:val="21"/>
              </w:rPr>
            </w:pPr>
            <w:r>
              <w:rPr>
                <w:sz w:val="21"/>
              </w:rPr>
              <w:t>二、我们未及时履行前款规定义务的，除支付保险金外，应当赔偿受益人因此受到的损失。</w:t>
            </w:r>
          </w:p>
          <w:p>
            <w:pPr>
              <w:pStyle w:val="TableParagraph"/>
              <w:spacing w:line="273" w:lineRule="auto" w:before="7"/>
              <w:ind w:left="2659" w:right="99" w:hanging="406"/>
              <w:rPr>
                <w:sz w:val="21"/>
              </w:rPr>
            </w:pPr>
            <w:r>
              <w:rPr>
                <w:spacing w:val="-3"/>
                <w:sz w:val="21"/>
              </w:rPr>
              <w:t>三、对不属于保险责任的，我们自作出核定之日起 </w:t>
            </w:r>
            <w:r>
              <w:rPr>
                <w:sz w:val="21"/>
              </w:rPr>
              <w:t>3</w:t>
            </w:r>
            <w:r>
              <w:rPr>
                <w:spacing w:val="-8"/>
                <w:sz w:val="21"/>
              </w:rPr>
              <w:t> 日内向受益人发出拒绝给付保险金通知书并说明理由。</w:t>
            </w:r>
          </w:p>
          <w:p>
            <w:pPr>
              <w:pStyle w:val="TableParagraph"/>
              <w:spacing w:line="312" w:lineRule="exact" w:before="2"/>
              <w:ind w:left="2659" w:right="102" w:hanging="406"/>
              <w:rPr>
                <w:sz w:val="21"/>
              </w:rPr>
            </w:pPr>
            <w:r>
              <w:rPr>
                <w:spacing w:val="-3"/>
                <w:sz w:val="21"/>
              </w:rPr>
              <w:t>四、我们在收到保险金给付申请书及本附加合同约定的资料之日起 </w:t>
            </w:r>
            <w:r>
              <w:rPr>
                <w:sz w:val="21"/>
              </w:rPr>
              <w:t>60</w:t>
            </w:r>
            <w:r>
              <w:rPr>
                <w:spacing w:val="-33"/>
                <w:sz w:val="21"/>
              </w:rPr>
              <w:t> 日内，对给付保险金的数额不能确定的，根据已有资料可以确定的数额先予支付；</w:t>
            </w:r>
          </w:p>
        </w:tc>
      </w:tr>
      <w:tr>
        <w:trPr>
          <w:trHeight w:val="1163" w:hRule="atLeast"/>
        </w:trPr>
        <w:tc>
          <w:tcPr>
            <w:tcW w:w="651" w:type="dxa"/>
          </w:tcPr>
          <w:p>
            <w:pPr>
              <w:pStyle w:val="TableParagraph"/>
              <w:rPr>
                <w:sz w:val="20"/>
              </w:rPr>
            </w:pPr>
          </w:p>
          <w:p>
            <w:pPr>
              <w:pStyle w:val="TableParagraph"/>
              <w:spacing w:before="5"/>
              <w:rPr>
                <w:sz w:val="21"/>
              </w:rPr>
            </w:pPr>
          </w:p>
          <w:p>
            <w:pPr>
              <w:pStyle w:val="TableParagraph"/>
              <w:ind w:left="107"/>
              <w:rPr>
                <w:b/>
                <w:sz w:val="21"/>
              </w:rPr>
            </w:pPr>
            <w:r>
              <w:rPr>
                <w:b/>
                <w:sz w:val="21"/>
              </w:rPr>
              <w:t>3.5</w:t>
            </w:r>
          </w:p>
        </w:tc>
        <w:tc>
          <w:tcPr>
            <w:tcW w:w="9514" w:type="dxa"/>
          </w:tcPr>
          <w:p>
            <w:pPr>
              <w:pStyle w:val="TableParagraph"/>
              <w:spacing w:before="3"/>
              <w:ind w:left="2659"/>
              <w:rPr>
                <w:sz w:val="21"/>
              </w:rPr>
            </w:pPr>
            <w:r>
              <w:rPr>
                <w:sz w:val="21"/>
              </w:rPr>
              <w:t>我们最终确定给付保险金的数额后，再给付相应的差额。</w:t>
            </w:r>
          </w:p>
          <w:p>
            <w:pPr>
              <w:pStyle w:val="TableParagraph"/>
              <w:spacing w:before="5"/>
              <w:rPr>
                <w:sz w:val="17"/>
              </w:rPr>
            </w:pPr>
          </w:p>
          <w:p>
            <w:pPr>
              <w:pStyle w:val="TableParagraph"/>
              <w:tabs>
                <w:tab w:pos="2254" w:val="left" w:leader="none"/>
              </w:tabs>
              <w:spacing w:line="310" w:lineRule="atLeast"/>
              <w:ind w:left="2254" w:right="118" w:hanging="2030"/>
              <w:rPr>
                <w:sz w:val="21"/>
              </w:rPr>
            </w:pPr>
            <w:r>
              <w:rPr>
                <w:b/>
                <w:sz w:val="21"/>
              </w:rPr>
              <w:t>诉讼时效</w:t>
              <w:tab/>
            </w:r>
            <w:r>
              <w:rPr>
                <w:sz w:val="21"/>
              </w:rPr>
              <w:t>申请人向我们请求给付保险金的诉讼时效期间为</w:t>
            </w:r>
            <w:r>
              <w:rPr>
                <w:spacing w:val="-54"/>
                <w:sz w:val="21"/>
              </w:rPr>
              <w:t> </w:t>
            </w:r>
            <w:r>
              <w:rPr>
                <w:sz w:val="21"/>
              </w:rPr>
              <w:t>2</w:t>
            </w:r>
            <w:r>
              <w:rPr>
                <w:spacing w:val="-53"/>
                <w:sz w:val="21"/>
              </w:rPr>
              <w:t> </w:t>
            </w:r>
            <w:r>
              <w:rPr>
                <w:sz w:val="21"/>
              </w:rPr>
              <w:t>年，自其知道或应当知道保险事故发生之日起计算。</w:t>
            </w:r>
          </w:p>
        </w:tc>
      </w:tr>
      <w:tr>
        <w:trPr>
          <w:trHeight w:val="868" w:hRule="atLeast"/>
        </w:trPr>
        <w:tc>
          <w:tcPr>
            <w:tcW w:w="651" w:type="dxa"/>
            <w:tcBorders>
              <w:bottom w:val="single" w:sz="8" w:space="0" w:color="000000"/>
            </w:tcBorders>
          </w:tcPr>
          <w:p>
            <w:pPr>
              <w:pStyle w:val="TableParagraph"/>
              <w:spacing w:before="128"/>
              <w:ind w:left="107"/>
              <w:rPr>
                <w:rFonts w:ascii="Yu Gothic" w:hAnsi="Yu Gothic"/>
                <w:b/>
                <w:sz w:val="40"/>
              </w:rPr>
            </w:pPr>
            <w:r>
              <w:rPr>
                <w:rFonts w:ascii="Yu Gothic" w:hAnsi="Yu Gothic"/>
                <w:b/>
                <w:w w:val="214"/>
                <w:sz w:val="40"/>
              </w:rPr>
              <w:t>º</w:t>
            </w:r>
          </w:p>
        </w:tc>
        <w:tc>
          <w:tcPr>
            <w:tcW w:w="9514" w:type="dxa"/>
            <w:tcBorders>
              <w:bottom w:val="single" w:sz="8" w:space="0" w:color="000000"/>
            </w:tcBorders>
          </w:tcPr>
          <w:p>
            <w:pPr>
              <w:pStyle w:val="TableParagraph"/>
              <w:spacing w:before="8"/>
              <w:rPr>
                <w:sz w:val="27"/>
              </w:rPr>
            </w:pPr>
          </w:p>
          <w:p>
            <w:pPr>
              <w:pStyle w:val="TableParagraph"/>
              <w:ind w:left="225"/>
              <w:rPr>
                <w:b/>
                <w:sz w:val="24"/>
              </w:rPr>
            </w:pPr>
            <w:r>
              <w:rPr>
                <w:b/>
                <w:w w:val="95"/>
                <w:sz w:val="24"/>
              </w:rPr>
              <w:t>保险费的交纳</w:t>
            </w:r>
          </w:p>
        </w:tc>
      </w:tr>
      <w:tr>
        <w:trPr>
          <w:trHeight w:val="1256" w:hRule="atLeast"/>
        </w:trPr>
        <w:tc>
          <w:tcPr>
            <w:tcW w:w="651" w:type="dxa"/>
            <w:tcBorders>
              <w:top w:val="single" w:sz="8" w:space="0" w:color="000000"/>
            </w:tcBorders>
          </w:tcPr>
          <w:p>
            <w:pPr>
              <w:pStyle w:val="TableParagraph"/>
              <w:spacing w:before="9"/>
              <w:rPr>
                <w:sz w:val="14"/>
              </w:rPr>
            </w:pPr>
          </w:p>
          <w:p>
            <w:pPr>
              <w:pStyle w:val="TableParagraph"/>
              <w:ind w:left="107"/>
              <w:rPr>
                <w:b/>
                <w:sz w:val="21"/>
              </w:rPr>
            </w:pPr>
            <w:r>
              <w:rPr>
                <w:b/>
                <w:sz w:val="21"/>
              </w:rPr>
              <w:t>4.1</w:t>
            </w:r>
          </w:p>
        </w:tc>
        <w:tc>
          <w:tcPr>
            <w:tcW w:w="9514" w:type="dxa"/>
            <w:tcBorders>
              <w:top w:val="single" w:sz="8" w:space="0" w:color="000000"/>
            </w:tcBorders>
          </w:tcPr>
          <w:p>
            <w:pPr>
              <w:pStyle w:val="TableParagraph"/>
              <w:spacing w:before="9"/>
              <w:rPr>
                <w:sz w:val="14"/>
              </w:rPr>
            </w:pPr>
          </w:p>
          <w:p>
            <w:pPr>
              <w:pStyle w:val="TableParagraph"/>
              <w:tabs>
                <w:tab w:pos="2287" w:val="left" w:leader="none"/>
              </w:tabs>
              <w:spacing w:line="273" w:lineRule="auto"/>
              <w:ind w:left="2706" w:right="99" w:hanging="2482"/>
              <w:rPr>
                <w:sz w:val="21"/>
              </w:rPr>
            </w:pPr>
            <w:r>
              <w:rPr>
                <w:b/>
                <w:sz w:val="21"/>
              </w:rPr>
              <w:t>保险费的交纳</w:t>
              <w:tab/>
            </w:r>
            <w:r>
              <w:rPr>
                <w:sz w:val="21"/>
              </w:rPr>
              <w:t>一</w:t>
            </w:r>
            <w:r>
              <w:rPr>
                <w:spacing w:val="5"/>
                <w:sz w:val="21"/>
              </w:rPr>
              <w:t>、</w:t>
            </w:r>
            <w:r>
              <w:rPr>
                <w:sz w:val="21"/>
              </w:rPr>
              <w:t>本附加合同的交费方式和交费期间须与主合同一致</w:t>
            </w:r>
            <w:r>
              <w:rPr>
                <w:spacing w:val="-22"/>
                <w:sz w:val="21"/>
              </w:rPr>
              <w:t>，</w:t>
            </w:r>
            <w:r>
              <w:rPr>
                <w:sz w:val="21"/>
              </w:rPr>
              <w:t>且必须与主合同保险费一同支付。</w:t>
            </w:r>
          </w:p>
          <w:p>
            <w:pPr>
              <w:pStyle w:val="TableParagraph"/>
              <w:spacing w:before="7"/>
              <w:ind w:left="2287"/>
              <w:rPr>
                <w:sz w:val="21"/>
              </w:rPr>
            </w:pPr>
            <w:r>
              <w:rPr>
                <w:sz w:val="21"/>
              </w:rPr>
              <w:t>二、分期支付保险费的，在交纳首期保险费后，您应当在每个保险费约定支付</w:t>
            </w:r>
          </w:p>
        </w:tc>
      </w:tr>
      <w:tr>
        <w:trPr>
          <w:trHeight w:val="2125" w:hRule="atLeast"/>
        </w:trPr>
        <w:tc>
          <w:tcPr>
            <w:tcW w:w="651" w:type="dxa"/>
          </w:tcPr>
          <w:p>
            <w:pPr>
              <w:pStyle w:val="TableParagraph"/>
              <w:rPr>
                <w:sz w:val="20"/>
              </w:rPr>
            </w:pPr>
          </w:p>
          <w:p>
            <w:pPr>
              <w:pStyle w:val="TableParagraph"/>
              <w:spacing w:before="150"/>
              <w:ind w:left="107"/>
              <w:rPr>
                <w:b/>
                <w:sz w:val="21"/>
              </w:rPr>
            </w:pPr>
            <w:r>
              <w:rPr>
                <w:b/>
                <w:sz w:val="21"/>
              </w:rPr>
              <w:t>4.2</w:t>
            </w:r>
          </w:p>
        </w:tc>
        <w:tc>
          <w:tcPr>
            <w:tcW w:w="9514" w:type="dxa"/>
          </w:tcPr>
          <w:p>
            <w:pPr>
              <w:pStyle w:val="TableParagraph"/>
              <w:spacing w:line="147" w:lineRule="exact"/>
              <w:ind w:left="2706"/>
              <w:rPr>
                <w:sz w:val="21"/>
              </w:rPr>
            </w:pPr>
            <w:r>
              <w:rPr>
                <w:sz w:val="21"/>
              </w:rPr>
              <w:t>日之前交纳当期保险费。</w:t>
            </w:r>
          </w:p>
          <w:p>
            <w:pPr>
              <w:pStyle w:val="TableParagraph"/>
              <w:spacing w:before="3"/>
              <w:rPr>
                <w:sz w:val="20"/>
              </w:rPr>
            </w:pPr>
          </w:p>
          <w:p>
            <w:pPr>
              <w:pStyle w:val="TableParagraph"/>
              <w:tabs>
                <w:tab w:pos="2287" w:val="left" w:leader="none"/>
              </w:tabs>
              <w:spacing w:line="273" w:lineRule="auto"/>
              <w:ind w:left="2707" w:right="-15" w:hanging="2483"/>
              <w:rPr>
                <w:sz w:val="21"/>
              </w:rPr>
            </w:pPr>
            <w:r>
              <w:rPr>
                <w:b/>
                <w:sz w:val="21"/>
              </w:rPr>
              <w:t>宽限期</w:t>
              <w:tab/>
            </w:r>
            <w:r>
              <w:rPr>
                <w:sz w:val="21"/>
              </w:rPr>
              <w:t>一、分期支付保险费的</w:t>
            </w:r>
            <w:r>
              <w:rPr>
                <w:spacing w:val="-5"/>
                <w:sz w:val="21"/>
              </w:rPr>
              <w:t>，</w:t>
            </w:r>
            <w:r>
              <w:rPr>
                <w:sz w:val="21"/>
              </w:rPr>
              <w:t>您支付首期保险费后</w:t>
            </w:r>
            <w:r>
              <w:rPr>
                <w:spacing w:val="-5"/>
                <w:sz w:val="21"/>
              </w:rPr>
              <w:t>，</w:t>
            </w:r>
            <w:r>
              <w:rPr>
                <w:sz w:val="21"/>
              </w:rPr>
              <w:t>除本附加合同另有约定外</w:t>
            </w:r>
            <w:r>
              <w:rPr>
                <w:spacing w:val="-5"/>
                <w:sz w:val="21"/>
              </w:rPr>
              <w:t>，</w:t>
            </w:r>
            <w:r>
              <w:rPr>
                <w:sz w:val="21"/>
              </w:rPr>
              <w:t>若您到期未支付保险费</w:t>
            </w:r>
            <w:r>
              <w:rPr>
                <w:spacing w:val="-16"/>
                <w:sz w:val="21"/>
              </w:rPr>
              <w:t>，</w:t>
            </w:r>
            <w:r>
              <w:rPr>
                <w:sz w:val="21"/>
              </w:rPr>
              <w:t>自保险费约定支付日的次日零时起</w:t>
            </w:r>
            <w:r>
              <w:rPr>
                <w:spacing w:val="-64"/>
                <w:sz w:val="21"/>
              </w:rPr>
              <w:t> </w:t>
            </w:r>
            <w:r>
              <w:rPr>
                <w:sz w:val="21"/>
              </w:rPr>
              <w:t>60</w:t>
            </w:r>
            <w:r>
              <w:rPr>
                <w:spacing w:val="-63"/>
                <w:sz w:val="21"/>
              </w:rPr>
              <w:t> </w:t>
            </w:r>
            <w:r>
              <w:rPr>
                <w:sz w:val="21"/>
              </w:rPr>
              <w:t>日为宽限期。宽限期内发生的保险事故</w:t>
            </w:r>
            <w:r>
              <w:rPr>
                <w:spacing w:val="-9"/>
                <w:sz w:val="21"/>
              </w:rPr>
              <w:t>，</w:t>
            </w:r>
            <w:r>
              <w:rPr>
                <w:sz w:val="21"/>
              </w:rPr>
              <w:t>我们仍会承担保险责任</w:t>
            </w:r>
            <w:r>
              <w:rPr>
                <w:spacing w:val="-9"/>
                <w:sz w:val="21"/>
              </w:rPr>
              <w:t>，</w:t>
            </w:r>
            <w:r>
              <w:rPr>
                <w:sz w:val="21"/>
              </w:rPr>
              <w:t>但在给付保险金时会扣减您欠交的保险费。</w:t>
            </w:r>
          </w:p>
          <w:p>
            <w:pPr>
              <w:pStyle w:val="TableParagraph"/>
              <w:spacing w:before="7"/>
              <w:ind w:left="2287"/>
              <w:rPr>
                <w:sz w:val="21"/>
              </w:rPr>
            </w:pPr>
            <w:r>
              <w:rPr>
                <w:sz w:val="21"/>
              </w:rPr>
              <w:t>二、若您宽限期结束之后仍未支付保险费，则本附加合同自宽限期满的次日零</w:t>
            </w:r>
          </w:p>
        </w:tc>
      </w:tr>
      <w:tr>
        <w:trPr>
          <w:trHeight w:val="1024" w:hRule="atLeast"/>
        </w:trPr>
        <w:tc>
          <w:tcPr>
            <w:tcW w:w="651" w:type="dxa"/>
            <w:tcBorders>
              <w:bottom w:val="single" w:sz="8" w:space="0" w:color="000000"/>
            </w:tcBorders>
          </w:tcPr>
          <w:p>
            <w:pPr>
              <w:pStyle w:val="TableParagraph"/>
              <w:spacing w:before="284"/>
              <w:ind w:left="107"/>
              <w:rPr>
                <w:rFonts w:ascii="Yu Gothic"/>
                <w:b/>
                <w:sz w:val="40"/>
              </w:rPr>
            </w:pPr>
            <w:r>
              <w:rPr>
                <w:rFonts w:ascii="Yu Gothic"/>
                <w:b/>
                <w:w w:val="155"/>
                <w:sz w:val="40"/>
              </w:rPr>
              <w:t>6</w:t>
            </w:r>
          </w:p>
        </w:tc>
        <w:tc>
          <w:tcPr>
            <w:tcW w:w="9514" w:type="dxa"/>
            <w:tcBorders>
              <w:bottom w:val="single" w:sz="8" w:space="0" w:color="000000"/>
            </w:tcBorders>
          </w:tcPr>
          <w:p>
            <w:pPr>
              <w:pStyle w:val="TableParagraph"/>
              <w:spacing w:line="122" w:lineRule="exact"/>
              <w:ind w:left="2707"/>
              <w:rPr>
                <w:sz w:val="21"/>
              </w:rPr>
            </w:pPr>
            <w:r>
              <w:rPr>
                <w:sz w:val="21"/>
              </w:rPr>
              <w:t>时起中止。</w:t>
            </w:r>
          </w:p>
          <w:p>
            <w:pPr>
              <w:pStyle w:val="TableParagraph"/>
              <w:rPr>
                <w:sz w:val="20"/>
              </w:rPr>
            </w:pPr>
          </w:p>
          <w:p>
            <w:pPr>
              <w:pStyle w:val="TableParagraph"/>
              <w:spacing w:before="134"/>
              <w:ind w:left="225"/>
              <w:rPr>
                <w:b/>
                <w:sz w:val="24"/>
              </w:rPr>
            </w:pPr>
            <w:r>
              <w:rPr>
                <w:b/>
                <w:w w:val="95"/>
                <w:sz w:val="24"/>
              </w:rPr>
              <w:t>现金价值权益</w:t>
            </w:r>
          </w:p>
        </w:tc>
      </w:tr>
      <w:tr>
        <w:trPr>
          <w:trHeight w:val="813" w:hRule="atLeast"/>
        </w:trPr>
        <w:tc>
          <w:tcPr>
            <w:tcW w:w="651" w:type="dxa"/>
            <w:tcBorders>
              <w:top w:val="single" w:sz="8" w:space="0" w:color="000000"/>
            </w:tcBorders>
          </w:tcPr>
          <w:p>
            <w:pPr>
              <w:pStyle w:val="TableParagraph"/>
              <w:spacing w:before="9"/>
              <w:rPr>
                <w:sz w:val="14"/>
              </w:rPr>
            </w:pPr>
          </w:p>
          <w:p>
            <w:pPr>
              <w:pStyle w:val="TableParagraph"/>
              <w:ind w:left="107"/>
              <w:rPr>
                <w:b/>
                <w:sz w:val="21"/>
              </w:rPr>
            </w:pPr>
            <w:r>
              <w:rPr>
                <w:b/>
                <w:sz w:val="21"/>
              </w:rPr>
              <w:t>5.1</w:t>
            </w:r>
          </w:p>
        </w:tc>
        <w:tc>
          <w:tcPr>
            <w:tcW w:w="9514" w:type="dxa"/>
            <w:tcBorders>
              <w:top w:val="single" w:sz="8" w:space="0" w:color="000000"/>
            </w:tcBorders>
          </w:tcPr>
          <w:p>
            <w:pPr>
              <w:pStyle w:val="TableParagraph"/>
              <w:spacing w:line="310" w:lineRule="atLeast" w:before="157"/>
              <w:ind w:left="2254" w:right="117" w:hanging="2029"/>
              <w:rPr>
                <w:sz w:val="21"/>
              </w:rPr>
            </w:pPr>
            <w:r>
              <w:rPr>
                <w:b/>
                <w:sz w:val="21"/>
              </w:rPr>
              <w:t>本附加合同现金价值 </w:t>
            </w:r>
            <w:r>
              <w:rPr>
                <w:sz w:val="21"/>
              </w:rPr>
              <w:t>本附加合同保单年度末的现金价值会在保险合同中载明，保单年度之内的现金价值您可以向我们查询。</w:t>
            </w:r>
          </w:p>
        </w:tc>
      </w:tr>
      <w:tr>
        <w:trPr>
          <w:trHeight w:val="868" w:hRule="atLeast"/>
        </w:trPr>
        <w:tc>
          <w:tcPr>
            <w:tcW w:w="651" w:type="dxa"/>
            <w:tcBorders>
              <w:bottom w:val="single" w:sz="8" w:space="0" w:color="000000"/>
            </w:tcBorders>
          </w:tcPr>
          <w:p>
            <w:pPr>
              <w:pStyle w:val="TableParagraph"/>
              <w:spacing w:before="128"/>
              <w:ind w:left="107"/>
              <w:rPr>
                <w:rFonts w:ascii="Yu Gothic" w:hAnsi="Yu Gothic"/>
                <w:b/>
                <w:sz w:val="40"/>
              </w:rPr>
            </w:pPr>
            <w:r>
              <w:rPr>
                <w:rFonts w:ascii="Yu Gothic" w:hAnsi="Yu Gothic"/>
                <w:b/>
                <w:w w:val="89"/>
                <w:sz w:val="40"/>
              </w:rPr>
              <w:t>◉</w:t>
            </w:r>
          </w:p>
        </w:tc>
        <w:tc>
          <w:tcPr>
            <w:tcW w:w="9514" w:type="dxa"/>
            <w:tcBorders>
              <w:bottom w:val="single" w:sz="8" w:space="0" w:color="000000"/>
            </w:tcBorders>
          </w:tcPr>
          <w:p>
            <w:pPr>
              <w:pStyle w:val="TableParagraph"/>
              <w:spacing w:before="8"/>
              <w:rPr>
                <w:sz w:val="27"/>
              </w:rPr>
            </w:pPr>
          </w:p>
          <w:p>
            <w:pPr>
              <w:pStyle w:val="TableParagraph"/>
              <w:ind w:left="225"/>
              <w:rPr>
                <w:b/>
                <w:sz w:val="24"/>
              </w:rPr>
            </w:pPr>
            <w:r>
              <w:rPr>
                <w:b/>
                <w:sz w:val="24"/>
              </w:rPr>
              <w:t>合同中止和复效</w:t>
            </w:r>
          </w:p>
        </w:tc>
      </w:tr>
      <w:tr>
        <w:trPr>
          <w:trHeight w:val="788" w:hRule="atLeast"/>
        </w:trPr>
        <w:tc>
          <w:tcPr>
            <w:tcW w:w="651" w:type="dxa"/>
            <w:tcBorders>
              <w:top w:val="single" w:sz="8" w:space="0" w:color="000000"/>
            </w:tcBorders>
          </w:tcPr>
          <w:p>
            <w:pPr>
              <w:pStyle w:val="TableParagraph"/>
              <w:spacing w:before="9"/>
              <w:rPr>
                <w:sz w:val="14"/>
              </w:rPr>
            </w:pPr>
          </w:p>
          <w:p>
            <w:pPr>
              <w:pStyle w:val="TableParagraph"/>
              <w:ind w:left="107"/>
              <w:rPr>
                <w:b/>
                <w:sz w:val="21"/>
              </w:rPr>
            </w:pPr>
            <w:r>
              <w:rPr>
                <w:b/>
                <w:sz w:val="21"/>
              </w:rPr>
              <w:t>6.1</w:t>
            </w:r>
          </w:p>
        </w:tc>
        <w:tc>
          <w:tcPr>
            <w:tcW w:w="9514" w:type="dxa"/>
            <w:tcBorders>
              <w:top w:val="single" w:sz="8" w:space="0" w:color="000000"/>
            </w:tcBorders>
          </w:tcPr>
          <w:p>
            <w:pPr>
              <w:pStyle w:val="TableParagraph"/>
              <w:tabs>
                <w:tab w:pos="2254" w:val="left" w:leader="none"/>
              </w:tabs>
              <w:spacing w:line="310" w:lineRule="atLeast" w:before="158"/>
              <w:ind w:left="2254" w:right="104" w:hanging="2030"/>
              <w:rPr>
                <w:rFonts w:ascii="黑体" w:eastAsia="黑体" w:hint="eastAsia"/>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r>
              <w:rPr>
                <w:rFonts w:ascii="黑体" w:eastAsia="黑体" w:hint="eastAsia"/>
                <w:i/>
                <w:w w:val="95"/>
                <w:sz w:val="22"/>
              </w:rPr>
              <w:t>。</w:t>
            </w:r>
          </w:p>
        </w:tc>
      </w:tr>
      <w:tr>
        <w:trPr>
          <w:trHeight w:val="843" w:hRule="atLeast"/>
        </w:trPr>
        <w:tc>
          <w:tcPr>
            <w:tcW w:w="651" w:type="dxa"/>
          </w:tcPr>
          <w:p>
            <w:pPr>
              <w:pStyle w:val="TableParagraph"/>
              <w:spacing w:before="8"/>
              <w:rPr>
                <w:sz w:val="19"/>
              </w:rPr>
            </w:pPr>
          </w:p>
          <w:p>
            <w:pPr>
              <w:pStyle w:val="TableParagraph"/>
              <w:ind w:left="108"/>
              <w:rPr>
                <w:b/>
                <w:sz w:val="21"/>
              </w:rPr>
            </w:pPr>
            <w:r>
              <w:rPr>
                <w:b/>
                <w:sz w:val="21"/>
              </w:rPr>
              <w:t>6.2</w:t>
            </w:r>
          </w:p>
        </w:tc>
        <w:tc>
          <w:tcPr>
            <w:tcW w:w="9514" w:type="dxa"/>
          </w:tcPr>
          <w:p>
            <w:pPr>
              <w:pStyle w:val="TableParagraph"/>
              <w:spacing w:before="12"/>
              <w:rPr>
                <w:sz w:val="16"/>
              </w:rPr>
            </w:pPr>
          </w:p>
          <w:p>
            <w:pPr>
              <w:pStyle w:val="TableParagraph"/>
              <w:tabs>
                <w:tab w:pos="2254" w:val="left" w:leader="none"/>
              </w:tabs>
              <w:spacing w:line="310" w:lineRule="atLeast"/>
              <w:ind w:left="2674" w:right="99" w:hanging="2450"/>
              <w:rPr>
                <w:sz w:val="21"/>
              </w:rPr>
            </w:pPr>
            <w:r>
              <w:rPr>
                <w:b/>
                <w:sz w:val="21"/>
              </w:rPr>
              <w:t>合同复效</w:t>
              <w:tab/>
            </w:r>
            <w:r>
              <w:rPr>
                <w:spacing w:val="-1"/>
                <w:sz w:val="21"/>
              </w:rPr>
              <w:t>一、</w:t>
            </w:r>
            <w:r>
              <w:rPr>
                <w:sz w:val="21"/>
              </w:rPr>
              <w:t>本附加合同中止后2年内</w:t>
            </w:r>
            <w:r>
              <w:rPr>
                <w:spacing w:val="-22"/>
                <w:sz w:val="21"/>
              </w:rPr>
              <w:t>，</w:t>
            </w:r>
            <w:r>
              <w:rPr>
                <w:sz w:val="21"/>
              </w:rPr>
              <w:t>您可以申请恢复合同效</w:t>
            </w:r>
            <w:r>
              <w:rPr>
                <w:spacing w:val="-22"/>
                <w:sz w:val="21"/>
              </w:rPr>
              <w:t>力</w:t>
            </w:r>
            <w:r>
              <w:rPr>
                <w:sz w:val="21"/>
              </w:rPr>
              <w:t>（即复效</w:t>
            </w:r>
            <w:r>
              <w:rPr>
                <w:spacing w:val="-22"/>
                <w:sz w:val="21"/>
              </w:rPr>
              <w:t>）。</w:t>
            </w:r>
            <w:r>
              <w:rPr>
                <w:sz w:val="21"/>
              </w:rPr>
              <w:t>经我们与您协商并达成协议，自您补交复效时应交纳的全部保险费及其</w:t>
            </w:r>
            <w:r>
              <w:rPr>
                <w:b/>
                <w:sz w:val="21"/>
              </w:rPr>
              <w:t>利息</w:t>
            </w:r>
            <w:r>
              <w:rPr>
                <w:sz w:val="21"/>
              </w:rPr>
              <w:t>、借款</w:t>
            </w:r>
          </w:p>
        </w:tc>
      </w:tr>
    </w:tbl>
    <w:p>
      <w:pPr>
        <w:spacing w:after="0" w:line="310" w:lineRule="atLeast"/>
        <w:rPr>
          <w:sz w:val="21"/>
        </w:rPr>
        <w:sectPr>
          <w:pgSz w:w="11910" w:h="16840"/>
          <w:pgMar w:header="0" w:footer="362" w:top="1100" w:bottom="640" w:left="760" w:right="760"/>
        </w:sectPr>
      </w:pPr>
    </w:p>
    <w:p>
      <w:pPr>
        <w:pStyle w:val="BodyText"/>
        <w:spacing w:before="19"/>
        <w:ind w:left="3429"/>
      </w:pPr>
      <w:r>
        <w:rPr/>
        <w:t>本息和其他各项欠款本息的次日零时起，本附加合同效力恢复。</w:t>
      </w:r>
    </w:p>
    <w:p>
      <w:pPr>
        <w:pStyle w:val="BodyText"/>
        <w:spacing w:line="273" w:lineRule="auto" w:before="37"/>
        <w:ind w:left="3429" w:right="216" w:hanging="420"/>
      </w:pPr>
      <w:r>
        <w:rPr/>
        <w:t>二、自本附加合同中止之日起满2年您和我们未达成协议的，我们有权解除合同。我们解除合同的，向您退还合同中止时的现金价值。</w:t>
      </w:r>
    </w:p>
    <w:p>
      <w:pPr>
        <w:pStyle w:val="BodyText"/>
        <w:spacing w:before="12"/>
        <w:rPr>
          <w:sz w:val="2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9513"/>
      </w:tblGrid>
      <w:tr>
        <w:trPr>
          <w:trHeight w:val="522" w:hRule="atLeast"/>
        </w:trPr>
        <w:tc>
          <w:tcPr>
            <w:tcW w:w="651" w:type="dxa"/>
            <w:tcBorders>
              <w:bottom w:val="single" w:sz="8" w:space="0" w:color="000000"/>
            </w:tcBorders>
          </w:tcPr>
          <w:p>
            <w:pPr>
              <w:pStyle w:val="TableParagraph"/>
              <w:spacing w:line="456" w:lineRule="exact"/>
              <w:ind w:left="107"/>
              <w:rPr>
                <w:rFonts w:ascii="Yu Gothic"/>
                <w:b/>
                <w:sz w:val="40"/>
              </w:rPr>
            </w:pPr>
            <w:r>
              <w:rPr>
                <w:rFonts w:ascii="Yu Gothic"/>
                <w:b/>
                <w:w w:val="155"/>
                <w:sz w:val="40"/>
              </w:rPr>
              <w:t>0</w:t>
            </w:r>
          </w:p>
        </w:tc>
        <w:tc>
          <w:tcPr>
            <w:tcW w:w="9513" w:type="dxa"/>
            <w:tcBorders>
              <w:bottom w:val="single" w:sz="8" w:space="0" w:color="000000"/>
            </w:tcBorders>
          </w:tcPr>
          <w:p>
            <w:pPr>
              <w:pStyle w:val="TableParagraph"/>
              <w:spacing w:before="16"/>
              <w:ind w:left="225"/>
              <w:rPr>
                <w:b/>
                <w:sz w:val="24"/>
              </w:rPr>
            </w:pPr>
            <w:r>
              <w:rPr>
                <w:b/>
                <w:sz w:val="24"/>
              </w:rPr>
              <w:t>合同解除和变更</w:t>
            </w:r>
          </w:p>
        </w:tc>
      </w:tr>
      <w:tr>
        <w:trPr>
          <w:trHeight w:val="2347" w:hRule="atLeast"/>
        </w:trPr>
        <w:tc>
          <w:tcPr>
            <w:tcW w:w="651" w:type="dxa"/>
            <w:tcBorders>
              <w:top w:val="single" w:sz="8" w:space="0" w:color="000000"/>
            </w:tcBorders>
          </w:tcPr>
          <w:p>
            <w:pPr>
              <w:pStyle w:val="TableParagraph"/>
              <w:spacing w:before="9"/>
              <w:rPr>
                <w:sz w:val="14"/>
              </w:rPr>
            </w:pPr>
          </w:p>
          <w:p>
            <w:pPr>
              <w:pStyle w:val="TableParagraph"/>
              <w:ind w:left="107"/>
              <w:rPr>
                <w:b/>
                <w:sz w:val="21"/>
              </w:rPr>
            </w:pPr>
            <w:r>
              <w:rPr>
                <w:b/>
                <w:sz w:val="21"/>
              </w:rPr>
              <w:t>7.1</w:t>
            </w:r>
          </w:p>
        </w:tc>
        <w:tc>
          <w:tcPr>
            <w:tcW w:w="9513" w:type="dxa"/>
            <w:tcBorders>
              <w:top w:val="single" w:sz="8" w:space="0" w:color="000000"/>
            </w:tcBorders>
          </w:tcPr>
          <w:p>
            <w:pPr>
              <w:pStyle w:val="TableParagraph"/>
              <w:spacing w:before="9"/>
              <w:rPr>
                <w:sz w:val="14"/>
              </w:rPr>
            </w:pPr>
          </w:p>
          <w:p>
            <w:pPr>
              <w:pStyle w:val="TableParagraph"/>
              <w:tabs>
                <w:tab w:pos="2695" w:val="left" w:leader="none"/>
              </w:tabs>
              <w:spacing w:line="273" w:lineRule="auto"/>
              <w:ind w:left="224" w:right="97"/>
              <w:rPr>
                <w:sz w:val="21"/>
              </w:rPr>
            </w:pPr>
            <w:r>
              <w:rPr>
                <w:b/>
                <w:sz w:val="21"/>
              </w:rPr>
              <w:t>您解除合同的手续及</w:t>
            </w:r>
            <w:r>
              <w:rPr>
                <w:b/>
                <w:spacing w:val="41"/>
                <w:sz w:val="21"/>
              </w:rPr>
              <w:t> </w:t>
            </w:r>
            <w:r>
              <w:rPr>
                <w:sz w:val="21"/>
              </w:rPr>
              <w:t>一、若您在犹豫期后申请解除本附加合同，请填写解除合同申请书并向我们提</w:t>
            </w:r>
            <w:r>
              <w:rPr>
                <w:b/>
                <w:sz w:val="21"/>
              </w:rPr>
              <w:t>风险</w:t>
              <w:tab/>
            </w:r>
            <w:r>
              <w:rPr>
                <w:sz w:val="21"/>
              </w:rPr>
              <w:t>供下列资料：</w:t>
            </w:r>
          </w:p>
          <w:p>
            <w:pPr>
              <w:pStyle w:val="TableParagraph"/>
              <w:spacing w:before="7"/>
              <w:ind w:left="2603"/>
              <w:rPr>
                <w:sz w:val="21"/>
              </w:rPr>
            </w:pPr>
            <w:r>
              <w:rPr>
                <w:sz w:val="21"/>
              </w:rPr>
              <w:t>（一）保险合同；</w:t>
            </w:r>
          </w:p>
          <w:p>
            <w:pPr>
              <w:pStyle w:val="TableParagraph"/>
              <w:spacing w:before="36"/>
              <w:ind w:left="2603"/>
              <w:rPr>
                <w:sz w:val="21"/>
              </w:rPr>
            </w:pPr>
            <w:r>
              <w:rPr>
                <w:sz w:val="21"/>
              </w:rPr>
              <w:t>（二）您的有效身份证件。</w:t>
            </w:r>
          </w:p>
          <w:p>
            <w:pPr>
              <w:pStyle w:val="TableParagraph"/>
              <w:spacing w:line="273" w:lineRule="auto" w:before="36"/>
              <w:ind w:left="2695" w:right="57" w:hanging="420"/>
              <w:rPr>
                <w:sz w:val="21"/>
              </w:rPr>
            </w:pPr>
            <w:r>
              <w:rPr>
                <w:sz w:val="21"/>
              </w:rPr>
              <w:t>二、自我们收到解除合同申请书时起，本附加合同终止。我们自收到解除合同申请书之日起 30 日内退还本附加合同的现金价值。</w:t>
            </w:r>
          </w:p>
          <w:p>
            <w:pPr>
              <w:pStyle w:val="TableParagraph"/>
              <w:spacing w:line="263" w:lineRule="exact" w:before="7"/>
              <w:ind w:left="2275"/>
              <w:rPr>
                <w:sz w:val="21"/>
              </w:rPr>
            </w:pPr>
            <w:r>
              <w:rPr>
                <w:sz w:val="21"/>
              </w:rPr>
              <w:t>三、您在犹豫期后解除合同会遭受一定损失。</w:t>
            </w:r>
          </w:p>
        </w:tc>
      </w:tr>
      <w:tr>
        <w:trPr>
          <w:trHeight w:val="1630" w:hRule="atLeast"/>
        </w:trPr>
        <w:tc>
          <w:tcPr>
            <w:tcW w:w="651" w:type="dxa"/>
          </w:tcPr>
          <w:p>
            <w:pPr>
              <w:pStyle w:val="TableParagraph"/>
              <w:spacing w:before="6"/>
              <w:rPr>
                <w:sz w:val="19"/>
              </w:rPr>
            </w:pPr>
          </w:p>
          <w:p>
            <w:pPr>
              <w:pStyle w:val="TableParagraph"/>
              <w:spacing w:before="1"/>
              <w:ind w:left="107"/>
              <w:rPr>
                <w:b/>
                <w:sz w:val="21"/>
              </w:rPr>
            </w:pPr>
            <w:r>
              <w:rPr>
                <w:b/>
                <w:sz w:val="21"/>
              </w:rPr>
              <w:t>7.2</w:t>
            </w:r>
          </w:p>
        </w:tc>
        <w:tc>
          <w:tcPr>
            <w:tcW w:w="9513" w:type="dxa"/>
          </w:tcPr>
          <w:p>
            <w:pPr>
              <w:pStyle w:val="TableParagraph"/>
              <w:spacing w:before="6"/>
              <w:rPr>
                <w:sz w:val="19"/>
              </w:rPr>
            </w:pPr>
          </w:p>
          <w:p>
            <w:pPr>
              <w:pStyle w:val="TableParagraph"/>
              <w:tabs>
                <w:tab w:pos="2254" w:val="left" w:leader="none"/>
              </w:tabs>
              <w:spacing w:line="273" w:lineRule="auto" w:before="1"/>
              <w:ind w:left="2674" w:right="116" w:hanging="2450"/>
              <w:jc w:val="both"/>
              <w:rPr>
                <w:sz w:val="21"/>
              </w:rPr>
            </w:pPr>
            <w:r>
              <w:rPr>
                <w:b/>
                <w:sz w:val="21"/>
              </w:rPr>
              <w:t>合同变更</w:t>
              <w:tab/>
            </w:r>
            <w:r>
              <w:rPr>
                <w:sz w:val="21"/>
              </w:rPr>
              <w:t>一、本附加合同生效后，若您需变更本附加合同的内容，应当向我们提出变更合同的申请，在您与我们达成一致后，可以对合同约定事项进行变更，变更可以用在保险合同上批注、附贴批单的方式进行。</w:t>
            </w:r>
          </w:p>
          <w:p>
            <w:pPr>
              <w:pStyle w:val="TableParagraph"/>
              <w:spacing w:before="7"/>
              <w:ind w:left="2254"/>
              <w:rPr>
                <w:sz w:val="21"/>
              </w:rPr>
            </w:pPr>
            <w:r>
              <w:rPr>
                <w:sz w:val="21"/>
              </w:rPr>
              <w:t>二、若被保险人患重大疾病，则我们不接受本附加合同任何内容的变更申请，</w:t>
            </w:r>
          </w:p>
        </w:tc>
      </w:tr>
      <w:tr>
        <w:trPr>
          <w:trHeight w:val="1344" w:hRule="atLeast"/>
        </w:trPr>
        <w:tc>
          <w:tcPr>
            <w:tcW w:w="651" w:type="dxa"/>
          </w:tcPr>
          <w:p>
            <w:pPr>
              <w:pStyle w:val="TableParagraph"/>
              <w:rPr>
                <w:sz w:val="20"/>
              </w:rPr>
            </w:pPr>
          </w:p>
          <w:p>
            <w:pPr>
              <w:pStyle w:val="TableParagraph"/>
              <w:spacing w:before="150"/>
              <w:ind w:left="107"/>
              <w:rPr>
                <w:b/>
                <w:sz w:val="21"/>
              </w:rPr>
            </w:pPr>
            <w:r>
              <w:rPr>
                <w:b/>
                <w:sz w:val="21"/>
              </w:rPr>
              <w:t>7.3</w:t>
            </w:r>
          </w:p>
        </w:tc>
        <w:tc>
          <w:tcPr>
            <w:tcW w:w="9513" w:type="dxa"/>
          </w:tcPr>
          <w:p>
            <w:pPr>
              <w:pStyle w:val="TableParagraph"/>
              <w:spacing w:line="148" w:lineRule="exact"/>
              <w:ind w:left="2674"/>
              <w:rPr>
                <w:sz w:val="21"/>
              </w:rPr>
            </w:pPr>
            <w:r>
              <w:rPr>
                <w:sz w:val="21"/>
              </w:rPr>
              <w:t>但联系方式的变更除外。</w:t>
            </w:r>
          </w:p>
          <w:p>
            <w:pPr>
              <w:pStyle w:val="TableParagraph"/>
              <w:spacing w:before="6"/>
              <w:rPr>
                <w:sz w:val="17"/>
              </w:rPr>
            </w:pPr>
          </w:p>
          <w:p>
            <w:pPr>
              <w:pStyle w:val="TableParagraph"/>
              <w:spacing w:line="310" w:lineRule="atLeast"/>
              <w:ind w:left="2254" w:right="100" w:hanging="2029"/>
              <w:jc w:val="both"/>
              <w:rPr>
                <w:sz w:val="21"/>
              </w:rPr>
            </w:pPr>
            <w:r>
              <w:rPr>
                <w:b/>
                <w:sz w:val="21"/>
              </w:rPr>
              <w:t>联系方式变更      </w:t>
            </w: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w:t>
            </w:r>
          </w:p>
        </w:tc>
      </w:tr>
      <w:tr>
        <w:trPr>
          <w:trHeight w:val="1180" w:hRule="atLeast"/>
        </w:trPr>
        <w:tc>
          <w:tcPr>
            <w:tcW w:w="651" w:type="dxa"/>
            <w:tcBorders>
              <w:bottom w:val="single" w:sz="8" w:space="0" w:color="000000"/>
            </w:tcBorders>
          </w:tcPr>
          <w:p>
            <w:pPr>
              <w:pStyle w:val="TableParagraph"/>
              <w:spacing w:before="8"/>
              <w:rPr>
                <w:sz w:val="33"/>
              </w:rPr>
            </w:pPr>
          </w:p>
          <w:p>
            <w:pPr>
              <w:pStyle w:val="TableParagraph"/>
              <w:spacing w:before="1"/>
              <w:ind w:left="107"/>
              <w:rPr>
                <w:rFonts w:ascii="Yu Gothic" w:hAnsi="Yu Gothic"/>
                <w:b/>
                <w:sz w:val="40"/>
              </w:rPr>
            </w:pPr>
            <w:r>
              <w:rPr>
                <w:rFonts w:ascii="Yu Gothic" w:hAnsi="Yu Gothic"/>
                <w:b/>
                <w:w w:val="151"/>
                <w:sz w:val="40"/>
              </w:rPr>
              <w:t>®</w:t>
            </w:r>
          </w:p>
        </w:tc>
        <w:tc>
          <w:tcPr>
            <w:tcW w:w="9513" w:type="dxa"/>
            <w:tcBorders>
              <w:bottom w:val="single" w:sz="8" w:space="0" w:color="000000"/>
            </w:tcBorders>
          </w:tcPr>
          <w:p>
            <w:pPr>
              <w:pStyle w:val="TableParagraph"/>
              <w:spacing w:before="3"/>
              <w:ind w:left="2254"/>
              <w:rPr>
                <w:sz w:val="21"/>
              </w:rPr>
            </w:pPr>
            <w:r>
              <w:rPr>
                <w:sz w:val="21"/>
              </w:rPr>
              <w:t>通知，均视为已送达给您。</w:t>
            </w:r>
          </w:p>
          <w:p>
            <w:pPr>
              <w:pStyle w:val="TableParagraph"/>
              <w:rPr>
                <w:sz w:val="20"/>
              </w:rPr>
            </w:pPr>
          </w:p>
          <w:p>
            <w:pPr>
              <w:pStyle w:val="TableParagraph"/>
              <w:spacing w:before="133"/>
              <w:ind w:left="225"/>
              <w:rPr>
                <w:b/>
                <w:sz w:val="24"/>
              </w:rPr>
            </w:pPr>
            <w:r>
              <w:rPr>
                <w:b/>
                <w:sz w:val="24"/>
              </w:rPr>
              <w:t>释义</w:t>
            </w:r>
          </w:p>
        </w:tc>
      </w:tr>
      <w:tr>
        <w:trPr>
          <w:trHeight w:val="786" w:hRule="atLeast"/>
        </w:trPr>
        <w:tc>
          <w:tcPr>
            <w:tcW w:w="651" w:type="dxa"/>
            <w:tcBorders>
              <w:top w:val="single" w:sz="8" w:space="0" w:color="000000"/>
            </w:tcBorders>
          </w:tcPr>
          <w:p>
            <w:pPr>
              <w:pStyle w:val="TableParagraph"/>
              <w:spacing w:before="10"/>
              <w:rPr>
                <w:sz w:val="14"/>
              </w:rPr>
            </w:pPr>
          </w:p>
          <w:p>
            <w:pPr>
              <w:pStyle w:val="TableParagraph"/>
              <w:ind w:left="107"/>
              <w:rPr>
                <w:b/>
                <w:sz w:val="21"/>
              </w:rPr>
            </w:pPr>
            <w:r>
              <w:rPr>
                <w:b/>
                <w:sz w:val="21"/>
              </w:rPr>
              <w:t>8.1</w:t>
            </w:r>
          </w:p>
        </w:tc>
        <w:tc>
          <w:tcPr>
            <w:tcW w:w="9513" w:type="dxa"/>
            <w:tcBorders>
              <w:top w:val="single" w:sz="8" w:space="0" w:color="000000"/>
            </w:tcBorders>
          </w:tcPr>
          <w:p>
            <w:pPr>
              <w:pStyle w:val="TableParagraph"/>
              <w:tabs>
                <w:tab w:pos="2254" w:val="left" w:leader="none"/>
              </w:tabs>
              <w:spacing w:line="310" w:lineRule="atLeast" w:before="158"/>
              <w:ind w:left="2254" w:right="116" w:hanging="2030"/>
              <w:rPr>
                <w:sz w:val="21"/>
              </w:rPr>
            </w:pPr>
            <w:r>
              <w:rPr>
                <w:b/>
                <w:sz w:val="21"/>
              </w:rPr>
              <w:t>保单年度</w:t>
              <w:tab/>
            </w:r>
            <w:r>
              <w:rPr>
                <w:sz w:val="21"/>
              </w:rPr>
              <w:t>从本合同生效日或保单周年日零时起至下一年度的保单周年日零时止为一个保单年度。</w:t>
            </w:r>
          </w:p>
        </w:tc>
      </w:tr>
      <w:tr>
        <w:trPr>
          <w:trHeight w:val="821" w:hRule="atLeast"/>
        </w:trPr>
        <w:tc>
          <w:tcPr>
            <w:tcW w:w="651" w:type="dxa"/>
          </w:tcPr>
          <w:p>
            <w:pPr>
              <w:pStyle w:val="TableParagraph"/>
              <w:spacing w:before="4"/>
              <w:rPr>
                <w:sz w:val="19"/>
              </w:rPr>
            </w:pPr>
          </w:p>
          <w:p>
            <w:pPr>
              <w:pStyle w:val="TableParagraph"/>
              <w:ind w:left="107"/>
              <w:rPr>
                <w:b/>
                <w:sz w:val="21"/>
              </w:rPr>
            </w:pPr>
            <w:r>
              <w:rPr>
                <w:b/>
                <w:sz w:val="21"/>
              </w:rPr>
              <w:t>8.2</w:t>
            </w:r>
          </w:p>
        </w:tc>
        <w:tc>
          <w:tcPr>
            <w:tcW w:w="9513" w:type="dxa"/>
          </w:tcPr>
          <w:p>
            <w:pPr>
              <w:pStyle w:val="TableParagraph"/>
              <w:spacing w:before="8"/>
              <w:rPr>
                <w:sz w:val="16"/>
              </w:rPr>
            </w:pPr>
          </w:p>
          <w:p>
            <w:pPr>
              <w:pStyle w:val="TableParagraph"/>
              <w:tabs>
                <w:tab w:pos="2254" w:val="left" w:leader="none"/>
              </w:tabs>
              <w:spacing w:line="310" w:lineRule="atLeast"/>
              <w:ind w:left="2254" w:right="116" w:hanging="2030"/>
              <w:rPr>
                <w:sz w:val="21"/>
              </w:rPr>
            </w:pPr>
            <w:r>
              <w:rPr>
                <w:b/>
                <w:sz w:val="21"/>
              </w:rPr>
              <w:t>保单周年日</w:t>
              <w:tab/>
            </w:r>
            <w:r>
              <w:rPr>
                <w:sz w:val="21"/>
              </w:rPr>
              <w:t>指本合同生效日在合同生效后每年的对应日，不含本合同生效日当日。若当月没有对应的同一日，则以该月最后一日为对应日。</w:t>
            </w:r>
          </w:p>
        </w:tc>
      </w:tr>
      <w:tr>
        <w:trPr>
          <w:trHeight w:val="781" w:hRule="atLeast"/>
        </w:trPr>
        <w:tc>
          <w:tcPr>
            <w:tcW w:w="651" w:type="dxa"/>
          </w:tcPr>
          <w:p>
            <w:pPr>
              <w:pStyle w:val="TableParagraph"/>
              <w:spacing w:before="13"/>
              <w:rPr>
                <w:sz w:val="15"/>
              </w:rPr>
            </w:pPr>
          </w:p>
          <w:p>
            <w:pPr>
              <w:pStyle w:val="TableParagraph"/>
              <w:ind w:left="107"/>
              <w:rPr>
                <w:b/>
                <w:sz w:val="21"/>
              </w:rPr>
            </w:pPr>
            <w:r>
              <w:rPr>
                <w:b/>
                <w:sz w:val="21"/>
              </w:rPr>
              <w:t>8.3</w:t>
            </w:r>
          </w:p>
        </w:tc>
        <w:tc>
          <w:tcPr>
            <w:tcW w:w="9513" w:type="dxa"/>
          </w:tcPr>
          <w:p>
            <w:pPr>
              <w:pStyle w:val="TableParagraph"/>
              <w:tabs>
                <w:tab w:pos="2254" w:val="left" w:leader="none"/>
              </w:tabs>
              <w:spacing w:line="310" w:lineRule="atLeast" w:before="174"/>
              <w:ind w:left="2254" w:right="-15" w:hanging="2030"/>
              <w:rPr>
                <w:sz w:val="21"/>
              </w:rPr>
            </w:pPr>
            <w:r>
              <w:rPr>
                <w:b/>
                <w:sz w:val="21"/>
              </w:rPr>
              <w:t>保险费约定支付日</w:t>
              <w:tab/>
            </w:r>
            <w:r>
              <w:rPr>
                <w:sz w:val="21"/>
              </w:rPr>
              <w:t>指本合同生效日在每月</w:t>
            </w:r>
            <w:r>
              <w:rPr>
                <w:spacing w:val="-22"/>
                <w:sz w:val="21"/>
              </w:rPr>
              <w:t>、</w:t>
            </w:r>
            <w:r>
              <w:rPr>
                <w:sz w:val="21"/>
              </w:rPr>
              <w:t>每季</w:t>
            </w:r>
            <w:r>
              <w:rPr>
                <w:spacing w:val="-22"/>
                <w:sz w:val="21"/>
              </w:rPr>
              <w:t>、</w:t>
            </w:r>
            <w:r>
              <w:rPr>
                <w:sz w:val="21"/>
              </w:rPr>
              <w:t>每半年或每</w:t>
            </w:r>
            <w:r>
              <w:rPr>
                <w:spacing w:val="-22"/>
                <w:sz w:val="21"/>
              </w:rPr>
              <w:t>年</w:t>
            </w:r>
            <w:r>
              <w:rPr>
                <w:sz w:val="21"/>
              </w:rPr>
              <w:t>（根据交费方式确定</w:t>
            </w:r>
            <w:r>
              <w:rPr>
                <w:spacing w:val="-22"/>
                <w:sz w:val="21"/>
              </w:rPr>
              <w:t>）</w:t>
            </w:r>
            <w:r>
              <w:rPr>
                <w:sz w:val="21"/>
              </w:rPr>
              <w:t>的对应日。若当月无对应的同一日，则以该月最后一日为对应日。</w:t>
            </w:r>
          </w:p>
        </w:tc>
      </w:tr>
      <w:tr>
        <w:trPr>
          <w:trHeight w:val="790" w:hRule="atLeast"/>
        </w:trPr>
        <w:tc>
          <w:tcPr>
            <w:tcW w:w="651" w:type="dxa"/>
          </w:tcPr>
          <w:p>
            <w:pPr>
              <w:pStyle w:val="TableParagraph"/>
              <w:spacing w:before="8"/>
              <w:rPr>
                <w:sz w:val="16"/>
              </w:rPr>
            </w:pPr>
          </w:p>
          <w:p>
            <w:pPr>
              <w:pStyle w:val="TableParagraph"/>
              <w:spacing w:before="1"/>
              <w:ind w:left="107"/>
              <w:rPr>
                <w:b/>
                <w:sz w:val="21"/>
              </w:rPr>
            </w:pPr>
            <w:r>
              <w:rPr>
                <w:b/>
                <w:sz w:val="21"/>
              </w:rPr>
              <w:t>8.4</w:t>
            </w:r>
          </w:p>
        </w:tc>
        <w:tc>
          <w:tcPr>
            <w:tcW w:w="9513" w:type="dxa"/>
          </w:tcPr>
          <w:p>
            <w:pPr>
              <w:pStyle w:val="TableParagraph"/>
              <w:spacing w:before="12"/>
              <w:rPr>
                <w:sz w:val="13"/>
              </w:rPr>
            </w:pPr>
          </w:p>
          <w:p>
            <w:pPr>
              <w:pStyle w:val="TableParagraph"/>
              <w:tabs>
                <w:tab w:pos="2254" w:val="left" w:leader="none"/>
              </w:tabs>
              <w:spacing w:line="310" w:lineRule="atLeast" w:before="1"/>
              <w:ind w:left="2254" w:right="-15" w:hanging="2030"/>
              <w:rPr>
                <w:sz w:val="21"/>
              </w:rPr>
            </w:pPr>
            <w:r>
              <w:rPr>
                <w:b/>
                <w:sz w:val="21"/>
              </w:rPr>
              <w:t>周岁</w:t>
              <w:tab/>
            </w:r>
            <w:r>
              <w:rPr>
                <w:spacing w:val="-1"/>
                <w:sz w:val="21"/>
              </w:rPr>
              <w:t>指按</w:t>
            </w:r>
            <w:r>
              <w:rPr>
                <w:sz w:val="21"/>
              </w:rPr>
              <w:t>法定身份证明文件中记载的出生日期计算的年龄</w:t>
            </w:r>
            <w:r>
              <w:rPr>
                <w:spacing w:val="-87"/>
                <w:sz w:val="21"/>
              </w:rPr>
              <w:t>，</w:t>
            </w:r>
            <w:r>
              <w:rPr>
                <w:sz w:val="21"/>
              </w:rPr>
              <w:t>自出生之日起为零周岁，每经过一年增加一岁，不足一年的不计。</w:t>
            </w:r>
          </w:p>
        </w:tc>
      </w:tr>
      <w:tr>
        <w:trPr>
          <w:trHeight w:val="494" w:hRule="atLeast"/>
        </w:trPr>
        <w:tc>
          <w:tcPr>
            <w:tcW w:w="651" w:type="dxa"/>
          </w:tcPr>
          <w:p>
            <w:pPr>
              <w:pStyle w:val="TableParagraph"/>
              <w:spacing w:before="10"/>
              <w:rPr>
                <w:sz w:val="16"/>
              </w:rPr>
            </w:pPr>
          </w:p>
          <w:p>
            <w:pPr>
              <w:pStyle w:val="TableParagraph"/>
              <w:spacing w:line="255" w:lineRule="exact"/>
              <w:ind w:left="107"/>
              <w:rPr>
                <w:b/>
                <w:sz w:val="21"/>
              </w:rPr>
            </w:pPr>
            <w:r>
              <w:rPr>
                <w:b/>
                <w:sz w:val="21"/>
              </w:rPr>
              <w:t>8.5</w:t>
            </w:r>
          </w:p>
        </w:tc>
        <w:tc>
          <w:tcPr>
            <w:tcW w:w="9513" w:type="dxa"/>
          </w:tcPr>
          <w:p>
            <w:pPr>
              <w:pStyle w:val="TableParagraph"/>
              <w:spacing w:before="10"/>
              <w:rPr>
                <w:sz w:val="16"/>
              </w:rPr>
            </w:pPr>
          </w:p>
          <w:p>
            <w:pPr>
              <w:pStyle w:val="TableParagraph"/>
              <w:tabs>
                <w:tab w:pos="2254" w:val="left" w:leader="none"/>
              </w:tabs>
              <w:spacing w:line="255" w:lineRule="exact"/>
              <w:ind w:left="224"/>
              <w:rPr>
                <w:sz w:val="21"/>
              </w:rPr>
            </w:pPr>
            <w:r>
              <w:rPr>
                <w:b/>
                <w:sz w:val="21"/>
              </w:rPr>
              <w:t>有效身份证件</w:t>
              <w:tab/>
            </w:r>
            <w:r>
              <w:rPr>
                <w:sz w:val="21"/>
              </w:rPr>
              <w:t>指由政府主管部门规定的证明其身份的证件，如：居民身份证、按规定可使用</w:t>
            </w:r>
          </w:p>
        </w:tc>
      </w:tr>
    </w:tbl>
    <w:p>
      <w:pPr>
        <w:pStyle w:val="BodyText"/>
        <w:spacing w:before="37"/>
        <w:ind w:left="3009"/>
      </w:pPr>
      <w:r>
        <w:rPr/>
        <w:t>的有效护照、军官证、警官证、士兵证、户口簿等证件。</w:t>
      </w:r>
    </w:p>
    <w:p>
      <w:pPr>
        <w:spacing w:after="0"/>
        <w:sectPr>
          <w:pgSz w:w="11910" w:h="16840"/>
          <w:pgMar w:header="0" w:footer="362" w:top="1100" w:bottom="640" w:left="760" w:right="760"/>
        </w:sectPr>
      </w:pPr>
    </w:p>
    <w:p>
      <w:pPr>
        <w:pStyle w:val="BodyText"/>
        <w:rPr>
          <w:sz w:val="20"/>
        </w:rPr>
      </w:pPr>
      <w:r>
        <w:rPr/>
        <w:pict>
          <v:shape style="position:absolute;margin-left:38.598999pt;margin-top:58.175663pt;width:517.8pt;height:684.8pt;mso-position-horizontal-relative:page;mso-position-vertical-relative:page;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6"/>
                    <w:gridCol w:w="9559"/>
                  </w:tblGrid>
                  <w:tr>
                    <w:trPr>
                      <w:trHeight w:val="2078" w:hRule="atLeast"/>
                    </w:trPr>
                    <w:tc>
                      <w:tcPr>
                        <w:tcW w:w="796" w:type="dxa"/>
                      </w:tcPr>
                      <w:p>
                        <w:pPr>
                          <w:pStyle w:val="TableParagraph"/>
                          <w:spacing w:line="230" w:lineRule="exact"/>
                          <w:ind w:left="200"/>
                          <w:rPr>
                            <w:b/>
                            <w:sz w:val="21"/>
                          </w:rPr>
                        </w:pPr>
                        <w:r>
                          <w:rPr>
                            <w:b/>
                            <w:sz w:val="21"/>
                          </w:rPr>
                          <w:t>8.6</w:t>
                        </w:r>
                      </w:p>
                    </w:tc>
                    <w:tc>
                      <w:tcPr>
                        <w:tcW w:w="9559" w:type="dxa"/>
                      </w:tcPr>
                      <w:p>
                        <w:pPr>
                          <w:pStyle w:val="TableParagraph"/>
                          <w:spacing w:line="219" w:lineRule="exact"/>
                          <w:ind w:left="171"/>
                          <w:rPr>
                            <w:sz w:val="21"/>
                          </w:rPr>
                        </w:pPr>
                        <w:r>
                          <w:rPr>
                            <w:b/>
                            <w:position w:val="-1"/>
                            <w:sz w:val="21"/>
                          </w:rPr>
                          <w:t>初次患本附加合同所 </w:t>
                        </w:r>
                        <w:r>
                          <w:rPr>
                            <w:sz w:val="21"/>
                          </w:rPr>
                          <w:t>指被保险人患同时符合以下条件的重大疾病：</w:t>
                        </w:r>
                      </w:p>
                      <w:p>
                        <w:pPr>
                          <w:pStyle w:val="TableParagraph"/>
                          <w:tabs>
                            <w:tab w:pos="2201" w:val="left" w:leader="none"/>
                          </w:tabs>
                          <w:spacing w:line="292" w:lineRule="exact"/>
                          <w:ind w:left="171"/>
                          <w:rPr>
                            <w:sz w:val="21"/>
                          </w:rPr>
                        </w:pPr>
                        <w:r>
                          <w:rPr>
                            <w:b/>
                            <w:position w:val="-5"/>
                            <w:sz w:val="21"/>
                          </w:rPr>
                          <w:t>列的重大疾病</w:t>
                          <w:tab/>
                        </w:r>
                        <w:r>
                          <w:rPr>
                            <w:spacing w:val="-1"/>
                            <w:sz w:val="21"/>
                          </w:rPr>
                          <w:t>（1）</w:t>
                        </w:r>
                        <w:r>
                          <w:rPr>
                            <w:sz w:val="21"/>
                          </w:rPr>
                          <w:t>被保险人自出生后首次出现该重大疾病之症状体征；</w:t>
                        </w:r>
                      </w:p>
                      <w:p>
                        <w:pPr>
                          <w:pStyle w:val="TableParagraph"/>
                          <w:spacing w:line="242" w:lineRule="exact"/>
                          <w:ind w:left="2201"/>
                          <w:rPr>
                            <w:sz w:val="21"/>
                          </w:rPr>
                        </w:pPr>
                        <w:r>
                          <w:rPr>
                            <w:sz w:val="21"/>
                          </w:rPr>
                          <w:t>（2</w:t>
                        </w:r>
                        <w:r>
                          <w:rPr>
                            <w:spacing w:val="-87"/>
                            <w:sz w:val="21"/>
                          </w:rPr>
                          <w:t>）</w:t>
                        </w:r>
                        <w:r>
                          <w:rPr>
                            <w:spacing w:val="-1"/>
                            <w:sz w:val="21"/>
                          </w:rPr>
                          <w:t>被保险人在本附加合同有效期间内首次出现该重大疾病之症状体征并被确</w:t>
                        </w:r>
                      </w:p>
                      <w:p>
                        <w:pPr>
                          <w:pStyle w:val="TableParagraph"/>
                          <w:spacing w:line="272" w:lineRule="exact"/>
                          <w:ind w:left="2201"/>
                          <w:rPr>
                            <w:sz w:val="21"/>
                          </w:rPr>
                        </w:pPr>
                        <w:r>
                          <w:rPr>
                            <w:sz w:val="21"/>
                          </w:rPr>
                          <w:t>诊患该重大疾病；</w:t>
                        </w:r>
                      </w:p>
                      <w:p>
                        <w:pPr>
                          <w:pStyle w:val="TableParagraph"/>
                          <w:spacing w:line="272" w:lineRule="exact"/>
                          <w:ind w:left="2201"/>
                          <w:rPr>
                            <w:sz w:val="21"/>
                          </w:rPr>
                        </w:pPr>
                        <w:r>
                          <w:rPr>
                            <w:sz w:val="21"/>
                          </w:rPr>
                          <w:t>（3）该重大疾病之症状体征符合本附加合同的定义；</w:t>
                        </w:r>
                      </w:p>
                      <w:p>
                        <w:pPr>
                          <w:pStyle w:val="TableParagraph"/>
                          <w:spacing w:line="274" w:lineRule="exact"/>
                          <w:ind w:left="2201"/>
                          <w:rPr>
                            <w:sz w:val="21"/>
                          </w:rPr>
                        </w:pPr>
                        <w:r>
                          <w:rPr>
                            <w:sz w:val="21"/>
                          </w:rPr>
                          <w:t>（4）该重大疾病已在本附加合同中列明。</w:t>
                        </w:r>
                      </w:p>
                      <w:p>
                        <w:pPr>
                          <w:pStyle w:val="TableParagraph"/>
                          <w:spacing w:before="6"/>
                          <w:ind w:left="2201"/>
                          <w:rPr>
                            <w:rFonts w:ascii="黑体" w:eastAsia="黑体" w:hint="eastAsia"/>
                            <w:b/>
                            <w:i/>
                            <w:sz w:val="22"/>
                          </w:rPr>
                        </w:pPr>
                        <w:r>
                          <w:rPr>
                            <w:rFonts w:ascii="黑体" w:eastAsia="黑体" w:hint="eastAsia"/>
                            <w:b/>
                            <w:i/>
                            <w:w w:val="95"/>
                            <w:sz w:val="22"/>
                          </w:rPr>
                          <w:t>对于被保险人在本附加合同Th效日前出现的本附加合同所列的重大疾病之症</w:t>
                        </w:r>
                      </w:p>
                    </w:tc>
                  </w:tr>
                  <w:tr>
                    <w:trPr>
                      <w:trHeight w:val="1180" w:hRule="atLeast"/>
                    </w:trPr>
                    <w:tc>
                      <w:tcPr>
                        <w:tcW w:w="796" w:type="dxa"/>
                      </w:tcPr>
                      <w:p>
                        <w:pPr>
                          <w:pStyle w:val="TableParagraph"/>
                          <w:rPr>
                            <w:sz w:val="20"/>
                          </w:rPr>
                        </w:pPr>
                      </w:p>
                      <w:p>
                        <w:pPr>
                          <w:pStyle w:val="TableParagraph"/>
                          <w:spacing w:before="180"/>
                          <w:ind w:left="200"/>
                          <w:rPr>
                            <w:b/>
                            <w:sz w:val="21"/>
                          </w:rPr>
                        </w:pPr>
                        <w:r>
                          <w:rPr>
                            <w:b/>
                            <w:sz w:val="21"/>
                          </w:rPr>
                          <w:t>8.7</w:t>
                        </w:r>
                      </w:p>
                    </w:tc>
                    <w:tc>
                      <w:tcPr>
                        <w:tcW w:w="9559" w:type="dxa"/>
                      </w:tcPr>
                      <w:p>
                        <w:pPr>
                          <w:pStyle w:val="TableParagraph"/>
                          <w:rPr>
                            <w:sz w:val="20"/>
                          </w:rPr>
                        </w:pPr>
                      </w:p>
                      <w:p>
                        <w:pPr>
                          <w:pStyle w:val="TableParagraph"/>
                          <w:tabs>
                            <w:tab w:pos="2201" w:val="left" w:leader="none"/>
                          </w:tabs>
                          <w:spacing w:line="273" w:lineRule="auto" w:before="180"/>
                          <w:ind w:left="2201" w:right="93" w:hanging="2030"/>
                          <w:rPr>
                            <w:sz w:val="21"/>
                          </w:rPr>
                        </w:pPr>
                        <w:r>
                          <w:rPr>
                            <w:b/>
                            <w:sz w:val="21"/>
                          </w:rPr>
                          <w:t>毒品</w:t>
                          <w:tab/>
                        </w:r>
                        <w:r>
                          <w:rPr>
                            <w:spacing w:val="-1"/>
                            <w:sz w:val="21"/>
                          </w:rPr>
                          <w:t>指中</w:t>
                        </w:r>
                        <w:r>
                          <w:rPr>
                            <w:sz w:val="21"/>
                          </w:rPr>
                          <w:t>华人民共和国刑法规定的鸦片</w:t>
                        </w:r>
                        <w:r>
                          <w:rPr>
                            <w:spacing w:val="-39"/>
                            <w:sz w:val="21"/>
                          </w:rPr>
                          <w:t>、</w:t>
                        </w:r>
                        <w:r>
                          <w:rPr>
                            <w:sz w:val="21"/>
                          </w:rPr>
                          <w:t>海洛因</w:t>
                        </w:r>
                        <w:r>
                          <w:rPr>
                            <w:spacing w:val="-39"/>
                            <w:sz w:val="21"/>
                          </w:rPr>
                          <w:t>、</w:t>
                        </w:r>
                        <w:r>
                          <w:rPr>
                            <w:sz w:val="21"/>
                          </w:rPr>
                          <w:t>甲基苯丙</w:t>
                        </w:r>
                        <w:r>
                          <w:rPr>
                            <w:spacing w:val="-39"/>
                            <w:sz w:val="21"/>
                          </w:rPr>
                          <w:t>胺</w:t>
                        </w:r>
                        <w:r>
                          <w:rPr>
                            <w:sz w:val="21"/>
                          </w:rPr>
                          <w:t>（冰毒</w:t>
                        </w:r>
                        <w:r>
                          <w:rPr>
                            <w:spacing w:val="-105"/>
                            <w:sz w:val="21"/>
                          </w:rPr>
                          <w:t>）</w:t>
                        </w:r>
                        <w:r>
                          <w:rPr>
                            <w:spacing w:val="-39"/>
                            <w:sz w:val="21"/>
                          </w:rPr>
                          <w:t>、</w:t>
                        </w:r>
                        <w:r>
                          <w:rPr>
                            <w:sz w:val="21"/>
                          </w:rPr>
                          <w:t>吗啡</w:t>
                        </w:r>
                        <w:r>
                          <w:rPr>
                            <w:spacing w:val="-39"/>
                            <w:sz w:val="21"/>
                          </w:rPr>
                          <w:t>、</w:t>
                        </w:r>
                        <w:r>
                          <w:rPr>
                            <w:sz w:val="21"/>
                          </w:rPr>
                          <w:t>大麻、可卡因以及国家规定管制的其他能够使人形成瘾癖的麻醉药品和精神药品，但</w:t>
                        </w:r>
                      </w:p>
                    </w:tc>
                  </w:tr>
                  <w:tr>
                    <w:trPr>
                      <w:trHeight w:val="1129" w:hRule="atLeast"/>
                    </w:trPr>
                    <w:tc>
                      <w:tcPr>
                        <w:tcW w:w="796" w:type="dxa"/>
                      </w:tcPr>
                      <w:p>
                        <w:pPr>
                          <w:pStyle w:val="TableParagraph"/>
                          <w:rPr>
                            <w:sz w:val="20"/>
                          </w:rPr>
                        </w:pPr>
                      </w:p>
                      <w:p>
                        <w:pPr>
                          <w:pStyle w:val="TableParagraph"/>
                          <w:spacing w:before="138"/>
                          <w:ind w:left="200"/>
                          <w:rPr>
                            <w:b/>
                            <w:sz w:val="21"/>
                          </w:rPr>
                        </w:pPr>
                        <w:r>
                          <w:rPr>
                            <w:b/>
                            <w:sz w:val="21"/>
                          </w:rPr>
                          <w:t>8.8</w:t>
                        </w:r>
                      </w:p>
                    </w:tc>
                    <w:tc>
                      <w:tcPr>
                        <w:tcW w:w="9559" w:type="dxa"/>
                      </w:tcPr>
                      <w:p>
                        <w:pPr>
                          <w:pStyle w:val="TableParagraph"/>
                          <w:spacing w:line="160" w:lineRule="exact"/>
                          <w:ind w:left="2201"/>
                          <w:rPr>
                            <w:sz w:val="21"/>
                          </w:rPr>
                        </w:pPr>
                        <w:r>
                          <w:rPr>
                            <w:sz w:val="21"/>
                          </w:rPr>
                          <w:t>不包括由医生开具并遵医嘱使用的用于治疗疾病但含有毒品成分的处方药品。</w:t>
                        </w:r>
                      </w:p>
                      <w:p>
                        <w:pPr>
                          <w:pStyle w:val="TableParagraph"/>
                          <w:spacing w:before="4"/>
                          <w:rPr>
                            <w:sz w:val="18"/>
                          </w:rPr>
                        </w:pPr>
                      </w:p>
                      <w:p>
                        <w:pPr>
                          <w:pStyle w:val="TableParagraph"/>
                          <w:tabs>
                            <w:tab w:pos="2201" w:val="left" w:leader="none"/>
                          </w:tabs>
                          <w:spacing w:line="273" w:lineRule="auto"/>
                          <w:ind w:left="2201" w:right="215" w:hanging="2030"/>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w:t>
                        </w:r>
                      </w:p>
                    </w:tc>
                  </w:tr>
                  <w:tr>
                    <w:trPr>
                      <w:trHeight w:val="2083" w:hRule="atLeast"/>
                    </w:trPr>
                    <w:tc>
                      <w:tcPr>
                        <w:tcW w:w="796" w:type="dxa"/>
                      </w:tcPr>
                      <w:p>
                        <w:pPr>
                          <w:pStyle w:val="TableParagraph"/>
                          <w:spacing w:before="11"/>
                          <w:rPr>
                            <w:sz w:val="29"/>
                          </w:rPr>
                        </w:pPr>
                      </w:p>
                      <w:p>
                        <w:pPr>
                          <w:pStyle w:val="TableParagraph"/>
                          <w:ind w:left="200"/>
                          <w:rPr>
                            <w:b/>
                            <w:sz w:val="21"/>
                          </w:rPr>
                        </w:pPr>
                        <w:r>
                          <w:rPr>
                            <w:b/>
                            <w:sz w:val="21"/>
                          </w:rPr>
                          <w:t>8.9</w:t>
                        </w:r>
                      </w:p>
                    </w:tc>
                    <w:tc>
                      <w:tcPr>
                        <w:tcW w:w="9559" w:type="dxa"/>
                      </w:tcPr>
                      <w:p>
                        <w:pPr>
                          <w:pStyle w:val="TableParagraph"/>
                          <w:spacing w:line="169" w:lineRule="exact"/>
                          <w:ind w:left="2201"/>
                          <w:rPr>
                            <w:sz w:val="21"/>
                          </w:rPr>
                        </w:pPr>
                        <w:r>
                          <w:rPr>
                            <w:sz w:val="21"/>
                          </w:rPr>
                          <w:t>为饮酒后驾驶或醉酒后驾驶。</w:t>
                        </w:r>
                      </w:p>
                      <w:p>
                        <w:pPr>
                          <w:pStyle w:val="TableParagraph"/>
                          <w:spacing w:before="12"/>
                          <w:rPr>
                            <w:sz w:val="16"/>
                          </w:rPr>
                        </w:pPr>
                      </w:p>
                      <w:p>
                        <w:pPr>
                          <w:pStyle w:val="TableParagraph"/>
                          <w:ind w:left="171"/>
                          <w:rPr>
                            <w:sz w:val="21"/>
                          </w:rPr>
                        </w:pPr>
                        <w:r>
                          <w:rPr>
                            <w:b/>
                            <w:sz w:val="21"/>
                          </w:rPr>
                          <w:t>无合法有效驾驶证驾 </w:t>
                        </w:r>
                        <w:r>
                          <w:rPr>
                            <w:sz w:val="21"/>
                          </w:rPr>
                          <w:t>指下列情形之一：</w:t>
                        </w:r>
                      </w:p>
                      <w:p>
                        <w:pPr>
                          <w:pStyle w:val="TableParagraph"/>
                          <w:tabs>
                            <w:tab w:pos="2201" w:val="left" w:leader="none"/>
                          </w:tabs>
                          <w:spacing w:before="36"/>
                          <w:ind w:left="171"/>
                          <w:rPr>
                            <w:sz w:val="21"/>
                          </w:rPr>
                        </w:pPr>
                        <w:r>
                          <w:rPr>
                            <w:b/>
                            <w:sz w:val="21"/>
                          </w:rPr>
                          <w:t>驶</w:t>
                          <w:tab/>
                        </w:r>
                        <w:r>
                          <w:rPr>
                            <w:spacing w:val="-1"/>
                            <w:sz w:val="21"/>
                          </w:rPr>
                          <w:t>（1）</w:t>
                        </w:r>
                        <w:r>
                          <w:rPr>
                            <w:sz w:val="21"/>
                          </w:rPr>
                          <w:t>没有驾驶证驾驶；</w:t>
                        </w:r>
                      </w:p>
                      <w:p>
                        <w:pPr>
                          <w:pStyle w:val="TableParagraph"/>
                          <w:spacing w:before="36"/>
                          <w:ind w:left="2201"/>
                          <w:rPr>
                            <w:sz w:val="21"/>
                          </w:rPr>
                        </w:pPr>
                        <w:r>
                          <w:rPr>
                            <w:sz w:val="21"/>
                          </w:rPr>
                          <w:t>（2）驾驶与驾驶证准驾车型不相符合的车辆；</w:t>
                        </w:r>
                      </w:p>
                      <w:p>
                        <w:pPr>
                          <w:pStyle w:val="TableParagraph"/>
                          <w:spacing w:before="37"/>
                          <w:ind w:left="2201"/>
                          <w:rPr>
                            <w:sz w:val="21"/>
                          </w:rPr>
                        </w:pPr>
                        <w:r>
                          <w:rPr>
                            <w:sz w:val="21"/>
                          </w:rPr>
                          <w:t>（3）持审验不合格的驾驶证驾驶；</w:t>
                        </w:r>
                      </w:p>
                      <w:p>
                        <w:pPr>
                          <w:pStyle w:val="TableParagraph"/>
                          <w:spacing w:before="37"/>
                          <w:ind w:left="2201"/>
                          <w:rPr>
                            <w:sz w:val="21"/>
                          </w:rPr>
                        </w:pPr>
                        <w:r>
                          <w:rPr>
                            <w:sz w:val="21"/>
                          </w:rPr>
                          <w:t>（4）持学习驾驶证学习驾车时，无教练员随车指导，或不按指定时间、路线学</w:t>
                        </w:r>
                      </w:p>
                    </w:tc>
                  </w:tr>
                  <w:tr>
                    <w:trPr>
                      <w:trHeight w:val="1335" w:hRule="atLeast"/>
                    </w:trPr>
                    <w:tc>
                      <w:tcPr>
                        <w:tcW w:w="796" w:type="dxa"/>
                      </w:tcPr>
                      <w:p>
                        <w:pPr>
                          <w:pStyle w:val="TableParagraph"/>
                          <w:rPr>
                            <w:sz w:val="20"/>
                          </w:rPr>
                        </w:pPr>
                      </w:p>
                      <w:p>
                        <w:pPr>
                          <w:pStyle w:val="TableParagraph"/>
                          <w:spacing w:before="156"/>
                          <w:ind w:left="200"/>
                          <w:rPr>
                            <w:b/>
                            <w:sz w:val="21"/>
                          </w:rPr>
                        </w:pPr>
                        <w:r>
                          <w:rPr>
                            <w:b/>
                            <w:sz w:val="21"/>
                          </w:rPr>
                          <w:t>8.10</w:t>
                        </w:r>
                      </w:p>
                    </w:tc>
                    <w:tc>
                      <w:tcPr>
                        <w:tcW w:w="9559" w:type="dxa"/>
                      </w:tcPr>
                      <w:p>
                        <w:pPr>
                          <w:pStyle w:val="TableParagraph"/>
                          <w:spacing w:line="142" w:lineRule="exact"/>
                          <w:ind w:left="2705"/>
                          <w:rPr>
                            <w:sz w:val="21"/>
                          </w:rPr>
                        </w:pPr>
                        <w:r>
                          <w:rPr>
                            <w:sz w:val="21"/>
                          </w:rPr>
                          <w:t>习驾车。</w:t>
                        </w:r>
                      </w:p>
                      <w:p>
                        <w:pPr>
                          <w:pStyle w:val="TableParagraph"/>
                          <w:spacing w:before="1"/>
                          <w:rPr>
                            <w:sz w:val="21"/>
                          </w:rPr>
                        </w:pPr>
                      </w:p>
                      <w:p>
                        <w:pPr>
                          <w:pStyle w:val="TableParagraph"/>
                          <w:tabs>
                            <w:tab w:pos="2201" w:val="left" w:leader="none"/>
                          </w:tabs>
                          <w:ind w:left="172"/>
                          <w:rPr>
                            <w:sz w:val="21"/>
                          </w:rPr>
                        </w:pPr>
                        <w:r>
                          <w:rPr>
                            <w:b/>
                            <w:sz w:val="21"/>
                          </w:rPr>
                          <w:t>无有效行驶证</w:t>
                          <w:tab/>
                        </w:r>
                        <w:r>
                          <w:rPr>
                            <w:sz w:val="21"/>
                          </w:rPr>
                          <w:t>指下列情形之一：</w:t>
                        </w:r>
                      </w:p>
                      <w:p>
                        <w:pPr>
                          <w:pStyle w:val="TableParagraph"/>
                          <w:spacing w:before="37"/>
                          <w:ind w:left="2201"/>
                          <w:rPr>
                            <w:sz w:val="21"/>
                          </w:rPr>
                        </w:pPr>
                        <w:r>
                          <w:rPr>
                            <w:sz w:val="21"/>
                          </w:rPr>
                          <w:t>（1）机动车被依法注销登记的；</w:t>
                        </w:r>
                      </w:p>
                      <w:p>
                        <w:pPr>
                          <w:pStyle w:val="TableParagraph"/>
                          <w:spacing w:line="274" w:lineRule="exact" w:before="37"/>
                          <w:ind w:left="2201"/>
                          <w:rPr>
                            <w:sz w:val="21"/>
                          </w:rPr>
                        </w:pPr>
                        <w:r>
                          <w:rPr>
                            <w:sz w:val="21"/>
                          </w:rPr>
                          <w:t>（2）未依法按时进行或通过机动车安全技术检验。</w:t>
                        </w:r>
                      </w:p>
                    </w:tc>
                  </w:tr>
                  <w:tr>
                    <w:trPr>
                      <w:trHeight w:val="838" w:hRule="atLeast"/>
                    </w:trPr>
                    <w:tc>
                      <w:tcPr>
                        <w:tcW w:w="796" w:type="dxa"/>
                      </w:tcPr>
                      <w:p>
                        <w:pPr>
                          <w:pStyle w:val="TableParagraph"/>
                          <w:spacing w:before="4"/>
                          <w:rPr>
                            <w:sz w:val="20"/>
                          </w:rPr>
                        </w:pPr>
                      </w:p>
                      <w:p>
                        <w:pPr>
                          <w:pStyle w:val="TableParagraph"/>
                          <w:ind w:left="200"/>
                          <w:rPr>
                            <w:b/>
                            <w:sz w:val="21"/>
                          </w:rPr>
                        </w:pPr>
                        <w:r>
                          <w:rPr>
                            <w:b/>
                            <w:sz w:val="21"/>
                          </w:rPr>
                          <w:t>8.11</w:t>
                        </w:r>
                      </w:p>
                    </w:tc>
                    <w:tc>
                      <w:tcPr>
                        <w:tcW w:w="9559" w:type="dxa"/>
                      </w:tcPr>
                      <w:p>
                        <w:pPr>
                          <w:pStyle w:val="TableParagraph"/>
                          <w:spacing w:before="8"/>
                          <w:rPr>
                            <w:sz w:val="17"/>
                          </w:rPr>
                        </w:pPr>
                      </w:p>
                      <w:p>
                        <w:pPr>
                          <w:pStyle w:val="TableParagraph"/>
                          <w:tabs>
                            <w:tab w:pos="2201" w:val="left" w:leader="none"/>
                          </w:tabs>
                          <w:spacing w:line="310" w:lineRule="atLeast"/>
                          <w:ind w:left="2201" w:right="215" w:hanging="2030"/>
                          <w:rPr>
                            <w:sz w:val="21"/>
                          </w:rPr>
                        </w:pPr>
                        <w:r>
                          <w:rPr>
                            <w:b/>
                            <w:sz w:val="21"/>
                          </w:rPr>
                          <w:t>机动车</w:t>
                          <w:tab/>
                        </w:r>
                        <w:r>
                          <w:rPr>
                            <w:sz w:val="21"/>
                          </w:rPr>
                          <w:t>指以动力装置驱动或牵引，上道路行驶的供人员乘用或用于运送物品以及进行工程专项作业的轮式车辆。</w:t>
                        </w:r>
                      </w:p>
                    </w:tc>
                  </w:tr>
                  <w:tr>
                    <w:trPr>
                      <w:trHeight w:val="1261" w:hRule="atLeast"/>
                    </w:trPr>
                    <w:tc>
                      <w:tcPr>
                        <w:tcW w:w="796" w:type="dxa"/>
                      </w:tcPr>
                      <w:p>
                        <w:pPr>
                          <w:pStyle w:val="TableParagraph"/>
                          <w:spacing w:before="8"/>
                          <w:rPr>
                            <w:sz w:val="16"/>
                          </w:rPr>
                        </w:pPr>
                      </w:p>
                      <w:p>
                        <w:pPr>
                          <w:pStyle w:val="TableParagraph"/>
                          <w:ind w:left="200"/>
                          <w:rPr>
                            <w:b/>
                            <w:sz w:val="21"/>
                          </w:rPr>
                        </w:pPr>
                        <w:r>
                          <w:rPr>
                            <w:b/>
                            <w:sz w:val="21"/>
                          </w:rPr>
                          <w:t>8.12</w:t>
                        </w:r>
                      </w:p>
                    </w:tc>
                    <w:tc>
                      <w:tcPr>
                        <w:tcW w:w="9559" w:type="dxa"/>
                      </w:tcPr>
                      <w:p>
                        <w:pPr>
                          <w:pStyle w:val="TableParagraph"/>
                          <w:spacing w:before="8"/>
                          <w:rPr>
                            <w:sz w:val="16"/>
                          </w:rPr>
                        </w:pPr>
                      </w:p>
                      <w:p>
                        <w:pPr>
                          <w:pStyle w:val="TableParagraph"/>
                          <w:tabs>
                            <w:tab w:pos="2201" w:val="left" w:leader="none"/>
                          </w:tabs>
                          <w:spacing w:line="256" w:lineRule="auto"/>
                          <w:ind w:left="172" w:right="198"/>
                          <w:jc w:val="right"/>
                          <w:rPr>
                            <w:sz w:val="21"/>
                          </w:rPr>
                        </w:pPr>
                        <w:r>
                          <w:rPr>
                            <w:b/>
                            <w:sz w:val="21"/>
                          </w:rPr>
                          <w:t>感染艾滋病病毒或患</w:t>
                        </w:r>
                        <w:r>
                          <w:rPr>
                            <w:b/>
                            <w:spacing w:val="21"/>
                            <w:sz w:val="21"/>
                          </w:rPr>
                          <w:t> </w:t>
                        </w:r>
                        <w:r>
                          <w:rPr>
                            <w:sz w:val="21"/>
                          </w:rPr>
                          <w:t>艾滋病病毒指人类免疫缺陷病毒，英文缩写为</w:t>
                        </w:r>
                        <w:r>
                          <w:rPr>
                            <w:spacing w:val="-55"/>
                            <w:sz w:val="21"/>
                          </w:rPr>
                          <w:t> </w:t>
                        </w:r>
                        <w:r>
                          <w:rPr>
                            <w:rFonts w:ascii="Times New Roman" w:eastAsia="Times New Roman"/>
                            <w:sz w:val="21"/>
                          </w:rPr>
                          <w:t>HIV</w:t>
                        </w:r>
                        <w:r>
                          <w:rPr>
                            <w:sz w:val="21"/>
                          </w:rPr>
                          <w:t>。艾滋病指人类免疫缺陷病</w:t>
                        </w:r>
                        <w:r>
                          <w:rPr>
                            <w:b/>
                            <w:sz w:val="21"/>
                          </w:rPr>
                          <w:t>艾滋病</w:t>
                          <w:tab/>
                        </w:r>
                        <w:r>
                          <w:rPr>
                            <w:sz w:val="21"/>
                          </w:rPr>
                          <w:t>毒引起的获得性免疫缺陷综合征</w:t>
                        </w:r>
                        <w:r>
                          <w:rPr>
                            <w:spacing w:val="-53"/>
                            <w:sz w:val="21"/>
                          </w:rPr>
                          <w:t>，</w:t>
                        </w:r>
                        <w:r>
                          <w:rPr>
                            <w:sz w:val="21"/>
                          </w:rPr>
                          <w:t>英文缩写为</w:t>
                        </w:r>
                        <w:r>
                          <w:rPr>
                            <w:spacing w:val="-57"/>
                            <w:sz w:val="21"/>
                          </w:rPr>
                          <w:t> </w:t>
                        </w:r>
                        <w:r>
                          <w:rPr>
                            <w:rFonts w:ascii="Times New Roman" w:eastAsia="Times New Roman"/>
                            <w:sz w:val="21"/>
                          </w:rPr>
                          <w:t>AIDS</w:t>
                        </w:r>
                        <w:r>
                          <w:rPr>
                            <w:spacing w:val="-53"/>
                            <w:sz w:val="21"/>
                          </w:rPr>
                          <w:t>。</w:t>
                        </w:r>
                        <w:r>
                          <w:rPr>
                            <w:sz w:val="21"/>
                          </w:rPr>
                          <w:t>在人体血液或其他样本中检测到艾滋病病毒或其抗体呈阳性，没有出现临床症状或体征的，为感染艾滋</w:t>
                        </w:r>
                      </w:p>
                    </w:tc>
                  </w:tr>
                  <w:tr>
                    <w:trPr>
                      <w:trHeight w:val="989" w:hRule="atLeast"/>
                    </w:trPr>
                    <w:tc>
                      <w:tcPr>
                        <w:tcW w:w="796" w:type="dxa"/>
                      </w:tcPr>
                      <w:p>
                        <w:pPr>
                          <w:pStyle w:val="TableParagraph"/>
                          <w:spacing w:before="12"/>
                          <w:rPr>
                            <w:sz w:val="29"/>
                          </w:rPr>
                        </w:pPr>
                      </w:p>
                      <w:p>
                        <w:pPr>
                          <w:pStyle w:val="TableParagraph"/>
                          <w:spacing w:before="1"/>
                          <w:ind w:left="200"/>
                          <w:rPr>
                            <w:b/>
                            <w:sz w:val="21"/>
                          </w:rPr>
                        </w:pPr>
                        <w:r>
                          <w:rPr>
                            <w:b/>
                            <w:sz w:val="21"/>
                          </w:rPr>
                          <w:t>8.13</w:t>
                        </w:r>
                      </w:p>
                    </w:tc>
                    <w:tc>
                      <w:tcPr>
                        <w:tcW w:w="9559" w:type="dxa"/>
                      </w:tcPr>
                      <w:p>
                        <w:pPr>
                          <w:pStyle w:val="TableParagraph"/>
                          <w:spacing w:line="167" w:lineRule="exact"/>
                          <w:ind w:left="2201"/>
                          <w:rPr>
                            <w:sz w:val="21"/>
                          </w:rPr>
                        </w:pPr>
                        <w:r>
                          <w:rPr>
                            <w:sz w:val="21"/>
                          </w:rPr>
                          <w:t>病病毒；若同时出现了明显临床症状或体征的，为患艾滋病。</w:t>
                        </w:r>
                      </w:p>
                      <w:p>
                        <w:pPr>
                          <w:pStyle w:val="TableParagraph"/>
                          <w:spacing w:before="6"/>
                          <w:rPr>
                            <w:sz w:val="14"/>
                          </w:rPr>
                        </w:pPr>
                      </w:p>
                      <w:p>
                        <w:pPr>
                          <w:pStyle w:val="TableParagraph"/>
                          <w:tabs>
                            <w:tab w:pos="2201" w:val="left" w:leader="none"/>
                          </w:tabs>
                          <w:spacing w:line="310" w:lineRule="atLeast" w:before="1"/>
                          <w:ind w:left="2201" w:right="215" w:hanging="2030"/>
                          <w:rPr>
                            <w:sz w:val="21"/>
                          </w:rPr>
                        </w:pPr>
                        <w:r>
                          <w:rPr>
                            <w:b/>
                            <w:sz w:val="21"/>
                          </w:rPr>
                          <w:t>现金价值</w:t>
                          <w:tab/>
                        </w:r>
                        <w:r>
                          <w:rPr>
                            <w:sz w:val="21"/>
                          </w:rPr>
                          <w:t>指本附加合同所具有的价值，通常体现为解除合同时，根据精算原理计算的，由我们退还的那部分金额。</w:t>
                        </w:r>
                      </w:p>
                    </w:tc>
                  </w:tr>
                  <w:tr>
                    <w:trPr>
                      <w:trHeight w:val="1125" w:hRule="atLeast"/>
                    </w:trPr>
                    <w:tc>
                      <w:tcPr>
                        <w:tcW w:w="796" w:type="dxa"/>
                      </w:tcPr>
                      <w:p>
                        <w:pPr>
                          <w:pStyle w:val="TableParagraph"/>
                          <w:spacing w:before="8"/>
                          <w:rPr>
                            <w:sz w:val="19"/>
                          </w:rPr>
                        </w:pPr>
                      </w:p>
                      <w:p>
                        <w:pPr>
                          <w:pStyle w:val="TableParagraph"/>
                          <w:ind w:left="200"/>
                          <w:rPr>
                            <w:b/>
                            <w:sz w:val="21"/>
                          </w:rPr>
                        </w:pPr>
                        <w:r>
                          <w:rPr>
                            <w:b/>
                            <w:sz w:val="21"/>
                          </w:rPr>
                          <w:t>8.14</w:t>
                        </w:r>
                      </w:p>
                    </w:tc>
                    <w:tc>
                      <w:tcPr>
                        <w:tcW w:w="9559" w:type="dxa"/>
                      </w:tcPr>
                      <w:p>
                        <w:pPr>
                          <w:pStyle w:val="TableParagraph"/>
                          <w:spacing w:before="8"/>
                          <w:rPr>
                            <w:sz w:val="19"/>
                          </w:rPr>
                        </w:pPr>
                      </w:p>
                      <w:p>
                        <w:pPr>
                          <w:pStyle w:val="TableParagraph"/>
                          <w:tabs>
                            <w:tab w:pos="2201" w:val="left" w:leader="none"/>
                          </w:tabs>
                          <w:spacing w:line="273" w:lineRule="auto"/>
                          <w:ind w:left="171" w:right="217"/>
                          <w:rPr>
                            <w:sz w:val="21"/>
                          </w:rPr>
                        </w:pPr>
                        <w:r>
                          <w:rPr>
                            <w:b/>
                            <w:sz w:val="21"/>
                          </w:rPr>
                          <w:t>年满</w:t>
                        </w:r>
                        <w:r>
                          <w:rPr>
                            <w:b/>
                            <w:spacing w:val="-54"/>
                            <w:sz w:val="21"/>
                          </w:rPr>
                          <w:t> </w:t>
                        </w:r>
                        <w:r>
                          <w:rPr>
                            <w:b/>
                            <w:sz w:val="21"/>
                          </w:rPr>
                          <w:t>80</w:t>
                        </w:r>
                        <w:r>
                          <w:rPr>
                            <w:b/>
                            <w:spacing w:val="-54"/>
                            <w:sz w:val="21"/>
                          </w:rPr>
                          <w:t> </w:t>
                        </w:r>
                        <w:r>
                          <w:rPr>
                            <w:b/>
                            <w:sz w:val="21"/>
                          </w:rPr>
                          <w:t>周岁后的首</w:t>
                          <w:tab/>
                        </w:r>
                        <w:r>
                          <w:rPr>
                            <w:sz w:val="21"/>
                          </w:rPr>
                          <w:t>若被保险人</w:t>
                        </w:r>
                        <w:r>
                          <w:rPr>
                            <w:spacing w:val="-62"/>
                            <w:sz w:val="21"/>
                          </w:rPr>
                          <w:t> </w:t>
                        </w:r>
                        <w:r>
                          <w:rPr>
                            <w:sz w:val="21"/>
                          </w:rPr>
                          <w:t>80</w:t>
                        </w:r>
                        <w:r>
                          <w:rPr>
                            <w:spacing w:val="-61"/>
                            <w:sz w:val="21"/>
                          </w:rPr>
                          <w:t> </w:t>
                        </w:r>
                        <w:r>
                          <w:rPr>
                            <w:sz w:val="21"/>
                          </w:rPr>
                          <w:t>周岁生日与对应年度的保单周年日为同一日，则年满</w:t>
                        </w:r>
                        <w:r>
                          <w:rPr>
                            <w:spacing w:val="-62"/>
                            <w:sz w:val="21"/>
                          </w:rPr>
                          <w:t> </w:t>
                        </w:r>
                        <w:r>
                          <w:rPr>
                            <w:sz w:val="21"/>
                          </w:rPr>
                          <w:t>80</w:t>
                        </w:r>
                        <w:r>
                          <w:rPr>
                            <w:spacing w:val="-61"/>
                            <w:sz w:val="21"/>
                          </w:rPr>
                          <w:t> </w:t>
                        </w:r>
                        <w:r>
                          <w:rPr>
                            <w:sz w:val="21"/>
                          </w:rPr>
                          <w:t>周岁后</w:t>
                        </w:r>
                        <w:r>
                          <w:rPr>
                            <w:b/>
                            <w:sz w:val="21"/>
                          </w:rPr>
                          <w:t>个保单周年日</w:t>
                          <w:tab/>
                        </w:r>
                        <w:r>
                          <w:rPr>
                            <w:sz w:val="21"/>
                          </w:rPr>
                          <w:t>的首个保单周年日即分别为被保险人</w:t>
                        </w:r>
                        <w:r>
                          <w:rPr>
                            <w:spacing w:val="-63"/>
                            <w:sz w:val="21"/>
                          </w:rPr>
                          <w:t> </w:t>
                        </w:r>
                        <w:r>
                          <w:rPr>
                            <w:sz w:val="21"/>
                          </w:rPr>
                          <w:t>80</w:t>
                        </w:r>
                        <w:r>
                          <w:rPr>
                            <w:spacing w:val="-63"/>
                            <w:sz w:val="21"/>
                          </w:rPr>
                          <w:t> </w:t>
                        </w:r>
                        <w:r>
                          <w:rPr>
                            <w:sz w:val="21"/>
                          </w:rPr>
                          <w:t>岁生日。</w:t>
                        </w:r>
                      </w:p>
                    </w:tc>
                  </w:tr>
                  <w:tr>
                    <w:trPr>
                      <w:trHeight w:val="968" w:hRule="atLeast"/>
                    </w:trPr>
                    <w:tc>
                      <w:tcPr>
                        <w:tcW w:w="796" w:type="dxa"/>
                      </w:tcPr>
                      <w:p>
                        <w:pPr>
                          <w:pStyle w:val="TableParagraph"/>
                          <w:spacing w:before="6"/>
                          <w:rPr>
                            <w:sz w:val="16"/>
                          </w:rPr>
                        </w:pPr>
                      </w:p>
                      <w:p>
                        <w:pPr>
                          <w:pStyle w:val="TableParagraph"/>
                          <w:ind w:left="200"/>
                          <w:rPr>
                            <w:b/>
                            <w:sz w:val="21"/>
                          </w:rPr>
                        </w:pPr>
                        <w:r>
                          <w:rPr>
                            <w:b/>
                            <w:sz w:val="21"/>
                          </w:rPr>
                          <w:t>8.15</w:t>
                        </w:r>
                      </w:p>
                    </w:tc>
                    <w:tc>
                      <w:tcPr>
                        <w:tcW w:w="9559" w:type="dxa"/>
                      </w:tcPr>
                      <w:p>
                        <w:pPr>
                          <w:pStyle w:val="TableParagraph"/>
                          <w:spacing w:before="6"/>
                          <w:rPr>
                            <w:sz w:val="16"/>
                          </w:rPr>
                        </w:pPr>
                      </w:p>
                      <w:p>
                        <w:pPr>
                          <w:pStyle w:val="TableParagraph"/>
                          <w:tabs>
                            <w:tab w:pos="2201" w:val="left" w:leader="none"/>
                          </w:tabs>
                          <w:spacing w:line="273" w:lineRule="auto"/>
                          <w:ind w:left="2201" w:right="199" w:hanging="2030"/>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w:t>
                        </w:r>
                      </w:p>
                    </w:tc>
                  </w:tr>
                  <w:tr>
                    <w:trPr>
                      <w:trHeight w:val="688" w:hRule="atLeast"/>
                    </w:trPr>
                    <w:tc>
                      <w:tcPr>
                        <w:tcW w:w="796" w:type="dxa"/>
                      </w:tcPr>
                      <w:p>
                        <w:pPr>
                          <w:pStyle w:val="TableParagraph"/>
                          <w:rPr>
                            <w:sz w:val="20"/>
                          </w:rPr>
                        </w:pPr>
                      </w:p>
                      <w:p>
                        <w:pPr>
                          <w:pStyle w:val="TableParagraph"/>
                          <w:spacing w:line="255" w:lineRule="exact" w:before="151"/>
                          <w:ind w:left="200"/>
                          <w:rPr>
                            <w:b/>
                            <w:sz w:val="21"/>
                          </w:rPr>
                        </w:pPr>
                        <w:r>
                          <w:rPr>
                            <w:b/>
                            <w:sz w:val="21"/>
                          </w:rPr>
                          <w:t>8.16</w:t>
                        </w:r>
                      </w:p>
                    </w:tc>
                    <w:tc>
                      <w:tcPr>
                        <w:tcW w:w="9559" w:type="dxa"/>
                      </w:tcPr>
                      <w:p>
                        <w:pPr>
                          <w:pStyle w:val="TableParagraph"/>
                          <w:spacing w:line="146" w:lineRule="exact"/>
                          <w:ind w:right="114"/>
                          <w:jc w:val="center"/>
                          <w:rPr>
                            <w:sz w:val="21"/>
                          </w:rPr>
                        </w:pPr>
                        <w:r>
                          <w:rPr>
                            <w:sz w:val="21"/>
                          </w:rPr>
                          <w:t>酒、护理、养老等非以直接诊治病人为目的医疗机构。</w:t>
                        </w:r>
                      </w:p>
                      <w:p>
                        <w:pPr>
                          <w:pStyle w:val="TableParagraph"/>
                          <w:spacing w:before="5"/>
                          <w:rPr>
                            <w:sz w:val="20"/>
                          </w:rPr>
                        </w:pPr>
                      </w:p>
                      <w:p>
                        <w:pPr>
                          <w:pStyle w:val="TableParagraph"/>
                          <w:tabs>
                            <w:tab w:pos="2034" w:val="left" w:leader="none"/>
                          </w:tabs>
                          <w:spacing w:line="255" w:lineRule="exact"/>
                          <w:ind w:right="22"/>
                          <w:jc w:val="center"/>
                          <w:rPr>
                            <w:sz w:val="21"/>
                          </w:rPr>
                        </w:pPr>
                        <w:r>
                          <w:rPr>
                            <w:b/>
                            <w:sz w:val="21"/>
                          </w:rPr>
                          <w:t>利息</w:t>
                          <w:tab/>
                        </w:r>
                        <w:r>
                          <w:rPr>
                            <w:sz w:val="21"/>
                          </w:rPr>
                          <w:t>我们在每年的1月1日和7月1日根据监管规定和市场情况宣布两次借款利率，借</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spacing w:before="34"/>
        <w:ind w:left="3109" w:right="0" w:firstLine="0"/>
        <w:jc w:val="left"/>
        <w:rPr>
          <w:rFonts w:ascii="黑体" w:eastAsia="黑体" w:hint="eastAsia"/>
          <w:b/>
          <w:i/>
          <w:sz w:val="22"/>
        </w:rPr>
      </w:pPr>
      <w:r>
        <w:rPr>
          <w:rFonts w:ascii="黑体" w:eastAsia="黑体" w:hint="eastAsia"/>
          <w:b/>
          <w:i/>
          <w:w w:val="95"/>
          <w:sz w:val="22"/>
        </w:rPr>
        <w:t>状体征或所患的重大疾病，我们不承担保险责任。</w:t>
      </w: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rPr>
          <w:rFonts w:ascii="黑体"/>
          <w:b/>
          <w:i/>
          <w:sz w:val="22"/>
        </w:rPr>
      </w:pPr>
    </w:p>
    <w:p>
      <w:pPr>
        <w:pStyle w:val="BodyText"/>
        <w:spacing w:before="12"/>
        <w:rPr>
          <w:rFonts w:ascii="黑体"/>
          <w:b/>
          <w:i/>
          <w:sz w:val="24"/>
        </w:rPr>
      </w:pPr>
    </w:p>
    <w:p>
      <w:pPr>
        <w:pStyle w:val="BodyText"/>
        <w:ind w:left="3115"/>
      </w:pPr>
      <w:r>
        <w:rPr/>
        <w:t>款利率适用于本附加合同补交保险费的利息计算。</w:t>
      </w:r>
    </w:p>
    <w:p>
      <w:pPr>
        <w:spacing w:after="0"/>
        <w:sectPr>
          <w:pgSz w:w="11910" w:h="16840"/>
          <w:pgMar w:header="0" w:footer="362" w:top="1160" w:bottom="640" w:left="660" w:right="660"/>
        </w:sectPr>
      </w:pPr>
    </w:p>
    <w:p>
      <w:pPr>
        <w:pStyle w:val="BodyText"/>
        <w:rPr>
          <w:sz w:val="20"/>
        </w:rPr>
      </w:pPr>
      <w:r>
        <w:rPr/>
        <w:pict>
          <v:shape style="position:absolute;margin-left:38.599998pt;margin-top:59.196262pt;width:523pt;height:685pt;mso-position-horizontal-relative:page;mso-position-vertical-relative:page;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6"/>
                    <w:gridCol w:w="9663"/>
                  </w:tblGrid>
                  <w:tr>
                    <w:trPr>
                      <w:trHeight w:val="998" w:hRule="atLeast"/>
                    </w:trPr>
                    <w:tc>
                      <w:tcPr>
                        <w:tcW w:w="796" w:type="dxa"/>
                      </w:tcPr>
                      <w:p>
                        <w:pPr>
                          <w:pStyle w:val="TableParagraph"/>
                          <w:spacing w:line="210" w:lineRule="exact"/>
                          <w:ind w:left="200"/>
                          <w:rPr>
                            <w:b/>
                            <w:sz w:val="21"/>
                          </w:rPr>
                        </w:pPr>
                        <w:r>
                          <w:rPr>
                            <w:b/>
                            <w:sz w:val="21"/>
                          </w:rPr>
                          <w:t>8.17</w:t>
                        </w:r>
                      </w:p>
                    </w:tc>
                    <w:tc>
                      <w:tcPr>
                        <w:tcW w:w="9663" w:type="dxa"/>
                      </w:tcPr>
                      <w:p>
                        <w:pPr>
                          <w:pStyle w:val="TableParagraph"/>
                          <w:tabs>
                            <w:tab w:pos="2201" w:val="left" w:leader="none"/>
                          </w:tabs>
                          <w:spacing w:line="210" w:lineRule="exact"/>
                          <w:ind w:left="171"/>
                          <w:rPr>
                            <w:sz w:val="21"/>
                          </w:rPr>
                        </w:pPr>
                        <w:r>
                          <w:rPr>
                            <w:b/>
                            <w:spacing w:val="0"/>
                            <w:w w:val="99"/>
                            <w:sz w:val="21"/>
                          </w:rPr>
                          <w:t>重大疾</w:t>
                        </w:r>
                        <w:r>
                          <w:rPr>
                            <w:b/>
                            <w:w w:val="99"/>
                            <w:sz w:val="21"/>
                          </w:rPr>
                          <w:t>病</w:t>
                        </w:r>
                        <w:r>
                          <w:rPr>
                            <w:b/>
                            <w:sz w:val="21"/>
                          </w:rPr>
                          <w:tab/>
                        </w:r>
                        <w:r>
                          <w:rPr>
                            <w:sz w:val="21"/>
                          </w:rPr>
                          <w:t>指被保险人发生符合以下疾病定义所述条件的疾病（共</w:t>
                        </w:r>
                        <w:r>
                          <w:rPr>
                            <w:spacing w:val="-44"/>
                            <w:sz w:val="21"/>
                          </w:rPr>
                          <w:t> </w:t>
                        </w:r>
                        <w:r>
                          <w:rPr>
                            <w:sz w:val="21"/>
                          </w:rPr>
                          <w:t>40</w:t>
                        </w:r>
                        <w:r>
                          <w:rPr>
                            <w:spacing w:val="-45"/>
                            <w:sz w:val="21"/>
                          </w:rPr>
                          <w:t> </w:t>
                        </w:r>
                        <w:r>
                          <w:rPr>
                            <w:sz w:val="21"/>
                          </w:rPr>
                          <w:t>种</w:t>
                        </w:r>
                        <w:r>
                          <w:rPr>
                            <w:spacing w:val="-105"/>
                            <w:sz w:val="21"/>
                          </w:rPr>
                          <w:t>）</w:t>
                        </w:r>
                        <w:r>
                          <w:rPr>
                            <w:sz w:val="21"/>
                          </w:rPr>
                          <w:t>，应当</w:t>
                        </w:r>
                        <w:r>
                          <w:rPr>
                            <w:spacing w:val="-2"/>
                            <w:sz w:val="21"/>
                          </w:rPr>
                          <w:t>由</w:t>
                        </w:r>
                        <w:r>
                          <w:rPr>
                            <w:sz w:val="21"/>
                          </w:rPr>
                          <w:t>专科医</w:t>
                        </w:r>
                      </w:p>
                      <w:p>
                        <w:pPr>
                          <w:pStyle w:val="TableParagraph"/>
                          <w:spacing w:before="37"/>
                          <w:ind w:left="2201"/>
                          <w:rPr>
                            <w:sz w:val="21"/>
                          </w:rPr>
                        </w:pPr>
                        <w:r>
                          <w:rPr>
                            <w:sz w:val="21"/>
                          </w:rPr>
                          <w:t>生明确诊断。</w:t>
                        </w:r>
                      </w:p>
                      <w:p>
                        <w:pPr>
                          <w:pStyle w:val="TableParagraph"/>
                          <w:spacing w:before="37"/>
                          <w:ind w:left="2201"/>
                          <w:rPr>
                            <w:sz w:val="21"/>
                          </w:rPr>
                        </w:pPr>
                        <w:r>
                          <w:rPr>
                            <w:sz w:val="21"/>
                          </w:rPr>
                          <w:t>第1 至第24 项为中国保险行业协会与中国医师协会共同制定的重大疾病保险的</w:t>
                        </w:r>
                      </w:p>
                    </w:tc>
                  </w:tr>
                  <w:tr>
                    <w:trPr>
                      <w:trHeight w:val="3502" w:hRule="atLeast"/>
                    </w:trPr>
                    <w:tc>
                      <w:tcPr>
                        <w:tcW w:w="796" w:type="dxa"/>
                      </w:tcPr>
                      <w:p>
                        <w:pPr>
                          <w:pStyle w:val="TableParagraph"/>
                          <w:rPr>
                            <w:rFonts w:ascii="Times New Roman"/>
                            <w:sz w:val="20"/>
                          </w:rPr>
                        </w:pPr>
                      </w:p>
                    </w:tc>
                    <w:tc>
                      <w:tcPr>
                        <w:tcW w:w="9663" w:type="dxa"/>
                      </w:tcPr>
                      <w:p>
                        <w:pPr>
                          <w:pStyle w:val="TableParagraph"/>
                          <w:spacing w:line="148" w:lineRule="exact"/>
                          <w:ind w:left="2201"/>
                          <w:rPr>
                            <w:sz w:val="21"/>
                          </w:rPr>
                        </w:pPr>
                        <w:r>
                          <w:rPr>
                            <w:sz w:val="21"/>
                          </w:rPr>
                          <w:t>疾病定义，第 25 至第 40 项为我们增加的疾病种类并自行制定的疾病定义。</w:t>
                        </w:r>
                      </w:p>
                      <w:p>
                        <w:pPr>
                          <w:pStyle w:val="TableParagraph"/>
                          <w:spacing w:before="10"/>
                          <w:rPr>
                            <w:sz w:val="19"/>
                          </w:rPr>
                        </w:pPr>
                      </w:p>
                      <w:p>
                        <w:pPr>
                          <w:pStyle w:val="TableParagraph"/>
                          <w:tabs>
                            <w:tab w:pos="2201" w:val="left" w:leader="none"/>
                          </w:tabs>
                          <w:spacing w:line="312" w:lineRule="exact" w:before="1"/>
                          <w:ind w:left="2201" w:right="198" w:hanging="2030"/>
                          <w:jc w:val="both"/>
                          <w:rPr>
                            <w:sz w:val="21"/>
                          </w:rPr>
                        </w:pPr>
                        <w:r>
                          <w:rPr>
                            <w:rFonts w:ascii="Microsoft JhengHei" w:eastAsia="Microsoft JhengHei" w:hint="eastAsia"/>
                            <w:b/>
                            <w:position w:val="-2"/>
                            <w:sz w:val="21"/>
                          </w:rPr>
                          <w:t>1、恶性肿瘤</w:t>
                          <w:tab/>
                        </w:r>
                        <w:r>
                          <w:rPr>
                            <w:sz w:val="21"/>
                          </w:rPr>
                          <w:t>指恶性细胞不受控制的进行性增长和扩散，浸润和破坏周围正常组织，可以经 血管、淋巴管和体腔扩散转移到身体其它部位的疾病。经病理学检查结果明确</w:t>
                        </w:r>
                        <w:r>
                          <w:rPr>
                            <w:spacing w:val="10"/>
                            <w:sz w:val="21"/>
                          </w:rPr>
                          <w:t>诊断，</w:t>
                        </w:r>
                        <w:r>
                          <w:rPr>
                            <w:spacing w:val="7"/>
                            <w:sz w:val="21"/>
                          </w:rPr>
                          <w:t>临床</w:t>
                        </w:r>
                        <w:r>
                          <w:rPr>
                            <w:spacing w:val="10"/>
                            <w:sz w:val="21"/>
                          </w:rPr>
                          <w:t>诊断属</w:t>
                        </w:r>
                        <w:r>
                          <w:rPr>
                            <w:spacing w:val="7"/>
                            <w:sz w:val="21"/>
                          </w:rPr>
                          <w:t>于世</w:t>
                        </w:r>
                        <w:r>
                          <w:rPr>
                            <w:spacing w:val="10"/>
                            <w:sz w:val="21"/>
                          </w:rPr>
                          <w:t>界卫生</w:t>
                        </w:r>
                        <w:r>
                          <w:rPr>
                            <w:spacing w:val="7"/>
                            <w:sz w:val="21"/>
                          </w:rPr>
                          <w:t>组织</w:t>
                        </w:r>
                        <w:r>
                          <w:rPr>
                            <w:spacing w:val="10"/>
                            <w:sz w:val="21"/>
                          </w:rPr>
                          <w:t>《疾病</w:t>
                        </w:r>
                        <w:r>
                          <w:rPr>
                            <w:spacing w:val="7"/>
                            <w:sz w:val="21"/>
                          </w:rPr>
                          <w:t>和有</w:t>
                        </w:r>
                        <w:r>
                          <w:rPr>
                            <w:spacing w:val="10"/>
                            <w:sz w:val="21"/>
                          </w:rPr>
                          <w:t>关健康</w:t>
                        </w:r>
                        <w:r>
                          <w:rPr>
                            <w:spacing w:val="7"/>
                            <w:sz w:val="21"/>
                          </w:rPr>
                          <w:t>问题</w:t>
                        </w:r>
                        <w:r>
                          <w:rPr>
                            <w:spacing w:val="10"/>
                            <w:sz w:val="21"/>
                          </w:rPr>
                          <w:t>的国际</w:t>
                        </w:r>
                        <w:r>
                          <w:rPr>
                            <w:spacing w:val="7"/>
                            <w:sz w:val="21"/>
                          </w:rPr>
                          <w:t>统计</w:t>
                        </w:r>
                        <w:r>
                          <w:rPr>
                            <w:spacing w:val="10"/>
                            <w:sz w:val="21"/>
                          </w:rPr>
                          <w:t>分</w:t>
                        </w:r>
                        <w:r>
                          <w:rPr>
                            <w:spacing w:val="10"/>
                            <w:sz w:val="21"/>
                          </w:rPr>
                          <w:t>类</w:t>
                        </w:r>
                        <w:r>
                          <w:rPr>
                            <w:sz w:val="21"/>
                          </w:rPr>
                          <w:t>》</w:t>
                        </w:r>
                      </w:p>
                      <w:p>
                        <w:pPr>
                          <w:pStyle w:val="TableParagraph"/>
                          <w:spacing w:before="4"/>
                          <w:ind w:left="2201"/>
                          <w:rPr>
                            <w:sz w:val="21"/>
                          </w:rPr>
                        </w:pPr>
                        <w:r>
                          <w:rPr>
                            <w:sz w:val="21"/>
                          </w:rPr>
                          <w:t>（ICD-10）的恶性肿瘤范畴。下列疾病不在保障范围内：</w:t>
                        </w:r>
                      </w:p>
                      <w:p>
                        <w:pPr>
                          <w:pStyle w:val="TableParagraph"/>
                          <w:spacing w:before="36"/>
                          <w:ind w:left="2201"/>
                          <w:rPr>
                            <w:sz w:val="21"/>
                          </w:rPr>
                        </w:pPr>
                        <w:r>
                          <w:rPr>
                            <w:sz w:val="21"/>
                          </w:rPr>
                          <w:t>（1）原位癌；</w:t>
                        </w:r>
                      </w:p>
                      <w:p>
                        <w:pPr>
                          <w:pStyle w:val="TableParagraph"/>
                          <w:spacing w:before="36"/>
                          <w:ind w:left="2201"/>
                          <w:rPr>
                            <w:sz w:val="21"/>
                          </w:rPr>
                        </w:pPr>
                        <w:r>
                          <w:rPr>
                            <w:sz w:val="21"/>
                          </w:rPr>
                          <w:t>（2）相当于Binet 分期方案 A 期程度的慢性淋巴细胞白血病；</w:t>
                        </w:r>
                      </w:p>
                      <w:p>
                        <w:pPr>
                          <w:pStyle w:val="TableParagraph"/>
                          <w:spacing w:before="36"/>
                          <w:ind w:left="2201"/>
                          <w:rPr>
                            <w:sz w:val="21"/>
                          </w:rPr>
                        </w:pPr>
                        <w:r>
                          <w:rPr>
                            <w:sz w:val="21"/>
                          </w:rPr>
                          <w:t>（3）相当于Ann Arbor 分期方案 I 期程度的何杰金氏病；</w:t>
                        </w:r>
                      </w:p>
                      <w:p>
                        <w:pPr>
                          <w:pStyle w:val="TableParagraph"/>
                          <w:spacing w:before="36"/>
                          <w:ind w:left="2201"/>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6"/>
                          <w:ind w:left="2201"/>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line="263" w:lineRule="exact" w:before="37"/>
                          <w:ind w:left="2201"/>
                          <w:rPr>
                            <w:sz w:val="21"/>
                          </w:rPr>
                        </w:pPr>
                        <w:r>
                          <w:rPr>
                            <w:sz w:val="21"/>
                          </w:rPr>
                          <w:t>（6）感染艾滋病病毒或患艾滋病期间所患恶性肿瘤。</w:t>
                        </w:r>
                      </w:p>
                    </w:tc>
                  </w:tr>
                  <w:tr>
                    <w:trPr>
                      <w:trHeight w:val="2410" w:hRule="atLeast"/>
                    </w:trPr>
                    <w:tc>
                      <w:tcPr>
                        <w:tcW w:w="796" w:type="dxa"/>
                      </w:tcPr>
                      <w:p>
                        <w:pPr>
                          <w:pStyle w:val="TableParagraph"/>
                          <w:rPr>
                            <w:rFonts w:ascii="Times New Roman"/>
                            <w:sz w:val="20"/>
                          </w:rPr>
                        </w:pPr>
                      </w:p>
                    </w:tc>
                    <w:tc>
                      <w:tcPr>
                        <w:tcW w:w="9663" w:type="dxa"/>
                      </w:tcPr>
                      <w:p>
                        <w:pPr>
                          <w:pStyle w:val="TableParagraph"/>
                          <w:rPr>
                            <w:sz w:val="18"/>
                          </w:rPr>
                        </w:pPr>
                      </w:p>
                      <w:p>
                        <w:pPr>
                          <w:pStyle w:val="TableParagraph"/>
                          <w:tabs>
                            <w:tab w:pos="2201" w:val="left" w:leader="none"/>
                          </w:tabs>
                          <w:spacing w:line="228" w:lineRule="auto"/>
                          <w:ind w:left="2201" w:right="303" w:hanging="2030"/>
                          <w:rPr>
                            <w:sz w:val="21"/>
                          </w:rPr>
                        </w:pPr>
                        <w:r>
                          <w:rPr>
                            <w:rFonts w:ascii="Microsoft JhengHei" w:eastAsia="Microsoft JhengHei" w:hint="eastAsia"/>
                            <w:b/>
                            <w:position w:val="-2"/>
                            <w:sz w:val="21"/>
                          </w:rPr>
                          <w:t>2、急性心ft梗塞</w:t>
                          <w:tab/>
                        </w:r>
                        <w:r>
                          <w:rPr>
                            <w:sz w:val="21"/>
                          </w:rPr>
                          <w:t>指因冠状动脉阻塞导致的相应区域供血不足造成部分心肌坏死。须满足下列至 少三项条件：</w:t>
                        </w:r>
                      </w:p>
                      <w:p>
                        <w:pPr>
                          <w:pStyle w:val="TableParagraph"/>
                          <w:spacing w:before="37"/>
                          <w:ind w:left="2201"/>
                          <w:rPr>
                            <w:sz w:val="21"/>
                          </w:rPr>
                        </w:pPr>
                        <w:r>
                          <w:rPr>
                            <w:sz w:val="21"/>
                          </w:rPr>
                          <w:t>（1）典型临床表现，例如急性胸痛等；</w:t>
                        </w:r>
                      </w:p>
                      <w:p>
                        <w:pPr>
                          <w:pStyle w:val="TableParagraph"/>
                          <w:spacing w:before="37"/>
                          <w:ind w:left="2201"/>
                          <w:rPr>
                            <w:sz w:val="21"/>
                          </w:rPr>
                        </w:pPr>
                        <w:r>
                          <w:rPr>
                            <w:sz w:val="21"/>
                          </w:rPr>
                          <w:t>（2）新近的心电图改变提示急性心肌梗塞；</w:t>
                        </w:r>
                      </w:p>
                      <w:p>
                        <w:pPr>
                          <w:pStyle w:val="TableParagraph"/>
                          <w:spacing w:line="273" w:lineRule="auto" w:before="37"/>
                          <w:ind w:left="2201" w:right="301"/>
                          <w:rPr>
                            <w:sz w:val="21"/>
                          </w:rPr>
                        </w:pPr>
                        <w:r>
                          <w:rPr>
                            <w:spacing w:val="-15"/>
                            <w:sz w:val="21"/>
                          </w:rPr>
                          <w:t>（3）</w:t>
                        </w:r>
                        <w:r>
                          <w:rPr>
                            <w:spacing w:val="-3"/>
                            <w:sz w:val="21"/>
                          </w:rPr>
                          <w:t>心肌酶或肌钙蛋白有诊断意义的升高，或呈符合急性心肌梗塞的动态性变化；</w:t>
                        </w:r>
                      </w:p>
                      <w:p>
                        <w:pPr>
                          <w:pStyle w:val="TableParagraph"/>
                          <w:spacing w:line="263" w:lineRule="exact" w:before="7"/>
                          <w:ind w:left="2201"/>
                          <w:rPr>
                            <w:sz w:val="21"/>
                          </w:rPr>
                        </w:pPr>
                        <w:r>
                          <w:rPr>
                            <w:spacing w:val="-28"/>
                            <w:sz w:val="21"/>
                          </w:rPr>
                          <w:t>（4）</w:t>
                        </w:r>
                        <w:r>
                          <w:rPr>
                            <w:spacing w:val="-20"/>
                            <w:sz w:val="21"/>
                          </w:rPr>
                          <w:t>发病 </w:t>
                        </w:r>
                        <w:r>
                          <w:rPr>
                            <w:sz w:val="21"/>
                          </w:rPr>
                          <w:t>90</w:t>
                        </w:r>
                        <w:r>
                          <w:rPr>
                            <w:spacing w:val="-19"/>
                            <w:sz w:val="21"/>
                          </w:rPr>
                          <w:t> 日后，经检查证实左心室功能降低的，如左心室射血分数低于 </w:t>
                        </w:r>
                        <w:r>
                          <w:rPr>
                            <w:sz w:val="21"/>
                          </w:rPr>
                          <w:t>50%。</w:t>
                        </w:r>
                      </w:p>
                    </w:tc>
                  </w:tr>
                  <w:tr>
                    <w:trPr>
                      <w:trHeight w:val="2255" w:hRule="atLeast"/>
                    </w:trPr>
                    <w:tc>
                      <w:tcPr>
                        <w:tcW w:w="796" w:type="dxa"/>
                      </w:tcPr>
                      <w:p>
                        <w:pPr>
                          <w:pStyle w:val="TableParagraph"/>
                          <w:rPr>
                            <w:rFonts w:ascii="Times New Roman"/>
                            <w:sz w:val="20"/>
                          </w:rPr>
                        </w:pPr>
                      </w:p>
                    </w:tc>
                    <w:tc>
                      <w:tcPr>
                        <w:tcW w:w="9663" w:type="dxa"/>
                      </w:tcPr>
                      <w:p>
                        <w:pPr>
                          <w:pStyle w:val="TableParagraph"/>
                          <w:spacing w:before="2"/>
                          <w:rPr>
                            <w:sz w:val="19"/>
                          </w:rPr>
                        </w:pPr>
                      </w:p>
                      <w:p>
                        <w:pPr>
                          <w:pStyle w:val="TableParagraph"/>
                          <w:spacing w:line="312" w:lineRule="exact"/>
                          <w:ind w:left="2201" w:right="301" w:hanging="2030"/>
                          <w:jc w:val="both"/>
                          <w:rPr>
                            <w:sz w:val="21"/>
                          </w:rPr>
                        </w:pPr>
                        <w:r>
                          <w:rPr>
                            <w:rFonts w:ascii="Microsoft JhengHei" w:eastAsia="Microsoft JhengHei" w:hint="eastAsia"/>
                            <w:b/>
                            <w:position w:val="-2"/>
                            <w:sz w:val="21"/>
                          </w:rPr>
                          <w:t>3</w:t>
                        </w:r>
                        <w:r>
                          <w:rPr>
                            <w:rFonts w:ascii="Microsoft JhengHei" w:eastAsia="Microsoft JhengHei" w:hint="eastAsia"/>
                            <w:b/>
                            <w:spacing w:val="1"/>
                            <w:position w:val="-2"/>
                            <w:sz w:val="21"/>
                          </w:rPr>
                          <w:t>、脑中风后遗症     </w:t>
                        </w:r>
                        <w:r>
                          <w:rPr>
                            <w:sz w:val="21"/>
                          </w:rPr>
                          <w:t>指因脑血管的突发病变引起脑血管出血、栓塞或梗塞，并导致神经系统永久性</w:t>
                        </w:r>
                        <w:r>
                          <w:rPr>
                            <w:spacing w:val="-2"/>
                            <w:sz w:val="21"/>
                          </w:rPr>
                          <w:t>功能障碍。神经系统永久性的功能障碍，指疾病确诊 </w:t>
                        </w:r>
                        <w:r>
                          <w:rPr>
                            <w:sz w:val="21"/>
                          </w:rPr>
                          <w:t>180</w:t>
                        </w:r>
                        <w:r>
                          <w:rPr>
                            <w:spacing w:val="-7"/>
                            <w:sz w:val="21"/>
                          </w:rPr>
                          <w:t> 日后，仍遗留下列一种或一种以上障碍：</w:t>
                        </w:r>
                      </w:p>
                      <w:p>
                        <w:pPr>
                          <w:pStyle w:val="TableParagraph"/>
                          <w:spacing w:before="3"/>
                          <w:ind w:left="2201"/>
                          <w:rPr>
                            <w:sz w:val="21"/>
                          </w:rPr>
                        </w:pPr>
                        <w:r>
                          <w:rPr>
                            <w:sz w:val="21"/>
                          </w:rPr>
                          <w:t>（1）一肢或一肢以上肢体机能完全丧失；</w:t>
                        </w:r>
                      </w:p>
                      <w:p>
                        <w:pPr>
                          <w:pStyle w:val="TableParagraph"/>
                          <w:spacing w:before="36"/>
                          <w:ind w:left="2201"/>
                          <w:rPr>
                            <w:sz w:val="21"/>
                          </w:rPr>
                        </w:pPr>
                        <w:r>
                          <w:rPr>
                            <w:sz w:val="21"/>
                          </w:rPr>
                          <w:t>（2）语言能力或咀嚼吞咽能力完全丧失；</w:t>
                        </w:r>
                      </w:p>
                      <w:p>
                        <w:pPr>
                          <w:pStyle w:val="TableParagraph"/>
                          <w:spacing w:before="36"/>
                          <w:ind w:left="2201"/>
                          <w:rPr>
                            <w:sz w:val="21"/>
                          </w:rPr>
                        </w:pPr>
                        <w:r>
                          <w:rPr>
                            <w:sz w:val="21"/>
                          </w:rPr>
                          <w:t>（</w:t>
                        </w:r>
                        <w:r>
                          <w:rPr>
                            <w:rFonts w:ascii="Times New Roman" w:eastAsia="Times New Roman"/>
                            <w:sz w:val="21"/>
                          </w:rPr>
                          <w:t>3</w:t>
                        </w:r>
                        <w:r>
                          <w:rPr>
                            <w:sz w:val="21"/>
                          </w:rPr>
                          <w:t>）自主生活能力完全丧失，无法独立完成六项基本日常生活活动中的三项或</w:t>
                        </w:r>
                      </w:p>
                    </w:tc>
                  </w:tr>
                  <w:tr>
                    <w:trPr>
                      <w:trHeight w:val="1817" w:hRule="atLeast"/>
                    </w:trPr>
                    <w:tc>
                      <w:tcPr>
                        <w:tcW w:w="796" w:type="dxa"/>
                      </w:tcPr>
                      <w:p>
                        <w:pPr>
                          <w:pStyle w:val="TableParagraph"/>
                          <w:rPr>
                            <w:rFonts w:ascii="Times New Roman"/>
                            <w:sz w:val="20"/>
                          </w:rPr>
                        </w:pPr>
                      </w:p>
                    </w:tc>
                    <w:tc>
                      <w:tcPr>
                        <w:tcW w:w="9663" w:type="dxa"/>
                      </w:tcPr>
                      <w:p>
                        <w:pPr>
                          <w:pStyle w:val="TableParagraph"/>
                          <w:spacing w:line="147" w:lineRule="exact"/>
                          <w:ind w:left="2201"/>
                          <w:rPr>
                            <w:sz w:val="21"/>
                          </w:rPr>
                        </w:pPr>
                        <w:r>
                          <w:rPr>
                            <w:sz w:val="21"/>
                          </w:rPr>
                          <w:t>三项以上。</w:t>
                        </w:r>
                      </w:p>
                      <w:p>
                        <w:pPr>
                          <w:pStyle w:val="TableParagraph"/>
                          <w:spacing w:before="5"/>
                          <w:rPr>
                            <w:sz w:val="17"/>
                          </w:rPr>
                        </w:pPr>
                      </w:p>
                      <w:p>
                        <w:pPr>
                          <w:pStyle w:val="TableParagraph"/>
                          <w:tabs>
                            <w:tab w:pos="2201" w:val="left" w:leader="none"/>
                          </w:tabs>
                          <w:spacing w:line="339" w:lineRule="exact" w:before="1"/>
                          <w:ind w:left="171"/>
                          <w:rPr>
                            <w:sz w:val="21"/>
                          </w:rPr>
                        </w:pPr>
                        <w:r>
                          <w:rPr>
                            <w:rFonts w:ascii="Microsoft JhengHei" w:eastAsia="Microsoft JhengHei" w:hint="eastAsia"/>
                            <w:b/>
                            <w:position w:val="-2"/>
                            <w:sz w:val="21"/>
                          </w:rPr>
                          <w:t>4、重大器官移植术</w:t>
                          <w:tab/>
                        </w:r>
                        <w:r>
                          <w:rPr>
                            <w:sz w:val="21"/>
                          </w:rPr>
                          <w:t>重大器官移植术，指因相应器官功能衰竭，已经实施了肾脏、肝脏、心脏或肺</w:t>
                        </w:r>
                      </w:p>
                      <w:p>
                        <w:pPr>
                          <w:pStyle w:val="TableParagraph"/>
                          <w:tabs>
                            <w:tab w:pos="2201" w:val="left" w:leader="none"/>
                          </w:tabs>
                          <w:spacing w:line="317" w:lineRule="exact"/>
                          <w:ind w:left="171"/>
                          <w:rPr>
                            <w:sz w:val="21"/>
                          </w:rPr>
                        </w:pPr>
                        <w:r>
                          <w:rPr>
                            <w:rFonts w:ascii="Microsoft JhengHei" w:eastAsia="Microsoft JhengHei" w:hint="eastAsia"/>
                            <w:b/>
                            <w:position w:val="-2"/>
                            <w:sz w:val="21"/>
                          </w:rPr>
                          <w:t>或造血干细胞移植</w:t>
                          <w:tab/>
                        </w:r>
                        <w:r>
                          <w:rPr>
                            <w:sz w:val="21"/>
                          </w:rPr>
                          <w:t>脏的异体移植手术。</w:t>
                        </w:r>
                      </w:p>
                      <w:p>
                        <w:pPr>
                          <w:pStyle w:val="TableParagraph"/>
                          <w:tabs>
                            <w:tab w:pos="2201" w:val="left" w:leader="none"/>
                          </w:tabs>
                          <w:spacing w:line="220" w:lineRule="auto" w:before="4"/>
                          <w:ind w:left="2201" w:right="303" w:hanging="2030"/>
                          <w:rPr>
                            <w:sz w:val="21"/>
                          </w:rPr>
                        </w:pPr>
                        <w:r>
                          <w:rPr>
                            <w:rFonts w:ascii="Microsoft JhengHei" w:eastAsia="Microsoft JhengHei" w:hint="eastAsia"/>
                            <w:b/>
                            <w:position w:val="-3"/>
                            <w:sz w:val="21"/>
                          </w:rPr>
                          <w:t>术</w:t>
                          <w:tab/>
                        </w:r>
                        <w:r>
                          <w:rPr>
                            <w:sz w:val="21"/>
                          </w:rPr>
                          <w:t>造血干细胞移植术，指因造血功能损害或造血系统恶性肿瘤，已经实施了造血 干细胞（包括骨髓造血干细胞、外周造血干细胞和脐血造血干细胞）的异体移</w:t>
                        </w:r>
                      </w:p>
                    </w:tc>
                  </w:tr>
                  <w:tr>
                    <w:trPr>
                      <w:trHeight w:val="1173" w:hRule="atLeast"/>
                    </w:trPr>
                    <w:tc>
                      <w:tcPr>
                        <w:tcW w:w="796" w:type="dxa"/>
                      </w:tcPr>
                      <w:p>
                        <w:pPr>
                          <w:pStyle w:val="TableParagraph"/>
                          <w:rPr>
                            <w:rFonts w:ascii="Times New Roman"/>
                            <w:sz w:val="20"/>
                          </w:rPr>
                        </w:pPr>
                      </w:p>
                    </w:tc>
                    <w:tc>
                      <w:tcPr>
                        <w:tcW w:w="9663" w:type="dxa"/>
                      </w:tcPr>
                      <w:p>
                        <w:pPr>
                          <w:pStyle w:val="TableParagraph"/>
                          <w:spacing w:line="117" w:lineRule="exact"/>
                          <w:ind w:left="2201"/>
                          <w:rPr>
                            <w:sz w:val="21"/>
                          </w:rPr>
                        </w:pPr>
                        <w:r>
                          <w:rPr>
                            <w:sz w:val="21"/>
                          </w:rPr>
                          <w:t>植手术。</w:t>
                        </w:r>
                      </w:p>
                      <w:p>
                        <w:pPr>
                          <w:pStyle w:val="TableParagraph"/>
                          <w:spacing w:before="8"/>
                          <w:rPr>
                            <w:sz w:val="18"/>
                          </w:rPr>
                        </w:pPr>
                      </w:p>
                      <w:p>
                        <w:pPr>
                          <w:pStyle w:val="TableParagraph"/>
                          <w:tabs>
                            <w:tab w:pos="2201" w:val="left" w:leader="none"/>
                          </w:tabs>
                          <w:spacing w:line="228" w:lineRule="auto"/>
                          <w:ind w:left="2201" w:right="197" w:hanging="2030"/>
                          <w:rPr>
                            <w:sz w:val="21"/>
                          </w:rPr>
                        </w:pPr>
                        <w:r>
                          <w:rPr>
                            <w:rFonts w:ascii="Microsoft JhengHei" w:eastAsia="Microsoft JhengHei" w:hint="eastAsia"/>
                            <w:b/>
                            <w:position w:val="-2"/>
                            <w:sz w:val="21"/>
                          </w:rPr>
                          <w:t>5、冠状动脉搭桥术</w:t>
                          <w:tab/>
                        </w:r>
                        <w:r>
                          <w:rPr>
                            <w:sz w:val="21"/>
                          </w:rPr>
                          <w:t>指为治疗严重的冠心病</w:t>
                        </w:r>
                        <w:r>
                          <w:rPr>
                            <w:spacing w:val="-88"/>
                            <w:sz w:val="21"/>
                          </w:rPr>
                          <w:t>，</w:t>
                        </w:r>
                        <w:r>
                          <w:rPr>
                            <w:sz w:val="21"/>
                          </w:rPr>
                          <w:t>实际实施了开胸进行的冠状动脉血管旁路移植的手术。冠状动脉支架植入手术、心导管球囊扩张术、激光射频技术及其他非开胸的介</w:t>
                        </w:r>
                      </w:p>
                    </w:tc>
                  </w:tr>
                  <w:tr>
                    <w:trPr>
                      <w:trHeight w:val="1006" w:hRule="atLeast"/>
                    </w:trPr>
                    <w:tc>
                      <w:tcPr>
                        <w:tcW w:w="796" w:type="dxa"/>
                      </w:tcPr>
                      <w:p>
                        <w:pPr>
                          <w:pStyle w:val="TableParagraph"/>
                          <w:rPr>
                            <w:rFonts w:ascii="Times New Roman"/>
                            <w:sz w:val="20"/>
                          </w:rPr>
                        </w:pPr>
                      </w:p>
                    </w:tc>
                    <w:tc>
                      <w:tcPr>
                        <w:tcW w:w="9663" w:type="dxa"/>
                      </w:tcPr>
                      <w:p>
                        <w:pPr>
                          <w:pStyle w:val="TableParagraph"/>
                          <w:spacing w:before="9"/>
                          <w:rPr>
                            <w:sz w:val="26"/>
                          </w:rPr>
                        </w:pPr>
                      </w:p>
                      <w:p>
                        <w:pPr>
                          <w:pStyle w:val="TableParagraph"/>
                          <w:tabs>
                            <w:tab w:pos="2201" w:val="left" w:leader="none"/>
                          </w:tabs>
                          <w:spacing w:line="228" w:lineRule="auto" w:before="1"/>
                          <w:ind w:left="2201" w:right="301" w:hanging="2030"/>
                          <w:rPr>
                            <w:sz w:val="21"/>
                          </w:rPr>
                        </w:pPr>
                        <w:r>
                          <w:rPr>
                            <w:rFonts w:ascii="Microsoft JhengHei" w:eastAsia="Microsoft JhengHei" w:hint="eastAsia"/>
                            <w:b/>
                            <w:position w:val="-2"/>
                            <w:sz w:val="21"/>
                          </w:rPr>
                          <w:t>6、终末期肾病</w:t>
                          <w:tab/>
                        </w:r>
                        <w:r>
                          <w:rPr>
                            <w:sz w:val="21"/>
                          </w:rPr>
                          <w:t>指双肾功</w:t>
                        </w:r>
                        <w:r>
                          <w:rPr>
                            <w:spacing w:val="2"/>
                            <w:sz w:val="21"/>
                          </w:rPr>
                          <w:t>能</w:t>
                        </w:r>
                        <w:r>
                          <w:rPr>
                            <w:sz w:val="21"/>
                          </w:rPr>
                          <w:t>慢性不可</w:t>
                        </w:r>
                        <w:r>
                          <w:rPr>
                            <w:spacing w:val="2"/>
                            <w:sz w:val="21"/>
                          </w:rPr>
                          <w:t>逆</w:t>
                        </w:r>
                        <w:r>
                          <w:rPr>
                            <w:sz w:val="21"/>
                          </w:rPr>
                          <w:t>性衰竭，</w:t>
                        </w:r>
                        <w:r>
                          <w:rPr>
                            <w:spacing w:val="2"/>
                            <w:sz w:val="21"/>
                          </w:rPr>
                          <w:t>达</w:t>
                        </w:r>
                        <w:r>
                          <w:rPr>
                            <w:sz w:val="21"/>
                          </w:rPr>
                          <w:t>到尿毒症</w:t>
                        </w:r>
                        <w:r>
                          <w:rPr>
                            <w:spacing w:val="2"/>
                            <w:sz w:val="21"/>
                          </w:rPr>
                          <w:t>期</w:t>
                        </w:r>
                        <w:r>
                          <w:rPr>
                            <w:sz w:val="21"/>
                          </w:rPr>
                          <w:t>，经诊断</w:t>
                        </w:r>
                        <w:r>
                          <w:rPr>
                            <w:spacing w:val="2"/>
                            <w:sz w:val="21"/>
                          </w:rPr>
                          <w:t>后</w:t>
                        </w:r>
                        <w:r>
                          <w:rPr>
                            <w:sz w:val="21"/>
                          </w:rPr>
                          <w:t>已经进行</w:t>
                        </w:r>
                        <w:r>
                          <w:rPr>
                            <w:spacing w:val="2"/>
                            <w:sz w:val="21"/>
                          </w:rPr>
                          <w:t>了</w:t>
                        </w:r>
                        <w:r>
                          <w:rPr>
                            <w:sz w:val="21"/>
                          </w:rPr>
                          <w:t>至少</w:t>
                        </w:r>
                        <w:r>
                          <w:rPr>
                            <w:spacing w:val="83"/>
                            <w:sz w:val="21"/>
                          </w:rPr>
                          <w:t> </w:t>
                        </w:r>
                        <w:r>
                          <w:rPr>
                            <w:sz w:val="21"/>
                          </w:rPr>
                          <w:t>90日的规律性透析治疗或实施了肾脏移植手术。</w:t>
                        </w:r>
                      </w:p>
                    </w:tc>
                  </w:tr>
                  <w:tr>
                    <w:trPr>
                      <w:trHeight w:val="534" w:hRule="atLeast"/>
                    </w:trPr>
                    <w:tc>
                      <w:tcPr>
                        <w:tcW w:w="796" w:type="dxa"/>
                      </w:tcPr>
                      <w:p>
                        <w:pPr>
                          <w:pStyle w:val="TableParagraph"/>
                          <w:rPr>
                            <w:rFonts w:ascii="Times New Roman"/>
                            <w:sz w:val="20"/>
                          </w:rPr>
                        </w:pPr>
                      </w:p>
                    </w:tc>
                    <w:tc>
                      <w:tcPr>
                        <w:tcW w:w="9663" w:type="dxa"/>
                      </w:tcPr>
                      <w:p>
                        <w:pPr>
                          <w:pStyle w:val="TableParagraph"/>
                          <w:tabs>
                            <w:tab w:pos="2201" w:val="left" w:leader="none"/>
                          </w:tabs>
                          <w:spacing w:line="337" w:lineRule="exact" w:before="177"/>
                          <w:ind w:left="171"/>
                          <w:rPr>
                            <w:sz w:val="21"/>
                          </w:rPr>
                        </w:pPr>
                        <w:r>
                          <w:rPr>
                            <w:rFonts w:ascii="Microsoft JhengHei" w:eastAsia="Microsoft JhengHei" w:hint="eastAsia"/>
                            <w:b/>
                            <w:position w:val="-2"/>
                            <w:sz w:val="21"/>
                          </w:rPr>
                          <w:t>7、多个肢体缺失</w:t>
                          <w:tab/>
                        </w:r>
                        <w:r>
                          <w:rPr>
                            <w:sz w:val="21"/>
                          </w:rPr>
                          <w:t>指因疾病或意外伤害导致两个或两个以上肢体自腕关节或踝关节近端（靠近躯</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3"/>
        </w:rPr>
      </w:pPr>
    </w:p>
    <w:p>
      <w:pPr>
        <w:pStyle w:val="BodyText"/>
        <w:spacing w:before="36"/>
        <w:ind w:left="3109"/>
      </w:pPr>
      <w:r>
        <w:rPr/>
        <w:t>入手术、腔镜手术不在保障范围内。</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BodyText"/>
        <w:ind w:left="3109"/>
      </w:pPr>
      <w:r>
        <w:rPr/>
        <w:t>干端）以上完全性断离。</w:t>
      </w:r>
    </w:p>
    <w:p>
      <w:pPr>
        <w:spacing w:after="0"/>
        <w:sectPr>
          <w:pgSz w:w="11910" w:h="16840"/>
          <w:pgMar w:header="0" w:footer="362" w:top="1180" w:bottom="640" w:left="660" w:right="56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9"/>
      </w:tblGrid>
      <w:tr>
        <w:trPr>
          <w:trHeight w:val="1778" w:hRule="atLeast"/>
        </w:trPr>
        <w:tc>
          <w:tcPr>
            <w:tcW w:w="9589" w:type="dxa"/>
          </w:tcPr>
          <w:p>
            <w:pPr>
              <w:pStyle w:val="TableParagraph"/>
              <w:tabs>
                <w:tab w:pos="2229" w:val="left" w:leader="none"/>
              </w:tabs>
              <w:spacing w:line="237" w:lineRule="exact"/>
              <w:ind w:left="200"/>
              <w:rPr>
                <w:sz w:val="21"/>
              </w:rPr>
            </w:pPr>
            <w:r>
              <w:rPr>
                <w:rFonts w:ascii="Microsoft JhengHei" w:eastAsia="Microsoft JhengHei" w:hint="eastAsia"/>
                <w:b/>
                <w:position w:val="-2"/>
                <w:sz w:val="21"/>
              </w:rPr>
              <w:t>8、急性或亚急性重</w:t>
              <w:tab/>
            </w:r>
            <w:r>
              <w:rPr>
                <w:sz w:val="21"/>
              </w:rPr>
              <w:t>指因肝炎病毒感染引起肝组织弥漫性坏死，导致急性肝功能衰竭，且经血清学</w:t>
            </w:r>
          </w:p>
          <w:p>
            <w:pPr>
              <w:pStyle w:val="TableParagraph"/>
              <w:tabs>
                <w:tab w:pos="2229" w:val="left" w:leader="none"/>
              </w:tabs>
              <w:spacing w:line="330" w:lineRule="exact"/>
              <w:ind w:left="200"/>
              <w:rPr>
                <w:sz w:val="21"/>
              </w:rPr>
            </w:pPr>
            <w:r>
              <w:rPr>
                <w:rFonts w:ascii="Microsoft JhengHei" w:eastAsia="Microsoft JhengHei" w:hint="eastAsia"/>
                <w:b/>
                <w:position w:val="-2"/>
                <w:sz w:val="21"/>
              </w:rPr>
              <w:t>症肝炎</w:t>
              <w:tab/>
            </w:r>
            <w:r>
              <w:rPr>
                <w:sz w:val="21"/>
              </w:rPr>
              <w:t>或病毒学检查证实，并须满足下列全部条件：</w:t>
            </w:r>
          </w:p>
          <w:p>
            <w:pPr>
              <w:pStyle w:val="TableParagraph"/>
              <w:spacing w:line="266" w:lineRule="exact"/>
              <w:ind w:left="2229"/>
              <w:rPr>
                <w:sz w:val="21"/>
              </w:rPr>
            </w:pPr>
            <w:r>
              <w:rPr>
                <w:sz w:val="21"/>
              </w:rPr>
              <w:t>（1）重度黄疸或黄疸迅速加重；</w:t>
            </w:r>
          </w:p>
          <w:p>
            <w:pPr>
              <w:pStyle w:val="TableParagraph"/>
              <w:spacing w:before="37"/>
              <w:ind w:left="2229"/>
              <w:rPr>
                <w:sz w:val="21"/>
              </w:rPr>
            </w:pPr>
            <w:r>
              <w:rPr>
                <w:sz w:val="21"/>
              </w:rPr>
              <w:t>（2）肝性脑病；</w:t>
            </w:r>
          </w:p>
          <w:p>
            <w:pPr>
              <w:pStyle w:val="TableParagraph"/>
              <w:spacing w:before="37"/>
              <w:ind w:left="2229"/>
              <w:rPr>
                <w:sz w:val="21"/>
              </w:rPr>
            </w:pPr>
            <w:r>
              <w:rPr>
                <w:sz w:val="21"/>
              </w:rPr>
              <w:t>（3）B 超或其他影像学检查显示肝脏体积急速萎缩；</w:t>
            </w:r>
          </w:p>
          <w:p>
            <w:pPr>
              <w:pStyle w:val="TableParagraph"/>
              <w:spacing w:line="263" w:lineRule="exact" w:before="37"/>
              <w:ind w:left="2229"/>
              <w:rPr>
                <w:sz w:val="21"/>
              </w:rPr>
            </w:pPr>
            <w:r>
              <w:rPr>
                <w:sz w:val="21"/>
              </w:rPr>
              <w:t>（4）肝功能指标进行性恶化。</w:t>
            </w:r>
          </w:p>
        </w:tc>
      </w:tr>
      <w:tr>
        <w:trPr>
          <w:trHeight w:val="2410" w:hRule="atLeast"/>
        </w:trPr>
        <w:tc>
          <w:tcPr>
            <w:tcW w:w="9589" w:type="dxa"/>
          </w:tcPr>
          <w:p>
            <w:pPr>
              <w:pStyle w:val="TableParagraph"/>
              <w:spacing w:before="2"/>
              <w:rPr>
                <w:sz w:val="19"/>
              </w:rPr>
            </w:pPr>
          </w:p>
          <w:p>
            <w:pPr>
              <w:pStyle w:val="TableParagraph"/>
              <w:tabs>
                <w:tab w:pos="2229" w:val="left" w:leader="none"/>
              </w:tabs>
              <w:spacing w:line="312" w:lineRule="exact"/>
              <w:ind w:left="2229" w:right="200" w:hanging="2030"/>
              <w:jc w:val="both"/>
              <w:rPr>
                <w:sz w:val="21"/>
              </w:rPr>
            </w:pPr>
            <w:r>
              <w:rPr>
                <w:rFonts w:ascii="Microsoft JhengHei" w:eastAsia="Microsoft JhengHei" w:hint="eastAsia"/>
                <w:b/>
                <w:position w:val="-2"/>
                <w:sz w:val="21"/>
              </w:rPr>
              <w:t>9、良性脑肿瘤</w:t>
              <w:tab/>
            </w:r>
            <w:r>
              <w:rPr>
                <w:sz w:val="21"/>
              </w:rPr>
              <w:t>指脑的良性肿瘤，已经引起颅内压增高，临床表现为视神经乳头水肿、精神症 状</w:t>
            </w:r>
            <w:r>
              <w:rPr>
                <w:spacing w:val="-19"/>
                <w:sz w:val="21"/>
              </w:rPr>
              <w:t>、</w:t>
            </w:r>
            <w:r>
              <w:rPr>
                <w:sz w:val="21"/>
              </w:rPr>
              <w:t>癫痫及运动感觉障碍等</w:t>
            </w:r>
            <w:r>
              <w:rPr>
                <w:spacing w:val="-19"/>
                <w:sz w:val="21"/>
              </w:rPr>
              <w:t>，</w:t>
            </w:r>
            <w:r>
              <w:rPr>
                <w:sz w:val="21"/>
              </w:rPr>
              <w:t>并危及生命</w:t>
            </w:r>
            <w:r>
              <w:rPr>
                <w:spacing w:val="-19"/>
                <w:sz w:val="21"/>
              </w:rPr>
              <w:t>。</w:t>
            </w:r>
            <w:r>
              <w:rPr>
                <w:sz w:val="21"/>
              </w:rPr>
              <w:t>须由头颅断层扫</w:t>
            </w:r>
            <w:r>
              <w:rPr>
                <w:spacing w:val="-17"/>
                <w:sz w:val="21"/>
              </w:rPr>
              <w:t>描</w:t>
            </w:r>
            <w:r>
              <w:rPr>
                <w:sz w:val="21"/>
              </w:rPr>
              <w:t>（CT</w:t>
            </w:r>
            <w:r>
              <w:rPr>
                <w:spacing w:val="-107"/>
                <w:sz w:val="21"/>
              </w:rPr>
              <w:t>）</w:t>
            </w:r>
            <w:r>
              <w:rPr>
                <w:spacing w:val="-19"/>
                <w:sz w:val="21"/>
              </w:rPr>
              <w:t>、</w:t>
            </w:r>
            <w:r>
              <w:rPr>
                <w:sz w:val="21"/>
              </w:rPr>
              <w:t>核磁</w:t>
            </w:r>
            <w:r>
              <w:rPr>
                <w:spacing w:val="0"/>
                <w:sz w:val="21"/>
              </w:rPr>
              <w:t>共</w:t>
            </w:r>
            <w:r>
              <w:rPr>
                <w:sz w:val="21"/>
              </w:rPr>
              <w:t>振检查（MRI）或正电子发射断层扫描（PET）等影像学检查证实，并须满足下列至少一项条件：</w:t>
            </w:r>
          </w:p>
          <w:p>
            <w:pPr>
              <w:pStyle w:val="TableParagraph"/>
              <w:spacing w:before="3"/>
              <w:ind w:left="2229"/>
              <w:rPr>
                <w:sz w:val="21"/>
              </w:rPr>
            </w:pPr>
            <w:r>
              <w:rPr>
                <w:sz w:val="21"/>
              </w:rPr>
              <w:t>（1）实际实施了开颅进行的脑肿瘤完全切除或部分切除的手术；</w:t>
            </w:r>
          </w:p>
          <w:p>
            <w:pPr>
              <w:pStyle w:val="TableParagraph"/>
              <w:spacing w:before="36"/>
              <w:ind w:left="2229"/>
              <w:rPr>
                <w:sz w:val="21"/>
              </w:rPr>
            </w:pPr>
            <w:r>
              <w:rPr>
                <w:sz w:val="21"/>
              </w:rPr>
              <w:t>（2）实际实施了对脑肿瘤进行的放射治疗。</w:t>
            </w:r>
          </w:p>
          <w:p>
            <w:pPr>
              <w:pStyle w:val="TableParagraph"/>
              <w:spacing w:line="263" w:lineRule="exact" w:before="36"/>
              <w:ind w:left="2229"/>
              <w:rPr>
                <w:sz w:val="21"/>
              </w:rPr>
            </w:pPr>
            <w:r>
              <w:rPr>
                <w:sz w:val="21"/>
              </w:rPr>
              <w:t>脑垂体瘤、脑囊肿、脑血管性疾病不在保障范围内。</w:t>
            </w:r>
          </w:p>
        </w:tc>
      </w:tr>
      <w:tr>
        <w:trPr>
          <w:trHeight w:val="2098" w:hRule="atLeast"/>
        </w:trPr>
        <w:tc>
          <w:tcPr>
            <w:tcW w:w="9589" w:type="dxa"/>
          </w:tcPr>
          <w:p>
            <w:pPr>
              <w:pStyle w:val="TableParagraph"/>
              <w:tabs>
                <w:tab w:pos="2229" w:val="left" w:leader="none"/>
              </w:tabs>
              <w:spacing w:line="339" w:lineRule="exact" w:before="218"/>
              <w:ind w:left="200"/>
              <w:rPr>
                <w:sz w:val="21"/>
              </w:rPr>
            </w:pPr>
            <w:r>
              <w:rPr>
                <w:rFonts w:ascii="Microsoft JhengHei" w:eastAsia="Microsoft JhengHei" w:hint="eastAsia"/>
                <w:b/>
                <w:position w:val="-2"/>
                <w:sz w:val="21"/>
              </w:rPr>
              <w:t>10</w:t>
            </w:r>
            <w:r>
              <w:rPr>
                <w:rFonts w:ascii="Microsoft JhengHei" w:eastAsia="Microsoft JhengHei" w:hint="eastAsia"/>
                <w:b/>
                <w:spacing w:val="-76"/>
                <w:position w:val="-2"/>
                <w:sz w:val="21"/>
              </w:rPr>
              <w:t>、</w:t>
            </w:r>
            <w:r>
              <w:rPr>
                <w:rFonts w:ascii="Microsoft JhengHei" w:eastAsia="Microsoft JhengHei" w:hint="eastAsia"/>
                <w:b/>
                <w:position w:val="-2"/>
                <w:sz w:val="21"/>
              </w:rPr>
              <w:t>慢性肝功能衰竭</w:t>
              <w:tab/>
            </w:r>
            <w:r>
              <w:rPr>
                <w:sz w:val="21"/>
              </w:rPr>
              <w:t>指因慢性肝脏疾病导致肝功能衰竭，须满足下列全部条件：</w:t>
            </w:r>
          </w:p>
          <w:p>
            <w:pPr>
              <w:pStyle w:val="TableParagraph"/>
              <w:tabs>
                <w:tab w:pos="2229" w:val="left" w:leader="none"/>
              </w:tabs>
              <w:spacing w:line="330" w:lineRule="exact"/>
              <w:ind w:left="200"/>
              <w:rPr>
                <w:sz w:val="21"/>
              </w:rPr>
            </w:pPr>
            <w:r>
              <w:rPr>
                <w:rFonts w:ascii="Microsoft JhengHei" w:eastAsia="Microsoft JhengHei" w:hint="eastAsia"/>
                <w:b/>
                <w:position w:val="-2"/>
                <w:sz w:val="21"/>
              </w:rPr>
              <w:t>失代偿期</w:t>
              <w:tab/>
            </w:r>
            <w:r>
              <w:rPr>
                <w:spacing w:val="-1"/>
                <w:sz w:val="21"/>
              </w:rPr>
              <w:t>（1）</w:t>
            </w:r>
            <w:r>
              <w:rPr>
                <w:sz w:val="21"/>
              </w:rPr>
              <w:t>持续性黄疸；</w:t>
            </w:r>
          </w:p>
          <w:p>
            <w:pPr>
              <w:pStyle w:val="TableParagraph"/>
              <w:spacing w:line="266" w:lineRule="exact"/>
              <w:ind w:left="2229"/>
              <w:rPr>
                <w:sz w:val="21"/>
              </w:rPr>
            </w:pPr>
            <w:r>
              <w:rPr>
                <w:sz w:val="21"/>
              </w:rPr>
              <w:t>（2）腹水；</w:t>
            </w:r>
          </w:p>
          <w:p>
            <w:pPr>
              <w:pStyle w:val="TableParagraph"/>
              <w:spacing w:before="36"/>
              <w:ind w:left="2229"/>
              <w:rPr>
                <w:sz w:val="21"/>
              </w:rPr>
            </w:pPr>
            <w:r>
              <w:rPr>
                <w:sz w:val="21"/>
              </w:rPr>
              <w:t>（3）肝性脑病；</w:t>
            </w:r>
          </w:p>
          <w:p>
            <w:pPr>
              <w:pStyle w:val="TableParagraph"/>
              <w:spacing w:line="310" w:lineRule="atLeast" w:before="1"/>
              <w:ind w:left="2229" w:right="2213"/>
              <w:rPr>
                <w:sz w:val="21"/>
              </w:rPr>
            </w:pPr>
            <w:r>
              <w:rPr>
                <w:sz w:val="21"/>
              </w:rPr>
              <w:t>（4）充血性脾肿大伴脾功能亢进或食管胃底静脉曲张。因酗酒或药物滥用导致的肝功能衰竭不在保障范围内。</w:t>
            </w:r>
          </w:p>
        </w:tc>
      </w:tr>
      <w:tr>
        <w:trPr>
          <w:trHeight w:val="1943" w:hRule="atLeast"/>
        </w:trPr>
        <w:tc>
          <w:tcPr>
            <w:tcW w:w="9589" w:type="dxa"/>
          </w:tcPr>
          <w:p>
            <w:pPr>
              <w:pStyle w:val="TableParagraph"/>
              <w:tabs>
                <w:tab w:pos="2229" w:val="left" w:leader="none"/>
              </w:tabs>
              <w:spacing w:line="339" w:lineRule="exact" w:before="218"/>
              <w:ind w:left="200"/>
              <w:rPr>
                <w:sz w:val="21"/>
              </w:rPr>
            </w:pPr>
            <w:r>
              <w:rPr>
                <w:rFonts w:ascii="Microsoft JhengHei" w:eastAsia="Microsoft JhengHei" w:hint="eastAsia"/>
                <w:b/>
                <w:w w:val="95"/>
                <w:position w:val="-2"/>
                <w:sz w:val="21"/>
              </w:rPr>
              <w:t>11</w:t>
            </w:r>
            <w:r>
              <w:rPr>
                <w:rFonts w:ascii="Microsoft JhengHei" w:eastAsia="Microsoft JhengHei" w:hint="eastAsia"/>
                <w:b/>
                <w:spacing w:val="-36"/>
                <w:position w:val="-2"/>
                <w:sz w:val="21"/>
              </w:rPr>
              <w:t>、</w:t>
            </w:r>
            <w:r>
              <w:rPr>
                <w:rFonts w:ascii="Microsoft JhengHei" w:eastAsia="Microsoft JhengHei" w:hint="eastAsia"/>
                <w:b/>
                <w:position w:val="-2"/>
                <w:sz w:val="21"/>
              </w:rPr>
              <w:t>脑炎后遗症或脑</w:t>
              <w:tab/>
            </w:r>
            <w:r>
              <w:rPr>
                <w:sz w:val="21"/>
              </w:rPr>
              <w:t>指因患脑炎或脑膜炎导致的神经系统永久性的功能障碍。神经系统永久性的功</w:t>
            </w:r>
          </w:p>
          <w:p>
            <w:pPr>
              <w:pStyle w:val="TableParagraph"/>
              <w:tabs>
                <w:tab w:pos="2029" w:val="left" w:leader="none"/>
              </w:tabs>
              <w:spacing w:line="330" w:lineRule="exact"/>
              <w:ind w:right="1068"/>
              <w:jc w:val="center"/>
              <w:rPr>
                <w:sz w:val="21"/>
              </w:rPr>
            </w:pPr>
            <w:r>
              <w:rPr>
                <w:rFonts w:ascii="Microsoft JhengHei" w:eastAsia="Microsoft JhengHei" w:hint="eastAsia"/>
                <w:b/>
                <w:position w:val="-2"/>
                <w:sz w:val="21"/>
              </w:rPr>
              <w:t>膜炎后遗症</w:t>
              <w:tab/>
            </w:r>
            <w:r>
              <w:rPr>
                <w:sz w:val="21"/>
              </w:rPr>
              <w:t>能障碍，指疾病确诊</w:t>
            </w:r>
            <w:r>
              <w:rPr>
                <w:spacing w:val="-54"/>
                <w:sz w:val="21"/>
              </w:rPr>
              <w:t> </w:t>
            </w:r>
            <w:r>
              <w:rPr>
                <w:sz w:val="21"/>
              </w:rPr>
              <w:t>180</w:t>
            </w:r>
            <w:r>
              <w:rPr>
                <w:spacing w:val="-53"/>
                <w:sz w:val="21"/>
              </w:rPr>
              <w:t> </w:t>
            </w:r>
            <w:r>
              <w:rPr>
                <w:sz w:val="21"/>
              </w:rPr>
              <w:t>日后，仍残留下列一种或一种以上障碍：</w:t>
            </w:r>
          </w:p>
          <w:p>
            <w:pPr>
              <w:pStyle w:val="TableParagraph"/>
              <w:spacing w:line="266" w:lineRule="exact"/>
              <w:ind w:left="2229"/>
              <w:rPr>
                <w:sz w:val="21"/>
              </w:rPr>
            </w:pPr>
            <w:r>
              <w:rPr>
                <w:sz w:val="21"/>
              </w:rPr>
              <w:t>（1）一肢或一肢以上肢体机能完全丧失；</w:t>
            </w:r>
          </w:p>
          <w:p>
            <w:pPr>
              <w:pStyle w:val="TableParagraph"/>
              <w:spacing w:before="36"/>
              <w:ind w:left="2229"/>
              <w:rPr>
                <w:sz w:val="21"/>
              </w:rPr>
            </w:pPr>
            <w:r>
              <w:rPr>
                <w:sz w:val="21"/>
              </w:rPr>
              <w:t>（2）语言能力或咀嚼吞咽能力完全丧失；</w:t>
            </w:r>
          </w:p>
          <w:p>
            <w:pPr>
              <w:pStyle w:val="TableParagraph"/>
              <w:spacing w:before="36"/>
              <w:ind w:left="2229"/>
              <w:rPr>
                <w:sz w:val="21"/>
              </w:rPr>
            </w:pPr>
            <w:r>
              <w:rPr>
                <w:sz w:val="21"/>
              </w:rPr>
              <w:t>（3）自主生活能力完全丧失，无法独立完成六项基本日常生活活动中的三项或</w:t>
            </w:r>
          </w:p>
        </w:tc>
      </w:tr>
      <w:tr>
        <w:trPr>
          <w:trHeight w:val="1787" w:hRule="atLeast"/>
        </w:trPr>
        <w:tc>
          <w:tcPr>
            <w:tcW w:w="9589" w:type="dxa"/>
          </w:tcPr>
          <w:p>
            <w:pPr>
              <w:pStyle w:val="TableParagraph"/>
              <w:spacing w:line="147" w:lineRule="exact"/>
              <w:ind w:left="2229"/>
              <w:rPr>
                <w:sz w:val="21"/>
              </w:rPr>
            </w:pPr>
            <w:r>
              <w:rPr>
                <w:sz w:val="21"/>
              </w:rPr>
              <w:t>三项以上。</w:t>
            </w:r>
          </w:p>
          <w:p>
            <w:pPr>
              <w:pStyle w:val="TableParagraph"/>
              <w:spacing w:before="5"/>
              <w:rPr>
                <w:sz w:val="17"/>
              </w:rPr>
            </w:pPr>
          </w:p>
          <w:p>
            <w:pPr>
              <w:pStyle w:val="TableParagraph"/>
              <w:tabs>
                <w:tab w:pos="2229" w:val="left" w:leader="none"/>
              </w:tabs>
              <w:spacing w:line="339" w:lineRule="exact" w:before="1"/>
              <w:ind w:left="200"/>
              <w:rPr>
                <w:sz w:val="21"/>
              </w:rPr>
            </w:pPr>
            <w:r>
              <w:rPr>
                <w:rFonts w:ascii="Microsoft JhengHei" w:eastAsia="Microsoft JhengHei" w:hint="eastAsia"/>
                <w:b/>
                <w:position w:val="-2"/>
                <w:sz w:val="21"/>
              </w:rPr>
              <w:t>12</w:t>
            </w:r>
            <w:r>
              <w:rPr>
                <w:rFonts w:ascii="Microsoft JhengHei" w:eastAsia="Microsoft JhengHei" w:hint="eastAsia"/>
                <w:b/>
                <w:spacing w:val="-72"/>
                <w:position w:val="-2"/>
                <w:sz w:val="21"/>
              </w:rPr>
              <w:t>、</w:t>
            </w:r>
            <w:r>
              <w:rPr>
                <w:rFonts w:ascii="Microsoft JhengHei" w:eastAsia="Microsoft JhengHei" w:hint="eastAsia"/>
                <w:b/>
                <w:position w:val="-2"/>
                <w:sz w:val="21"/>
              </w:rPr>
              <w:t>双耳失聪－三周</w:t>
              <w:tab/>
            </w:r>
            <w:r>
              <w:rPr>
                <w:sz w:val="21"/>
              </w:rPr>
              <w:t>指因疾病或意外伤害导致双耳听力永久不可逆性丧失</w:t>
            </w:r>
            <w:r>
              <w:rPr>
                <w:spacing w:val="-17"/>
                <w:sz w:val="21"/>
              </w:rPr>
              <w:t>，</w:t>
            </w:r>
            <w:r>
              <w:rPr>
                <w:sz w:val="21"/>
              </w:rPr>
              <w:t>在</w:t>
            </w:r>
            <w:r>
              <w:rPr>
                <w:spacing w:val="-55"/>
                <w:sz w:val="21"/>
              </w:rPr>
              <w:t> </w:t>
            </w:r>
            <w:r>
              <w:rPr>
                <w:sz w:val="21"/>
              </w:rPr>
              <w:t>500</w:t>
            </w:r>
            <w:r>
              <w:rPr>
                <w:spacing w:val="-54"/>
                <w:sz w:val="21"/>
              </w:rPr>
              <w:t> </w:t>
            </w:r>
            <w:r>
              <w:rPr>
                <w:sz w:val="21"/>
              </w:rPr>
              <w:t>赫兹</w:t>
            </w:r>
            <w:r>
              <w:rPr>
                <w:spacing w:val="-17"/>
                <w:sz w:val="21"/>
              </w:rPr>
              <w:t>、</w:t>
            </w:r>
            <w:r>
              <w:rPr>
                <w:sz w:val="21"/>
              </w:rPr>
              <w:t>1000</w:t>
            </w:r>
            <w:r>
              <w:rPr>
                <w:spacing w:val="-54"/>
                <w:sz w:val="21"/>
              </w:rPr>
              <w:t> </w:t>
            </w:r>
            <w:r>
              <w:rPr>
                <w:sz w:val="21"/>
              </w:rPr>
              <w:t>赫兹</w:t>
            </w:r>
          </w:p>
          <w:p>
            <w:pPr>
              <w:pStyle w:val="TableParagraph"/>
              <w:tabs>
                <w:tab w:pos="2229" w:val="left" w:leader="none"/>
              </w:tabs>
              <w:spacing w:line="228" w:lineRule="auto"/>
              <w:ind w:left="2229" w:right="198" w:hanging="2030"/>
              <w:rPr>
                <w:sz w:val="21"/>
              </w:rPr>
            </w:pPr>
            <w:r>
              <w:rPr>
                <w:rFonts w:ascii="Microsoft JhengHei" w:eastAsia="Microsoft JhengHei" w:hint="eastAsia"/>
                <w:b/>
                <w:position w:val="-2"/>
                <w:sz w:val="21"/>
              </w:rPr>
              <w:t>岁始理赔</w:t>
              <w:tab/>
            </w:r>
            <w:r>
              <w:rPr>
                <w:sz w:val="21"/>
              </w:rPr>
              <w:t>和</w:t>
            </w:r>
            <w:r>
              <w:rPr>
                <w:spacing w:val="-50"/>
                <w:sz w:val="21"/>
              </w:rPr>
              <w:t> </w:t>
            </w:r>
            <w:r>
              <w:rPr>
                <w:sz w:val="21"/>
              </w:rPr>
              <w:t>2000</w:t>
            </w:r>
            <w:r>
              <w:rPr>
                <w:spacing w:val="-49"/>
                <w:sz w:val="21"/>
              </w:rPr>
              <w:t> </w:t>
            </w:r>
            <w:r>
              <w:rPr>
                <w:sz w:val="21"/>
              </w:rPr>
              <w:t>赫兹语音频率下，平均听阈大于</w:t>
            </w:r>
            <w:r>
              <w:rPr>
                <w:spacing w:val="-50"/>
                <w:sz w:val="21"/>
              </w:rPr>
              <w:t> </w:t>
            </w:r>
            <w:r>
              <w:rPr>
                <w:sz w:val="21"/>
              </w:rPr>
              <w:t>90</w:t>
            </w:r>
            <w:r>
              <w:rPr>
                <w:spacing w:val="-49"/>
                <w:sz w:val="21"/>
              </w:rPr>
              <w:t> </w:t>
            </w:r>
            <w:r>
              <w:rPr>
                <w:sz w:val="21"/>
              </w:rPr>
              <w:t>分贝，且经纯音听力测试、声导抗检测或听觉诱发电位检测等证实。</w:t>
            </w:r>
          </w:p>
          <w:p>
            <w:pPr>
              <w:pStyle w:val="TableParagraph"/>
              <w:spacing w:before="47"/>
              <w:ind w:left="2229"/>
              <w:rPr>
                <w:sz w:val="21"/>
              </w:rPr>
            </w:pPr>
            <w:r>
              <w:rPr>
                <w:sz w:val="21"/>
              </w:rPr>
              <w:t>被保险人申请理赔时年龄必须在三周岁以上，并且提供理赔当时的听力丧失诊</w:t>
            </w:r>
          </w:p>
        </w:tc>
      </w:tr>
      <w:tr>
        <w:trPr>
          <w:trHeight w:val="2741" w:hRule="atLeast"/>
        </w:trPr>
        <w:tc>
          <w:tcPr>
            <w:tcW w:w="9589" w:type="dxa"/>
          </w:tcPr>
          <w:p>
            <w:pPr>
              <w:pStyle w:val="TableParagraph"/>
              <w:spacing w:line="148" w:lineRule="exact"/>
              <w:ind w:left="2229"/>
              <w:rPr>
                <w:sz w:val="21"/>
              </w:rPr>
            </w:pPr>
            <w:r>
              <w:rPr>
                <w:sz w:val="21"/>
              </w:rPr>
              <w:t>断及检查证据。</w:t>
            </w:r>
          </w:p>
          <w:p>
            <w:pPr>
              <w:pStyle w:val="TableParagraph"/>
              <w:spacing w:before="4"/>
              <w:rPr>
                <w:sz w:val="17"/>
              </w:rPr>
            </w:pPr>
          </w:p>
          <w:p>
            <w:pPr>
              <w:pStyle w:val="TableParagraph"/>
              <w:tabs>
                <w:tab w:pos="2229" w:val="left" w:leader="none"/>
              </w:tabs>
              <w:spacing w:line="339" w:lineRule="exact"/>
              <w:ind w:left="200"/>
              <w:rPr>
                <w:sz w:val="21"/>
              </w:rPr>
            </w:pPr>
            <w:r>
              <w:rPr>
                <w:rFonts w:ascii="Microsoft JhengHei" w:eastAsia="Microsoft JhengHei" w:hint="eastAsia"/>
                <w:b/>
                <w:position w:val="-2"/>
                <w:sz w:val="21"/>
              </w:rPr>
              <w:t>13</w:t>
            </w:r>
            <w:r>
              <w:rPr>
                <w:rFonts w:ascii="Microsoft JhengHei" w:eastAsia="Microsoft JhengHei" w:hint="eastAsia"/>
                <w:b/>
                <w:spacing w:val="-72"/>
                <w:position w:val="-2"/>
                <w:sz w:val="21"/>
              </w:rPr>
              <w:t>、</w:t>
            </w:r>
            <w:r>
              <w:rPr>
                <w:rFonts w:ascii="Microsoft JhengHei" w:eastAsia="Microsoft JhengHei" w:hint="eastAsia"/>
                <w:b/>
                <w:position w:val="-2"/>
                <w:sz w:val="21"/>
              </w:rPr>
              <w:t>双目失明－三周</w:t>
              <w:tab/>
            </w:r>
            <w:r>
              <w:rPr>
                <w:sz w:val="21"/>
              </w:rPr>
              <w:t>指因疾病或意外伤害导致双眼视力永久不可逆性丧失，双眼中较好眼须满足下</w:t>
            </w:r>
          </w:p>
          <w:p>
            <w:pPr>
              <w:pStyle w:val="TableParagraph"/>
              <w:tabs>
                <w:tab w:pos="2229" w:val="left" w:leader="none"/>
              </w:tabs>
              <w:spacing w:line="330" w:lineRule="exact"/>
              <w:ind w:left="200"/>
              <w:rPr>
                <w:sz w:val="21"/>
              </w:rPr>
            </w:pPr>
            <w:r>
              <w:rPr>
                <w:rFonts w:ascii="Microsoft JhengHei" w:eastAsia="Microsoft JhengHei" w:hint="eastAsia"/>
                <w:b/>
                <w:position w:val="-2"/>
                <w:sz w:val="21"/>
              </w:rPr>
              <w:t>岁始理赔</w:t>
              <w:tab/>
            </w:r>
            <w:r>
              <w:rPr>
                <w:sz w:val="21"/>
              </w:rPr>
              <w:t>列至少一项条件：</w:t>
            </w:r>
          </w:p>
          <w:p>
            <w:pPr>
              <w:pStyle w:val="TableParagraph"/>
              <w:spacing w:line="266" w:lineRule="exact"/>
              <w:ind w:left="2229"/>
              <w:rPr>
                <w:sz w:val="21"/>
              </w:rPr>
            </w:pPr>
            <w:r>
              <w:rPr>
                <w:sz w:val="21"/>
              </w:rPr>
              <w:t>（1）眼球缺失或摘除；</w:t>
            </w:r>
          </w:p>
          <w:p>
            <w:pPr>
              <w:pStyle w:val="TableParagraph"/>
              <w:spacing w:line="273" w:lineRule="auto" w:before="36"/>
              <w:ind w:left="2229" w:right="201"/>
              <w:rPr>
                <w:sz w:val="21"/>
              </w:rPr>
            </w:pPr>
            <w:r>
              <w:rPr>
                <w:sz w:val="21"/>
              </w:rPr>
              <w:t>（2）矫正视力低于 0.02（采用国际标准视力表，如果使用其他视力表应进行换算</w:t>
            </w:r>
            <w:r>
              <w:rPr>
                <w:spacing w:val="-105"/>
                <w:sz w:val="21"/>
              </w:rPr>
              <w:t>）</w:t>
            </w:r>
            <w:r>
              <w:rPr>
                <w:sz w:val="21"/>
              </w:rPr>
              <w:t>；</w:t>
            </w:r>
          </w:p>
          <w:p>
            <w:pPr>
              <w:pStyle w:val="TableParagraph"/>
              <w:spacing w:before="7"/>
              <w:ind w:left="2229"/>
              <w:rPr>
                <w:sz w:val="21"/>
              </w:rPr>
            </w:pPr>
            <w:r>
              <w:rPr>
                <w:sz w:val="21"/>
              </w:rPr>
              <w:t>（3）视野半径小于 5 度。</w:t>
            </w:r>
          </w:p>
          <w:p>
            <w:pPr>
              <w:pStyle w:val="TableParagraph"/>
              <w:spacing w:before="37"/>
              <w:ind w:left="2229"/>
              <w:rPr>
                <w:sz w:val="21"/>
              </w:rPr>
            </w:pPr>
            <w:r>
              <w:rPr>
                <w:sz w:val="21"/>
              </w:rPr>
              <w:t>被保险人申请理赔时年龄必须在三周岁以上，并且提供理赔当时的视力丧失诊</w:t>
            </w:r>
          </w:p>
        </w:tc>
      </w:tr>
      <w:tr>
        <w:trPr>
          <w:trHeight w:val="712" w:hRule="atLeast"/>
        </w:trPr>
        <w:tc>
          <w:tcPr>
            <w:tcW w:w="9589" w:type="dxa"/>
          </w:tcPr>
          <w:p>
            <w:pPr>
              <w:pStyle w:val="TableParagraph"/>
              <w:spacing w:line="129" w:lineRule="exact"/>
              <w:ind w:left="2229"/>
              <w:rPr>
                <w:sz w:val="21"/>
              </w:rPr>
            </w:pPr>
            <w:r>
              <w:rPr>
                <w:sz w:val="21"/>
              </w:rPr>
              <w:t>断及检查证据。</w:t>
            </w:r>
          </w:p>
          <w:p>
            <w:pPr>
              <w:pStyle w:val="TableParagraph"/>
              <w:spacing w:before="4"/>
              <w:rPr>
                <w:sz w:val="17"/>
              </w:rPr>
            </w:pPr>
          </w:p>
          <w:p>
            <w:pPr>
              <w:pStyle w:val="TableParagraph"/>
              <w:tabs>
                <w:tab w:pos="2229" w:val="left" w:leader="none"/>
              </w:tabs>
              <w:spacing w:line="337" w:lineRule="exact"/>
              <w:ind w:left="200"/>
              <w:rPr>
                <w:sz w:val="21"/>
              </w:rPr>
            </w:pPr>
            <w:r>
              <w:rPr>
                <w:rFonts w:ascii="Microsoft JhengHei" w:eastAsia="Microsoft JhengHei" w:hint="eastAsia"/>
                <w:b/>
                <w:position w:val="-2"/>
                <w:sz w:val="21"/>
              </w:rPr>
              <w:t>14、瘫痪</w:t>
              <w:tab/>
            </w:r>
            <w:r>
              <w:rPr>
                <w:sz w:val="21"/>
              </w:rPr>
              <w:t>指因疾病或意外伤害导致两肢或两肢以上肢体机能永久完全丧失。肢体机能永</w:t>
            </w:r>
          </w:p>
        </w:tc>
      </w:tr>
    </w:tbl>
    <w:p>
      <w:pPr>
        <w:pStyle w:val="BodyText"/>
        <w:spacing w:line="273" w:lineRule="auto"/>
        <w:ind w:left="2349" w:right="315"/>
      </w:pPr>
      <w:r>
        <w:rPr>
          <w:spacing w:val="-5"/>
        </w:rPr>
        <w:t>久完全丧失，指疾病确诊 </w:t>
      </w:r>
      <w:r>
        <w:rPr/>
        <w:t>180</w:t>
      </w:r>
      <w:r>
        <w:rPr>
          <w:spacing w:val="-12"/>
        </w:rPr>
        <w:t> 日后或意外伤害发生 </w:t>
      </w:r>
      <w:r>
        <w:rPr/>
        <w:t>180</w:t>
      </w:r>
      <w:r>
        <w:rPr>
          <w:spacing w:val="-8"/>
        </w:rPr>
        <w:t> 日后，每肢三大关节中的两大关节仍然完全僵硬，或不能随意识活动。</w:t>
      </w:r>
    </w:p>
    <w:p>
      <w:pPr>
        <w:spacing w:after="0" w:line="273" w:lineRule="auto"/>
        <w:sectPr>
          <w:pgSz w:w="11910" w:h="16840"/>
          <w:pgMar w:header="0" w:footer="362" w:top="1180" w:bottom="640" w:left="1420" w:right="66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93"/>
      </w:tblGrid>
      <w:tr>
        <w:trPr>
          <w:trHeight w:val="363" w:hRule="atLeast"/>
        </w:trPr>
        <w:tc>
          <w:tcPr>
            <w:tcW w:w="9693" w:type="dxa"/>
          </w:tcPr>
          <w:p>
            <w:pPr>
              <w:pStyle w:val="TableParagraph"/>
              <w:tabs>
                <w:tab w:pos="2229" w:val="left" w:leader="none"/>
              </w:tabs>
              <w:spacing w:line="226" w:lineRule="exact"/>
              <w:ind w:left="200"/>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tc>
      </w:tr>
      <w:tr>
        <w:trPr>
          <w:trHeight w:val="1924" w:hRule="atLeast"/>
        </w:trPr>
        <w:tc>
          <w:tcPr>
            <w:tcW w:w="9693" w:type="dxa"/>
          </w:tcPr>
          <w:p>
            <w:pPr>
              <w:pStyle w:val="TableParagraph"/>
              <w:tabs>
                <w:tab w:pos="2229" w:val="left" w:leader="none"/>
              </w:tabs>
              <w:spacing w:line="208" w:lineRule="auto" w:before="88"/>
              <w:ind w:left="200" w:right="198"/>
              <w:rPr>
                <w:sz w:val="21"/>
              </w:rPr>
            </w:pPr>
            <w:r>
              <w:rPr>
                <w:rFonts w:ascii="Microsoft JhengHei" w:hAnsi="Microsoft JhengHei" w:eastAsia="Microsoft JhengHei" w:hint="eastAsia"/>
                <w:b/>
                <w:position w:val="-2"/>
                <w:sz w:val="21"/>
              </w:rPr>
              <w:t>16</w:t>
            </w:r>
            <w:r>
              <w:rPr>
                <w:rFonts w:ascii="Microsoft JhengHei" w:hAnsi="Microsoft JhengHei" w:eastAsia="Microsoft JhengHei" w:hint="eastAsia"/>
                <w:b/>
                <w:spacing w:val="-72"/>
                <w:position w:val="-2"/>
                <w:sz w:val="21"/>
              </w:rPr>
              <w:t>、</w:t>
            </w:r>
            <w:r>
              <w:rPr>
                <w:rFonts w:ascii="Microsoft JhengHei" w:hAnsi="Microsoft JhengHei" w:eastAsia="Microsoft JhengHei" w:hint="eastAsia"/>
                <w:b/>
                <w:position w:val="-2"/>
                <w:sz w:val="21"/>
              </w:rPr>
              <w:t>严重阿尔茨海默</w:t>
              <w:tab/>
            </w:r>
            <w:r>
              <w:rPr>
                <w:sz w:val="21"/>
              </w:rPr>
              <w:t>指因大脑进行性、不可逆性改变导致智能严重衰退或丧失，临床表现为明显的 </w:t>
            </w:r>
            <w:r>
              <w:rPr>
                <w:rFonts w:ascii="Microsoft JhengHei" w:hAnsi="Microsoft JhengHei" w:eastAsia="Microsoft JhengHei" w:hint="eastAsia"/>
                <w:b/>
                <w:position w:val="-2"/>
                <w:sz w:val="21"/>
              </w:rPr>
              <w:t>病—限七十周岁前</w:t>
              <w:tab/>
            </w:r>
            <w:r>
              <w:rPr>
                <w:sz w:val="21"/>
              </w:rPr>
              <w:t>认知能力障碍</w:t>
            </w:r>
            <w:r>
              <w:rPr>
                <w:spacing w:val="-44"/>
                <w:sz w:val="21"/>
              </w:rPr>
              <w:t>、</w:t>
            </w:r>
            <w:r>
              <w:rPr>
                <w:sz w:val="21"/>
              </w:rPr>
              <w:t>行为异常和社交能力减退</w:t>
            </w:r>
            <w:r>
              <w:rPr>
                <w:spacing w:val="-44"/>
                <w:sz w:val="21"/>
              </w:rPr>
              <w:t>，</w:t>
            </w:r>
            <w:r>
              <w:rPr>
                <w:sz w:val="21"/>
              </w:rPr>
              <w:t>其日常生活必须持续受到他人监护。</w:t>
            </w:r>
            <w:r>
              <w:rPr>
                <w:rFonts w:ascii="Microsoft JhengHei" w:hAnsi="Microsoft JhengHei" w:eastAsia="Microsoft JhengHei" w:hint="eastAsia"/>
                <w:b/>
                <w:position w:val="-3"/>
                <w:sz w:val="21"/>
              </w:rPr>
              <w:t>发病</w:t>
              <w:tab/>
            </w:r>
            <w:r>
              <w:rPr>
                <w:spacing w:val="-1"/>
                <w:sz w:val="21"/>
              </w:rPr>
              <w:t>须由头颅断层扫描（CT</w:t>
            </w:r>
            <w:r>
              <w:rPr>
                <w:spacing w:val="-106"/>
                <w:sz w:val="21"/>
              </w:rPr>
              <w:t>）</w:t>
            </w:r>
            <w:r>
              <w:rPr>
                <w:sz w:val="21"/>
              </w:rPr>
              <w:t>、核磁共振检查（MRI</w:t>
            </w:r>
            <w:r>
              <w:rPr>
                <w:spacing w:val="-2"/>
                <w:sz w:val="21"/>
              </w:rPr>
              <w:t>）</w:t>
            </w:r>
            <w:r>
              <w:rPr>
                <w:sz w:val="21"/>
              </w:rPr>
              <w:t>或正电子发射断层扫描（PET）</w:t>
            </w:r>
          </w:p>
          <w:p>
            <w:pPr>
              <w:pStyle w:val="TableParagraph"/>
              <w:spacing w:line="253" w:lineRule="exact"/>
              <w:ind w:left="2229"/>
              <w:rPr>
                <w:sz w:val="21"/>
              </w:rPr>
            </w:pPr>
            <w:r>
              <w:rPr>
                <w:sz w:val="21"/>
              </w:rPr>
              <w:t>等影像学检查证实，自主生活能力完全丧失，无法独立完成六项基本日常生活</w:t>
            </w:r>
          </w:p>
          <w:p>
            <w:pPr>
              <w:pStyle w:val="TableParagraph"/>
              <w:spacing w:before="37"/>
              <w:ind w:left="2229"/>
              <w:rPr>
                <w:sz w:val="21"/>
              </w:rPr>
            </w:pPr>
            <w:r>
              <w:rPr>
                <w:sz w:val="21"/>
              </w:rPr>
              <w:t>活动中的三项或三项以上。</w:t>
            </w:r>
          </w:p>
          <w:p>
            <w:pPr>
              <w:pStyle w:val="TableParagraph"/>
              <w:spacing w:line="263" w:lineRule="exact" w:before="36"/>
              <w:ind w:left="2229"/>
              <w:rPr>
                <w:sz w:val="21"/>
              </w:rPr>
            </w:pPr>
            <w:r>
              <w:rPr>
                <w:sz w:val="21"/>
              </w:rPr>
              <w:t>神经官能症和精神疾病不在保障范围内。</w:t>
            </w:r>
          </w:p>
        </w:tc>
      </w:tr>
      <w:tr>
        <w:trPr>
          <w:trHeight w:val="2566" w:hRule="atLeast"/>
        </w:trPr>
        <w:tc>
          <w:tcPr>
            <w:tcW w:w="9693" w:type="dxa"/>
          </w:tcPr>
          <w:p>
            <w:pPr>
              <w:pStyle w:val="TableParagraph"/>
              <w:spacing w:before="12"/>
              <w:rPr>
                <w:sz w:val="17"/>
              </w:rPr>
            </w:pPr>
          </w:p>
          <w:p>
            <w:pPr>
              <w:pStyle w:val="TableParagraph"/>
              <w:tabs>
                <w:tab w:pos="2229" w:val="left" w:leader="none"/>
              </w:tabs>
              <w:spacing w:line="228" w:lineRule="auto" w:before="1"/>
              <w:ind w:left="2229" w:right="305" w:hanging="2030"/>
              <w:rPr>
                <w:sz w:val="21"/>
              </w:rPr>
            </w:pPr>
            <w:r>
              <w:rPr>
                <w:rFonts w:ascii="Microsoft JhengHei" w:eastAsia="Microsoft JhengHei" w:hint="eastAsia"/>
                <w:b/>
                <w:position w:val="-2"/>
                <w:sz w:val="21"/>
              </w:rPr>
              <w:t>17、严重脑损伤</w:t>
              <w:tab/>
            </w:r>
            <w:r>
              <w:rPr>
                <w:sz w:val="21"/>
              </w:rPr>
              <w:t>指因头部遭受机械性外力，引起脑重要部位损伤，导致神经系统永久性的功能 障碍</w:t>
            </w:r>
            <w:r>
              <w:rPr>
                <w:spacing w:val="0"/>
                <w:sz w:val="21"/>
              </w:rPr>
              <w:t>。</w:t>
            </w:r>
            <w:r>
              <w:rPr>
                <w:sz w:val="21"/>
              </w:rPr>
              <w:t>须</w:t>
            </w:r>
            <w:r>
              <w:rPr>
                <w:spacing w:val="0"/>
                <w:sz w:val="21"/>
              </w:rPr>
              <w:t>由</w:t>
            </w:r>
            <w:r>
              <w:rPr>
                <w:sz w:val="21"/>
              </w:rPr>
              <w:t>头颅</w:t>
            </w:r>
            <w:r>
              <w:rPr>
                <w:spacing w:val="0"/>
                <w:sz w:val="21"/>
              </w:rPr>
              <w:t>断</w:t>
            </w:r>
            <w:r>
              <w:rPr>
                <w:sz w:val="21"/>
              </w:rPr>
              <w:t>层</w:t>
            </w:r>
            <w:r>
              <w:rPr>
                <w:spacing w:val="0"/>
                <w:sz w:val="21"/>
              </w:rPr>
              <w:t>扫</w:t>
            </w:r>
            <w:r>
              <w:rPr>
                <w:sz w:val="21"/>
              </w:rPr>
              <w:t>描（CT</w:t>
            </w:r>
            <w:r>
              <w:rPr>
                <w:spacing w:val="-105"/>
                <w:sz w:val="21"/>
              </w:rPr>
              <w:t>）</w:t>
            </w:r>
            <w:r>
              <w:rPr>
                <w:sz w:val="21"/>
              </w:rPr>
              <w:t>、</w:t>
            </w:r>
            <w:r>
              <w:rPr>
                <w:spacing w:val="0"/>
                <w:sz w:val="21"/>
              </w:rPr>
              <w:t>核</w:t>
            </w:r>
            <w:r>
              <w:rPr>
                <w:sz w:val="21"/>
              </w:rPr>
              <w:t>磁共</w:t>
            </w:r>
            <w:r>
              <w:rPr>
                <w:spacing w:val="0"/>
                <w:sz w:val="21"/>
              </w:rPr>
              <w:t>振</w:t>
            </w:r>
            <w:r>
              <w:rPr>
                <w:sz w:val="21"/>
              </w:rPr>
              <w:t>检</w:t>
            </w:r>
            <w:r>
              <w:rPr>
                <w:spacing w:val="0"/>
                <w:sz w:val="21"/>
              </w:rPr>
              <w:t>查</w:t>
            </w:r>
            <w:r>
              <w:rPr>
                <w:sz w:val="21"/>
              </w:rPr>
              <w:t>（MRI）或</w:t>
            </w:r>
            <w:r>
              <w:rPr>
                <w:spacing w:val="0"/>
                <w:sz w:val="21"/>
              </w:rPr>
              <w:t>正</w:t>
            </w:r>
            <w:r>
              <w:rPr>
                <w:sz w:val="21"/>
              </w:rPr>
              <w:t>电子</w:t>
            </w:r>
            <w:r>
              <w:rPr>
                <w:spacing w:val="0"/>
                <w:sz w:val="21"/>
              </w:rPr>
              <w:t>发</w:t>
            </w:r>
            <w:r>
              <w:rPr>
                <w:sz w:val="21"/>
              </w:rPr>
              <w:t>射</w:t>
            </w:r>
            <w:r>
              <w:rPr>
                <w:spacing w:val="0"/>
                <w:sz w:val="21"/>
              </w:rPr>
              <w:t>断</w:t>
            </w:r>
            <w:r>
              <w:rPr>
                <w:sz w:val="21"/>
              </w:rPr>
              <w:t>层扫描</w:t>
            </w:r>
          </w:p>
          <w:p>
            <w:pPr>
              <w:pStyle w:val="TableParagraph"/>
              <w:spacing w:line="273" w:lineRule="auto" w:before="37"/>
              <w:ind w:left="2229" w:right="216"/>
              <w:rPr>
                <w:sz w:val="21"/>
              </w:rPr>
            </w:pPr>
            <w:r>
              <w:rPr>
                <w:sz w:val="21"/>
              </w:rPr>
              <w:t>（PET）</w:t>
            </w:r>
            <w:r>
              <w:rPr>
                <w:spacing w:val="-2"/>
                <w:sz w:val="21"/>
              </w:rPr>
              <w:t>等影像学检查证实。神经系统永久性的功能障碍，指脑损伤 </w:t>
            </w:r>
            <w:r>
              <w:rPr>
                <w:sz w:val="21"/>
              </w:rPr>
              <w:t>180</w:t>
            </w:r>
            <w:r>
              <w:rPr>
                <w:spacing w:val="-14"/>
                <w:sz w:val="21"/>
              </w:rPr>
              <w:t> 日后， 仍遗留下列一种或一种以上障碍：</w:t>
            </w:r>
          </w:p>
          <w:p>
            <w:pPr>
              <w:pStyle w:val="TableParagraph"/>
              <w:spacing w:before="7"/>
              <w:ind w:left="2229"/>
              <w:rPr>
                <w:sz w:val="21"/>
              </w:rPr>
            </w:pPr>
            <w:r>
              <w:rPr>
                <w:sz w:val="21"/>
              </w:rPr>
              <w:t>（1）一肢或一肢以上肢体机能完全丧失；</w:t>
            </w:r>
          </w:p>
          <w:p>
            <w:pPr>
              <w:pStyle w:val="TableParagraph"/>
              <w:spacing w:before="37"/>
              <w:ind w:left="2229"/>
              <w:rPr>
                <w:sz w:val="21"/>
              </w:rPr>
            </w:pPr>
            <w:r>
              <w:rPr>
                <w:sz w:val="21"/>
              </w:rPr>
              <w:t>（2）语言能力或咀嚼吞咽能力完全丧失；</w:t>
            </w:r>
          </w:p>
          <w:p>
            <w:pPr>
              <w:pStyle w:val="TableParagraph"/>
              <w:spacing w:before="37"/>
              <w:ind w:left="2229"/>
              <w:rPr>
                <w:sz w:val="21"/>
              </w:rPr>
            </w:pPr>
            <w:r>
              <w:rPr>
                <w:sz w:val="21"/>
              </w:rPr>
              <w:t>（3）自主生活能力完全丧失，无法独立完成六项基本日常生活活动中的三项或</w:t>
            </w:r>
          </w:p>
        </w:tc>
      </w:tr>
      <w:tr>
        <w:trPr>
          <w:trHeight w:val="2273" w:hRule="atLeast"/>
        </w:trPr>
        <w:tc>
          <w:tcPr>
            <w:tcW w:w="9693" w:type="dxa"/>
          </w:tcPr>
          <w:p>
            <w:pPr>
              <w:pStyle w:val="TableParagraph"/>
              <w:spacing w:line="148" w:lineRule="exact"/>
              <w:ind w:left="2229"/>
              <w:rPr>
                <w:sz w:val="21"/>
              </w:rPr>
            </w:pPr>
            <w:r>
              <w:rPr>
                <w:sz w:val="21"/>
              </w:rPr>
              <w:t>三项以上。</w:t>
            </w:r>
          </w:p>
          <w:p>
            <w:pPr>
              <w:pStyle w:val="TableParagraph"/>
              <w:spacing w:before="8"/>
              <w:rPr>
                <w:sz w:val="18"/>
              </w:rPr>
            </w:pPr>
          </w:p>
          <w:p>
            <w:pPr>
              <w:pStyle w:val="TableParagraph"/>
              <w:tabs>
                <w:tab w:pos="2229" w:val="left" w:leader="none"/>
              </w:tabs>
              <w:spacing w:line="228" w:lineRule="auto"/>
              <w:ind w:left="2229" w:right="305" w:hanging="2030"/>
              <w:rPr>
                <w:sz w:val="21"/>
              </w:rPr>
            </w:pPr>
            <w:r>
              <w:rPr>
                <w:rFonts w:ascii="Microsoft JhengHei" w:eastAsia="Microsoft JhengHei" w:hint="eastAsia"/>
                <w:b/>
                <w:position w:val="-2"/>
                <w:sz w:val="21"/>
              </w:rPr>
              <w:t>18、严重帕金森病</w:t>
              <w:tab/>
            </w:r>
            <w:r>
              <w:rPr>
                <w:sz w:val="21"/>
              </w:rPr>
              <w:t>指一种中枢神经系统的退行性疾病，临床表现为震颤麻痹、共济失调等。须满 足下列全部条件：</w:t>
            </w:r>
          </w:p>
          <w:p>
            <w:pPr>
              <w:pStyle w:val="TableParagraph"/>
              <w:spacing w:before="36"/>
              <w:ind w:left="2229"/>
              <w:rPr>
                <w:sz w:val="21"/>
              </w:rPr>
            </w:pPr>
            <w:r>
              <w:rPr>
                <w:sz w:val="21"/>
              </w:rPr>
              <w:t>（1）药物治疗无法控制病情；</w:t>
            </w:r>
          </w:p>
          <w:p>
            <w:pPr>
              <w:pStyle w:val="TableParagraph"/>
              <w:spacing w:line="273" w:lineRule="auto" w:before="36"/>
              <w:ind w:left="2229" w:right="303"/>
              <w:rPr>
                <w:sz w:val="21"/>
              </w:rPr>
            </w:pPr>
            <w:r>
              <w:rPr>
                <w:spacing w:val="-15"/>
                <w:sz w:val="21"/>
              </w:rPr>
              <w:t>（2）</w:t>
            </w:r>
            <w:r>
              <w:rPr>
                <w:spacing w:val="-4"/>
                <w:sz w:val="21"/>
              </w:rPr>
              <w:t>自主生活能力完全丧失，无法独立完成六项基本日常生活活动中的三项或三项以上。</w:t>
            </w:r>
          </w:p>
          <w:p>
            <w:pPr>
              <w:pStyle w:val="TableParagraph"/>
              <w:spacing w:before="7"/>
              <w:ind w:left="2229"/>
              <w:rPr>
                <w:sz w:val="21"/>
              </w:rPr>
            </w:pPr>
            <w:r>
              <w:rPr>
                <w:sz w:val="21"/>
              </w:rPr>
              <w:t>继发性帕金森综合征不在保障范围内。</w:t>
            </w:r>
          </w:p>
        </w:tc>
      </w:tr>
      <w:tr>
        <w:trPr>
          <w:trHeight w:val="873" w:hRule="atLeast"/>
        </w:trPr>
        <w:tc>
          <w:tcPr>
            <w:tcW w:w="9693" w:type="dxa"/>
          </w:tcPr>
          <w:p>
            <w:pPr>
              <w:pStyle w:val="TableParagraph"/>
              <w:spacing w:before="7"/>
              <w:rPr>
                <w:sz w:val="16"/>
              </w:rPr>
            </w:pPr>
          </w:p>
          <w:p>
            <w:pPr>
              <w:pStyle w:val="TableParagraph"/>
              <w:tabs>
                <w:tab w:pos="2229" w:val="left" w:leader="none"/>
              </w:tabs>
              <w:spacing w:line="228" w:lineRule="auto"/>
              <w:ind w:left="2229" w:right="302" w:hanging="2030"/>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44"/>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44"/>
                <w:sz w:val="21"/>
              </w:rPr>
              <w:t>。</w:t>
            </w:r>
            <w:r>
              <w:rPr>
                <w:sz w:val="21"/>
              </w:rPr>
              <w:t>体表面积根据《中国新九分法》计算。</w:t>
            </w:r>
          </w:p>
        </w:tc>
      </w:tr>
      <w:tr>
        <w:trPr>
          <w:trHeight w:val="1167" w:hRule="atLeast"/>
        </w:trPr>
        <w:tc>
          <w:tcPr>
            <w:tcW w:w="9693" w:type="dxa"/>
          </w:tcPr>
          <w:p>
            <w:pPr>
              <w:pStyle w:val="TableParagraph"/>
              <w:tabs>
                <w:tab w:pos="2229" w:val="left" w:leader="none"/>
              </w:tabs>
              <w:spacing w:line="339" w:lineRule="exact" w:before="177"/>
              <w:ind w:left="200"/>
              <w:rPr>
                <w:sz w:val="21"/>
              </w:rPr>
            </w:pPr>
            <w:r>
              <w:rPr>
                <w:rFonts w:ascii="Microsoft JhengHei" w:eastAsia="Microsoft JhengHei" w:hint="eastAsia"/>
                <w:b/>
                <w:position w:val="-2"/>
                <w:sz w:val="21"/>
              </w:rPr>
              <w:t>20、严重原发性肺</w:t>
              <w:tab/>
            </w:r>
            <w:r>
              <w:rPr>
                <w:sz w:val="21"/>
              </w:rPr>
              <w:t>指不明原因的肺动脉压力持续性增高，进行性发展而导致的慢性疾病，已经造</w:t>
            </w:r>
          </w:p>
          <w:p>
            <w:pPr>
              <w:pStyle w:val="TableParagraph"/>
              <w:tabs>
                <w:tab w:pos="2229" w:val="left" w:leader="none"/>
              </w:tabs>
              <w:spacing w:line="228" w:lineRule="auto"/>
              <w:ind w:left="2229" w:right="305" w:hanging="2030"/>
              <w:rPr>
                <w:sz w:val="21"/>
              </w:rPr>
            </w:pPr>
            <w:r>
              <w:rPr>
                <w:rFonts w:ascii="Microsoft JhengHei" w:eastAsia="Microsoft JhengHei" w:hint="eastAsia"/>
                <w:b/>
                <w:position w:val="-2"/>
                <w:sz w:val="21"/>
              </w:rPr>
              <w:t>动脉高压</w:t>
              <w:tab/>
            </w:r>
            <w:r>
              <w:rPr>
                <w:sz w:val="21"/>
              </w:rPr>
              <w:t>成永久不可逆性的体力活动能力受限，达到美国纽约心脏病学会心功能状态分 级</w:t>
            </w:r>
            <w:r>
              <w:rPr>
                <w:spacing w:val="-54"/>
                <w:sz w:val="21"/>
              </w:rPr>
              <w:t> </w:t>
            </w:r>
            <w:r>
              <w:rPr>
                <w:sz w:val="21"/>
              </w:rPr>
              <w:t>IV</w:t>
            </w:r>
            <w:r>
              <w:rPr>
                <w:spacing w:val="-53"/>
                <w:sz w:val="21"/>
              </w:rPr>
              <w:t> </w:t>
            </w:r>
            <w:r>
              <w:rPr>
                <w:sz w:val="21"/>
              </w:rPr>
              <w:t>级，静息状态下肺动脉平均压超过</w:t>
            </w:r>
            <w:r>
              <w:rPr>
                <w:spacing w:val="-54"/>
                <w:sz w:val="21"/>
              </w:rPr>
              <w:t> </w:t>
            </w:r>
            <w:r>
              <w:rPr>
                <w:sz w:val="21"/>
              </w:rPr>
              <w:t>30mmHg。</w:t>
            </w:r>
          </w:p>
        </w:tc>
      </w:tr>
      <w:tr>
        <w:trPr>
          <w:trHeight w:val="1143" w:hRule="atLeast"/>
        </w:trPr>
        <w:tc>
          <w:tcPr>
            <w:tcW w:w="9693" w:type="dxa"/>
          </w:tcPr>
          <w:p>
            <w:pPr>
              <w:pStyle w:val="TableParagraph"/>
              <w:spacing w:before="10"/>
              <w:rPr>
                <w:sz w:val="15"/>
              </w:rPr>
            </w:pPr>
          </w:p>
          <w:p>
            <w:pPr>
              <w:pStyle w:val="TableParagraph"/>
              <w:tabs>
                <w:tab w:pos="2229" w:val="left" w:leader="none"/>
              </w:tabs>
              <w:spacing w:line="216" w:lineRule="auto" w:before="1"/>
              <w:ind w:left="200" w:right="305"/>
              <w:jc w:val="right"/>
              <w:rPr>
                <w:sz w:val="21"/>
              </w:rPr>
            </w:pPr>
            <w:r>
              <w:rPr>
                <w:rFonts w:ascii="Microsoft JhengHei" w:eastAsia="Microsoft JhengHei" w:hint="eastAsia"/>
                <w:b/>
                <w:position w:val="-2"/>
                <w:sz w:val="21"/>
              </w:rPr>
              <w:t>21</w:t>
            </w:r>
            <w:r>
              <w:rPr>
                <w:rFonts w:ascii="Microsoft JhengHei" w:eastAsia="Microsoft JhengHei" w:hint="eastAsia"/>
                <w:b/>
                <w:spacing w:val="-72"/>
                <w:position w:val="-2"/>
                <w:sz w:val="21"/>
              </w:rPr>
              <w:t>、</w:t>
            </w:r>
            <w:r>
              <w:rPr>
                <w:rFonts w:ascii="Microsoft JhengHei" w:eastAsia="Microsoft JhengHei" w:hint="eastAsia"/>
                <w:b/>
                <w:position w:val="-2"/>
                <w:sz w:val="21"/>
              </w:rPr>
              <w:t>严重运动神经元</w:t>
              <w:tab/>
            </w:r>
            <w:r>
              <w:rPr>
                <w:sz w:val="21"/>
              </w:rPr>
              <w:t>是一组中枢神经系统运动神经元的进行性变性疾病，包括进行性脊肌萎缩症、 </w:t>
            </w:r>
            <w:r>
              <w:rPr>
                <w:rFonts w:ascii="Microsoft JhengHei" w:eastAsia="Microsoft JhengHei" w:hint="eastAsia"/>
                <w:b/>
                <w:position w:val="-2"/>
                <w:sz w:val="21"/>
              </w:rPr>
              <w:t>病</w:t>
              <w:tab/>
            </w:r>
            <w:r>
              <w:rPr>
                <w:sz w:val="21"/>
              </w:rPr>
              <w:t>进行性延髓麻痹症、原发性侧索硬化症、肌萎缩性侧索硬化症。须满足自主生 活能力完全丧失，无法独立完成六项基本日常生活活动中的三项或三项以上。</w:t>
            </w:r>
          </w:p>
        </w:tc>
      </w:tr>
      <w:tr>
        <w:trPr>
          <w:trHeight w:val="1604" w:hRule="atLeast"/>
        </w:trPr>
        <w:tc>
          <w:tcPr>
            <w:tcW w:w="9693" w:type="dxa"/>
          </w:tcPr>
          <w:p>
            <w:pPr>
              <w:pStyle w:val="TableParagraph"/>
              <w:tabs>
                <w:tab w:pos="2229" w:val="left" w:leader="none"/>
              </w:tabs>
              <w:spacing w:line="339" w:lineRule="exact" w:before="192"/>
              <w:ind w:left="200"/>
              <w:rPr>
                <w:sz w:val="21"/>
              </w:rPr>
            </w:pPr>
            <w:r>
              <w:rPr>
                <w:rFonts w:ascii="Microsoft JhengHei" w:eastAsia="Microsoft JhengHei" w:hint="eastAsia"/>
                <w:b/>
                <w:position w:val="-2"/>
                <w:sz w:val="21"/>
              </w:rPr>
              <w:t>22、语言能力丧失</w:t>
              <w:tab/>
            </w:r>
            <w:r>
              <w:rPr>
                <w:sz w:val="21"/>
              </w:rPr>
              <w:t>指因疾病或意外伤害导致完全丧失语言能力</w:t>
            </w:r>
            <w:r>
              <w:rPr>
                <w:spacing w:val="-44"/>
                <w:sz w:val="21"/>
              </w:rPr>
              <w:t>，</w:t>
            </w:r>
            <w:r>
              <w:rPr>
                <w:sz w:val="21"/>
              </w:rPr>
              <w:t>经过积极治疗至少</w:t>
            </w:r>
            <w:r>
              <w:rPr>
                <w:spacing w:val="-69"/>
                <w:sz w:val="21"/>
              </w:rPr>
              <w:t> </w:t>
            </w:r>
            <w:r>
              <w:rPr>
                <w:sz w:val="21"/>
              </w:rPr>
              <w:t>12</w:t>
            </w:r>
            <w:r>
              <w:rPr>
                <w:spacing w:val="-68"/>
                <w:sz w:val="21"/>
              </w:rPr>
              <w:t> </w:t>
            </w:r>
            <w:r>
              <w:rPr>
                <w:sz w:val="21"/>
              </w:rPr>
              <w:t>个</w:t>
            </w:r>
            <w:r>
              <w:rPr>
                <w:spacing w:val="-45"/>
                <w:sz w:val="21"/>
              </w:rPr>
              <w:t>月</w:t>
            </w:r>
            <w:r>
              <w:rPr>
                <w:sz w:val="21"/>
              </w:rPr>
              <w:t>（声带</w:t>
            </w:r>
          </w:p>
          <w:p>
            <w:pPr>
              <w:pStyle w:val="TableParagraph"/>
              <w:tabs>
                <w:tab w:pos="2229" w:val="left" w:leader="none"/>
              </w:tabs>
              <w:spacing w:line="228" w:lineRule="auto"/>
              <w:ind w:left="2229" w:right="1897" w:hanging="2030"/>
              <w:rPr>
                <w:sz w:val="21"/>
              </w:rPr>
            </w:pPr>
            <w:r>
              <w:rPr>
                <w:rFonts w:ascii="Microsoft JhengHei" w:eastAsia="Microsoft JhengHei" w:hint="eastAsia"/>
                <w:b/>
                <w:position w:val="-2"/>
                <w:sz w:val="21"/>
              </w:rPr>
              <w:t>－</w:t>
            </w:r>
            <w:r>
              <w:rPr>
                <w:rFonts w:ascii="Microsoft JhengHei" w:eastAsia="Microsoft JhengHei" w:hint="eastAsia"/>
                <w:b/>
                <w:spacing w:val="0"/>
                <w:position w:val="-2"/>
                <w:sz w:val="21"/>
              </w:rPr>
              <w:t>三</w:t>
            </w:r>
            <w:r>
              <w:rPr>
                <w:rFonts w:ascii="Microsoft JhengHei" w:eastAsia="Microsoft JhengHei" w:hint="eastAsia"/>
                <w:b/>
                <w:position w:val="-2"/>
                <w:sz w:val="21"/>
              </w:rPr>
              <w:t>岁始理赔</w:t>
              <w:tab/>
            </w:r>
            <w:r>
              <w:rPr>
                <w:sz w:val="21"/>
              </w:rPr>
              <w:t>完全切除不受此时间限制</w:t>
            </w:r>
            <w:r>
              <w:rPr>
                <w:spacing w:val="-105"/>
                <w:sz w:val="21"/>
              </w:rPr>
              <w:t>）</w:t>
            </w:r>
            <w:r>
              <w:rPr>
                <w:sz w:val="21"/>
              </w:rPr>
              <w:t>，仍无</w:t>
            </w:r>
            <w:r>
              <w:rPr>
                <w:spacing w:val="-2"/>
                <w:sz w:val="21"/>
              </w:rPr>
              <w:t>法</w:t>
            </w:r>
            <w:r>
              <w:rPr>
                <w:sz w:val="21"/>
              </w:rPr>
              <w:t>通过现有医疗手段恢复。精神心理因素所致的语言能力丧失不在保障范围内。</w:t>
            </w:r>
          </w:p>
          <w:p>
            <w:pPr>
              <w:pStyle w:val="TableParagraph"/>
              <w:spacing w:before="47"/>
              <w:ind w:left="2229"/>
              <w:rPr>
                <w:sz w:val="21"/>
              </w:rPr>
            </w:pPr>
            <w:r>
              <w:rPr>
                <w:sz w:val="21"/>
              </w:rPr>
              <w:t>被保险人申请理赔时年龄必须在三周岁以上，并且提供理赔当时的语言能力丧</w:t>
            </w:r>
          </w:p>
        </w:tc>
      </w:tr>
      <w:tr>
        <w:trPr>
          <w:trHeight w:val="2246" w:hRule="atLeast"/>
        </w:trPr>
        <w:tc>
          <w:tcPr>
            <w:tcW w:w="9693" w:type="dxa"/>
          </w:tcPr>
          <w:p>
            <w:pPr>
              <w:pStyle w:val="TableParagraph"/>
              <w:spacing w:line="148" w:lineRule="exact"/>
              <w:ind w:left="2229"/>
              <w:rPr>
                <w:sz w:val="21"/>
              </w:rPr>
            </w:pPr>
            <w:r>
              <w:rPr>
                <w:sz w:val="21"/>
              </w:rPr>
              <w:t>失诊断及检查证据。</w:t>
            </w:r>
          </w:p>
          <w:p>
            <w:pPr>
              <w:pStyle w:val="TableParagraph"/>
              <w:spacing w:before="4"/>
              <w:rPr>
                <w:sz w:val="17"/>
              </w:rPr>
            </w:pPr>
          </w:p>
          <w:p>
            <w:pPr>
              <w:pStyle w:val="TableParagraph"/>
              <w:tabs>
                <w:tab w:pos="2229" w:val="left" w:leader="none"/>
              </w:tabs>
              <w:spacing w:line="339" w:lineRule="exact"/>
              <w:ind w:left="200"/>
              <w:rPr>
                <w:sz w:val="21"/>
              </w:rPr>
            </w:pPr>
            <w:r>
              <w:rPr>
                <w:rFonts w:ascii="Microsoft JhengHei" w:eastAsia="Microsoft JhengHei" w:hint="eastAsia"/>
                <w:b/>
                <w:position w:val="-2"/>
                <w:sz w:val="21"/>
              </w:rPr>
              <w:t>23、重型再生障碍</w:t>
              <w:tab/>
            </w:r>
            <w:r>
              <w:rPr>
                <w:sz w:val="21"/>
              </w:rPr>
              <w:t>指因骨髓造血功能慢性持续性衰竭导致的贫血</w:t>
            </w:r>
            <w:r>
              <w:rPr>
                <w:spacing w:val="-88"/>
                <w:sz w:val="21"/>
              </w:rPr>
              <w:t>、</w:t>
            </w:r>
            <w:r>
              <w:rPr>
                <w:sz w:val="21"/>
              </w:rPr>
              <w:t>中性粒细胞减少及血小板减少，</w:t>
            </w:r>
          </w:p>
          <w:p>
            <w:pPr>
              <w:pStyle w:val="TableParagraph"/>
              <w:tabs>
                <w:tab w:pos="2229" w:val="left" w:leader="none"/>
              </w:tabs>
              <w:spacing w:line="330" w:lineRule="exact"/>
              <w:ind w:left="200"/>
              <w:rPr>
                <w:sz w:val="21"/>
              </w:rPr>
            </w:pPr>
            <w:r>
              <w:rPr>
                <w:rFonts w:ascii="Microsoft JhengHei" w:eastAsia="Microsoft JhengHei" w:hint="eastAsia"/>
                <w:b/>
                <w:position w:val="-2"/>
                <w:sz w:val="21"/>
              </w:rPr>
              <w:t>性贫血</w:t>
              <w:tab/>
            </w:r>
            <w:r>
              <w:rPr>
                <w:sz w:val="21"/>
              </w:rPr>
              <w:t>须满足下列全部条件：</w:t>
            </w:r>
          </w:p>
          <w:p>
            <w:pPr>
              <w:pStyle w:val="TableParagraph"/>
              <w:spacing w:line="266" w:lineRule="exact"/>
              <w:ind w:left="2229"/>
              <w:rPr>
                <w:sz w:val="21"/>
              </w:rPr>
            </w:pPr>
            <w:r>
              <w:rPr>
                <w:sz w:val="21"/>
              </w:rPr>
              <w:t>（1）骨髓穿刺检查或骨髓活检结果支持诊断；</w:t>
            </w:r>
          </w:p>
          <w:p>
            <w:pPr>
              <w:pStyle w:val="TableParagraph"/>
              <w:spacing w:before="36"/>
              <w:ind w:left="2229"/>
              <w:rPr>
                <w:sz w:val="21"/>
              </w:rPr>
            </w:pPr>
            <w:r>
              <w:rPr>
                <w:sz w:val="21"/>
              </w:rPr>
              <w:t>（2）外周血象必须具备以下三项条件：</w:t>
            </w:r>
          </w:p>
          <w:p>
            <w:pPr>
              <w:pStyle w:val="TableParagraph"/>
              <w:spacing w:before="36"/>
              <w:ind w:left="2649"/>
              <w:rPr>
                <w:sz w:val="21"/>
              </w:rPr>
            </w:pPr>
            <w:r>
              <w:rPr>
                <w:sz w:val="21"/>
              </w:rPr>
              <w:t>①中性粒细胞绝对值≤0.5×10</w:t>
            </w:r>
            <w:r>
              <w:rPr>
                <w:position w:val="11"/>
                <w:sz w:val="11"/>
              </w:rPr>
              <w:t>9</w:t>
            </w:r>
            <w:r>
              <w:rPr>
                <w:sz w:val="21"/>
              </w:rPr>
              <w:t>/L；</w:t>
            </w:r>
          </w:p>
          <w:p>
            <w:pPr>
              <w:pStyle w:val="TableParagraph"/>
              <w:spacing w:line="255" w:lineRule="exact" w:before="36"/>
              <w:ind w:left="2649"/>
              <w:rPr>
                <w:sz w:val="21"/>
              </w:rPr>
            </w:pPr>
            <w:r>
              <w:rPr>
                <w:sz w:val="21"/>
              </w:rPr>
              <w:t>②网织红细胞＜1%；</w:t>
            </w:r>
          </w:p>
        </w:tc>
      </w:tr>
    </w:tbl>
    <w:p>
      <w:pPr>
        <w:spacing w:after="0" w:line="255" w:lineRule="exact"/>
        <w:rPr>
          <w:sz w:val="21"/>
        </w:rPr>
        <w:sectPr>
          <w:pgSz w:w="11910" w:h="16840"/>
          <w:pgMar w:header="0" w:footer="362" w:top="1220" w:bottom="560" w:left="1420" w:right="560"/>
        </w:sectPr>
      </w:pPr>
    </w:p>
    <w:p>
      <w:pPr>
        <w:pStyle w:val="BodyText"/>
        <w:spacing w:before="39"/>
        <w:ind w:left="2769"/>
      </w:pPr>
      <w:r>
        <w:rPr/>
        <w:pict>
          <v:shape style="position:absolute;margin-left:76.998901pt;margin-top:32.130009pt;width:479.3pt;height:638.6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6"/>
                  </w:tblGrid>
                  <w:tr>
                    <w:trPr>
                      <w:trHeight w:val="1154" w:hRule="atLeast"/>
                    </w:trPr>
                    <w:tc>
                      <w:tcPr>
                        <w:tcW w:w="9586" w:type="dxa"/>
                      </w:tcPr>
                      <w:p>
                        <w:pPr>
                          <w:pStyle w:val="TableParagraph"/>
                          <w:tabs>
                            <w:tab w:pos="2229" w:val="left" w:leader="none"/>
                          </w:tabs>
                          <w:spacing w:line="256" w:lineRule="exact"/>
                          <w:ind w:left="200"/>
                          <w:rPr>
                            <w:sz w:val="21"/>
                          </w:rPr>
                        </w:pPr>
                        <w:r>
                          <w:rPr>
                            <w:rFonts w:ascii="Microsoft JhengHei" w:eastAsia="Microsoft JhengHei" w:hint="eastAsia"/>
                            <w:b/>
                            <w:position w:val="-2"/>
                            <w:sz w:val="21"/>
                          </w:rPr>
                          <w:t>24、主动脉手术</w:t>
                          <w:tab/>
                        </w:r>
                        <w:r>
                          <w:rPr>
                            <w:sz w:val="21"/>
                          </w:rPr>
                          <w:t>指为治疗主动脉疾病，实际实施了开胸或开腹进行的切除、置换、修补病损主</w:t>
                        </w:r>
                      </w:p>
                      <w:p>
                        <w:pPr>
                          <w:pStyle w:val="TableParagraph"/>
                          <w:spacing w:line="273" w:lineRule="auto"/>
                          <w:ind w:left="2229" w:right="198"/>
                          <w:rPr>
                            <w:sz w:val="21"/>
                          </w:rPr>
                        </w:pPr>
                        <w:r>
                          <w:rPr>
                            <w:sz w:val="21"/>
                          </w:rPr>
                          <w:t>动脉血管的手术。主动脉指胸主动脉和腹主动脉，不包括胸主动脉和腹主动脉的分支血管。</w:t>
                        </w:r>
                      </w:p>
                      <w:p>
                        <w:pPr>
                          <w:pStyle w:val="TableParagraph"/>
                          <w:spacing w:line="263" w:lineRule="exact" w:before="16"/>
                          <w:ind w:left="2229"/>
                          <w:rPr>
                            <w:sz w:val="21"/>
                          </w:rPr>
                        </w:pPr>
                        <w:r>
                          <w:rPr>
                            <w:sz w:val="21"/>
                          </w:rPr>
                          <w:t>动脉内血管成形术不在保障范围内。</w:t>
                        </w:r>
                      </w:p>
                    </w:tc>
                  </w:tr>
                  <w:tr>
                    <w:trPr>
                      <w:trHeight w:val="2098" w:hRule="atLeast"/>
                    </w:trPr>
                    <w:tc>
                      <w:tcPr>
                        <w:tcW w:w="9586" w:type="dxa"/>
                      </w:tcPr>
                      <w:p>
                        <w:pPr>
                          <w:pStyle w:val="TableParagraph"/>
                          <w:tabs>
                            <w:tab w:pos="2229" w:val="left" w:leader="none"/>
                          </w:tabs>
                          <w:spacing w:line="339" w:lineRule="exact" w:before="218"/>
                          <w:ind w:left="200"/>
                          <w:rPr>
                            <w:sz w:val="21"/>
                          </w:rPr>
                        </w:pPr>
                        <w:r>
                          <w:rPr>
                            <w:rFonts w:ascii="Microsoft JhengHei" w:eastAsia="Microsoft JhengHei" w:hint="eastAsia"/>
                            <w:b/>
                            <w:position w:val="-2"/>
                            <w:sz w:val="21"/>
                          </w:rPr>
                          <w:t>25、慢性呼吸功能</w:t>
                          <w:tab/>
                        </w:r>
                        <w:r>
                          <w:rPr>
                            <w:sz w:val="21"/>
                          </w:rPr>
                          <w:t>慢性肺部疾病导致永久不可逆性的慢性呼吸功能衰竭。慢性呼吸功能衰竭必须</w:t>
                        </w:r>
                      </w:p>
                      <w:p>
                        <w:pPr>
                          <w:pStyle w:val="TableParagraph"/>
                          <w:tabs>
                            <w:tab w:pos="2229" w:val="left" w:leader="none"/>
                          </w:tabs>
                          <w:spacing w:line="330" w:lineRule="exact"/>
                          <w:ind w:left="200"/>
                          <w:rPr>
                            <w:sz w:val="21"/>
                          </w:rPr>
                        </w:pPr>
                        <w:r>
                          <w:rPr>
                            <w:rFonts w:ascii="Microsoft JhengHei" w:eastAsia="Microsoft JhengHei" w:hint="eastAsia"/>
                            <w:b/>
                            <w:position w:val="-2"/>
                            <w:sz w:val="21"/>
                          </w:rPr>
                          <w:t>衰竭</w:t>
                          <w:tab/>
                        </w:r>
                        <w:r>
                          <w:rPr>
                            <w:sz w:val="21"/>
                          </w:rPr>
                          <w:t>明确诊断并满足下列全部条件：</w:t>
                        </w:r>
                      </w:p>
                      <w:p>
                        <w:pPr>
                          <w:pStyle w:val="TableParagraph"/>
                          <w:spacing w:line="266" w:lineRule="exact"/>
                          <w:ind w:left="2229"/>
                          <w:rPr>
                            <w:sz w:val="21"/>
                          </w:rPr>
                        </w:pPr>
                        <w:r>
                          <w:rPr>
                            <w:sz w:val="21"/>
                          </w:rPr>
                          <w:t>（1）休息时出现呼吸困难；</w:t>
                        </w:r>
                      </w:p>
                      <w:p>
                        <w:pPr>
                          <w:pStyle w:val="TableParagraph"/>
                          <w:spacing w:before="36"/>
                          <w:ind w:left="2229"/>
                          <w:rPr>
                            <w:sz w:val="21"/>
                          </w:rPr>
                        </w:pPr>
                        <w:r>
                          <w:rPr>
                            <w:sz w:val="21"/>
                          </w:rPr>
                          <w:t>（2）动脉血氧分压（PaO2）&lt;50mmHg；</w:t>
                        </w:r>
                      </w:p>
                      <w:p>
                        <w:pPr>
                          <w:pStyle w:val="TableParagraph"/>
                          <w:spacing w:before="36"/>
                          <w:ind w:left="2229"/>
                          <w:rPr>
                            <w:sz w:val="21"/>
                          </w:rPr>
                        </w:pPr>
                        <w:r>
                          <w:rPr>
                            <w:sz w:val="21"/>
                          </w:rPr>
                          <w:t>（3）动脉血氧饱和度（SaO2）&lt;80％；</w:t>
                        </w:r>
                      </w:p>
                      <w:p>
                        <w:pPr>
                          <w:pStyle w:val="TableParagraph"/>
                          <w:spacing w:line="263" w:lineRule="exact" w:before="36"/>
                          <w:ind w:left="2229"/>
                          <w:rPr>
                            <w:sz w:val="21"/>
                          </w:rPr>
                        </w:pPr>
                        <w:r>
                          <w:rPr>
                            <w:sz w:val="21"/>
                          </w:rPr>
                          <w:t>（4）因缺氧必须接受持续的输氧治疗。</w:t>
                        </w:r>
                      </w:p>
                    </w:tc>
                  </w:tr>
                  <w:tr>
                    <w:trPr>
                      <w:trHeight w:val="1806" w:hRule="atLeast"/>
                    </w:trPr>
                    <w:tc>
                      <w:tcPr>
                        <w:tcW w:w="9586" w:type="dxa"/>
                      </w:tcPr>
                      <w:p>
                        <w:pPr>
                          <w:pStyle w:val="TableParagraph"/>
                          <w:tabs>
                            <w:tab w:pos="2229" w:val="left" w:leader="none"/>
                          </w:tabs>
                          <w:spacing w:line="339" w:lineRule="exact" w:before="218"/>
                          <w:ind w:left="200"/>
                          <w:rPr>
                            <w:sz w:val="21"/>
                          </w:rPr>
                        </w:pPr>
                        <w:r>
                          <w:rPr>
                            <w:rFonts w:ascii="Microsoft JhengHei" w:eastAsia="Microsoft JhengHei" w:hint="eastAsia"/>
                            <w:b/>
                            <w:position w:val="-2"/>
                            <w:sz w:val="21"/>
                          </w:rPr>
                          <w:t>26、严重多发性硬</w:t>
                          <w:tab/>
                        </w:r>
                        <w:r>
                          <w:rPr>
                            <w:sz w:val="21"/>
                          </w:rPr>
                          <w:t>多发性硬化为中枢神经系统白质多灶性脱髓鞘病变，病变有时累及灰质。多发</w:t>
                        </w:r>
                      </w:p>
                      <w:p>
                        <w:pPr>
                          <w:pStyle w:val="TableParagraph"/>
                          <w:tabs>
                            <w:tab w:pos="2229" w:val="left" w:leader="none"/>
                          </w:tabs>
                          <w:spacing w:line="228" w:lineRule="auto"/>
                          <w:ind w:left="2229" w:right="198" w:hanging="2030"/>
                          <w:rPr>
                            <w:sz w:val="21"/>
                          </w:rPr>
                        </w:pPr>
                        <w:r>
                          <w:rPr>
                            <w:rFonts w:ascii="Microsoft JhengHei" w:eastAsia="Microsoft JhengHei" w:hint="eastAsia"/>
                            <w:b/>
                            <w:position w:val="-2"/>
                            <w:sz w:val="21"/>
                          </w:rPr>
                          <w:t>化</w:t>
                          <w:tab/>
                        </w:r>
                        <w:r>
                          <w:rPr>
                            <w:sz w:val="21"/>
                          </w:rPr>
                          <w:t>性硬化必须明确诊断，并且已经造成神经系统功能损害导致被保险人永久不可 逆性的无法独立完成下列基本日常生活活动：</w:t>
                        </w:r>
                      </w:p>
                      <w:p>
                        <w:pPr>
                          <w:pStyle w:val="TableParagraph"/>
                          <w:spacing w:before="47"/>
                          <w:ind w:left="2229"/>
                          <w:rPr>
                            <w:sz w:val="21"/>
                          </w:rPr>
                        </w:pPr>
                        <w:r>
                          <w:rPr>
                            <w:sz w:val="21"/>
                          </w:rPr>
                          <w:t>（1）移动：自己从一个房间到另一个房间；或</w:t>
                        </w:r>
                      </w:p>
                      <w:p>
                        <w:pPr>
                          <w:pStyle w:val="TableParagraph"/>
                          <w:spacing w:before="36"/>
                          <w:ind w:left="2229"/>
                          <w:rPr>
                            <w:sz w:val="21"/>
                          </w:rPr>
                        </w:pPr>
                        <w:r>
                          <w:rPr>
                            <w:sz w:val="21"/>
                          </w:rPr>
                          <w:t>（2）进食：自己从已准备好的碗或碟中取食物放入口中。</w:t>
                        </w:r>
                      </w:p>
                    </w:tc>
                  </w:tr>
                  <w:tr>
                    <w:trPr>
                      <w:trHeight w:val="1342" w:hRule="atLeast"/>
                    </w:trPr>
                    <w:tc>
                      <w:tcPr>
                        <w:tcW w:w="9586" w:type="dxa"/>
                      </w:tcPr>
                      <w:p>
                        <w:pPr>
                          <w:pStyle w:val="TableParagraph"/>
                          <w:tabs>
                            <w:tab w:pos="2229" w:val="left" w:leader="none"/>
                          </w:tabs>
                          <w:spacing w:line="357" w:lineRule="exact" w:before="200"/>
                          <w:ind w:left="200"/>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TableParagraph"/>
                          <w:spacing w:line="266" w:lineRule="exact"/>
                          <w:ind w:left="2229"/>
                          <w:rPr>
                            <w:sz w:val="21"/>
                          </w:rPr>
                        </w:pPr>
                        <w:r>
                          <w:rPr>
                            <w:sz w:val="21"/>
                          </w:rPr>
                          <w:t>（1）符合坏死性筋膜炎的一般临床表现；</w:t>
                        </w:r>
                      </w:p>
                      <w:p>
                        <w:pPr>
                          <w:pStyle w:val="TableParagraph"/>
                          <w:spacing w:before="37"/>
                          <w:ind w:left="2229"/>
                          <w:rPr>
                            <w:sz w:val="21"/>
                          </w:rPr>
                        </w:pPr>
                        <w:r>
                          <w:rPr>
                            <w:sz w:val="21"/>
                          </w:rPr>
                          <w:t>（2）细菌培养检出致病菌；</w:t>
                        </w:r>
                      </w:p>
                    </w:tc>
                  </w:tr>
                  <w:tr>
                    <w:trPr>
                      <w:trHeight w:val="1771" w:hRule="atLeast"/>
                    </w:trPr>
                    <w:tc>
                      <w:tcPr>
                        <w:tcW w:w="9586" w:type="dxa"/>
                      </w:tcPr>
                      <w:p>
                        <w:pPr>
                          <w:pStyle w:val="TableParagraph"/>
                          <w:spacing w:before="143"/>
                          <w:ind w:left="2229"/>
                          <w:rPr>
                            <w:sz w:val="21"/>
                          </w:rPr>
                        </w:pPr>
                        <w:r>
                          <w:rPr>
                            <w:sz w:val="21"/>
                          </w:rPr>
                          <w:t>所谓永久完全失去功能是指受影响部位的功能丧失超过六个月者。</w:t>
                        </w:r>
                      </w:p>
                      <w:p>
                        <w:pPr>
                          <w:pStyle w:val="TableParagraph"/>
                          <w:spacing w:before="3"/>
                          <w:rPr>
                            <w:sz w:val="17"/>
                          </w:rPr>
                        </w:pPr>
                      </w:p>
                      <w:p>
                        <w:pPr>
                          <w:pStyle w:val="TableParagraph"/>
                          <w:tabs>
                            <w:tab w:pos="2229" w:val="left" w:leader="none"/>
                          </w:tabs>
                          <w:spacing w:line="339" w:lineRule="exact" w:before="1"/>
                          <w:ind w:left="200"/>
                          <w:rPr>
                            <w:sz w:val="21"/>
                          </w:rPr>
                        </w:pPr>
                        <w:r>
                          <w:rPr>
                            <w:rFonts w:ascii="Microsoft JhengHei" w:eastAsia="Microsoft JhengHei" w:hint="eastAsia"/>
                            <w:b/>
                            <w:position w:val="-2"/>
                            <w:sz w:val="21"/>
                          </w:rPr>
                          <w:t>28、慢性复发性胰</w:t>
                          <w:tab/>
                        </w:r>
                        <w:r>
                          <w:rPr>
                            <w:sz w:val="21"/>
                          </w:rPr>
                          <w:t>有腹痛等典型症状的胰腺炎反复发作，导致胰腺进行性破坏，并导致胰腺功能</w:t>
                        </w:r>
                      </w:p>
                      <w:p>
                        <w:pPr>
                          <w:pStyle w:val="TableParagraph"/>
                          <w:tabs>
                            <w:tab w:pos="2229" w:val="left" w:leader="none"/>
                          </w:tabs>
                          <w:spacing w:line="228" w:lineRule="auto"/>
                          <w:ind w:left="2229" w:right="92" w:hanging="2030"/>
                          <w:rPr>
                            <w:sz w:val="21"/>
                          </w:rPr>
                        </w:pPr>
                        <w:r>
                          <w:rPr>
                            <w:rFonts w:ascii="Microsoft JhengHei" w:eastAsia="Microsoft JhengHei" w:hint="eastAsia"/>
                            <w:b/>
                            <w:position w:val="-2"/>
                            <w:sz w:val="21"/>
                          </w:rPr>
                          <w:t>腺炎</w:t>
                          <w:tab/>
                        </w:r>
                        <w:r>
                          <w:rPr>
                            <w:sz w:val="21"/>
                          </w:rPr>
                          <w:t>紊乱而导致严重糖尿病以及营养不良</w:t>
                        </w:r>
                        <w:r>
                          <w:rPr>
                            <w:spacing w:val="-70"/>
                            <w:sz w:val="21"/>
                          </w:rPr>
                          <w:t>、</w:t>
                        </w:r>
                        <w:r>
                          <w:rPr>
                            <w:sz w:val="21"/>
                          </w:rPr>
                          <w:t>恶液质</w:t>
                        </w:r>
                        <w:r>
                          <w:rPr>
                            <w:spacing w:val="-70"/>
                            <w:sz w:val="21"/>
                          </w:rPr>
                          <w:t>。</w:t>
                        </w:r>
                        <w:r>
                          <w:rPr>
                            <w:sz w:val="21"/>
                          </w:rPr>
                          <w:t>CT</w:t>
                        </w:r>
                        <w:r>
                          <w:rPr>
                            <w:spacing w:val="-67"/>
                            <w:sz w:val="21"/>
                          </w:rPr>
                          <w:t> </w:t>
                        </w:r>
                        <w:r>
                          <w:rPr>
                            <w:sz w:val="21"/>
                          </w:rPr>
                          <w:t>检查证实胰腺存在广泛钙化，且必须接受酶替代以及胰岛素替代治疗</w:t>
                        </w:r>
                        <w:r>
                          <w:rPr>
                            <w:spacing w:val="-44"/>
                            <w:sz w:val="21"/>
                          </w:rPr>
                          <w:t> </w:t>
                        </w:r>
                        <w:r>
                          <w:rPr>
                            <w:sz w:val="21"/>
                          </w:rPr>
                          <w:t>6</w:t>
                        </w:r>
                        <w:r>
                          <w:rPr>
                            <w:spacing w:val="-44"/>
                            <w:sz w:val="21"/>
                          </w:rPr>
                          <w:t> </w:t>
                        </w:r>
                        <w:r>
                          <w:rPr>
                            <w:sz w:val="21"/>
                          </w:rPr>
                          <w:t>个月以上。诊断必须由消化科专科医</w:t>
                        </w:r>
                      </w:p>
                    </w:tc>
                  </w:tr>
                  <w:tr>
                    <w:trPr>
                      <w:trHeight w:val="2091" w:hRule="atLeast"/>
                    </w:trPr>
                    <w:tc>
                      <w:tcPr>
                        <w:tcW w:w="9586" w:type="dxa"/>
                      </w:tcPr>
                      <w:p>
                        <w:pPr>
                          <w:pStyle w:val="TableParagraph"/>
                          <w:spacing w:line="122" w:lineRule="exact"/>
                          <w:ind w:left="2229"/>
                          <w:rPr>
                            <w:sz w:val="21"/>
                          </w:rPr>
                        </w:pPr>
                        <w:r>
                          <w:rPr>
                            <w:sz w:val="21"/>
                          </w:rPr>
                          <w:t>生确诊。酒精导致的慢性复发性胰腺炎除外。</w:t>
                        </w:r>
                      </w:p>
                      <w:p>
                        <w:pPr>
                          <w:pStyle w:val="TableParagraph"/>
                          <w:spacing w:before="4"/>
                          <w:rPr>
                            <w:sz w:val="17"/>
                          </w:rPr>
                        </w:pPr>
                      </w:p>
                      <w:p>
                        <w:pPr>
                          <w:pStyle w:val="TableParagraph"/>
                          <w:tabs>
                            <w:tab w:pos="2229" w:val="left" w:leader="none"/>
                          </w:tabs>
                          <w:spacing w:line="339" w:lineRule="exact"/>
                          <w:ind w:left="200"/>
                          <w:rPr>
                            <w:sz w:val="21"/>
                          </w:rPr>
                        </w:pPr>
                        <w:r>
                          <w:rPr>
                            <w:rFonts w:ascii="Microsoft JhengHei" w:eastAsia="Microsoft JhengHei" w:hint="eastAsia"/>
                            <w:b/>
                            <w:position w:val="-2"/>
                            <w:sz w:val="21"/>
                          </w:rPr>
                          <w:t>29、全身性重症</w:t>
                        </w:r>
                        <w:r>
                          <w:rPr>
                            <w:rFonts w:ascii="Microsoft JhengHei" w:eastAsia="Microsoft JhengHei" w:hint="eastAsia"/>
                            <w:b/>
                            <w:w w:val="115"/>
                            <w:position w:val="-2"/>
                            <w:sz w:val="21"/>
                          </w:rPr>
                          <w:t>ft</w:t>
                          <w:tab/>
                        </w:r>
                        <w:r>
                          <w:rPr>
                            <w:sz w:val="21"/>
                          </w:rPr>
                          <w:t>重症肌无力是一种神经肌肉接头传递障碍所致的疾病，表现为局部或全身骨骼</w:t>
                        </w:r>
                      </w:p>
                      <w:p>
                        <w:pPr>
                          <w:pStyle w:val="TableParagraph"/>
                          <w:tabs>
                            <w:tab w:pos="2229" w:val="left" w:leader="none"/>
                          </w:tabs>
                          <w:spacing w:line="228" w:lineRule="auto"/>
                          <w:ind w:left="2229" w:right="198" w:hanging="2030"/>
                          <w:rPr>
                            <w:sz w:val="21"/>
                          </w:rPr>
                        </w:pPr>
                        <w:r>
                          <w:rPr>
                            <w:rFonts w:ascii="Microsoft JhengHei" w:eastAsia="Microsoft JhengHei" w:hint="eastAsia"/>
                            <w:b/>
                            <w:position w:val="-2"/>
                            <w:sz w:val="21"/>
                          </w:rPr>
                          <w:t>无力</w:t>
                          <w:tab/>
                        </w:r>
                        <w:r>
                          <w:rPr>
                            <w:sz w:val="21"/>
                          </w:rPr>
                          <w:t>肌（特别是眼外肌）极易疲劳。疾病可以累及呼吸肌、上肢或下肢的近端肌群 或全身肌肉，必须满足下列全部条件：</w:t>
                        </w:r>
                      </w:p>
                      <w:p>
                        <w:pPr>
                          <w:pStyle w:val="TableParagraph"/>
                          <w:spacing w:before="47"/>
                          <w:ind w:left="2229"/>
                          <w:rPr>
                            <w:sz w:val="21"/>
                          </w:rPr>
                        </w:pPr>
                        <w:r>
                          <w:rPr>
                            <w:sz w:val="21"/>
                          </w:rPr>
                          <w:t>（1）经药物治疗和胸腺切除治疗一年以上仍无法控制病情；</w:t>
                        </w:r>
                      </w:p>
                      <w:p>
                        <w:pPr>
                          <w:pStyle w:val="TableParagraph"/>
                          <w:spacing w:before="36"/>
                          <w:ind w:left="2229"/>
                          <w:rPr>
                            <w:sz w:val="21"/>
                          </w:rPr>
                        </w:pPr>
                        <w:r>
                          <w:rPr>
                            <w:sz w:val="21"/>
                          </w:rPr>
                          <w:t>（2）自主生活能力完全丧失，无法独立完成六项基本日常生活活动中的三项或</w:t>
                        </w:r>
                      </w:p>
                    </w:tc>
                  </w:tr>
                  <w:tr>
                    <w:trPr>
                      <w:trHeight w:val="1341" w:hRule="atLeast"/>
                    </w:trPr>
                    <w:tc>
                      <w:tcPr>
                        <w:tcW w:w="9586" w:type="dxa"/>
                      </w:tcPr>
                      <w:p>
                        <w:pPr>
                          <w:pStyle w:val="TableParagraph"/>
                          <w:spacing w:line="129" w:lineRule="exact"/>
                          <w:ind w:left="2229"/>
                          <w:rPr>
                            <w:sz w:val="21"/>
                          </w:rPr>
                        </w:pPr>
                        <w:r>
                          <w:rPr>
                            <w:sz w:val="21"/>
                          </w:rPr>
                          <w:t>三项以上。</w:t>
                        </w:r>
                      </w:p>
                      <w:p>
                        <w:pPr>
                          <w:pStyle w:val="TableParagraph"/>
                          <w:spacing w:before="10"/>
                          <w:rPr>
                            <w:sz w:val="19"/>
                          </w:rPr>
                        </w:pPr>
                      </w:p>
                      <w:p>
                        <w:pPr>
                          <w:pStyle w:val="TableParagraph"/>
                          <w:spacing w:line="312" w:lineRule="exact" w:before="1"/>
                          <w:ind w:left="2229" w:right="197" w:hanging="2030"/>
                          <w:jc w:val="both"/>
                          <w:rPr>
                            <w:sz w:val="21"/>
                          </w:rPr>
                        </w:pPr>
                        <w:r>
                          <w:rPr>
                            <w:rFonts w:ascii="Microsoft JhengHei" w:eastAsia="Microsoft JhengHei" w:hint="eastAsia"/>
                            <w:b/>
                            <w:position w:val="-2"/>
                            <w:sz w:val="21"/>
                          </w:rPr>
                          <w:t>30、原发性心ft病    </w:t>
                        </w:r>
                        <w:r>
                          <w:rPr>
                            <w:sz w:val="21"/>
                          </w:rPr>
                          <w:t>原发性心肌病必须由专科医生确诊并须提供心脏超声等专科检查报告。病变必须已造成事实上心室功能障碍而出现明显的心功能衰竭，达到美国纽约心脏病</w:t>
                        </w:r>
                        <w:r>
                          <w:rPr>
                            <w:spacing w:val="-5"/>
                            <w:sz w:val="21"/>
                          </w:rPr>
                          <w:t>协会心功能状态分级 </w:t>
                        </w:r>
                        <w:r>
                          <w:rPr>
                            <w:sz w:val="21"/>
                          </w:rPr>
                          <w:t>III</w:t>
                        </w:r>
                        <w:r>
                          <w:rPr>
                            <w:spacing w:val="-25"/>
                            <w:sz w:val="21"/>
                          </w:rPr>
                          <w:t> 级</w:t>
                        </w:r>
                        <w:r>
                          <w:rPr>
                            <w:sz w:val="21"/>
                          </w:rPr>
                          <w:t>（</w:t>
                        </w:r>
                        <w:r>
                          <w:rPr>
                            <w:spacing w:val="-17"/>
                            <w:sz w:val="21"/>
                          </w:rPr>
                          <w:t>甚至 </w:t>
                        </w:r>
                        <w:r>
                          <w:rPr>
                            <w:sz w:val="21"/>
                          </w:rPr>
                          <w:t>IV</w:t>
                        </w:r>
                        <w:r>
                          <w:rPr>
                            <w:spacing w:val="-25"/>
                            <w:sz w:val="21"/>
                          </w:rPr>
                          <w:t> 级</w:t>
                        </w:r>
                        <w:r>
                          <w:rPr>
                            <w:spacing w:val="-105"/>
                            <w:sz w:val="21"/>
                          </w:rPr>
                          <w:t>）</w:t>
                        </w:r>
                        <w:r>
                          <w:rPr>
                            <w:spacing w:val="-1"/>
                            <w:sz w:val="21"/>
                          </w:rPr>
                          <w:t>，且有相关医疗记录显示这种情况持</w:t>
                        </w:r>
                      </w:p>
                    </w:tc>
                  </w:tr>
                  <w:tr>
                    <w:trPr>
                      <w:trHeight w:val="1166" w:hRule="atLeast"/>
                    </w:trPr>
                    <w:tc>
                      <w:tcPr>
                        <w:tcW w:w="9586" w:type="dxa"/>
                      </w:tcPr>
                      <w:p>
                        <w:pPr>
                          <w:pStyle w:val="TableParagraph"/>
                          <w:spacing w:line="262" w:lineRule="exact"/>
                          <w:ind w:left="2229"/>
                          <w:rPr>
                            <w:sz w:val="21"/>
                          </w:rPr>
                        </w:pPr>
                        <w:r>
                          <w:rPr>
                            <w:sz w:val="21"/>
                          </w:rPr>
                          <w:t>续至少 3 个月。</w:t>
                        </w:r>
                      </w:p>
                      <w:p>
                        <w:pPr>
                          <w:pStyle w:val="TableParagraph"/>
                          <w:spacing w:before="4"/>
                          <w:rPr>
                            <w:sz w:val="17"/>
                          </w:rPr>
                        </w:pPr>
                      </w:p>
                      <w:p>
                        <w:pPr>
                          <w:pStyle w:val="TableParagraph"/>
                          <w:tabs>
                            <w:tab w:pos="2229" w:val="left" w:leader="none"/>
                          </w:tabs>
                          <w:spacing w:line="339" w:lineRule="exact"/>
                          <w:ind w:left="200"/>
                          <w:rPr>
                            <w:sz w:val="21"/>
                          </w:rPr>
                        </w:pPr>
                        <w:r>
                          <w:rPr>
                            <w:rFonts w:ascii="Microsoft JhengHei" w:eastAsia="Microsoft JhengHei" w:hint="eastAsia"/>
                            <w:b/>
                            <w:position w:val="-2"/>
                            <w:sz w:val="21"/>
                          </w:rPr>
                          <w:t>31</w:t>
                        </w:r>
                        <w:r>
                          <w:rPr>
                            <w:rFonts w:ascii="Microsoft JhengHei" w:eastAsia="Microsoft JhengHei" w:hint="eastAsia"/>
                            <w:b/>
                            <w:spacing w:val="-72"/>
                            <w:position w:val="-2"/>
                            <w:sz w:val="21"/>
                          </w:rPr>
                          <w:t>、</w:t>
                        </w:r>
                        <w:r>
                          <w:rPr>
                            <w:rFonts w:ascii="Microsoft JhengHei" w:eastAsia="Microsoft JhengHei" w:hint="eastAsia"/>
                            <w:b/>
                            <w:position w:val="-2"/>
                            <w:sz w:val="21"/>
                          </w:rPr>
                          <w:t>严重类风湿性关</w:t>
                          <w:tab/>
                        </w:r>
                        <w:r>
                          <w:rPr>
                            <w:sz w:val="21"/>
                          </w:rPr>
                          <w:t>是指广泛的慢性渐进性的关节损害，伴有明显的关节畸形，至少累及三个或三</w:t>
                        </w:r>
                      </w:p>
                      <w:p>
                        <w:pPr>
                          <w:pStyle w:val="TableParagraph"/>
                          <w:tabs>
                            <w:tab w:pos="2229" w:val="left" w:leader="none"/>
                          </w:tabs>
                          <w:spacing w:line="319" w:lineRule="exact"/>
                          <w:ind w:left="200"/>
                          <w:rPr>
                            <w:sz w:val="21"/>
                          </w:rPr>
                        </w:pPr>
                        <w:r>
                          <w:rPr>
                            <w:rFonts w:ascii="Microsoft JhengHei" w:eastAsia="Microsoft JhengHei" w:hint="eastAsia"/>
                            <w:b/>
                            <w:position w:val="-2"/>
                            <w:sz w:val="21"/>
                          </w:rPr>
                          <w:t>节炎</w:t>
                          <w:tab/>
                        </w:r>
                        <w:r>
                          <w:rPr>
                            <w:sz w:val="21"/>
                          </w:rPr>
                          <w:t>个以上关</w:t>
                        </w:r>
                        <w:r>
                          <w:rPr>
                            <w:spacing w:val="-11"/>
                            <w:sz w:val="21"/>
                          </w:rPr>
                          <w:t>节</w:t>
                        </w:r>
                        <w:r>
                          <w:rPr>
                            <w:sz w:val="21"/>
                          </w:rPr>
                          <w:t>（如</w:t>
                        </w:r>
                        <w:r>
                          <w:rPr>
                            <w:spacing w:val="-11"/>
                            <w:sz w:val="21"/>
                          </w:rPr>
                          <w:t>：</w:t>
                        </w:r>
                        <w:r>
                          <w:rPr>
                            <w:sz w:val="21"/>
                          </w:rPr>
                          <w:t>手</w:t>
                        </w:r>
                        <w:r>
                          <w:rPr>
                            <w:spacing w:val="-11"/>
                            <w:sz w:val="21"/>
                          </w:rPr>
                          <w:t>，</w:t>
                        </w:r>
                        <w:r>
                          <w:rPr>
                            <w:sz w:val="21"/>
                          </w:rPr>
                          <w:t>腕</w:t>
                        </w:r>
                        <w:r>
                          <w:rPr>
                            <w:spacing w:val="-11"/>
                            <w:sz w:val="21"/>
                          </w:rPr>
                          <w:t>，</w:t>
                        </w:r>
                        <w:r>
                          <w:rPr>
                            <w:sz w:val="21"/>
                          </w:rPr>
                          <w:t>肘</w:t>
                        </w:r>
                        <w:r>
                          <w:rPr>
                            <w:spacing w:val="-11"/>
                            <w:sz w:val="21"/>
                          </w:rPr>
                          <w:t>，</w:t>
                        </w:r>
                        <w:r>
                          <w:rPr>
                            <w:sz w:val="21"/>
                          </w:rPr>
                          <w:t>髋</w:t>
                        </w:r>
                        <w:r>
                          <w:rPr>
                            <w:spacing w:val="-11"/>
                            <w:sz w:val="21"/>
                          </w:rPr>
                          <w:t>，</w:t>
                        </w:r>
                        <w:r>
                          <w:rPr>
                            <w:sz w:val="21"/>
                          </w:rPr>
                          <w:t>膝</w:t>
                        </w:r>
                        <w:r>
                          <w:rPr>
                            <w:spacing w:val="-11"/>
                            <w:sz w:val="21"/>
                          </w:rPr>
                          <w:t>，</w:t>
                        </w:r>
                        <w:r>
                          <w:rPr>
                            <w:sz w:val="21"/>
                          </w:rPr>
                          <w:t>踝关节</w:t>
                        </w:r>
                        <w:r>
                          <w:rPr>
                            <w:spacing w:val="-105"/>
                            <w:sz w:val="21"/>
                          </w:rPr>
                          <w:t>）</w:t>
                        </w:r>
                        <w:r>
                          <w:rPr>
                            <w:spacing w:val="-12"/>
                            <w:sz w:val="21"/>
                          </w:rPr>
                          <w:t>。</w:t>
                        </w:r>
                        <w:r>
                          <w:rPr>
                            <w:sz w:val="21"/>
                          </w:rPr>
                          <w:t>此疾病必须已经导致了自主</w:t>
                        </w:r>
                      </w:p>
                    </w:tc>
                  </w:tr>
                </w:tbl>
                <w:p>
                  <w:pPr>
                    <w:pStyle w:val="BodyText"/>
                  </w:pPr>
                </w:p>
              </w:txbxContent>
            </v:textbox>
            <w10:wrap type="none"/>
          </v:shape>
        </w:pict>
      </w:r>
      <w:r>
        <w:rPr/>
        <w:t>③血小板绝对值≤20×10</w:t>
      </w:r>
      <w:r>
        <w:rPr>
          <w:position w:val="11"/>
          <w:sz w:val="11"/>
        </w:rPr>
        <w:t>9</w:t>
      </w:r>
      <w:r>
        <w:rPr/>
        <w:t>/L。</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17"/>
        </w:rPr>
      </w:pPr>
    </w:p>
    <w:p>
      <w:pPr>
        <w:pStyle w:val="BodyText"/>
        <w:ind w:left="2349"/>
      </w:pPr>
      <w:r>
        <w:rPr/>
        <w:t>（3</w:t>
      </w:r>
      <w:r>
        <w:rPr>
          <w:spacing w:val="-96"/>
        </w:rPr>
        <w:t>）</w:t>
      </w:r>
      <w:r>
        <w:rPr>
          <w:spacing w:val="-8"/>
        </w:rPr>
        <w:t>出现广泛性肌肉及软组织坏死，并导致身体受影响部位永久完全失去功能。</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7"/>
        </w:rPr>
      </w:pPr>
    </w:p>
    <w:p>
      <w:pPr>
        <w:pStyle w:val="BodyText"/>
        <w:spacing w:line="273" w:lineRule="auto"/>
        <w:ind w:left="2349" w:right="316"/>
        <w:jc w:val="both"/>
      </w:pPr>
      <w:r>
        <w:rPr/>
        <w:t>生活能力完全丧失，不能独立完成六项基本日常生活活动中的三项或三项以上的情形。上述疾病需由专科医生确诊，并提供相应医疗记录以证实上述病情已经存在至少 3 个月。</w:t>
      </w:r>
    </w:p>
    <w:p>
      <w:pPr>
        <w:spacing w:after="0" w:line="273" w:lineRule="auto"/>
        <w:jc w:val="both"/>
        <w:sectPr>
          <w:pgSz w:w="11910" w:h="16840"/>
          <w:pgMar w:header="0" w:footer="362" w:top="1080" w:bottom="560" w:left="1420" w:right="6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BodyText"/>
        <w:spacing w:before="36"/>
        <w:ind w:left="2349"/>
      </w:pPr>
      <w:r>
        <w:rPr/>
        <w:pict>
          <v:shape style="position:absolute;margin-left:76.999603pt;margin-top:-574.980774pt;width:479.4pt;height:619.9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8"/>
                  </w:tblGrid>
                  <w:tr>
                    <w:trPr>
                      <w:trHeight w:val="3650" w:hRule="atLeast"/>
                    </w:trPr>
                    <w:tc>
                      <w:tcPr>
                        <w:tcW w:w="9588" w:type="dxa"/>
                      </w:tcPr>
                      <w:p>
                        <w:pPr>
                          <w:pStyle w:val="TableParagraph"/>
                          <w:tabs>
                            <w:tab w:pos="2229" w:val="left" w:leader="none"/>
                          </w:tabs>
                          <w:spacing w:line="237" w:lineRule="exact"/>
                          <w:ind w:left="200"/>
                          <w:rPr>
                            <w:sz w:val="21"/>
                          </w:rPr>
                        </w:pPr>
                        <w:r>
                          <w:rPr>
                            <w:rFonts w:ascii="Microsoft JhengHei" w:eastAsia="Microsoft JhengHei" w:hint="eastAsia"/>
                            <w:b/>
                            <w:position w:val="-2"/>
                            <w:sz w:val="21"/>
                          </w:rPr>
                          <w:t>32、系统性红斑狼</w:t>
                          <w:tab/>
                        </w:r>
                        <w:r>
                          <w:rPr>
                            <w:sz w:val="21"/>
                          </w:rPr>
                          <w:t>系统性红斑狼疮是由多种因素引起，累及多系统的自身免疫性疾病。其特点是</w:t>
                        </w:r>
                      </w:p>
                      <w:p>
                        <w:pPr>
                          <w:pStyle w:val="TableParagraph"/>
                          <w:tabs>
                            <w:tab w:pos="2229" w:val="left" w:leader="none"/>
                          </w:tabs>
                          <w:spacing w:line="317" w:lineRule="exact"/>
                          <w:ind w:left="200"/>
                          <w:rPr>
                            <w:sz w:val="21"/>
                          </w:rPr>
                        </w:pPr>
                        <w:r>
                          <w:rPr>
                            <w:rFonts w:ascii="Microsoft JhengHei" w:eastAsia="Microsoft JhengHei" w:hint="eastAsia"/>
                            <w:b/>
                            <w:position w:val="-2"/>
                            <w:sz w:val="21"/>
                          </w:rPr>
                          <w:t>疮－III</w:t>
                        </w:r>
                        <w:r>
                          <w:rPr>
                            <w:rFonts w:ascii="Microsoft JhengHei" w:eastAsia="Microsoft JhengHei" w:hint="eastAsia"/>
                            <w:b/>
                            <w:spacing w:val="-3"/>
                            <w:position w:val="-2"/>
                            <w:sz w:val="21"/>
                          </w:rPr>
                          <w:t> </w:t>
                        </w:r>
                        <w:r>
                          <w:rPr>
                            <w:rFonts w:ascii="Microsoft JhengHei" w:eastAsia="Microsoft JhengHei" w:hint="eastAsia"/>
                            <w:b/>
                            <w:position w:val="-2"/>
                            <w:sz w:val="21"/>
                          </w:rPr>
                          <w:t>型或以上狼</w:t>
                          <w:tab/>
                        </w:r>
                        <w:r>
                          <w:rPr>
                            <w:sz w:val="21"/>
                          </w:rPr>
                          <w:t>生成自身抗体对抗多种自身抗原。多见于育龄妇女。</w:t>
                        </w:r>
                      </w:p>
                      <w:p>
                        <w:pPr>
                          <w:pStyle w:val="TableParagraph"/>
                          <w:tabs>
                            <w:tab w:pos="2229" w:val="left" w:leader="none"/>
                          </w:tabs>
                          <w:spacing w:line="312" w:lineRule="exact"/>
                          <w:ind w:left="2229" w:right="198" w:hanging="2030"/>
                          <w:jc w:val="both"/>
                          <w:rPr>
                            <w:sz w:val="21"/>
                          </w:rPr>
                        </w:pPr>
                        <w:r>
                          <w:rPr>
                            <w:rFonts w:ascii="Microsoft JhengHei" w:eastAsia="Microsoft JhengHei" w:hint="eastAsia"/>
                            <w:b/>
                            <w:position w:val="-3"/>
                            <w:sz w:val="21"/>
                          </w:rPr>
                          <w:t>疮性肾炎</w:t>
                          <w:tab/>
                        </w:r>
                        <w:r>
                          <w:rPr>
                            <w:sz w:val="21"/>
                          </w:rPr>
                          <w:t>本保单所指的系统性红斑狼疮仅限于累及肾脏（经肾脏活检确认的，符合</w:t>
                        </w:r>
                        <w:r>
                          <w:rPr>
                            <w:spacing w:val="11"/>
                            <w:sz w:val="21"/>
                          </w:rPr>
                          <w:t> </w:t>
                        </w:r>
                        <w:r>
                          <w:rPr>
                            <w:sz w:val="21"/>
                          </w:rPr>
                          <w:t>WHO诊断标准定义</w:t>
                        </w:r>
                        <w:r>
                          <w:rPr>
                            <w:spacing w:val="-49"/>
                            <w:sz w:val="21"/>
                          </w:rPr>
                          <w:t> </w:t>
                        </w:r>
                        <w:r>
                          <w:rPr>
                            <w:sz w:val="21"/>
                          </w:rPr>
                          <w:t>III</w:t>
                        </w:r>
                        <w:r>
                          <w:rPr>
                            <w:spacing w:val="-49"/>
                            <w:sz w:val="21"/>
                          </w:rPr>
                          <w:t> </w:t>
                        </w:r>
                        <w:r>
                          <w:rPr>
                            <w:sz w:val="21"/>
                          </w:rPr>
                          <w:t>型至</w:t>
                        </w:r>
                        <w:r>
                          <w:rPr>
                            <w:spacing w:val="-49"/>
                            <w:sz w:val="21"/>
                          </w:rPr>
                          <w:t> </w:t>
                        </w:r>
                        <w:r>
                          <w:rPr>
                            <w:sz w:val="21"/>
                          </w:rPr>
                          <w:t>V</w:t>
                        </w:r>
                        <w:r>
                          <w:rPr>
                            <w:spacing w:val="-49"/>
                            <w:sz w:val="21"/>
                          </w:rPr>
                          <w:t> </w:t>
                        </w:r>
                        <w:r>
                          <w:rPr>
                            <w:sz w:val="21"/>
                          </w:rPr>
                          <w:t>型狼疮性肾炎）的系统性红斑狼疮。其他类型的红斑性狼疮，如盘状狼疮、仅累及血液及关节的狼疮不在本保单保障范围內。</w:t>
                        </w:r>
                      </w:p>
                      <w:p>
                        <w:pPr>
                          <w:pStyle w:val="TableParagraph"/>
                          <w:spacing w:before="3"/>
                          <w:ind w:left="2229"/>
                          <w:rPr>
                            <w:sz w:val="21"/>
                          </w:rPr>
                        </w:pPr>
                        <w:r>
                          <w:rPr>
                            <w:sz w:val="21"/>
                          </w:rPr>
                          <w:t>世界卫生组织（WHO）狼疮性肾炎分型：</w:t>
                        </w:r>
                      </w:p>
                      <w:p>
                        <w:pPr>
                          <w:pStyle w:val="TableParagraph"/>
                          <w:numPr>
                            <w:ilvl w:val="0"/>
                            <w:numId w:val="8"/>
                          </w:numPr>
                          <w:tabs>
                            <w:tab w:pos="2440" w:val="left" w:leader="none"/>
                            <w:tab w:pos="4958" w:val="left" w:leader="none"/>
                          </w:tabs>
                          <w:spacing w:line="240" w:lineRule="auto" w:before="36" w:after="0"/>
                          <w:ind w:left="2439" w:right="0" w:hanging="210"/>
                          <w:jc w:val="left"/>
                          <w:rPr>
                            <w:sz w:val="21"/>
                          </w:rPr>
                        </w:pPr>
                        <w:r>
                          <w:rPr>
                            <w:sz w:val="21"/>
                          </w:rPr>
                          <w:t>型（微小病变型）</w:t>
                          <w:tab/>
                        </w:r>
                        <w:r>
                          <w:rPr>
                            <w:spacing w:val="-1"/>
                            <w:sz w:val="21"/>
                          </w:rPr>
                          <w:t>镜下</w:t>
                        </w:r>
                        <w:r>
                          <w:rPr>
                            <w:sz w:val="21"/>
                          </w:rPr>
                          <w:t>阴性，尿液正常</w:t>
                        </w:r>
                      </w:p>
                      <w:p>
                        <w:pPr>
                          <w:pStyle w:val="TableParagraph"/>
                          <w:numPr>
                            <w:ilvl w:val="0"/>
                            <w:numId w:val="8"/>
                          </w:numPr>
                          <w:tabs>
                            <w:tab w:pos="2545" w:val="left" w:leader="none"/>
                            <w:tab w:pos="4958" w:val="left" w:leader="none"/>
                          </w:tabs>
                          <w:spacing w:line="240" w:lineRule="auto" w:before="36" w:after="0"/>
                          <w:ind w:left="2544" w:right="0" w:hanging="315"/>
                          <w:jc w:val="left"/>
                          <w:rPr>
                            <w:sz w:val="21"/>
                          </w:rPr>
                        </w:pPr>
                        <w:r>
                          <w:rPr>
                            <w:sz w:val="21"/>
                          </w:rPr>
                          <w:t>型（系膜病变型）</w:t>
                          <w:tab/>
                        </w:r>
                        <w:r>
                          <w:rPr>
                            <w:spacing w:val="-1"/>
                            <w:sz w:val="21"/>
                          </w:rPr>
                          <w:t>中度</w:t>
                        </w:r>
                        <w:r>
                          <w:rPr>
                            <w:sz w:val="21"/>
                          </w:rPr>
                          <w:t>蛋白尿，偶有尿沉渣改变</w:t>
                        </w:r>
                      </w:p>
                      <w:p>
                        <w:pPr>
                          <w:pStyle w:val="TableParagraph"/>
                          <w:numPr>
                            <w:ilvl w:val="0"/>
                            <w:numId w:val="8"/>
                          </w:numPr>
                          <w:tabs>
                            <w:tab w:pos="2650" w:val="left" w:leader="none"/>
                          </w:tabs>
                          <w:spacing w:line="240" w:lineRule="auto" w:before="36" w:after="0"/>
                          <w:ind w:left="2649" w:right="0" w:hanging="420"/>
                          <w:jc w:val="left"/>
                          <w:rPr>
                            <w:sz w:val="21"/>
                          </w:rPr>
                        </w:pPr>
                        <w:r>
                          <w:rPr>
                            <w:spacing w:val="-1"/>
                            <w:sz w:val="21"/>
                          </w:rPr>
                          <w:t>型（</w:t>
                        </w:r>
                        <w:r>
                          <w:rPr>
                            <w:sz w:val="21"/>
                          </w:rPr>
                          <w:t>局灶及节段增生型）蛋白尿，尿沉渣改变</w:t>
                        </w:r>
                      </w:p>
                      <w:p>
                        <w:pPr>
                          <w:pStyle w:val="TableParagraph"/>
                          <w:numPr>
                            <w:ilvl w:val="0"/>
                            <w:numId w:val="8"/>
                          </w:numPr>
                          <w:tabs>
                            <w:tab w:pos="2545" w:val="left" w:leader="none"/>
                            <w:tab w:pos="4958" w:val="left" w:leader="none"/>
                          </w:tabs>
                          <w:spacing w:line="240" w:lineRule="auto" w:before="36" w:after="0"/>
                          <w:ind w:left="2544" w:right="0" w:hanging="315"/>
                          <w:jc w:val="left"/>
                          <w:rPr>
                            <w:sz w:val="21"/>
                          </w:rPr>
                        </w:pPr>
                        <w:r>
                          <w:rPr>
                            <w:sz w:val="21"/>
                          </w:rPr>
                          <w:t>型（弥漫增生型）</w:t>
                          <w:tab/>
                        </w:r>
                        <w:r>
                          <w:rPr>
                            <w:spacing w:val="-1"/>
                            <w:sz w:val="21"/>
                          </w:rPr>
                          <w:t>急性</w:t>
                        </w:r>
                        <w:r>
                          <w:rPr>
                            <w:sz w:val="21"/>
                          </w:rPr>
                          <w:t>肾炎伴有尿沉渣改变及</w:t>
                        </w:r>
                      </w:p>
                      <w:p>
                        <w:pPr>
                          <w:pStyle w:val="TableParagraph"/>
                          <w:spacing w:before="36"/>
                          <w:ind w:left="4959"/>
                          <w:rPr>
                            <w:sz w:val="21"/>
                          </w:rPr>
                        </w:pPr>
                        <w:r>
                          <w:rPr>
                            <w:sz w:val="21"/>
                          </w:rPr>
                          <w:t>／或肾病综合征</w:t>
                        </w:r>
                      </w:p>
                      <w:p>
                        <w:pPr>
                          <w:pStyle w:val="TableParagraph"/>
                          <w:numPr>
                            <w:ilvl w:val="0"/>
                            <w:numId w:val="8"/>
                          </w:numPr>
                          <w:tabs>
                            <w:tab w:pos="2440" w:val="left" w:leader="none"/>
                            <w:tab w:pos="4959" w:val="left" w:leader="none"/>
                          </w:tabs>
                          <w:spacing w:line="263" w:lineRule="exact" w:before="36" w:after="0"/>
                          <w:ind w:left="2439" w:right="0" w:hanging="210"/>
                          <w:jc w:val="left"/>
                          <w:rPr>
                            <w:sz w:val="21"/>
                          </w:rPr>
                        </w:pPr>
                        <w:r>
                          <w:rPr>
                            <w:sz w:val="21"/>
                          </w:rPr>
                          <w:t>型（膜型）</w:t>
                          <w:tab/>
                        </w:r>
                        <w:r>
                          <w:rPr>
                            <w:spacing w:val="-2"/>
                            <w:sz w:val="21"/>
                          </w:rPr>
                          <w:t>肾</w:t>
                        </w:r>
                        <w:r>
                          <w:rPr>
                            <w:spacing w:val="-1"/>
                            <w:sz w:val="21"/>
                          </w:rPr>
                          <w:t>病综合征或重度蛋白尿</w:t>
                        </w:r>
                      </w:p>
                    </w:tc>
                  </w:tr>
                  <w:tr>
                    <w:trPr>
                      <w:trHeight w:val="3502" w:hRule="atLeast"/>
                    </w:trPr>
                    <w:tc>
                      <w:tcPr>
                        <w:tcW w:w="9588" w:type="dxa"/>
                      </w:tcPr>
                      <w:p>
                        <w:pPr>
                          <w:pStyle w:val="TableParagraph"/>
                          <w:tabs>
                            <w:tab w:pos="2229" w:val="left" w:leader="none"/>
                          </w:tabs>
                          <w:spacing w:line="339" w:lineRule="exact" w:before="218"/>
                          <w:ind w:left="200"/>
                          <w:rPr>
                            <w:sz w:val="21"/>
                          </w:rPr>
                        </w:pPr>
                        <w:r>
                          <w:rPr>
                            <w:rFonts w:ascii="Microsoft JhengHei" w:eastAsia="Microsoft JhengHei" w:hint="eastAsia"/>
                            <w:b/>
                            <w:position w:val="-2"/>
                            <w:sz w:val="21"/>
                          </w:rPr>
                          <w:t>33、因职业关系导</w:t>
                          <w:tab/>
                        </w:r>
                        <w:r>
                          <w:rPr>
                            <w:sz w:val="21"/>
                          </w:rPr>
                          <w:t>被保险人在其常规职业工作过程中遭遇外伤，或职业需要处理血液或其他体液</w:t>
                        </w:r>
                      </w:p>
                      <w:p>
                        <w:pPr>
                          <w:pStyle w:val="TableParagraph"/>
                          <w:tabs>
                            <w:tab w:pos="2229" w:val="left" w:leader="none"/>
                          </w:tabs>
                          <w:spacing w:line="317" w:lineRule="exact"/>
                          <w:ind w:left="200"/>
                          <w:rPr>
                            <w:sz w:val="21"/>
                          </w:rPr>
                        </w:pPr>
                        <w:r>
                          <w:rPr>
                            <w:rFonts w:ascii="Microsoft JhengHei" w:eastAsia="Microsoft JhengHei" w:hint="eastAsia"/>
                            <w:b/>
                            <w:position w:val="-2"/>
                            <w:sz w:val="21"/>
                          </w:rPr>
                          <w:t>致</w:t>
                        </w:r>
                        <w:r>
                          <w:rPr>
                            <w:rFonts w:ascii="Microsoft JhengHei" w:eastAsia="Microsoft JhengHei" w:hint="eastAsia"/>
                            <w:b/>
                            <w:spacing w:val="0"/>
                            <w:position w:val="-2"/>
                            <w:sz w:val="21"/>
                          </w:rPr>
                          <w:t>的</w:t>
                        </w:r>
                        <w:r>
                          <w:rPr>
                            <w:rFonts w:ascii="Microsoft JhengHei" w:eastAsia="Microsoft JhengHei" w:hint="eastAsia"/>
                            <w:b/>
                            <w:position w:val="-2"/>
                            <w:sz w:val="21"/>
                          </w:rPr>
                          <w:t>人类免疫</w:t>
                        </w:r>
                        <w:r>
                          <w:rPr>
                            <w:rFonts w:ascii="Microsoft JhengHei" w:eastAsia="Microsoft JhengHei" w:hint="eastAsia"/>
                            <w:b/>
                            <w:spacing w:val="0"/>
                            <w:position w:val="-2"/>
                            <w:sz w:val="21"/>
                          </w:rPr>
                          <w:t>缺</w:t>
                        </w:r>
                        <w:r>
                          <w:rPr>
                            <w:rFonts w:ascii="Microsoft JhengHei" w:eastAsia="Microsoft JhengHei" w:hint="eastAsia"/>
                            <w:b/>
                            <w:position w:val="-2"/>
                            <w:sz w:val="21"/>
                          </w:rPr>
                          <w:t>陷</w:t>
                          <w:tab/>
                        </w:r>
                        <w:r>
                          <w:rPr>
                            <w:sz w:val="21"/>
                          </w:rPr>
                          <w:t>时感染上人类免疫缺陷病毒（HIV</w:t>
                        </w:r>
                        <w:r>
                          <w:rPr>
                            <w:spacing w:val="-106"/>
                            <w:sz w:val="21"/>
                          </w:rPr>
                          <w:t>）</w:t>
                        </w:r>
                        <w:r>
                          <w:rPr>
                            <w:sz w:val="21"/>
                          </w:rPr>
                          <w:t>。必须满足下列全部条件：</w:t>
                        </w:r>
                      </w:p>
                      <w:p>
                        <w:pPr>
                          <w:pStyle w:val="TableParagraph"/>
                          <w:tabs>
                            <w:tab w:pos="2229" w:val="left" w:leader="none"/>
                          </w:tabs>
                          <w:spacing w:line="220" w:lineRule="auto" w:before="5"/>
                          <w:ind w:left="2229" w:right="198" w:hanging="2030"/>
                          <w:rPr>
                            <w:sz w:val="21"/>
                          </w:rPr>
                        </w:pPr>
                        <w:r>
                          <w:rPr>
                            <w:rFonts w:ascii="Microsoft JhengHei" w:eastAsia="Microsoft JhengHei" w:hint="eastAsia"/>
                            <w:b/>
                            <w:position w:val="-3"/>
                            <w:sz w:val="21"/>
                          </w:rPr>
                          <w:t>病毒（HIV）感染</w:t>
                          <w:tab/>
                        </w:r>
                        <w:r>
                          <w:rPr>
                            <w:spacing w:val="-15"/>
                            <w:sz w:val="21"/>
                          </w:rPr>
                          <w:t>（1）</w:t>
                        </w:r>
                        <w:r>
                          <w:rPr>
                            <w:spacing w:val="-1"/>
                            <w:sz w:val="21"/>
                          </w:rPr>
                          <w:t>感</w:t>
                        </w:r>
                        <w:r>
                          <w:rPr>
                            <w:sz w:val="21"/>
                          </w:rPr>
                          <w:t>染必须是在被保险人正在从事其职业工作中发生</w:t>
                        </w:r>
                        <w:r>
                          <w:rPr>
                            <w:spacing w:val="-44"/>
                            <w:sz w:val="21"/>
                          </w:rPr>
                          <w:t>，</w:t>
                        </w:r>
                        <w:r>
                          <w:rPr>
                            <w:sz w:val="21"/>
                          </w:rPr>
                          <w:t>该职业必须属于以下列表内的职业；</w:t>
                        </w:r>
                      </w:p>
                      <w:p>
                        <w:pPr>
                          <w:pStyle w:val="TableParagraph"/>
                          <w:spacing w:before="37"/>
                          <w:ind w:left="2229"/>
                          <w:rPr>
                            <w:sz w:val="21"/>
                          </w:rPr>
                        </w:pPr>
                        <w:r>
                          <w:rPr>
                            <w:sz w:val="21"/>
                          </w:rPr>
                          <w:t>（2）血清转化必须出现在事故发生后的 6 个月以内；</w:t>
                        </w:r>
                      </w:p>
                      <w:p>
                        <w:pPr>
                          <w:pStyle w:val="TableParagraph"/>
                          <w:spacing w:line="273" w:lineRule="auto" w:before="37"/>
                          <w:ind w:left="2229" w:right="199"/>
                          <w:rPr>
                            <w:sz w:val="21"/>
                          </w:rPr>
                        </w:pPr>
                        <w:r>
                          <w:rPr>
                            <w:spacing w:val="-15"/>
                            <w:sz w:val="21"/>
                          </w:rPr>
                          <w:t>（3）</w:t>
                        </w:r>
                        <w:r>
                          <w:rPr>
                            <w:spacing w:val="-3"/>
                            <w:sz w:val="21"/>
                          </w:rPr>
                          <w:t>必须提供被保险人在所报事故发生后的 </w:t>
                        </w:r>
                        <w:r>
                          <w:rPr>
                            <w:sz w:val="21"/>
                          </w:rPr>
                          <w:t>5</w:t>
                        </w:r>
                        <w:r>
                          <w:rPr>
                            <w:spacing w:val="-11"/>
                            <w:sz w:val="21"/>
                          </w:rPr>
                          <w:t> 日以内进行的检查报告，该报告</w:t>
                        </w:r>
                        <w:r>
                          <w:rPr>
                            <w:spacing w:val="-16"/>
                            <w:sz w:val="21"/>
                          </w:rPr>
                          <w:t>必须显示被保险人血液 </w:t>
                        </w:r>
                        <w:r>
                          <w:rPr>
                            <w:sz w:val="21"/>
                          </w:rPr>
                          <w:t>HIV</w:t>
                        </w:r>
                        <w:r>
                          <w:rPr>
                            <w:spacing w:val="-10"/>
                            <w:sz w:val="21"/>
                          </w:rPr>
                          <w:t> 病毒阴性和</w:t>
                        </w:r>
                        <w:r>
                          <w:rPr>
                            <w:sz w:val="21"/>
                          </w:rPr>
                          <w:t>/</w:t>
                        </w:r>
                        <w:r>
                          <w:rPr>
                            <w:spacing w:val="-30"/>
                            <w:sz w:val="21"/>
                          </w:rPr>
                          <w:t>或 </w:t>
                        </w:r>
                        <w:r>
                          <w:rPr>
                            <w:sz w:val="21"/>
                          </w:rPr>
                          <w:t>HIV</w:t>
                        </w:r>
                        <w:r>
                          <w:rPr>
                            <w:spacing w:val="-10"/>
                            <w:sz w:val="21"/>
                          </w:rPr>
                          <w:t> 抗体阴性；</w:t>
                        </w:r>
                      </w:p>
                      <w:p>
                        <w:pPr>
                          <w:pStyle w:val="TableParagraph"/>
                          <w:spacing w:line="273" w:lineRule="auto" w:before="7"/>
                          <w:ind w:left="2229" w:right="200"/>
                          <w:rPr>
                            <w:sz w:val="21"/>
                          </w:rPr>
                        </w:pPr>
                        <w:r>
                          <w:rPr>
                            <w:sz w:val="21"/>
                          </w:rPr>
                          <w:t>（4）</w:t>
                        </w:r>
                        <w:r>
                          <w:rPr>
                            <w:spacing w:val="-6"/>
                            <w:sz w:val="21"/>
                          </w:rPr>
                          <w:t>必须在事故发生后的 </w:t>
                        </w:r>
                        <w:r>
                          <w:rPr>
                            <w:sz w:val="21"/>
                          </w:rPr>
                          <w:t>12</w:t>
                        </w:r>
                        <w:r>
                          <w:rPr>
                            <w:spacing w:val="-11"/>
                            <w:sz w:val="21"/>
                          </w:rPr>
                          <w:t> 个月内证实被保险人体内存在 </w:t>
                        </w:r>
                        <w:r>
                          <w:rPr>
                            <w:sz w:val="21"/>
                          </w:rPr>
                          <w:t>HIV</w:t>
                        </w:r>
                        <w:r>
                          <w:rPr>
                            <w:spacing w:val="-22"/>
                            <w:sz w:val="21"/>
                          </w:rPr>
                          <w:t> 病毒或 </w:t>
                        </w:r>
                        <w:r>
                          <w:rPr>
                            <w:sz w:val="21"/>
                          </w:rPr>
                          <w:t>HIV</w:t>
                        </w:r>
                        <w:r>
                          <w:rPr>
                            <w:spacing w:val="-26"/>
                            <w:sz w:val="21"/>
                          </w:rPr>
                          <w:t> 抗</w:t>
                        </w:r>
                        <w:r>
                          <w:rPr>
                            <w:spacing w:val="-1"/>
                            <w:sz w:val="21"/>
                          </w:rPr>
                          <w:t>体。职业限制如下所示:</w:t>
                        </w:r>
                      </w:p>
                      <w:p>
                        <w:pPr>
                          <w:pStyle w:val="TableParagraph"/>
                          <w:spacing w:before="7"/>
                          <w:ind w:left="2229"/>
                          <w:rPr>
                            <w:sz w:val="21"/>
                          </w:rPr>
                        </w:pPr>
                        <w:r>
                          <w:rPr>
                            <w:sz w:val="21"/>
                          </w:rPr>
                          <w:t>医生和牙科医生、护士、实验室工作人员、医院护工、医生助理和牙医助理、</w:t>
                        </w:r>
                      </w:p>
                    </w:tc>
                  </w:tr>
                  <w:tr>
                    <w:trPr>
                      <w:trHeight w:val="3209" w:hRule="atLeast"/>
                    </w:trPr>
                    <w:tc>
                      <w:tcPr>
                        <w:tcW w:w="9588" w:type="dxa"/>
                      </w:tcPr>
                      <w:p>
                        <w:pPr>
                          <w:pStyle w:val="TableParagraph"/>
                          <w:spacing w:line="148" w:lineRule="exact"/>
                          <w:ind w:left="2229"/>
                          <w:rPr>
                            <w:sz w:val="21"/>
                          </w:rPr>
                        </w:pPr>
                        <w:r>
                          <w:rPr>
                            <w:sz w:val="21"/>
                          </w:rPr>
                          <w:t>救护车工作人员、助产士、消防队员、警察、狱警</w:t>
                        </w:r>
                      </w:p>
                      <w:p>
                        <w:pPr>
                          <w:pStyle w:val="TableParagraph"/>
                          <w:spacing w:before="4"/>
                          <w:rPr>
                            <w:sz w:val="17"/>
                          </w:rPr>
                        </w:pPr>
                      </w:p>
                      <w:p>
                        <w:pPr>
                          <w:pStyle w:val="TableParagraph"/>
                          <w:tabs>
                            <w:tab w:pos="2229" w:val="left" w:leader="none"/>
                          </w:tabs>
                          <w:spacing w:line="339" w:lineRule="exact"/>
                          <w:ind w:left="200"/>
                          <w:rPr>
                            <w:sz w:val="21"/>
                          </w:rPr>
                        </w:pPr>
                        <w:r>
                          <w:rPr>
                            <w:rFonts w:ascii="Microsoft JhengHei" w:eastAsia="Microsoft JhengHei" w:hint="eastAsia"/>
                            <w:b/>
                            <w:position w:val="-2"/>
                            <w:sz w:val="21"/>
                          </w:rPr>
                          <w:t>34、经输血导致的</w:t>
                          <w:tab/>
                        </w:r>
                        <w:r>
                          <w:rPr>
                            <w:spacing w:val="-1"/>
                            <w:sz w:val="21"/>
                          </w:rPr>
                          <w:t>被保</w:t>
                        </w:r>
                        <w:r>
                          <w:rPr>
                            <w:sz w:val="21"/>
                          </w:rPr>
                          <w:t>险人感染上人类免疫缺陷病毒（HIV）并且满足下列全部条件：</w:t>
                        </w:r>
                      </w:p>
                      <w:p>
                        <w:pPr>
                          <w:pStyle w:val="TableParagraph"/>
                          <w:tabs>
                            <w:tab w:pos="2229" w:val="left" w:leader="none"/>
                          </w:tabs>
                          <w:spacing w:line="317" w:lineRule="exact"/>
                          <w:ind w:left="200"/>
                          <w:rPr>
                            <w:sz w:val="21"/>
                          </w:rPr>
                        </w:pPr>
                        <w:r>
                          <w:rPr>
                            <w:rFonts w:ascii="Microsoft JhengHei" w:eastAsia="Microsoft JhengHei" w:hint="eastAsia"/>
                            <w:b/>
                            <w:position w:val="-2"/>
                            <w:sz w:val="21"/>
                          </w:rPr>
                          <w:t>人类免疫缺陷病毒</w:t>
                          <w:tab/>
                        </w:r>
                        <w:r>
                          <w:rPr>
                            <w:sz w:val="21"/>
                          </w:rPr>
                          <w:t>（1）在保障起始日或复效日之后，被保险人因输血而感染</w:t>
                        </w:r>
                        <w:r>
                          <w:rPr>
                            <w:spacing w:val="-55"/>
                            <w:sz w:val="21"/>
                          </w:rPr>
                          <w:t> </w:t>
                        </w:r>
                        <w:r>
                          <w:rPr>
                            <w:sz w:val="21"/>
                          </w:rPr>
                          <w:t>HIV；</w:t>
                        </w:r>
                      </w:p>
                      <w:p>
                        <w:pPr>
                          <w:pStyle w:val="TableParagraph"/>
                          <w:tabs>
                            <w:tab w:pos="2229" w:val="left" w:leader="none"/>
                          </w:tabs>
                          <w:spacing w:line="220" w:lineRule="auto" w:before="5"/>
                          <w:ind w:left="2229" w:right="200" w:hanging="2030"/>
                          <w:rPr>
                            <w:sz w:val="21"/>
                          </w:rPr>
                        </w:pPr>
                        <w:r>
                          <w:rPr>
                            <w:rFonts w:ascii="Microsoft JhengHei" w:eastAsia="Microsoft JhengHei" w:hint="eastAsia"/>
                            <w:b/>
                            <w:position w:val="-3"/>
                            <w:sz w:val="21"/>
                          </w:rPr>
                          <w:t>（HIV）感染</w:t>
                          <w:tab/>
                        </w:r>
                        <w:r>
                          <w:rPr>
                            <w:spacing w:val="1"/>
                            <w:sz w:val="21"/>
                          </w:rPr>
                          <w:t>（2）</w:t>
                        </w:r>
                        <w:r>
                          <w:rPr>
                            <w:sz w:val="21"/>
                          </w:rPr>
                          <w:t>提供输血治疗的</w:t>
                        </w:r>
                        <w:r>
                          <w:rPr>
                            <w:spacing w:val="2"/>
                            <w:sz w:val="21"/>
                          </w:rPr>
                          <w:t>输</w:t>
                        </w:r>
                        <w:r>
                          <w:rPr>
                            <w:sz w:val="21"/>
                          </w:rPr>
                          <w:t>血中心或医院出具该项输血感染属医疗责任事故</w:t>
                        </w:r>
                        <w:r>
                          <w:rPr>
                            <w:spacing w:val="2"/>
                            <w:sz w:val="21"/>
                          </w:rPr>
                          <w:t>的</w:t>
                        </w:r>
                        <w:r>
                          <w:rPr>
                            <w:sz w:val="21"/>
                          </w:rPr>
                          <w:t>报 告，或法院终审裁定为医疗责任并且不准上诉；</w:t>
                        </w:r>
                      </w:p>
                      <w:p>
                        <w:pPr>
                          <w:pStyle w:val="TableParagraph"/>
                          <w:spacing w:before="37"/>
                          <w:ind w:left="2229"/>
                          <w:rPr>
                            <w:sz w:val="21"/>
                          </w:rPr>
                        </w:pPr>
                        <w:r>
                          <w:rPr>
                            <w:sz w:val="21"/>
                          </w:rPr>
                          <w:t>（3）受感染的被保险人不是血友病患者。</w:t>
                        </w:r>
                      </w:p>
                      <w:p>
                        <w:pPr>
                          <w:pStyle w:val="TableParagraph"/>
                          <w:spacing w:before="37"/>
                          <w:ind w:left="2229"/>
                          <w:rPr>
                            <w:sz w:val="21"/>
                          </w:rPr>
                        </w:pPr>
                        <w:r>
                          <w:rPr>
                            <w:sz w:val="21"/>
                          </w:rPr>
                          <w:t>在任何治愈艾滋病（AIDS）或阻止 HIV 病毒作用的疗法被发现以后，或能防止</w:t>
                        </w:r>
                      </w:p>
                      <w:p>
                        <w:pPr>
                          <w:pStyle w:val="TableParagraph"/>
                          <w:spacing w:before="37"/>
                          <w:ind w:left="2229"/>
                          <w:rPr>
                            <w:sz w:val="21"/>
                          </w:rPr>
                        </w:pPr>
                        <w:r>
                          <w:rPr>
                            <w:sz w:val="21"/>
                          </w:rPr>
                          <w:t>AIDS 发生的医疗方法被研究出来以后，本保障将不再予以赔付。</w:t>
                        </w:r>
                      </w:p>
                      <w:p>
                        <w:pPr>
                          <w:pStyle w:val="TableParagraph"/>
                          <w:spacing w:line="310" w:lineRule="atLeast" w:before="1"/>
                          <w:ind w:left="2229" w:right="197"/>
                          <w:rPr>
                            <w:sz w:val="21"/>
                          </w:rPr>
                        </w:pPr>
                        <w:r>
                          <w:rPr>
                            <w:sz w:val="21"/>
                          </w:rPr>
                          <w:t>任何因其他传播方式（包括：性传播或静脉注射毒品）</w:t>
                        </w:r>
                        <w:r>
                          <w:rPr>
                            <w:spacing w:val="-12"/>
                            <w:sz w:val="21"/>
                          </w:rPr>
                          <w:t>导致的 </w:t>
                        </w:r>
                        <w:r>
                          <w:rPr>
                            <w:sz w:val="21"/>
                          </w:rPr>
                          <w:t>HIV</w:t>
                        </w:r>
                        <w:r>
                          <w:rPr>
                            <w:spacing w:val="-9"/>
                            <w:sz w:val="21"/>
                          </w:rPr>
                          <w:t> 感染不在本保单保障范围内。本公司必须拥有获得使用被保险人的所有血液样本的权利和</w:t>
                        </w:r>
                      </w:p>
                    </w:tc>
                  </w:tr>
                  <w:tr>
                    <w:trPr>
                      <w:trHeight w:val="1343" w:hRule="atLeast"/>
                    </w:trPr>
                    <w:tc>
                      <w:tcPr>
                        <w:tcW w:w="9588" w:type="dxa"/>
                      </w:tcPr>
                      <w:p>
                        <w:pPr>
                          <w:pStyle w:val="TableParagraph"/>
                          <w:spacing w:before="10"/>
                          <w:ind w:left="2229"/>
                          <w:rPr>
                            <w:sz w:val="21"/>
                          </w:rPr>
                        </w:pPr>
                        <w:r>
                          <w:rPr>
                            <w:sz w:val="21"/>
                          </w:rPr>
                          <w:t>能够对这些样本进行独立检验的权利。</w:t>
                        </w:r>
                      </w:p>
                      <w:p>
                        <w:pPr>
                          <w:pStyle w:val="TableParagraph"/>
                          <w:spacing w:before="8"/>
                          <w:rPr>
                            <w:sz w:val="18"/>
                          </w:rPr>
                        </w:pPr>
                      </w:p>
                      <w:p>
                        <w:pPr>
                          <w:pStyle w:val="TableParagraph"/>
                          <w:tabs>
                            <w:tab w:pos="2229" w:val="left" w:leader="none"/>
                          </w:tabs>
                          <w:spacing w:line="228" w:lineRule="auto"/>
                          <w:ind w:left="2229" w:right="200" w:hanging="2030"/>
                          <w:rPr>
                            <w:sz w:val="21"/>
                          </w:rPr>
                        </w:pPr>
                        <w:r>
                          <w:rPr>
                            <w:rFonts w:ascii="Microsoft JhengHei" w:eastAsia="Microsoft JhengHei" w:hint="eastAsia"/>
                            <w:b/>
                            <w:position w:val="-2"/>
                            <w:sz w:val="21"/>
                          </w:rPr>
                          <w:t>35、严重克隆病</w:t>
                          <w:tab/>
                        </w:r>
                        <w:r>
                          <w:rPr>
                            <w:sz w:val="21"/>
                          </w:rPr>
                          <w:t>克隆病是一种慢性肉芽肿性肠炎，具有特征性的克隆病病理组织学变化。诊断 必须由病理检查结果证实。被保险人所患的克隆病必须已经造成瘘管形成并伴</w:t>
                        </w:r>
                      </w:p>
                    </w:tc>
                  </w:tr>
                  <w:tr>
                    <w:trPr>
                      <w:trHeight w:val="691" w:hRule="atLeast"/>
                    </w:trPr>
                    <w:tc>
                      <w:tcPr>
                        <w:tcW w:w="9588" w:type="dxa"/>
                      </w:tcPr>
                      <w:p>
                        <w:pPr>
                          <w:pStyle w:val="TableParagraph"/>
                          <w:spacing w:before="7"/>
                          <w:rPr>
                            <w:sz w:val="25"/>
                          </w:rPr>
                        </w:pPr>
                      </w:p>
                      <w:p>
                        <w:pPr>
                          <w:pStyle w:val="TableParagraph"/>
                          <w:tabs>
                            <w:tab w:pos="2229" w:val="left" w:leader="none"/>
                          </w:tabs>
                          <w:spacing w:line="337" w:lineRule="exact" w:before="1"/>
                          <w:ind w:left="200"/>
                          <w:rPr>
                            <w:sz w:val="21"/>
                          </w:rPr>
                        </w:pPr>
                        <w:r>
                          <w:rPr>
                            <w:rFonts w:ascii="Microsoft JhengHei" w:eastAsia="Microsoft JhengHei" w:hint="eastAsia"/>
                            <w:b/>
                            <w:position w:val="-2"/>
                            <w:sz w:val="21"/>
                          </w:rPr>
                          <w:t>36、深度昏迷</w:t>
                          <w:tab/>
                        </w:r>
                        <w:r>
                          <w:rPr>
                            <w:sz w:val="21"/>
                          </w:rPr>
                          <w:t>指因疾病或意外伤害导致意识丧失,对外界刺激和体内需求均无反应,昏迷程度</w:t>
                        </w:r>
                      </w:p>
                    </w:tc>
                  </w:tr>
                </w:tbl>
                <w:p>
                  <w:pPr>
                    <w:pStyle w:val="BodyText"/>
                  </w:pPr>
                </w:p>
              </w:txbxContent>
            </v:textbox>
            <w10:wrap type="none"/>
          </v:shape>
        </w:pict>
      </w:r>
      <w:r>
        <w:rPr/>
        <w:t>有肠梗阻或肠穿孔。</w:t>
      </w:r>
    </w:p>
    <w:p>
      <w:pPr>
        <w:pStyle w:val="BodyText"/>
        <w:rPr>
          <w:sz w:val="20"/>
        </w:rPr>
      </w:pPr>
    </w:p>
    <w:p>
      <w:pPr>
        <w:pStyle w:val="BodyText"/>
        <w:spacing w:before="3"/>
        <w:rPr>
          <w:sz w:val="24"/>
        </w:rPr>
      </w:pPr>
    </w:p>
    <w:p>
      <w:pPr>
        <w:pStyle w:val="BodyText"/>
        <w:spacing w:line="273" w:lineRule="auto"/>
        <w:ind w:left="2349" w:right="316"/>
        <w:jc w:val="both"/>
      </w:pPr>
      <w:r>
        <w:rPr/>
        <w:t>按照格拉斯哥昏迷分级（Glasgow coma scale）</w:t>
      </w:r>
      <w:r>
        <w:rPr>
          <w:spacing w:val="-13"/>
        </w:rPr>
        <w:t>结果为 </w:t>
      </w:r>
      <w:r>
        <w:rPr/>
        <w:t>5</w:t>
      </w:r>
      <w:r>
        <w:rPr>
          <w:spacing w:val="-27"/>
        </w:rPr>
        <w:t> 分或 </w:t>
      </w:r>
      <w:r>
        <w:rPr/>
        <w:t>5</w:t>
      </w:r>
      <w:r>
        <w:rPr>
          <w:spacing w:val="-9"/>
        </w:rPr>
        <w:t> 分以下，且已</w:t>
      </w:r>
      <w:r>
        <w:rPr>
          <w:spacing w:val="-12"/>
        </w:rPr>
        <w:t>经持续使用呼吸机及其它生命维持系统 </w:t>
      </w:r>
      <w:r>
        <w:rPr/>
        <w:t>96</w:t>
      </w:r>
      <w:r>
        <w:rPr>
          <w:spacing w:val="-14"/>
        </w:rPr>
        <w:t> 小时以上。因酗酒或药物滥用导致的深度昏迷不在保障范围内。</w:t>
      </w:r>
    </w:p>
    <w:p>
      <w:pPr>
        <w:spacing w:after="0" w:line="273" w:lineRule="auto"/>
        <w:jc w:val="both"/>
        <w:sectPr>
          <w:pgSz w:w="11910" w:h="16840"/>
          <w:pgMar w:header="0" w:footer="362" w:top="1180" w:bottom="640" w:left="1420" w:right="660"/>
        </w:sectPr>
      </w:pPr>
    </w:p>
    <w:p>
      <w:pPr>
        <w:pStyle w:val="Heading2"/>
        <w:spacing w:line="211" w:lineRule="auto" w:before="21"/>
        <w:ind w:left="119"/>
      </w:pPr>
      <w:r>
        <w:rPr>
          <w:w w:val="95"/>
        </w:rPr>
        <w:t>37、冠状动脉血管</w:t>
      </w:r>
      <w:r>
        <w:rPr/>
        <w:t>成形术</w:t>
      </w:r>
    </w:p>
    <w:p>
      <w:pPr>
        <w:pStyle w:val="BodyText"/>
        <w:spacing w:line="273" w:lineRule="auto" w:before="19"/>
        <w:ind w:left="119" w:right="115"/>
        <w:jc w:val="both"/>
      </w:pPr>
      <w:r>
        <w:rPr/>
        <w:br w:type="column"/>
      </w:r>
      <w:r>
        <w:rPr>
          <w:spacing w:val="-7"/>
        </w:rPr>
        <w:t>是指有心绞痛等心脏不适症状，经过血管造影技术检查证实同时存在两支(其中</w:t>
      </w:r>
      <w:r>
        <w:rPr>
          <w:spacing w:val="-13"/>
        </w:rPr>
        <w:t>一支为左冠状动脉主干、左前降支或左回旋支)或更多支的冠状动脉血管发生严</w:t>
      </w:r>
      <w:r>
        <w:rPr>
          <w:spacing w:val="-7"/>
        </w:rPr>
        <w:t>重的狭窄</w:t>
      </w:r>
      <w:r>
        <w:rPr>
          <w:spacing w:val="0"/>
        </w:rPr>
        <w:t>（</w:t>
      </w:r>
      <w:r>
        <w:rPr/>
        <w:t>狭窄程度在 70％以上</w:t>
      </w:r>
      <w:r>
        <w:rPr>
          <w:spacing w:val="-104"/>
        </w:rPr>
        <w:t>）</w:t>
      </w:r>
      <w:r>
        <w:rPr/>
        <w:t>，需要并且已实施冠状动脉气囊扩张以改善血管的血流状况。索赔时必须提供血管造影的影像资料、报告、手术记录和病历。</w:t>
      </w:r>
    </w:p>
    <w:p>
      <w:pPr>
        <w:spacing w:after="0" w:line="273" w:lineRule="auto"/>
        <w:jc w:val="both"/>
        <w:sectPr>
          <w:pgSz w:w="11910" w:h="16840"/>
          <w:pgMar w:header="0" w:footer="362" w:top="1100" w:bottom="640" w:left="1620" w:right="860"/>
          <w:cols w:num="2" w:equalWidth="0">
            <w:col w:w="1832" w:space="198"/>
            <w:col w:w="7400"/>
          </w:cols>
        </w:sectPr>
      </w:pPr>
    </w:p>
    <w:p>
      <w:pPr>
        <w:pStyle w:val="BodyText"/>
        <w:spacing w:before="9"/>
        <w:rPr>
          <w:sz w:val="10"/>
        </w:rPr>
      </w:pPr>
    </w:p>
    <w:p>
      <w:pPr>
        <w:tabs>
          <w:tab w:pos="2149" w:val="left" w:leader="none"/>
        </w:tabs>
        <w:spacing w:line="356" w:lineRule="exact" w:before="0"/>
        <w:ind w:left="119" w:right="0" w:firstLine="0"/>
        <w:jc w:val="left"/>
        <w:rPr>
          <w:sz w:val="21"/>
        </w:rPr>
      </w:pPr>
      <w:r>
        <w:rPr>
          <w:rFonts w:ascii="Microsoft JhengHei" w:eastAsia="Microsoft JhengHei" w:hint="eastAsia"/>
          <w:b/>
          <w:position w:val="-2"/>
          <w:sz w:val="21"/>
        </w:rPr>
        <w:t>38、ft营养不良症</w:t>
        <w:tab/>
      </w:r>
      <w:r>
        <w:rPr>
          <w:sz w:val="21"/>
        </w:rPr>
        <w:t>是指由保险公司认可的医院的专科医师明确诊断的</w:t>
      </w:r>
      <w:r>
        <w:rPr>
          <w:spacing w:val="-70"/>
          <w:sz w:val="21"/>
        </w:rPr>
        <w:t> </w:t>
      </w:r>
      <w:r>
        <w:rPr>
          <w:sz w:val="21"/>
        </w:rPr>
        <w:t>Duchenne</w:t>
      </w:r>
      <w:r>
        <w:rPr>
          <w:spacing w:val="-70"/>
          <w:sz w:val="21"/>
        </w:rPr>
        <w:t> </w:t>
      </w:r>
      <w:r>
        <w:rPr>
          <w:sz w:val="21"/>
        </w:rPr>
        <w:t>型营养不良症</w:t>
      </w:r>
    </w:p>
    <w:p>
      <w:pPr>
        <w:pStyle w:val="BodyText"/>
        <w:spacing w:line="266" w:lineRule="exact"/>
        <w:ind w:left="2149"/>
      </w:pPr>
      <w:r>
        <w:rPr/>
        <w:t>（DMD</w:t>
      </w:r>
      <w:r>
        <w:rPr>
          <w:spacing w:val="-105"/>
        </w:rPr>
        <w:t>）</w:t>
      </w:r>
      <w:r>
        <w:rPr/>
        <w:t>（</w:t>
      </w:r>
      <w:r>
        <w:rPr>
          <w:spacing w:val="-1"/>
        </w:rPr>
        <w:t>严重性假肥大型营养不良症</w:t>
      </w:r>
      <w:r>
        <w:rPr>
          <w:spacing w:val="-105"/>
        </w:rPr>
        <w:t>）</w:t>
      </w:r>
      <w:r>
        <w:rPr/>
        <w:t>，Becker</w:t>
      </w:r>
      <w:r>
        <w:rPr>
          <w:spacing w:val="-27"/>
        </w:rPr>
        <w:t> 型</w:t>
      </w:r>
      <w:r>
        <w:rPr/>
        <w:t>（BMD</w:t>
      </w:r>
      <w:r>
        <w:rPr>
          <w:spacing w:val="-105"/>
        </w:rPr>
        <w:t>）</w:t>
      </w:r>
      <w:r>
        <w:rPr>
          <w:spacing w:val="-2"/>
        </w:rPr>
        <w:t>（</w:t>
      </w:r>
      <w:r>
        <w:rPr/>
        <w:t>良性假肥大型肌营</w:t>
      </w:r>
    </w:p>
    <w:p>
      <w:pPr>
        <w:pStyle w:val="BodyText"/>
        <w:spacing w:before="37"/>
        <w:ind w:left="2149"/>
      </w:pPr>
      <w:r>
        <w:rPr/>
        <w:t>养不良症</w:t>
      </w:r>
      <w:r>
        <w:rPr>
          <w:spacing w:val="-105"/>
        </w:rPr>
        <w:t>）</w:t>
      </w:r>
      <w:r>
        <w:rPr>
          <w:spacing w:val="-2"/>
        </w:rPr>
        <w:t>，或者肢带型肌营养不良症。(不包含其他类型的肌营养不良) 并提</w:t>
      </w:r>
    </w:p>
    <w:p>
      <w:pPr>
        <w:spacing w:after="0"/>
        <w:sectPr>
          <w:type w:val="continuous"/>
          <w:pgSz w:w="11910" w:h="16840"/>
          <w:pgMar w:top="440" w:bottom="280" w:left="1620" w:right="860"/>
        </w:sectPr>
      </w:pPr>
    </w:p>
    <w:p>
      <w:pPr>
        <w:pStyle w:val="BodyText"/>
        <w:rPr>
          <w:sz w:val="22"/>
        </w:rPr>
      </w:pPr>
    </w:p>
    <w:p>
      <w:pPr>
        <w:pStyle w:val="BodyText"/>
        <w:rPr>
          <w:sz w:val="22"/>
        </w:rPr>
      </w:pPr>
    </w:p>
    <w:p>
      <w:pPr>
        <w:pStyle w:val="BodyText"/>
        <w:rPr>
          <w:sz w:val="22"/>
        </w:rPr>
      </w:pPr>
    </w:p>
    <w:p>
      <w:pPr>
        <w:pStyle w:val="BodyText"/>
        <w:spacing w:before="1"/>
        <w:rPr>
          <w:sz w:val="29"/>
        </w:rPr>
      </w:pPr>
    </w:p>
    <w:p>
      <w:pPr>
        <w:pStyle w:val="Heading2"/>
        <w:spacing w:line="211" w:lineRule="auto" w:before="1"/>
        <w:ind w:left="119"/>
      </w:pPr>
      <w:r>
        <w:rPr>
          <w:w w:val="95"/>
        </w:rPr>
        <w:t>39、急性脊髓灰质</w:t>
      </w:r>
      <w:r>
        <w:rPr/>
        <w:t>炎</w:t>
      </w:r>
    </w:p>
    <w:p>
      <w:pPr>
        <w:pStyle w:val="BodyText"/>
        <w:spacing w:line="273" w:lineRule="auto" w:before="37"/>
        <w:ind w:left="119" w:right="113"/>
        <w:jc w:val="both"/>
      </w:pPr>
      <w:r>
        <w:rPr/>
        <w:br w:type="column"/>
      </w:r>
      <w:r>
        <w:rPr>
          <w:spacing w:val="-4"/>
        </w:rPr>
        <w:t>供肌肉活检和血清肌酸磷酸激酶</w:t>
      </w:r>
      <w:r>
        <w:rPr>
          <w:spacing w:val="-9"/>
        </w:rPr>
        <w:t>（CPK）</w:t>
      </w:r>
      <w:r>
        <w:rPr>
          <w:spacing w:val="-1"/>
        </w:rPr>
        <w:t>报告. 该疾病导致被保险人永久完全地丧失了独立生活能力，在无他人协助下无法独立进行以下六项日常生活活动中</w:t>
      </w:r>
      <w:r>
        <w:rPr>
          <w:spacing w:val="-7"/>
        </w:rPr>
        <w:t>的其中三项或三项以上，或者必须永久卧床，没有他人帮助不能自己起床。 且</w:t>
      </w:r>
      <w:r>
        <w:rPr>
          <w:spacing w:val="-10"/>
        </w:rPr>
        <w:t>有相关医疗记录显示这种情况持续至少 </w:t>
      </w:r>
      <w:r>
        <w:rPr/>
        <w:t>3</w:t>
      </w:r>
      <w:r>
        <w:rPr>
          <w:spacing w:val="-14"/>
        </w:rPr>
        <w:t> 个月。</w:t>
      </w:r>
    </w:p>
    <w:p>
      <w:pPr>
        <w:pStyle w:val="BodyText"/>
        <w:spacing w:line="240" w:lineRule="exact"/>
        <w:ind w:left="119"/>
      </w:pPr>
      <w:r>
        <w:rPr/>
        <w:t>是指由于急性脊髓灰质炎病毒感染所导致的运动功能障碍或呼吸功能减弱的瘫</w:t>
      </w:r>
    </w:p>
    <w:p>
      <w:pPr>
        <w:pStyle w:val="BodyText"/>
        <w:spacing w:line="273" w:lineRule="auto" w:before="37"/>
        <w:ind w:left="119" w:right="115"/>
        <w:jc w:val="both"/>
      </w:pPr>
      <w:r>
        <w:rPr/>
        <w:t>痪性疾病。诊断必须由本公司认可的神经科专科医生确诊并提供相关的脊髓灰</w:t>
      </w:r>
      <w:r>
        <w:rPr>
          <w:spacing w:val="-4"/>
        </w:rPr>
        <w:t>质炎病毒感染的证据</w:t>
      </w:r>
      <w:r>
        <w:rPr/>
        <w:t>（</w:t>
      </w:r>
      <w:r>
        <w:rPr>
          <w:spacing w:val="-6"/>
        </w:rPr>
        <w:t>例如：脑脊液检查或血清学抗体检查报告</w:t>
      </w:r>
      <w:r>
        <w:rPr>
          <w:spacing w:val="-105"/>
        </w:rPr>
        <w:t>）</w:t>
      </w:r>
      <w:r>
        <w:rPr>
          <w:spacing w:val="-6"/>
        </w:rPr>
        <w:t>。未导致肢体瘫痪及其它病因所致的瘫痪，例如格林一巴利综合症(急性感染性多神经炎)则不在此保障范围以内。</w:t>
      </w:r>
    </w:p>
    <w:p>
      <w:pPr>
        <w:spacing w:after="0" w:line="273" w:lineRule="auto"/>
        <w:jc w:val="both"/>
        <w:sectPr>
          <w:type w:val="continuous"/>
          <w:pgSz w:w="11910" w:h="16840"/>
          <w:pgMar w:top="440" w:bottom="280" w:left="1620" w:right="860"/>
          <w:cols w:num="2" w:equalWidth="0">
            <w:col w:w="1831" w:space="198"/>
            <w:col w:w="7401"/>
          </w:cols>
        </w:sectPr>
      </w:pPr>
    </w:p>
    <w:p>
      <w:pPr>
        <w:pStyle w:val="BodyText"/>
        <w:spacing w:before="4"/>
        <w:rPr>
          <w:sz w:val="9"/>
        </w:rPr>
      </w:pPr>
    </w:p>
    <w:p>
      <w:pPr>
        <w:tabs>
          <w:tab w:pos="2149" w:val="left" w:leader="none"/>
        </w:tabs>
        <w:spacing w:line="356" w:lineRule="exact" w:before="0"/>
        <w:ind w:left="119" w:right="0" w:firstLine="0"/>
        <w:jc w:val="left"/>
        <w:rPr>
          <w:sz w:val="21"/>
        </w:rPr>
      </w:pPr>
      <w:r>
        <w:rPr>
          <w:rFonts w:ascii="Microsoft JhengHei" w:eastAsia="Microsoft JhengHei" w:hint="eastAsia"/>
          <w:b/>
          <w:position w:val="-2"/>
          <w:sz w:val="21"/>
        </w:rPr>
        <w:t>40、肾髓质囊性病</w:t>
        <w:tab/>
      </w:r>
      <w:r>
        <w:rPr>
          <w:sz w:val="21"/>
        </w:rPr>
        <w:t>肾髓质囊性病的诊断必须同时符合下列要求：</w:t>
      </w:r>
    </w:p>
    <w:p>
      <w:pPr>
        <w:pStyle w:val="BodyText"/>
        <w:spacing w:line="266" w:lineRule="exact"/>
        <w:ind w:left="2149"/>
      </w:pPr>
      <w:r>
        <w:rPr/>
        <w:t>（1）肾髓质有囊肿、肾小管萎缩及间质纤维化等病理改变；</w:t>
      </w:r>
    </w:p>
    <w:p>
      <w:pPr>
        <w:pStyle w:val="BodyText"/>
        <w:spacing w:before="37"/>
        <w:ind w:left="2149"/>
      </w:pPr>
      <w:r>
        <w:rPr/>
        <w:t>（2）贫血、多尿及肾功能衰竭等临床表现；</w:t>
      </w:r>
    </w:p>
    <w:p>
      <w:pPr>
        <w:pStyle w:val="BodyText"/>
        <w:spacing w:before="37"/>
        <w:ind w:left="2149"/>
      </w:pPr>
      <w:r>
        <w:rPr/>
        <w:t>（3）诊断须由肾组织活检确定。</w:t>
      </w:r>
    </w:p>
    <w:sectPr>
      <w:type w:val="continuous"/>
      <w:pgSz w:w="11910" w:h="16840"/>
      <w:pgMar w:top="440" w:bottom="280" w:left="16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MS UI Gothic">
    <w:altName w:val="MS UI Gothic"/>
    <w:charset w:val="0"/>
    <w:family w:val="swiss"/>
    <w:pitch w:val="variable"/>
  </w:font>
  <w:font w:name="宋体">
    <w:altName w:val="宋体"/>
    <w:charset w:val="86"/>
    <w:family w:val="auto"/>
    <w:pitch w:val="variable"/>
  </w:font>
  <w:font w:name="微软雅黑">
    <w:altName w:val="微软雅黑"/>
    <w:charset w:val="86"/>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64.016998pt;margin-top:808.899658pt;width:67.25pt;height:12pt;mso-position-horizontal-relative:page;mso-position-vertical-relative:page;z-index:-2759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Roman"/>
      <w:lvlText w:val="%1"/>
      <w:lvlJc w:val="left"/>
      <w:pPr>
        <w:ind w:left="2439" w:hanging="211"/>
        <w:jc w:val="left"/>
      </w:pPr>
      <w:rPr>
        <w:rFonts w:hint="default" w:ascii="宋体" w:hAnsi="宋体" w:eastAsia="宋体" w:cs="宋体"/>
        <w:spacing w:val="-2"/>
        <w:w w:val="100"/>
        <w:sz w:val="21"/>
        <w:szCs w:val="21"/>
      </w:rPr>
    </w:lvl>
    <w:lvl w:ilvl="1">
      <w:start w:val="0"/>
      <w:numFmt w:val="bullet"/>
      <w:lvlText w:val="•"/>
      <w:lvlJc w:val="left"/>
      <w:pPr>
        <w:ind w:left="3154" w:hanging="211"/>
      </w:pPr>
      <w:rPr>
        <w:rFonts w:hint="default"/>
      </w:rPr>
    </w:lvl>
    <w:lvl w:ilvl="2">
      <w:start w:val="0"/>
      <w:numFmt w:val="bullet"/>
      <w:lvlText w:val="•"/>
      <w:lvlJc w:val="left"/>
      <w:pPr>
        <w:ind w:left="3869" w:hanging="211"/>
      </w:pPr>
      <w:rPr>
        <w:rFonts w:hint="default"/>
      </w:rPr>
    </w:lvl>
    <w:lvl w:ilvl="3">
      <w:start w:val="0"/>
      <w:numFmt w:val="bullet"/>
      <w:lvlText w:val="•"/>
      <w:lvlJc w:val="left"/>
      <w:pPr>
        <w:ind w:left="4584" w:hanging="211"/>
      </w:pPr>
      <w:rPr>
        <w:rFonts w:hint="default"/>
      </w:rPr>
    </w:lvl>
    <w:lvl w:ilvl="4">
      <w:start w:val="0"/>
      <w:numFmt w:val="bullet"/>
      <w:lvlText w:val="•"/>
      <w:lvlJc w:val="left"/>
      <w:pPr>
        <w:ind w:left="5299" w:hanging="211"/>
      </w:pPr>
      <w:rPr>
        <w:rFonts w:hint="default"/>
      </w:rPr>
    </w:lvl>
    <w:lvl w:ilvl="5">
      <w:start w:val="0"/>
      <w:numFmt w:val="bullet"/>
      <w:lvlText w:val="•"/>
      <w:lvlJc w:val="left"/>
      <w:pPr>
        <w:ind w:left="6014" w:hanging="211"/>
      </w:pPr>
      <w:rPr>
        <w:rFonts w:hint="default"/>
      </w:rPr>
    </w:lvl>
    <w:lvl w:ilvl="6">
      <w:start w:val="0"/>
      <w:numFmt w:val="bullet"/>
      <w:lvlText w:val="•"/>
      <w:lvlJc w:val="left"/>
      <w:pPr>
        <w:ind w:left="6728" w:hanging="211"/>
      </w:pPr>
      <w:rPr>
        <w:rFonts w:hint="default"/>
      </w:rPr>
    </w:lvl>
    <w:lvl w:ilvl="7">
      <w:start w:val="0"/>
      <w:numFmt w:val="bullet"/>
      <w:lvlText w:val="•"/>
      <w:lvlJc w:val="left"/>
      <w:pPr>
        <w:ind w:left="7443" w:hanging="211"/>
      </w:pPr>
      <w:rPr>
        <w:rFonts w:hint="default"/>
      </w:rPr>
    </w:lvl>
    <w:lvl w:ilvl="8">
      <w:start w:val="0"/>
      <w:numFmt w:val="bullet"/>
      <w:lvlText w:val="•"/>
      <w:lvlJc w:val="left"/>
      <w:pPr>
        <w:ind w:left="8158" w:hanging="211"/>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98" w:hanging="420"/>
      </w:pPr>
      <w:rPr>
        <w:rFonts w:hint="default"/>
      </w:rPr>
    </w:lvl>
    <w:lvl w:ilvl="3">
      <w:start w:val="0"/>
      <w:numFmt w:val="bullet"/>
      <w:lvlText w:val="•"/>
      <w:lvlJc w:val="left"/>
      <w:pPr>
        <w:ind w:left="3278"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237"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196" w:hanging="420"/>
      </w:pPr>
      <w:rPr>
        <w:rFonts w:hint="default"/>
      </w:rPr>
    </w:lvl>
    <w:lvl w:ilvl="8">
      <w:start w:val="0"/>
      <w:numFmt w:val="bullet"/>
      <w:lvlText w:val="•"/>
      <w:lvlJc w:val="left"/>
      <w:pPr>
        <w:ind w:left="5675" w:hanging="420"/>
      </w:pPr>
      <w:rPr>
        <w:rFonts w:hint="default"/>
      </w:rPr>
    </w:lvl>
  </w:abstractNum>
  <w:abstractNum w:abstractNumId="5">
    <w:multiLevelType w:val="hybridMultilevel"/>
    <w:lvl w:ilvl="0">
      <w:start w:val="6"/>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98" w:hanging="420"/>
      </w:pPr>
      <w:rPr>
        <w:rFonts w:hint="default"/>
      </w:rPr>
    </w:lvl>
    <w:lvl w:ilvl="3">
      <w:start w:val="0"/>
      <w:numFmt w:val="bullet"/>
      <w:lvlText w:val="•"/>
      <w:lvlJc w:val="left"/>
      <w:pPr>
        <w:ind w:left="3278"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237"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196" w:hanging="420"/>
      </w:pPr>
      <w:rPr>
        <w:rFonts w:hint="default"/>
      </w:rPr>
    </w:lvl>
    <w:lvl w:ilvl="8">
      <w:start w:val="0"/>
      <w:numFmt w:val="bullet"/>
      <w:lvlText w:val="•"/>
      <w:lvlJc w:val="left"/>
      <w:pPr>
        <w:ind w:left="5675" w:hanging="420"/>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98" w:hanging="420"/>
      </w:pPr>
      <w:rPr>
        <w:rFonts w:hint="default"/>
      </w:rPr>
    </w:lvl>
    <w:lvl w:ilvl="3">
      <w:start w:val="0"/>
      <w:numFmt w:val="bullet"/>
      <w:lvlText w:val="•"/>
      <w:lvlJc w:val="left"/>
      <w:pPr>
        <w:ind w:left="3278"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237"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196" w:hanging="420"/>
      </w:pPr>
      <w:rPr>
        <w:rFonts w:hint="default"/>
      </w:rPr>
    </w:lvl>
    <w:lvl w:ilvl="8">
      <w:start w:val="0"/>
      <w:numFmt w:val="bullet"/>
      <w:lvlText w:val="•"/>
      <w:lvlJc w:val="left"/>
      <w:pPr>
        <w:ind w:left="5675"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5"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1"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5"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1"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5"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1"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98" w:hanging="420"/>
      </w:pPr>
      <w:rPr>
        <w:rFonts w:hint="default"/>
      </w:rPr>
    </w:lvl>
    <w:lvl w:ilvl="2">
      <w:start w:val="0"/>
      <w:numFmt w:val="bullet"/>
      <w:lvlText w:val="•"/>
      <w:lvlJc w:val="left"/>
      <w:pPr>
        <w:ind w:left="3536" w:hanging="420"/>
      </w:pPr>
      <w:rPr>
        <w:rFonts w:hint="default"/>
      </w:rPr>
    </w:lvl>
    <w:lvl w:ilvl="3">
      <w:start w:val="0"/>
      <w:numFmt w:val="bullet"/>
      <w:lvlText w:val="•"/>
      <w:lvlJc w:val="left"/>
      <w:pPr>
        <w:ind w:left="4475" w:hanging="420"/>
      </w:pPr>
      <w:rPr>
        <w:rFonts w:hint="default"/>
      </w:rPr>
    </w:lvl>
    <w:lvl w:ilvl="4">
      <w:start w:val="0"/>
      <w:numFmt w:val="bullet"/>
      <w:lvlText w:val="•"/>
      <w:lvlJc w:val="left"/>
      <w:pPr>
        <w:ind w:left="5413" w:hanging="420"/>
      </w:pPr>
      <w:rPr>
        <w:rFonts w:hint="default"/>
      </w:rPr>
    </w:lvl>
    <w:lvl w:ilvl="5">
      <w:start w:val="0"/>
      <w:numFmt w:val="bullet"/>
      <w:lvlText w:val="•"/>
      <w:lvlJc w:val="left"/>
      <w:pPr>
        <w:ind w:left="6352" w:hanging="420"/>
      </w:pPr>
      <w:rPr>
        <w:rFonts w:hint="default"/>
      </w:rPr>
    </w:lvl>
    <w:lvl w:ilvl="6">
      <w:start w:val="0"/>
      <w:numFmt w:val="bullet"/>
      <w:lvlText w:val="•"/>
      <w:lvlJc w:val="left"/>
      <w:pPr>
        <w:ind w:left="7290" w:hanging="420"/>
      </w:pPr>
      <w:rPr>
        <w:rFonts w:hint="default"/>
      </w:rPr>
    </w:lvl>
    <w:lvl w:ilvl="7">
      <w:start w:val="0"/>
      <w:numFmt w:val="bullet"/>
      <w:lvlText w:val="•"/>
      <w:lvlJc w:val="left"/>
      <w:pPr>
        <w:ind w:left="8229" w:hanging="420"/>
      </w:pPr>
      <w:rPr>
        <w:rFonts w:hint="default"/>
      </w:rPr>
    </w:lvl>
    <w:lvl w:ilvl="8">
      <w:start w:val="0"/>
      <w:numFmt w:val="bullet"/>
      <w:lvlText w:val="•"/>
      <w:lvlJc w:val="left"/>
      <w:pPr>
        <w:ind w:left="9167"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48"/>
      <w:ind w:left="2028" w:right="2027"/>
      <w:jc w:val="center"/>
      <w:outlineLvl w:val="1"/>
    </w:pPr>
    <w:rPr>
      <w:rFonts w:ascii="宋体" w:hAnsi="宋体" w:eastAsia="宋体" w:cs="宋体"/>
      <w:b/>
      <w:bCs/>
      <w:sz w:val="44"/>
      <w:szCs w:val="44"/>
    </w:rPr>
  </w:style>
  <w:style w:styleId="Heading2" w:type="paragraph">
    <w:name w:val="Heading 2"/>
    <w:basedOn w:val="Normal"/>
    <w:uiPriority w:val="1"/>
    <w:qFormat/>
    <w:pPr>
      <w:spacing w:line="351" w:lineRule="exact"/>
      <w:ind w:left="1218"/>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骆海生</dc:creator>
  <dc:title>阅 读 指 引</dc:title>
  <dcterms:created xsi:type="dcterms:W3CDTF">2018-10-20T01:03:11Z</dcterms:created>
  <dcterms:modified xsi:type="dcterms:W3CDTF">2018-10-20T01:03:11Z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Acrobat PDFMaker 7.0 for Word</vt:lpwstr>
  </property>
  <property fmtid="{D5CDD505-2E9C-101B-9397-08002B2CF9AE}" pid="4" name="LastSaved">
    <vt:filetime>2018-10-19T00:00:00Z</vt:filetime>
  </property>
</Properties>
</file>