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8"/>
        </w:rPr>
      </w:pPr>
    </w:p>
    <w:p>
      <w:pPr>
        <w:pStyle w:val="BodyText"/>
        <w:ind w:left="8504"/>
        <w:rPr>
          <w:rFonts w:ascii="Times New Roman"/>
          <w:sz w:val="20"/>
        </w:rPr>
      </w:pPr>
      <w:r>
        <w:rPr>
          <w:rFonts w:ascii="Times New Roman"/>
          <w:sz w:val="20"/>
        </w:rPr>
        <w:drawing>
          <wp:inline distT="0" distB="0" distL="0" distR="0">
            <wp:extent cx="7241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154" cy="723900"/>
                    </a:xfrm>
                    <a:prstGeom prst="rect">
                      <a:avLst/>
                    </a:prstGeom>
                  </pic:spPr>
                </pic:pic>
              </a:graphicData>
            </a:graphic>
          </wp:inline>
        </w:drawing>
      </w:r>
      <w:r>
        <w:rPr>
          <w:rFonts w:ascii="Times New Roman"/>
          <w:sz w:val="20"/>
        </w:rPr>
      </w:r>
    </w:p>
    <w:p>
      <w:pPr>
        <w:spacing w:line="408" w:lineRule="auto" w:before="101"/>
        <w:ind w:left="8174" w:right="140" w:hanging="563"/>
        <w:jc w:val="right"/>
        <w:rPr>
          <w:sz w:val="14"/>
        </w:rPr>
      </w:pPr>
      <w:r>
        <w:rPr>
          <w:sz w:val="14"/>
        </w:rPr>
        <w:t>和谐健康[2012]疾病保险 035 号</w:t>
      </w:r>
      <w:r>
        <w:rPr>
          <w:w w:val="95"/>
          <w:sz w:val="14"/>
        </w:rPr>
        <w:t>请扫描以查询验证条款</w:t>
      </w:r>
    </w:p>
    <w:p>
      <w:pPr>
        <w:spacing w:line="506" w:lineRule="exact" w:before="0"/>
        <w:ind w:left="0" w:right="0" w:firstLine="0"/>
        <w:jc w:val="center"/>
        <w:rPr>
          <w:rFonts w:ascii="微软雅黑" w:eastAsia="微软雅黑" w:hint="eastAsia"/>
          <w:b/>
          <w:sz w:val="44"/>
        </w:rPr>
      </w:pPr>
      <w:r>
        <w:rPr>
          <w:rFonts w:ascii="微软雅黑" w:eastAsia="微软雅黑" w:hint="eastAsia"/>
          <w:b/>
          <w:sz w:val="44"/>
        </w:rPr>
        <w:t>和谐健康之路定期重大疾病保险条款</w:t>
      </w:r>
    </w:p>
    <w:p>
      <w:pPr>
        <w:spacing w:line="514" w:lineRule="exact" w:before="0"/>
        <w:ind w:left="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9"/>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spacing w:line="363" w:lineRule="exact" w:before="248"/>
        <w:ind w:left="4" w:right="0" w:firstLine="0"/>
        <w:jc w:val="center"/>
        <w:rPr>
          <w:rFonts w:ascii="微软雅黑" w:eastAsia="微软雅黑" w:hint="eastAsia"/>
          <w:b/>
          <w:sz w:val="21"/>
        </w:rPr>
      </w:pPr>
      <w:r>
        <w:rPr>
          <w:rFonts w:ascii="微软雅黑" w:eastAsia="微软雅黑" w:hint="eastAsia"/>
          <w:b/>
          <w:sz w:val="21"/>
        </w:rPr>
        <w:t>您拥有的重要权益</w:t>
      </w:r>
    </w:p>
    <w:p>
      <w:pPr>
        <w:pStyle w:val="BodyText"/>
        <w:tabs>
          <w:tab w:pos="9510" w:val="right" w:leader="dot"/>
        </w:tabs>
        <w:ind w:left="4"/>
        <w:jc w:val="center"/>
        <w:rPr>
          <w:rFonts w:ascii="Times New Roman" w:eastAsia="Times New Roman"/>
        </w:rPr>
      </w:pPr>
      <w:r>
        <w:rPr/>
        <w:t>签收</w:t>
      </w:r>
      <w:r>
        <w:rPr>
          <w:spacing w:val="-3"/>
        </w:rPr>
        <w:t>合</w:t>
      </w:r>
      <w:r>
        <w:rPr/>
        <w:t>同</w:t>
      </w:r>
      <w:r>
        <w:rPr>
          <w:spacing w:val="-3"/>
        </w:rPr>
        <w:t>之日</w:t>
      </w:r>
      <w:r>
        <w:rPr/>
        <w:t>起</w:t>
      </w:r>
      <w:r>
        <w:rPr>
          <w:spacing w:val="-52"/>
        </w:rPr>
        <w:t> </w:t>
      </w:r>
      <w:r>
        <w:rPr>
          <w:rFonts w:ascii="Times New Roman" w:eastAsia="Times New Roman"/>
        </w:rPr>
        <w:t>10</w:t>
      </w:r>
      <w:r>
        <w:rPr>
          <w:rFonts w:ascii="Times New Roman" w:eastAsia="Times New Roman"/>
          <w:spacing w:val="-2"/>
        </w:rPr>
        <w:t> </w:t>
      </w:r>
      <w:r>
        <w:rPr/>
        <w:t>日</w:t>
      </w:r>
      <w:r>
        <w:rPr>
          <w:spacing w:val="-89"/>
        </w:rPr>
        <w:t>内</w:t>
      </w:r>
      <w:r>
        <w:rPr>
          <w:spacing w:val="-3"/>
        </w:rPr>
        <w:t>（</w:t>
      </w:r>
      <w:r>
        <w:rPr/>
        <w:t>即犹</w:t>
      </w:r>
      <w:r>
        <w:rPr>
          <w:spacing w:val="-3"/>
        </w:rPr>
        <w:t>豫</w:t>
      </w:r>
      <w:r>
        <w:rPr/>
        <w:t>期</w:t>
      </w:r>
      <w:r>
        <w:rPr>
          <w:spacing w:val="-89"/>
        </w:rPr>
        <w:t>）</w:t>
      </w:r>
      <w:r>
        <w:rPr>
          <w:spacing w:val="-3"/>
        </w:rPr>
        <w:t>您</w:t>
      </w:r>
      <w:r>
        <w:rPr/>
        <w:t>若</w:t>
      </w:r>
      <w:r>
        <w:rPr>
          <w:spacing w:val="-3"/>
        </w:rPr>
        <w:t>要</w:t>
      </w:r>
      <w:r>
        <w:rPr/>
        <w:t>求</w:t>
      </w:r>
      <w:r>
        <w:rPr>
          <w:spacing w:val="-3"/>
        </w:rPr>
        <w:t>解</w:t>
      </w:r>
      <w:r>
        <w:rPr/>
        <w:t>除</w:t>
      </w:r>
      <w:r>
        <w:rPr>
          <w:spacing w:val="-3"/>
        </w:rPr>
        <w:t>合</w:t>
      </w:r>
      <w:r>
        <w:rPr/>
        <w:t>同</w:t>
      </w:r>
      <w:r>
        <w:rPr>
          <w:spacing w:val="-89"/>
        </w:rPr>
        <w:t>，</w:t>
      </w:r>
      <w:r>
        <w:rPr>
          <w:spacing w:val="-3"/>
        </w:rPr>
        <w:t>我</w:t>
      </w:r>
      <w:r>
        <w:rPr/>
        <w:t>们无</w:t>
      </w:r>
      <w:r>
        <w:rPr>
          <w:spacing w:val="-3"/>
        </w:rPr>
        <w:t>息</w:t>
      </w:r>
      <w:r>
        <w:rPr/>
        <w:t>退</w:t>
      </w:r>
      <w:r>
        <w:rPr>
          <w:spacing w:val="-3"/>
        </w:rPr>
        <w:t>还</w:t>
      </w:r>
      <w:r>
        <w:rPr/>
        <w:t>您</w:t>
      </w:r>
      <w:r>
        <w:rPr>
          <w:spacing w:val="-3"/>
        </w:rPr>
        <w:t>所</w:t>
      </w:r>
      <w:r>
        <w:rPr/>
        <w:t>交</w:t>
      </w:r>
      <w:r>
        <w:rPr>
          <w:spacing w:val="-3"/>
        </w:rPr>
        <w:t>保</w:t>
      </w:r>
      <w:r>
        <w:rPr/>
        <w:t>险费</w:t>
        <w:tab/>
      </w:r>
      <w:r>
        <w:rPr>
          <w:rFonts w:ascii="Times New Roman" w:eastAsia="Times New Roman"/>
        </w:rPr>
        <w:t>1.4</w:t>
      </w:r>
    </w:p>
    <w:p>
      <w:pPr>
        <w:pStyle w:val="BodyText"/>
        <w:tabs>
          <w:tab w:pos="9504" w:val="right" w:leader="dot"/>
        </w:tabs>
        <w:spacing w:before="9"/>
        <w:ind w:left="1"/>
        <w:jc w:val="center"/>
        <w:rPr>
          <w:rFonts w:ascii="Times New Roman" w:eastAsia="Times New Roman"/>
        </w:rPr>
      </w:pPr>
      <w:r>
        <w:rPr/>
        <w:t>您有解除合同</w:t>
      </w:r>
      <w:r>
        <w:rPr>
          <w:spacing w:val="-3"/>
        </w:rPr>
        <w:t>的</w:t>
      </w:r>
      <w:r>
        <w:rPr/>
        <w:t>权利</w:t>
        <w:tab/>
      </w:r>
      <w:r>
        <w:rPr>
          <w:rFonts w:ascii="Times New Roman" w:eastAsia="Times New Roman"/>
        </w:rPr>
        <w:t>1.6</w:t>
      </w:r>
    </w:p>
    <w:p>
      <w:pPr>
        <w:pStyle w:val="BodyText"/>
        <w:tabs>
          <w:tab w:pos="9496" w:val="right" w:leader="dot"/>
        </w:tabs>
        <w:spacing w:before="9"/>
        <w:ind w:right="2"/>
        <w:jc w:val="center"/>
        <w:rPr>
          <w:rFonts w:ascii="Times New Roman" w:eastAsia="Times New Roman"/>
        </w:rPr>
      </w:pPr>
      <w:r>
        <w:rPr/>
        <w:t>本合同提供的保障在保险责任条款中列明</w:t>
        <w:tab/>
      </w:r>
      <w:r>
        <w:rPr>
          <w:rFonts w:ascii="Times New Roman" w:eastAsia="Times New Roman"/>
        </w:rPr>
        <w:t>2.3</w:t>
      </w:r>
    </w:p>
    <w:p>
      <w:pPr>
        <w:spacing w:line="363" w:lineRule="exact" w:before="244"/>
        <w:ind w:left="2" w:right="0" w:firstLine="0"/>
        <w:jc w:val="center"/>
        <w:rPr>
          <w:rFonts w:ascii="微软雅黑" w:eastAsia="微软雅黑" w:hint="eastAsia"/>
          <w:b/>
          <w:sz w:val="21"/>
        </w:rPr>
      </w:pPr>
      <w:r>
        <w:rPr>
          <w:rFonts w:ascii="微软雅黑" w:eastAsia="微软雅黑" w:hint="eastAsia"/>
          <w:b/>
          <w:sz w:val="21"/>
        </w:rPr>
        <w:t>您应当特别注意的事项</w:t>
      </w:r>
    </w:p>
    <w:p>
      <w:pPr>
        <w:pStyle w:val="BodyText"/>
        <w:tabs>
          <w:tab w:pos="9510" w:val="right" w:leader="dot"/>
        </w:tabs>
        <w:ind w:left="4"/>
        <w:jc w:val="center"/>
        <w:rPr>
          <w:rFonts w:ascii="Times New Roman" w:eastAsia="Times New Roman"/>
        </w:rP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w:t>
      </w:r>
      <w:r>
        <w:rPr/>
        <w:t>请</w:t>
      </w:r>
      <w:r>
        <w:rPr>
          <w:spacing w:val="-3"/>
        </w:rPr>
        <w:t>您</w:t>
      </w:r>
      <w:r>
        <w:rPr/>
        <w:t>慎</w:t>
      </w:r>
      <w:r>
        <w:rPr>
          <w:spacing w:val="-3"/>
        </w:rPr>
        <w:t>重</w:t>
      </w:r>
      <w:r>
        <w:rPr/>
        <w:t>决策</w:t>
        <w:tab/>
      </w:r>
      <w:r>
        <w:rPr>
          <w:rFonts w:ascii="Times New Roman" w:eastAsia="Times New Roman"/>
        </w:rPr>
        <w:t>1.6</w:t>
      </w:r>
    </w:p>
    <w:p>
      <w:pPr>
        <w:pStyle w:val="BodyText"/>
        <w:tabs>
          <w:tab w:pos="9510" w:val="right" w:leader="dot"/>
        </w:tabs>
        <w:spacing w:before="10"/>
        <w:ind w:left="4"/>
        <w:jc w:val="center"/>
        <w:rPr>
          <w:rFonts w:ascii="Times New Roman" w:eastAsia="Times New Roman"/>
        </w:rPr>
      </w:pPr>
      <w:r>
        <w:rPr/>
        <w:t>本合</w:t>
      </w:r>
      <w:r>
        <w:rPr>
          <w:spacing w:val="-3"/>
        </w:rPr>
        <w:t>同</w:t>
      </w:r>
      <w:r>
        <w:rPr/>
        <w:t>有</w:t>
      </w:r>
      <w:r>
        <w:rPr>
          <w:spacing w:val="-28"/>
        </w:rPr>
        <w:t> </w:t>
      </w:r>
      <w:r>
        <w:rPr>
          <w:rFonts w:ascii="Times New Roman" w:eastAsia="Times New Roman"/>
        </w:rPr>
        <w:t>180</w:t>
      </w:r>
      <w:r>
        <w:rPr>
          <w:rFonts w:ascii="Times New Roman" w:eastAsia="Times New Roman"/>
          <w:spacing w:val="23"/>
        </w:rPr>
        <w:t> </w:t>
      </w:r>
      <w:r>
        <w:rPr/>
        <w:t>日</w:t>
      </w:r>
      <w:r>
        <w:rPr>
          <w:spacing w:val="-3"/>
        </w:rPr>
        <w:t>的</w:t>
      </w:r>
      <w:r>
        <w:rPr/>
        <w:t>等</w:t>
      </w:r>
      <w:r>
        <w:rPr>
          <w:spacing w:val="-3"/>
        </w:rPr>
        <w:t>待</w:t>
      </w:r>
      <w:r>
        <w:rPr/>
        <w:t>期</w:t>
        <w:tab/>
      </w:r>
      <w:r>
        <w:rPr>
          <w:rFonts w:ascii="Times New Roman" w:eastAsia="Times New Roman"/>
        </w:rPr>
        <w:t>2.3</w:t>
      </w:r>
    </w:p>
    <w:p>
      <w:pPr>
        <w:pStyle w:val="BodyText"/>
        <w:tabs>
          <w:tab w:pos="9505" w:val="right" w:leader="dot"/>
        </w:tabs>
        <w:spacing w:before="9"/>
        <w:ind w:left="2"/>
        <w:jc w:val="center"/>
        <w:rPr>
          <w:rFonts w:ascii="Times New Roman" w:eastAsia="Times New Roman"/>
        </w:rPr>
      </w:pPr>
      <w:r>
        <w:rPr/>
        <w:t>在某</w:t>
      </w:r>
      <w:r>
        <w:rPr>
          <w:spacing w:val="-3"/>
        </w:rPr>
        <w:t>些</w:t>
      </w:r>
      <w:r>
        <w:rPr/>
        <w:t>情</w:t>
      </w:r>
      <w:r>
        <w:rPr>
          <w:spacing w:val="-3"/>
        </w:rPr>
        <w:t>况下</w:t>
      </w:r>
      <w:r>
        <w:rPr>
          <w:spacing w:val="-53"/>
        </w:rPr>
        <w:t>，</w:t>
      </w:r>
      <w:r>
        <w:rPr>
          <w:spacing w:val="-3"/>
        </w:rPr>
        <w:t>本</w:t>
      </w:r>
      <w:r>
        <w:rPr/>
        <w:t>公</w:t>
      </w:r>
      <w:r>
        <w:rPr>
          <w:spacing w:val="-3"/>
        </w:rPr>
        <w:t>司不</w:t>
      </w:r>
      <w:r>
        <w:rPr/>
        <w:t>承担</w:t>
      </w:r>
      <w:r>
        <w:rPr>
          <w:spacing w:val="-3"/>
        </w:rPr>
        <w:t>保</w:t>
      </w:r>
      <w:r>
        <w:rPr/>
        <w:t>险</w:t>
      </w:r>
      <w:r>
        <w:rPr>
          <w:spacing w:val="-3"/>
        </w:rPr>
        <w:t>责</w:t>
      </w:r>
      <w:r>
        <w:rPr/>
        <w:t>任</w:t>
        <w:tab/>
      </w:r>
      <w:r>
        <w:rPr>
          <w:rFonts w:ascii="Times New Roman" w:eastAsia="Times New Roman"/>
        </w:rPr>
        <w:t>2.4</w:t>
      </w:r>
    </w:p>
    <w:p>
      <w:pPr>
        <w:pStyle w:val="BodyText"/>
        <w:tabs>
          <w:tab w:pos="9495" w:val="right" w:leader="dot"/>
        </w:tabs>
        <w:spacing w:before="9"/>
        <w:ind w:right="3"/>
        <w:jc w:val="center"/>
        <w:rPr>
          <w:rFonts w:ascii="Times New Roman" w:eastAsia="Times New Roman"/>
        </w:rPr>
      </w:pPr>
      <w:r>
        <w:rPr/>
        <w:t>保险事故发生后请</w:t>
      </w:r>
      <w:r>
        <w:rPr>
          <w:spacing w:val="-3"/>
        </w:rPr>
        <w:t>您</w:t>
      </w:r>
      <w:r>
        <w:rPr/>
        <w:t>及</w:t>
      </w:r>
      <w:r>
        <w:rPr>
          <w:spacing w:val="-3"/>
        </w:rPr>
        <w:t>时</w:t>
      </w:r>
      <w:r>
        <w:rPr/>
        <w:t>通知本公司</w:t>
        <w:tab/>
      </w:r>
      <w:r>
        <w:rPr>
          <w:rFonts w:ascii="Times New Roman" w:eastAsia="Times New Roman"/>
        </w:rPr>
        <w:t>3.2</w:t>
      </w:r>
    </w:p>
    <w:p>
      <w:pPr>
        <w:pStyle w:val="BodyText"/>
        <w:tabs>
          <w:tab w:pos="9501" w:val="right" w:leader="dot"/>
        </w:tabs>
        <w:spacing w:before="9"/>
        <w:jc w:val="center"/>
        <w:rPr>
          <w:rFonts w:ascii="Times New Roman" w:eastAsia="Times New Roman"/>
        </w:rPr>
      </w:pPr>
      <w:r>
        <w:rPr/>
        <w:t>您有如实告知</w:t>
      </w:r>
      <w:r>
        <w:rPr>
          <w:spacing w:val="-3"/>
        </w:rPr>
        <w:t>的</w:t>
      </w:r>
      <w:r>
        <w:rPr/>
        <w:t>义务</w:t>
        <w:tab/>
      </w:r>
      <w:r>
        <w:rPr>
          <w:rFonts w:ascii="Times New Roman" w:eastAsia="Times New Roman"/>
        </w:rPr>
        <w:t>5.1</w:t>
      </w:r>
    </w:p>
    <w:p>
      <w:pPr>
        <w:pStyle w:val="BodyText"/>
        <w:tabs>
          <w:tab w:pos="9510" w:val="right" w:leader="dot"/>
        </w:tabs>
        <w:spacing w:line="264" w:lineRule="exact" w:before="7"/>
        <w:ind w:left="4"/>
        <w:jc w:val="center"/>
        <w:rPr>
          <w:rFonts w:ascii="Times New Roman" w:eastAsia="Times New Roman"/>
        </w:rPr>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56"/>
        </w:rPr>
        <w:t>，</w:t>
      </w:r>
      <w:r>
        <w:rPr/>
        <w:t>并</w:t>
      </w:r>
      <w:r>
        <w:rPr>
          <w:spacing w:val="-3"/>
        </w:rPr>
        <w:t>作</w:t>
      </w:r>
      <w:r>
        <w:rPr/>
        <w:t>了</w:t>
      </w:r>
      <w:r>
        <w:rPr>
          <w:spacing w:val="-3"/>
        </w:rPr>
        <w:t>显</w:t>
      </w:r>
      <w:r>
        <w:rPr/>
        <w:t>著</w:t>
      </w:r>
      <w:r>
        <w:rPr>
          <w:spacing w:val="-3"/>
        </w:rPr>
        <w:t>标</w:t>
      </w:r>
      <w:r>
        <w:rPr/>
        <w:t>识</w:t>
      </w:r>
      <w:r>
        <w:rPr>
          <w:spacing w:val="-53"/>
        </w:rPr>
        <w:t>，</w:t>
      </w:r>
      <w:r>
        <w:rPr>
          <w:spacing w:val="-3"/>
        </w:rPr>
        <w:t>请</w:t>
      </w:r>
      <w:r>
        <w:rPr/>
        <w:t>您</w:t>
      </w:r>
      <w:r>
        <w:rPr>
          <w:spacing w:val="-3"/>
        </w:rPr>
        <w:t>注</w:t>
      </w:r>
      <w:r>
        <w:rPr/>
        <w:t>意</w:t>
        <w:tab/>
      </w:r>
      <w:r>
        <w:rPr>
          <w:rFonts w:ascii="Times New Roman" w:eastAsia="Times New Roman"/>
        </w:rPr>
        <w:t>6</w:t>
      </w:r>
    </w:p>
    <w:p>
      <w:pPr>
        <w:spacing w:line="336" w:lineRule="exact" w:before="0"/>
        <w:ind w:left="4" w:right="0" w:firstLine="0"/>
        <w:jc w:val="center"/>
        <w:rPr>
          <w:rFonts w:ascii="微软雅黑" w:eastAsia="微软雅黑" w:hint="eastAsia"/>
          <w:b/>
          <w:sz w:val="21"/>
        </w:rPr>
      </w:pPr>
      <w:r>
        <w:rPr>
          <w:rFonts w:ascii="微软雅黑" w:eastAsia="微软雅黑" w:hint="eastAsia"/>
          <w:b/>
          <w:sz w:val="21"/>
        </w:rPr>
        <w:t>条款目录</w:t>
      </w:r>
    </w:p>
    <w:p>
      <w:pPr>
        <w:pStyle w:val="BodyText"/>
        <w:spacing w:after="59"/>
        <w:ind w:left="4"/>
        <w:jc w:val="center"/>
      </w:pPr>
      <w:r>
        <w:rPr/>
        <w:pict>
          <v:group style="position:absolute;margin-left:217.490005pt;margin-top:18.143679pt;width:.5pt;height:314.7pt;mso-position-horizontal-relative:page;mso-position-vertical-relative:paragraph;z-index:-25384" coordorigin="4350,363" coordsize="10,6294">
            <v:shape style="position:absolute;left:4349;top:362;width:10;height:3" type="#_x0000_t75" stroked="false">
              <v:imagedata r:id="rId8" o:title=""/>
            </v:shape>
            <v:shape style="position:absolute;left:4349;top:365;width:10;height:6292" type="#_x0000_t75" stroked="false">
              <v:imagedata r:id="rId9" o:title=""/>
            </v:shape>
            <w10:wrap type="none"/>
          </v:group>
        </w:pict>
      </w:r>
      <w:r>
        <w:rPr/>
        <w:pict>
          <v:group style="position:absolute;margin-left:384.910004pt;margin-top:18.143679pt;width:.5pt;height:314.7pt;mso-position-horizontal-relative:page;mso-position-vertical-relative:paragraph;z-index:-25360" coordorigin="7698,363" coordsize="10,6294">
            <v:shape style="position:absolute;left:7698;top:362;width:10;height:3" type="#_x0000_t75" stroked="false">
              <v:imagedata r:id="rId8" o:title=""/>
            </v:shape>
            <v:shape style="position:absolute;left:7698;top:365;width:10;height:6292" type="#_x0000_t75" stroked="false">
              <v:imagedata r:id="rId9" o:title=""/>
            </v:shape>
            <w10:wrap type="none"/>
          </v:group>
        </w:pict>
      </w:r>
      <w:r>
        <w:rPr/>
        <w:t>条款是保险合同的重要内容，为充分保障您的权益，请您仔细阅读本条款。</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3092"/>
        <w:gridCol w:w="3300"/>
      </w:tblGrid>
      <w:tr>
        <w:trPr>
          <w:trHeight w:val="6292" w:hRule="atLeast"/>
        </w:trPr>
        <w:tc>
          <w:tcPr>
            <w:tcW w:w="3112" w:type="dxa"/>
            <w:tcBorders>
              <w:top w:val="single" w:sz="12" w:space="0" w:color="000000"/>
              <w:bottom w:val="single" w:sz="12" w:space="0" w:color="000000"/>
            </w:tcBorders>
          </w:tcPr>
          <w:p>
            <w:pPr>
              <w:pStyle w:val="TableParagraph"/>
              <w:numPr>
                <w:ilvl w:val="0"/>
                <w:numId w:val="1"/>
              </w:numPr>
              <w:tabs>
                <w:tab w:pos="535" w:val="left" w:leader="none"/>
                <w:tab w:pos="536" w:val="left" w:leader="none"/>
              </w:tabs>
              <w:spacing w:line="265" w:lineRule="exact" w:before="0" w:after="0"/>
              <w:ind w:left="535" w:right="0" w:hanging="420"/>
              <w:jc w:val="left"/>
              <w:rPr>
                <w:rFonts w:ascii="微软雅黑" w:eastAsia="微软雅黑" w:hint="eastAsia"/>
                <w:b/>
                <w:sz w:val="21"/>
              </w:rPr>
            </w:pPr>
            <w:r>
              <w:rPr>
                <w:rFonts w:ascii="微软雅黑" w:eastAsia="微软雅黑" w:hint="eastAsia"/>
                <w:b/>
                <w:sz w:val="21"/>
              </w:rPr>
              <w:t>您与我们的合同</w:t>
            </w:r>
          </w:p>
          <w:p>
            <w:pPr>
              <w:pStyle w:val="TableParagraph"/>
              <w:numPr>
                <w:ilvl w:val="1"/>
                <w:numId w:val="1"/>
              </w:numPr>
              <w:tabs>
                <w:tab w:pos="647" w:val="left" w:leader="none"/>
              </w:tabs>
              <w:spacing w:line="240" w:lineRule="auto" w:before="0" w:after="0"/>
              <w:ind w:left="641" w:right="0" w:hanging="420"/>
              <w:jc w:val="left"/>
              <w:rPr>
                <w:sz w:val="21"/>
              </w:rPr>
            </w:pPr>
            <w:r>
              <w:rPr>
                <w:spacing w:val="-1"/>
                <w:sz w:val="21"/>
              </w:rPr>
              <w:t>合同构成</w:t>
            </w:r>
          </w:p>
          <w:p>
            <w:pPr>
              <w:pStyle w:val="TableParagraph"/>
              <w:numPr>
                <w:ilvl w:val="1"/>
                <w:numId w:val="1"/>
              </w:numPr>
              <w:tabs>
                <w:tab w:pos="647" w:val="left" w:leader="none"/>
              </w:tabs>
              <w:spacing w:line="240" w:lineRule="auto" w:before="9" w:after="0"/>
              <w:ind w:left="641" w:right="0" w:hanging="420"/>
              <w:jc w:val="left"/>
              <w:rPr>
                <w:sz w:val="21"/>
              </w:rPr>
            </w:pPr>
            <w:r>
              <w:rPr>
                <w:spacing w:val="-1"/>
                <w:sz w:val="21"/>
              </w:rPr>
              <w:t>投保年龄</w:t>
            </w:r>
          </w:p>
          <w:p>
            <w:pPr>
              <w:pStyle w:val="TableParagraph"/>
              <w:numPr>
                <w:ilvl w:val="1"/>
                <w:numId w:val="1"/>
              </w:numPr>
              <w:tabs>
                <w:tab w:pos="647" w:val="left" w:leader="none"/>
              </w:tabs>
              <w:spacing w:line="247" w:lineRule="auto" w:before="9" w:after="0"/>
              <w:ind w:left="641" w:right="150" w:hanging="420"/>
              <w:jc w:val="left"/>
              <w:rPr>
                <w:sz w:val="21"/>
              </w:rPr>
            </w:pPr>
            <w:r>
              <w:rPr>
                <w:spacing w:val="-3"/>
                <w:sz w:val="21"/>
              </w:rPr>
              <w:t>合同成立与生效和保险责任开始</w:t>
            </w:r>
          </w:p>
          <w:p>
            <w:pPr>
              <w:pStyle w:val="TableParagraph"/>
              <w:numPr>
                <w:ilvl w:val="1"/>
                <w:numId w:val="1"/>
              </w:numPr>
              <w:tabs>
                <w:tab w:pos="647" w:val="left" w:leader="none"/>
              </w:tabs>
              <w:spacing w:line="240" w:lineRule="auto" w:before="19" w:after="0"/>
              <w:ind w:left="641" w:right="0" w:hanging="420"/>
              <w:jc w:val="left"/>
              <w:rPr>
                <w:sz w:val="21"/>
              </w:rPr>
            </w:pPr>
            <w:r>
              <w:rPr>
                <w:sz w:val="21"/>
              </w:rPr>
              <w:t>犹豫期</w:t>
            </w:r>
          </w:p>
          <w:p>
            <w:pPr>
              <w:pStyle w:val="TableParagraph"/>
              <w:numPr>
                <w:ilvl w:val="1"/>
                <w:numId w:val="1"/>
              </w:numPr>
              <w:tabs>
                <w:tab w:pos="647" w:val="left" w:leader="none"/>
              </w:tabs>
              <w:spacing w:line="240" w:lineRule="auto" w:before="7" w:after="0"/>
              <w:ind w:left="641" w:right="0" w:hanging="420"/>
              <w:jc w:val="left"/>
              <w:rPr>
                <w:sz w:val="21"/>
              </w:rPr>
            </w:pPr>
            <w:r>
              <w:rPr>
                <w:spacing w:val="-2"/>
                <w:sz w:val="21"/>
              </w:rPr>
              <w:t>合同内容变更</w:t>
            </w:r>
          </w:p>
          <w:p>
            <w:pPr>
              <w:pStyle w:val="TableParagraph"/>
              <w:numPr>
                <w:ilvl w:val="1"/>
                <w:numId w:val="1"/>
              </w:numPr>
              <w:tabs>
                <w:tab w:pos="647" w:val="left" w:leader="none"/>
              </w:tabs>
              <w:spacing w:line="240" w:lineRule="auto" w:before="9" w:after="0"/>
              <w:ind w:left="641" w:right="0" w:hanging="420"/>
              <w:jc w:val="left"/>
              <w:rPr>
                <w:sz w:val="21"/>
              </w:rPr>
            </w:pPr>
            <w:r>
              <w:rPr>
                <w:spacing w:val="-3"/>
                <w:sz w:val="21"/>
              </w:rPr>
              <w:t>您解除合同的手续及风险</w:t>
            </w:r>
          </w:p>
          <w:p>
            <w:pPr>
              <w:pStyle w:val="TableParagraph"/>
              <w:spacing w:before="11"/>
              <w:ind w:left="0"/>
              <w:rPr>
                <w:sz w:val="18"/>
              </w:rPr>
            </w:pPr>
          </w:p>
          <w:p>
            <w:pPr>
              <w:pStyle w:val="TableParagraph"/>
              <w:numPr>
                <w:ilvl w:val="0"/>
                <w:numId w:val="1"/>
              </w:numPr>
              <w:tabs>
                <w:tab w:pos="535" w:val="left" w:leader="none"/>
                <w:tab w:pos="536" w:val="left" w:leader="none"/>
              </w:tabs>
              <w:spacing w:line="363" w:lineRule="exact" w:before="0" w:after="0"/>
              <w:ind w:left="535" w:right="0" w:hanging="420"/>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1"/>
              </w:numPr>
              <w:tabs>
                <w:tab w:pos="647" w:val="left" w:leader="none"/>
              </w:tabs>
              <w:spacing w:line="240" w:lineRule="auto" w:before="0" w:after="0"/>
              <w:ind w:left="646" w:right="0" w:hanging="425"/>
              <w:jc w:val="left"/>
              <w:rPr>
                <w:sz w:val="21"/>
              </w:rPr>
            </w:pPr>
            <w:r>
              <w:rPr>
                <w:spacing w:val="-1"/>
                <w:sz w:val="21"/>
              </w:rPr>
              <w:t>保险金额</w:t>
            </w:r>
          </w:p>
          <w:p>
            <w:pPr>
              <w:pStyle w:val="TableParagraph"/>
              <w:numPr>
                <w:ilvl w:val="1"/>
                <w:numId w:val="1"/>
              </w:numPr>
              <w:tabs>
                <w:tab w:pos="647" w:val="left" w:leader="none"/>
              </w:tabs>
              <w:spacing w:line="240" w:lineRule="auto" w:before="7" w:after="0"/>
              <w:ind w:left="646" w:right="0" w:hanging="425"/>
              <w:jc w:val="left"/>
              <w:rPr>
                <w:sz w:val="21"/>
              </w:rPr>
            </w:pPr>
            <w:r>
              <w:rPr>
                <w:spacing w:val="-1"/>
                <w:sz w:val="21"/>
              </w:rPr>
              <w:t>保险期间</w:t>
            </w:r>
          </w:p>
          <w:p>
            <w:pPr>
              <w:pStyle w:val="TableParagraph"/>
              <w:numPr>
                <w:ilvl w:val="1"/>
                <w:numId w:val="1"/>
              </w:numPr>
              <w:tabs>
                <w:tab w:pos="647" w:val="left" w:leader="none"/>
              </w:tabs>
              <w:spacing w:line="240" w:lineRule="auto" w:before="8" w:after="0"/>
              <w:ind w:left="646" w:right="0" w:hanging="425"/>
              <w:jc w:val="left"/>
              <w:rPr>
                <w:sz w:val="21"/>
              </w:rPr>
            </w:pPr>
            <w:r>
              <w:rPr>
                <w:spacing w:val="-1"/>
                <w:sz w:val="21"/>
              </w:rPr>
              <w:t>保险责任</w:t>
            </w:r>
          </w:p>
          <w:p>
            <w:pPr>
              <w:pStyle w:val="TableParagraph"/>
              <w:numPr>
                <w:ilvl w:val="1"/>
                <w:numId w:val="1"/>
              </w:numPr>
              <w:tabs>
                <w:tab w:pos="647" w:val="left" w:leader="none"/>
              </w:tabs>
              <w:spacing w:line="240" w:lineRule="auto" w:before="8" w:after="0"/>
              <w:ind w:left="646" w:right="0" w:hanging="425"/>
              <w:jc w:val="left"/>
              <w:rPr>
                <w:sz w:val="21"/>
              </w:rPr>
            </w:pPr>
            <w:r>
              <w:rPr>
                <w:spacing w:val="-1"/>
                <w:sz w:val="21"/>
              </w:rPr>
              <w:t>责任免除</w:t>
            </w:r>
          </w:p>
          <w:p>
            <w:pPr>
              <w:pStyle w:val="TableParagraph"/>
              <w:spacing w:before="10"/>
              <w:ind w:left="0"/>
              <w:rPr>
                <w:sz w:val="18"/>
              </w:rPr>
            </w:pPr>
          </w:p>
          <w:p>
            <w:pPr>
              <w:pStyle w:val="TableParagraph"/>
              <w:numPr>
                <w:ilvl w:val="0"/>
                <w:numId w:val="1"/>
              </w:numPr>
              <w:tabs>
                <w:tab w:pos="535" w:val="left" w:leader="none"/>
                <w:tab w:pos="536" w:val="left" w:leader="none"/>
              </w:tabs>
              <w:spacing w:line="363" w:lineRule="exact" w:before="0" w:after="0"/>
              <w:ind w:left="535" w:right="0" w:hanging="420"/>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1"/>
              </w:numPr>
              <w:tabs>
                <w:tab w:pos="649" w:val="left" w:leader="none"/>
              </w:tabs>
              <w:spacing w:line="240" w:lineRule="auto" w:before="0" w:after="0"/>
              <w:ind w:left="648" w:right="0" w:hanging="425"/>
              <w:jc w:val="left"/>
              <w:rPr>
                <w:sz w:val="21"/>
              </w:rPr>
            </w:pPr>
            <w:r>
              <w:rPr>
                <w:spacing w:val="-2"/>
                <w:sz w:val="21"/>
              </w:rPr>
              <w:t>保险金受益人</w:t>
            </w:r>
          </w:p>
          <w:p>
            <w:pPr>
              <w:pStyle w:val="TableParagraph"/>
              <w:numPr>
                <w:ilvl w:val="1"/>
                <w:numId w:val="1"/>
              </w:numPr>
              <w:tabs>
                <w:tab w:pos="649" w:val="left" w:leader="none"/>
              </w:tabs>
              <w:spacing w:line="240" w:lineRule="auto" w:before="8" w:after="0"/>
              <w:ind w:left="648" w:right="0" w:hanging="425"/>
              <w:jc w:val="left"/>
              <w:rPr>
                <w:sz w:val="21"/>
              </w:rPr>
            </w:pPr>
            <w:r>
              <w:rPr>
                <w:spacing w:val="-2"/>
                <w:sz w:val="21"/>
              </w:rPr>
              <w:t>保险事故通知</w:t>
            </w:r>
          </w:p>
          <w:p>
            <w:pPr>
              <w:pStyle w:val="TableParagraph"/>
              <w:numPr>
                <w:ilvl w:val="1"/>
                <w:numId w:val="1"/>
              </w:numPr>
              <w:tabs>
                <w:tab w:pos="649" w:val="left" w:leader="none"/>
              </w:tabs>
              <w:spacing w:line="240" w:lineRule="auto" w:before="9" w:after="0"/>
              <w:ind w:left="648" w:right="0" w:hanging="425"/>
              <w:jc w:val="left"/>
              <w:rPr>
                <w:sz w:val="21"/>
              </w:rPr>
            </w:pPr>
            <w:r>
              <w:rPr>
                <w:spacing w:val="-1"/>
                <w:sz w:val="21"/>
              </w:rPr>
              <w:t>保险金申请</w:t>
            </w:r>
          </w:p>
          <w:p>
            <w:pPr>
              <w:pStyle w:val="TableParagraph"/>
              <w:numPr>
                <w:ilvl w:val="1"/>
                <w:numId w:val="1"/>
              </w:numPr>
              <w:tabs>
                <w:tab w:pos="649" w:val="left" w:leader="none"/>
              </w:tabs>
              <w:spacing w:line="240" w:lineRule="auto" w:before="9" w:after="0"/>
              <w:ind w:left="648" w:right="0" w:hanging="425"/>
              <w:jc w:val="left"/>
              <w:rPr>
                <w:sz w:val="21"/>
              </w:rPr>
            </w:pPr>
            <w:r>
              <w:rPr>
                <w:spacing w:val="-1"/>
                <w:sz w:val="21"/>
              </w:rPr>
              <w:t>保险金给付</w:t>
            </w:r>
          </w:p>
          <w:p>
            <w:pPr>
              <w:pStyle w:val="TableParagraph"/>
              <w:numPr>
                <w:ilvl w:val="1"/>
                <w:numId w:val="1"/>
              </w:numPr>
              <w:tabs>
                <w:tab w:pos="649" w:val="left" w:leader="none"/>
              </w:tabs>
              <w:spacing w:line="240" w:lineRule="auto" w:before="9" w:after="0"/>
              <w:ind w:left="648" w:right="0" w:hanging="425"/>
              <w:jc w:val="left"/>
              <w:rPr>
                <w:sz w:val="21"/>
              </w:rPr>
            </w:pPr>
            <w:r>
              <w:rPr>
                <w:spacing w:val="-1"/>
                <w:sz w:val="21"/>
              </w:rPr>
              <w:t>诉讼时效</w:t>
            </w:r>
          </w:p>
        </w:tc>
        <w:tc>
          <w:tcPr>
            <w:tcW w:w="3092" w:type="dxa"/>
            <w:tcBorders>
              <w:top w:val="single" w:sz="12" w:space="0" w:color="000000"/>
              <w:bottom w:val="single" w:sz="12" w:space="0" w:color="000000"/>
            </w:tcBorders>
          </w:tcPr>
          <w:p>
            <w:pPr>
              <w:pStyle w:val="TableParagraph"/>
              <w:numPr>
                <w:ilvl w:val="0"/>
                <w:numId w:val="2"/>
              </w:numPr>
              <w:tabs>
                <w:tab w:pos="572" w:val="left" w:leader="none"/>
                <w:tab w:pos="573" w:val="left" w:leader="none"/>
              </w:tabs>
              <w:spacing w:line="265" w:lineRule="exact" w:before="0" w:after="0"/>
              <w:ind w:left="573" w:right="0" w:hanging="420"/>
              <w:jc w:val="left"/>
              <w:rPr>
                <w:rFonts w:ascii="微软雅黑" w:eastAsia="微软雅黑" w:hint="eastAsia"/>
                <w:b/>
                <w:sz w:val="21"/>
              </w:rPr>
            </w:pPr>
            <w:r>
              <w:rPr>
                <w:rFonts w:ascii="微软雅黑" w:eastAsia="微软雅黑" w:hint="eastAsia"/>
                <w:b/>
                <w:sz w:val="21"/>
              </w:rPr>
              <w:t>如何交纳保险费</w:t>
            </w:r>
          </w:p>
          <w:p>
            <w:pPr>
              <w:pStyle w:val="TableParagraph"/>
              <w:numPr>
                <w:ilvl w:val="1"/>
                <w:numId w:val="2"/>
              </w:numPr>
              <w:tabs>
                <w:tab w:pos="686" w:val="left" w:leader="none"/>
              </w:tabs>
              <w:spacing w:line="240" w:lineRule="auto" w:before="0" w:after="0"/>
              <w:ind w:left="685" w:right="0" w:hanging="424"/>
              <w:jc w:val="left"/>
              <w:rPr>
                <w:sz w:val="21"/>
              </w:rPr>
            </w:pPr>
            <w:r>
              <w:rPr>
                <w:spacing w:val="-2"/>
                <w:sz w:val="21"/>
              </w:rPr>
              <w:t>保险费的交纳</w:t>
            </w:r>
          </w:p>
          <w:p>
            <w:pPr>
              <w:pStyle w:val="TableParagraph"/>
              <w:spacing w:before="11"/>
              <w:ind w:left="0"/>
              <w:rPr>
                <w:sz w:val="18"/>
              </w:rPr>
            </w:pPr>
          </w:p>
          <w:p>
            <w:pPr>
              <w:pStyle w:val="TableParagraph"/>
              <w:numPr>
                <w:ilvl w:val="0"/>
                <w:numId w:val="2"/>
              </w:numPr>
              <w:tabs>
                <w:tab w:pos="572" w:val="left" w:leader="none"/>
                <w:tab w:pos="573" w:val="left" w:leader="none"/>
              </w:tabs>
              <w:spacing w:line="363" w:lineRule="exact" w:before="0" w:after="0"/>
              <w:ind w:left="573" w:right="0" w:hanging="420"/>
              <w:jc w:val="left"/>
              <w:rPr>
                <w:rFonts w:ascii="微软雅黑" w:eastAsia="微软雅黑" w:hint="eastAsia"/>
                <w:b/>
                <w:sz w:val="21"/>
              </w:rPr>
            </w:pPr>
            <w:r>
              <w:rPr>
                <w:rFonts w:ascii="微软雅黑" w:eastAsia="微软雅黑" w:hint="eastAsia"/>
                <w:b/>
                <w:sz w:val="21"/>
              </w:rPr>
              <w:t>其他事项</w:t>
            </w:r>
          </w:p>
          <w:p>
            <w:pPr>
              <w:pStyle w:val="TableParagraph"/>
              <w:numPr>
                <w:ilvl w:val="1"/>
                <w:numId w:val="2"/>
              </w:numPr>
              <w:tabs>
                <w:tab w:pos="686" w:val="left" w:leader="none"/>
              </w:tabs>
              <w:spacing w:line="240" w:lineRule="auto" w:before="0" w:after="0"/>
              <w:ind w:left="685" w:right="0" w:hanging="424"/>
              <w:jc w:val="left"/>
              <w:rPr>
                <w:sz w:val="21"/>
              </w:rPr>
            </w:pPr>
            <w:r>
              <w:rPr>
                <w:spacing w:val="-3"/>
                <w:sz w:val="21"/>
              </w:rPr>
              <w:t>明确说明与如实告知</w:t>
            </w:r>
          </w:p>
          <w:p>
            <w:pPr>
              <w:pStyle w:val="TableParagraph"/>
              <w:numPr>
                <w:ilvl w:val="1"/>
                <w:numId w:val="2"/>
              </w:numPr>
              <w:tabs>
                <w:tab w:pos="686" w:val="left" w:leader="none"/>
              </w:tabs>
              <w:spacing w:line="240" w:lineRule="auto" w:before="10" w:after="0"/>
              <w:ind w:left="685" w:right="0" w:hanging="424"/>
              <w:jc w:val="left"/>
              <w:rPr>
                <w:sz w:val="21"/>
              </w:rPr>
            </w:pPr>
            <w:r>
              <w:rPr>
                <w:spacing w:val="-2"/>
                <w:sz w:val="21"/>
              </w:rPr>
              <w:t>年龄性别错误</w:t>
            </w:r>
          </w:p>
          <w:p>
            <w:pPr>
              <w:pStyle w:val="TableParagraph"/>
              <w:numPr>
                <w:ilvl w:val="1"/>
                <w:numId w:val="2"/>
              </w:numPr>
              <w:tabs>
                <w:tab w:pos="686" w:val="left" w:leader="none"/>
              </w:tabs>
              <w:spacing w:line="240" w:lineRule="auto" w:before="7" w:after="0"/>
              <w:ind w:left="685" w:right="0" w:hanging="424"/>
              <w:jc w:val="left"/>
              <w:rPr>
                <w:sz w:val="21"/>
              </w:rPr>
            </w:pPr>
            <w:r>
              <w:rPr>
                <w:spacing w:val="-3"/>
                <w:sz w:val="21"/>
              </w:rPr>
              <w:t>合同解除权的限制</w:t>
            </w:r>
          </w:p>
          <w:p>
            <w:pPr>
              <w:pStyle w:val="TableParagraph"/>
              <w:numPr>
                <w:ilvl w:val="1"/>
                <w:numId w:val="2"/>
              </w:numPr>
              <w:tabs>
                <w:tab w:pos="686" w:val="left" w:leader="none"/>
              </w:tabs>
              <w:spacing w:line="240" w:lineRule="auto" w:before="9" w:after="0"/>
              <w:ind w:left="685" w:right="0" w:hanging="424"/>
              <w:jc w:val="left"/>
              <w:rPr>
                <w:sz w:val="21"/>
              </w:rPr>
            </w:pPr>
            <w:r>
              <w:rPr>
                <w:spacing w:val="-1"/>
                <w:sz w:val="21"/>
              </w:rPr>
              <w:t>未还款项</w:t>
            </w:r>
          </w:p>
          <w:p>
            <w:pPr>
              <w:pStyle w:val="TableParagraph"/>
              <w:numPr>
                <w:ilvl w:val="1"/>
                <w:numId w:val="2"/>
              </w:numPr>
              <w:tabs>
                <w:tab w:pos="686" w:val="left" w:leader="none"/>
              </w:tabs>
              <w:spacing w:line="240" w:lineRule="auto" w:before="9" w:after="0"/>
              <w:ind w:left="685" w:right="0" w:hanging="424"/>
              <w:jc w:val="left"/>
              <w:rPr>
                <w:sz w:val="21"/>
              </w:rPr>
            </w:pPr>
            <w:r>
              <w:rPr>
                <w:spacing w:val="-1"/>
                <w:sz w:val="21"/>
              </w:rPr>
              <w:t>事故鉴定</w:t>
            </w:r>
          </w:p>
          <w:p>
            <w:pPr>
              <w:pStyle w:val="TableParagraph"/>
              <w:numPr>
                <w:ilvl w:val="1"/>
                <w:numId w:val="2"/>
              </w:numPr>
              <w:tabs>
                <w:tab w:pos="686" w:val="left" w:leader="none"/>
              </w:tabs>
              <w:spacing w:line="240" w:lineRule="auto" w:before="8" w:after="0"/>
              <w:ind w:left="685" w:right="0" w:hanging="424"/>
              <w:jc w:val="left"/>
              <w:rPr>
                <w:sz w:val="21"/>
              </w:rPr>
            </w:pPr>
            <w:r>
              <w:rPr>
                <w:spacing w:val="-1"/>
                <w:sz w:val="21"/>
              </w:rPr>
              <w:t>争议处理</w:t>
            </w:r>
          </w:p>
          <w:p>
            <w:pPr>
              <w:pStyle w:val="TableParagraph"/>
              <w:spacing w:before="8"/>
              <w:ind w:left="0"/>
              <w:rPr>
                <w:sz w:val="18"/>
              </w:rPr>
            </w:pPr>
          </w:p>
          <w:p>
            <w:pPr>
              <w:pStyle w:val="TableParagraph"/>
              <w:numPr>
                <w:ilvl w:val="0"/>
                <w:numId w:val="2"/>
              </w:numPr>
              <w:tabs>
                <w:tab w:pos="572" w:val="left" w:leader="none"/>
                <w:tab w:pos="573" w:val="left" w:leader="none"/>
              </w:tabs>
              <w:spacing w:line="363" w:lineRule="exact" w:before="0" w:after="0"/>
              <w:ind w:left="573"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2"/>
              </w:numPr>
              <w:tabs>
                <w:tab w:pos="686" w:val="left" w:leader="none"/>
              </w:tabs>
              <w:spacing w:line="240" w:lineRule="auto" w:before="0" w:after="0"/>
              <w:ind w:left="685" w:right="0" w:hanging="424"/>
              <w:jc w:val="left"/>
              <w:rPr>
                <w:sz w:val="21"/>
              </w:rPr>
            </w:pPr>
            <w:r>
              <w:rPr>
                <w:sz w:val="21"/>
              </w:rPr>
              <w:t>周岁</w:t>
            </w:r>
          </w:p>
          <w:p>
            <w:pPr>
              <w:pStyle w:val="TableParagraph"/>
              <w:numPr>
                <w:ilvl w:val="1"/>
                <w:numId w:val="2"/>
              </w:numPr>
              <w:tabs>
                <w:tab w:pos="686" w:val="left" w:leader="none"/>
              </w:tabs>
              <w:spacing w:line="240" w:lineRule="auto" w:before="9" w:after="0"/>
              <w:ind w:left="685" w:right="0" w:hanging="424"/>
              <w:jc w:val="left"/>
              <w:rPr>
                <w:sz w:val="21"/>
              </w:rPr>
            </w:pPr>
            <w:r>
              <w:rPr>
                <w:spacing w:val="-2"/>
                <w:sz w:val="21"/>
              </w:rPr>
              <w:t>有效身份证件</w:t>
            </w:r>
          </w:p>
          <w:p>
            <w:pPr>
              <w:pStyle w:val="TableParagraph"/>
              <w:numPr>
                <w:ilvl w:val="1"/>
                <w:numId w:val="2"/>
              </w:numPr>
              <w:tabs>
                <w:tab w:pos="686" w:val="left" w:leader="none"/>
              </w:tabs>
              <w:spacing w:line="240" w:lineRule="auto" w:before="8" w:after="0"/>
              <w:ind w:left="685" w:right="0" w:hanging="424"/>
              <w:jc w:val="left"/>
              <w:rPr>
                <w:sz w:val="21"/>
              </w:rPr>
            </w:pPr>
            <w:r>
              <w:rPr>
                <w:spacing w:val="-1"/>
                <w:sz w:val="21"/>
              </w:rPr>
              <w:t>现金价值</w:t>
            </w:r>
          </w:p>
          <w:p>
            <w:pPr>
              <w:pStyle w:val="TableParagraph"/>
              <w:numPr>
                <w:ilvl w:val="1"/>
                <w:numId w:val="2"/>
              </w:numPr>
              <w:tabs>
                <w:tab w:pos="686" w:val="left" w:leader="none"/>
              </w:tabs>
              <w:spacing w:line="240" w:lineRule="auto" w:before="8" w:after="0"/>
              <w:ind w:left="685" w:right="0" w:hanging="424"/>
              <w:jc w:val="left"/>
              <w:rPr>
                <w:sz w:val="21"/>
              </w:rPr>
            </w:pPr>
            <w:r>
              <w:rPr>
                <w:spacing w:val="-1"/>
                <w:sz w:val="21"/>
              </w:rPr>
              <w:t>重大疾病</w:t>
            </w:r>
          </w:p>
          <w:p>
            <w:pPr>
              <w:pStyle w:val="TableParagraph"/>
              <w:numPr>
                <w:ilvl w:val="1"/>
                <w:numId w:val="2"/>
              </w:numPr>
              <w:tabs>
                <w:tab w:pos="686" w:val="left" w:leader="none"/>
              </w:tabs>
              <w:spacing w:line="240" w:lineRule="auto" w:before="8" w:after="0"/>
              <w:ind w:left="685" w:right="0" w:hanging="424"/>
              <w:jc w:val="left"/>
              <w:rPr>
                <w:sz w:val="21"/>
              </w:rPr>
            </w:pPr>
            <w:r>
              <w:rPr>
                <w:spacing w:val="-1"/>
                <w:sz w:val="21"/>
              </w:rPr>
              <w:t>意外伤害</w:t>
            </w:r>
          </w:p>
          <w:p>
            <w:pPr>
              <w:pStyle w:val="TableParagraph"/>
              <w:numPr>
                <w:ilvl w:val="1"/>
                <w:numId w:val="2"/>
              </w:numPr>
              <w:tabs>
                <w:tab w:pos="686" w:val="left" w:leader="none"/>
              </w:tabs>
              <w:spacing w:line="240" w:lineRule="auto" w:before="6" w:after="0"/>
              <w:ind w:left="685" w:right="0" w:hanging="424"/>
              <w:jc w:val="left"/>
              <w:rPr>
                <w:sz w:val="21"/>
              </w:rPr>
            </w:pPr>
            <w:r>
              <w:rPr>
                <w:sz w:val="21"/>
              </w:rPr>
              <w:t>医院</w:t>
            </w:r>
          </w:p>
          <w:p>
            <w:pPr>
              <w:pStyle w:val="TableParagraph"/>
              <w:numPr>
                <w:ilvl w:val="1"/>
                <w:numId w:val="2"/>
              </w:numPr>
              <w:tabs>
                <w:tab w:pos="686" w:val="left" w:leader="none"/>
              </w:tabs>
              <w:spacing w:line="240" w:lineRule="auto" w:before="9" w:after="0"/>
              <w:ind w:left="685" w:right="0" w:hanging="424"/>
              <w:jc w:val="left"/>
              <w:rPr>
                <w:sz w:val="21"/>
              </w:rPr>
            </w:pPr>
            <w:r>
              <w:rPr>
                <w:spacing w:val="-1"/>
                <w:sz w:val="21"/>
              </w:rPr>
              <w:t>专科医生</w:t>
            </w:r>
          </w:p>
          <w:p>
            <w:pPr>
              <w:pStyle w:val="TableParagraph"/>
              <w:numPr>
                <w:ilvl w:val="1"/>
                <w:numId w:val="2"/>
              </w:numPr>
              <w:tabs>
                <w:tab w:pos="686" w:val="left" w:leader="none"/>
              </w:tabs>
              <w:spacing w:line="240" w:lineRule="auto" w:before="9" w:after="0"/>
              <w:ind w:left="685" w:right="0" w:hanging="424"/>
              <w:jc w:val="left"/>
              <w:rPr>
                <w:sz w:val="21"/>
              </w:rPr>
            </w:pPr>
            <w:r>
              <w:rPr>
                <w:sz w:val="21"/>
              </w:rPr>
              <w:t>毒品</w:t>
            </w:r>
          </w:p>
          <w:p>
            <w:pPr>
              <w:pStyle w:val="TableParagraph"/>
              <w:numPr>
                <w:ilvl w:val="1"/>
                <w:numId w:val="2"/>
              </w:numPr>
              <w:tabs>
                <w:tab w:pos="686" w:val="left" w:leader="none"/>
              </w:tabs>
              <w:spacing w:line="240" w:lineRule="auto" w:before="8" w:after="0"/>
              <w:ind w:left="685" w:right="0" w:hanging="424"/>
              <w:jc w:val="left"/>
              <w:rPr>
                <w:sz w:val="21"/>
              </w:rPr>
            </w:pPr>
            <w:r>
              <w:rPr>
                <w:spacing w:val="-1"/>
                <w:sz w:val="21"/>
              </w:rPr>
              <w:t>酒后驾驶</w:t>
            </w:r>
          </w:p>
        </w:tc>
        <w:tc>
          <w:tcPr>
            <w:tcW w:w="3300" w:type="dxa"/>
            <w:tcBorders>
              <w:top w:val="single" w:sz="12" w:space="0" w:color="000000"/>
              <w:bottom w:val="single" w:sz="12" w:space="0" w:color="000000"/>
            </w:tcBorders>
          </w:tcPr>
          <w:p>
            <w:pPr>
              <w:pStyle w:val="TableParagraph"/>
              <w:numPr>
                <w:ilvl w:val="1"/>
                <w:numId w:val="3"/>
              </w:numPr>
              <w:tabs>
                <w:tab w:pos="1046" w:val="left" w:leader="none"/>
              </w:tabs>
              <w:spacing w:line="256" w:lineRule="exact" w:before="0" w:after="0"/>
              <w:ind w:left="1045" w:right="0" w:hanging="530"/>
              <w:jc w:val="left"/>
              <w:rPr>
                <w:sz w:val="21"/>
              </w:rPr>
            </w:pPr>
            <w:r>
              <w:rPr>
                <w:spacing w:val="-3"/>
                <w:sz w:val="21"/>
              </w:rPr>
              <w:t>无合法有效驾驶证驾驶</w:t>
            </w:r>
          </w:p>
          <w:p>
            <w:pPr>
              <w:pStyle w:val="TableParagraph"/>
              <w:numPr>
                <w:ilvl w:val="1"/>
                <w:numId w:val="3"/>
              </w:numPr>
              <w:tabs>
                <w:tab w:pos="1046" w:val="left" w:leader="none"/>
              </w:tabs>
              <w:spacing w:line="240" w:lineRule="auto" w:before="9" w:after="0"/>
              <w:ind w:left="1045" w:right="0" w:hanging="530"/>
              <w:jc w:val="left"/>
              <w:rPr>
                <w:sz w:val="21"/>
              </w:rPr>
            </w:pPr>
            <w:r>
              <w:rPr>
                <w:spacing w:val="-3"/>
                <w:sz w:val="21"/>
              </w:rPr>
              <w:t>无有效行驶证</w:t>
            </w:r>
          </w:p>
          <w:p>
            <w:pPr>
              <w:pStyle w:val="TableParagraph"/>
              <w:numPr>
                <w:ilvl w:val="1"/>
                <w:numId w:val="3"/>
              </w:numPr>
              <w:tabs>
                <w:tab w:pos="1046" w:val="left" w:leader="none"/>
              </w:tabs>
              <w:spacing w:line="240" w:lineRule="auto" w:before="9" w:after="0"/>
              <w:ind w:left="1045" w:right="0" w:hanging="530"/>
              <w:jc w:val="left"/>
              <w:rPr>
                <w:sz w:val="21"/>
              </w:rPr>
            </w:pPr>
            <w:r>
              <w:rPr>
                <w:spacing w:val="-3"/>
                <w:sz w:val="21"/>
              </w:rPr>
              <w:t>遗传性疾病</w:t>
            </w:r>
          </w:p>
          <w:p>
            <w:pPr>
              <w:pStyle w:val="TableParagraph"/>
              <w:numPr>
                <w:ilvl w:val="1"/>
                <w:numId w:val="3"/>
              </w:numPr>
              <w:tabs>
                <w:tab w:pos="1046" w:val="left" w:leader="none"/>
              </w:tabs>
              <w:spacing w:line="247" w:lineRule="auto" w:before="9" w:after="0"/>
              <w:ind w:left="1045" w:right="149" w:hanging="530"/>
              <w:jc w:val="left"/>
              <w:rPr>
                <w:sz w:val="21"/>
              </w:rPr>
            </w:pPr>
            <w:r>
              <w:rPr>
                <w:spacing w:val="-3"/>
                <w:sz w:val="21"/>
              </w:rPr>
              <w:t>先天性畸形、变形或染色体异常</w:t>
            </w:r>
          </w:p>
          <w:p>
            <w:pPr>
              <w:pStyle w:val="TableParagraph"/>
              <w:numPr>
                <w:ilvl w:val="1"/>
                <w:numId w:val="3"/>
              </w:numPr>
              <w:tabs>
                <w:tab w:pos="1046" w:val="left" w:leader="none"/>
              </w:tabs>
              <w:spacing w:line="244" w:lineRule="auto" w:before="18" w:after="0"/>
              <w:ind w:left="1038" w:right="149" w:hanging="523"/>
              <w:jc w:val="left"/>
              <w:rPr>
                <w:sz w:val="21"/>
              </w:rPr>
            </w:pPr>
            <w:r>
              <w:rPr>
                <w:spacing w:val="-3"/>
                <w:sz w:val="21"/>
              </w:rPr>
              <w:t>感染艾滋病病毒或患艾滋病</w:t>
            </w:r>
          </w:p>
          <w:p>
            <w:pPr>
              <w:pStyle w:val="TableParagraph"/>
              <w:numPr>
                <w:ilvl w:val="1"/>
                <w:numId w:val="3"/>
              </w:numPr>
              <w:tabs>
                <w:tab w:pos="1046" w:val="left" w:leader="none"/>
              </w:tabs>
              <w:spacing w:line="240" w:lineRule="auto" w:before="20" w:after="0"/>
              <w:ind w:left="1045" w:right="0" w:hanging="530"/>
              <w:jc w:val="left"/>
              <w:rPr>
                <w:sz w:val="21"/>
              </w:rPr>
            </w:pPr>
            <w:r>
              <w:rPr>
                <w:spacing w:val="-3"/>
                <w:sz w:val="21"/>
              </w:rPr>
              <w:t>肢体机能完全丧失</w:t>
            </w:r>
          </w:p>
          <w:p>
            <w:pPr>
              <w:pStyle w:val="TableParagraph"/>
              <w:numPr>
                <w:ilvl w:val="1"/>
                <w:numId w:val="3"/>
              </w:numPr>
              <w:tabs>
                <w:tab w:pos="1046" w:val="left" w:leader="none"/>
              </w:tabs>
              <w:spacing w:line="247" w:lineRule="auto" w:before="9" w:after="0"/>
              <w:ind w:left="1045" w:right="149" w:hanging="530"/>
              <w:jc w:val="left"/>
              <w:rPr>
                <w:sz w:val="21"/>
              </w:rPr>
            </w:pPr>
            <w:r>
              <w:rPr>
                <w:spacing w:val="-3"/>
                <w:sz w:val="21"/>
              </w:rPr>
              <w:t>语言能力或咀嚼吞咽能力完全丧失</w:t>
            </w:r>
          </w:p>
          <w:p>
            <w:pPr>
              <w:pStyle w:val="TableParagraph"/>
              <w:numPr>
                <w:ilvl w:val="1"/>
                <w:numId w:val="3"/>
              </w:numPr>
              <w:tabs>
                <w:tab w:pos="1046" w:val="left" w:leader="none"/>
              </w:tabs>
              <w:spacing w:line="240" w:lineRule="auto" w:before="18" w:after="0"/>
              <w:ind w:left="1045" w:right="0" w:hanging="530"/>
              <w:jc w:val="left"/>
              <w:rPr>
                <w:sz w:val="21"/>
              </w:rPr>
            </w:pPr>
            <w:r>
              <w:rPr>
                <w:spacing w:val="-3"/>
                <w:sz w:val="21"/>
              </w:rPr>
              <w:t>六项基本日常生活活动</w:t>
            </w:r>
          </w:p>
          <w:p>
            <w:pPr>
              <w:pStyle w:val="TableParagraph"/>
              <w:numPr>
                <w:ilvl w:val="1"/>
                <w:numId w:val="3"/>
              </w:numPr>
              <w:tabs>
                <w:tab w:pos="1046" w:val="left" w:leader="none"/>
              </w:tabs>
              <w:spacing w:line="240" w:lineRule="auto" w:before="6" w:after="0"/>
              <w:ind w:left="1045" w:right="0" w:hanging="530"/>
              <w:jc w:val="left"/>
              <w:rPr>
                <w:sz w:val="21"/>
              </w:rPr>
            </w:pPr>
            <w:r>
              <w:rPr>
                <w:spacing w:val="-3"/>
                <w:sz w:val="21"/>
              </w:rPr>
              <w:t>永久不可逆</w:t>
            </w:r>
          </w:p>
        </w:tc>
      </w:tr>
    </w:tbl>
    <w:p>
      <w:pPr>
        <w:spacing w:after="0" w:line="240" w:lineRule="auto"/>
        <w:jc w:val="left"/>
        <w:rPr>
          <w:sz w:val="21"/>
        </w:rPr>
        <w:sectPr>
          <w:headerReference w:type="default" r:id="rId5"/>
          <w:footerReference w:type="default" r:id="rId6"/>
          <w:type w:val="continuous"/>
          <w:pgSz w:w="11910" w:h="16840"/>
          <w:pgMar w:header="877" w:footer="1201" w:top="1080" w:bottom="1400" w:left="1060" w:right="1060"/>
        </w:sectPr>
      </w:pPr>
    </w:p>
    <w:p>
      <w:pPr>
        <w:pStyle w:val="BodyText"/>
        <w:rPr>
          <w:sz w:val="2"/>
        </w:rPr>
      </w:pPr>
    </w:p>
    <w:p>
      <w:pPr>
        <w:pStyle w:val="BodyText"/>
        <w:spacing w:line="20" w:lineRule="exact"/>
        <w:ind w:left="105"/>
        <w:rPr>
          <w:sz w:val="2"/>
        </w:rPr>
      </w:pPr>
      <w:r>
        <w:rPr>
          <w:rFonts w:ascii="Times New Roman"/>
          <w:spacing w:val="5"/>
          <w:sz w:val="2"/>
        </w:rPr>
        <w:t> </w:t>
      </w:r>
      <w:r>
        <w:rPr>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spacing w:val="5"/>
          <w:sz w:val="2"/>
        </w:rPr>
      </w:r>
    </w:p>
    <w:p>
      <w:pPr>
        <w:pStyle w:val="BodyText"/>
        <w:spacing w:before="67" w:after="43"/>
        <w:ind w:left="142"/>
      </w:pPr>
      <w:r>
        <w:rPr>
          <w:spacing w:val="-149"/>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202"/>
          <w:w w:val="100"/>
        </w:rPr>
        <w:t>，</w:t>
      </w:r>
      <w:r>
        <w:rPr>
          <w:spacing w:val="-116"/>
          <w:w w:val="100"/>
          <w:position w:val="-7"/>
        </w:rPr>
        <w:t>．</w:t>
      </w:r>
      <w:r>
        <w:rPr>
          <w:spacing w:val="-151"/>
          <w:w w:val="100"/>
        </w:rPr>
        <w:t>“</w:t>
      </w:r>
      <w:r>
        <w:rPr>
          <w:spacing w:val="-63"/>
          <w:w w:val="100"/>
          <w:position w:val="-7"/>
        </w:rPr>
        <w:t>．</w:t>
      </w:r>
      <w:r>
        <w:rPr>
          <w:spacing w:val="-149"/>
          <w:w w:val="100"/>
        </w:rPr>
        <w:t>您</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1"/>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204"/>
          <w:w w:val="100"/>
        </w:rPr>
        <w:t>”</w:t>
      </w:r>
      <w:r>
        <w:rPr>
          <w:spacing w:val="-116"/>
          <w:w w:val="100"/>
          <w:position w:val="-7"/>
        </w:rPr>
        <w:t>．</w:t>
      </w:r>
      <w:r>
        <w:rPr>
          <w:spacing w:val="-202"/>
          <w:w w:val="100"/>
        </w:rPr>
        <w:t>、</w:t>
      </w:r>
      <w:r>
        <w:rPr>
          <w:spacing w:val="-116"/>
          <w:w w:val="100"/>
          <w:position w:val="-7"/>
        </w:rPr>
        <w:t>．</w:t>
      </w:r>
      <w:r>
        <w:rPr>
          <w:spacing w:val="-151"/>
          <w:w w:val="100"/>
        </w:rPr>
        <w:t>“</w:t>
      </w:r>
      <w:r>
        <w:rPr>
          <w:spacing w:val="-63"/>
          <w:w w:val="100"/>
          <w:position w:val="-7"/>
        </w:rPr>
        <w:t>．</w:t>
      </w:r>
      <w:r>
        <w:rPr>
          <w:spacing w:val="-149"/>
          <w:w w:val="100"/>
        </w:rPr>
        <w:t>本</w:t>
      </w:r>
      <w:r>
        <w:rPr>
          <w:spacing w:val="-63"/>
          <w:w w:val="100"/>
          <w:position w:val="-7"/>
        </w:rPr>
        <w:t>．</w:t>
      </w:r>
      <w:r>
        <w:rPr>
          <w:spacing w:val="-151"/>
          <w:w w:val="100"/>
        </w:rPr>
        <w:t>公</w:t>
      </w:r>
      <w:r>
        <w:rPr>
          <w:spacing w:val="-63"/>
          <w:w w:val="100"/>
          <w:position w:val="-7"/>
        </w:rPr>
        <w:t>．</w:t>
      </w:r>
      <w:r>
        <w:rPr>
          <w:spacing w:val="-149"/>
          <w:w w:val="100"/>
        </w:rPr>
        <w:t>司</w:t>
      </w:r>
      <w:r>
        <w:rPr>
          <w:spacing w:val="-63"/>
          <w:w w:val="100"/>
          <w:position w:val="-7"/>
        </w:rPr>
        <w:t>．</w:t>
      </w:r>
      <w:r>
        <w:rPr>
          <w:spacing w:val="-151"/>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1"/>
          <w:w w:val="100"/>
        </w:rPr>
        <w:t>谐</w:t>
      </w:r>
      <w:r>
        <w:rPr>
          <w:spacing w:val="-63"/>
          <w:w w:val="100"/>
          <w:position w:val="-7"/>
        </w:rPr>
        <w:t>．</w:t>
      </w:r>
      <w:r>
        <w:rPr>
          <w:spacing w:val="-149"/>
          <w:w w:val="100"/>
        </w:rPr>
        <w:t>健</w:t>
      </w:r>
      <w:r>
        <w:rPr>
          <w:spacing w:val="-63"/>
          <w:w w:val="100"/>
          <w:position w:val="-7"/>
        </w:rPr>
        <w:t>．</w:t>
      </w:r>
      <w:r>
        <w:rPr>
          <w:spacing w:val="-151"/>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592"/>
        <w:gridCol w:w="7398"/>
      </w:tblGrid>
      <w:tr>
        <w:trPr>
          <w:trHeight w:val="538" w:hRule="atLeast"/>
        </w:trPr>
        <w:tc>
          <w:tcPr>
            <w:tcW w:w="671" w:type="dxa"/>
            <w:tcBorders>
              <w:bottom w:val="single" w:sz="4" w:space="0" w:color="000000"/>
            </w:tcBorders>
          </w:tcPr>
          <w:p>
            <w:pPr>
              <w:pStyle w:val="TableParagraph"/>
              <w:spacing w:line="488" w:lineRule="exact"/>
              <w:ind w:left="108"/>
              <w:rPr>
                <w:rFonts w:ascii="Wingdings" w:hAnsi="Wingdings"/>
                <w:b/>
                <w:sz w:val="44"/>
              </w:rPr>
            </w:pPr>
            <w:r>
              <w:rPr>
                <w:rFonts w:ascii="Wingdings" w:hAnsi="Wingdings"/>
                <w:b/>
                <w:w w:val="99"/>
                <w:sz w:val="44"/>
              </w:rPr>
              <w:t></w:t>
            </w:r>
          </w:p>
        </w:tc>
        <w:tc>
          <w:tcPr>
            <w:tcW w:w="8990" w:type="dxa"/>
            <w:gridSpan w:val="2"/>
            <w:tcBorders>
              <w:bottom w:val="single" w:sz="4" w:space="0" w:color="000000"/>
            </w:tcBorders>
          </w:tcPr>
          <w:p>
            <w:pPr>
              <w:pStyle w:val="TableParagraph"/>
              <w:spacing w:line="402" w:lineRule="exact"/>
              <w:ind w:left="171"/>
              <w:rPr>
                <w:rFonts w:ascii="微软雅黑" w:eastAsia="微软雅黑" w:hint="eastAsia"/>
                <w:b/>
                <w:sz w:val="24"/>
              </w:rPr>
            </w:pPr>
            <w:r>
              <w:rPr>
                <w:rFonts w:ascii="微软雅黑" w:eastAsia="微软雅黑" w:hint="eastAsia"/>
                <w:b/>
                <w:sz w:val="24"/>
              </w:rPr>
              <w:t>您与我们的合同</w:t>
            </w:r>
          </w:p>
        </w:tc>
      </w:tr>
      <w:tr>
        <w:trPr>
          <w:trHeight w:val="1524" w:hRule="atLeast"/>
        </w:trPr>
        <w:tc>
          <w:tcPr>
            <w:tcW w:w="671" w:type="dxa"/>
            <w:tcBorders>
              <w:top w:val="single" w:sz="4" w:space="0" w:color="000000"/>
            </w:tcBorders>
          </w:tcPr>
          <w:p>
            <w:pPr>
              <w:pStyle w:val="TableParagraph"/>
              <w:spacing w:before="4"/>
              <w:ind w:left="0"/>
              <w:rPr>
                <w:sz w:val="16"/>
              </w:rPr>
            </w:pPr>
          </w:p>
          <w:p>
            <w:pPr>
              <w:pStyle w:val="TableParagraph"/>
              <w:ind w:left="108"/>
              <w:rPr>
                <w:rFonts w:ascii="Times New Roman"/>
                <w:b/>
                <w:sz w:val="21"/>
              </w:rPr>
            </w:pPr>
            <w:r>
              <w:rPr>
                <w:rFonts w:ascii="Times New Roman"/>
                <w:b/>
                <w:sz w:val="21"/>
              </w:rPr>
              <w:t>1.1</w:t>
            </w:r>
          </w:p>
        </w:tc>
        <w:tc>
          <w:tcPr>
            <w:tcW w:w="1592" w:type="dxa"/>
            <w:tcBorders>
              <w:top w:val="single" w:sz="4" w:space="0" w:color="000000"/>
            </w:tcBorders>
          </w:tcPr>
          <w:p>
            <w:pPr>
              <w:pStyle w:val="TableParagraph"/>
              <w:spacing w:before="119"/>
              <w:ind w:left="171"/>
              <w:rPr>
                <w:rFonts w:ascii="微软雅黑" w:eastAsia="微软雅黑" w:hint="eastAsia"/>
                <w:b/>
                <w:sz w:val="21"/>
              </w:rPr>
            </w:pPr>
            <w:r>
              <w:rPr>
                <w:rFonts w:ascii="微软雅黑" w:eastAsia="微软雅黑" w:hint="eastAsia"/>
                <w:b/>
                <w:sz w:val="21"/>
              </w:rPr>
              <w:t>合同构成</w:t>
            </w:r>
          </w:p>
        </w:tc>
        <w:tc>
          <w:tcPr>
            <w:tcW w:w="7398" w:type="dxa"/>
            <w:tcBorders>
              <w:top w:val="single" w:sz="4" w:space="0" w:color="000000"/>
            </w:tcBorders>
          </w:tcPr>
          <w:p>
            <w:pPr>
              <w:pStyle w:val="TableParagraph"/>
              <w:spacing w:before="11"/>
              <w:ind w:left="0"/>
              <w:rPr>
                <w:sz w:val="13"/>
              </w:rPr>
            </w:pPr>
          </w:p>
          <w:p>
            <w:pPr>
              <w:pStyle w:val="TableParagraph"/>
              <w:spacing w:line="261" w:lineRule="auto"/>
              <w:ind w:left="154" w:right="105"/>
              <w:rPr>
                <w:sz w:val="21"/>
              </w:rPr>
            </w:pPr>
            <w:r>
              <w:rPr>
                <w:spacing w:val="-3"/>
                <w:w w:val="100"/>
                <w:sz w:val="21"/>
              </w:rPr>
              <w:t>和谐健康之路定期重大疾病保险合同</w:t>
            </w:r>
            <w:r>
              <w:rPr>
                <w:w w:val="100"/>
                <w:sz w:val="21"/>
              </w:rPr>
              <w:t>（</w:t>
            </w:r>
            <w:r>
              <w:rPr>
                <w:spacing w:val="-15"/>
                <w:w w:val="100"/>
                <w:sz w:val="21"/>
              </w:rPr>
              <w:t>以下简称“本合同”</w:t>
            </w:r>
            <w:r>
              <w:rPr>
                <w:spacing w:val="-3"/>
                <w:w w:val="100"/>
                <w:sz w:val="21"/>
              </w:rPr>
              <w:t>）由以下几个部分</w:t>
            </w:r>
            <w:r>
              <w:rPr>
                <w:spacing w:val="-4"/>
                <w:sz w:val="21"/>
              </w:rPr>
              <w:t>构成：本保险条款、保险单或其他保险凭证、投保单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、合法有效的声明、批注、批单，及您与本公司共同认可的、与本合同有关的其它书面文件。</w:t>
            </w:r>
          </w:p>
        </w:tc>
      </w:tr>
      <w:tr>
        <w:trPr>
          <w:trHeight w:val="579" w:hRule="atLeast"/>
        </w:trPr>
        <w:tc>
          <w:tcPr>
            <w:tcW w:w="671" w:type="dxa"/>
          </w:tcPr>
          <w:p>
            <w:pPr>
              <w:pStyle w:val="TableParagraph"/>
              <w:spacing w:before="160"/>
              <w:ind w:left="108"/>
              <w:rPr>
                <w:rFonts w:ascii="Times New Roman"/>
                <w:b/>
                <w:sz w:val="21"/>
              </w:rPr>
            </w:pPr>
            <w:r>
              <w:rPr>
                <w:rFonts w:ascii="Times New Roman"/>
                <w:b/>
                <w:sz w:val="21"/>
              </w:rPr>
              <w:t>1.2</w:t>
            </w:r>
          </w:p>
        </w:tc>
        <w:tc>
          <w:tcPr>
            <w:tcW w:w="1592" w:type="dxa"/>
          </w:tcPr>
          <w:p>
            <w:pPr>
              <w:pStyle w:val="TableParagraph"/>
              <w:spacing w:before="65"/>
              <w:ind w:left="171"/>
              <w:rPr>
                <w:rFonts w:ascii="微软雅黑" w:eastAsia="微软雅黑" w:hint="eastAsia"/>
                <w:b/>
                <w:sz w:val="21"/>
              </w:rPr>
            </w:pPr>
            <w:r>
              <w:rPr>
                <w:rFonts w:ascii="微软雅黑" w:eastAsia="微软雅黑" w:hint="eastAsia"/>
                <w:b/>
                <w:sz w:val="21"/>
              </w:rPr>
              <w:t>投保年龄</w:t>
            </w:r>
          </w:p>
        </w:tc>
        <w:tc>
          <w:tcPr>
            <w:tcW w:w="7398" w:type="dxa"/>
          </w:tcPr>
          <w:p>
            <w:pPr>
              <w:pStyle w:val="TableParagraph"/>
              <w:spacing w:before="65"/>
              <w:ind w:left="154"/>
              <w:rPr>
                <w:sz w:val="21"/>
              </w:rPr>
            </w:pPr>
            <w:r>
              <w:rPr>
                <w:sz w:val="21"/>
              </w:rPr>
              <w:t>指投保时被保险人的年龄，投保年龄以</w:t>
            </w:r>
            <w:r>
              <w:rPr>
                <w:rFonts w:ascii="微软雅黑" w:eastAsia="微软雅黑" w:hint="eastAsia"/>
                <w:b/>
                <w:sz w:val="21"/>
              </w:rPr>
              <w:t>周岁</w:t>
            </w:r>
            <w:r>
              <w:rPr>
                <w:sz w:val="21"/>
              </w:rPr>
              <w:t>（见释义 </w:t>
            </w:r>
            <w:r>
              <w:rPr>
                <w:rFonts w:ascii="Times New Roman" w:eastAsia="Times New Roman"/>
                <w:sz w:val="21"/>
              </w:rPr>
              <w:t>6.1</w:t>
            </w:r>
            <w:r>
              <w:rPr>
                <w:sz w:val="21"/>
              </w:rPr>
              <w:t>）计算。</w:t>
            </w:r>
          </w:p>
        </w:tc>
      </w:tr>
      <w:tr>
        <w:trPr>
          <w:trHeight w:val="1763" w:hRule="atLeast"/>
        </w:trPr>
        <w:tc>
          <w:tcPr>
            <w:tcW w:w="671" w:type="dxa"/>
          </w:tcPr>
          <w:p>
            <w:pPr>
              <w:pStyle w:val="TableParagraph"/>
              <w:spacing w:before="152"/>
              <w:ind w:left="108"/>
              <w:rPr>
                <w:rFonts w:ascii="Times New Roman"/>
                <w:b/>
                <w:sz w:val="21"/>
              </w:rPr>
            </w:pPr>
            <w:r>
              <w:rPr>
                <w:rFonts w:ascii="Times New Roman"/>
                <w:b/>
                <w:sz w:val="21"/>
              </w:rPr>
              <w:t>1.3</w:t>
            </w:r>
          </w:p>
        </w:tc>
        <w:tc>
          <w:tcPr>
            <w:tcW w:w="1592" w:type="dxa"/>
          </w:tcPr>
          <w:p>
            <w:pPr>
              <w:pStyle w:val="TableParagraph"/>
              <w:spacing w:line="199" w:lineRule="auto" w:before="119"/>
              <w:ind w:left="171" w:right="152"/>
              <w:jc w:val="both"/>
              <w:rPr>
                <w:rFonts w:ascii="微软雅黑" w:eastAsia="微软雅黑" w:hint="eastAsia"/>
                <w:b/>
                <w:sz w:val="21"/>
              </w:rPr>
            </w:pPr>
            <w:r>
              <w:rPr>
                <w:rFonts w:ascii="微软雅黑" w:eastAsia="微软雅黑" w:hint="eastAsia"/>
                <w:b/>
                <w:sz w:val="21"/>
              </w:rPr>
              <w:t>合同成立与生效和保险责任开始</w:t>
            </w:r>
          </w:p>
        </w:tc>
        <w:tc>
          <w:tcPr>
            <w:tcW w:w="7398" w:type="dxa"/>
          </w:tcPr>
          <w:p>
            <w:pPr>
              <w:pStyle w:val="TableParagraph"/>
              <w:spacing w:line="261" w:lineRule="auto" w:before="120"/>
              <w:ind w:left="154" w:right="86"/>
              <w:rPr>
                <w:sz w:val="21"/>
              </w:rPr>
            </w:pPr>
            <w:r>
              <w:rPr>
                <w:sz w:val="21"/>
              </w:rPr>
              <w:t>您提出保险申请、本公司同意承保，本合同成立，合同成立日期在保险单上载明。</w:t>
            </w:r>
          </w:p>
          <w:p>
            <w:pPr>
              <w:pStyle w:val="TableParagraph"/>
              <w:spacing w:line="261" w:lineRule="auto" w:before="7"/>
              <w:ind w:left="154" w:right="67"/>
              <w:rPr>
                <w:sz w:val="21"/>
              </w:rPr>
            </w:pPr>
            <w:r>
              <w:rPr>
                <w:sz w:val="21"/>
              </w:rPr>
              <w:t>自本合同成立、本公司收取保险费并签发保险单的次日零时起本合同生效，合同生效日期在保险单上载明。</w:t>
            </w:r>
          </w:p>
          <w:p>
            <w:pPr>
              <w:pStyle w:val="TableParagraph"/>
              <w:spacing w:before="6"/>
              <w:ind w:left="154"/>
              <w:rPr>
                <w:sz w:val="21"/>
              </w:rPr>
            </w:pPr>
            <w:r>
              <w:rPr>
                <w:sz w:val="21"/>
              </w:rPr>
              <w:t>除另有约定外，本合同生效的日期为本公司开始承担保险责任的日期。</w:t>
            </w:r>
          </w:p>
        </w:tc>
      </w:tr>
      <w:tr>
        <w:trPr>
          <w:trHeight w:val="1768" w:hRule="atLeast"/>
        </w:trPr>
        <w:tc>
          <w:tcPr>
            <w:tcW w:w="671" w:type="dxa"/>
          </w:tcPr>
          <w:p>
            <w:pPr>
              <w:pStyle w:val="TableParagraph"/>
              <w:spacing w:before="160"/>
              <w:ind w:left="108"/>
              <w:rPr>
                <w:rFonts w:ascii="Times New Roman"/>
                <w:b/>
                <w:sz w:val="21"/>
              </w:rPr>
            </w:pPr>
            <w:r>
              <w:rPr>
                <w:rFonts w:ascii="Times New Roman"/>
                <w:b/>
                <w:sz w:val="21"/>
              </w:rPr>
              <w:t>1.4</w:t>
            </w:r>
          </w:p>
        </w:tc>
        <w:tc>
          <w:tcPr>
            <w:tcW w:w="1592" w:type="dxa"/>
          </w:tcPr>
          <w:p>
            <w:pPr>
              <w:pStyle w:val="TableParagraph"/>
              <w:spacing w:before="65"/>
              <w:ind w:left="171"/>
              <w:rPr>
                <w:rFonts w:ascii="微软雅黑" w:eastAsia="微软雅黑" w:hint="eastAsia"/>
                <w:b/>
                <w:sz w:val="21"/>
              </w:rPr>
            </w:pPr>
            <w:r>
              <w:rPr>
                <w:rFonts w:ascii="微软雅黑" w:eastAsia="微软雅黑" w:hint="eastAsia"/>
                <w:b/>
                <w:sz w:val="21"/>
              </w:rPr>
              <w:t>犹豫期</w:t>
            </w:r>
          </w:p>
        </w:tc>
        <w:tc>
          <w:tcPr>
            <w:tcW w:w="7398" w:type="dxa"/>
          </w:tcPr>
          <w:p>
            <w:pPr>
              <w:pStyle w:val="TableParagraph"/>
              <w:spacing w:line="218" w:lineRule="auto" w:before="154"/>
              <w:ind w:left="154" w:right="1"/>
              <w:rPr>
                <w:sz w:val="21"/>
              </w:rPr>
            </w:pPr>
            <w:r>
              <w:rPr>
                <w:spacing w:val="-6"/>
                <w:sz w:val="21"/>
              </w:rPr>
              <w:t>自您签收本合同之日起有 </w:t>
            </w:r>
            <w:r>
              <w:rPr>
                <w:rFonts w:ascii="Times New Roman" w:eastAsia="Times New Roman"/>
                <w:sz w:val="21"/>
              </w:rPr>
              <w:t>10 </w:t>
            </w:r>
            <w:r>
              <w:rPr>
                <w:spacing w:val="-3"/>
                <w:sz w:val="21"/>
              </w:rPr>
              <w:t>日的犹豫期。如果您在此期间提出解除保险合同， </w:t>
            </w:r>
            <w:r>
              <w:rPr>
                <w:spacing w:val="-4"/>
                <w:w w:val="100"/>
                <w:sz w:val="21"/>
              </w:rPr>
              <w:t>需要填写书面申请，并提供您的保险合同及</w:t>
            </w:r>
            <w:r>
              <w:rPr>
                <w:rFonts w:ascii="微软雅黑" w:eastAsia="微软雅黑" w:hint="eastAsia"/>
                <w:b/>
                <w:spacing w:val="-1"/>
                <w:w w:val="100"/>
                <w:sz w:val="21"/>
              </w:rPr>
              <w:t>有效身份证件</w:t>
            </w:r>
            <w:r>
              <w:rPr>
                <w:spacing w:val="-3"/>
                <w:w w:val="100"/>
                <w:sz w:val="21"/>
              </w:rPr>
              <w:t>（</w:t>
            </w:r>
            <w:r>
              <w:rPr>
                <w:spacing w:val="-2"/>
                <w:w w:val="100"/>
                <w:sz w:val="21"/>
              </w:rPr>
              <w:t>见释义</w:t>
            </w:r>
            <w:r>
              <w:rPr>
                <w:spacing w:val="-2"/>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spacing w:val="-1"/>
                <w:w w:val="100"/>
                <w:sz w:val="21"/>
              </w:rPr>
              <w:t>2</w:t>
            </w:r>
            <w:r>
              <w:rPr>
                <w:spacing w:val="-106"/>
                <w:w w:val="100"/>
                <w:sz w:val="21"/>
              </w:rPr>
              <w:t>）</w:t>
            </w:r>
            <w:r>
              <w:rPr>
                <w:spacing w:val="-4"/>
                <w:w w:val="100"/>
                <w:sz w:val="21"/>
              </w:rPr>
              <w:t>，我们</w:t>
            </w:r>
            <w:r>
              <w:rPr>
                <w:spacing w:val="-3"/>
                <w:sz w:val="21"/>
              </w:rPr>
              <w:t>将无息退还您所交的保险费。</w:t>
            </w:r>
          </w:p>
          <w:p>
            <w:pPr>
              <w:pStyle w:val="TableParagraph"/>
              <w:spacing w:line="199" w:lineRule="auto" w:before="24"/>
              <w:ind w:left="154" w:right="64"/>
              <w:rPr>
                <w:rFonts w:ascii="微软雅黑" w:eastAsia="微软雅黑" w:hint="eastAsia"/>
                <w:b/>
                <w:sz w:val="21"/>
              </w:rPr>
            </w:pPr>
            <w:r>
              <w:rPr>
                <w:sz w:val="21"/>
              </w:rPr>
              <w:t>自我们收到您解除本合同的书面申请时起，</w:t>
            </w:r>
            <w:r>
              <w:rPr>
                <w:rFonts w:ascii="微软雅黑" w:eastAsia="微软雅黑" w:hint="eastAsia"/>
                <w:b/>
                <w:sz w:val="21"/>
              </w:rPr>
              <w:t>本合同即被解除，对合同解除前的保险事故本公司不承担保险责任。</w:t>
            </w:r>
          </w:p>
        </w:tc>
      </w:tr>
      <w:tr>
        <w:trPr>
          <w:trHeight w:val="2369" w:hRule="atLeast"/>
        </w:trPr>
        <w:tc>
          <w:tcPr>
            <w:tcW w:w="671" w:type="dxa"/>
          </w:tcPr>
          <w:p>
            <w:pPr>
              <w:pStyle w:val="TableParagraph"/>
              <w:spacing w:before="160"/>
              <w:ind w:left="108"/>
              <w:rPr>
                <w:rFonts w:ascii="Times New Roman"/>
                <w:b/>
                <w:sz w:val="21"/>
              </w:rPr>
            </w:pPr>
            <w:r>
              <w:rPr>
                <w:rFonts w:ascii="Times New Roman"/>
                <w:b/>
                <w:sz w:val="21"/>
              </w:rPr>
              <w:t>1.5</w:t>
            </w:r>
          </w:p>
        </w:tc>
        <w:tc>
          <w:tcPr>
            <w:tcW w:w="1592" w:type="dxa"/>
          </w:tcPr>
          <w:p>
            <w:pPr>
              <w:pStyle w:val="TableParagraph"/>
              <w:spacing w:before="65"/>
              <w:ind w:left="171"/>
              <w:rPr>
                <w:rFonts w:ascii="微软雅黑" w:eastAsia="微软雅黑" w:hint="eastAsia"/>
                <w:b/>
                <w:sz w:val="21"/>
              </w:rPr>
            </w:pPr>
            <w:r>
              <w:rPr>
                <w:rFonts w:ascii="微软雅黑" w:eastAsia="微软雅黑" w:hint="eastAsia"/>
                <w:b/>
                <w:sz w:val="21"/>
              </w:rPr>
              <w:t>合同内容变更</w:t>
            </w:r>
          </w:p>
        </w:tc>
        <w:tc>
          <w:tcPr>
            <w:tcW w:w="7398" w:type="dxa"/>
          </w:tcPr>
          <w:p>
            <w:pPr>
              <w:pStyle w:val="TableParagraph"/>
              <w:spacing w:line="261" w:lineRule="auto" w:before="128"/>
              <w:ind w:left="154" w:right="1"/>
              <w:rPr>
                <w:sz w:val="21"/>
              </w:rPr>
            </w:pPr>
            <w:r>
              <w:rPr>
                <w:spacing w:val="-11"/>
                <w:sz w:val="21"/>
              </w:rPr>
              <w:t>在本合同有效期内，您与本公司可以协商变更本合同内容。变更本合同内容的， </w:t>
            </w:r>
            <w:r>
              <w:rPr>
                <w:spacing w:val="-3"/>
                <w:sz w:val="21"/>
              </w:rPr>
              <w:t>应当由本公司在保险单或其他保险凭证上批注或者附贴批单。</w:t>
            </w:r>
          </w:p>
          <w:p>
            <w:pPr>
              <w:pStyle w:val="TableParagraph"/>
              <w:spacing w:line="261" w:lineRule="auto" w:before="6"/>
              <w:ind w:left="154" w:right="105"/>
              <w:jc w:val="both"/>
              <w:rPr>
                <w:sz w:val="21"/>
              </w:rPr>
            </w:pPr>
            <w:r>
              <w:rPr>
                <w:spacing w:val="-4"/>
                <w:sz w:val="21"/>
              </w:rPr>
              <w:t>为了保障您的合法权益，在本合同有效期内，若您提供给本公司的住所或其他</w:t>
            </w:r>
            <w:r>
              <w:rPr>
                <w:spacing w:val="-5"/>
                <w:sz w:val="21"/>
              </w:rPr>
              <w:t>投保信息发生了变更，请及时以书面形式通知本公司，以便于本公司及时为您</w:t>
            </w:r>
            <w:r>
              <w:rPr>
                <w:spacing w:val="-4"/>
                <w:sz w:val="21"/>
              </w:rPr>
              <w:t>变更本合同上的相关信息。</w:t>
            </w:r>
          </w:p>
          <w:p>
            <w:pPr>
              <w:pStyle w:val="TableParagraph"/>
              <w:spacing w:line="261" w:lineRule="auto" w:before="6"/>
              <w:ind w:left="154" w:right="105"/>
              <w:jc w:val="both"/>
              <w:rPr>
                <w:sz w:val="21"/>
              </w:rPr>
            </w:pPr>
            <w:r>
              <w:rPr>
                <w:spacing w:val="-4"/>
                <w:sz w:val="21"/>
              </w:rPr>
              <w:t>如因您的住所或通讯地址变更后未及时通知本公司，则本公司按本合同载明的</w:t>
            </w:r>
            <w:r>
              <w:rPr>
                <w:spacing w:val="-3"/>
                <w:sz w:val="21"/>
              </w:rPr>
              <w:t>最后住所或通讯地址发送的有关通知，均视为已送达给您。</w:t>
            </w:r>
          </w:p>
        </w:tc>
      </w:tr>
      <w:tr>
        <w:trPr>
          <w:trHeight w:val="2365" w:hRule="atLeast"/>
        </w:trPr>
        <w:tc>
          <w:tcPr>
            <w:tcW w:w="671" w:type="dxa"/>
          </w:tcPr>
          <w:p>
            <w:pPr>
              <w:pStyle w:val="TableParagraph"/>
              <w:spacing w:before="160"/>
              <w:ind w:left="108"/>
              <w:rPr>
                <w:rFonts w:ascii="Times New Roman"/>
                <w:b/>
                <w:sz w:val="21"/>
              </w:rPr>
            </w:pPr>
            <w:r>
              <w:rPr>
                <w:rFonts w:ascii="Times New Roman"/>
                <w:b/>
                <w:sz w:val="21"/>
              </w:rPr>
              <w:t>1.6</w:t>
            </w:r>
          </w:p>
        </w:tc>
        <w:tc>
          <w:tcPr>
            <w:tcW w:w="1592" w:type="dxa"/>
          </w:tcPr>
          <w:p>
            <w:pPr>
              <w:pStyle w:val="TableParagraph"/>
              <w:spacing w:line="199" w:lineRule="auto" w:before="127"/>
              <w:ind w:left="171" w:right="152"/>
              <w:rPr>
                <w:rFonts w:ascii="微软雅黑" w:eastAsia="微软雅黑" w:hint="eastAsia"/>
                <w:b/>
                <w:sz w:val="21"/>
              </w:rPr>
            </w:pPr>
            <w:r>
              <w:rPr>
                <w:rFonts w:ascii="微软雅黑" w:eastAsia="微软雅黑" w:hint="eastAsia"/>
                <w:b/>
                <w:sz w:val="21"/>
              </w:rPr>
              <w:t>您解除合同的手续及风险</w:t>
            </w:r>
          </w:p>
        </w:tc>
        <w:tc>
          <w:tcPr>
            <w:tcW w:w="7398" w:type="dxa"/>
          </w:tcPr>
          <w:p>
            <w:pPr>
              <w:pStyle w:val="TableParagraph"/>
              <w:spacing w:line="261" w:lineRule="auto" w:before="128"/>
              <w:ind w:left="154" w:right="68"/>
              <w:rPr>
                <w:sz w:val="21"/>
              </w:rPr>
            </w:pPr>
            <w:r>
              <w:rPr>
                <w:sz w:val="21"/>
              </w:rPr>
              <w:t>如您在犹豫期后申请解除本合同，请填写解除合同申请书并向本公司提供下列资料：</w:t>
            </w:r>
          </w:p>
          <w:p>
            <w:pPr>
              <w:pStyle w:val="TableParagraph"/>
              <w:numPr>
                <w:ilvl w:val="0"/>
                <w:numId w:val="4"/>
              </w:numPr>
              <w:tabs>
                <w:tab w:pos="722" w:val="left" w:leader="none"/>
              </w:tabs>
              <w:spacing w:line="240" w:lineRule="auto" w:before="6" w:after="0"/>
              <w:ind w:left="721" w:right="0" w:hanging="567"/>
              <w:jc w:val="left"/>
              <w:rPr>
                <w:sz w:val="21"/>
              </w:rPr>
            </w:pPr>
            <w:r>
              <w:rPr>
                <w:spacing w:val="-2"/>
                <w:sz w:val="21"/>
              </w:rPr>
              <w:t>保险合同原件；</w:t>
            </w:r>
          </w:p>
          <w:p>
            <w:pPr>
              <w:pStyle w:val="TableParagraph"/>
              <w:numPr>
                <w:ilvl w:val="0"/>
                <w:numId w:val="4"/>
              </w:numPr>
              <w:tabs>
                <w:tab w:pos="722" w:val="left" w:leader="none"/>
              </w:tabs>
              <w:spacing w:line="240" w:lineRule="auto" w:before="25" w:after="0"/>
              <w:ind w:left="721" w:right="0" w:hanging="567"/>
              <w:jc w:val="left"/>
              <w:rPr>
                <w:sz w:val="21"/>
              </w:rPr>
            </w:pPr>
            <w:r>
              <w:rPr>
                <w:spacing w:val="-3"/>
                <w:sz w:val="21"/>
              </w:rPr>
              <w:t>您的有效身份证件。</w:t>
            </w:r>
          </w:p>
          <w:p>
            <w:pPr>
              <w:pStyle w:val="TableParagraph"/>
              <w:spacing w:line="211" w:lineRule="auto" w:before="59"/>
              <w:ind w:left="154" w:right="105"/>
              <w:rPr>
                <w:sz w:val="21"/>
              </w:rPr>
            </w:pPr>
            <w:r>
              <w:rPr>
                <w:spacing w:val="-4"/>
                <w:sz w:val="21"/>
              </w:rPr>
              <w:t>自本公司收到解除合同申请书时起，本合同终止。本公司自收到解除合同申请</w:t>
            </w:r>
            <w:r>
              <w:rPr>
                <w:spacing w:val="-3"/>
                <w:w w:val="100"/>
                <w:sz w:val="21"/>
              </w:rPr>
              <w:t>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日内向您退还本合同终止时的</w:t>
            </w:r>
            <w:r>
              <w:rPr>
                <w:rFonts w:ascii="微软雅黑" w:eastAsia="微软雅黑" w:hint="eastAsia"/>
                <w:b/>
                <w:spacing w:val="-1"/>
                <w:w w:val="100"/>
                <w:sz w:val="21"/>
              </w:rPr>
              <w:t>现金价值</w:t>
            </w:r>
            <w:r>
              <w:rPr>
                <w:w w:val="100"/>
                <w:sz w:val="21"/>
              </w:rPr>
              <w:t>（</w:t>
            </w:r>
            <w:r>
              <w:rPr>
                <w:spacing w:val="-2"/>
                <w:w w:val="100"/>
                <w:sz w:val="21"/>
              </w:rPr>
              <w:t>见释义</w:t>
            </w:r>
            <w:r>
              <w:rPr>
                <w:spacing w:val="-2"/>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spacing w:val="-1"/>
                <w:w w:val="100"/>
                <w:sz w:val="21"/>
              </w:rPr>
              <w:t>3</w:t>
            </w:r>
            <w:r>
              <w:rPr>
                <w:spacing w:val="-106"/>
                <w:w w:val="100"/>
                <w:sz w:val="21"/>
              </w:rPr>
              <w:t>）。</w:t>
            </w:r>
          </w:p>
          <w:p>
            <w:pPr>
              <w:pStyle w:val="TableParagraph"/>
              <w:spacing w:line="300" w:lineRule="exact"/>
              <w:ind w:left="154"/>
              <w:rPr>
                <w:rFonts w:ascii="微软雅黑" w:eastAsia="微软雅黑" w:hint="eastAsia"/>
                <w:b/>
                <w:sz w:val="21"/>
              </w:rPr>
            </w:pPr>
            <w:r>
              <w:rPr>
                <w:rFonts w:ascii="微软雅黑" w:eastAsia="微软雅黑" w:hint="eastAsia"/>
                <w:b/>
                <w:sz w:val="21"/>
              </w:rPr>
              <w:t>您在犹豫期后解除合同会有一定损失。</w:t>
            </w:r>
          </w:p>
        </w:tc>
      </w:tr>
      <w:tr>
        <w:trPr>
          <w:trHeight w:val="703" w:hRule="atLeast"/>
        </w:trPr>
        <w:tc>
          <w:tcPr>
            <w:tcW w:w="671" w:type="dxa"/>
            <w:tcBorders>
              <w:bottom w:val="single" w:sz="4" w:space="0" w:color="000000"/>
            </w:tcBorders>
          </w:tcPr>
          <w:p>
            <w:pPr>
              <w:pStyle w:val="TableParagraph"/>
              <w:spacing w:before="164"/>
              <w:ind w:left="108"/>
              <w:rPr>
                <w:rFonts w:ascii="Wingdings" w:hAnsi="Wingdings"/>
                <w:b/>
                <w:sz w:val="44"/>
              </w:rPr>
            </w:pPr>
            <w:r>
              <w:rPr>
                <w:rFonts w:ascii="Wingdings" w:hAnsi="Wingdings"/>
                <w:b/>
                <w:w w:val="99"/>
                <w:sz w:val="44"/>
              </w:rPr>
              <w:t></w:t>
            </w:r>
          </w:p>
        </w:tc>
        <w:tc>
          <w:tcPr>
            <w:tcW w:w="8990" w:type="dxa"/>
            <w:gridSpan w:val="2"/>
            <w:tcBorders>
              <w:bottom w:val="single" w:sz="4" w:space="0" w:color="000000"/>
            </w:tcBorders>
          </w:tcPr>
          <w:p>
            <w:pPr>
              <w:pStyle w:val="TableParagraph"/>
              <w:spacing w:before="152"/>
              <w:ind w:left="171"/>
              <w:rPr>
                <w:rFonts w:ascii="微软雅黑" w:eastAsia="微软雅黑" w:hint="eastAsia"/>
                <w:b/>
                <w:sz w:val="24"/>
              </w:rPr>
            </w:pPr>
            <w:r>
              <w:rPr>
                <w:rFonts w:ascii="微软雅黑" w:eastAsia="微软雅黑" w:hint="eastAsia"/>
                <w:b/>
                <w:sz w:val="24"/>
              </w:rPr>
              <w:t>我们提供的保障</w:t>
            </w:r>
          </w:p>
        </w:tc>
      </w:tr>
      <w:tr>
        <w:trPr>
          <w:trHeight w:val="982" w:hRule="atLeast"/>
        </w:trPr>
        <w:tc>
          <w:tcPr>
            <w:tcW w:w="671" w:type="dxa"/>
            <w:tcBorders>
              <w:top w:val="single" w:sz="4" w:space="0" w:color="000000"/>
            </w:tcBorders>
          </w:tcPr>
          <w:p>
            <w:pPr>
              <w:pStyle w:val="TableParagraph"/>
              <w:spacing w:before="7"/>
              <w:ind w:left="0"/>
              <w:rPr>
                <w:sz w:val="16"/>
              </w:rPr>
            </w:pPr>
          </w:p>
          <w:p>
            <w:pPr>
              <w:pStyle w:val="TableParagraph"/>
              <w:ind w:left="108"/>
              <w:rPr>
                <w:rFonts w:ascii="Times New Roman"/>
                <w:b/>
                <w:sz w:val="21"/>
              </w:rPr>
            </w:pPr>
            <w:r>
              <w:rPr>
                <w:rFonts w:ascii="Times New Roman"/>
                <w:b/>
                <w:sz w:val="21"/>
              </w:rPr>
              <w:t>2.1</w:t>
            </w:r>
          </w:p>
        </w:tc>
        <w:tc>
          <w:tcPr>
            <w:tcW w:w="1592" w:type="dxa"/>
            <w:tcBorders>
              <w:top w:val="single" w:sz="4" w:space="0" w:color="000000"/>
            </w:tcBorders>
          </w:tcPr>
          <w:p>
            <w:pPr>
              <w:pStyle w:val="TableParagraph"/>
              <w:spacing w:before="121"/>
              <w:ind w:left="171"/>
              <w:rPr>
                <w:rFonts w:ascii="微软雅黑" w:eastAsia="微软雅黑" w:hint="eastAsia"/>
                <w:b/>
                <w:sz w:val="21"/>
              </w:rPr>
            </w:pPr>
            <w:r>
              <w:rPr>
                <w:rFonts w:ascii="微软雅黑" w:eastAsia="微软雅黑" w:hint="eastAsia"/>
                <w:b/>
                <w:sz w:val="21"/>
              </w:rPr>
              <w:t>保险金额</w:t>
            </w:r>
          </w:p>
        </w:tc>
        <w:tc>
          <w:tcPr>
            <w:tcW w:w="7398" w:type="dxa"/>
            <w:tcBorders>
              <w:top w:val="single" w:sz="4" w:space="0" w:color="000000"/>
            </w:tcBorders>
          </w:tcPr>
          <w:p>
            <w:pPr>
              <w:pStyle w:val="TableParagraph"/>
              <w:spacing w:before="3"/>
              <w:ind w:left="0"/>
              <w:rPr>
                <w:sz w:val="16"/>
              </w:rPr>
            </w:pPr>
          </w:p>
          <w:p>
            <w:pPr>
              <w:pStyle w:val="TableParagraph"/>
              <w:spacing w:line="285" w:lineRule="auto"/>
              <w:ind w:left="288" w:right="-15"/>
              <w:rPr>
                <w:sz w:val="21"/>
              </w:rPr>
            </w:pPr>
            <w:r>
              <w:rPr>
                <w:spacing w:val="-5"/>
                <w:sz w:val="21"/>
              </w:rPr>
              <w:t>本合同的保险金额是由您在投保时提出，经本公司承保时审核并最终确定的， </w:t>
            </w:r>
            <w:r>
              <w:rPr>
                <w:spacing w:val="-4"/>
                <w:sz w:val="21"/>
              </w:rPr>
              <w:t>保险金额在保险单中载明。</w:t>
            </w:r>
          </w:p>
        </w:tc>
      </w:tr>
      <w:tr>
        <w:trPr>
          <w:trHeight w:val="871" w:hRule="atLeast"/>
        </w:trPr>
        <w:tc>
          <w:tcPr>
            <w:tcW w:w="671" w:type="dxa"/>
          </w:tcPr>
          <w:p>
            <w:pPr>
              <w:pStyle w:val="TableParagraph"/>
              <w:spacing w:before="160"/>
              <w:ind w:left="108"/>
              <w:rPr>
                <w:rFonts w:ascii="Times New Roman"/>
                <w:b/>
                <w:sz w:val="21"/>
              </w:rPr>
            </w:pPr>
            <w:r>
              <w:rPr>
                <w:rFonts w:ascii="Times New Roman"/>
                <w:b/>
                <w:sz w:val="21"/>
              </w:rPr>
              <w:t>2.2</w:t>
            </w:r>
          </w:p>
        </w:tc>
        <w:tc>
          <w:tcPr>
            <w:tcW w:w="1592" w:type="dxa"/>
          </w:tcPr>
          <w:p>
            <w:pPr>
              <w:pStyle w:val="TableParagraph"/>
              <w:spacing w:before="65"/>
              <w:ind w:left="171"/>
              <w:rPr>
                <w:rFonts w:ascii="微软雅黑" w:eastAsia="微软雅黑" w:hint="eastAsia"/>
                <w:b/>
                <w:sz w:val="21"/>
              </w:rPr>
            </w:pPr>
            <w:r>
              <w:rPr>
                <w:rFonts w:ascii="微软雅黑" w:eastAsia="微软雅黑" w:hint="eastAsia"/>
                <w:b/>
                <w:sz w:val="21"/>
              </w:rPr>
              <w:t>保险期间</w:t>
            </w:r>
          </w:p>
        </w:tc>
        <w:tc>
          <w:tcPr>
            <w:tcW w:w="7398" w:type="dxa"/>
          </w:tcPr>
          <w:p>
            <w:pPr>
              <w:pStyle w:val="TableParagraph"/>
              <w:spacing w:line="261" w:lineRule="auto" w:before="128"/>
              <w:ind w:left="288" w:right="170"/>
              <w:rPr>
                <w:sz w:val="21"/>
              </w:rPr>
            </w:pPr>
            <w:r>
              <w:rPr>
                <w:sz w:val="21"/>
              </w:rPr>
              <w:t>本合同的保险期间由您在投保时与我们约定，并在保险单上载明。自保险单上记载的保险合同生效日零时起至期满之日二十四时止。</w:t>
            </w:r>
          </w:p>
        </w:tc>
      </w:tr>
      <w:tr>
        <w:trPr>
          <w:trHeight w:val="402" w:hRule="atLeast"/>
        </w:trPr>
        <w:tc>
          <w:tcPr>
            <w:tcW w:w="671" w:type="dxa"/>
          </w:tcPr>
          <w:p>
            <w:pPr>
              <w:pStyle w:val="TableParagraph"/>
              <w:spacing w:line="223" w:lineRule="exact" w:before="160"/>
              <w:ind w:left="108"/>
              <w:rPr>
                <w:rFonts w:ascii="Times New Roman"/>
                <w:b/>
                <w:sz w:val="21"/>
              </w:rPr>
            </w:pPr>
            <w:r>
              <w:rPr>
                <w:rFonts w:ascii="Times New Roman"/>
                <w:b/>
                <w:sz w:val="21"/>
              </w:rPr>
              <w:t>2.3</w:t>
            </w:r>
          </w:p>
        </w:tc>
        <w:tc>
          <w:tcPr>
            <w:tcW w:w="1592" w:type="dxa"/>
          </w:tcPr>
          <w:p>
            <w:pPr>
              <w:pStyle w:val="TableParagraph"/>
              <w:spacing w:line="317" w:lineRule="exact" w:before="65"/>
              <w:ind w:left="171"/>
              <w:rPr>
                <w:rFonts w:ascii="微软雅黑" w:eastAsia="微软雅黑" w:hint="eastAsia"/>
                <w:b/>
                <w:sz w:val="21"/>
              </w:rPr>
            </w:pPr>
            <w:r>
              <w:rPr>
                <w:rFonts w:ascii="微软雅黑" w:eastAsia="微软雅黑" w:hint="eastAsia"/>
                <w:b/>
                <w:sz w:val="21"/>
              </w:rPr>
              <w:t>保险责任</w:t>
            </w:r>
          </w:p>
        </w:tc>
        <w:tc>
          <w:tcPr>
            <w:tcW w:w="7398" w:type="dxa"/>
          </w:tcPr>
          <w:p>
            <w:pPr>
              <w:pStyle w:val="TableParagraph"/>
              <w:spacing w:line="255" w:lineRule="exact" w:before="128"/>
              <w:ind w:left="288"/>
              <w:rPr>
                <w:sz w:val="21"/>
              </w:rPr>
            </w:pPr>
            <w:r>
              <w:rPr>
                <w:sz w:val="21"/>
              </w:rPr>
              <w:t>在本合同保险期间内，本公司承担如下保险责任：</w:t>
            </w:r>
          </w:p>
        </w:tc>
      </w:tr>
    </w:tbl>
    <w:p>
      <w:pPr>
        <w:spacing w:after="0" w:line="255" w:lineRule="exact"/>
        <w:rPr>
          <w:sz w:val="21"/>
        </w:rPr>
        <w:sectPr>
          <w:headerReference w:type="default" r:id="rId10"/>
          <w:footerReference w:type="default" r:id="rId11"/>
          <w:pgSz w:w="11910" w:h="16840"/>
          <w:pgMar w:header="857" w:footer="992" w:top="1040" w:bottom="1180" w:left="1060" w:right="940"/>
          <w:pgNumType w:start="2"/>
        </w:sectPr>
      </w:pPr>
    </w:p>
    <w:p>
      <w:pPr>
        <w:pStyle w:val="BodyText"/>
        <w:rPr>
          <w:rFonts w:ascii="Times New Roman"/>
          <w:sz w:val="20"/>
        </w:rPr>
      </w:pPr>
    </w:p>
    <w:p>
      <w:pPr>
        <w:pStyle w:val="BodyText"/>
        <w:spacing w:before="1"/>
        <w:rPr>
          <w:rFonts w:ascii="Times New Roman"/>
          <w:sz w:val="17"/>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762"/>
        <w:gridCol w:w="7227"/>
      </w:tblGrid>
      <w:tr>
        <w:trPr>
          <w:trHeight w:val="1306" w:hRule="atLeast"/>
        </w:trPr>
        <w:tc>
          <w:tcPr>
            <w:tcW w:w="671" w:type="dxa"/>
          </w:tcPr>
          <w:p>
            <w:pPr>
              <w:pStyle w:val="TableParagraph"/>
              <w:ind w:left="0"/>
              <w:rPr>
                <w:rFonts w:ascii="Times New Roman"/>
                <w:sz w:val="20"/>
              </w:rPr>
            </w:pPr>
          </w:p>
        </w:tc>
        <w:tc>
          <w:tcPr>
            <w:tcW w:w="1762" w:type="dxa"/>
          </w:tcPr>
          <w:p>
            <w:pPr>
              <w:pStyle w:val="TableParagraph"/>
              <w:spacing w:line="218" w:lineRule="exact"/>
              <w:ind w:left="171"/>
              <w:rPr>
                <w:sz w:val="21"/>
              </w:rPr>
            </w:pPr>
            <w:r>
              <w:rPr>
                <w:sz w:val="21"/>
              </w:rPr>
              <w:t>等待期</w:t>
            </w:r>
          </w:p>
        </w:tc>
        <w:tc>
          <w:tcPr>
            <w:tcW w:w="7227" w:type="dxa"/>
          </w:tcPr>
          <w:p>
            <w:pPr>
              <w:pStyle w:val="TableParagraph"/>
              <w:spacing w:line="199" w:lineRule="auto"/>
              <w:ind w:left="118" w:right="105"/>
              <w:jc w:val="both"/>
              <w:rPr>
                <w:sz w:val="21"/>
              </w:rPr>
            </w:pPr>
            <w:r>
              <w:rPr>
                <w:spacing w:val="-7"/>
                <w:sz w:val="21"/>
              </w:rPr>
              <w:t>被保险人在本合同生效之日起 </w:t>
            </w:r>
            <w:r>
              <w:rPr>
                <w:rFonts w:ascii="Times New Roman" w:eastAsia="Times New Roman"/>
                <w:sz w:val="21"/>
              </w:rPr>
              <w:t>180 </w:t>
            </w:r>
            <w:r>
              <w:rPr>
                <w:spacing w:val="-2"/>
                <w:sz w:val="21"/>
              </w:rPr>
              <w:t>日内</w:t>
            </w:r>
            <w:r>
              <w:rPr>
                <w:spacing w:val="-3"/>
                <w:sz w:val="21"/>
              </w:rPr>
              <w:t>（</w:t>
            </w:r>
            <w:r>
              <w:rPr>
                <w:spacing w:val="-17"/>
                <w:sz w:val="21"/>
              </w:rPr>
              <w:t>含第 </w:t>
            </w:r>
            <w:r>
              <w:rPr>
                <w:rFonts w:ascii="Times New Roman" w:eastAsia="Times New Roman"/>
                <w:sz w:val="21"/>
              </w:rPr>
              <w:t>180 </w:t>
            </w:r>
            <w:r>
              <w:rPr>
                <w:sz w:val="21"/>
              </w:rPr>
              <w:t>日）</w:t>
            </w:r>
            <w:r>
              <w:rPr>
                <w:spacing w:val="-3"/>
                <w:sz w:val="21"/>
              </w:rPr>
              <w:t>初次罹患本合同所定</w:t>
            </w:r>
            <w:r>
              <w:rPr>
                <w:spacing w:val="-3"/>
                <w:w w:val="100"/>
                <w:sz w:val="21"/>
              </w:rPr>
              <w:t>义的</w:t>
            </w:r>
            <w:r>
              <w:rPr>
                <w:rFonts w:ascii="微软雅黑" w:eastAsia="微软雅黑" w:hint="eastAsia"/>
                <w:b/>
                <w:w w:val="100"/>
                <w:sz w:val="21"/>
              </w:rPr>
              <w:t>重大疾病</w:t>
            </w:r>
            <w:r>
              <w:rPr>
                <w:spacing w:val="-3"/>
                <w:w w:val="100"/>
                <w:sz w:val="21"/>
              </w:rPr>
              <w:t>（</w:t>
            </w:r>
            <w:r>
              <w:rPr>
                <w:spacing w:val="-2"/>
                <w:w w:val="100"/>
                <w:sz w:val="21"/>
              </w:rPr>
              <w:t>见释义</w:t>
            </w:r>
            <w:r>
              <w:rPr>
                <w:spacing w:val="-53"/>
                <w:sz w:val="21"/>
              </w:rPr>
              <w:t> </w:t>
            </w:r>
            <w:r>
              <w:rPr>
                <w:rFonts w:ascii="Times New Roman" w:eastAsia="Times New Roman"/>
                <w:w w:val="100"/>
                <w:sz w:val="21"/>
              </w:rPr>
              <w:t>6.</w:t>
            </w:r>
            <w:r>
              <w:rPr>
                <w:rFonts w:ascii="Times New Roman" w:eastAsia="Times New Roman"/>
                <w:spacing w:val="-3"/>
                <w:w w:val="100"/>
                <w:sz w:val="21"/>
              </w:rPr>
              <w:t>4</w:t>
            </w:r>
            <w:r>
              <w:rPr>
                <w:spacing w:val="-106"/>
                <w:w w:val="100"/>
                <w:sz w:val="21"/>
              </w:rPr>
              <w:t>）</w:t>
            </w:r>
            <w:r>
              <w:rPr>
                <w:spacing w:val="-3"/>
                <w:w w:val="100"/>
                <w:sz w:val="21"/>
              </w:rPr>
              <w:t>，本公司将无息返还您所交保险费，本合同效力</w:t>
            </w:r>
            <w:r>
              <w:rPr>
                <w:spacing w:val="-11"/>
                <w:sz w:val="21"/>
              </w:rPr>
              <w:t>终止。这 </w:t>
            </w:r>
            <w:r>
              <w:rPr>
                <w:rFonts w:ascii="Times New Roman" w:eastAsia="Times New Roman"/>
                <w:sz w:val="21"/>
              </w:rPr>
              <w:t>180 </w:t>
            </w:r>
            <w:r>
              <w:rPr>
                <w:spacing w:val="-4"/>
                <w:sz w:val="21"/>
              </w:rPr>
              <w:t>日的时间称为等待期。被保险人因</w:t>
            </w:r>
            <w:r>
              <w:rPr>
                <w:rFonts w:ascii="微软雅黑" w:eastAsia="微软雅黑" w:hint="eastAsia"/>
                <w:b/>
                <w:spacing w:val="-3"/>
                <w:sz w:val="21"/>
              </w:rPr>
              <w:t>意外伤害</w:t>
            </w:r>
            <w:r>
              <w:rPr>
                <w:sz w:val="21"/>
              </w:rPr>
              <w:t>（</w:t>
            </w:r>
            <w:r>
              <w:rPr>
                <w:spacing w:val="-12"/>
                <w:sz w:val="21"/>
              </w:rPr>
              <w:t>见释义 </w:t>
            </w:r>
            <w:r>
              <w:rPr>
                <w:rFonts w:ascii="Times New Roman" w:eastAsia="Times New Roman"/>
                <w:spacing w:val="-4"/>
                <w:sz w:val="21"/>
              </w:rPr>
              <w:t>6.5</w:t>
            </w:r>
            <w:r>
              <w:rPr>
                <w:spacing w:val="-4"/>
                <w:sz w:val="21"/>
              </w:rPr>
              <w:t>）</w:t>
            </w:r>
            <w:r>
              <w:rPr>
                <w:spacing w:val="-3"/>
                <w:sz w:val="21"/>
              </w:rPr>
              <w:t>导致</w:t>
            </w:r>
          </w:p>
          <w:p>
            <w:pPr>
              <w:pStyle w:val="TableParagraph"/>
              <w:spacing w:line="275" w:lineRule="exact" w:before="7"/>
              <w:ind w:left="118"/>
              <w:jc w:val="both"/>
              <w:rPr>
                <w:sz w:val="21"/>
              </w:rPr>
            </w:pPr>
            <w:r>
              <w:rPr>
                <w:sz w:val="21"/>
              </w:rPr>
              <w:t>本合同定义的重大疾病，无等待期。</w:t>
            </w:r>
          </w:p>
        </w:tc>
      </w:tr>
      <w:tr>
        <w:trPr>
          <w:trHeight w:val="1474" w:hRule="atLeast"/>
        </w:trPr>
        <w:tc>
          <w:tcPr>
            <w:tcW w:w="671" w:type="dxa"/>
          </w:tcPr>
          <w:p>
            <w:pPr>
              <w:pStyle w:val="TableParagraph"/>
              <w:ind w:left="0"/>
              <w:rPr>
                <w:rFonts w:ascii="Times New Roman"/>
                <w:sz w:val="20"/>
              </w:rPr>
            </w:pPr>
          </w:p>
        </w:tc>
        <w:tc>
          <w:tcPr>
            <w:tcW w:w="1762" w:type="dxa"/>
          </w:tcPr>
          <w:p>
            <w:pPr>
              <w:pStyle w:val="TableParagraph"/>
              <w:spacing w:before="134"/>
              <w:ind w:left="171"/>
              <w:rPr>
                <w:sz w:val="21"/>
              </w:rPr>
            </w:pPr>
            <w:r>
              <w:rPr>
                <w:sz w:val="21"/>
              </w:rPr>
              <w:t>重大疾病保险金</w:t>
            </w:r>
          </w:p>
        </w:tc>
        <w:tc>
          <w:tcPr>
            <w:tcW w:w="7227" w:type="dxa"/>
          </w:tcPr>
          <w:p>
            <w:pPr>
              <w:pStyle w:val="TableParagraph"/>
              <w:spacing w:line="247" w:lineRule="auto" w:before="71"/>
              <w:ind w:left="118" w:right="99"/>
              <w:jc w:val="both"/>
              <w:rPr>
                <w:sz w:val="21"/>
              </w:rPr>
            </w:pPr>
            <w:r>
              <w:rPr>
                <w:spacing w:val="-1"/>
                <w:sz w:val="21"/>
              </w:rPr>
              <w:t>被保险人经</w:t>
            </w:r>
            <w:r>
              <w:rPr>
                <w:rFonts w:ascii="微软雅黑" w:eastAsia="微软雅黑" w:hint="eastAsia"/>
                <w:b/>
                <w:sz w:val="21"/>
              </w:rPr>
              <w:t>医院</w:t>
            </w:r>
            <w:r>
              <w:rPr>
                <w:spacing w:val="-3"/>
                <w:sz w:val="21"/>
              </w:rPr>
              <w:t>（</w:t>
            </w:r>
            <w:r>
              <w:rPr>
                <w:spacing w:val="-14"/>
                <w:sz w:val="21"/>
              </w:rPr>
              <w:t>见释义 </w:t>
            </w:r>
            <w:r>
              <w:rPr>
                <w:rFonts w:ascii="Times New Roman" w:eastAsia="Times New Roman"/>
                <w:sz w:val="21"/>
              </w:rPr>
              <w:t>6.6</w:t>
            </w:r>
            <w:r>
              <w:rPr>
                <w:sz w:val="21"/>
              </w:rPr>
              <w:t>）</w:t>
            </w:r>
            <w:r>
              <w:rPr>
                <w:spacing w:val="-3"/>
                <w:sz w:val="21"/>
              </w:rPr>
              <w:t>的</w:t>
            </w:r>
            <w:r>
              <w:rPr>
                <w:rFonts w:ascii="微软雅黑" w:eastAsia="微软雅黑" w:hint="eastAsia"/>
                <w:b/>
                <w:sz w:val="21"/>
              </w:rPr>
              <w:t>专科医生</w:t>
            </w:r>
            <w:r>
              <w:rPr>
                <w:sz w:val="21"/>
              </w:rPr>
              <w:t>（</w:t>
            </w:r>
            <w:r>
              <w:rPr>
                <w:spacing w:val="-14"/>
                <w:sz w:val="21"/>
              </w:rPr>
              <w:t>见释义 </w:t>
            </w:r>
            <w:r>
              <w:rPr>
                <w:rFonts w:ascii="Times New Roman" w:eastAsia="Times New Roman"/>
                <w:sz w:val="21"/>
              </w:rPr>
              <w:t>6.7</w:t>
            </w:r>
            <w:r>
              <w:rPr>
                <w:sz w:val="21"/>
              </w:rPr>
              <w:t>）</w:t>
            </w:r>
            <w:r>
              <w:rPr>
                <w:spacing w:val="-3"/>
                <w:sz w:val="21"/>
              </w:rPr>
              <w:t>确诊因意外伤害或于等待期后经医院的专科医生确诊因非意外伤害导致初次罹患本合同所指的</w:t>
            </w:r>
            <w:r>
              <w:rPr>
                <w:spacing w:val="-6"/>
                <w:sz w:val="21"/>
              </w:rPr>
              <w:t>重大疾病</w:t>
            </w:r>
            <w:r>
              <w:rPr>
                <w:spacing w:val="-3"/>
                <w:sz w:val="21"/>
              </w:rPr>
              <w:t>（无论一种或多种</w:t>
            </w:r>
            <w:r>
              <w:rPr>
                <w:spacing w:val="-13"/>
                <w:sz w:val="21"/>
              </w:rPr>
              <w:t>）</w:t>
            </w:r>
            <w:r>
              <w:rPr>
                <w:spacing w:val="-10"/>
                <w:sz w:val="21"/>
              </w:rPr>
              <w:t>并生存满 </w:t>
            </w:r>
            <w:r>
              <w:rPr>
                <w:rFonts w:ascii="Times New Roman" w:eastAsia="Times New Roman"/>
                <w:sz w:val="21"/>
              </w:rPr>
              <w:t>30 </w:t>
            </w:r>
            <w:r>
              <w:rPr>
                <w:spacing w:val="-5"/>
                <w:sz w:val="21"/>
              </w:rPr>
              <w:t>日后，本公司按本合同约定的保险</w:t>
            </w:r>
            <w:r>
              <w:rPr>
                <w:spacing w:val="-4"/>
                <w:sz w:val="21"/>
              </w:rPr>
              <w:t>金额给付重大疾病保险金，本合同效力终止。</w:t>
            </w:r>
          </w:p>
        </w:tc>
      </w:tr>
      <w:tr>
        <w:trPr>
          <w:trHeight w:val="6667" w:hRule="atLeast"/>
        </w:trPr>
        <w:tc>
          <w:tcPr>
            <w:tcW w:w="671" w:type="dxa"/>
          </w:tcPr>
          <w:p>
            <w:pPr>
              <w:pStyle w:val="TableParagraph"/>
              <w:spacing w:before="160"/>
              <w:ind w:left="108"/>
              <w:rPr>
                <w:rFonts w:ascii="Times New Roman"/>
                <w:b/>
                <w:sz w:val="21"/>
              </w:rPr>
            </w:pPr>
            <w:r>
              <w:rPr>
                <w:rFonts w:ascii="Times New Roman"/>
                <w:b/>
                <w:sz w:val="21"/>
              </w:rPr>
              <w:t>2.4</w:t>
            </w:r>
          </w:p>
        </w:tc>
        <w:tc>
          <w:tcPr>
            <w:tcW w:w="1762" w:type="dxa"/>
          </w:tcPr>
          <w:p>
            <w:pPr>
              <w:pStyle w:val="TableParagraph"/>
              <w:spacing w:before="65"/>
              <w:ind w:left="171"/>
              <w:rPr>
                <w:rFonts w:ascii="微软雅黑" w:eastAsia="微软雅黑" w:hint="eastAsia"/>
                <w:b/>
                <w:sz w:val="21"/>
              </w:rPr>
            </w:pPr>
            <w:r>
              <w:rPr>
                <w:rFonts w:ascii="微软雅黑" w:eastAsia="微软雅黑" w:hint="eastAsia"/>
                <w:b/>
                <w:sz w:val="21"/>
              </w:rPr>
              <w:t>责任免除</w:t>
            </w:r>
          </w:p>
        </w:tc>
        <w:tc>
          <w:tcPr>
            <w:tcW w:w="7227" w:type="dxa"/>
          </w:tcPr>
          <w:p>
            <w:pPr>
              <w:pStyle w:val="TableParagraph"/>
              <w:spacing w:line="261" w:lineRule="auto" w:before="128"/>
              <w:ind w:left="118" w:right="169"/>
              <w:rPr>
                <w:rFonts w:ascii="黑体" w:eastAsia="黑体" w:hint="eastAsia"/>
                <w:sz w:val="21"/>
              </w:rPr>
            </w:pPr>
            <w:r>
              <w:rPr>
                <w:rFonts w:ascii="黑体" w:eastAsia="黑体" w:hint="eastAsia"/>
                <w:sz w:val="21"/>
              </w:rPr>
              <w:t>因下列情形之一，导致被保险人发Th本合同所定义的重大疾病的，本公司不承担给付保险金的责任：</w:t>
            </w:r>
          </w:p>
          <w:p>
            <w:pPr>
              <w:pStyle w:val="TableParagraph"/>
              <w:numPr>
                <w:ilvl w:val="0"/>
                <w:numId w:val="5"/>
              </w:numPr>
              <w:tabs>
                <w:tab w:pos="686" w:val="left" w:leader="none"/>
              </w:tabs>
              <w:spacing w:line="240" w:lineRule="auto" w:before="6" w:after="0"/>
              <w:ind w:left="685"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686" w:val="left" w:leader="none"/>
              </w:tabs>
              <w:spacing w:line="240" w:lineRule="auto" w:before="25" w:after="0"/>
              <w:ind w:left="685"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686" w:val="left" w:leader="none"/>
              </w:tabs>
              <w:spacing w:line="247" w:lineRule="auto" w:before="25" w:after="0"/>
              <w:ind w:left="685" w:right="101" w:hanging="567"/>
              <w:jc w:val="left"/>
              <w:rPr>
                <w:rFonts w:ascii="黑体" w:eastAsia="黑体" w:hint="eastAsia"/>
                <w:sz w:val="21"/>
              </w:rPr>
            </w:pPr>
            <w:r>
              <w:rPr>
                <w:rFonts w:ascii="黑体" w:eastAsia="黑体" w:hint="eastAsia"/>
                <w:spacing w:val="-6"/>
                <w:sz w:val="21"/>
              </w:rPr>
              <w:t>被保险人自本合同成立之日起 </w:t>
            </w:r>
            <w:r>
              <w:rPr>
                <w:rFonts w:ascii="Times New Roman" w:eastAsia="Times New Roman"/>
                <w:sz w:val="21"/>
              </w:rPr>
              <w:t>2</w:t>
            </w:r>
            <w:r>
              <w:rPr>
                <w:rFonts w:ascii="Times New Roman" w:eastAsia="Times New Roman"/>
                <w:spacing w:val="11"/>
                <w:sz w:val="21"/>
              </w:rPr>
              <w:t> </w:t>
            </w:r>
            <w:r>
              <w:rPr>
                <w:rFonts w:ascii="黑体" w:eastAsia="黑体" w:hint="eastAsia"/>
                <w:spacing w:val="-11"/>
                <w:sz w:val="21"/>
              </w:rPr>
              <w:t>年内自杀，但被保险人自杀时为无民事</w:t>
            </w:r>
            <w:r>
              <w:rPr>
                <w:rFonts w:ascii="黑体" w:eastAsia="黑体" w:hint="eastAsia"/>
                <w:spacing w:val="-6"/>
                <w:sz w:val="21"/>
              </w:rPr>
              <w:t>行为能力人的除外；</w:t>
            </w:r>
          </w:p>
          <w:p>
            <w:pPr>
              <w:pStyle w:val="TableParagraph"/>
              <w:numPr>
                <w:ilvl w:val="0"/>
                <w:numId w:val="5"/>
              </w:numPr>
              <w:tabs>
                <w:tab w:pos="686" w:val="left" w:leader="none"/>
              </w:tabs>
              <w:spacing w:line="240" w:lineRule="auto" w:before="16" w:after="0"/>
              <w:ind w:left="685"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6.8</w:t>
            </w:r>
            <w:r>
              <w:rPr>
                <w:rFonts w:ascii="黑体" w:eastAsia="黑体" w:hint="eastAsia"/>
                <w:spacing w:val="-106"/>
                <w:w w:val="100"/>
                <w:sz w:val="21"/>
              </w:rPr>
              <w:t>）；</w:t>
            </w:r>
          </w:p>
          <w:p>
            <w:pPr>
              <w:pStyle w:val="TableParagraph"/>
              <w:numPr>
                <w:ilvl w:val="0"/>
                <w:numId w:val="5"/>
              </w:numPr>
              <w:tabs>
                <w:tab w:pos="686" w:val="left" w:leader="none"/>
              </w:tabs>
              <w:spacing w:line="247" w:lineRule="auto" w:before="9" w:after="0"/>
              <w:ind w:left="685" w:right="0"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Times New Roman" w:eastAsia="Times New Roman"/>
                <w:w w:val="100"/>
                <w:sz w:val="21"/>
              </w:rPr>
              <w:t>6.9</w:t>
            </w:r>
            <w:r>
              <w:rPr>
                <w:rFonts w:ascii="黑体" w:eastAsia="黑体" w:hint="eastAsia"/>
                <w:spacing w:val="-108"/>
                <w:w w:val="100"/>
                <w:sz w:val="21"/>
              </w:rPr>
              <w:t>）</w:t>
            </w:r>
            <w:r>
              <w:rPr>
                <w:rFonts w:ascii="黑体" w:eastAsia="黑体" w:hint="eastAsia"/>
                <w:spacing w:val="-68"/>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6.1</w:t>
            </w:r>
            <w:r>
              <w:rPr>
                <w:rFonts w:ascii="Times New Roman" w:eastAsia="Times New Roman"/>
                <w:spacing w:val="-3"/>
                <w:w w:val="100"/>
                <w:sz w:val="21"/>
              </w:rPr>
              <w:t>0</w:t>
            </w:r>
            <w:r>
              <w:rPr>
                <w:rFonts w:ascii="黑体" w:eastAsia="黑体" w:hint="eastAsia"/>
                <w:w w:val="100"/>
                <w:sz w:val="21"/>
              </w:rPr>
              <w:t>）</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0"/>
                <w:sz w:val="21"/>
              </w:rPr>
              <w:t>见释义 </w:t>
            </w:r>
            <w:r>
              <w:rPr>
                <w:rFonts w:ascii="Times New Roman" w:eastAsia="Times New Roman"/>
                <w:spacing w:val="-3"/>
                <w:sz w:val="21"/>
              </w:rPr>
              <w:t>6.11</w:t>
            </w:r>
            <w:r>
              <w:rPr>
                <w:rFonts w:ascii="黑体" w:eastAsia="黑体" w:hint="eastAsia"/>
                <w:spacing w:val="-3"/>
                <w:sz w:val="21"/>
              </w:rPr>
              <w:t>）的机动车；</w:t>
            </w:r>
          </w:p>
          <w:p>
            <w:pPr>
              <w:pStyle w:val="TableParagraph"/>
              <w:numPr>
                <w:ilvl w:val="0"/>
                <w:numId w:val="5"/>
              </w:numPr>
              <w:tabs>
                <w:tab w:pos="686" w:val="left" w:leader="none"/>
              </w:tabs>
              <w:spacing w:line="240" w:lineRule="auto" w:before="2" w:after="0"/>
              <w:ind w:left="685"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686" w:val="left" w:leader="none"/>
              </w:tabs>
              <w:spacing w:line="240" w:lineRule="auto" w:before="25" w:after="0"/>
              <w:ind w:left="685"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686" w:val="left" w:leader="none"/>
              </w:tabs>
              <w:spacing w:line="247" w:lineRule="auto" w:before="23" w:after="0"/>
              <w:ind w:left="685" w:right="103" w:hanging="567"/>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41"/>
                <w:sz w:val="21"/>
              </w:rPr>
              <w:t> </w:t>
            </w:r>
            <w:r>
              <w:rPr>
                <w:rFonts w:ascii="Times New Roman" w:eastAsia="Times New Roman"/>
                <w:w w:val="100"/>
                <w:sz w:val="21"/>
              </w:rPr>
              <w:t>6.</w:t>
            </w:r>
            <w:r>
              <w:rPr>
                <w:rFonts w:ascii="Times New Roman" w:eastAsia="Times New Roman"/>
                <w:spacing w:val="-3"/>
                <w:w w:val="100"/>
                <w:sz w:val="21"/>
              </w:rPr>
              <w:t>1</w:t>
            </w:r>
            <w:r>
              <w:rPr>
                <w:rFonts w:ascii="Times New Roman" w:eastAsia="Times New Roman"/>
                <w:w w:val="100"/>
                <w:sz w:val="21"/>
              </w:rPr>
              <w:t>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 6</w:t>
            </w:r>
            <w:r>
              <w:rPr>
                <w:rFonts w:ascii="Times New Roman" w:eastAsia="Times New Roman"/>
                <w:spacing w:val="-2"/>
                <w:w w:val="100"/>
                <w:sz w:val="21"/>
              </w:rPr>
              <w:t>.13</w:t>
            </w:r>
            <w:r>
              <w:rPr>
                <w:rFonts w:ascii="黑体" w:eastAsia="黑体" w:hint="eastAsia"/>
                <w:spacing w:val="-108"/>
                <w:w w:val="100"/>
                <w:sz w:val="21"/>
              </w:rPr>
              <w:t>）；</w:t>
            </w:r>
          </w:p>
          <w:p>
            <w:pPr>
              <w:pStyle w:val="TableParagraph"/>
              <w:numPr>
                <w:ilvl w:val="0"/>
                <w:numId w:val="5"/>
              </w:numPr>
              <w:tabs>
                <w:tab w:pos="686" w:val="left" w:leader="none"/>
              </w:tabs>
              <w:spacing w:line="240" w:lineRule="auto" w:before="2" w:after="0"/>
              <w:ind w:left="685" w:right="0" w:hanging="567"/>
              <w:jc w:val="left"/>
              <w:rPr>
                <w:rFonts w:ascii="黑体" w:eastAsia="黑体" w:hint="eastAsia"/>
                <w:sz w:val="21"/>
              </w:rPr>
            </w:pPr>
            <w:r>
              <w:rPr>
                <w:rFonts w:ascii="黑体" w:eastAsia="黑体" w:hint="eastAsia"/>
                <w:b/>
                <w:spacing w:val="-2"/>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4</w:t>
            </w:r>
            <w:r>
              <w:rPr>
                <w:rFonts w:ascii="黑体" w:eastAsia="黑体" w:hint="eastAsia"/>
                <w:spacing w:val="-108"/>
                <w:w w:val="100"/>
                <w:sz w:val="21"/>
              </w:rPr>
              <w:t>）。</w:t>
            </w:r>
          </w:p>
          <w:p>
            <w:pPr>
              <w:pStyle w:val="TableParagraph"/>
              <w:spacing w:line="273" w:lineRule="auto" w:before="46"/>
              <w:ind w:left="118" w:right="99"/>
              <w:jc w:val="both"/>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4"/>
                <w:sz w:val="21"/>
              </w:rPr>
              <w:t>本合同所定义的重大疾病的，本合</w:t>
            </w:r>
            <w:r>
              <w:rPr>
                <w:rFonts w:ascii="黑体" w:eastAsia="黑体" w:hint="eastAsia"/>
                <w:spacing w:val="-6"/>
                <w:sz w:val="21"/>
              </w:rPr>
              <w:t>同终止，您已交足</w:t>
            </w:r>
            <w:r>
              <w:rPr>
                <w:rFonts w:ascii="黑体" w:eastAsia="黑体" w:hint="eastAsia"/>
                <w:spacing w:val="-3"/>
                <w:sz w:val="21"/>
              </w:rPr>
              <w:t>2</w:t>
            </w:r>
            <w:r>
              <w:rPr>
                <w:rFonts w:ascii="黑体" w:eastAsia="黑体" w:hint="eastAsia"/>
                <w:spacing w:val="-5"/>
                <w:sz w:val="21"/>
              </w:rPr>
              <w:t>年以上保险费的，本公司向其他权利人退还保险单的现金价值。</w:t>
            </w:r>
          </w:p>
          <w:p>
            <w:pPr>
              <w:pStyle w:val="TableParagraph"/>
              <w:spacing w:line="273" w:lineRule="auto" w:before="7"/>
              <w:ind w:left="118" w:right="99"/>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4"/>
                <w:sz w:val="21"/>
              </w:rPr>
              <w:t>本合同所定义的重大疾病的，本合</w:t>
            </w:r>
            <w:r>
              <w:rPr>
                <w:rFonts w:ascii="黑体" w:eastAsia="黑体" w:hint="eastAsia"/>
                <w:spacing w:val="-3"/>
                <w:sz w:val="21"/>
              </w:rPr>
              <w:t>同终止，您已交足2年以上保险费的，本公司向您退还保险单的现金价值。 发Th上述其他项情形导致被保险人发Th本合同所定义的重大疾病的，本合同终止，本公司向您退还保险单的现金价值。</w:t>
            </w:r>
          </w:p>
        </w:tc>
      </w:tr>
      <w:tr>
        <w:trPr>
          <w:trHeight w:val="684" w:hRule="atLeast"/>
        </w:trPr>
        <w:tc>
          <w:tcPr>
            <w:tcW w:w="671" w:type="dxa"/>
            <w:tcBorders>
              <w:bottom w:val="single" w:sz="4" w:space="0" w:color="000000"/>
            </w:tcBorders>
          </w:tcPr>
          <w:p>
            <w:pPr>
              <w:pStyle w:val="TableParagraph"/>
              <w:spacing w:before="132"/>
              <w:ind w:left="108"/>
              <w:rPr>
                <w:rFonts w:ascii="Arial" w:hAnsi="Arial"/>
                <w:b/>
                <w:sz w:val="44"/>
              </w:rPr>
            </w:pPr>
            <w:r>
              <w:rPr>
                <w:rFonts w:ascii="Arial" w:hAnsi="Arial"/>
                <w:b/>
                <w:w w:val="118"/>
                <w:sz w:val="44"/>
              </w:rPr>
              <w:t></w:t>
            </w:r>
          </w:p>
        </w:tc>
        <w:tc>
          <w:tcPr>
            <w:tcW w:w="8989" w:type="dxa"/>
            <w:gridSpan w:val="2"/>
            <w:tcBorders>
              <w:bottom w:val="single" w:sz="4" w:space="0" w:color="000000"/>
            </w:tcBorders>
          </w:tcPr>
          <w:p>
            <w:pPr>
              <w:pStyle w:val="TableParagraph"/>
              <w:spacing w:before="147"/>
              <w:ind w:left="171"/>
              <w:rPr>
                <w:rFonts w:ascii="微软雅黑" w:eastAsia="微软雅黑" w:hint="eastAsia"/>
                <w:b/>
                <w:sz w:val="24"/>
              </w:rPr>
            </w:pPr>
            <w:r>
              <w:rPr>
                <w:rFonts w:ascii="微软雅黑" w:eastAsia="微软雅黑" w:hint="eastAsia"/>
                <w:b/>
                <w:sz w:val="24"/>
              </w:rPr>
              <w:t>如何申请领取保险金</w:t>
            </w:r>
          </w:p>
        </w:tc>
      </w:tr>
      <w:tr>
        <w:trPr>
          <w:trHeight w:val="723" w:hRule="atLeast"/>
        </w:trPr>
        <w:tc>
          <w:tcPr>
            <w:tcW w:w="671" w:type="dxa"/>
            <w:tcBorders>
              <w:top w:val="single" w:sz="4" w:space="0" w:color="000000"/>
            </w:tcBorders>
          </w:tcPr>
          <w:p>
            <w:pPr>
              <w:pStyle w:val="TableParagraph"/>
              <w:spacing w:before="10"/>
              <w:ind w:left="0"/>
              <w:rPr>
                <w:rFonts w:ascii="Times New Roman"/>
                <w:sz w:val="25"/>
              </w:rPr>
            </w:pPr>
          </w:p>
          <w:p>
            <w:pPr>
              <w:pStyle w:val="TableParagraph"/>
              <w:ind w:left="108"/>
              <w:rPr>
                <w:rFonts w:ascii="Times New Roman"/>
                <w:b/>
                <w:sz w:val="21"/>
              </w:rPr>
            </w:pPr>
            <w:r>
              <w:rPr>
                <w:rFonts w:ascii="Times New Roman"/>
                <w:b/>
                <w:sz w:val="21"/>
              </w:rPr>
              <w:t>3.1</w:t>
            </w:r>
          </w:p>
        </w:tc>
        <w:tc>
          <w:tcPr>
            <w:tcW w:w="1762" w:type="dxa"/>
            <w:tcBorders>
              <w:top w:val="single" w:sz="4" w:space="0" w:color="000000"/>
            </w:tcBorders>
          </w:tcPr>
          <w:p>
            <w:pPr>
              <w:pStyle w:val="TableParagraph"/>
              <w:spacing w:before="7"/>
              <w:ind w:left="0"/>
              <w:rPr>
                <w:rFonts w:ascii="Times New Roman"/>
                <w:sz w:val="17"/>
              </w:rPr>
            </w:pPr>
          </w:p>
          <w:p>
            <w:pPr>
              <w:pStyle w:val="TableParagraph"/>
              <w:ind w:left="171"/>
              <w:rPr>
                <w:rFonts w:ascii="微软雅黑" w:eastAsia="微软雅黑" w:hint="eastAsia"/>
                <w:b/>
                <w:sz w:val="21"/>
              </w:rPr>
            </w:pPr>
            <w:r>
              <w:rPr>
                <w:rFonts w:ascii="微软雅黑" w:eastAsia="微软雅黑" w:hint="eastAsia"/>
                <w:b/>
                <w:sz w:val="21"/>
              </w:rPr>
              <w:t>保险金受益人</w:t>
            </w:r>
          </w:p>
        </w:tc>
        <w:tc>
          <w:tcPr>
            <w:tcW w:w="7227" w:type="dxa"/>
            <w:tcBorders>
              <w:top w:val="single" w:sz="4" w:space="0" w:color="000000"/>
            </w:tcBorders>
          </w:tcPr>
          <w:p>
            <w:pPr>
              <w:pStyle w:val="TableParagraph"/>
              <w:spacing w:before="1"/>
              <w:ind w:left="0"/>
              <w:rPr>
                <w:rFonts w:ascii="Times New Roman"/>
                <w:sz w:val="23"/>
              </w:rPr>
            </w:pPr>
          </w:p>
          <w:p>
            <w:pPr>
              <w:pStyle w:val="TableParagraph"/>
              <w:ind w:left="118"/>
              <w:rPr>
                <w:sz w:val="21"/>
              </w:rPr>
            </w:pPr>
            <w:r>
              <w:rPr>
                <w:sz w:val="21"/>
              </w:rPr>
              <w:t>除另有约定外，本合同“重大疾病保险金”的受益人为被保险人本人。</w:t>
            </w:r>
          </w:p>
        </w:tc>
      </w:tr>
      <w:tr>
        <w:trPr>
          <w:trHeight w:val="1797" w:hRule="atLeast"/>
        </w:trPr>
        <w:tc>
          <w:tcPr>
            <w:tcW w:w="671" w:type="dxa"/>
          </w:tcPr>
          <w:p>
            <w:pPr>
              <w:pStyle w:val="TableParagraph"/>
              <w:spacing w:before="174"/>
              <w:ind w:left="108"/>
              <w:rPr>
                <w:rFonts w:ascii="Times New Roman"/>
                <w:b/>
                <w:sz w:val="21"/>
              </w:rPr>
            </w:pPr>
            <w:r>
              <w:rPr>
                <w:rFonts w:ascii="Times New Roman"/>
                <w:b/>
                <w:sz w:val="21"/>
              </w:rPr>
              <w:t>3.2</w:t>
            </w:r>
          </w:p>
        </w:tc>
        <w:tc>
          <w:tcPr>
            <w:tcW w:w="1762" w:type="dxa"/>
          </w:tcPr>
          <w:p>
            <w:pPr>
              <w:pStyle w:val="TableParagraph"/>
              <w:spacing w:before="80"/>
              <w:ind w:left="171"/>
              <w:rPr>
                <w:rFonts w:ascii="微软雅黑" w:eastAsia="微软雅黑" w:hint="eastAsia"/>
                <w:b/>
                <w:sz w:val="21"/>
              </w:rPr>
            </w:pPr>
            <w:r>
              <w:rPr>
                <w:rFonts w:ascii="微软雅黑" w:eastAsia="微软雅黑" w:hint="eastAsia"/>
                <w:b/>
                <w:sz w:val="21"/>
              </w:rPr>
              <w:t>保险事故通知</w:t>
            </w:r>
          </w:p>
        </w:tc>
        <w:tc>
          <w:tcPr>
            <w:tcW w:w="7227" w:type="dxa"/>
          </w:tcPr>
          <w:p>
            <w:pPr>
              <w:pStyle w:val="TableParagraph"/>
              <w:spacing w:line="199" w:lineRule="auto" w:before="141"/>
              <w:ind w:left="118" w:right="101"/>
              <w:jc w:val="both"/>
              <w:rPr>
                <w:sz w:val="21"/>
              </w:rPr>
            </w:pPr>
            <w:r>
              <w:rPr>
                <w:spacing w:val="-5"/>
                <w:sz w:val="21"/>
              </w:rPr>
              <w:t>您或受益人应在知道保险事故发生之日起 </w:t>
            </w:r>
            <w:r>
              <w:rPr>
                <w:rFonts w:ascii="Times New Roman" w:eastAsia="Times New Roman"/>
                <w:sz w:val="21"/>
              </w:rPr>
              <w:t>10 </w:t>
            </w:r>
            <w:r>
              <w:rPr>
                <w:spacing w:val="-8"/>
                <w:sz w:val="21"/>
              </w:rPr>
              <w:t>日内通知本公司。</w:t>
            </w:r>
            <w:r>
              <w:rPr>
                <w:rFonts w:ascii="微软雅黑" w:eastAsia="微软雅黑" w:hint="eastAsia"/>
                <w:b/>
                <w:sz w:val="21"/>
              </w:rPr>
              <w:t>如果您或受益</w:t>
            </w:r>
            <w:r>
              <w:rPr>
                <w:rFonts w:ascii="微软雅黑" w:eastAsia="微软雅黑" w:hint="eastAsia"/>
                <w:b/>
                <w:spacing w:val="-3"/>
                <w:sz w:val="21"/>
              </w:rPr>
              <w:t>人故意或者因重大过失未及时通知，致使保险事故的性质、原因、损失程度等难以确定的，我们对无法确定的部分，不承担给付保险金的责任，</w:t>
            </w:r>
            <w:r>
              <w:rPr>
                <w:spacing w:val="-3"/>
                <w:sz w:val="21"/>
              </w:rPr>
              <w:t>但我们</w:t>
            </w:r>
          </w:p>
          <w:p>
            <w:pPr>
              <w:pStyle w:val="TableParagraph"/>
              <w:spacing w:line="259" w:lineRule="auto"/>
              <w:ind w:left="118" w:right="169"/>
              <w:jc w:val="both"/>
              <w:rPr>
                <w:sz w:val="21"/>
              </w:rPr>
            </w:pPr>
            <w:r>
              <w:rPr>
                <w:sz w:val="21"/>
              </w:rPr>
              <w:t>通过其他途径已经及时知道或者应当及时知道保险事故发生或者虽未及时通知但不影响我们确定保险事故的性质、原因、损失程度的除外。</w:t>
            </w:r>
          </w:p>
        </w:tc>
      </w:tr>
      <w:tr>
        <w:trPr>
          <w:trHeight w:val="580" w:hRule="atLeast"/>
        </w:trPr>
        <w:tc>
          <w:tcPr>
            <w:tcW w:w="671" w:type="dxa"/>
          </w:tcPr>
          <w:p>
            <w:pPr>
              <w:pStyle w:val="TableParagraph"/>
              <w:spacing w:before="174"/>
              <w:ind w:left="108"/>
              <w:rPr>
                <w:rFonts w:ascii="Times New Roman"/>
                <w:b/>
                <w:sz w:val="21"/>
              </w:rPr>
            </w:pPr>
            <w:r>
              <w:rPr>
                <w:rFonts w:ascii="Times New Roman"/>
                <w:b/>
                <w:sz w:val="21"/>
              </w:rPr>
              <w:t>3.3</w:t>
            </w:r>
          </w:p>
        </w:tc>
        <w:tc>
          <w:tcPr>
            <w:tcW w:w="1762" w:type="dxa"/>
          </w:tcPr>
          <w:p>
            <w:pPr>
              <w:pStyle w:val="TableParagraph"/>
              <w:spacing w:before="80"/>
              <w:ind w:left="171"/>
              <w:rPr>
                <w:rFonts w:ascii="微软雅黑" w:eastAsia="微软雅黑" w:hint="eastAsia"/>
                <w:b/>
                <w:sz w:val="21"/>
              </w:rPr>
            </w:pPr>
            <w:r>
              <w:rPr>
                <w:rFonts w:ascii="微软雅黑" w:eastAsia="微软雅黑" w:hint="eastAsia"/>
                <w:b/>
                <w:sz w:val="21"/>
              </w:rPr>
              <w:t>保险金申请</w:t>
            </w:r>
          </w:p>
        </w:tc>
        <w:tc>
          <w:tcPr>
            <w:tcW w:w="7227" w:type="dxa"/>
          </w:tcPr>
          <w:p>
            <w:pPr>
              <w:pStyle w:val="TableParagraph"/>
              <w:spacing w:before="142"/>
              <w:ind w:left="118"/>
              <w:rPr>
                <w:sz w:val="21"/>
              </w:rPr>
            </w:pPr>
            <w:r>
              <w:rPr>
                <w:sz w:val="21"/>
              </w:rPr>
              <w:t>在申请保险金时，请按照下列方式办理：</w:t>
            </w:r>
          </w:p>
        </w:tc>
      </w:tr>
      <w:tr>
        <w:trPr>
          <w:trHeight w:val="674" w:hRule="atLeast"/>
        </w:trPr>
        <w:tc>
          <w:tcPr>
            <w:tcW w:w="671" w:type="dxa"/>
          </w:tcPr>
          <w:p>
            <w:pPr>
              <w:pStyle w:val="TableParagraph"/>
              <w:ind w:left="0"/>
              <w:rPr>
                <w:rFonts w:ascii="Times New Roman"/>
                <w:sz w:val="20"/>
              </w:rPr>
            </w:pPr>
          </w:p>
        </w:tc>
        <w:tc>
          <w:tcPr>
            <w:tcW w:w="1762" w:type="dxa"/>
          </w:tcPr>
          <w:p>
            <w:pPr>
              <w:pStyle w:val="TableParagraph"/>
              <w:spacing w:line="300" w:lineRule="atLeast" w:before="74"/>
              <w:ind w:left="171" w:right="114"/>
              <w:rPr>
                <w:sz w:val="21"/>
              </w:rPr>
            </w:pPr>
            <w:r>
              <w:rPr>
                <w:sz w:val="21"/>
              </w:rPr>
              <w:t>重大疾病保险金申请</w:t>
            </w:r>
          </w:p>
        </w:tc>
        <w:tc>
          <w:tcPr>
            <w:tcW w:w="7227" w:type="dxa"/>
          </w:tcPr>
          <w:p>
            <w:pPr>
              <w:pStyle w:val="TableParagraph"/>
              <w:spacing w:line="300" w:lineRule="atLeast" w:before="74"/>
              <w:ind w:left="118" w:right="169"/>
              <w:rPr>
                <w:sz w:val="21"/>
              </w:rPr>
            </w:pPr>
            <w:r>
              <w:rPr>
                <w:sz w:val="21"/>
              </w:rPr>
              <w:t>由该项保险金受益人或其代理人填写保险金给付申请书，并须提供下列证明和资料：</w:t>
            </w:r>
          </w:p>
        </w:tc>
      </w:tr>
    </w:tbl>
    <w:p>
      <w:pPr>
        <w:spacing w:after="0" w:line="300" w:lineRule="atLeast"/>
        <w:rPr>
          <w:sz w:val="21"/>
        </w:rPr>
        <w:sectPr>
          <w:headerReference w:type="default" r:id="rId12"/>
          <w:pgSz w:w="11910" w:h="16840"/>
          <w:pgMar w:header="877" w:footer="992" w:top="1080" w:bottom="1180" w:left="1060" w:right="940"/>
        </w:sectPr>
      </w:pPr>
    </w:p>
    <w:p>
      <w:pPr>
        <w:pStyle w:val="BodyText"/>
        <w:spacing w:before="4"/>
        <w:rPr>
          <w:rFonts w:ascii="Times New Roman"/>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65"/>
        <w:gridCol w:w="7227"/>
      </w:tblGrid>
      <w:tr>
        <w:trPr>
          <w:trHeight w:val="3488" w:hRule="atLeast"/>
        </w:trPr>
        <w:tc>
          <w:tcPr>
            <w:tcW w:w="679" w:type="dxa"/>
            <w:tcBorders>
              <w:top w:val="single" w:sz="6" w:space="0" w:color="000000"/>
            </w:tcBorders>
          </w:tcPr>
          <w:p>
            <w:pPr>
              <w:pStyle w:val="TableParagraph"/>
              <w:ind w:left="0"/>
              <w:rPr>
                <w:rFonts w:ascii="Times New Roman"/>
                <w:sz w:val="20"/>
              </w:rPr>
            </w:pPr>
          </w:p>
        </w:tc>
        <w:tc>
          <w:tcPr>
            <w:tcW w:w="1765" w:type="dxa"/>
            <w:tcBorders>
              <w:top w:val="single" w:sz="6" w:space="0" w:color="000000"/>
            </w:tcBorders>
          </w:tcPr>
          <w:p>
            <w:pPr>
              <w:pStyle w:val="TableParagraph"/>
              <w:ind w:left="0"/>
              <w:rPr>
                <w:rFonts w:ascii="Times New Roman"/>
                <w:sz w:val="20"/>
              </w:rPr>
            </w:pPr>
          </w:p>
        </w:tc>
        <w:tc>
          <w:tcPr>
            <w:tcW w:w="7227" w:type="dxa"/>
            <w:tcBorders>
              <w:top w:val="single" w:sz="6" w:space="0" w:color="000000"/>
            </w:tcBorders>
          </w:tcPr>
          <w:p>
            <w:pPr>
              <w:pStyle w:val="TableParagraph"/>
              <w:numPr>
                <w:ilvl w:val="0"/>
                <w:numId w:val="6"/>
              </w:numPr>
              <w:tabs>
                <w:tab w:pos="682" w:val="left" w:leader="none"/>
              </w:tabs>
              <w:spacing w:line="240" w:lineRule="auto" w:before="69" w:after="0"/>
              <w:ind w:left="681" w:right="0" w:hanging="567"/>
              <w:jc w:val="left"/>
              <w:rPr>
                <w:sz w:val="21"/>
              </w:rPr>
            </w:pPr>
            <w:r>
              <w:rPr>
                <w:spacing w:val="-3"/>
                <w:sz w:val="21"/>
              </w:rPr>
              <w:t>有效的保险合同原件；</w:t>
            </w:r>
          </w:p>
          <w:p>
            <w:pPr>
              <w:pStyle w:val="TableParagraph"/>
              <w:numPr>
                <w:ilvl w:val="0"/>
                <w:numId w:val="6"/>
              </w:numPr>
              <w:tabs>
                <w:tab w:pos="682" w:val="left" w:leader="none"/>
              </w:tabs>
              <w:spacing w:line="240" w:lineRule="auto" w:before="25" w:after="0"/>
              <w:ind w:left="681" w:right="0" w:hanging="567"/>
              <w:jc w:val="left"/>
              <w:rPr>
                <w:sz w:val="21"/>
              </w:rPr>
            </w:pPr>
            <w:r>
              <w:rPr>
                <w:spacing w:val="-3"/>
                <w:sz w:val="21"/>
              </w:rPr>
              <w:t>受益人的有效身份证件；</w:t>
            </w:r>
          </w:p>
          <w:p>
            <w:pPr>
              <w:pStyle w:val="TableParagraph"/>
              <w:numPr>
                <w:ilvl w:val="0"/>
                <w:numId w:val="6"/>
              </w:numPr>
              <w:tabs>
                <w:tab w:pos="682" w:val="left" w:leader="none"/>
              </w:tabs>
              <w:spacing w:line="261" w:lineRule="auto" w:before="22" w:after="0"/>
              <w:ind w:left="681" w:right="105" w:hanging="567"/>
              <w:jc w:val="both"/>
              <w:rPr>
                <w:sz w:val="21"/>
              </w:rPr>
            </w:pPr>
            <w:r>
              <w:rPr>
                <w:spacing w:val="-3"/>
                <w:sz w:val="21"/>
              </w:rPr>
              <w:t>由医院专科医生出具的诊断证明书(包括：完整病历、出院小结、病理</w:t>
            </w:r>
            <w:r>
              <w:rPr>
                <w:spacing w:val="-11"/>
                <w:sz w:val="21"/>
              </w:rPr>
              <w:t>组织检查报告、血液检查、其他科学方法检验报告的病史资料及疾病诊</w:t>
            </w:r>
            <w:r>
              <w:rPr>
                <w:spacing w:val="-2"/>
                <w:sz w:val="21"/>
              </w:rPr>
              <w:t>断报告书)；</w:t>
            </w:r>
          </w:p>
          <w:p>
            <w:pPr>
              <w:pStyle w:val="TableParagraph"/>
              <w:numPr>
                <w:ilvl w:val="0"/>
                <w:numId w:val="6"/>
              </w:numPr>
              <w:tabs>
                <w:tab w:pos="682" w:val="left" w:leader="none"/>
              </w:tabs>
              <w:spacing w:line="261" w:lineRule="auto" w:before="6" w:after="0"/>
              <w:ind w:left="681" w:right="105" w:hanging="567"/>
              <w:jc w:val="left"/>
              <w:rPr>
                <w:sz w:val="21"/>
              </w:rPr>
            </w:pPr>
            <w:r>
              <w:rPr>
                <w:spacing w:val="-8"/>
                <w:sz w:val="21"/>
              </w:rPr>
              <w:t>所能提供的与确认保险事故的性质、原因、伤害程度等有关的其他证明</w:t>
            </w:r>
            <w:r>
              <w:rPr>
                <w:spacing w:val="-6"/>
                <w:sz w:val="21"/>
              </w:rPr>
              <w:t>和资料。</w:t>
            </w:r>
          </w:p>
          <w:p>
            <w:pPr>
              <w:pStyle w:val="TableParagraph"/>
              <w:spacing w:before="5"/>
              <w:ind w:left="0"/>
              <w:rPr>
                <w:rFonts w:ascii="Times New Roman"/>
                <w:sz w:val="23"/>
              </w:rPr>
            </w:pPr>
          </w:p>
          <w:p>
            <w:pPr>
              <w:pStyle w:val="TableParagraph"/>
              <w:spacing w:line="261" w:lineRule="auto"/>
              <w:ind w:left="114" w:right="172"/>
              <w:jc w:val="both"/>
              <w:rPr>
                <w:sz w:val="21"/>
              </w:rPr>
            </w:pPr>
            <w:r>
              <w:rPr>
                <w:sz w:val="21"/>
              </w:rPr>
              <w:t>若办理人为委托代理人，需提供授权委托书、代理人有效身份证件等文件。保险金申请的证明和资料不完整的，我们将及时一次性通知申请人补充提供有关证明和资料。</w:t>
            </w:r>
          </w:p>
        </w:tc>
      </w:tr>
      <w:tr>
        <w:trPr>
          <w:trHeight w:val="3594" w:hRule="atLeast"/>
        </w:trPr>
        <w:tc>
          <w:tcPr>
            <w:tcW w:w="679" w:type="dxa"/>
          </w:tcPr>
          <w:p>
            <w:pPr>
              <w:pStyle w:val="TableParagraph"/>
              <w:spacing w:before="175"/>
              <w:ind w:left="115"/>
              <w:rPr>
                <w:rFonts w:ascii="Times New Roman"/>
                <w:b/>
                <w:sz w:val="21"/>
              </w:rPr>
            </w:pPr>
            <w:r>
              <w:rPr>
                <w:rFonts w:ascii="Times New Roman"/>
                <w:b/>
                <w:sz w:val="21"/>
              </w:rPr>
              <w:t>3.4</w:t>
            </w:r>
          </w:p>
        </w:tc>
        <w:tc>
          <w:tcPr>
            <w:tcW w:w="1765" w:type="dxa"/>
          </w:tcPr>
          <w:p>
            <w:pPr>
              <w:pStyle w:val="TableParagraph"/>
              <w:spacing w:before="80"/>
              <w:ind w:left="170"/>
              <w:rPr>
                <w:rFonts w:ascii="微软雅黑" w:eastAsia="微软雅黑" w:hint="eastAsia"/>
                <w:b/>
                <w:sz w:val="21"/>
              </w:rPr>
            </w:pPr>
            <w:r>
              <w:rPr>
                <w:rFonts w:ascii="微软雅黑" w:eastAsia="微软雅黑" w:hint="eastAsia"/>
                <w:b/>
                <w:sz w:val="21"/>
              </w:rPr>
              <w:t>保险金给付</w:t>
            </w:r>
          </w:p>
        </w:tc>
        <w:tc>
          <w:tcPr>
            <w:tcW w:w="7227" w:type="dxa"/>
          </w:tcPr>
          <w:p>
            <w:pPr>
              <w:pStyle w:val="TableParagraph"/>
              <w:numPr>
                <w:ilvl w:val="0"/>
                <w:numId w:val="7"/>
              </w:numPr>
              <w:tabs>
                <w:tab w:pos="682" w:val="left" w:leader="none"/>
              </w:tabs>
              <w:spacing w:line="259" w:lineRule="auto" w:before="142" w:after="0"/>
              <w:ind w:left="681" w:right="107" w:hanging="567"/>
              <w:jc w:val="both"/>
              <w:rPr>
                <w:sz w:val="21"/>
              </w:rPr>
            </w:pPr>
            <w:r>
              <w:rPr>
                <w:spacing w:val="-8"/>
                <w:sz w:val="21"/>
              </w:rPr>
              <w:t>我们在收到保险金给付申请书及合同约定的证明和资料后，将在 </w:t>
            </w:r>
            <w:r>
              <w:rPr>
                <w:sz w:val="21"/>
              </w:rPr>
              <w:t>5</w:t>
            </w:r>
            <w:r>
              <w:rPr>
                <w:spacing w:val="-15"/>
                <w:sz w:val="21"/>
              </w:rPr>
              <w:t> 日内</w:t>
            </w:r>
            <w:r>
              <w:rPr>
                <w:spacing w:val="-6"/>
                <w:sz w:val="21"/>
              </w:rPr>
              <w:t>作出核定；情形复杂的，在 </w:t>
            </w:r>
            <w:r>
              <w:rPr>
                <w:sz w:val="21"/>
              </w:rPr>
              <w:t>30</w:t>
            </w:r>
            <w:r>
              <w:rPr>
                <w:spacing w:val="-8"/>
                <w:sz w:val="21"/>
              </w:rPr>
              <w:t> 日内作出核定。对属于保险责任的，我</w:t>
            </w:r>
          </w:p>
          <w:p>
            <w:pPr>
              <w:pStyle w:val="TableParagraph"/>
              <w:spacing w:before="7"/>
              <w:ind w:left="681"/>
              <w:rPr>
                <w:sz w:val="21"/>
              </w:rPr>
            </w:pPr>
            <w:r>
              <w:rPr>
                <w:spacing w:val="-5"/>
                <w:sz w:val="21"/>
              </w:rPr>
              <w:t>们在与受益人达成给付保险金的协议后 </w:t>
            </w:r>
            <w:r>
              <w:rPr>
                <w:sz w:val="21"/>
              </w:rPr>
              <w:t>10</w:t>
            </w:r>
            <w:r>
              <w:rPr>
                <w:spacing w:val="-13"/>
                <w:sz w:val="21"/>
              </w:rPr>
              <w:t> 日内，履行给付保险金义务。</w:t>
            </w:r>
          </w:p>
          <w:p>
            <w:pPr>
              <w:pStyle w:val="TableParagraph"/>
              <w:numPr>
                <w:ilvl w:val="0"/>
                <w:numId w:val="7"/>
              </w:numPr>
              <w:tabs>
                <w:tab w:pos="682" w:val="left" w:leader="none"/>
              </w:tabs>
              <w:spacing w:line="261" w:lineRule="auto" w:before="24" w:after="0"/>
              <w:ind w:left="681" w:right="103" w:hanging="567"/>
              <w:jc w:val="both"/>
              <w:rPr>
                <w:sz w:val="21"/>
              </w:rPr>
            </w:pPr>
            <w:r>
              <w:rPr>
                <w:spacing w:val="-8"/>
                <w:sz w:val="21"/>
              </w:rPr>
              <w:t>我们未及时履行前款规定义务的，除支付保险金外，应当赔偿受益人因</w:t>
            </w:r>
            <w:r>
              <w:rPr>
                <w:spacing w:val="-11"/>
                <w:sz w:val="21"/>
              </w:rPr>
              <w:t>此受到的损失。前述“损失”是指逾期支付保险金的利息损失，该利息</w:t>
            </w:r>
            <w:r>
              <w:rPr>
                <w:spacing w:val="-6"/>
                <w:sz w:val="21"/>
              </w:rPr>
              <w:t>根据中国人民银行公布的同时期人民币活期存款基准利率计算。</w:t>
            </w:r>
          </w:p>
          <w:p>
            <w:pPr>
              <w:pStyle w:val="TableParagraph"/>
              <w:numPr>
                <w:ilvl w:val="0"/>
                <w:numId w:val="7"/>
              </w:numPr>
              <w:tabs>
                <w:tab w:pos="682" w:val="left" w:leader="none"/>
              </w:tabs>
              <w:spacing w:line="259" w:lineRule="auto" w:before="6" w:after="0"/>
              <w:ind w:left="681" w:right="103" w:hanging="567"/>
              <w:jc w:val="both"/>
              <w:rPr>
                <w:sz w:val="21"/>
              </w:rPr>
            </w:pPr>
            <w:r>
              <w:rPr>
                <w:spacing w:val="-10"/>
                <w:sz w:val="21"/>
              </w:rPr>
              <w:t>不属于保险责任的，我们自作出核定之日起 </w:t>
            </w:r>
            <w:r>
              <w:rPr>
                <w:sz w:val="21"/>
              </w:rPr>
              <w:t>3</w:t>
            </w:r>
            <w:r>
              <w:rPr>
                <w:spacing w:val="-11"/>
                <w:sz w:val="21"/>
              </w:rPr>
              <w:t> 日内向受益人发出《拒绝</w:t>
            </w:r>
            <w:r>
              <w:rPr>
                <w:spacing w:val="-13"/>
                <w:sz w:val="21"/>
              </w:rPr>
              <w:t>给付保险金通知书》，并说明理由。</w:t>
            </w:r>
          </w:p>
          <w:p>
            <w:pPr>
              <w:pStyle w:val="TableParagraph"/>
              <w:numPr>
                <w:ilvl w:val="0"/>
                <w:numId w:val="7"/>
              </w:numPr>
              <w:tabs>
                <w:tab w:pos="682" w:val="left" w:leader="none"/>
              </w:tabs>
              <w:spacing w:line="261" w:lineRule="auto" w:before="8" w:after="0"/>
              <w:ind w:left="681" w:right="105" w:hanging="567"/>
              <w:jc w:val="both"/>
              <w:rPr>
                <w:sz w:val="21"/>
              </w:rPr>
            </w:pPr>
            <w:r>
              <w:rPr>
                <w:spacing w:val="-5"/>
                <w:sz w:val="21"/>
              </w:rPr>
              <w:t>我们在收到保险金给付申请书及有关证明和资料之日起 </w:t>
            </w:r>
            <w:r>
              <w:rPr>
                <w:sz w:val="21"/>
              </w:rPr>
              <w:t>60</w:t>
            </w:r>
            <w:r>
              <w:rPr>
                <w:spacing w:val="-10"/>
                <w:sz w:val="21"/>
              </w:rPr>
              <w:t> 日内，对给</w:t>
            </w:r>
            <w:r>
              <w:rPr>
                <w:spacing w:val="-11"/>
                <w:sz w:val="21"/>
              </w:rPr>
              <w:t>付保险金的数额不能确定的，根据已有证明和资料可以确定的数额先予</w:t>
            </w:r>
            <w:r>
              <w:rPr>
                <w:spacing w:val="-6"/>
                <w:sz w:val="21"/>
              </w:rPr>
              <w:t>支付；本公司最终确定给付保险金的数额后，将支付相应的差额。</w:t>
            </w:r>
          </w:p>
        </w:tc>
      </w:tr>
      <w:tr>
        <w:trPr>
          <w:trHeight w:val="895" w:hRule="atLeast"/>
        </w:trPr>
        <w:tc>
          <w:tcPr>
            <w:tcW w:w="679" w:type="dxa"/>
          </w:tcPr>
          <w:p>
            <w:pPr>
              <w:pStyle w:val="TableParagraph"/>
              <w:spacing w:before="173"/>
              <w:ind w:left="115"/>
              <w:rPr>
                <w:rFonts w:ascii="Times New Roman"/>
                <w:b/>
                <w:sz w:val="21"/>
              </w:rPr>
            </w:pPr>
            <w:r>
              <w:rPr>
                <w:rFonts w:ascii="Times New Roman"/>
                <w:b/>
                <w:sz w:val="21"/>
              </w:rPr>
              <w:t>3.5</w:t>
            </w:r>
          </w:p>
        </w:tc>
        <w:tc>
          <w:tcPr>
            <w:tcW w:w="1765" w:type="dxa"/>
          </w:tcPr>
          <w:p>
            <w:pPr>
              <w:pStyle w:val="TableParagraph"/>
              <w:spacing w:before="79"/>
              <w:ind w:left="170"/>
              <w:rPr>
                <w:rFonts w:ascii="微软雅黑" w:eastAsia="微软雅黑" w:hint="eastAsia"/>
                <w:b/>
                <w:sz w:val="21"/>
              </w:rPr>
            </w:pPr>
            <w:r>
              <w:rPr>
                <w:rFonts w:ascii="微软雅黑" w:eastAsia="微软雅黑" w:hint="eastAsia"/>
                <w:b/>
                <w:sz w:val="21"/>
              </w:rPr>
              <w:t>诉讼时效</w:t>
            </w:r>
          </w:p>
        </w:tc>
        <w:tc>
          <w:tcPr>
            <w:tcW w:w="7227" w:type="dxa"/>
          </w:tcPr>
          <w:p>
            <w:pPr>
              <w:pStyle w:val="TableParagraph"/>
              <w:spacing w:line="247" w:lineRule="auto" w:before="141"/>
              <w:ind w:left="114" w:right="112"/>
              <w:rPr>
                <w:sz w:val="21"/>
              </w:rPr>
            </w:pPr>
            <w:r>
              <w:rPr>
                <w:sz w:val="21"/>
              </w:rPr>
              <w:t>受益人向本公司请求给付保险金的诉讼时效期间为 </w:t>
            </w:r>
            <w:r>
              <w:rPr>
                <w:rFonts w:ascii="Times New Roman" w:eastAsia="Times New Roman"/>
                <w:sz w:val="21"/>
              </w:rPr>
              <w:t>2 </w:t>
            </w:r>
            <w:r>
              <w:rPr>
                <w:sz w:val="21"/>
              </w:rPr>
              <w:t>年，自其知道或应当知道保险事故发生之日起计算。</w:t>
            </w:r>
          </w:p>
        </w:tc>
      </w:tr>
      <w:tr>
        <w:trPr>
          <w:trHeight w:val="690" w:hRule="atLeast"/>
        </w:trPr>
        <w:tc>
          <w:tcPr>
            <w:tcW w:w="679" w:type="dxa"/>
            <w:tcBorders>
              <w:bottom w:val="single" w:sz="4" w:space="0" w:color="000000"/>
            </w:tcBorders>
          </w:tcPr>
          <w:p>
            <w:pPr>
              <w:pStyle w:val="TableParagraph"/>
              <w:spacing w:before="137"/>
              <w:ind w:left="115"/>
              <w:rPr>
                <w:rFonts w:ascii="Arial" w:hAnsi="Arial"/>
                <w:b/>
                <w:sz w:val="44"/>
              </w:rPr>
            </w:pPr>
            <w:r>
              <w:rPr>
                <w:rFonts w:ascii="Arial" w:hAnsi="Arial"/>
                <w:b/>
                <w:w w:val="118"/>
                <w:sz w:val="44"/>
              </w:rPr>
              <w:t></w:t>
            </w:r>
          </w:p>
        </w:tc>
        <w:tc>
          <w:tcPr>
            <w:tcW w:w="8992" w:type="dxa"/>
            <w:gridSpan w:val="2"/>
            <w:tcBorders>
              <w:bottom w:val="single" w:sz="4" w:space="0" w:color="000000"/>
            </w:tcBorders>
          </w:tcPr>
          <w:p>
            <w:pPr>
              <w:pStyle w:val="TableParagraph"/>
              <w:spacing w:before="152"/>
              <w:ind w:left="170"/>
              <w:rPr>
                <w:rFonts w:ascii="微软雅黑" w:eastAsia="微软雅黑" w:hint="eastAsia"/>
                <w:b/>
                <w:sz w:val="24"/>
              </w:rPr>
            </w:pPr>
            <w:r>
              <w:rPr>
                <w:rFonts w:ascii="微软雅黑" w:eastAsia="微软雅黑" w:hint="eastAsia"/>
                <w:b/>
                <w:sz w:val="24"/>
              </w:rPr>
              <w:t>如何交纳保险费</w:t>
            </w:r>
          </w:p>
        </w:tc>
      </w:tr>
      <w:tr>
        <w:trPr>
          <w:trHeight w:val="681" w:hRule="atLeast"/>
        </w:trPr>
        <w:tc>
          <w:tcPr>
            <w:tcW w:w="679" w:type="dxa"/>
            <w:tcBorders>
              <w:top w:val="single" w:sz="4" w:space="0" w:color="000000"/>
            </w:tcBorders>
          </w:tcPr>
          <w:p>
            <w:pPr>
              <w:pStyle w:val="TableParagraph"/>
              <w:spacing w:before="6"/>
              <w:ind w:left="0"/>
              <w:rPr>
                <w:rFonts w:ascii="Times New Roman"/>
                <w:sz w:val="22"/>
              </w:rPr>
            </w:pPr>
          </w:p>
          <w:p>
            <w:pPr>
              <w:pStyle w:val="TableParagraph"/>
              <w:ind w:left="115"/>
              <w:rPr>
                <w:rFonts w:ascii="Times New Roman"/>
                <w:b/>
                <w:sz w:val="21"/>
              </w:rPr>
            </w:pPr>
            <w:r>
              <w:rPr>
                <w:rFonts w:ascii="Times New Roman"/>
                <w:b/>
                <w:sz w:val="21"/>
              </w:rPr>
              <w:t>4.1</w:t>
            </w:r>
          </w:p>
        </w:tc>
        <w:tc>
          <w:tcPr>
            <w:tcW w:w="1765" w:type="dxa"/>
            <w:tcBorders>
              <w:top w:val="single" w:sz="4" w:space="0" w:color="000000"/>
            </w:tcBorders>
          </w:tcPr>
          <w:p>
            <w:pPr>
              <w:pStyle w:val="TableParagraph"/>
              <w:spacing w:before="165"/>
              <w:ind w:left="170"/>
              <w:rPr>
                <w:rFonts w:ascii="微软雅黑" w:eastAsia="微软雅黑" w:hint="eastAsia"/>
                <w:b/>
                <w:sz w:val="21"/>
              </w:rPr>
            </w:pPr>
            <w:r>
              <w:rPr>
                <w:rFonts w:ascii="微软雅黑" w:eastAsia="微软雅黑" w:hint="eastAsia"/>
                <w:b/>
                <w:sz w:val="21"/>
              </w:rPr>
              <w:t>保险费的交纳</w:t>
            </w:r>
          </w:p>
        </w:tc>
        <w:tc>
          <w:tcPr>
            <w:tcW w:w="7227" w:type="dxa"/>
            <w:tcBorders>
              <w:top w:val="single" w:sz="4" w:space="0" w:color="000000"/>
            </w:tcBorders>
          </w:tcPr>
          <w:p>
            <w:pPr>
              <w:pStyle w:val="TableParagraph"/>
              <w:spacing w:before="8"/>
              <w:ind w:left="0"/>
              <w:rPr>
                <w:rFonts w:ascii="Times New Roman"/>
                <w:sz w:val="19"/>
              </w:rPr>
            </w:pPr>
          </w:p>
          <w:p>
            <w:pPr>
              <w:pStyle w:val="TableParagraph"/>
              <w:spacing w:before="1"/>
              <w:ind w:left="114"/>
              <w:rPr>
                <w:sz w:val="21"/>
              </w:rPr>
            </w:pPr>
            <w:r>
              <w:rPr>
                <w:sz w:val="21"/>
              </w:rPr>
              <w:t>您应当在本合同的约定交费日期一次性交清保险费。</w:t>
            </w:r>
          </w:p>
        </w:tc>
      </w:tr>
      <w:tr>
        <w:trPr>
          <w:trHeight w:val="688" w:hRule="atLeast"/>
        </w:trPr>
        <w:tc>
          <w:tcPr>
            <w:tcW w:w="679" w:type="dxa"/>
            <w:tcBorders>
              <w:bottom w:val="single" w:sz="4" w:space="0" w:color="000000"/>
            </w:tcBorders>
          </w:tcPr>
          <w:p>
            <w:pPr>
              <w:pStyle w:val="TableParagraph"/>
              <w:spacing w:before="137"/>
              <w:ind w:left="115"/>
              <w:rPr>
                <w:rFonts w:ascii="Arial" w:hAnsi="Arial"/>
                <w:b/>
                <w:sz w:val="44"/>
              </w:rPr>
            </w:pPr>
            <w:r>
              <w:rPr>
                <w:rFonts w:ascii="Arial" w:hAnsi="Arial"/>
                <w:b/>
                <w:w w:val="118"/>
                <w:sz w:val="44"/>
              </w:rPr>
              <w:t></w:t>
            </w:r>
          </w:p>
        </w:tc>
        <w:tc>
          <w:tcPr>
            <w:tcW w:w="1765" w:type="dxa"/>
            <w:tcBorders>
              <w:bottom w:val="single" w:sz="4" w:space="0" w:color="000000"/>
            </w:tcBorders>
          </w:tcPr>
          <w:p>
            <w:pPr>
              <w:pStyle w:val="TableParagraph"/>
              <w:spacing w:before="152"/>
              <w:ind w:left="170"/>
              <w:rPr>
                <w:rFonts w:ascii="微软雅黑" w:eastAsia="微软雅黑" w:hint="eastAsia"/>
                <w:b/>
                <w:sz w:val="24"/>
              </w:rPr>
            </w:pPr>
            <w:r>
              <w:rPr>
                <w:rFonts w:ascii="微软雅黑" w:eastAsia="微软雅黑" w:hint="eastAsia"/>
                <w:b/>
                <w:sz w:val="24"/>
              </w:rPr>
              <w:t>其他事项</w:t>
            </w:r>
          </w:p>
        </w:tc>
        <w:tc>
          <w:tcPr>
            <w:tcW w:w="7227" w:type="dxa"/>
            <w:tcBorders>
              <w:bottom w:val="single" w:sz="4" w:space="0" w:color="000000"/>
            </w:tcBorders>
          </w:tcPr>
          <w:p>
            <w:pPr>
              <w:pStyle w:val="TableParagraph"/>
              <w:ind w:left="0"/>
              <w:rPr>
                <w:rFonts w:ascii="Times New Roman"/>
                <w:sz w:val="20"/>
              </w:rPr>
            </w:pPr>
          </w:p>
        </w:tc>
      </w:tr>
      <w:tr>
        <w:trPr>
          <w:trHeight w:val="4381" w:hRule="atLeast"/>
        </w:trPr>
        <w:tc>
          <w:tcPr>
            <w:tcW w:w="679" w:type="dxa"/>
            <w:tcBorders>
              <w:top w:val="single" w:sz="4" w:space="0" w:color="000000"/>
            </w:tcBorders>
          </w:tcPr>
          <w:p>
            <w:pPr>
              <w:pStyle w:val="TableParagraph"/>
              <w:spacing w:before="11"/>
              <w:ind w:left="0"/>
              <w:rPr>
                <w:rFonts w:ascii="Times New Roman"/>
                <w:sz w:val="25"/>
              </w:rPr>
            </w:pPr>
          </w:p>
          <w:p>
            <w:pPr>
              <w:pStyle w:val="TableParagraph"/>
              <w:ind w:left="115"/>
              <w:rPr>
                <w:rFonts w:ascii="Times New Roman"/>
                <w:b/>
                <w:sz w:val="21"/>
              </w:rPr>
            </w:pPr>
            <w:r>
              <w:rPr>
                <w:rFonts w:ascii="Times New Roman"/>
                <w:b/>
                <w:sz w:val="21"/>
              </w:rPr>
              <w:t>5.1</w:t>
            </w:r>
          </w:p>
        </w:tc>
        <w:tc>
          <w:tcPr>
            <w:tcW w:w="1765" w:type="dxa"/>
            <w:tcBorders>
              <w:top w:val="single" w:sz="4" w:space="0" w:color="000000"/>
            </w:tcBorders>
          </w:tcPr>
          <w:p>
            <w:pPr>
              <w:pStyle w:val="TableParagraph"/>
              <w:spacing w:before="1"/>
              <w:ind w:left="0"/>
              <w:rPr>
                <w:rFonts w:ascii="Times New Roman"/>
                <w:sz w:val="23"/>
              </w:rPr>
            </w:pPr>
          </w:p>
          <w:p>
            <w:pPr>
              <w:pStyle w:val="TableParagraph"/>
              <w:spacing w:line="199" w:lineRule="auto"/>
              <w:ind w:left="170" w:right="113"/>
              <w:rPr>
                <w:rFonts w:ascii="微软雅黑" w:eastAsia="微软雅黑" w:hint="eastAsia"/>
                <w:b/>
                <w:sz w:val="21"/>
              </w:rPr>
            </w:pPr>
            <w:r>
              <w:rPr>
                <w:rFonts w:ascii="微软雅黑" w:eastAsia="微软雅黑" w:hint="eastAsia"/>
                <w:b/>
                <w:sz w:val="21"/>
              </w:rPr>
              <w:t>明确说明与如实告知</w:t>
            </w:r>
          </w:p>
        </w:tc>
        <w:tc>
          <w:tcPr>
            <w:tcW w:w="7227" w:type="dxa"/>
            <w:tcBorders>
              <w:top w:val="single" w:sz="4" w:space="0" w:color="000000"/>
            </w:tcBorders>
          </w:tcPr>
          <w:p>
            <w:pPr>
              <w:pStyle w:val="TableParagraph"/>
              <w:spacing w:before="1"/>
              <w:ind w:left="0"/>
              <w:rPr>
                <w:rFonts w:ascii="Times New Roman"/>
                <w:sz w:val="23"/>
              </w:rPr>
            </w:pPr>
          </w:p>
          <w:p>
            <w:pPr>
              <w:pStyle w:val="TableParagraph"/>
              <w:spacing w:line="274" w:lineRule="exact" w:before="1"/>
              <w:ind w:left="114"/>
              <w:rPr>
                <w:sz w:val="21"/>
              </w:rPr>
            </w:pPr>
            <w:r>
              <w:rPr>
                <w:sz w:val="21"/>
              </w:rPr>
              <w:t>订立本合同时，本公司应向您说明本合同的内容。</w:t>
            </w:r>
          </w:p>
          <w:p>
            <w:pPr>
              <w:pStyle w:val="TableParagraph"/>
              <w:spacing w:line="237" w:lineRule="auto" w:before="2"/>
              <w:ind w:left="114" w:right="173"/>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41" w:lineRule="exact"/>
              <w:ind w:left="114"/>
              <w:rPr>
                <w:sz w:val="21"/>
              </w:rPr>
            </w:pPr>
            <w:r>
              <w:rPr>
                <w:sz w:val="21"/>
              </w:rPr>
              <w:t>本公司就您和被保险人的有关情况提出询问，您应当如实告知。</w:t>
            </w:r>
          </w:p>
          <w:p>
            <w:pPr>
              <w:pStyle w:val="TableParagraph"/>
              <w:spacing w:line="180" w:lineRule="auto" w:before="58"/>
              <w:ind w:left="114" w:right="152"/>
              <w:jc w:val="both"/>
              <w:rPr>
                <w:rFonts w:ascii="微软雅黑" w:eastAsia="微软雅黑" w:hint="eastAsia"/>
                <w:b/>
                <w:sz w:val="21"/>
              </w:rPr>
            </w:pPr>
            <w:r>
              <w:rPr>
                <w:rFonts w:ascii="微软雅黑" w:eastAsia="微软雅黑" w:hint="eastAsia"/>
                <w:b/>
                <w:sz w:val="21"/>
              </w:rPr>
              <w:t>如果您故意或者因重大过失未履行前款规定的如实告知义务，足以影响本公司决定是否同意承保或者提高保险费率的，本公司有权解除本合同。</w:t>
            </w:r>
          </w:p>
          <w:p>
            <w:pPr>
              <w:pStyle w:val="TableParagraph"/>
              <w:spacing w:line="180" w:lineRule="auto" w:before="1"/>
              <w:ind w:left="114" w:right="152"/>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如果您故意不履行如实告知义务，对于本合同解除前发生的保险事故，本公司不承担给付保险金的责任，并不退还保险费。</w:t>
            </w:r>
          </w:p>
          <w:p>
            <w:pPr>
              <w:pStyle w:val="TableParagraph"/>
              <w:spacing w:line="180" w:lineRule="auto" w:before="1"/>
              <w:ind w:left="114" w:right="152"/>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 对于本合同解除前发生的保险事故，本公司不承担给付保险金的责任，但应当退还保险费。</w:t>
            </w:r>
          </w:p>
          <w:p>
            <w:pPr>
              <w:pStyle w:val="TableParagraph"/>
              <w:spacing w:line="246" w:lineRule="exact"/>
              <w:ind w:left="114"/>
              <w:jc w:val="both"/>
              <w:rPr>
                <w:sz w:val="21"/>
              </w:rPr>
            </w:pPr>
            <w:r>
              <w:rPr>
                <w:spacing w:val="-5"/>
                <w:sz w:val="21"/>
              </w:rPr>
              <w:t>本公司在合同订立时已经知道您未如实告知的情况的，本公司不得解除合同；</w:t>
            </w:r>
          </w:p>
          <w:p>
            <w:pPr>
              <w:pStyle w:val="TableParagraph"/>
              <w:spacing w:line="255" w:lineRule="exact" w:before="25"/>
              <w:ind w:left="114"/>
              <w:jc w:val="both"/>
              <w:rPr>
                <w:sz w:val="21"/>
              </w:rPr>
            </w:pPr>
            <w:r>
              <w:rPr>
                <w:sz w:val="21"/>
              </w:rPr>
              <w:t>发生保险事故的，本公司承担给付保险金的责任。</w:t>
            </w:r>
          </w:p>
        </w:tc>
      </w:tr>
    </w:tbl>
    <w:p>
      <w:pPr>
        <w:spacing w:after="0" w:line="255" w:lineRule="exact"/>
        <w:jc w:val="both"/>
        <w:rPr>
          <w:sz w:val="21"/>
        </w:rPr>
        <w:sectPr>
          <w:headerReference w:type="default" r:id="rId13"/>
          <w:pgSz w:w="11910" w:h="16840"/>
          <w:pgMar w:header="857" w:footer="992" w:top="1040" w:bottom="1180" w:left="1080" w:right="940"/>
        </w:sectPr>
      </w:pPr>
    </w:p>
    <w:p>
      <w:pPr>
        <w:pStyle w:val="BodyText"/>
        <w:spacing w:before="4"/>
        <w:rPr>
          <w:rFonts w:ascii="Times New Roman"/>
          <w:sz w:val="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765"/>
        <w:gridCol w:w="7225"/>
      </w:tblGrid>
      <w:tr>
        <w:trPr>
          <w:trHeight w:val="3794" w:hRule="atLeast"/>
        </w:trPr>
        <w:tc>
          <w:tcPr>
            <w:tcW w:w="686" w:type="dxa"/>
            <w:tcBorders>
              <w:top w:val="single" w:sz="6" w:space="0" w:color="000000"/>
            </w:tcBorders>
          </w:tcPr>
          <w:p>
            <w:pPr>
              <w:pStyle w:val="TableParagraph"/>
              <w:ind w:left="0"/>
              <w:rPr>
                <w:rFonts w:ascii="Times New Roman"/>
                <w:sz w:val="22"/>
              </w:rPr>
            </w:pPr>
          </w:p>
          <w:p>
            <w:pPr>
              <w:pStyle w:val="TableParagraph"/>
              <w:spacing w:before="148"/>
              <w:ind w:left="122"/>
              <w:rPr>
                <w:rFonts w:ascii="Times New Roman"/>
                <w:b/>
                <w:sz w:val="21"/>
              </w:rPr>
            </w:pPr>
            <w:r>
              <w:rPr>
                <w:rFonts w:ascii="Times New Roman"/>
                <w:b/>
                <w:sz w:val="21"/>
              </w:rPr>
              <w:t>5.2</w:t>
            </w:r>
          </w:p>
        </w:tc>
        <w:tc>
          <w:tcPr>
            <w:tcW w:w="1765" w:type="dxa"/>
            <w:tcBorders>
              <w:top w:val="single" w:sz="6" w:space="0" w:color="000000"/>
            </w:tcBorders>
          </w:tcPr>
          <w:p>
            <w:pPr>
              <w:pStyle w:val="TableParagraph"/>
              <w:spacing w:before="7"/>
              <w:ind w:left="0"/>
              <w:rPr>
                <w:rFonts w:ascii="Times New Roman"/>
                <w:sz w:val="26"/>
              </w:rPr>
            </w:pPr>
          </w:p>
          <w:p>
            <w:pPr>
              <w:pStyle w:val="TableParagraph"/>
              <w:ind w:left="171"/>
              <w:rPr>
                <w:rFonts w:ascii="微软雅黑" w:eastAsia="微软雅黑" w:hint="eastAsia"/>
                <w:b/>
                <w:sz w:val="21"/>
              </w:rPr>
            </w:pPr>
            <w:r>
              <w:rPr>
                <w:rFonts w:ascii="微软雅黑" w:eastAsia="微软雅黑" w:hint="eastAsia"/>
                <w:b/>
                <w:sz w:val="21"/>
              </w:rPr>
              <w:t>年龄性别错误</w:t>
            </w:r>
          </w:p>
        </w:tc>
        <w:tc>
          <w:tcPr>
            <w:tcW w:w="7225" w:type="dxa"/>
            <w:tcBorders>
              <w:top w:val="single" w:sz="6" w:space="0" w:color="000000"/>
            </w:tcBorders>
          </w:tcPr>
          <w:p>
            <w:pPr>
              <w:pStyle w:val="TableParagraph"/>
              <w:ind w:left="0"/>
              <w:rPr>
                <w:rFonts w:ascii="Times New Roman"/>
                <w:sz w:val="20"/>
              </w:rPr>
            </w:pPr>
          </w:p>
          <w:p>
            <w:pPr>
              <w:pStyle w:val="TableParagraph"/>
              <w:spacing w:line="237" w:lineRule="auto" w:before="142"/>
              <w:ind w:left="115" w:right="170"/>
              <w:jc w:val="both"/>
              <w:rPr>
                <w:sz w:val="21"/>
              </w:rPr>
            </w:pPr>
            <w:r>
              <w:rPr>
                <w:sz w:val="21"/>
              </w:rPr>
              <w:t>被保险人的年龄按周岁计算，其中投保年龄以合同生效日时的周岁为准。在投保本保险时，您应将被保险人的真实年龄和性别在投保单上填明，如果发生错误，我们将按照下列规则处理：</w:t>
            </w:r>
          </w:p>
          <w:p>
            <w:pPr>
              <w:pStyle w:val="TableParagraph"/>
              <w:spacing w:line="192" w:lineRule="auto" w:before="6"/>
              <w:ind w:left="115" w:right="149"/>
              <w:jc w:val="both"/>
              <w:rPr>
                <w:sz w:val="21"/>
              </w:rPr>
            </w:pPr>
            <w:r>
              <w:rPr>
                <w:rFonts w:ascii="微软雅黑" w:eastAsia="微软雅黑" w:hint="eastAsia"/>
                <w:b/>
                <w:sz w:val="21"/>
              </w:rPr>
              <w:t>如果您申报的被保险人年龄或性别不真实，并且其真实年龄或性别不符合合同约定的年龄或性别限制的，我们可以解除合同并对合同解除前发生的保险事故不承担给付保险金的责任，</w:t>
            </w:r>
            <w:r>
              <w:rPr>
                <w:sz w:val="21"/>
              </w:rPr>
              <w:t>但是自合同成立之日起逾二年的除外。解除本合同的，我们将按退保处理。</w:t>
            </w:r>
          </w:p>
          <w:p>
            <w:pPr>
              <w:pStyle w:val="TableParagraph"/>
              <w:spacing w:line="237" w:lineRule="auto"/>
              <w:ind w:left="115" w:right="170"/>
              <w:jc w:val="both"/>
              <w:rPr>
                <w:sz w:val="21"/>
              </w:rPr>
            </w:pPr>
            <w:r>
              <w:rPr>
                <w:sz w:val="21"/>
              </w:rPr>
              <w:t>如果您申报的被保险人年龄或性别不真实，致使实交保险费少于应交保险费的，我们有权更正，并要求您补交保险费。如果已经发生保险事故，在给付保险金时，我们将按实交保险费和应交保险费的比例给付。</w:t>
            </w:r>
          </w:p>
          <w:p>
            <w:pPr>
              <w:pStyle w:val="TableParagraph"/>
              <w:ind w:left="115" w:right="170"/>
              <w:jc w:val="both"/>
              <w:rPr>
                <w:sz w:val="21"/>
              </w:rPr>
            </w:pPr>
            <w:r>
              <w:rPr>
                <w:sz w:val="21"/>
              </w:rPr>
              <w:t>如果您申报的被保险人年龄或性别不真实，致使实交保险费多于应交保险费的，我们会将多收的保险费无息退还给您。</w:t>
            </w:r>
          </w:p>
        </w:tc>
      </w:tr>
      <w:tr>
        <w:trPr>
          <w:trHeight w:val="1074" w:hRule="atLeast"/>
        </w:trPr>
        <w:tc>
          <w:tcPr>
            <w:tcW w:w="686" w:type="dxa"/>
          </w:tcPr>
          <w:p>
            <w:pPr>
              <w:pStyle w:val="TableParagraph"/>
              <w:spacing w:before="147"/>
              <w:ind w:left="122"/>
              <w:rPr>
                <w:rFonts w:ascii="Times New Roman"/>
                <w:b/>
                <w:sz w:val="21"/>
              </w:rPr>
            </w:pPr>
            <w:r>
              <w:rPr>
                <w:rFonts w:ascii="Times New Roman"/>
                <w:b/>
                <w:sz w:val="21"/>
              </w:rPr>
              <w:t>5.3</w:t>
            </w:r>
          </w:p>
        </w:tc>
        <w:tc>
          <w:tcPr>
            <w:tcW w:w="1765" w:type="dxa"/>
          </w:tcPr>
          <w:p>
            <w:pPr>
              <w:pStyle w:val="TableParagraph"/>
              <w:spacing w:line="199" w:lineRule="auto" w:before="114"/>
              <w:ind w:left="171" w:right="113"/>
              <w:rPr>
                <w:rFonts w:ascii="微软雅黑" w:eastAsia="微软雅黑" w:hint="eastAsia"/>
                <w:b/>
                <w:sz w:val="21"/>
              </w:rPr>
            </w:pPr>
            <w:r>
              <w:rPr>
                <w:rFonts w:ascii="微软雅黑" w:eastAsia="微软雅黑" w:hint="eastAsia"/>
                <w:b/>
                <w:sz w:val="21"/>
              </w:rPr>
              <w:t>合同解除权的限制</w:t>
            </w:r>
          </w:p>
        </w:tc>
        <w:tc>
          <w:tcPr>
            <w:tcW w:w="7225" w:type="dxa"/>
          </w:tcPr>
          <w:p>
            <w:pPr>
              <w:pStyle w:val="TableParagraph"/>
              <w:spacing w:line="281" w:lineRule="exact" w:before="115"/>
              <w:ind w:left="115"/>
              <w:rPr>
                <w:sz w:val="21"/>
              </w:rPr>
            </w:pPr>
            <w:r>
              <w:rPr>
                <w:sz w:val="21"/>
              </w:rPr>
              <w:t>条款规定的合同解除权，自本公司知道有解除事由之日起，超过 </w:t>
            </w:r>
            <w:r>
              <w:rPr>
                <w:rFonts w:ascii="Times New Roman" w:eastAsia="Times New Roman"/>
                <w:sz w:val="21"/>
              </w:rPr>
              <w:t>30 </w:t>
            </w:r>
            <w:r>
              <w:rPr>
                <w:sz w:val="21"/>
              </w:rPr>
              <w:t>日不行使</w:t>
            </w:r>
          </w:p>
          <w:p>
            <w:pPr>
              <w:pStyle w:val="TableParagraph"/>
              <w:spacing w:line="225" w:lineRule="auto" w:before="7"/>
              <w:ind w:left="115" w:right="108"/>
              <w:rPr>
                <w:sz w:val="21"/>
              </w:rPr>
            </w:pPr>
            <w:r>
              <w:rPr>
                <w:sz w:val="21"/>
              </w:rPr>
              <w:t>而消灭。自本合同成立之日起超过 </w:t>
            </w:r>
            <w:r>
              <w:rPr>
                <w:rFonts w:ascii="Times New Roman" w:eastAsia="Times New Roman"/>
                <w:sz w:val="21"/>
              </w:rPr>
              <w:t>2 </w:t>
            </w:r>
            <w:r>
              <w:rPr>
                <w:sz w:val="21"/>
              </w:rPr>
              <w:t>年的，本公司不得解除合同；发生保险事故的，本公司承担给付保险金的责任。</w:t>
            </w:r>
          </w:p>
        </w:tc>
      </w:tr>
      <w:tr>
        <w:trPr>
          <w:trHeight w:val="1087" w:hRule="atLeast"/>
        </w:trPr>
        <w:tc>
          <w:tcPr>
            <w:tcW w:w="686" w:type="dxa"/>
          </w:tcPr>
          <w:p>
            <w:pPr>
              <w:pStyle w:val="TableParagraph"/>
              <w:spacing w:before="131"/>
              <w:ind w:left="122"/>
              <w:rPr>
                <w:rFonts w:ascii="Times New Roman"/>
                <w:b/>
                <w:sz w:val="21"/>
              </w:rPr>
            </w:pPr>
            <w:r>
              <w:rPr>
                <w:rFonts w:ascii="Times New Roman"/>
                <w:b/>
                <w:sz w:val="21"/>
              </w:rPr>
              <w:t>5.4</w:t>
            </w:r>
          </w:p>
        </w:tc>
        <w:tc>
          <w:tcPr>
            <w:tcW w:w="1765" w:type="dxa"/>
          </w:tcPr>
          <w:p>
            <w:pPr>
              <w:pStyle w:val="TableParagraph"/>
              <w:spacing w:before="36"/>
              <w:ind w:left="171"/>
              <w:rPr>
                <w:rFonts w:ascii="微软雅黑" w:eastAsia="微软雅黑" w:hint="eastAsia"/>
                <w:b/>
                <w:sz w:val="21"/>
              </w:rPr>
            </w:pPr>
            <w:r>
              <w:rPr>
                <w:rFonts w:ascii="微软雅黑" w:eastAsia="微软雅黑" w:hint="eastAsia"/>
                <w:b/>
                <w:sz w:val="21"/>
              </w:rPr>
              <w:t>未还款项</w:t>
            </w:r>
          </w:p>
        </w:tc>
        <w:tc>
          <w:tcPr>
            <w:tcW w:w="7225" w:type="dxa"/>
          </w:tcPr>
          <w:p>
            <w:pPr>
              <w:pStyle w:val="TableParagraph"/>
              <w:spacing w:line="237" w:lineRule="auto" w:before="102"/>
              <w:ind w:left="115" w:right="170"/>
              <w:jc w:val="both"/>
              <w:rPr>
                <w:sz w:val="21"/>
              </w:rPr>
            </w:pPr>
            <w:r>
              <w:rPr>
                <w:sz w:val="21"/>
              </w:rPr>
              <w:t>本公司在给付各项保险金、退还现金价值或返还保险费时，如果您有其他未还清款项，本公司会在扣除上述欠款及应付利息后给付。但本合同另有约定的除外。</w:t>
            </w:r>
          </w:p>
        </w:tc>
      </w:tr>
      <w:tr>
        <w:trPr>
          <w:trHeight w:val="914" w:hRule="atLeast"/>
        </w:trPr>
        <w:tc>
          <w:tcPr>
            <w:tcW w:w="686" w:type="dxa"/>
          </w:tcPr>
          <w:p>
            <w:pPr>
              <w:pStyle w:val="TableParagraph"/>
              <w:spacing w:before="160"/>
              <w:ind w:left="122"/>
              <w:rPr>
                <w:rFonts w:ascii="Times New Roman"/>
                <w:b/>
                <w:sz w:val="21"/>
              </w:rPr>
            </w:pPr>
            <w:r>
              <w:rPr>
                <w:rFonts w:ascii="Times New Roman"/>
                <w:b/>
                <w:sz w:val="21"/>
              </w:rPr>
              <w:t>5.5</w:t>
            </w:r>
          </w:p>
        </w:tc>
        <w:tc>
          <w:tcPr>
            <w:tcW w:w="1765" w:type="dxa"/>
          </w:tcPr>
          <w:p>
            <w:pPr>
              <w:pStyle w:val="TableParagraph"/>
              <w:spacing w:before="65"/>
              <w:ind w:left="171"/>
              <w:rPr>
                <w:rFonts w:ascii="微软雅黑" w:eastAsia="微软雅黑" w:hint="eastAsia"/>
                <w:b/>
                <w:sz w:val="21"/>
              </w:rPr>
            </w:pPr>
            <w:r>
              <w:rPr>
                <w:rFonts w:ascii="微软雅黑" w:eastAsia="微软雅黑" w:hint="eastAsia"/>
                <w:b/>
                <w:sz w:val="21"/>
              </w:rPr>
              <w:t>事故鉴定</w:t>
            </w:r>
          </w:p>
        </w:tc>
        <w:tc>
          <w:tcPr>
            <w:tcW w:w="7225" w:type="dxa"/>
          </w:tcPr>
          <w:p>
            <w:pPr>
              <w:pStyle w:val="TableParagraph"/>
              <w:spacing w:line="273" w:lineRule="auto" w:before="149"/>
              <w:ind w:left="115" w:right="170"/>
              <w:rPr>
                <w:sz w:val="21"/>
              </w:rPr>
            </w:pPr>
            <w:r>
              <w:rPr>
                <w:sz w:val="21"/>
              </w:rPr>
              <w:t>如果您申请保险金的给付，本公司有权要求被保险人在医院进行身体检查或到具有相应鉴定资格的专业鉴定机构进行残疾鉴定。</w:t>
            </w:r>
          </w:p>
        </w:tc>
      </w:tr>
      <w:tr>
        <w:trPr>
          <w:trHeight w:val="890" w:hRule="atLeast"/>
        </w:trPr>
        <w:tc>
          <w:tcPr>
            <w:tcW w:w="686" w:type="dxa"/>
          </w:tcPr>
          <w:p>
            <w:pPr>
              <w:pStyle w:val="TableParagraph"/>
              <w:spacing w:before="170"/>
              <w:ind w:left="122"/>
              <w:rPr>
                <w:rFonts w:ascii="Times New Roman"/>
                <w:b/>
                <w:sz w:val="21"/>
              </w:rPr>
            </w:pPr>
            <w:r>
              <w:rPr>
                <w:rFonts w:ascii="Times New Roman"/>
                <w:b/>
                <w:sz w:val="21"/>
              </w:rPr>
              <w:t>5.6</w:t>
            </w:r>
          </w:p>
        </w:tc>
        <w:tc>
          <w:tcPr>
            <w:tcW w:w="1765" w:type="dxa"/>
          </w:tcPr>
          <w:p>
            <w:pPr>
              <w:pStyle w:val="TableParagraph"/>
              <w:spacing w:before="75"/>
              <w:ind w:left="171"/>
              <w:rPr>
                <w:rFonts w:ascii="微软雅黑" w:eastAsia="微软雅黑" w:hint="eastAsia"/>
                <w:b/>
                <w:sz w:val="21"/>
              </w:rPr>
            </w:pPr>
            <w:r>
              <w:rPr>
                <w:rFonts w:ascii="微软雅黑" w:eastAsia="微软雅黑" w:hint="eastAsia"/>
                <w:b/>
                <w:sz w:val="21"/>
              </w:rPr>
              <w:t>争议处理</w:t>
            </w:r>
          </w:p>
        </w:tc>
        <w:tc>
          <w:tcPr>
            <w:tcW w:w="7225" w:type="dxa"/>
          </w:tcPr>
          <w:p>
            <w:pPr>
              <w:pStyle w:val="TableParagraph"/>
              <w:spacing w:line="261" w:lineRule="auto" w:before="137"/>
              <w:ind w:left="115" w:right="170"/>
              <w:rPr>
                <w:sz w:val="21"/>
              </w:rPr>
            </w:pPr>
            <w:r>
              <w:rPr>
                <w:sz w:val="21"/>
              </w:rPr>
              <w:t>因履行本合同发生的争议，当事人协商解决不成，依法向保单签发机构所在地的人民法院起诉。</w:t>
            </w:r>
          </w:p>
        </w:tc>
      </w:tr>
      <w:tr>
        <w:trPr>
          <w:trHeight w:val="689" w:hRule="atLeast"/>
        </w:trPr>
        <w:tc>
          <w:tcPr>
            <w:tcW w:w="686" w:type="dxa"/>
            <w:tcBorders>
              <w:bottom w:val="single" w:sz="4" w:space="0" w:color="000000"/>
            </w:tcBorders>
          </w:tcPr>
          <w:p>
            <w:pPr>
              <w:pStyle w:val="TableParagraph"/>
              <w:spacing w:before="135"/>
              <w:ind w:left="122"/>
              <w:rPr>
                <w:rFonts w:ascii="Arial" w:hAnsi="Arial"/>
                <w:b/>
                <w:sz w:val="44"/>
              </w:rPr>
            </w:pPr>
            <w:r>
              <w:rPr>
                <w:rFonts w:ascii="Arial" w:hAnsi="Arial"/>
                <w:b/>
                <w:w w:val="118"/>
                <w:sz w:val="44"/>
              </w:rPr>
              <w:t></w:t>
            </w:r>
          </w:p>
        </w:tc>
        <w:tc>
          <w:tcPr>
            <w:tcW w:w="1765" w:type="dxa"/>
            <w:tcBorders>
              <w:bottom w:val="single" w:sz="4" w:space="0" w:color="000000"/>
            </w:tcBorders>
          </w:tcPr>
          <w:p>
            <w:pPr>
              <w:pStyle w:val="TableParagraph"/>
              <w:spacing w:before="151"/>
              <w:ind w:left="291"/>
              <w:rPr>
                <w:rFonts w:ascii="微软雅黑" w:eastAsia="微软雅黑" w:hint="eastAsia"/>
                <w:b/>
                <w:sz w:val="24"/>
              </w:rPr>
            </w:pPr>
            <w:r>
              <w:rPr>
                <w:rFonts w:ascii="微软雅黑" w:eastAsia="微软雅黑" w:hint="eastAsia"/>
                <w:b/>
                <w:sz w:val="24"/>
              </w:rPr>
              <w:t>释义</w:t>
            </w:r>
          </w:p>
        </w:tc>
        <w:tc>
          <w:tcPr>
            <w:tcW w:w="7225" w:type="dxa"/>
            <w:tcBorders>
              <w:bottom w:val="single" w:sz="4" w:space="0" w:color="000000"/>
            </w:tcBorders>
          </w:tcPr>
          <w:p>
            <w:pPr>
              <w:pStyle w:val="TableParagraph"/>
              <w:ind w:left="0"/>
              <w:rPr>
                <w:rFonts w:ascii="Times New Roman"/>
                <w:sz w:val="20"/>
              </w:rPr>
            </w:pPr>
          </w:p>
        </w:tc>
      </w:tr>
      <w:tr>
        <w:trPr>
          <w:trHeight w:val="970" w:hRule="atLeast"/>
        </w:trPr>
        <w:tc>
          <w:tcPr>
            <w:tcW w:w="686" w:type="dxa"/>
            <w:tcBorders>
              <w:top w:val="single" w:sz="4" w:space="0" w:color="000000"/>
            </w:tcBorders>
          </w:tcPr>
          <w:p>
            <w:pPr>
              <w:pStyle w:val="TableParagraph"/>
              <w:spacing w:before="6"/>
              <w:ind w:left="0"/>
              <w:rPr>
                <w:rFonts w:ascii="Times New Roman"/>
                <w:sz w:val="22"/>
              </w:rPr>
            </w:pPr>
          </w:p>
          <w:p>
            <w:pPr>
              <w:pStyle w:val="TableParagraph"/>
              <w:ind w:left="122"/>
              <w:rPr>
                <w:rFonts w:ascii="Times New Roman"/>
                <w:b/>
                <w:sz w:val="21"/>
              </w:rPr>
            </w:pPr>
            <w:r>
              <w:rPr>
                <w:rFonts w:ascii="Times New Roman"/>
                <w:b/>
                <w:sz w:val="21"/>
              </w:rPr>
              <w:t>6.1</w:t>
            </w:r>
          </w:p>
        </w:tc>
        <w:tc>
          <w:tcPr>
            <w:tcW w:w="1765" w:type="dxa"/>
            <w:tcBorders>
              <w:top w:val="single" w:sz="4" w:space="0" w:color="000000"/>
            </w:tcBorders>
          </w:tcPr>
          <w:p>
            <w:pPr>
              <w:pStyle w:val="TableParagraph"/>
              <w:spacing w:before="165"/>
              <w:ind w:left="171"/>
              <w:rPr>
                <w:rFonts w:ascii="微软雅黑" w:eastAsia="微软雅黑" w:hint="eastAsia"/>
                <w:b/>
                <w:sz w:val="21"/>
              </w:rPr>
            </w:pPr>
            <w:r>
              <w:rPr>
                <w:rFonts w:ascii="微软雅黑" w:eastAsia="微软雅黑" w:hint="eastAsia"/>
                <w:b/>
                <w:sz w:val="21"/>
              </w:rPr>
              <w:t>周岁</w:t>
            </w:r>
          </w:p>
        </w:tc>
        <w:tc>
          <w:tcPr>
            <w:tcW w:w="7225" w:type="dxa"/>
            <w:tcBorders>
              <w:top w:val="single" w:sz="4" w:space="0" w:color="000000"/>
            </w:tcBorders>
          </w:tcPr>
          <w:p>
            <w:pPr>
              <w:pStyle w:val="TableParagraph"/>
              <w:spacing w:before="8"/>
              <w:ind w:left="0"/>
              <w:rPr>
                <w:rFonts w:ascii="Times New Roman"/>
                <w:sz w:val="19"/>
              </w:rPr>
            </w:pPr>
          </w:p>
          <w:p>
            <w:pPr>
              <w:pStyle w:val="TableParagraph"/>
              <w:spacing w:line="261" w:lineRule="auto" w:before="1"/>
              <w:ind w:left="115" w:right="170"/>
              <w:rPr>
                <w:sz w:val="21"/>
              </w:rPr>
            </w:pPr>
            <w:r>
              <w:rPr>
                <w:sz w:val="21"/>
              </w:rPr>
              <w:t>周岁年龄是指按法定有效身份证件文件中记载的出生日期计算的年龄，自出生之日起为零周岁，每经过一年增加一岁，不足一年的不计。</w:t>
            </w:r>
          </w:p>
        </w:tc>
      </w:tr>
      <w:tr>
        <w:trPr>
          <w:trHeight w:val="885" w:hRule="atLeast"/>
        </w:trPr>
        <w:tc>
          <w:tcPr>
            <w:tcW w:w="686" w:type="dxa"/>
          </w:tcPr>
          <w:p>
            <w:pPr>
              <w:pStyle w:val="TableParagraph"/>
              <w:spacing w:before="160"/>
              <w:ind w:left="122"/>
              <w:rPr>
                <w:rFonts w:ascii="Times New Roman"/>
                <w:b/>
                <w:sz w:val="21"/>
              </w:rPr>
            </w:pPr>
            <w:r>
              <w:rPr>
                <w:rFonts w:ascii="Times New Roman"/>
                <w:b/>
                <w:sz w:val="21"/>
              </w:rPr>
              <w:t>6.2</w:t>
            </w:r>
          </w:p>
        </w:tc>
        <w:tc>
          <w:tcPr>
            <w:tcW w:w="1765" w:type="dxa"/>
          </w:tcPr>
          <w:p>
            <w:pPr>
              <w:pStyle w:val="TableParagraph"/>
              <w:spacing w:before="65"/>
              <w:ind w:left="171"/>
              <w:rPr>
                <w:rFonts w:ascii="微软雅黑" w:eastAsia="微软雅黑" w:hint="eastAsia"/>
                <w:b/>
                <w:sz w:val="21"/>
              </w:rPr>
            </w:pPr>
            <w:r>
              <w:rPr>
                <w:rFonts w:ascii="微软雅黑" w:eastAsia="微软雅黑" w:hint="eastAsia"/>
                <w:b/>
                <w:sz w:val="21"/>
              </w:rPr>
              <w:t>有效身份证件</w:t>
            </w:r>
          </w:p>
        </w:tc>
        <w:tc>
          <w:tcPr>
            <w:tcW w:w="7225" w:type="dxa"/>
          </w:tcPr>
          <w:p>
            <w:pPr>
              <w:pStyle w:val="TableParagraph"/>
              <w:spacing w:line="261" w:lineRule="auto" w:before="128"/>
              <w:ind w:left="115" w:right="170"/>
              <w:rPr>
                <w:sz w:val="21"/>
              </w:rPr>
            </w:pPr>
            <w:r>
              <w:rPr>
                <w:sz w:val="21"/>
              </w:rPr>
              <w:t>指依据法律规定，由有权机构制作颁发的证明身份的证件、文件等，如：居民身份证、护照、军人证等。</w:t>
            </w:r>
          </w:p>
        </w:tc>
      </w:tr>
      <w:tr>
        <w:trPr>
          <w:trHeight w:val="912" w:hRule="atLeast"/>
        </w:trPr>
        <w:tc>
          <w:tcPr>
            <w:tcW w:w="686" w:type="dxa"/>
          </w:tcPr>
          <w:p>
            <w:pPr>
              <w:pStyle w:val="TableParagraph"/>
              <w:spacing w:before="175"/>
              <w:ind w:left="122"/>
              <w:rPr>
                <w:rFonts w:ascii="Times New Roman"/>
                <w:b/>
                <w:sz w:val="21"/>
              </w:rPr>
            </w:pPr>
            <w:r>
              <w:rPr>
                <w:rFonts w:ascii="Times New Roman"/>
                <w:b/>
                <w:sz w:val="21"/>
              </w:rPr>
              <w:t>6.3</w:t>
            </w:r>
          </w:p>
        </w:tc>
        <w:tc>
          <w:tcPr>
            <w:tcW w:w="1765" w:type="dxa"/>
          </w:tcPr>
          <w:p>
            <w:pPr>
              <w:pStyle w:val="TableParagraph"/>
              <w:spacing w:before="80"/>
              <w:ind w:left="171"/>
              <w:rPr>
                <w:rFonts w:ascii="微软雅黑" w:eastAsia="微软雅黑" w:hint="eastAsia"/>
                <w:b/>
                <w:sz w:val="21"/>
              </w:rPr>
            </w:pPr>
            <w:r>
              <w:rPr>
                <w:rFonts w:ascii="微软雅黑" w:eastAsia="微软雅黑" w:hint="eastAsia"/>
                <w:b/>
                <w:sz w:val="21"/>
              </w:rPr>
              <w:t>现金价值</w:t>
            </w:r>
          </w:p>
        </w:tc>
        <w:tc>
          <w:tcPr>
            <w:tcW w:w="7225" w:type="dxa"/>
          </w:tcPr>
          <w:p>
            <w:pPr>
              <w:pStyle w:val="TableParagraph"/>
              <w:spacing w:line="261" w:lineRule="auto" w:before="142"/>
              <w:ind w:left="115" w:right="170"/>
              <w:rPr>
                <w:sz w:val="21"/>
              </w:rPr>
            </w:pPr>
            <w:r>
              <w:rPr>
                <w:sz w:val="21"/>
              </w:rPr>
              <w:t>指保险单所具有的价值，通常体现为解除合同时，根据精算原理计算的，由本公司退还的那部分金额。</w:t>
            </w:r>
          </w:p>
        </w:tc>
      </w:tr>
      <w:tr>
        <w:trPr>
          <w:trHeight w:val="620" w:hRule="atLeast"/>
        </w:trPr>
        <w:tc>
          <w:tcPr>
            <w:tcW w:w="686" w:type="dxa"/>
          </w:tcPr>
          <w:p>
            <w:pPr>
              <w:pStyle w:val="TableParagraph"/>
              <w:spacing w:before="186"/>
              <w:ind w:left="122"/>
              <w:rPr>
                <w:rFonts w:ascii="Times New Roman"/>
                <w:b/>
                <w:sz w:val="21"/>
              </w:rPr>
            </w:pPr>
            <w:r>
              <w:rPr>
                <w:rFonts w:ascii="Times New Roman"/>
                <w:b/>
                <w:sz w:val="21"/>
              </w:rPr>
              <w:t>6.4</w:t>
            </w:r>
          </w:p>
        </w:tc>
        <w:tc>
          <w:tcPr>
            <w:tcW w:w="1765" w:type="dxa"/>
          </w:tcPr>
          <w:p>
            <w:pPr>
              <w:pStyle w:val="TableParagraph"/>
              <w:spacing w:before="92"/>
              <w:ind w:left="171"/>
              <w:rPr>
                <w:rFonts w:ascii="微软雅黑" w:eastAsia="微软雅黑" w:hint="eastAsia"/>
                <w:b/>
                <w:sz w:val="21"/>
              </w:rPr>
            </w:pPr>
            <w:r>
              <w:rPr>
                <w:rFonts w:ascii="微软雅黑" w:eastAsia="微软雅黑" w:hint="eastAsia"/>
                <w:b/>
                <w:sz w:val="21"/>
              </w:rPr>
              <w:t>重大疾病</w:t>
            </w:r>
          </w:p>
        </w:tc>
        <w:tc>
          <w:tcPr>
            <w:tcW w:w="7225" w:type="dxa"/>
          </w:tcPr>
          <w:p>
            <w:pPr>
              <w:pStyle w:val="TableParagraph"/>
              <w:spacing w:before="154"/>
              <w:ind w:left="115"/>
              <w:rPr>
                <w:sz w:val="21"/>
              </w:rPr>
            </w:pPr>
            <w:r>
              <w:rPr>
                <w:sz w:val="21"/>
              </w:rPr>
              <w:t>指符合以下疾病定义所述条件的疾病，应当由专科医生明确诊断：</w:t>
            </w:r>
          </w:p>
        </w:tc>
      </w:tr>
      <w:tr>
        <w:trPr>
          <w:trHeight w:val="2506" w:hRule="atLeast"/>
        </w:trPr>
        <w:tc>
          <w:tcPr>
            <w:tcW w:w="686" w:type="dxa"/>
          </w:tcPr>
          <w:p>
            <w:pPr>
              <w:pStyle w:val="TableParagraph"/>
              <w:ind w:left="0"/>
              <w:rPr>
                <w:rFonts w:ascii="Times New Roman"/>
                <w:sz w:val="20"/>
              </w:rPr>
            </w:pPr>
          </w:p>
        </w:tc>
        <w:tc>
          <w:tcPr>
            <w:tcW w:w="1765" w:type="dxa"/>
          </w:tcPr>
          <w:p>
            <w:pPr>
              <w:pStyle w:val="TableParagraph"/>
              <w:tabs>
                <w:tab w:pos="591" w:val="left" w:leader="none"/>
              </w:tabs>
              <w:spacing w:before="71"/>
              <w:ind w:left="171"/>
              <w:rPr>
                <w:rFonts w:ascii="微软雅黑" w:eastAsia="微软雅黑" w:hint="eastAsia"/>
                <w:b/>
                <w:sz w:val="21"/>
              </w:rPr>
            </w:pPr>
            <w:r>
              <w:rPr>
                <w:rFonts w:ascii="Times New Roman" w:eastAsia="Times New Roman"/>
                <w:b/>
                <w:sz w:val="21"/>
              </w:rPr>
              <w:t>1.</w:t>
              <w:tab/>
            </w:r>
            <w:r>
              <w:rPr>
                <w:rFonts w:ascii="微软雅黑" w:eastAsia="微软雅黑" w:hint="eastAsia"/>
                <w:b/>
                <w:sz w:val="21"/>
              </w:rPr>
              <w:t>恶性肿瘤</w:t>
            </w:r>
          </w:p>
        </w:tc>
        <w:tc>
          <w:tcPr>
            <w:tcW w:w="7225" w:type="dxa"/>
          </w:tcPr>
          <w:p>
            <w:pPr>
              <w:pStyle w:val="TableParagraph"/>
              <w:spacing w:line="261" w:lineRule="auto" w:before="134"/>
              <w:ind w:left="115"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6"/>
              <w:ind w:left="115"/>
              <w:jc w:val="both"/>
              <w:rPr>
                <w:sz w:val="21"/>
              </w:rPr>
            </w:pPr>
            <w:r>
              <w:rPr>
                <w:sz w:val="21"/>
              </w:rPr>
              <w:t>下列疾病不在保障范围内：</w:t>
            </w:r>
          </w:p>
          <w:p>
            <w:pPr>
              <w:pStyle w:val="TableParagraph"/>
              <w:spacing w:before="25"/>
              <w:ind w:left="115"/>
              <w:jc w:val="both"/>
              <w:rPr>
                <w:sz w:val="21"/>
              </w:rPr>
            </w:pPr>
            <w:r>
              <w:rPr>
                <w:sz w:val="21"/>
              </w:rPr>
              <w:t>（1）原位癌；</w:t>
            </w:r>
          </w:p>
          <w:p>
            <w:pPr>
              <w:pStyle w:val="TableParagraph"/>
              <w:spacing w:before="25"/>
              <w:ind w:left="115"/>
              <w:jc w:val="both"/>
              <w:rPr>
                <w:sz w:val="21"/>
              </w:rPr>
            </w:pPr>
            <w:r>
              <w:rPr>
                <w:sz w:val="21"/>
              </w:rPr>
              <w:t>（2）相当于 Binet 分期方案 A 期程度的慢性淋巴细胞白血病；</w:t>
            </w:r>
          </w:p>
          <w:p>
            <w:pPr>
              <w:pStyle w:val="TableParagraph"/>
              <w:spacing w:line="255" w:lineRule="exact" w:before="25"/>
              <w:ind w:left="115"/>
              <w:jc w:val="both"/>
              <w:rPr>
                <w:sz w:val="21"/>
              </w:rPr>
            </w:pPr>
            <w:r>
              <w:rPr>
                <w:sz w:val="21"/>
              </w:rPr>
              <w:t>（3）相当于 Ann Arbor 分期方案 I 期程度的何杰金氏病；</w:t>
            </w:r>
          </w:p>
        </w:tc>
      </w:tr>
    </w:tbl>
    <w:p>
      <w:pPr>
        <w:spacing w:after="0" w:line="255" w:lineRule="exact"/>
        <w:jc w:val="both"/>
        <w:rPr>
          <w:sz w:val="21"/>
        </w:rPr>
        <w:sectPr>
          <w:pgSz w:w="11910" w:h="16840"/>
          <w:pgMar w:header="857" w:footer="992" w:top="1040" w:bottom="1180" w:left="1080" w:right="940"/>
        </w:sectPr>
      </w:pPr>
    </w:p>
    <w:p>
      <w:pPr>
        <w:pStyle w:val="BodyText"/>
        <w:spacing w:before="4"/>
        <w:rPr>
          <w:rFonts w:ascii="Times New Roman"/>
          <w:sz w:val="2"/>
        </w:rPr>
      </w:pPr>
      <w:r>
        <w:rPr/>
        <w:drawing>
          <wp:anchor distT="0" distB="0" distL="0" distR="0" allowOverlap="1" layoutInCell="1" locked="0" behindDoc="1" simplePos="0" relativeHeight="268410143">
            <wp:simplePos x="0" y="0"/>
            <wp:positionH relativeFrom="page">
              <wp:posOffset>6700949</wp:posOffset>
            </wp:positionH>
            <wp:positionV relativeFrom="page">
              <wp:posOffset>2698241</wp:posOffset>
            </wp:positionV>
            <wp:extent cx="59721" cy="103727"/>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4" cstate="print"/>
                    <a:stretch>
                      <a:fillRect/>
                    </a:stretch>
                  </pic:blipFill>
                  <pic:spPr>
                    <a:xfrm>
                      <a:off x="0" y="0"/>
                      <a:ext cx="59721" cy="103727"/>
                    </a:xfrm>
                    <a:prstGeom prst="rect">
                      <a:avLst/>
                    </a:prstGeom>
                  </pic:spPr>
                </pic:pic>
              </a:graphicData>
            </a:graphic>
          </wp:anchor>
        </w:drawing>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7427"/>
      </w:tblGrid>
      <w:tr>
        <w:trPr>
          <w:trHeight w:val="1132" w:hRule="atLeast"/>
        </w:trPr>
        <w:tc>
          <w:tcPr>
            <w:tcW w:w="2464" w:type="dxa"/>
            <w:tcBorders>
              <w:top w:val="single" w:sz="6" w:space="0" w:color="000000"/>
            </w:tcBorders>
          </w:tcPr>
          <w:p>
            <w:pPr>
              <w:pStyle w:val="TableParagraph"/>
              <w:ind w:left="0"/>
              <w:rPr>
                <w:rFonts w:ascii="Times New Roman"/>
                <w:sz w:val="20"/>
              </w:rPr>
            </w:pPr>
          </w:p>
        </w:tc>
        <w:tc>
          <w:tcPr>
            <w:tcW w:w="7427" w:type="dxa"/>
            <w:tcBorders>
              <w:top w:val="single" w:sz="6" w:space="0" w:color="000000"/>
            </w:tcBorders>
          </w:tcPr>
          <w:p>
            <w:pPr>
              <w:pStyle w:val="TableParagraph"/>
              <w:spacing w:before="6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23"/>
              <w:rPr>
                <w:sz w:val="21"/>
              </w:rPr>
            </w:pPr>
            <w:r>
              <w:rPr>
                <w:sz w:val="21"/>
              </w:rPr>
              <w:t>（6）感染艾滋病病毒或患艾滋病期间所患恶性肿瘤。</w:t>
            </w:r>
          </w:p>
        </w:tc>
      </w:tr>
      <w:tr>
        <w:trPr>
          <w:trHeight w:val="2397" w:hRule="atLeast"/>
        </w:trPr>
        <w:tc>
          <w:tcPr>
            <w:tcW w:w="2464" w:type="dxa"/>
          </w:tcPr>
          <w:p>
            <w:pPr>
              <w:pStyle w:val="TableParagraph"/>
              <w:tabs>
                <w:tab w:pos="1291" w:val="left" w:leader="none"/>
              </w:tabs>
              <w:spacing w:line="189" w:lineRule="auto" w:before="147"/>
              <w:ind w:left="1291" w:right="114" w:hanging="420"/>
              <w:rPr>
                <w:rFonts w:ascii="微软雅黑" w:eastAsia="微软雅黑" w:hint="eastAsia"/>
                <w:b/>
                <w:sz w:val="21"/>
              </w:rPr>
            </w:pPr>
            <w:r>
              <w:rPr>
                <w:rFonts w:ascii="Times New Roman" w:eastAsia="Times New Roman"/>
                <w:b/>
                <w:sz w:val="21"/>
              </w:rPr>
              <w:t>2.</w:t>
              <w:tab/>
            </w:r>
            <w:r>
              <w:rPr>
                <w:rFonts w:ascii="微软雅黑" w:eastAsia="微软雅黑" w:hint="eastAsia"/>
                <w:b/>
                <w:sz w:val="21"/>
              </w:rPr>
              <w:t>急性心肌梗 塞</w:t>
            </w:r>
          </w:p>
        </w:tc>
        <w:tc>
          <w:tcPr>
            <w:tcW w:w="7427" w:type="dxa"/>
          </w:tcPr>
          <w:p>
            <w:pPr>
              <w:pStyle w:val="TableParagraph"/>
              <w:spacing w:line="261" w:lineRule="auto" w:before="134"/>
              <w:ind w:right="307"/>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（1）典型临床表现，例如急性胸痛等；</w:t>
            </w:r>
          </w:p>
          <w:p>
            <w:pPr>
              <w:pStyle w:val="TableParagraph"/>
              <w:spacing w:before="25"/>
              <w:rPr>
                <w:sz w:val="21"/>
              </w:rPr>
            </w:pPr>
            <w:r>
              <w:rPr>
                <w:sz w:val="21"/>
              </w:rPr>
              <w:t>（2）新近的心电图改变提示急性心肌梗塞；</w:t>
            </w:r>
          </w:p>
          <w:p>
            <w:pPr>
              <w:pStyle w:val="TableParagraph"/>
              <w:spacing w:line="261" w:lineRule="auto" w:before="23"/>
              <w:ind w:left="642" w:right="249" w:hanging="527"/>
              <w:rPr>
                <w:sz w:val="21"/>
              </w:rPr>
            </w:pPr>
            <w:r>
              <w:rPr>
                <w:sz w:val="21"/>
              </w:rPr>
              <w:t>（3）心肌酶或肌钙蛋白有诊断意义的升高，或呈符合急性心肌梗塞的动态性变化；</w:t>
            </w:r>
          </w:p>
          <w:p>
            <w:pPr>
              <w:pStyle w:val="TableParagraph"/>
              <w:spacing w:before="6"/>
              <w:rPr>
                <w:sz w:val="21"/>
              </w:rPr>
            </w:pPr>
            <w:r>
              <w:rPr>
                <w:sz w:val="21"/>
              </w:rPr>
              <w:t>（4）</w:t>
            </w:r>
            <w:r>
              <w:rPr>
                <w:spacing w:val="-15"/>
                <w:sz w:val="21"/>
              </w:rPr>
              <w:t>发病 </w:t>
            </w:r>
            <w:r>
              <w:rPr>
                <w:sz w:val="21"/>
              </w:rPr>
              <w:t>90</w:t>
            </w:r>
            <w:r>
              <w:rPr>
                <w:spacing w:val="-20"/>
                <w:sz w:val="21"/>
              </w:rPr>
              <w:t> 天后，经检查证实左心室功能降低，如左心室射血分数低于 </w:t>
            </w:r>
            <w:r>
              <w:rPr>
                <w:sz w:val="21"/>
              </w:rPr>
              <w:t>50。</w:t>
            </w:r>
          </w:p>
        </w:tc>
      </w:tr>
      <w:tr>
        <w:trPr>
          <w:trHeight w:val="2404" w:hRule="atLeast"/>
        </w:trPr>
        <w:tc>
          <w:tcPr>
            <w:tcW w:w="2464" w:type="dxa"/>
          </w:tcPr>
          <w:p>
            <w:pPr>
              <w:pStyle w:val="TableParagraph"/>
              <w:tabs>
                <w:tab w:pos="1291" w:val="left" w:leader="none"/>
              </w:tabs>
              <w:spacing w:line="189" w:lineRule="auto" w:before="148"/>
              <w:ind w:left="1291" w:right="114" w:hanging="420"/>
              <w:rPr>
                <w:rFonts w:ascii="微软雅黑" w:eastAsia="微软雅黑" w:hint="eastAsia"/>
                <w:b/>
                <w:sz w:val="21"/>
              </w:rPr>
            </w:pPr>
            <w:r>
              <w:rPr>
                <w:rFonts w:ascii="Times New Roman" w:eastAsia="Times New Roman"/>
                <w:b/>
                <w:sz w:val="21"/>
              </w:rPr>
              <w:t>3.</w:t>
              <w:tab/>
            </w:r>
            <w:r>
              <w:rPr>
                <w:rFonts w:ascii="微软雅黑" w:eastAsia="微软雅黑" w:hint="eastAsia"/>
                <w:b/>
                <w:sz w:val="21"/>
              </w:rPr>
              <w:t>脑中风后遗 症</w:t>
            </w:r>
          </w:p>
        </w:tc>
        <w:tc>
          <w:tcPr>
            <w:tcW w:w="7427" w:type="dxa"/>
          </w:tcPr>
          <w:p>
            <w:pPr>
              <w:pStyle w:val="TableParagraph"/>
              <w:spacing w:line="261" w:lineRule="auto" w:before="134"/>
              <w:ind w:right="301"/>
              <w:jc w:val="both"/>
              <w:rPr>
                <w:sz w:val="21"/>
              </w:rPr>
            </w:pPr>
            <w:r>
              <w:rPr>
                <w:sz w:val="21"/>
              </w:rPr>
              <w:t>指因脑血管的突发病变引起脑血管出血、栓塞或梗塞，并导致神经系统永久</w:t>
            </w:r>
            <w:r>
              <w:rPr>
                <w:spacing w:val="-3"/>
                <w:sz w:val="21"/>
              </w:rPr>
              <w:t>性功能障碍。神经系统永久性的功能障碍，指疾病确诊 </w:t>
            </w:r>
            <w:r>
              <w:rPr>
                <w:sz w:val="21"/>
              </w:rPr>
              <w:t>180</w:t>
            </w:r>
            <w:r>
              <w:rPr>
                <w:spacing w:val="-3"/>
                <w:sz w:val="21"/>
              </w:rPr>
              <w:t> 天后，仍遗留下列一种或一种以上障碍：</w:t>
            </w:r>
          </w:p>
          <w:p>
            <w:pPr>
              <w:pStyle w:val="TableParagraph"/>
              <w:spacing w:line="275" w:lineRule="exact"/>
              <w:jc w:val="both"/>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6</w:t>
            </w:r>
            <w:r>
              <w:rPr>
                <w:rFonts w:ascii="Times New Roman" w:eastAsia="Times New Roman"/>
                <w:spacing w:val="-3"/>
                <w:w w:val="100"/>
                <w:sz w:val="21"/>
              </w:rPr>
              <w:t>.1</w:t>
            </w:r>
            <w:r>
              <w:rPr>
                <w:rFonts w:ascii="Times New Roman" w:eastAsia="Times New Roman"/>
                <w:spacing w:val="-1"/>
                <w:w w:val="100"/>
                <w:sz w:val="21"/>
              </w:rPr>
              <w:t>5</w:t>
            </w:r>
            <w:r>
              <w:rPr>
                <w:spacing w:val="-106"/>
                <w:w w:val="100"/>
                <w:sz w:val="21"/>
              </w:rPr>
              <w:t>）；</w:t>
            </w:r>
          </w:p>
          <w:p>
            <w:pPr>
              <w:pStyle w:val="TableParagraph"/>
              <w:spacing w:line="300" w:lineRule="exact"/>
              <w:jc w:val="both"/>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6</w:t>
            </w:r>
            <w:r>
              <w:rPr>
                <w:rFonts w:ascii="Times New Roman" w:eastAsia="Times New Roman"/>
                <w:spacing w:val="-3"/>
                <w:w w:val="100"/>
                <w:sz w:val="21"/>
              </w:rPr>
              <w:t>.1</w:t>
            </w:r>
            <w:r>
              <w:rPr>
                <w:rFonts w:ascii="Times New Roman" w:eastAsia="Times New Roman"/>
                <w:spacing w:val="-1"/>
                <w:w w:val="100"/>
                <w:sz w:val="21"/>
              </w:rPr>
              <w:t>6</w:t>
            </w:r>
            <w:r>
              <w:rPr>
                <w:spacing w:val="-106"/>
                <w:w w:val="100"/>
                <w:sz w:val="21"/>
              </w:rPr>
              <w:t>）；</w:t>
            </w:r>
          </w:p>
          <w:p>
            <w:pPr>
              <w:pStyle w:val="TableParagraph"/>
              <w:spacing w:line="331" w:lineRule="exact"/>
              <w:jc w:val="both"/>
              <w:rPr>
                <w:sz w:val="21"/>
              </w:rPr>
            </w:pPr>
            <w:r>
              <w:rPr>
                <w:sz w:val="21"/>
              </w:rPr>
              <w:t>（3）自主生活能力完全丧失，无法独立完成</w:t>
            </w:r>
            <w:r>
              <w:rPr>
                <w:rFonts w:ascii="微软雅黑" w:eastAsia="微软雅黑" w:hint="eastAsia"/>
                <w:b/>
                <w:sz w:val="21"/>
              </w:rPr>
              <w:t>六项基本日常生活活动</w:t>
            </w:r>
            <w:r>
              <w:rPr>
                <w:sz w:val="21"/>
              </w:rPr>
              <w:t>（见释义</w:t>
            </w:r>
          </w:p>
          <w:p>
            <w:pPr>
              <w:pStyle w:val="TableParagraph"/>
              <w:ind w:left="642"/>
              <w:rPr>
                <w:sz w:val="21"/>
              </w:rPr>
            </w:pPr>
            <w:r>
              <w:rPr>
                <w:rFonts w:ascii="Times New Roman" w:eastAsia="Times New Roman"/>
                <w:sz w:val="21"/>
              </w:rPr>
              <w:t>6.17</w:t>
            </w:r>
            <w:r>
              <w:rPr>
                <w:sz w:val="21"/>
              </w:rPr>
              <w:t>）中的三项或三项以上。</w:t>
            </w:r>
          </w:p>
        </w:tc>
      </w:tr>
      <w:tr>
        <w:trPr>
          <w:trHeight w:val="1790" w:hRule="atLeast"/>
        </w:trPr>
        <w:tc>
          <w:tcPr>
            <w:tcW w:w="2464" w:type="dxa"/>
          </w:tcPr>
          <w:p>
            <w:pPr>
              <w:pStyle w:val="TableParagraph"/>
              <w:tabs>
                <w:tab w:pos="1291" w:val="left" w:leader="none"/>
              </w:tabs>
              <w:spacing w:line="189" w:lineRule="auto" w:before="138"/>
              <w:ind w:left="1291" w:right="114" w:hanging="420"/>
              <w:rPr>
                <w:rFonts w:ascii="微软雅黑" w:eastAsia="微软雅黑" w:hint="eastAsia"/>
                <w:b/>
                <w:sz w:val="21"/>
              </w:rPr>
            </w:pPr>
            <w:r>
              <w:rPr>
                <w:rFonts w:ascii="Times New Roman" w:eastAsia="Times New Roman"/>
                <w:b/>
                <w:sz w:val="21"/>
              </w:rPr>
              <w:t>4.</w:t>
              <w:tab/>
            </w:r>
            <w:r>
              <w:rPr>
                <w:rFonts w:ascii="微软雅黑" w:eastAsia="微软雅黑" w:hint="eastAsia"/>
                <w:b/>
                <w:sz w:val="21"/>
              </w:rPr>
              <w:t>重大器官移 植术/造血干细胞移植术</w:t>
            </w:r>
          </w:p>
        </w:tc>
        <w:tc>
          <w:tcPr>
            <w:tcW w:w="7427" w:type="dxa"/>
          </w:tcPr>
          <w:p>
            <w:pPr>
              <w:pStyle w:val="TableParagraph"/>
              <w:spacing w:line="261" w:lineRule="auto" w:before="124"/>
              <w:ind w:right="307"/>
              <w:jc w:val="both"/>
              <w:rPr>
                <w:sz w:val="21"/>
              </w:rPr>
            </w:pPr>
            <w:r>
              <w:rPr>
                <w:sz w:val="21"/>
              </w:rPr>
              <w:t>重大器官移植术，指因相应器官功能衰竭，已经实施了肾脏、肝脏、心脏或肺脏的异体移植手术。</w:t>
            </w:r>
          </w:p>
          <w:p>
            <w:pPr>
              <w:pStyle w:val="TableParagraph"/>
              <w:spacing w:line="261" w:lineRule="auto" w:before="5"/>
              <w:ind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7" w:hRule="atLeast"/>
        </w:trPr>
        <w:tc>
          <w:tcPr>
            <w:tcW w:w="2464" w:type="dxa"/>
          </w:tcPr>
          <w:p>
            <w:pPr>
              <w:pStyle w:val="TableParagraph"/>
              <w:tabs>
                <w:tab w:pos="1291" w:val="left" w:leader="none"/>
              </w:tabs>
              <w:spacing w:line="189" w:lineRule="auto" w:before="146"/>
              <w:ind w:left="1291" w:right="114" w:hanging="420"/>
              <w:rPr>
                <w:rFonts w:ascii="微软雅黑" w:eastAsia="微软雅黑" w:hint="eastAsia"/>
                <w:b/>
                <w:sz w:val="21"/>
              </w:rPr>
            </w:pPr>
            <w:r>
              <w:rPr>
                <w:rFonts w:ascii="Times New Roman" w:eastAsia="Times New Roman"/>
                <w:b/>
                <w:sz w:val="21"/>
              </w:rPr>
              <w:t>5.</w:t>
              <w:tab/>
            </w:r>
            <w:r>
              <w:rPr>
                <w:rFonts w:ascii="微软雅黑" w:eastAsia="微软雅黑" w:hint="eastAsia"/>
                <w:b/>
                <w:sz w:val="21"/>
              </w:rPr>
              <w:t>冠状动脉搭 桥术</w:t>
            </w:r>
          </w:p>
        </w:tc>
        <w:tc>
          <w:tcPr>
            <w:tcW w:w="7427" w:type="dxa"/>
          </w:tcPr>
          <w:p>
            <w:pPr>
              <w:pStyle w:val="TableParagraph"/>
              <w:spacing w:line="261" w:lineRule="auto" w:before="132"/>
              <w:ind w:right="307"/>
              <w:rPr>
                <w:sz w:val="21"/>
              </w:rPr>
            </w:pPr>
            <w:r>
              <w:rPr>
                <w:sz w:val="21"/>
              </w:rPr>
              <w:t>指为治疗严重的冠心病，实际实施了开胸进行的冠状动脉血管旁路移植的手术。</w:t>
            </w:r>
          </w:p>
          <w:p>
            <w:pPr>
              <w:pStyle w:val="TableParagraph"/>
              <w:spacing w:line="261" w:lineRule="auto" w:before="5"/>
              <w:ind w:right="307"/>
              <w:rPr>
                <w:sz w:val="21"/>
              </w:rPr>
            </w:pPr>
            <w:r>
              <w:rPr>
                <w:sz w:val="21"/>
              </w:rPr>
              <w:t>冠状动脉支架植入术、心导管球囊扩张术、激光射频技术及其它非开胸的介入手术、腔镜手术不在保障范围内。</w:t>
            </w:r>
          </w:p>
        </w:tc>
      </w:tr>
      <w:tr>
        <w:trPr>
          <w:trHeight w:val="899" w:hRule="atLeast"/>
        </w:trPr>
        <w:tc>
          <w:tcPr>
            <w:tcW w:w="2464" w:type="dxa"/>
          </w:tcPr>
          <w:p>
            <w:pPr>
              <w:pStyle w:val="TableParagraph"/>
              <w:tabs>
                <w:tab w:pos="419" w:val="left" w:leader="none"/>
              </w:tabs>
              <w:spacing w:before="70"/>
              <w:ind w:left="0" w:right="114"/>
              <w:jc w:val="right"/>
              <w:rPr>
                <w:rFonts w:ascii="微软雅黑" w:eastAsia="微软雅黑" w:hint="eastAsia"/>
                <w:b/>
                <w:sz w:val="21"/>
              </w:rPr>
            </w:pPr>
            <w:r>
              <w:rPr>
                <w:rFonts w:ascii="Times New Roman" w:eastAsia="Times New Roman"/>
                <w:b/>
                <w:sz w:val="21"/>
              </w:rPr>
              <w:t>6.</w:t>
              <w:tab/>
            </w:r>
            <w:r>
              <w:rPr>
                <w:rFonts w:ascii="微软雅黑" w:eastAsia="微软雅黑" w:hint="eastAsia"/>
                <w:b/>
                <w:sz w:val="21"/>
              </w:rPr>
              <w:t>终末期肾病</w:t>
            </w:r>
          </w:p>
        </w:tc>
        <w:tc>
          <w:tcPr>
            <w:tcW w:w="7427" w:type="dxa"/>
          </w:tcPr>
          <w:p>
            <w:pPr>
              <w:pStyle w:val="TableParagraph"/>
              <w:spacing w:line="261" w:lineRule="auto" w:before="132"/>
              <w:ind w:right="248"/>
              <w:rPr>
                <w:sz w:val="21"/>
              </w:rPr>
            </w:pPr>
            <w:r>
              <w:rPr>
                <w:sz w:val="21"/>
              </w:rPr>
              <w:t>指双肾功能慢性不可逆性衰竭，达到尿毒症期，经诊断后已经进行了至少 90 天的规律性透析治疗或实施了肾脏移植手术。</w:t>
            </w:r>
          </w:p>
        </w:tc>
      </w:tr>
      <w:tr>
        <w:trPr>
          <w:trHeight w:val="899" w:hRule="atLeast"/>
        </w:trPr>
        <w:tc>
          <w:tcPr>
            <w:tcW w:w="2464" w:type="dxa"/>
          </w:tcPr>
          <w:p>
            <w:pPr>
              <w:pStyle w:val="TableParagraph"/>
              <w:tabs>
                <w:tab w:pos="1291" w:val="left" w:leader="none"/>
              </w:tabs>
              <w:spacing w:line="189" w:lineRule="auto" w:before="148"/>
              <w:ind w:left="1291" w:right="114" w:hanging="420"/>
              <w:rPr>
                <w:rFonts w:ascii="微软雅黑" w:eastAsia="微软雅黑" w:hint="eastAsia"/>
                <w:b/>
                <w:sz w:val="21"/>
              </w:rPr>
            </w:pPr>
            <w:r>
              <w:rPr>
                <w:rFonts w:ascii="Times New Roman" w:eastAsia="Times New Roman"/>
                <w:b/>
                <w:sz w:val="21"/>
              </w:rPr>
              <w:t>7.</w:t>
              <w:tab/>
            </w:r>
            <w:r>
              <w:rPr>
                <w:rFonts w:ascii="微软雅黑" w:eastAsia="微软雅黑" w:hint="eastAsia"/>
                <w:b/>
                <w:sz w:val="21"/>
              </w:rPr>
              <w:t>多个肢体缺 失</w:t>
            </w:r>
          </w:p>
        </w:tc>
        <w:tc>
          <w:tcPr>
            <w:tcW w:w="7427" w:type="dxa"/>
          </w:tcPr>
          <w:p>
            <w:pPr>
              <w:pStyle w:val="TableParagraph"/>
              <w:spacing w:line="261" w:lineRule="auto" w:before="134"/>
              <w:ind w:right="307"/>
              <w:rPr>
                <w:sz w:val="21"/>
              </w:rPr>
            </w:pPr>
            <w:r>
              <w:rPr>
                <w:sz w:val="21"/>
              </w:rPr>
              <w:t>指因疾病或意外伤害导致两个或两个以上肢体自腕关节或踝关节近端（靠近躯干端）以上完全性断离。</w:t>
            </w:r>
          </w:p>
        </w:tc>
      </w:tr>
      <w:tr>
        <w:trPr>
          <w:trHeight w:val="2096" w:hRule="atLeast"/>
        </w:trPr>
        <w:tc>
          <w:tcPr>
            <w:tcW w:w="2464" w:type="dxa"/>
          </w:tcPr>
          <w:p>
            <w:pPr>
              <w:pStyle w:val="TableParagraph"/>
              <w:tabs>
                <w:tab w:pos="1291" w:val="left" w:leader="none"/>
              </w:tabs>
              <w:spacing w:line="189" w:lineRule="auto" w:before="146"/>
              <w:ind w:left="1291" w:right="114" w:hanging="420"/>
              <w:rPr>
                <w:rFonts w:ascii="微软雅黑" w:eastAsia="微软雅黑" w:hint="eastAsia"/>
                <w:b/>
                <w:sz w:val="21"/>
              </w:rPr>
            </w:pPr>
            <w:r>
              <w:rPr>
                <w:rFonts w:ascii="Times New Roman" w:eastAsia="Times New Roman"/>
                <w:b/>
                <w:sz w:val="21"/>
              </w:rPr>
              <w:t>8.</w:t>
              <w:tab/>
            </w:r>
            <w:r>
              <w:rPr>
                <w:rFonts w:ascii="微软雅黑" w:eastAsia="微软雅黑" w:hint="eastAsia"/>
                <w:b/>
                <w:sz w:val="21"/>
              </w:rPr>
              <w:t>急性或亚急 性重症肝炎</w:t>
            </w:r>
          </w:p>
        </w:tc>
        <w:tc>
          <w:tcPr>
            <w:tcW w:w="7427" w:type="dxa"/>
          </w:tcPr>
          <w:p>
            <w:pPr>
              <w:pStyle w:val="TableParagraph"/>
              <w:spacing w:line="261" w:lineRule="auto" w:before="132"/>
              <w:ind w:right="307"/>
              <w:rPr>
                <w:sz w:val="21"/>
              </w:rPr>
            </w:pPr>
            <w:r>
              <w:rPr>
                <w:sz w:val="21"/>
              </w:rPr>
              <w:t>指因肝炎病毒感染引起肝组织弥漫性坏死，导致急性肝功能衰竭，且经血清学或病毒学检查证实，并须满足下列全部条件：</w:t>
            </w:r>
          </w:p>
          <w:p>
            <w:pPr>
              <w:pStyle w:val="TableParagraph"/>
              <w:spacing w:before="5"/>
              <w:rPr>
                <w:sz w:val="21"/>
              </w:rPr>
            </w:pPr>
            <w:r>
              <w:rPr>
                <w:sz w:val="21"/>
              </w:rPr>
              <w:t>（1）重度黄疸或黄疸迅速加重；</w:t>
            </w:r>
          </w:p>
          <w:p>
            <w:pPr>
              <w:pStyle w:val="TableParagraph"/>
              <w:spacing w:before="24"/>
              <w:rPr>
                <w:sz w:val="21"/>
              </w:rPr>
            </w:pPr>
            <w:r>
              <w:rPr>
                <w:sz w:val="21"/>
              </w:rPr>
              <w:t>（2）肝性脑病；</w:t>
            </w:r>
          </w:p>
          <w:p>
            <w:pPr>
              <w:pStyle w:val="TableParagraph"/>
              <w:spacing w:before="24"/>
              <w:rPr>
                <w:sz w:val="21"/>
              </w:rPr>
            </w:pPr>
            <w:r>
              <w:rPr>
                <w:sz w:val="21"/>
              </w:rPr>
              <w:t>（3）B 超或其他影像学检查显示肝脏体积急速萎缩；</w:t>
            </w:r>
          </w:p>
          <w:p>
            <w:pPr>
              <w:pStyle w:val="TableParagraph"/>
              <w:spacing w:before="22"/>
              <w:rPr>
                <w:sz w:val="21"/>
              </w:rPr>
            </w:pPr>
            <w:r>
              <w:rPr>
                <w:sz w:val="21"/>
              </w:rPr>
              <w:t>（4）肝功能指标进行性恶化。</w:t>
            </w:r>
          </w:p>
        </w:tc>
      </w:tr>
      <w:tr>
        <w:trPr>
          <w:trHeight w:val="1309" w:hRule="atLeast"/>
        </w:trPr>
        <w:tc>
          <w:tcPr>
            <w:tcW w:w="2464" w:type="dxa"/>
          </w:tcPr>
          <w:p>
            <w:pPr>
              <w:pStyle w:val="TableParagraph"/>
              <w:tabs>
                <w:tab w:pos="419" w:val="left" w:leader="none"/>
              </w:tabs>
              <w:spacing w:before="71"/>
              <w:ind w:left="0" w:right="114"/>
              <w:jc w:val="right"/>
              <w:rPr>
                <w:rFonts w:ascii="微软雅黑" w:eastAsia="微软雅黑" w:hint="eastAsia"/>
                <w:b/>
                <w:sz w:val="21"/>
              </w:rPr>
            </w:pPr>
            <w:r>
              <w:rPr>
                <w:rFonts w:ascii="Times New Roman" w:eastAsia="Times New Roman"/>
                <w:b/>
                <w:sz w:val="21"/>
              </w:rPr>
              <w:t>9.</w:t>
              <w:tab/>
            </w:r>
            <w:r>
              <w:rPr>
                <w:rFonts w:ascii="微软雅黑" w:eastAsia="微软雅黑" w:hint="eastAsia"/>
                <w:b/>
                <w:sz w:val="21"/>
              </w:rPr>
              <w:t>良性脑肿瘤</w:t>
            </w:r>
          </w:p>
        </w:tc>
        <w:tc>
          <w:tcPr>
            <w:tcW w:w="7427" w:type="dxa"/>
          </w:tcPr>
          <w:p>
            <w:pPr>
              <w:pStyle w:val="TableParagraph"/>
              <w:spacing w:line="261" w:lineRule="auto" w:before="134"/>
              <w:ind w:right="303"/>
              <w:rPr>
                <w:sz w:val="21"/>
              </w:rPr>
            </w:pPr>
            <w:r>
              <w:rPr>
                <w:sz w:val="21"/>
              </w:rPr>
              <w:t>指脑的良性肿瘤，已经引起颅内压增高，临床表现为视神经乳头水肿、精神</w:t>
            </w:r>
            <w:r>
              <w:rPr>
                <w:spacing w:val="-6"/>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4"/>
                <w:w w:val="100"/>
                <w:sz w:val="21"/>
              </w:rPr>
              <w:t>、核磁</w:t>
            </w:r>
          </w:p>
          <w:p>
            <w:pPr>
              <w:pStyle w:val="TableParagraph"/>
              <w:spacing w:line="300" w:lineRule="exact" w:before="11"/>
              <w:ind w:right="303"/>
              <w:rPr>
                <w:sz w:val="21"/>
              </w:rPr>
            </w:pPr>
            <w:r>
              <w:rPr>
                <w:sz w:val="21"/>
              </w:rPr>
              <w:t>共振检查（MRI）或正电子发射断层扫描（PET）等影像学检查证实，并须满足下列至少一项条件：</w:t>
            </w:r>
          </w:p>
        </w:tc>
      </w:tr>
    </w:tbl>
    <w:p>
      <w:pPr>
        <w:spacing w:after="0" w:line="300" w:lineRule="exact"/>
        <w:rPr>
          <w:sz w:val="21"/>
        </w:rPr>
        <w:sectPr>
          <w:pgSz w:w="11910" w:h="16840"/>
          <w:pgMar w:header="857" w:footer="992" w:top="1040" w:bottom="1180" w:left="106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7426"/>
      </w:tblGrid>
      <w:tr>
        <w:trPr>
          <w:trHeight w:val="1132" w:hRule="atLeast"/>
        </w:trPr>
        <w:tc>
          <w:tcPr>
            <w:tcW w:w="2464" w:type="dxa"/>
            <w:tcBorders>
              <w:top w:val="single" w:sz="6" w:space="0" w:color="000000"/>
            </w:tcBorders>
          </w:tcPr>
          <w:p>
            <w:pPr>
              <w:pStyle w:val="TableParagraph"/>
              <w:ind w:left="0"/>
              <w:rPr>
                <w:rFonts w:ascii="Times New Roman"/>
                <w:sz w:val="20"/>
              </w:rPr>
            </w:pPr>
          </w:p>
        </w:tc>
        <w:tc>
          <w:tcPr>
            <w:tcW w:w="7426" w:type="dxa"/>
            <w:tcBorders>
              <w:top w:val="single" w:sz="6" w:space="0" w:color="000000"/>
            </w:tcBorders>
          </w:tcPr>
          <w:p>
            <w:pPr>
              <w:pStyle w:val="TableParagraph"/>
              <w:spacing w:before="69"/>
              <w:rPr>
                <w:sz w:val="21"/>
              </w:rPr>
            </w:pPr>
            <w:r>
              <w:rPr>
                <w:sz w:val="21"/>
              </w:rPr>
              <w:t>（1）实际实施了开颅进行的脑肿瘤完全切除或部分切除的手术；</w:t>
            </w:r>
          </w:p>
          <w:p>
            <w:pPr>
              <w:pStyle w:val="TableParagraph"/>
              <w:spacing w:before="25"/>
              <w:rPr>
                <w:sz w:val="21"/>
              </w:rPr>
            </w:pPr>
            <w:r>
              <w:rPr>
                <w:sz w:val="21"/>
              </w:rPr>
              <w:t>（2）实际实施了对脑肿瘤进行的放射治疗。</w:t>
            </w:r>
          </w:p>
          <w:p>
            <w:pPr>
              <w:pStyle w:val="TableParagraph"/>
              <w:spacing w:before="22"/>
              <w:rPr>
                <w:sz w:val="21"/>
              </w:rPr>
            </w:pPr>
            <w:r>
              <w:rPr>
                <w:sz w:val="21"/>
              </w:rPr>
              <w:t>脑垂体瘤、脑囊肿、脑血管性疾病不在保障范围内。</w:t>
            </w:r>
          </w:p>
        </w:tc>
      </w:tr>
      <w:tr>
        <w:trPr>
          <w:trHeight w:val="2097" w:hRule="atLeast"/>
        </w:trPr>
        <w:tc>
          <w:tcPr>
            <w:tcW w:w="2464" w:type="dxa"/>
          </w:tcPr>
          <w:p>
            <w:pPr>
              <w:pStyle w:val="TableParagraph"/>
              <w:spacing w:line="189" w:lineRule="auto" w:before="147"/>
              <w:ind w:left="1291" w:right="114" w:hanging="420"/>
              <w:jc w:val="both"/>
              <w:rPr>
                <w:rFonts w:ascii="微软雅黑" w:eastAsia="微软雅黑" w:hint="eastAsia"/>
                <w:b/>
                <w:sz w:val="21"/>
              </w:rPr>
            </w:pPr>
            <w:r>
              <w:rPr>
                <w:rFonts w:ascii="Times New Roman" w:eastAsia="Times New Roman"/>
                <w:b/>
                <w:sz w:val="21"/>
              </w:rPr>
              <w:t>10. </w:t>
            </w:r>
            <w:r>
              <w:rPr>
                <w:rFonts w:ascii="微软雅黑" w:eastAsia="微软雅黑" w:hint="eastAsia"/>
                <w:b/>
                <w:sz w:val="21"/>
              </w:rPr>
              <w:t>慢性肝功能衰竭失代偿期</w:t>
            </w:r>
          </w:p>
        </w:tc>
        <w:tc>
          <w:tcPr>
            <w:tcW w:w="7426" w:type="dxa"/>
          </w:tcPr>
          <w:p>
            <w:pPr>
              <w:pStyle w:val="TableParagraph"/>
              <w:spacing w:before="134"/>
              <w:rPr>
                <w:sz w:val="21"/>
              </w:rPr>
            </w:pPr>
            <w:r>
              <w:rPr>
                <w:sz w:val="21"/>
              </w:rPr>
              <w:t>指因慢性肝脏疾病导致肝功能衰竭。须满足下列全部条件：</w:t>
            </w:r>
          </w:p>
          <w:p>
            <w:pPr>
              <w:pStyle w:val="TableParagraph"/>
              <w:spacing w:before="25"/>
              <w:rPr>
                <w:sz w:val="21"/>
              </w:rPr>
            </w:pPr>
            <w:r>
              <w:rPr>
                <w:sz w:val="21"/>
              </w:rPr>
              <w:t>（1）持续性黄疸；</w:t>
            </w:r>
          </w:p>
          <w:p>
            <w:pPr>
              <w:pStyle w:val="TableParagraph"/>
              <w:spacing w:before="25"/>
              <w:rPr>
                <w:sz w:val="21"/>
              </w:rPr>
            </w:pPr>
            <w:r>
              <w:rPr>
                <w:sz w:val="21"/>
              </w:rPr>
              <w:t>（2）腹水；</w:t>
            </w:r>
          </w:p>
          <w:p>
            <w:pPr>
              <w:pStyle w:val="TableParagraph"/>
              <w:spacing w:before="25"/>
              <w:rPr>
                <w:sz w:val="21"/>
              </w:rPr>
            </w:pPr>
            <w:r>
              <w:rPr>
                <w:sz w:val="21"/>
              </w:rPr>
              <w:t>（3）肝性脑病；</w:t>
            </w:r>
          </w:p>
          <w:p>
            <w:pPr>
              <w:pStyle w:val="TableParagraph"/>
              <w:spacing w:line="261" w:lineRule="auto" w:before="22"/>
              <w:ind w:right="2262"/>
              <w:rPr>
                <w:sz w:val="21"/>
              </w:rPr>
            </w:pPr>
            <w:r>
              <w:rPr>
                <w:sz w:val="21"/>
              </w:rPr>
              <w:t>（4）充血性脾大伴脾功能亢进或食管胃底静脉曲张。因酗酒或药物滥用导致的肝功能衰竭不在保障范围内。</w:t>
            </w:r>
          </w:p>
        </w:tc>
      </w:tr>
      <w:tr>
        <w:trPr>
          <w:trHeight w:val="2098" w:hRule="atLeast"/>
        </w:trPr>
        <w:tc>
          <w:tcPr>
            <w:tcW w:w="2464" w:type="dxa"/>
          </w:tcPr>
          <w:p>
            <w:pPr>
              <w:pStyle w:val="TableParagraph"/>
              <w:spacing w:line="189" w:lineRule="auto" w:before="147"/>
              <w:ind w:left="1291" w:right="114" w:hanging="420"/>
              <w:jc w:val="both"/>
              <w:rPr>
                <w:rFonts w:ascii="微软雅黑" w:eastAsia="微软雅黑" w:hint="eastAsia"/>
                <w:b/>
                <w:sz w:val="21"/>
              </w:rPr>
            </w:pPr>
            <w:r>
              <w:rPr>
                <w:rFonts w:ascii="Times New Roman" w:eastAsia="Times New Roman"/>
                <w:b/>
                <w:sz w:val="21"/>
              </w:rPr>
              <w:t>11. </w:t>
            </w:r>
            <w:r>
              <w:rPr>
                <w:rFonts w:ascii="微软雅黑" w:eastAsia="微软雅黑" w:hint="eastAsia"/>
                <w:b/>
                <w:sz w:val="21"/>
              </w:rPr>
              <w:t>脑炎后遗症或脑膜炎后遗症</w:t>
            </w:r>
          </w:p>
        </w:tc>
        <w:tc>
          <w:tcPr>
            <w:tcW w:w="7426" w:type="dxa"/>
          </w:tcPr>
          <w:p>
            <w:pPr>
              <w:pStyle w:val="TableParagraph"/>
              <w:spacing w:line="261" w:lineRule="auto" w:before="134"/>
              <w:ind w:right="30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6"/>
              <w:rPr>
                <w:sz w:val="21"/>
              </w:rPr>
            </w:pPr>
            <w:r>
              <w:rPr>
                <w:sz w:val="21"/>
              </w:rPr>
              <w:t>（1）一肢或一肢以上肢体机能完全丧失；</w:t>
            </w:r>
          </w:p>
          <w:p>
            <w:pPr>
              <w:pStyle w:val="TableParagraph"/>
              <w:spacing w:before="22"/>
              <w:rPr>
                <w:sz w:val="21"/>
              </w:rPr>
            </w:pPr>
            <w:r>
              <w:rPr>
                <w:sz w:val="21"/>
              </w:rPr>
              <w:t>（2）语言能力或咀嚼吞咽能力完全丧失；</w:t>
            </w:r>
          </w:p>
          <w:p>
            <w:pPr>
              <w:pStyle w:val="TableParagraph"/>
              <w:spacing w:line="261" w:lineRule="auto" w:before="24"/>
              <w:ind w:right="259"/>
              <w:rPr>
                <w:sz w:val="21"/>
              </w:rPr>
            </w:pPr>
            <w:r>
              <w:rPr>
                <w:sz w:val="21"/>
              </w:rPr>
              <w:t>（3）自主生活能力完全丧失，无法独立完成六项基本日常生活活动中的三项或三项以上。</w:t>
            </w:r>
          </w:p>
        </w:tc>
      </w:tr>
      <w:tr>
        <w:trPr>
          <w:trHeight w:val="1497" w:hRule="atLeast"/>
        </w:trPr>
        <w:tc>
          <w:tcPr>
            <w:tcW w:w="2464" w:type="dxa"/>
          </w:tcPr>
          <w:p>
            <w:pPr>
              <w:pStyle w:val="TableParagraph"/>
              <w:spacing w:before="71"/>
              <w:ind w:left="871"/>
              <w:rPr>
                <w:rFonts w:ascii="微软雅黑" w:eastAsia="微软雅黑" w:hint="eastAsia"/>
                <w:b/>
                <w:sz w:val="21"/>
              </w:rPr>
            </w:pPr>
            <w:r>
              <w:rPr>
                <w:rFonts w:ascii="Times New Roman" w:eastAsia="Times New Roman"/>
                <w:b/>
                <w:sz w:val="21"/>
              </w:rPr>
              <w:t>12.   </w:t>
            </w:r>
            <w:r>
              <w:rPr>
                <w:rFonts w:ascii="微软雅黑" w:eastAsia="微软雅黑" w:hint="eastAsia"/>
                <w:b/>
                <w:sz w:val="21"/>
              </w:rPr>
              <w:t>深度昏迷</w:t>
            </w:r>
          </w:p>
        </w:tc>
        <w:tc>
          <w:tcPr>
            <w:tcW w:w="7426" w:type="dxa"/>
          </w:tcPr>
          <w:p>
            <w:pPr>
              <w:pStyle w:val="TableParagraph"/>
              <w:spacing w:line="261" w:lineRule="auto" w:before="134"/>
              <w:ind w:right="300"/>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8"/>
                <w:sz w:val="21"/>
              </w:rPr>
              <w:t>结果为 </w:t>
            </w:r>
            <w:r>
              <w:rPr>
                <w:sz w:val="21"/>
              </w:rPr>
              <w:t>5</w:t>
            </w:r>
            <w:r>
              <w:rPr>
                <w:spacing w:val="-18"/>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6"/>
              <w:jc w:val="both"/>
              <w:rPr>
                <w:sz w:val="21"/>
              </w:rPr>
            </w:pPr>
            <w:r>
              <w:rPr>
                <w:sz w:val="21"/>
              </w:rPr>
              <w:t>因酗酒或药物滥用导致的深度昏迷不在保障范围内。</w:t>
            </w:r>
          </w:p>
        </w:tc>
      </w:tr>
      <w:tr>
        <w:trPr>
          <w:trHeight w:val="1197" w:hRule="atLeast"/>
        </w:trPr>
        <w:tc>
          <w:tcPr>
            <w:tcW w:w="2464" w:type="dxa"/>
          </w:tcPr>
          <w:p>
            <w:pPr>
              <w:pStyle w:val="TableParagraph"/>
              <w:spacing w:before="71"/>
              <w:ind w:left="871"/>
              <w:rPr>
                <w:rFonts w:ascii="微软雅黑" w:eastAsia="微软雅黑" w:hint="eastAsia"/>
                <w:b/>
                <w:sz w:val="21"/>
              </w:rPr>
            </w:pPr>
            <w:r>
              <w:rPr>
                <w:rFonts w:ascii="Times New Roman" w:eastAsia="Times New Roman"/>
                <w:b/>
                <w:sz w:val="21"/>
              </w:rPr>
              <w:t>13.   </w:t>
            </w:r>
            <w:r>
              <w:rPr>
                <w:rFonts w:ascii="微软雅黑" w:eastAsia="微软雅黑" w:hint="eastAsia"/>
                <w:b/>
                <w:sz w:val="21"/>
              </w:rPr>
              <w:t>双耳失聪</w:t>
            </w:r>
          </w:p>
        </w:tc>
        <w:tc>
          <w:tcPr>
            <w:tcW w:w="7426" w:type="dxa"/>
          </w:tcPr>
          <w:p>
            <w:pPr>
              <w:pStyle w:val="TableParagraph"/>
              <w:spacing w:line="363" w:lineRule="exact" w:before="71"/>
              <w:rPr>
                <w:sz w:val="21"/>
              </w:rPr>
            </w:pPr>
            <w:r>
              <w:rPr>
                <w:sz w:val="21"/>
              </w:rPr>
              <w:t>指因疾病或意外伤害导致双耳听力</w:t>
            </w:r>
            <w:r>
              <w:rPr>
                <w:rFonts w:ascii="微软雅黑" w:eastAsia="微软雅黑" w:hint="eastAsia"/>
                <w:b/>
                <w:sz w:val="21"/>
              </w:rPr>
              <w:t>永久不可逆</w:t>
            </w:r>
            <w:r>
              <w:rPr>
                <w:sz w:val="21"/>
              </w:rPr>
              <w:t>（见释义 </w:t>
            </w:r>
            <w:r>
              <w:rPr>
                <w:rFonts w:ascii="Times New Roman" w:eastAsia="Times New Roman"/>
                <w:sz w:val="21"/>
              </w:rPr>
              <w:t>6.18</w:t>
            </w:r>
            <w:r>
              <w:rPr>
                <w:sz w:val="21"/>
              </w:rPr>
              <w:t>）性丧失，在 500</w:t>
            </w:r>
          </w:p>
          <w:p>
            <w:pPr>
              <w:pStyle w:val="TableParagraph"/>
              <w:spacing w:line="259" w:lineRule="auto"/>
              <w:ind w:right="302"/>
              <w:rPr>
                <w:sz w:val="21"/>
              </w:rPr>
            </w:pPr>
            <w:r>
              <w:rPr>
                <w:sz w:val="21"/>
              </w:rPr>
              <w:t>赫兹、1000</w:t>
            </w:r>
            <w:r>
              <w:rPr>
                <w:spacing w:val="-19"/>
                <w:sz w:val="21"/>
              </w:rPr>
              <w:t> 赫兹和 </w:t>
            </w:r>
            <w:r>
              <w:rPr>
                <w:sz w:val="21"/>
              </w:rPr>
              <w:t>2000</w:t>
            </w:r>
            <w:r>
              <w:rPr>
                <w:spacing w:val="-11"/>
                <w:sz w:val="21"/>
              </w:rPr>
              <w:t> 赫兹语音频率下，平均听阈大于 </w:t>
            </w:r>
            <w:r>
              <w:rPr>
                <w:sz w:val="21"/>
              </w:rPr>
              <w:t>90</w:t>
            </w:r>
            <w:r>
              <w:rPr>
                <w:spacing w:val="-8"/>
                <w:sz w:val="21"/>
              </w:rPr>
              <w:t> 分贝，且经纯音</w:t>
            </w:r>
            <w:r>
              <w:rPr>
                <w:spacing w:val="-5"/>
                <w:sz w:val="21"/>
              </w:rPr>
              <w:t>听力测试、声导抗检测或听觉诱发电位检测等证实。</w:t>
            </w:r>
          </w:p>
        </w:tc>
      </w:tr>
      <w:tr>
        <w:trPr>
          <w:trHeight w:val="2097" w:hRule="atLeast"/>
        </w:trPr>
        <w:tc>
          <w:tcPr>
            <w:tcW w:w="2464" w:type="dxa"/>
          </w:tcPr>
          <w:p>
            <w:pPr>
              <w:pStyle w:val="TableParagraph"/>
              <w:spacing w:before="71"/>
              <w:ind w:left="871"/>
              <w:rPr>
                <w:rFonts w:ascii="微软雅黑" w:eastAsia="微软雅黑" w:hint="eastAsia"/>
                <w:b/>
                <w:sz w:val="21"/>
              </w:rPr>
            </w:pPr>
            <w:r>
              <w:rPr>
                <w:rFonts w:ascii="Times New Roman" w:eastAsia="Times New Roman"/>
                <w:b/>
                <w:sz w:val="21"/>
              </w:rPr>
              <w:t>14.   </w:t>
            </w:r>
            <w:r>
              <w:rPr>
                <w:rFonts w:ascii="微软雅黑" w:eastAsia="微软雅黑" w:hint="eastAsia"/>
                <w:b/>
                <w:sz w:val="21"/>
              </w:rPr>
              <w:t>双目失明</w:t>
            </w:r>
          </w:p>
        </w:tc>
        <w:tc>
          <w:tcPr>
            <w:tcW w:w="7426" w:type="dxa"/>
          </w:tcPr>
          <w:p>
            <w:pPr>
              <w:pStyle w:val="TableParagraph"/>
              <w:spacing w:line="261" w:lineRule="auto" w:before="134"/>
              <w:ind w:right="306"/>
              <w:rPr>
                <w:sz w:val="21"/>
              </w:rPr>
            </w:pPr>
            <w:r>
              <w:rPr>
                <w:sz w:val="21"/>
              </w:rPr>
              <w:t>指因疾病或意外伤害导致双眼视力永久不可逆性丧失，双眼中较好眼须满足下列至少一项条件：</w:t>
            </w:r>
          </w:p>
          <w:p>
            <w:pPr>
              <w:pStyle w:val="TableParagraph"/>
              <w:spacing w:before="6"/>
              <w:rPr>
                <w:sz w:val="21"/>
              </w:rPr>
            </w:pPr>
            <w:r>
              <w:rPr>
                <w:sz w:val="21"/>
              </w:rPr>
              <w:t>（1）眼球缺失或摘除；</w:t>
            </w:r>
          </w:p>
          <w:p>
            <w:pPr>
              <w:pStyle w:val="TableParagraph"/>
              <w:spacing w:line="259" w:lineRule="auto" w:before="25"/>
              <w:ind w:right="303"/>
              <w:rPr>
                <w:sz w:val="21"/>
              </w:rPr>
            </w:pPr>
            <w:r>
              <w:rPr>
                <w:spacing w:val="-11"/>
                <w:sz w:val="21"/>
              </w:rPr>
              <w:t>（2）</w:t>
            </w:r>
            <w:r>
              <w:rPr>
                <w:spacing w:val="-6"/>
                <w:sz w:val="21"/>
              </w:rPr>
              <w:t>矫正视力低于 </w:t>
            </w:r>
            <w:r>
              <w:rPr>
                <w:spacing w:val="-7"/>
                <w:sz w:val="21"/>
              </w:rPr>
              <w:t>0.02（</w:t>
            </w:r>
            <w:r>
              <w:rPr>
                <w:spacing w:val="-6"/>
                <w:sz w:val="21"/>
              </w:rPr>
              <w:t>采用国际标准视力表，如果使用其它视力表应进行</w:t>
            </w:r>
            <w:r>
              <w:rPr>
                <w:spacing w:val="-6"/>
                <w:w w:val="100"/>
                <w:sz w:val="21"/>
              </w:rPr>
              <w:t>换算</w:t>
            </w:r>
            <w:r>
              <w:rPr>
                <w:spacing w:val="-108"/>
                <w:w w:val="100"/>
                <w:sz w:val="21"/>
              </w:rPr>
              <w:t>）</w:t>
            </w:r>
            <w:r>
              <w:rPr>
                <w:w w:val="100"/>
                <w:sz w:val="21"/>
              </w:rPr>
              <w:t>；</w:t>
            </w:r>
          </w:p>
          <w:p>
            <w:pPr>
              <w:pStyle w:val="TableParagraph"/>
              <w:spacing w:before="8"/>
              <w:rPr>
                <w:sz w:val="21"/>
              </w:rPr>
            </w:pPr>
            <w:r>
              <w:rPr>
                <w:sz w:val="21"/>
              </w:rPr>
              <w:t>（3）视野半径小于 5 度。</w:t>
            </w:r>
          </w:p>
        </w:tc>
      </w:tr>
      <w:tr>
        <w:trPr>
          <w:trHeight w:val="1199" w:hRule="atLeast"/>
        </w:trPr>
        <w:tc>
          <w:tcPr>
            <w:tcW w:w="2464" w:type="dxa"/>
          </w:tcPr>
          <w:p>
            <w:pPr>
              <w:pStyle w:val="TableParagraph"/>
              <w:spacing w:before="72"/>
              <w:ind w:left="871"/>
              <w:rPr>
                <w:rFonts w:ascii="微软雅黑" w:eastAsia="微软雅黑" w:hint="eastAsia"/>
                <w:b/>
                <w:sz w:val="21"/>
              </w:rPr>
            </w:pPr>
            <w:r>
              <w:rPr>
                <w:rFonts w:ascii="Times New Roman" w:eastAsia="Times New Roman"/>
                <w:b/>
                <w:sz w:val="21"/>
              </w:rPr>
              <w:t>15. </w:t>
            </w:r>
            <w:r>
              <w:rPr>
                <w:rFonts w:ascii="微软雅黑" w:eastAsia="微软雅黑" w:hint="eastAsia"/>
                <w:b/>
                <w:sz w:val="21"/>
              </w:rPr>
              <w:t>瘫 痪</w:t>
            </w:r>
          </w:p>
        </w:tc>
        <w:tc>
          <w:tcPr>
            <w:tcW w:w="7426" w:type="dxa"/>
          </w:tcPr>
          <w:p>
            <w:pPr>
              <w:pStyle w:val="TableParagraph"/>
              <w:spacing w:line="261" w:lineRule="auto" w:before="134"/>
              <w:ind w:right="302"/>
              <w:jc w:val="both"/>
              <w:rPr>
                <w:sz w:val="21"/>
              </w:rPr>
            </w:pPr>
            <w:r>
              <w:rPr>
                <w:sz w:val="21"/>
              </w:rPr>
              <w:t>指因疾病或意外伤害导致两肢或两肢以上肢体机能永久完全丧失。肢体机能</w:t>
            </w:r>
            <w:r>
              <w:rPr>
                <w:spacing w:val="-5"/>
                <w:sz w:val="21"/>
              </w:rPr>
              <w:t>永久完全丧失，指疾病确诊 </w:t>
            </w:r>
            <w:r>
              <w:rPr>
                <w:sz w:val="21"/>
              </w:rPr>
              <w:t>180</w:t>
            </w:r>
            <w:r>
              <w:rPr>
                <w:spacing w:val="-9"/>
                <w:sz w:val="21"/>
              </w:rPr>
              <w:t> 天后或意外伤害发生 </w:t>
            </w:r>
            <w:r>
              <w:rPr>
                <w:sz w:val="21"/>
              </w:rPr>
              <w:t>180</w:t>
            </w:r>
            <w:r>
              <w:rPr>
                <w:spacing w:val="-7"/>
                <w:sz w:val="21"/>
              </w:rPr>
              <w:t> 天后，每肢三大关</w:t>
            </w:r>
            <w:r>
              <w:rPr>
                <w:spacing w:val="-5"/>
                <w:sz w:val="21"/>
              </w:rPr>
              <w:t>节中的两大关节仍然完全僵硬，或不能随意识活动。</w:t>
            </w:r>
          </w:p>
        </w:tc>
      </w:tr>
      <w:tr>
        <w:trPr>
          <w:trHeight w:val="877" w:hRule="atLeast"/>
        </w:trPr>
        <w:tc>
          <w:tcPr>
            <w:tcW w:w="2464" w:type="dxa"/>
          </w:tcPr>
          <w:p>
            <w:pPr>
              <w:pStyle w:val="TableParagraph"/>
              <w:spacing w:line="189" w:lineRule="auto" w:before="146"/>
              <w:ind w:left="1291" w:right="114" w:hanging="420"/>
              <w:rPr>
                <w:rFonts w:ascii="微软雅黑" w:eastAsia="微软雅黑" w:hint="eastAsia"/>
                <w:b/>
                <w:sz w:val="21"/>
              </w:rPr>
            </w:pPr>
            <w:r>
              <w:rPr>
                <w:rFonts w:ascii="Times New Roman" w:eastAsia="Times New Roman"/>
                <w:b/>
                <w:sz w:val="21"/>
              </w:rPr>
              <w:t>16. </w:t>
            </w:r>
            <w:r>
              <w:rPr>
                <w:rFonts w:ascii="微软雅黑" w:eastAsia="微软雅黑" w:hint="eastAsia"/>
                <w:b/>
                <w:sz w:val="21"/>
              </w:rPr>
              <w:t>心脏瓣膜手术</w:t>
            </w:r>
          </w:p>
        </w:tc>
        <w:tc>
          <w:tcPr>
            <w:tcW w:w="7426" w:type="dxa"/>
          </w:tcPr>
          <w:p>
            <w:pPr>
              <w:pStyle w:val="TableParagraph"/>
              <w:spacing w:before="132"/>
              <w:rPr>
                <w:sz w:val="21"/>
              </w:rPr>
            </w:pPr>
            <w:r>
              <w:rPr>
                <w:sz w:val="21"/>
              </w:rPr>
              <w:t>指为治疗心脏瓣膜疾病，实际实施了开胸进行的心脏瓣膜臵换或修复的手术。</w:t>
            </w:r>
          </w:p>
        </w:tc>
      </w:tr>
      <w:tr>
        <w:trPr>
          <w:trHeight w:val="1899" w:hRule="atLeast"/>
        </w:trPr>
        <w:tc>
          <w:tcPr>
            <w:tcW w:w="2464" w:type="dxa"/>
          </w:tcPr>
          <w:p>
            <w:pPr>
              <w:pStyle w:val="TableParagraph"/>
              <w:spacing w:line="189" w:lineRule="auto" w:before="140"/>
              <w:ind w:left="1291" w:right="114" w:hanging="420"/>
              <w:rPr>
                <w:rFonts w:ascii="微软雅黑" w:eastAsia="微软雅黑" w:hint="eastAsia"/>
                <w:b/>
                <w:sz w:val="21"/>
              </w:rPr>
            </w:pPr>
            <w:r>
              <w:rPr>
                <w:rFonts w:ascii="Times New Roman" w:eastAsia="Times New Roman"/>
                <w:b/>
                <w:sz w:val="21"/>
              </w:rPr>
              <w:t>17. </w:t>
            </w:r>
            <w:r>
              <w:rPr>
                <w:rFonts w:ascii="微软雅黑" w:eastAsia="微软雅黑" w:hint="eastAsia"/>
                <w:b/>
                <w:sz w:val="21"/>
              </w:rPr>
              <w:t>严重阿尔茨海默病</w:t>
            </w:r>
          </w:p>
        </w:tc>
        <w:tc>
          <w:tcPr>
            <w:tcW w:w="7426" w:type="dxa"/>
          </w:tcPr>
          <w:p>
            <w:pPr>
              <w:pStyle w:val="TableParagraph"/>
              <w:spacing w:line="261" w:lineRule="auto" w:before="126"/>
              <w:ind w:right="302"/>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w:t>
            </w:r>
            <w:r>
              <w:rPr>
                <w:spacing w:val="-10"/>
                <w:sz w:val="21"/>
              </w:rPr>
              <w:t>描</w:t>
            </w:r>
            <w:r>
              <w:rPr>
                <w:spacing w:val="-3"/>
                <w:sz w:val="21"/>
              </w:rPr>
              <w:t>（PET）</w:t>
            </w:r>
            <w:r>
              <w:rPr>
                <w:spacing w:val="-5"/>
                <w:sz w:val="21"/>
              </w:rPr>
              <w:t>等影像学检查证实，且自主生活能力完全丧失，无法独立完成六项</w:t>
            </w:r>
            <w:r>
              <w:rPr>
                <w:spacing w:val="-4"/>
                <w:sz w:val="21"/>
              </w:rPr>
              <w:t>基本日常生活活动中的三项或三项以上。</w:t>
            </w:r>
          </w:p>
          <w:p>
            <w:pPr>
              <w:pStyle w:val="TableParagraph"/>
              <w:spacing w:line="255" w:lineRule="exact" w:before="3"/>
              <w:jc w:val="both"/>
              <w:rPr>
                <w:sz w:val="21"/>
              </w:rPr>
            </w:pPr>
            <w:r>
              <w:rPr>
                <w:sz w:val="21"/>
              </w:rPr>
              <w:t>神经官能症和精神疾病不在保障范围内。</w:t>
            </w:r>
          </w:p>
        </w:tc>
      </w:tr>
    </w:tbl>
    <w:p>
      <w:pPr>
        <w:spacing w:after="0" w:line="255" w:lineRule="exact"/>
        <w:jc w:val="both"/>
        <w:rPr>
          <w:sz w:val="21"/>
        </w:rPr>
        <w:sectPr>
          <w:pgSz w:w="11910" w:h="16840"/>
          <w:pgMar w:header="857" w:footer="992" w:top="1040" w:bottom="1180" w:left="1060" w:right="740"/>
        </w:sectPr>
      </w:pPr>
    </w:p>
    <w:p>
      <w:pPr>
        <w:pStyle w:val="BodyText"/>
        <w:spacing w:before="4"/>
        <w:rPr>
          <w:rFonts w:ascii="Times New Roman"/>
          <w:sz w:val="2"/>
        </w:rPr>
      </w:pPr>
      <w:r>
        <w:rPr/>
        <w:drawing>
          <wp:anchor distT="0" distB="0" distL="0" distR="0" allowOverlap="1" layoutInCell="1" locked="0" behindDoc="1" simplePos="0" relativeHeight="268410167">
            <wp:simplePos x="0" y="0"/>
            <wp:positionH relativeFrom="page">
              <wp:posOffset>3455670</wp:posOffset>
            </wp:positionH>
            <wp:positionV relativeFrom="page">
              <wp:posOffset>7835138</wp:posOffset>
            </wp:positionV>
            <wp:extent cx="59721" cy="10372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59721" cy="103727"/>
                    </a:xfrm>
                    <a:prstGeom prst="rect">
                      <a:avLst/>
                    </a:prstGeom>
                  </pic:spPr>
                </pic:pic>
              </a:graphicData>
            </a:graphic>
          </wp:anchor>
        </w:drawing>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7429"/>
      </w:tblGrid>
      <w:tr>
        <w:trPr>
          <w:trHeight w:val="2631" w:hRule="atLeast"/>
        </w:trPr>
        <w:tc>
          <w:tcPr>
            <w:tcW w:w="2464" w:type="dxa"/>
            <w:tcBorders>
              <w:top w:val="single" w:sz="6" w:space="0" w:color="000000"/>
            </w:tcBorders>
          </w:tcPr>
          <w:p>
            <w:pPr>
              <w:pStyle w:val="TableParagraph"/>
              <w:spacing w:before="6"/>
              <w:ind w:left="0" w:right="114"/>
              <w:jc w:val="right"/>
              <w:rPr>
                <w:rFonts w:ascii="微软雅黑" w:eastAsia="微软雅黑" w:hint="eastAsia"/>
                <w:b/>
                <w:sz w:val="21"/>
              </w:rPr>
            </w:pPr>
            <w:r>
              <w:rPr>
                <w:rFonts w:ascii="Times New Roman" w:eastAsia="Times New Roman"/>
                <w:b/>
                <w:sz w:val="21"/>
              </w:rPr>
              <w:t>18.   </w:t>
            </w:r>
            <w:r>
              <w:rPr>
                <w:rFonts w:ascii="微软雅黑" w:eastAsia="微软雅黑" w:hint="eastAsia"/>
                <w:b/>
                <w:sz w:val="21"/>
              </w:rPr>
              <w:t>严重脑损伤</w:t>
            </w:r>
          </w:p>
        </w:tc>
        <w:tc>
          <w:tcPr>
            <w:tcW w:w="7429" w:type="dxa"/>
            <w:tcBorders>
              <w:top w:val="single" w:sz="6" w:space="0" w:color="000000"/>
            </w:tcBorders>
          </w:tcPr>
          <w:p>
            <w:pPr>
              <w:pStyle w:val="TableParagraph"/>
              <w:spacing w:line="261" w:lineRule="auto" w:before="69"/>
              <w:ind w:right="305"/>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spacing w:val="-3"/>
                <w:w w:val="100"/>
                <w:sz w:val="21"/>
              </w:rPr>
              <w:t>C</w:t>
            </w:r>
            <w:r>
              <w:rPr>
                <w:spacing w:val="1"/>
                <w:w w:val="100"/>
                <w:sz w:val="21"/>
              </w:rPr>
              <w:t>T</w:t>
            </w:r>
            <w:r>
              <w:rPr>
                <w:spacing w:val="-106"/>
                <w:w w:val="100"/>
                <w:sz w:val="21"/>
              </w:rPr>
              <w:t>）</w:t>
            </w:r>
            <w:r>
              <w:rPr>
                <w:w w:val="100"/>
                <w:sz w:val="21"/>
              </w:rPr>
              <w:t>、核磁共振检查（MR</w:t>
            </w:r>
            <w:r>
              <w:rPr>
                <w:spacing w:val="1"/>
                <w:w w:val="100"/>
                <w:sz w:val="21"/>
              </w:rPr>
              <w:t>I</w:t>
            </w:r>
            <w:r>
              <w:rPr>
                <w:w w:val="100"/>
                <w:sz w:val="21"/>
              </w:rPr>
              <w:t>）或正电子发射断层</w:t>
            </w:r>
            <w:r>
              <w:rPr>
                <w:sz w:val="21"/>
              </w:rPr>
              <w:t>扫描（PET）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6"/>
              <w:rPr>
                <w:sz w:val="21"/>
              </w:rPr>
            </w:pPr>
            <w:r>
              <w:rPr>
                <w:sz w:val="21"/>
              </w:rPr>
              <w:t>（1）一肢或一肢以上肢体机能完全丧失；</w:t>
            </w:r>
          </w:p>
          <w:p>
            <w:pPr>
              <w:pStyle w:val="TableParagraph"/>
              <w:spacing w:before="24"/>
              <w:rPr>
                <w:sz w:val="21"/>
              </w:rPr>
            </w:pPr>
            <w:r>
              <w:rPr>
                <w:sz w:val="21"/>
              </w:rPr>
              <w:t>（2）语言能力或咀嚼吞咽能力完全丧失；</w:t>
            </w:r>
          </w:p>
          <w:p>
            <w:pPr>
              <w:pStyle w:val="TableParagraph"/>
              <w:spacing w:line="261" w:lineRule="auto" w:before="24"/>
              <w:ind w:right="262"/>
              <w:rPr>
                <w:sz w:val="21"/>
              </w:rPr>
            </w:pPr>
            <w:r>
              <w:rPr>
                <w:sz w:val="21"/>
              </w:rPr>
              <w:t>（3）自主生活能力完全丧失，无法独立完成六项基本日常生活活动中的三项或三项以上。</w:t>
            </w:r>
          </w:p>
        </w:tc>
      </w:tr>
      <w:tr>
        <w:trPr>
          <w:trHeight w:val="2097" w:hRule="atLeast"/>
        </w:trPr>
        <w:tc>
          <w:tcPr>
            <w:tcW w:w="2464" w:type="dxa"/>
          </w:tcPr>
          <w:p>
            <w:pPr>
              <w:pStyle w:val="TableParagraph"/>
              <w:spacing w:line="189" w:lineRule="auto" w:before="146"/>
              <w:ind w:left="1291" w:right="114" w:hanging="420"/>
              <w:rPr>
                <w:rFonts w:ascii="微软雅黑" w:eastAsia="微软雅黑" w:hint="eastAsia"/>
                <w:b/>
                <w:sz w:val="21"/>
              </w:rPr>
            </w:pPr>
            <w:r>
              <w:rPr>
                <w:rFonts w:ascii="Times New Roman" w:eastAsia="Times New Roman"/>
                <w:b/>
                <w:sz w:val="21"/>
              </w:rPr>
              <w:t>19. </w:t>
            </w:r>
            <w:r>
              <w:rPr>
                <w:rFonts w:ascii="微软雅黑" w:eastAsia="微软雅黑" w:hint="eastAsia"/>
                <w:b/>
                <w:sz w:val="21"/>
              </w:rPr>
              <w:t>严重帕金森病</w:t>
            </w:r>
          </w:p>
        </w:tc>
        <w:tc>
          <w:tcPr>
            <w:tcW w:w="7429" w:type="dxa"/>
          </w:tcPr>
          <w:p>
            <w:pPr>
              <w:pStyle w:val="TableParagraph"/>
              <w:spacing w:line="261" w:lineRule="auto" w:before="132"/>
              <w:ind w:right="309"/>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（1）药物治疗无法控制病情；</w:t>
            </w:r>
          </w:p>
          <w:p>
            <w:pPr>
              <w:pStyle w:val="TableParagraph"/>
              <w:spacing w:line="261" w:lineRule="auto" w:before="25"/>
              <w:ind w:right="262"/>
              <w:rPr>
                <w:sz w:val="21"/>
              </w:rPr>
            </w:pPr>
            <w:r>
              <w:rPr>
                <w:sz w:val="21"/>
              </w:rPr>
              <w:t>（2）自主生活能力完全丧失，无法独立完成六项基本日常生活活动中的三项或三项以上。</w:t>
            </w:r>
          </w:p>
          <w:p>
            <w:pPr>
              <w:pStyle w:val="TableParagraph"/>
              <w:spacing w:before="3"/>
              <w:rPr>
                <w:sz w:val="21"/>
              </w:rPr>
            </w:pPr>
            <w:r>
              <w:rPr>
                <w:sz w:val="21"/>
              </w:rPr>
              <w:t>继发性帕金森综合征不在保障范围内。</w:t>
            </w:r>
          </w:p>
        </w:tc>
      </w:tr>
      <w:tr>
        <w:trPr>
          <w:trHeight w:val="899" w:hRule="atLeast"/>
        </w:trPr>
        <w:tc>
          <w:tcPr>
            <w:tcW w:w="2464" w:type="dxa"/>
          </w:tcPr>
          <w:p>
            <w:pPr>
              <w:pStyle w:val="TableParagraph"/>
              <w:spacing w:line="189" w:lineRule="auto" w:before="147"/>
              <w:ind w:left="1291" w:right="114" w:hanging="420"/>
              <w:rPr>
                <w:rFonts w:ascii="微软雅黑" w:hAnsi="微软雅黑" w:eastAsia="微软雅黑" w:hint="eastAsia"/>
                <w:b/>
                <w:sz w:val="21"/>
              </w:rPr>
            </w:pPr>
            <w:r>
              <w:rPr>
                <w:rFonts w:ascii="Times New Roman" w:hAnsi="Times New Roman" w:eastAsia="Times New Roman"/>
                <w:b/>
                <w:sz w:val="21"/>
              </w:rPr>
              <w:t>20. </w:t>
            </w:r>
            <w:r>
              <w:rPr>
                <w:rFonts w:ascii="微软雅黑" w:hAnsi="微软雅黑" w:eastAsia="微软雅黑" w:hint="eastAsia"/>
                <w:b/>
                <w:sz w:val="21"/>
              </w:rPr>
              <w:t>严重Ⅲ度烧伤</w:t>
            </w:r>
          </w:p>
        </w:tc>
        <w:tc>
          <w:tcPr>
            <w:tcW w:w="7429" w:type="dxa"/>
          </w:tcPr>
          <w:p>
            <w:pPr>
              <w:pStyle w:val="TableParagraph"/>
              <w:spacing w:line="261" w:lineRule="auto" w:before="134"/>
              <w:ind w:right="267"/>
              <w:rPr>
                <w:sz w:val="21"/>
              </w:rPr>
            </w:pPr>
            <w:r>
              <w:rPr>
                <w:spacing w:val="-5"/>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1197" w:hRule="atLeast"/>
        </w:trPr>
        <w:tc>
          <w:tcPr>
            <w:tcW w:w="2464" w:type="dxa"/>
          </w:tcPr>
          <w:p>
            <w:pPr>
              <w:pStyle w:val="TableParagraph"/>
              <w:spacing w:line="189" w:lineRule="auto" w:before="147"/>
              <w:ind w:left="1291" w:right="114" w:hanging="420"/>
              <w:rPr>
                <w:rFonts w:ascii="微软雅黑" w:eastAsia="微软雅黑" w:hint="eastAsia"/>
                <w:b/>
                <w:sz w:val="21"/>
              </w:rPr>
            </w:pPr>
            <w:r>
              <w:rPr>
                <w:rFonts w:ascii="Times New Roman" w:eastAsia="Times New Roman"/>
                <w:b/>
                <w:sz w:val="21"/>
              </w:rPr>
              <w:t>21. </w:t>
            </w:r>
            <w:r>
              <w:rPr>
                <w:rFonts w:ascii="微软雅黑" w:eastAsia="微软雅黑" w:hint="eastAsia"/>
                <w:b/>
                <w:sz w:val="21"/>
              </w:rPr>
              <w:t>严重原发性肺动脉高压</w:t>
            </w:r>
          </w:p>
        </w:tc>
        <w:tc>
          <w:tcPr>
            <w:tcW w:w="7429" w:type="dxa"/>
          </w:tcPr>
          <w:p>
            <w:pPr>
              <w:pStyle w:val="TableParagraph"/>
              <w:spacing w:line="261" w:lineRule="auto" w:before="134"/>
              <w:ind w:right="309"/>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97" w:hRule="atLeast"/>
        </w:trPr>
        <w:tc>
          <w:tcPr>
            <w:tcW w:w="2464" w:type="dxa"/>
          </w:tcPr>
          <w:p>
            <w:pPr>
              <w:pStyle w:val="TableParagraph"/>
              <w:spacing w:line="189" w:lineRule="auto" w:before="148"/>
              <w:ind w:left="1291" w:right="114" w:hanging="420"/>
              <w:rPr>
                <w:rFonts w:ascii="微软雅黑" w:eastAsia="微软雅黑" w:hint="eastAsia"/>
                <w:b/>
                <w:sz w:val="21"/>
              </w:rPr>
            </w:pPr>
            <w:r>
              <w:rPr>
                <w:rFonts w:ascii="Times New Roman" w:eastAsia="Times New Roman"/>
                <w:b/>
                <w:sz w:val="21"/>
              </w:rPr>
              <w:t>22. </w:t>
            </w:r>
            <w:r>
              <w:rPr>
                <w:rFonts w:ascii="微软雅黑" w:eastAsia="微软雅黑" w:hint="eastAsia"/>
                <w:b/>
                <w:sz w:val="21"/>
              </w:rPr>
              <w:t>严重运动神经元病</w:t>
            </w:r>
          </w:p>
        </w:tc>
        <w:tc>
          <w:tcPr>
            <w:tcW w:w="7429" w:type="dxa"/>
          </w:tcPr>
          <w:p>
            <w:pPr>
              <w:pStyle w:val="TableParagraph"/>
              <w:spacing w:line="261" w:lineRule="auto" w:before="134"/>
              <w:ind w:right="155"/>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98" w:hRule="atLeast"/>
        </w:trPr>
        <w:tc>
          <w:tcPr>
            <w:tcW w:w="2464" w:type="dxa"/>
          </w:tcPr>
          <w:p>
            <w:pPr>
              <w:pStyle w:val="TableParagraph"/>
              <w:spacing w:line="189" w:lineRule="auto" w:before="147"/>
              <w:ind w:left="1291" w:right="114" w:hanging="420"/>
              <w:rPr>
                <w:rFonts w:ascii="微软雅黑" w:eastAsia="微软雅黑" w:hint="eastAsia"/>
                <w:b/>
                <w:sz w:val="21"/>
              </w:rPr>
            </w:pPr>
            <w:r>
              <w:rPr>
                <w:rFonts w:ascii="Times New Roman" w:eastAsia="Times New Roman"/>
                <w:b/>
                <w:sz w:val="21"/>
              </w:rPr>
              <w:t>23. </w:t>
            </w:r>
            <w:r>
              <w:rPr>
                <w:rFonts w:ascii="微软雅黑" w:eastAsia="微软雅黑" w:hint="eastAsia"/>
                <w:b/>
                <w:sz w:val="21"/>
              </w:rPr>
              <w:t>语言能力丧失</w:t>
            </w:r>
          </w:p>
        </w:tc>
        <w:tc>
          <w:tcPr>
            <w:tcW w:w="7429" w:type="dxa"/>
          </w:tcPr>
          <w:p>
            <w:pPr>
              <w:pStyle w:val="TableParagraph"/>
              <w:spacing w:line="261" w:lineRule="auto" w:before="134"/>
              <w:ind w:right="305"/>
              <w:rPr>
                <w:sz w:val="21"/>
              </w:rPr>
            </w:pPr>
            <w:r>
              <w:rPr>
                <w:spacing w:val="-6"/>
                <w:sz w:val="21"/>
              </w:rPr>
              <w:t>指因疾病或意外伤害导致完全丧失语言能力，经过积极治疗至少 </w:t>
            </w:r>
            <w:r>
              <w:rPr>
                <w:sz w:val="21"/>
              </w:rPr>
              <w:t>12</w:t>
            </w:r>
            <w:r>
              <w:rPr>
                <w:spacing w:val="-20"/>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6"/>
              <w:rPr>
                <w:sz w:val="21"/>
              </w:rPr>
            </w:pPr>
            <w:r>
              <w:rPr>
                <w:sz w:val="21"/>
              </w:rPr>
              <w:t>精神心理因素所致的语言能力丧失不在保障范围内。</w:t>
            </w:r>
          </w:p>
        </w:tc>
      </w:tr>
      <w:tr>
        <w:trPr>
          <w:trHeight w:val="2397" w:hRule="atLeast"/>
        </w:trPr>
        <w:tc>
          <w:tcPr>
            <w:tcW w:w="2464" w:type="dxa"/>
          </w:tcPr>
          <w:p>
            <w:pPr>
              <w:pStyle w:val="TableParagraph"/>
              <w:spacing w:line="189" w:lineRule="auto" w:before="146"/>
              <w:ind w:left="1291" w:right="114" w:hanging="420"/>
              <w:rPr>
                <w:rFonts w:ascii="微软雅黑" w:eastAsia="微软雅黑" w:hint="eastAsia"/>
                <w:b/>
                <w:sz w:val="21"/>
              </w:rPr>
            </w:pPr>
            <w:r>
              <w:rPr>
                <w:rFonts w:ascii="Times New Roman" w:eastAsia="Times New Roman"/>
                <w:b/>
                <w:sz w:val="21"/>
              </w:rPr>
              <w:t>24. </w:t>
            </w:r>
            <w:r>
              <w:rPr>
                <w:rFonts w:ascii="微软雅黑" w:eastAsia="微软雅黑" w:hint="eastAsia"/>
                <w:b/>
                <w:sz w:val="21"/>
              </w:rPr>
              <w:t>重型再生障碍性贫血</w:t>
            </w:r>
          </w:p>
        </w:tc>
        <w:tc>
          <w:tcPr>
            <w:tcW w:w="7429" w:type="dxa"/>
          </w:tcPr>
          <w:p>
            <w:pPr>
              <w:pStyle w:val="TableParagraph"/>
              <w:spacing w:line="261" w:lineRule="auto" w:before="132"/>
              <w:ind w:right="309"/>
              <w:rPr>
                <w:sz w:val="21"/>
              </w:rPr>
            </w:pPr>
            <w:r>
              <w:rPr>
                <w:sz w:val="21"/>
              </w:rPr>
              <w:t>指因骨髓造血功能慢性持续性衰竭导致的贫血、中性粒细胞减少及血小板减少，须满足以下全部条件：</w:t>
            </w:r>
          </w:p>
          <w:p>
            <w:pPr>
              <w:pStyle w:val="TableParagraph"/>
              <w:spacing w:before="6"/>
              <w:rPr>
                <w:sz w:val="21"/>
              </w:rPr>
            </w:pPr>
            <w:r>
              <w:rPr>
                <w:sz w:val="21"/>
              </w:rPr>
              <w:t>（1）骨髓穿刺检查或骨髓活检结果支持诊断；</w:t>
            </w:r>
          </w:p>
          <w:p>
            <w:pPr>
              <w:pStyle w:val="TableParagraph"/>
              <w:spacing w:before="25"/>
              <w:rPr>
                <w:sz w:val="21"/>
              </w:rPr>
            </w:pPr>
            <w:r>
              <w:rPr>
                <w:sz w:val="21"/>
              </w:rPr>
              <w:t>（2）外周血象必须具备以下三项条件：</w:t>
            </w:r>
          </w:p>
          <w:p>
            <w:pPr>
              <w:pStyle w:val="TableParagraph"/>
              <w:spacing w:before="25"/>
              <w:rPr>
                <w:sz w:val="21"/>
              </w:rPr>
            </w:pPr>
            <w:r>
              <w:rPr>
                <w:sz w:val="21"/>
              </w:rPr>
              <w:t>① 中性粒细胞绝对值≤0.5×10</w:t>
            </w:r>
            <w:r>
              <w:rPr>
                <w:position w:val="11"/>
                <w:sz w:val="11"/>
              </w:rPr>
              <w:t>9</w:t>
            </w:r>
            <w:r>
              <w:rPr>
                <w:sz w:val="21"/>
              </w:rPr>
              <w:t>/L ；</w:t>
            </w:r>
          </w:p>
          <w:p>
            <w:pPr>
              <w:pStyle w:val="TableParagraph"/>
              <w:spacing w:before="22"/>
              <w:rPr>
                <w:sz w:val="21"/>
              </w:rPr>
            </w:pPr>
            <w:r>
              <w:rPr>
                <w:sz w:val="21"/>
              </w:rPr>
              <w:t>② 网织红细胞＜1；</w:t>
            </w:r>
          </w:p>
          <w:p>
            <w:pPr>
              <w:pStyle w:val="TableParagraph"/>
              <w:spacing w:before="24"/>
              <w:rPr>
                <w:sz w:val="21"/>
              </w:rPr>
            </w:pPr>
            <w:r>
              <w:rPr>
                <w:sz w:val="21"/>
              </w:rPr>
              <w:t>③ 血小板绝对值≤20×10</w:t>
            </w:r>
            <w:r>
              <w:rPr>
                <w:position w:val="11"/>
                <w:sz w:val="11"/>
              </w:rPr>
              <w:t>9</w:t>
            </w:r>
            <w:r>
              <w:rPr>
                <w:sz w:val="21"/>
              </w:rPr>
              <w:t>/L。</w:t>
            </w:r>
          </w:p>
        </w:tc>
      </w:tr>
      <w:tr>
        <w:trPr>
          <w:trHeight w:val="1497" w:hRule="atLeast"/>
        </w:trPr>
        <w:tc>
          <w:tcPr>
            <w:tcW w:w="2464" w:type="dxa"/>
          </w:tcPr>
          <w:p>
            <w:pPr>
              <w:pStyle w:val="TableParagraph"/>
              <w:spacing w:before="71"/>
              <w:ind w:left="0" w:right="114"/>
              <w:jc w:val="right"/>
              <w:rPr>
                <w:rFonts w:ascii="微软雅黑" w:eastAsia="微软雅黑" w:hint="eastAsia"/>
                <w:b/>
                <w:sz w:val="21"/>
              </w:rPr>
            </w:pPr>
            <w:r>
              <w:rPr>
                <w:rFonts w:ascii="Times New Roman" w:eastAsia="Times New Roman"/>
                <w:b/>
                <w:sz w:val="21"/>
              </w:rPr>
              <w:t>25.   </w:t>
            </w:r>
            <w:r>
              <w:rPr>
                <w:rFonts w:ascii="微软雅黑" w:eastAsia="微软雅黑" w:hint="eastAsia"/>
                <w:b/>
                <w:sz w:val="21"/>
              </w:rPr>
              <w:t>主动脉手术</w:t>
            </w:r>
          </w:p>
        </w:tc>
        <w:tc>
          <w:tcPr>
            <w:tcW w:w="7429" w:type="dxa"/>
          </w:tcPr>
          <w:p>
            <w:pPr>
              <w:pStyle w:val="TableParagraph"/>
              <w:spacing w:line="261" w:lineRule="auto" w:before="134"/>
              <w:ind w:right="309"/>
              <w:jc w:val="both"/>
              <w:rPr>
                <w:sz w:val="21"/>
              </w:rPr>
            </w:pPr>
            <w:r>
              <w:rPr>
                <w:sz w:val="21"/>
              </w:rPr>
              <w:t>指为治疗主动脉疾病，实际实施了开胸或开腹进行的切除、臵换、修补病损主动脉血管的手术。主动脉指胸主动脉和腹主动脉，不包括胸主动脉和腹主动脉的分支血管。</w:t>
            </w:r>
          </w:p>
          <w:p>
            <w:pPr>
              <w:pStyle w:val="TableParagraph"/>
              <w:spacing w:before="6"/>
              <w:jc w:val="both"/>
              <w:rPr>
                <w:sz w:val="21"/>
              </w:rPr>
            </w:pPr>
            <w:r>
              <w:rPr>
                <w:sz w:val="21"/>
              </w:rPr>
              <w:t>动脉内血管成形术不在保障范围内。</w:t>
            </w:r>
          </w:p>
        </w:tc>
      </w:tr>
      <w:tr>
        <w:trPr>
          <w:trHeight w:val="1009" w:hRule="atLeast"/>
        </w:trPr>
        <w:tc>
          <w:tcPr>
            <w:tcW w:w="2464" w:type="dxa"/>
          </w:tcPr>
          <w:p>
            <w:pPr>
              <w:pStyle w:val="TableParagraph"/>
              <w:spacing w:before="71"/>
              <w:ind w:left="0" w:right="114"/>
              <w:jc w:val="right"/>
              <w:rPr>
                <w:rFonts w:ascii="微软雅黑" w:eastAsia="微软雅黑" w:hint="eastAsia"/>
                <w:b/>
                <w:sz w:val="21"/>
              </w:rPr>
            </w:pPr>
            <w:r>
              <w:rPr>
                <w:rFonts w:ascii="Times New Roman" w:eastAsia="Times New Roman"/>
                <w:b/>
                <w:sz w:val="21"/>
              </w:rPr>
              <w:t>26.   </w:t>
            </w:r>
            <w:r>
              <w:rPr>
                <w:rFonts w:ascii="微软雅黑" w:eastAsia="微软雅黑" w:hint="eastAsia"/>
                <w:b/>
                <w:sz w:val="21"/>
              </w:rPr>
              <w:t>严重克隆病</w:t>
            </w:r>
          </w:p>
        </w:tc>
        <w:tc>
          <w:tcPr>
            <w:tcW w:w="7429" w:type="dxa"/>
          </w:tcPr>
          <w:p>
            <w:pPr>
              <w:pStyle w:val="TableParagraph"/>
              <w:spacing w:line="300" w:lineRule="atLeast" w:before="109"/>
              <w:ind w:right="3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bl>
    <w:p>
      <w:pPr>
        <w:spacing w:after="0" w:line="300" w:lineRule="atLeast"/>
        <w:jc w:val="both"/>
        <w:rPr>
          <w:sz w:val="21"/>
        </w:rPr>
        <w:sectPr>
          <w:pgSz w:w="11910" w:h="16840"/>
          <w:pgMar w:header="857" w:footer="992" w:top="1040" w:bottom="1180" w:left="1060" w:right="740"/>
        </w:sectPr>
      </w:pPr>
    </w:p>
    <w:p>
      <w:pPr>
        <w:pStyle w:val="BodyText"/>
        <w:spacing w:before="3"/>
        <w:rPr>
          <w:rFonts w:ascii="Times New Roman"/>
          <w:sz w:val="2"/>
        </w:rPr>
      </w:pPr>
    </w:p>
    <w:p>
      <w:pPr>
        <w:pStyle w:val="BodyText"/>
        <w:spacing w:line="20" w:lineRule="exact"/>
        <w:ind w:left="165"/>
        <w:rPr>
          <w:rFonts w:ascii="Times New Roman"/>
          <w:sz w:val="2"/>
        </w:rPr>
      </w:pPr>
      <w:r>
        <w:rPr>
          <w:rFonts w:ascii="Times New Roman"/>
          <w:spacing w:val="5"/>
          <w:sz w:val="2"/>
        </w:rPr>
        <w:t> </w:t>
      </w:r>
      <w:r>
        <w:rPr>
          <w:rFonts w:ascii="Times New Roman"/>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8"/>
        <w:rPr>
          <w:rFonts w:ascii="Times New Roman"/>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27"/>
        <w:gridCol w:w="7425"/>
      </w:tblGrid>
      <w:tr>
        <w:trPr>
          <w:trHeight w:val="1606" w:hRule="atLeast"/>
        </w:trPr>
        <w:tc>
          <w:tcPr>
            <w:tcW w:w="699" w:type="dxa"/>
          </w:tcPr>
          <w:p>
            <w:pPr>
              <w:pStyle w:val="TableParagraph"/>
              <w:ind w:left="0"/>
              <w:rPr>
                <w:rFonts w:ascii="Times New Roman"/>
                <w:sz w:val="20"/>
              </w:rPr>
            </w:pPr>
          </w:p>
        </w:tc>
        <w:tc>
          <w:tcPr>
            <w:tcW w:w="1827" w:type="dxa"/>
          </w:tcPr>
          <w:p>
            <w:pPr>
              <w:pStyle w:val="TableParagraph"/>
              <w:spacing w:line="243" w:lineRule="exact"/>
              <w:ind w:left="235"/>
              <w:rPr>
                <w:rFonts w:ascii="微软雅黑" w:eastAsia="微软雅黑" w:hint="eastAsia"/>
                <w:b/>
                <w:sz w:val="21"/>
              </w:rPr>
            </w:pPr>
            <w:r>
              <w:rPr>
                <w:rFonts w:ascii="Times New Roman" w:eastAsia="Times New Roman"/>
                <w:b/>
                <w:sz w:val="21"/>
              </w:rPr>
              <w:t>27.   </w:t>
            </w:r>
            <w:r>
              <w:rPr>
                <w:rFonts w:ascii="微软雅黑" w:eastAsia="微软雅黑" w:hint="eastAsia"/>
                <w:b/>
                <w:sz w:val="21"/>
              </w:rPr>
              <w:t>多发性硬化</w:t>
            </w:r>
          </w:p>
        </w:tc>
        <w:tc>
          <w:tcPr>
            <w:tcW w:w="7425" w:type="dxa"/>
          </w:tcPr>
          <w:p>
            <w:pPr>
              <w:pStyle w:val="TableParagraph"/>
              <w:spacing w:line="218" w:lineRule="exact"/>
              <w:ind w:left="117"/>
              <w:rPr>
                <w:sz w:val="21"/>
              </w:rPr>
            </w:pPr>
            <w:r>
              <w:rPr>
                <w:sz w:val="21"/>
              </w:rPr>
              <w:t>被保险人因脑及脊髓内的脱髓鞘病变而出现神经系统多灶性（多发性）多时</w:t>
            </w:r>
          </w:p>
          <w:p>
            <w:pPr>
              <w:pStyle w:val="TableParagraph"/>
              <w:spacing w:line="261" w:lineRule="auto" w:before="22"/>
              <w:ind w:left="117" w:right="298"/>
              <w:jc w:val="both"/>
              <w:rPr>
                <w:sz w:val="21"/>
              </w:rPr>
            </w:pPr>
            <w:r>
              <w:rPr>
                <w:sz w:val="21"/>
              </w:rPr>
              <w:t>相（</w:t>
            </w:r>
            <w:r>
              <w:rPr>
                <w:spacing w:val="-2"/>
                <w:sz w:val="21"/>
              </w:rPr>
              <w:t>至少 </w:t>
            </w:r>
            <w:r>
              <w:rPr>
                <w:sz w:val="21"/>
              </w:rPr>
              <w:t>6</w:t>
            </w:r>
            <w:r>
              <w:rPr>
                <w:spacing w:val="-3"/>
                <w:sz w:val="21"/>
              </w:rPr>
              <w:t> 个月以内有一次以上</w:t>
            </w:r>
            <w:r>
              <w:rPr>
                <w:sz w:val="21"/>
              </w:rPr>
              <w:t>（</w:t>
            </w:r>
            <w:r>
              <w:rPr>
                <w:spacing w:val="-3"/>
                <w:sz w:val="21"/>
              </w:rPr>
              <w:t>不包含一次</w:t>
            </w:r>
            <w:r>
              <w:rPr>
                <w:sz w:val="21"/>
              </w:rPr>
              <w:t>）</w:t>
            </w:r>
            <w:r>
              <w:rPr>
                <w:spacing w:val="-2"/>
                <w:sz w:val="21"/>
              </w:rPr>
              <w:t>的发作</w:t>
            </w:r>
            <w:r>
              <w:rPr>
                <w:spacing w:val="-3"/>
                <w:sz w:val="21"/>
              </w:rPr>
              <w:t>）的病变，须由计算</w:t>
            </w:r>
            <w:r>
              <w:rPr>
                <w:spacing w:val="-4"/>
                <w:w w:val="100"/>
                <w:sz w:val="21"/>
              </w:rPr>
              <w:t>机断层扫描</w:t>
            </w:r>
            <w:r>
              <w:rPr>
                <w:spacing w:val="-2"/>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MR</w:t>
            </w:r>
            <w:r>
              <w:rPr>
                <w:spacing w:val="-3"/>
                <w:w w:val="100"/>
                <w:sz w:val="21"/>
              </w:rPr>
              <w:t>I</w:t>
            </w:r>
            <w:r>
              <w:rPr>
                <w:spacing w:val="-8"/>
                <w:w w:val="100"/>
                <w:sz w:val="21"/>
              </w:rPr>
              <w:t>）</w:t>
            </w:r>
            <w:r>
              <w:rPr>
                <w:spacing w:val="-4"/>
                <w:w w:val="100"/>
                <w:sz w:val="21"/>
              </w:rPr>
              <w:t>或正电子发射断层扫描</w:t>
            </w:r>
            <w:r>
              <w:rPr>
                <w:spacing w:val="-3"/>
                <w:w w:val="100"/>
                <w:sz w:val="21"/>
              </w:rPr>
              <w:t>（</w:t>
            </w:r>
            <w:r>
              <w:rPr>
                <w:w w:val="100"/>
                <w:sz w:val="21"/>
              </w:rPr>
              <w:t>PE</w:t>
            </w:r>
            <w:r>
              <w:rPr>
                <w:spacing w:val="-3"/>
                <w:w w:val="100"/>
                <w:sz w:val="21"/>
              </w:rPr>
              <w:t>T</w:t>
            </w:r>
            <w:r>
              <w:rPr>
                <w:spacing w:val="-8"/>
                <w:w w:val="100"/>
                <w:sz w:val="21"/>
              </w:rPr>
              <w:t>）</w:t>
            </w:r>
            <w:r>
              <w:rPr>
                <w:w w:val="100"/>
                <w:sz w:val="21"/>
              </w:rPr>
              <w:t>等影</w:t>
            </w:r>
            <w:r>
              <w:rPr>
                <w:sz w:val="21"/>
              </w:rPr>
              <w:t>像学检查证实，且已经造成自主生活能力完全丧失，无法独立完成六项基本</w:t>
            </w:r>
            <w:r>
              <w:rPr>
                <w:spacing w:val="-5"/>
                <w:sz w:val="21"/>
              </w:rPr>
              <w:t>日常生活活动中的三项或三项以上，持续至少 </w:t>
            </w:r>
            <w:r>
              <w:rPr>
                <w:sz w:val="21"/>
              </w:rPr>
              <w:t>180</w:t>
            </w:r>
            <w:r>
              <w:rPr>
                <w:spacing w:val="-14"/>
                <w:sz w:val="21"/>
              </w:rPr>
              <w:t> 天。</w:t>
            </w:r>
          </w:p>
        </w:tc>
      </w:tr>
      <w:tr>
        <w:trPr>
          <w:trHeight w:val="2995" w:hRule="atLeast"/>
        </w:trPr>
        <w:tc>
          <w:tcPr>
            <w:tcW w:w="699" w:type="dxa"/>
          </w:tcPr>
          <w:p>
            <w:pPr>
              <w:pStyle w:val="TableParagraph"/>
              <w:ind w:left="0"/>
              <w:rPr>
                <w:rFonts w:ascii="Times New Roman"/>
                <w:sz w:val="20"/>
              </w:rPr>
            </w:pPr>
          </w:p>
        </w:tc>
        <w:tc>
          <w:tcPr>
            <w:tcW w:w="1827" w:type="dxa"/>
          </w:tcPr>
          <w:p>
            <w:pPr>
              <w:pStyle w:val="TableParagraph"/>
              <w:spacing w:before="71"/>
              <w:ind w:left="235"/>
              <w:rPr>
                <w:rFonts w:ascii="微软雅黑" w:eastAsia="微软雅黑" w:hint="eastAsia"/>
                <w:b/>
                <w:sz w:val="21"/>
              </w:rPr>
            </w:pPr>
            <w:r>
              <w:rPr>
                <w:rFonts w:ascii="Times New Roman" w:eastAsia="Times New Roman"/>
                <w:b/>
                <w:sz w:val="21"/>
              </w:rPr>
              <w:t>28.   </w:t>
            </w:r>
            <w:r>
              <w:rPr>
                <w:rFonts w:ascii="微软雅黑" w:eastAsia="微软雅黑" w:hint="eastAsia"/>
                <w:b/>
                <w:sz w:val="21"/>
              </w:rPr>
              <w:t>重症肌无力</w:t>
            </w:r>
          </w:p>
        </w:tc>
        <w:tc>
          <w:tcPr>
            <w:tcW w:w="7425" w:type="dxa"/>
          </w:tcPr>
          <w:p>
            <w:pPr>
              <w:pStyle w:val="TableParagraph"/>
              <w:spacing w:line="261" w:lineRule="auto" w:before="134"/>
              <w:ind w:left="117" w:right="304"/>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6"/>
              <w:ind w:left="117"/>
              <w:rPr>
                <w:sz w:val="21"/>
              </w:rPr>
            </w:pPr>
            <w:r>
              <w:rPr>
                <w:sz w:val="21"/>
              </w:rPr>
              <w:t>（1）经药物、胸腺手术治疗一年以上无法控制病情，丧失正常工作能力；</w:t>
            </w:r>
          </w:p>
          <w:p>
            <w:pPr>
              <w:pStyle w:val="TableParagraph"/>
              <w:spacing w:line="261" w:lineRule="auto" w:before="25"/>
              <w:ind w:left="117" w:right="301"/>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61" w:lineRule="auto" w:before="3"/>
              <w:ind w:left="117" w:right="298"/>
              <w:jc w:val="both"/>
              <w:rPr>
                <w:sz w:val="21"/>
              </w:rPr>
            </w:pPr>
            <w:r>
              <w:rPr>
                <w:spacing w:val="-5"/>
                <w:sz w:val="21"/>
              </w:rPr>
              <w:t>（3）</w:t>
            </w:r>
            <w:r>
              <w:rPr>
                <w:spacing w:val="-6"/>
                <w:sz w:val="21"/>
              </w:rPr>
              <w:t>症状缓解、复发及恶化交替出现，临床接受新斯的明等抗胆碱酯酶药物</w:t>
            </w:r>
            <w:r>
              <w:rPr>
                <w:spacing w:val="-4"/>
                <w:sz w:val="21"/>
              </w:rPr>
              <w:t>治疗的病史。</w:t>
            </w:r>
          </w:p>
        </w:tc>
      </w:tr>
      <w:tr>
        <w:trPr>
          <w:trHeight w:val="1497" w:hRule="atLeast"/>
        </w:trPr>
        <w:tc>
          <w:tcPr>
            <w:tcW w:w="699" w:type="dxa"/>
          </w:tcPr>
          <w:p>
            <w:pPr>
              <w:pStyle w:val="TableParagraph"/>
              <w:ind w:left="0"/>
              <w:rPr>
                <w:rFonts w:ascii="Times New Roman"/>
                <w:sz w:val="20"/>
              </w:rPr>
            </w:pPr>
          </w:p>
        </w:tc>
        <w:tc>
          <w:tcPr>
            <w:tcW w:w="1827" w:type="dxa"/>
          </w:tcPr>
          <w:p>
            <w:pPr>
              <w:pStyle w:val="TableParagraph"/>
              <w:spacing w:before="71"/>
              <w:ind w:left="235"/>
              <w:rPr>
                <w:rFonts w:ascii="微软雅黑" w:eastAsia="微软雅黑" w:hint="eastAsia"/>
                <w:b/>
                <w:sz w:val="21"/>
              </w:rPr>
            </w:pPr>
            <w:r>
              <w:rPr>
                <w:rFonts w:ascii="Times New Roman" w:eastAsia="Times New Roman"/>
                <w:b/>
                <w:sz w:val="21"/>
              </w:rPr>
              <w:t>29.   </w:t>
            </w:r>
            <w:r>
              <w:rPr>
                <w:rFonts w:ascii="微软雅黑" w:eastAsia="微软雅黑" w:hint="eastAsia"/>
                <w:b/>
                <w:sz w:val="21"/>
              </w:rPr>
              <w:t>严重心肌病</w:t>
            </w:r>
          </w:p>
        </w:tc>
        <w:tc>
          <w:tcPr>
            <w:tcW w:w="7425" w:type="dxa"/>
          </w:tcPr>
          <w:p>
            <w:pPr>
              <w:pStyle w:val="TableParagraph"/>
              <w:spacing w:line="261" w:lineRule="auto" w:before="134"/>
              <w:ind w:left="117" w:right="265"/>
              <w:jc w:val="both"/>
              <w:rPr>
                <w:sz w:val="21"/>
              </w:rPr>
            </w:pPr>
            <w:r>
              <w:rPr>
                <w:sz w:val="21"/>
              </w:rPr>
              <w:t>由任何病因引起的心室功能损伤，导致被保险人身体永久及不可逆地受损， </w:t>
            </w:r>
            <w:r>
              <w:rPr>
                <w:spacing w:val="-5"/>
                <w:sz w:val="21"/>
              </w:rPr>
              <w:t>达到美国纽约心脏病学会心功能状态分级 </w:t>
            </w:r>
            <w:r>
              <w:rPr>
                <w:sz w:val="21"/>
              </w:rPr>
              <w:t>IV</w:t>
            </w:r>
            <w:r>
              <w:rPr>
                <w:spacing w:val="-8"/>
                <w:sz w:val="21"/>
              </w:rPr>
              <w:t> 级。必须由心脏专科医生确诊， </w:t>
            </w:r>
            <w:r>
              <w:rPr>
                <w:spacing w:val="-5"/>
                <w:sz w:val="21"/>
              </w:rPr>
              <w:t>并有包括超声心动图在内的相关检查证实。</w:t>
            </w:r>
          </w:p>
          <w:p>
            <w:pPr>
              <w:pStyle w:val="TableParagraph"/>
              <w:spacing w:before="4"/>
              <w:ind w:left="117"/>
              <w:jc w:val="both"/>
              <w:rPr>
                <w:sz w:val="21"/>
              </w:rPr>
            </w:pPr>
            <w:r>
              <w:rPr>
                <w:sz w:val="21"/>
              </w:rPr>
              <w:t>酗酒或滥用药物引起的心肌病不在保险责任范围内。</w:t>
            </w:r>
          </w:p>
        </w:tc>
      </w:tr>
      <w:tr>
        <w:trPr>
          <w:trHeight w:val="1190" w:hRule="atLeast"/>
        </w:trPr>
        <w:tc>
          <w:tcPr>
            <w:tcW w:w="699" w:type="dxa"/>
          </w:tcPr>
          <w:p>
            <w:pPr>
              <w:pStyle w:val="TableParagraph"/>
              <w:ind w:left="0"/>
              <w:rPr>
                <w:rFonts w:ascii="Times New Roman"/>
                <w:sz w:val="20"/>
              </w:rPr>
            </w:pPr>
          </w:p>
        </w:tc>
        <w:tc>
          <w:tcPr>
            <w:tcW w:w="1827" w:type="dxa"/>
          </w:tcPr>
          <w:p>
            <w:pPr>
              <w:pStyle w:val="TableParagraph"/>
              <w:spacing w:line="189" w:lineRule="auto" w:before="147"/>
              <w:ind w:left="655" w:right="113" w:hanging="420"/>
              <w:rPr>
                <w:rFonts w:ascii="微软雅黑" w:eastAsia="微软雅黑" w:hint="eastAsia"/>
                <w:b/>
                <w:sz w:val="21"/>
              </w:rPr>
            </w:pPr>
            <w:r>
              <w:rPr>
                <w:rFonts w:ascii="Times New Roman" w:eastAsia="Times New Roman"/>
                <w:b/>
                <w:sz w:val="21"/>
              </w:rPr>
              <w:t>30. </w:t>
            </w:r>
            <w:r>
              <w:rPr>
                <w:rFonts w:ascii="微软雅黑" w:eastAsia="微软雅黑" w:hint="eastAsia"/>
                <w:b/>
                <w:sz w:val="21"/>
              </w:rPr>
              <w:t>急性出血坏死性胰腺炎</w:t>
            </w:r>
          </w:p>
        </w:tc>
        <w:tc>
          <w:tcPr>
            <w:tcW w:w="7425" w:type="dxa"/>
          </w:tcPr>
          <w:p>
            <w:pPr>
              <w:pStyle w:val="TableParagraph"/>
              <w:spacing w:line="261" w:lineRule="auto" w:before="134"/>
              <w:ind w:left="117" w:right="304"/>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198" w:hRule="atLeast"/>
        </w:trPr>
        <w:tc>
          <w:tcPr>
            <w:tcW w:w="699" w:type="dxa"/>
          </w:tcPr>
          <w:p>
            <w:pPr>
              <w:pStyle w:val="TableParagraph"/>
              <w:spacing w:before="173"/>
              <w:ind w:left="200"/>
              <w:rPr>
                <w:rFonts w:ascii="Times New Roman"/>
                <w:b/>
                <w:sz w:val="21"/>
              </w:rPr>
            </w:pPr>
            <w:r>
              <w:rPr>
                <w:rFonts w:ascii="Times New Roman"/>
                <w:b/>
                <w:sz w:val="21"/>
              </w:rPr>
              <w:t>6.5</w:t>
            </w:r>
          </w:p>
        </w:tc>
        <w:tc>
          <w:tcPr>
            <w:tcW w:w="1827" w:type="dxa"/>
          </w:tcPr>
          <w:p>
            <w:pPr>
              <w:pStyle w:val="TableParagraph"/>
              <w:spacing w:before="78"/>
              <w:ind w:left="235"/>
              <w:rPr>
                <w:rFonts w:ascii="微软雅黑" w:eastAsia="微软雅黑" w:hint="eastAsia"/>
                <w:b/>
                <w:sz w:val="21"/>
              </w:rPr>
            </w:pPr>
            <w:r>
              <w:rPr>
                <w:rFonts w:ascii="微软雅黑" w:eastAsia="微软雅黑" w:hint="eastAsia"/>
                <w:b/>
                <w:sz w:val="21"/>
              </w:rPr>
              <w:t>意外伤害</w:t>
            </w:r>
          </w:p>
        </w:tc>
        <w:tc>
          <w:tcPr>
            <w:tcW w:w="7425" w:type="dxa"/>
          </w:tcPr>
          <w:p>
            <w:pPr>
              <w:pStyle w:val="TableParagraph"/>
              <w:spacing w:line="261" w:lineRule="auto" w:before="141"/>
              <w:ind w:left="117" w:right="304"/>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497" w:hRule="atLeast"/>
        </w:trPr>
        <w:tc>
          <w:tcPr>
            <w:tcW w:w="699" w:type="dxa"/>
          </w:tcPr>
          <w:p>
            <w:pPr>
              <w:pStyle w:val="TableParagraph"/>
              <w:spacing w:before="174"/>
              <w:ind w:left="200"/>
              <w:rPr>
                <w:rFonts w:ascii="Times New Roman"/>
                <w:b/>
                <w:sz w:val="21"/>
              </w:rPr>
            </w:pPr>
            <w:r>
              <w:rPr>
                <w:rFonts w:ascii="Times New Roman"/>
                <w:b/>
                <w:sz w:val="21"/>
              </w:rPr>
              <w:t>6.6</w:t>
            </w:r>
          </w:p>
        </w:tc>
        <w:tc>
          <w:tcPr>
            <w:tcW w:w="1827" w:type="dxa"/>
          </w:tcPr>
          <w:p>
            <w:pPr>
              <w:pStyle w:val="TableParagraph"/>
              <w:spacing w:before="80"/>
              <w:ind w:left="235"/>
              <w:rPr>
                <w:rFonts w:ascii="微软雅黑" w:eastAsia="微软雅黑" w:hint="eastAsia"/>
                <w:b/>
                <w:sz w:val="21"/>
              </w:rPr>
            </w:pPr>
            <w:r>
              <w:rPr>
                <w:rFonts w:ascii="微软雅黑" w:eastAsia="微软雅黑" w:hint="eastAsia"/>
                <w:b/>
                <w:sz w:val="21"/>
              </w:rPr>
              <w:t>医院</w:t>
            </w:r>
          </w:p>
        </w:tc>
        <w:tc>
          <w:tcPr>
            <w:tcW w:w="7425" w:type="dxa"/>
          </w:tcPr>
          <w:p>
            <w:pPr>
              <w:pStyle w:val="TableParagraph"/>
              <w:spacing w:line="261" w:lineRule="auto" w:before="142"/>
              <w:ind w:left="117" w:right="304"/>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before="6"/>
              <w:ind w:left="117"/>
              <w:jc w:val="both"/>
              <w:rPr>
                <w:sz w:val="21"/>
              </w:rPr>
            </w:pPr>
            <w:r>
              <w:rPr>
                <w:sz w:val="21"/>
              </w:rPr>
              <w:t>24 小时的医疗与护理服务。</w:t>
            </w:r>
          </w:p>
        </w:tc>
      </w:tr>
      <w:tr>
        <w:trPr>
          <w:trHeight w:val="2396" w:hRule="atLeast"/>
        </w:trPr>
        <w:tc>
          <w:tcPr>
            <w:tcW w:w="699" w:type="dxa"/>
          </w:tcPr>
          <w:p>
            <w:pPr>
              <w:pStyle w:val="TableParagraph"/>
              <w:spacing w:before="175"/>
              <w:ind w:left="200"/>
              <w:rPr>
                <w:rFonts w:ascii="Times New Roman"/>
                <w:b/>
                <w:sz w:val="21"/>
              </w:rPr>
            </w:pPr>
            <w:r>
              <w:rPr>
                <w:rFonts w:ascii="Times New Roman"/>
                <w:b/>
                <w:sz w:val="21"/>
              </w:rPr>
              <w:t>6.7</w:t>
            </w:r>
          </w:p>
        </w:tc>
        <w:tc>
          <w:tcPr>
            <w:tcW w:w="1827" w:type="dxa"/>
          </w:tcPr>
          <w:p>
            <w:pPr>
              <w:pStyle w:val="TableParagraph"/>
              <w:spacing w:before="80"/>
              <w:ind w:left="235"/>
              <w:rPr>
                <w:rFonts w:ascii="微软雅黑" w:eastAsia="微软雅黑" w:hint="eastAsia"/>
                <w:b/>
                <w:sz w:val="21"/>
              </w:rPr>
            </w:pPr>
            <w:r>
              <w:rPr>
                <w:rFonts w:ascii="微软雅黑" w:eastAsia="微软雅黑" w:hint="eastAsia"/>
                <w:b/>
                <w:sz w:val="21"/>
              </w:rPr>
              <w:t>专科医生</w:t>
            </w:r>
          </w:p>
        </w:tc>
        <w:tc>
          <w:tcPr>
            <w:tcW w:w="7425" w:type="dxa"/>
          </w:tcPr>
          <w:p>
            <w:pPr>
              <w:pStyle w:val="TableParagraph"/>
              <w:spacing w:before="142"/>
              <w:ind w:left="117"/>
              <w:rPr>
                <w:sz w:val="21"/>
              </w:rPr>
            </w:pPr>
            <w:r>
              <w:rPr>
                <w:sz w:val="21"/>
              </w:rPr>
              <w:t>专科医生应当同时满足以下四项资格条件：</w:t>
            </w:r>
          </w:p>
          <w:p>
            <w:pPr>
              <w:pStyle w:val="TableParagraph"/>
              <w:spacing w:before="24"/>
              <w:ind w:left="117"/>
              <w:rPr>
                <w:sz w:val="21"/>
              </w:rPr>
            </w:pPr>
            <w:r>
              <w:rPr>
                <w:sz w:val="21"/>
              </w:rPr>
              <w:t>（1）具有有效的中华人民共和国《医师资格证书》；</w:t>
            </w:r>
          </w:p>
          <w:p>
            <w:pPr>
              <w:pStyle w:val="TableParagraph"/>
              <w:spacing w:line="261" w:lineRule="auto" w:before="22"/>
              <w:ind w:left="117" w:right="263"/>
              <w:rPr>
                <w:sz w:val="21"/>
              </w:rPr>
            </w:pPr>
            <w:r>
              <w:rPr>
                <w:sz w:val="21"/>
              </w:rPr>
              <w:t>（2）具有有效的中华人民共和国《医师执业证书》，并按期到相关部门登记注册；</w:t>
            </w:r>
          </w:p>
          <w:p>
            <w:pPr>
              <w:pStyle w:val="TableParagraph"/>
              <w:spacing w:line="261" w:lineRule="auto" w:before="6"/>
              <w:ind w:left="117" w:right="254"/>
              <w:rPr>
                <w:sz w:val="21"/>
              </w:rPr>
            </w:pPr>
            <w:r>
              <w:rPr>
                <w:sz w:val="21"/>
              </w:rPr>
              <w:t>（3）具有有效的中华人民共和国主治医师或主治医师以上职称的《医师职称证书》；</w:t>
            </w:r>
          </w:p>
          <w:p>
            <w:pPr>
              <w:pStyle w:val="TableParagraph"/>
              <w:spacing w:before="6"/>
              <w:ind w:left="117"/>
              <w:rPr>
                <w:sz w:val="21"/>
              </w:rPr>
            </w:pPr>
            <w:r>
              <w:rPr>
                <w:sz w:val="21"/>
              </w:rPr>
              <w:t>（4）在二级或二级以上医院的相应科室从事临床工作三年以上。</w:t>
            </w:r>
          </w:p>
        </w:tc>
      </w:tr>
      <w:tr>
        <w:trPr>
          <w:trHeight w:val="1316" w:hRule="atLeast"/>
        </w:trPr>
        <w:tc>
          <w:tcPr>
            <w:tcW w:w="699" w:type="dxa"/>
          </w:tcPr>
          <w:p>
            <w:pPr>
              <w:pStyle w:val="TableParagraph"/>
              <w:spacing w:before="173"/>
              <w:ind w:left="200"/>
              <w:rPr>
                <w:rFonts w:ascii="Times New Roman"/>
                <w:b/>
                <w:sz w:val="21"/>
              </w:rPr>
            </w:pPr>
            <w:r>
              <w:rPr>
                <w:rFonts w:ascii="Times New Roman"/>
                <w:b/>
                <w:sz w:val="21"/>
              </w:rPr>
              <w:t>6.8</w:t>
            </w:r>
          </w:p>
        </w:tc>
        <w:tc>
          <w:tcPr>
            <w:tcW w:w="1827" w:type="dxa"/>
          </w:tcPr>
          <w:p>
            <w:pPr>
              <w:pStyle w:val="TableParagraph"/>
              <w:spacing w:before="78"/>
              <w:ind w:left="235"/>
              <w:rPr>
                <w:rFonts w:ascii="微软雅黑" w:eastAsia="微软雅黑" w:hint="eastAsia"/>
                <w:b/>
                <w:sz w:val="21"/>
              </w:rPr>
            </w:pPr>
            <w:r>
              <w:rPr>
                <w:rFonts w:ascii="微软雅黑" w:eastAsia="微软雅黑" w:hint="eastAsia"/>
                <w:b/>
                <w:sz w:val="21"/>
              </w:rPr>
              <w:t>毒品</w:t>
            </w:r>
          </w:p>
        </w:tc>
        <w:tc>
          <w:tcPr>
            <w:tcW w:w="7425" w:type="dxa"/>
          </w:tcPr>
          <w:p>
            <w:pPr>
              <w:pStyle w:val="TableParagraph"/>
              <w:spacing w:line="261" w:lineRule="auto" w:before="141"/>
              <w:ind w:left="117" w:right="196"/>
              <w:rPr>
                <w:sz w:val="21"/>
              </w:rPr>
            </w:pPr>
            <w:r>
              <w:rPr>
                <w:spacing w:val="-11"/>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w:t>
            </w:r>
          </w:p>
          <w:p>
            <w:pPr>
              <w:pStyle w:val="TableParagraph"/>
              <w:spacing w:line="255" w:lineRule="exact" w:before="6"/>
              <w:ind w:left="117"/>
              <w:rPr>
                <w:sz w:val="21"/>
              </w:rPr>
            </w:pPr>
            <w:r>
              <w:rPr>
                <w:sz w:val="21"/>
              </w:rPr>
              <w:t>处方药品。</w:t>
            </w:r>
          </w:p>
        </w:tc>
      </w:tr>
    </w:tbl>
    <w:p>
      <w:pPr>
        <w:spacing w:after="0" w:line="255" w:lineRule="exact"/>
        <w:rPr>
          <w:sz w:val="21"/>
        </w:rPr>
        <w:sectPr>
          <w:pgSz w:w="11910" w:h="16840"/>
          <w:pgMar w:header="857" w:footer="992" w:top="1040" w:bottom="1180" w:left="1000" w:right="74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79"/>
        <w:gridCol w:w="7419"/>
      </w:tblGrid>
      <w:tr>
        <w:trPr>
          <w:trHeight w:val="1124" w:hRule="atLeast"/>
        </w:trPr>
        <w:tc>
          <w:tcPr>
            <w:tcW w:w="689" w:type="dxa"/>
            <w:tcBorders>
              <w:top w:val="single" w:sz="6" w:space="0" w:color="000000"/>
            </w:tcBorders>
          </w:tcPr>
          <w:p>
            <w:pPr>
              <w:pStyle w:val="TableParagraph"/>
              <w:spacing w:before="101"/>
              <w:ind w:left="137"/>
              <w:rPr>
                <w:rFonts w:ascii="Times New Roman"/>
                <w:b/>
                <w:sz w:val="21"/>
              </w:rPr>
            </w:pPr>
            <w:r>
              <w:rPr>
                <w:rFonts w:ascii="Times New Roman"/>
                <w:b/>
                <w:sz w:val="21"/>
              </w:rPr>
              <w:t>6.9</w:t>
            </w:r>
          </w:p>
        </w:tc>
        <w:tc>
          <w:tcPr>
            <w:tcW w:w="1779" w:type="dxa"/>
            <w:tcBorders>
              <w:top w:val="single" w:sz="6" w:space="0" w:color="000000"/>
            </w:tcBorders>
          </w:tcPr>
          <w:p>
            <w:pPr>
              <w:pStyle w:val="TableParagraph"/>
              <w:spacing w:before="6"/>
              <w:ind w:left="182"/>
              <w:rPr>
                <w:rFonts w:ascii="微软雅黑" w:eastAsia="微软雅黑" w:hint="eastAsia"/>
                <w:b/>
                <w:sz w:val="21"/>
              </w:rPr>
            </w:pPr>
            <w:r>
              <w:rPr>
                <w:rFonts w:ascii="微软雅黑" w:eastAsia="微软雅黑" w:hint="eastAsia"/>
                <w:b/>
                <w:sz w:val="21"/>
              </w:rPr>
              <w:t>酒后驾驶</w:t>
            </w:r>
          </w:p>
        </w:tc>
        <w:tc>
          <w:tcPr>
            <w:tcW w:w="7419" w:type="dxa"/>
            <w:tcBorders>
              <w:top w:val="single" w:sz="6" w:space="0" w:color="000000"/>
            </w:tcBorders>
          </w:tcPr>
          <w:p>
            <w:pPr>
              <w:pStyle w:val="TableParagraph"/>
              <w:spacing w:line="261" w:lineRule="auto" w:before="69"/>
              <w:ind w:left="112" w:right="303"/>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097" w:hRule="atLeast"/>
        </w:trPr>
        <w:tc>
          <w:tcPr>
            <w:tcW w:w="689" w:type="dxa"/>
          </w:tcPr>
          <w:p>
            <w:pPr>
              <w:pStyle w:val="TableParagraph"/>
              <w:spacing w:before="174"/>
              <w:ind w:left="137"/>
              <w:rPr>
                <w:rFonts w:ascii="Times New Roman"/>
                <w:b/>
                <w:sz w:val="21"/>
              </w:rPr>
            </w:pPr>
            <w:r>
              <w:rPr>
                <w:rFonts w:ascii="Times New Roman"/>
                <w:b/>
                <w:sz w:val="21"/>
              </w:rPr>
              <w:t>6.10</w:t>
            </w:r>
          </w:p>
        </w:tc>
        <w:tc>
          <w:tcPr>
            <w:tcW w:w="1779" w:type="dxa"/>
          </w:tcPr>
          <w:p>
            <w:pPr>
              <w:pStyle w:val="TableParagraph"/>
              <w:spacing w:line="189" w:lineRule="auto" w:before="156"/>
              <w:ind w:left="189" w:right="117" w:hanging="8"/>
              <w:rPr>
                <w:rFonts w:ascii="微软雅黑" w:eastAsia="微软雅黑" w:hint="eastAsia"/>
                <w:b/>
                <w:sz w:val="21"/>
              </w:rPr>
            </w:pPr>
            <w:r>
              <w:rPr>
                <w:rFonts w:ascii="微软雅黑" w:eastAsia="微软雅黑" w:hint="eastAsia"/>
                <w:b/>
                <w:sz w:val="21"/>
              </w:rPr>
              <w:t>无合法有效驾驶证驾驶</w:t>
            </w:r>
          </w:p>
        </w:tc>
        <w:tc>
          <w:tcPr>
            <w:tcW w:w="7419" w:type="dxa"/>
          </w:tcPr>
          <w:p>
            <w:pPr>
              <w:pStyle w:val="TableParagraph"/>
              <w:spacing w:before="142"/>
              <w:ind w:left="112"/>
              <w:rPr>
                <w:sz w:val="21"/>
              </w:rPr>
            </w:pPr>
            <w:r>
              <w:rPr>
                <w:sz w:val="21"/>
              </w:rPr>
              <w:t>指下列情形之一：</w:t>
            </w:r>
          </w:p>
          <w:p>
            <w:pPr>
              <w:pStyle w:val="TableParagraph"/>
              <w:numPr>
                <w:ilvl w:val="0"/>
                <w:numId w:val="8"/>
              </w:numPr>
              <w:tabs>
                <w:tab w:pos="680" w:val="left" w:leader="none"/>
              </w:tabs>
              <w:spacing w:line="240" w:lineRule="auto" w:before="25" w:after="0"/>
              <w:ind w:left="679" w:right="0" w:hanging="567"/>
              <w:jc w:val="left"/>
              <w:rPr>
                <w:sz w:val="21"/>
              </w:rPr>
            </w:pPr>
            <w:r>
              <w:rPr>
                <w:spacing w:val="-3"/>
                <w:sz w:val="21"/>
              </w:rPr>
              <w:t>没有取得驾驶资格；</w:t>
            </w:r>
          </w:p>
          <w:p>
            <w:pPr>
              <w:pStyle w:val="TableParagraph"/>
              <w:numPr>
                <w:ilvl w:val="0"/>
                <w:numId w:val="8"/>
              </w:numPr>
              <w:tabs>
                <w:tab w:pos="680" w:val="left" w:leader="none"/>
              </w:tabs>
              <w:spacing w:line="240" w:lineRule="auto" w:before="25" w:after="0"/>
              <w:ind w:left="679" w:right="0" w:hanging="567"/>
              <w:jc w:val="left"/>
              <w:rPr>
                <w:sz w:val="21"/>
              </w:rPr>
            </w:pPr>
            <w:r>
              <w:rPr>
                <w:spacing w:val="-3"/>
                <w:sz w:val="21"/>
              </w:rPr>
              <w:t>驾驶与驾驶证准驾车型不相符合的车辆；</w:t>
            </w:r>
          </w:p>
          <w:p>
            <w:pPr>
              <w:pStyle w:val="TableParagraph"/>
              <w:numPr>
                <w:ilvl w:val="0"/>
                <w:numId w:val="8"/>
              </w:numPr>
              <w:tabs>
                <w:tab w:pos="680" w:val="left" w:leader="none"/>
              </w:tabs>
              <w:spacing w:line="240" w:lineRule="auto" w:before="25" w:after="0"/>
              <w:ind w:left="679" w:right="0" w:hanging="567"/>
              <w:jc w:val="left"/>
              <w:rPr>
                <w:sz w:val="21"/>
              </w:rPr>
            </w:pPr>
            <w:r>
              <w:rPr>
                <w:spacing w:val="-3"/>
                <w:sz w:val="21"/>
              </w:rPr>
              <w:t>持审验不合格的驾驶证驾驶；</w:t>
            </w:r>
          </w:p>
          <w:p>
            <w:pPr>
              <w:pStyle w:val="TableParagraph"/>
              <w:numPr>
                <w:ilvl w:val="0"/>
                <w:numId w:val="8"/>
              </w:numPr>
              <w:tabs>
                <w:tab w:pos="680" w:val="left" w:leader="none"/>
              </w:tabs>
              <w:spacing w:line="261" w:lineRule="auto" w:before="23" w:after="0"/>
              <w:ind w:left="679" w:right="299" w:hanging="567"/>
              <w:jc w:val="left"/>
              <w:rPr>
                <w:sz w:val="21"/>
              </w:rPr>
            </w:pPr>
            <w:r>
              <w:rPr>
                <w:spacing w:val="-8"/>
                <w:sz w:val="21"/>
              </w:rPr>
              <w:t>持学习驾驶证学习驾车时，无教练员随车指导，或不按指定时间、路线</w:t>
            </w:r>
            <w:r>
              <w:rPr>
                <w:spacing w:val="-5"/>
                <w:sz w:val="21"/>
              </w:rPr>
              <w:t>学习驾车。</w:t>
            </w:r>
          </w:p>
        </w:tc>
      </w:tr>
      <w:tr>
        <w:trPr>
          <w:trHeight w:val="1199" w:hRule="atLeast"/>
        </w:trPr>
        <w:tc>
          <w:tcPr>
            <w:tcW w:w="689" w:type="dxa"/>
          </w:tcPr>
          <w:p>
            <w:pPr>
              <w:pStyle w:val="TableParagraph"/>
              <w:spacing w:before="174"/>
              <w:ind w:left="137"/>
              <w:rPr>
                <w:rFonts w:ascii="Times New Roman"/>
                <w:b/>
                <w:sz w:val="21"/>
              </w:rPr>
            </w:pPr>
            <w:r>
              <w:rPr>
                <w:rFonts w:ascii="Times New Roman"/>
                <w:b/>
                <w:sz w:val="21"/>
              </w:rPr>
              <w:t>6.11</w:t>
            </w:r>
          </w:p>
        </w:tc>
        <w:tc>
          <w:tcPr>
            <w:tcW w:w="1779" w:type="dxa"/>
          </w:tcPr>
          <w:p>
            <w:pPr>
              <w:pStyle w:val="TableParagraph"/>
              <w:spacing w:before="80"/>
              <w:ind w:left="182"/>
              <w:rPr>
                <w:rFonts w:ascii="微软雅黑" w:eastAsia="微软雅黑" w:hint="eastAsia"/>
                <w:b/>
                <w:sz w:val="21"/>
              </w:rPr>
            </w:pPr>
            <w:r>
              <w:rPr>
                <w:rFonts w:ascii="微软雅黑" w:eastAsia="微软雅黑" w:hint="eastAsia"/>
                <w:b/>
                <w:sz w:val="21"/>
              </w:rPr>
              <w:t>无有效行驶证</w:t>
            </w:r>
          </w:p>
        </w:tc>
        <w:tc>
          <w:tcPr>
            <w:tcW w:w="7419" w:type="dxa"/>
          </w:tcPr>
          <w:p>
            <w:pPr>
              <w:pStyle w:val="TableParagraph"/>
              <w:spacing w:before="142"/>
              <w:ind w:left="112"/>
              <w:rPr>
                <w:sz w:val="21"/>
              </w:rPr>
            </w:pPr>
            <w:r>
              <w:rPr>
                <w:sz w:val="21"/>
              </w:rPr>
              <w:t>指下列情形之一：</w:t>
            </w:r>
          </w:p>
          <w:p>
            <w:pPr>
              <w:pStyle w:val="TableParagraph"/>
              <w:numPr>
                <w:ilvl w:val="0"/>
                <w:numId w:val="9"/>
              </w:numPr>
              <w:tabs>
                <w:tab w:pos="680" w:val="left" w:leader="none"/>
              </w:tabs>
              <w:spacing w:line="240" w:lineRule="auto" w:before="25" w:after="0"/>
              <w:ind w:left="679" w:right="0" w:hanging="567"/>
              <w:jc w:val="left"/>
              <w:rPr>
                <w:sz w:val="21"/>
              </w:rPr>
            </w:pPr>
            <w:r>
              <w:rPr>
                <w:spacing w:val="-3"/>
                <w:sz w:val="21"/>
              </w:rPr>
              <w:t>机动车被依法注销登记的；</w:t>
            </w:r>
          </w:p>
          <w:p>
            <w:pPr>
              <w:pStyle w:val="TableParagraph"/>
              <w:numPr>
                <w:ilvl w:val="0"/>
                <w:numId w:val="9"/>
              </w:numPr>
              <w:tabs>
                <w:tab w:pos="680" w:val="left" w:leader="none"/>
              </w:tabs>
              <w:spacing w:line="240" w:lineRule="auto" w:before="24" w:after="0"/>
              <w:ind w:left="679" w:right="0" w:hanging="567"/>
              <w:jc w:val="left"/>
              <w:rPr>
                <w:sz w:val="21"/>
              </w:rPr>
            </w:pPr>
            <w:r>
              <w:rPr>
                <w:spacing w:val="-3"/>
                <w:sz w:val="21"/>
              </w:rPr>
              <w:t>未依法按时进行或通过机动车安全技术检验。</w:t>
            </w:r>
          </w:p>
        </w:tc>
      </w:tr>
      <w:tr>
        <w:trPr>
          <w:trHeight w:val="898" w:hRule="atLeast"/>
        </w:trPr>
        <w:tc>
          <w:tcPr>
            <w:tcW w:w="689" w:type="dxa"/>
          </w:tcPr>
          <w:p>
            <w:pPr>
              <w:pStyle w:val="TableParagraph"/>
              <w:spacing w:before="173"/>
              <w:ind w:left="137"/>
              <w:rPr>
                <w:rFonts w:ascii="Times New Roman"/>
                <w:b/>
                <w:sz w:val="21"/>
              </w:rPr>
            </w:pPr>
            <w:r>
              <w:rPr>
                <w:rFonts w:ascii="Times New Roman"/>
                <w:b/>
                <w:sz w:val="21"/>
              </w:rPr>
              <w:t>6.12</w:t>
            </w:r>
          </w:p>
        </w:tc>
        <w:tc>
          <w:tcPr>
            <w:tcW w:w="1779" w:type="dxa"/>
          </w:tcPr>
          <w:p>
            <w:pPr>
              <w:pStyle w:val="TableParagraph"/>
              <w:spacing w:before="78"/>
              <w:ind w:left="182"/>
              <w:rPr>
                <w:rFonts w:ascii="微软雅黑" w:eastAsia="微软雅黑" w:hint="eastAsia"/>
                <w:b/>
                <w:sz w:val="21"/>
              </w:rPr>
            </w:pPr>
            <w:r>
              <w:rPr>
                <w:rFonts w:ascii="微软雅黑" w:eastAsia="微软雅黑" w:hint="eastAsia"/>
                <w:b/>
                <w:sz w:val="21"/>
              </w:rPr>
              <w:t>遗传性疾病</w:t>
            </w:r>
          </w:p>
        </w:tc>
        <w:tc>
          <w:tcPr>
            <w:tcW w:w="7419" w:type="dxa"/>
          </w:tcPr>
          <w:p>
            <w:pPr>
              <w:pStyle w:val="TableParagraph"/>
              <w:spacing w:line="261" w:lineRule="auto" w:before="141"/>
              <w:ind w:left="112" w:right="303"/>
              <w:rPr>
                <w:sz w:val="21"/>
              </w:rPr>
            </w:pPr>
            <w:r>
              <w:rPr>
                <w:sz w:val="21"/>
              </w:rPr>
              <w:t>指生殖细胞或受精卵的遗传物质（染色体和基因）发生突变或畸变所引起的疾病，通常具有由亲代传至后代的垂直传递的特征。</w:t>
            </w:r>
          </w:p>
        </w:tc>
      </w:tr>
      <w:tr>
        <w:trPr>
          <w:trHeight w:val="1197" w:hRule="atLeast"/>
        </w:trPr>
        <w:tc>
          <w:tcPr>
            <w:tcW w:w="689" w:type="dxa"/>
          </w:tcPr>
          <w:p>
            <w:pPr>
              <w:pStyle w:val="TableParagraph"/>
              <w:spacing w:before="174"/>
              <w:ind w:left="137"/>
              <w:rPr>
                <w:rFonts w:ascii="Times New Roman"/>
                <w:b/>
                <w:sz w:val="21"/>
              </w:rPr>
            </w:pPr>
            <w:r>
              <w:rPr>
                <w:rFonts w:ascii="Times New Roman"/>
                <w:b/>
                <w:sz w:val="21"/>
              </w:rPr>
              <w:t>6.13</w:t>
            </w:r>
          </w:p>
        </w:tc>
        <w:tc>
          <w:tcPr>
            <w:tcW w:w="1779" w:type="dxa"/>
          </w:tcPr>
          <w:p>
            <w:pPr>
              <w:pStyle w:val="TableParagraph"/>
              <w:spacing w:line="189" w:lineRule="auto" w:before="156"/>
              <w:ind w:left="189" w:right="108" w:hanging="8"/>
              <w:rPr>
                <w:rFonts w:ascii="微软雅黑" w:eastAsia="微软雅黑" w:hint="eastAsia"/>
                <w:b/>
                <w:sz w:val="21"/>
              </w:rPr>
            </w:pPr>
            <w:r>
              <w:rPr>
                <w:rFonts w:ascii="微软雅黑" w:eastAsia="微软雅黑" w:hint="eastAsia"/>
                <w:b/>
                <w:sz w:val="21"/>
              </w:rPr>
              <w:t>先天性畸形、变形或染色体异常</w:t>
            </w:r>
          </w:p>
        </w:tc>
        <w:tc>
          <w:tcPr>
            <w:tcW w:w="7419" w:type="dxa"/>
          </w:tcPr>
          <w:p>
            <w:pPr>
              <w:pStyle w:val="TableParagraph"/>
              <w:spacing w:line="261" w:lineRule="auto" w:before="142"/>
              <w:ind w:left="112" w:right="20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3"/>
              <w:ind w:left="112"/>
              <w:rPr>
                <w:sz w:val="21"/>
              </w:rPr>
            </w:pPr>
            <w:r>
              <w:rPr>
                <w:sz w:val="21"/>
              </w:rPr>
              <w:t>（ICD-10）确定。</w:t>
            </w:r>
          </w:p>
        </w:tc>
      </w:tr>
      <w:tr>
        <w:trPr>
          <w:trHeight w:val="1854" w:hRule="atLeast"/>
        </w:trPr>
        <w:tc>
          <w:tcPr>
            <w:tcW w:w="689" w:type="dxa"/>
          </w:tcPr>
          <w:p>
            <w:pPr>
              <w:pStyle w:val="TableParagraph"/>
              <w:spacing w:before="174"/>
              <w:ind w:left="137"/>
              <w:rPr>
                <w:rFonts w:ascii="Times New Roman"/>
                <w:b/>
                <w:sz w:val="21"/>
              </w:rPr>
            </w:pPr>
            <w:r>
              <w:rPr>
                <w:rFonts w:ascii="Times New Roman"/>
                <w:b/>
                <w:sz w:val="21"/>
              </w:rPr>
              <w:t>6.14</w:t>
            </w:r>
          </w:p>
        </w:tc>
        <w:tc>
          <w:tcPr>
            <w:tcW w:w="1779" w:type="dxa"/>
          </w:tcPr>
          <w:p>
            <w:pPr>
              <w:pStyle w:val="TableParagraph"/>
              <w:spacing w:line="189" w:lineRule="auto" w:before="156"/>
              <w:ind w:left="189" w:right="117" w:hanging="8"/>
              <w:rPr>
                <w:rFonts w:ascii="微软雅黑" w:eastAsia="微软雅黑" w:hint="eastAsia"/>
                <w:b/>
                <w:sz w:val="21"/>
              </w:rPr>
            </w:pPr>
            <w:r>
              <w:rPr>
                <w:rFonts w:ascii="微软雅黑" w:eastAsia="微软雅黑" w:hint="eastAsia"/>
                <w:b/>
                <w:sz w:val="21"/>
              </w:rPr>
              <w:t>感染艾滋病病毒或患艾滋病</w:t>
            </w:r>
          </w:p>
        </w:tc>
        <w:tc>
          <w:tcPr>
            <w:tcW w:w="7419" w:type="dxa"/>
          </w:tcPr>
          <w:p>
            <w:pPr>
              <w:pStyle w:val="TableParagraph"/>
              <w:spacing w:line="285" w:lineRule="auto" w:before="171"/>
              <w:ind w:left="112" w:right="248"/>
              <w:rPr>
                <w:sz w:val="21"/>
              </w:rPr>
            </w:pPr>
            <w:r>
              <w:rPr>
                <w:sz w:val="21"/>
              </w:rPr>
              <w:t>艾滋病病毒指人类免疫缺陷病毒，英文缩写为HIV。艾滋病指人类免疫缺陷病毒引起的获得性免疫缺陷综合征，英文缩写为AIDS。</w:t>
            </w:r>
          </w:p>
          <w:p>
            <w:pPr>
              <w:pStyle w:val="TableParagraph"/>
              <w:spacing w:line="260" w:lineRule="exact"/>
              <w:ind w:left="112"/>
              <w:rPr>
                <w:sz w:val="21"/>
              </w:rPr>
            </w:pPr>
            <w:r>
              <w:rPr>
                <w:sz w:val="21"/>
              </w:rPr>
              <w:t>在人体血液或其它样本中检测到艾滋病病毒或其抗体呈阳性，没有出现临床</w:t>
            </w:r>
          </w:p>
          <w:p>
            <w:pPr>
              <w:pStyle w:val="TableParagraph"/>
              <w:spacing w:line="261" w:lineRule="auto" w:before="25"/>
              <w:ind w:left="112" w:right="165"/>
              <w:rPr>
                <w:sz w:val="21"/>
              </w:rPr>
            </w:pPr>
            <w:r>
              <w:rPr>
                <w:sz w:val="21"/>
              </w:rPr>
              <w:t>症状或体征的，为感染艾滋病病毒；如果同时出现了明显临床症状或体征的， 为患艾滋病。</w:t>
            </w:r>
          </w:p>
        </w:tc>
      </w:tr>
      <w:tr>
        <w:trPr>
          <w:trHeight w:val="898" w:hRule="atLeast"/>
        </w:trPr>
        <w:tc>
          <w:tcPr>
            <w:tcW w:w="689" w:type="dxa"/>
          </w:tcPr>
          <w:p>
            <w:pPr>
              <w:pStyle w:val="TableParagraph"/>
              <w:spacing w:before="173"/>
              <w:ind w:left="137"/>
              <w:rPr>
                <w:rFonts w:ascii="Times New Roman"/>
                <w:b/>
                <w:sz w:val="21"/>
              </w:rPr>
            </w:pPr>
            <w:r>
              <w:rPr>
                <w:rFonts w:ascii="Times New Roman"/>
                <w:b/>
                <w:sz w:val="21"/>
              </w:rPr>
              <w:t>6.15</w:t>
            </w:r>
          </w:p>
        </w:tc>
        <w:tc>
          <w:tcPr>
            <w:tcW w:w="1779" w:type="dxa"/>
          </w:tcPr>
          <w:p>
            <w:pPr>
              <w:pStyle w:val="TableParagraph"/>
              <w:spacing w:line="189" w:lineRule="auto" w:before="155"/>
              <w:ind w:left="189" w:right="117" w:hanging="8"/>
              <w:rPr>
                <w:rFonts w:ascii="微软雅黑" w:eastAsia="微软雅黑" w:hint="eastAsia"/>
                <w:b/>
                <w:sz w:val="21"/>
              </w:rPr>
            </w:pPr>
            <w:r>
              <w:rPr>
                <w:rFonts w:ascii="微软雅黑" w:eastAsia="微软雅黑" w:hint="eastAsia"/>
                <w:b/>
                <w:sz w:val="21"/>
              </w:rPr>
              <w:t>肢体机能完全丧失</w:t>
            </w:r>
          </w:p>
        </w:tc>
        <w:tc>
          <w:tcPr>
            <w:tcW w:w="7419" w:type="dxa"/>
          </w:tcPr>
          <w:p>
            <w:pPr>
              <w:pStyle w:val="TableParagraph"/>
              <w:spacing w:line="261" w:lineRule="auto" w:before="141"/>
              <w:ind w:left="112" w:right="303"/>
              <w:rPr>
                <w:sz w:val="21"/>
              </w:rPr>
            </w:pPr>
            <w:r>
              <w:rPr>
                <w:sz w:val="21"/>
              </w:rPr>
              <w:t>指肢体的三大关节中的两大关节僵硬，或不能随意识活动。肢体是指包括肩关节的整个上肢或包括髋关节的整个下肢。</w:t>
            </w:r>
          </w:p>
        </w:tc>
      </w:tr>
      <w:tr>
        <w:trPr>
          <w:trHeight w:val="1798" w:hRule="atLeast"/>
        </w:trPr>
        <w:tc>
          <w:tcPr>
            <w:tcW w:w="689" w:type="dxa"/>
          </w:tcPr>
          <w:p>
            <w:pPr>
              <w:pStyle w:val="TableParagraph"/>
              <w:spacing w:before="174"/>
              <w:ind w:left="137"/>
              <w:rPr>
                <w:rFonts w:ascii="Times New Roman"/>
                <w:b/>
                <w:sz w:val="21"/>
              </w:rPr>
            </w:pPr>
            <w:r>
              <w:rPr>
                <w:rFonts w:ascii="Times New Roman"/>
                <w:b/>
                <w:sz w:val="21"/>
              </w:rPr>
              <w:t>6.16</w:t>
            </w:r>
          </w:p>
        </w:tc>
        <w:tc>
          <w:tcPr>
            <w:tcW w:w="1779" w:type="dxa"/>
          </w:tcPr>
          <w:p>
            <w:pPr>
              <w:pStyle w:val="TableParagraph"/>
              <w:spacing w:line="189" w:lineRule="auto" w:before="156"/>
              <w:ind w:left="189" w:right="108" w:hanging="8"/>
              <w:jc w:val="both"/>
              <w:rPr>
                <w:rFonts w:ascii="微软雅黑" w:eastAsia="微软雅黑" w:hint="eastAsia"/>
                <w:b/>
                <w:sz w:val="21"/>
              </w:rPr>
            </w:pPr>
            <w:r>
              <w:rPr>
                <w:rFonts w:ascii="微软雅黑" w:eastAsia="微软雅黑" w:hint="eastAsia"/>
                <w:b/>
                <w:sz w:val="21"/>
              </w:rPr>
              <w:t>语言能力或咀嚼吞咽能力完全丧失</w:t>
            </w:r>
          </w:p>
        </w:tc>
        <w:tc>
          <w:tcPr>
            <w:tcW w:w="7419" w:type="dxa"/>
          </w:tcPr>
          <w:p>
            <w:pPr>
              <w:pStyle w:val="TableParagraph"/>
              <w:spacing w:line="261" w:lineRule="auto" w:before="142"/>
              <w:ind w:left="112" w:right="303"/>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61" w:lineRule="auto" w:before="6"/>
              <w:ind w:left="112" w:right="303"/>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96" w:hRule="atLeast"/>
        </w:trPr>
        <w:tc>
          <w:tcPr>
            <w:tcW w:w="689" w:type="dxa"/>
          </w:tcPr>
          <w:p>
            <w:pPr>
              <w:pStyle w:val="TableParagraph"/>
              <w:spacing w:before="174"/>
              <w:ind w:left="137"/>
              <w:rPr>
                <w:rFonts w:ascii="Times New Roman"/>
                <w:b/>
                <w:sz w:val="21"/>
              </w:rPr>
            </w:pPr>
            <w:r>
              <w:rPr>
                <w:rFonts w:ascii="Times New Roman"/>
                <w:b/>
                <w:sz w:val="21"/>
              </w:rPr>
              <w:t>6.17</w:t>
            </w:r>
          </w:p>
        </w:tc>
        <w:tc>
          <w:tcPr>
            <w:tcW w:w="1779" w:type="dxa"/>
          </w:tcPr>
          <w:p>
            <w:pPr>
              <w:pStyle w:val="TableParagraph"/>
              <w:spacing w:line="189" w:lineRule="auto" w:before="156"/>
              <w:ind w:left="189" w:right="117" w:hanging="8"/>
              <w:rPr>
                <w:rFonts w:ascii="微软雅黑" w:eastAsia="微软雅黑" w:hint="eastAsia"/>
                <w:b/>
                <w:sz w:val="21"/>
              </w:rPr>
            </w:pPr>
            <w:r>
              <w:rPr>
                <w:rFonts w:ascii="微软雅黑" w:eastAsia="微软雅黑" w:hint="eastAsia"/>
                <w:b/>
                <w:sz w:val="21"/>
              </w:rPr>
              <w:t>六项基本日常生活活动</w:t>
            </w:r>
          </w:p>
        </w:tc>
        <w:tc>
          <w:tcPr>
            <w:tcW w:w="7419" w:type="dxa"/>
          </w:tcPr>
          <w:p>
            <w:pPr>
              <w:pStyle w:val="TableParagraph"/>
              <w:spacing w:before="142"/>
              <w:ind w:left="112"/>
              <w:rPr>
                <w:sz w:val="21"/>
              </w:rPr>
            </w:pPr>
            <w:r>
              <w:rPr>
                <w:sz w:val="21"/>
              </w:rPr>
              <w:t>六项基本日常生活活动是指：</w:t>
            </w:r>
          </w:p>
          <w:p>
            <w:pPr>
              <w:pStyle w:val="TableParagraph"/>
              <w:spacing w:before="25"/>
              <w:ind w:left="112"/>
              <w:rPr>
                <w:sz w:val="21"/>
              </w:rPr>
            </w:pPr>
            <w:r>
              <w:rPr>
                <w:sz w:val="21"/>
              </w:rPr>
              <w:t>（1）穿衣：自己能够穿衣及脱衣；</w:t>
            </w:r>
          </w:p>
          <w:p>
            <w:pPr>
              <w:pStyle w:val="TableParagraph"/>
              <w:spacing w:before="23"/>
              <w:ind w:left="112"/>
              <w:rPr>
                <w:sz w:val="21"/>
              </w:rPr>
            </w:pPr>
            <w:r>
              <w:rPr>
                <w:sz w:val="21"/>
              </w:rPr>
              <w:t>（2）移动：自己从一个房间到另一个房间；</w:t>
            </w:r>
          </w:p>
          <w:p>
            <w:pPr>
              <w:pStyle w:val="TableParagraph"/>
              <w:spacing w:before="25"/>
              <w:ind w:left="112"/>
              <w:rPr>
                <w:sz w:val="21"/>
              </w:rPr>
            </w:pPr>
            <w:r>
              <w:rPr>
                <w:sz w:val="21"/>
              </w:rPr>
              <w:t>（3）行动：自己上下床或上下轮椅；</w:t>
            </w:r>
          </w:p>
          <w:p>
            <w:pPr>
              <w:pStyle w:val="TableParagraph"/>
              <w:spacing w:before="25"/>
              <w:ind w:left="112"/>
              <w:rPr>
                <w:sz w:val="21"/>
              </w:rPr>
            </w:pPr>
            <w:r>
              <w:rPr>
                <w:sz w:val="21"/>
              </w:rPr>
              <w:t>（4）如厕：自己控制进行大小便；</w:t>
            </w:r>
          </w:p>
          <w:p>
            <w:pPr>
              <w:pStyle w:val="TableParagraph"/>
              <w:spacing w:before="25"/>
              <w:ind w:left="112"/>
              <w:rPr>
                <w:sz w:val="21"/>
              </w:rPr>
            </w:pPr>
            <w:r>
              <w:rPr>
                <w:sz w:val="21"/>
              </w:rPr>
              <w:t>（5）进食：自己从已准备好的碗或碟中取食物放入口中；</w:t>
            </w:r>
          </w:p>
          <w:p>
            <w:pPr>
              <w:pStyle w:val="TableParagraph"/>
              <w:spacing w:before="25"/>
              <w:ind w:left="112"/>
              <w:rPr>
                <w:sz w:val="21"/>
              </w:rPr>
            </w:pPr>
            <w:r>
              <w:rPr>
                <w:sz w:val="21"/>
              </w:rPr>
              <w:t>（6）洗澡：自己进行淋浴或盆浴。</w:t>
            </w:r>
          </w:p>
        </w:tc>
      </w:tr>
      <w:tr>
        <w:trPr>
          <w:trHeight w:val="716" w:hRule="atLeast"/>
        </w:trPr>
        <w:tc>
          <w:tcPr>
            <w:tcW w:w="689" w:type="dxa"/>
          </w:tcPr>
          <w:p>
            <w:pPr>
              <w:pStyle w:val="TableParagraph"/>
              <w:spacing w:before="173"/>
              <w:ind w:left="137"/>
              <w:rPr>
                <w:rFonts w:ascii="Times New Roman"/>
                <w:b/>
                <w:sz w:val="21"/>
              </w:rPr>
            </w:pPr>
            <w:r>
              <w:rPr>
                <w:rFonts w:ascii="Times New Roman"/>
                <w:b/>
                <w:sz w:val="21"/>
              </w:rPr>
              <w:t>6.18</w:t>
            </w:r>
          </w:p>
        </w:tc>
        <w:tc>
          <w:tcPr>
            <w:tcW w:w="1779" w:type="dxa"/>
          </w:tcPr>
          <w:p>
            <w:pPr>
              <w:pStyle w:val="TableParagraph"/>
              <w:spacing w:before="79"/>
              <w:ind w:left="182"/>
              <w:rPr>
                <w:rFonts w:ascii="微软雅黑" w:eastAsia="微软雅黑" w:hint="eastAsia"/>
                <w:b/>
                <w:sz w:val="21"/>
              </w:rPr>
            </w:pPr>
            <w:r>
              <w:rPr>
                <w:rFonts w:ascii="微软雅黑" w:eastAsia="微软雅黑" w:hint="eastAsia"/>
                <w:b/>
                <w:sz w:val="21"/>
              </w:rPr>
              <w:t>永久不可逆</w:t>
            </w:r>
          </w:p>
        </w:tc>
        <w:tc>
          <w:tcPr>
            <w:tcW w:w="7419" w:type="dxa"/>
          </w:tcPr>
          <w:p>
            <w:pPr>
              <w:pStyle w:val="TableParagraph"/>
              <w:spacing w:line="300" w:lineRule="atLeast" w:before="116"/>
              <w:ind w:left="112" w:right="244"/>
              <w:rPr>
                <w:sz w:val="21"/>
              </w:rPr>
            </w:pPr>
            <w:r>
              <w:rPr>
                <w:sz w:val="21"/>
              </w:rPr>
              <w:t>指自疾病确诊或意外伤害发生之日起，经过积极治疗 180 天后，仍无法通过现有医疗手段恢复。</w:t>
            </w:r>
          </w:p>
        </w:tc>
      </w:tr>
    </w:tbl>
    <w:sectPr>
      <w:pgSz w:w="11910" w:h="16840"/>
      <w:pgMar w:header="857" w:footer="992" w:top="1040" w:bottom="1180" w:left="10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0.859985pt;width:6.5pt;height:12pt;mso-position-horizontal-relative:page;mso-position-vertical-relative:page;z-index:-253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25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84" from="58.68pt,54.599983pt" to="536.74pt,54.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pt;height:11pt;mso-position-horizontal-relative:page;mso-position-vertical-relative:page;z-index:-2536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5312"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 from="58.68pt,54.599983pt" to="536.74pt,54.599983pt" stroked="true" strokeweight=".72pt" strokecolor="#000000">
          <v:stroke dashstyle="solid"/>
          <w10:wrap type="none"/>
        </v:line>
      </w:pict>
    </w:r>
    <w:r>
      <w:rPr/>
      <w:pict>
        <v:shape style="position:absolute;margin-left:242.649994pt;margin-top:42.865608pt;width:110pt;height:11pt;mso-position-horizontal-relative:page;mso-position-vertical-relative:page;z-index:-2524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5216"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79" w:hanging="567"/>
        <w:jc w:val="left"/>
      </w:pPr>
      <w:rPr>
        <w:rFonts w:hint="default" w:ascii="宋体" w:hAnsi="宋体" w:eastAsia="宋体" w:cs="宋体"/>
        <w:w w:val="100"/>
        <w:sz w:val="21"/>
        <w:szCs w:val="21"/>
      </w:rPr>
    </w:lvl>
    <w:lvl w:ilvl="1">
      <w:start w:val="0"/>
      <w:numFmt w:val="bullet"/>
      <w:lvlText w:val="•"/>
      <w:lvlJc w:val="left"/>
      <w:pPr>
        <w:ind w:left="1353" w:hanging="567"/>
      </w:pPr>
      <w:rPr>
        <w:rFonts w:hint="default"/>
      </w:rPr>
    </w:lvl>
    <w:lvl w:ilvl="2">
      <w:start w:val="0"/>
      <w:numFmt w:val="bullet"/>
      <w:lvlText w:val="•"/>
      <w:lvlJc w:val="left"/>
      <w:pPr>
        <w:ind w:left="2027" w:hanging="567"/>
      </w:pPr>
      <w:rPr>
        <w:rFonts w:hint="default"/>
      </w:rPr>
    </w:lvl>
    <w:lvl w:ilvl="3">
      <w:start w:val="0"/>
      <w:numFmt w:val="bullet"/>
      <w:lvlText w:val="•"/>
      <w:lvlJc w:val="left"/>
      <w:pPr>
        <w:ind w:left="2701" w:hanging="567"/>
      </w:pPr>
      <w:rPr>
        <w:rFonts w:hint="default"/>
      </w:rPr>
    </w:lvl>
    <w:lvl w:ilvl="4">
      <w:start w:val="0"/>
      <w:numFmt w:val="bullet"/>
      <w:lvlText w:val="•"/>
      <w:lvlJc w:val="left"/>
      <w:pPr>
        <w:ind w:left="3375" w:hanging="567"/>
      </w:pPr>
      <w:rPr>
        <w:rFonts w:hint="default"/>
      </w:rPr>
    </w:lvl>
    <w:lvl w:ilvl="5">
      <w:start w:val="0"/>
      <w:numFmt w:val="bullet"/>
      <w:lvlText w:val="•"/>
      <w:lvlJc w:val="left"/>
      <w:pPr>
        <w:ind w:left="4049" w:hanging="567"/>
      </w:pPr>
      <w:rPr>
        <w:rFonts w:hint="default"/>
      </w:rPr>
    </w:lvl>
    <w:lvl w:ilvl="6">
      <w:start w:val="0"/>
      <w:numFmt w:val="bullet"/>
      <w:lvlText w:val="•"/>
      <w:lvlJc w:val="left"/>
      <w:pPr>
        <w:ind w:left="4723" w:hanging="567"/>
      </w:pPr>
      <w:rPr>
        <w:rFonts w:hint="default"/>
      </w:rPr>
    </w:lvl>
    <w:lvl w:ilvl="7">
      <w:start w:val="0"/>
      <w:numFmt w:val="bullet"/>
      <w:lvlText w:val="•"/>
      <w:lvlJc w:val="left"/>
      <w:pPr>
        <w:ind w:left="5397" w:hanging="567"/>
      </w:pPr>
      <w:rPr>
        <w:rFonts w:hint="default"/>
      </w:rPr>
    </w:lvl>
    <w:lvl w:ilvl="8">
      <w:start w:val="0"/>
      <w:numFmt w:val="bullet"/>
      <w:lvlText w:val="•"/>
      <w:lvlJc w:val="left"/>
      <w:pPr>
        <w:ind w:left="6071" w:hanging="567"/>
      </w:pPr>
      <w:rPr>
        <w:rFonts w:hint="default"/>
      </w:rPr>
    </w:lvl>
  </w:abstractNum>
  <w:abstractNum w:abstractNumId="7">
    <w:multiLevelType w:val="hybridMultilevel"/>
    <w:lvl w:ilvl="0">
      <w:start w:val="1"/>
      <w:numFmt w:val="decimal"/>
      <w:lvlText w:val="（%1）"/>
      <w:lvlJc w:val="left"/>
      <w:pPr>
        <w:ind w:left="679" w:hanging="567"/>
        <w:jc w:val="left"/>
      </w:pPr>
      <w:rPr>
        <w:rFonts w:hint="default" w:ascii="宋体" w:hAnsi="宋体" w:eastAsia="宋体" w:cs="宋体"/>
        <w:w w:val="100"/>
        <w:sz w:val="21"/>
        <w:szCs w:val="21"/>
      </w:rPr>
    </w:lvl>
    <w:lvl w:ilvl="1">
      <w:start w:val="0"/>
      <w:numFmt w:val="bullet"/>
      <w:lvlText w:val="•"/>
      <w:lvlJc w:val="left"/>
      <w:pPr>
        <w:ind w:left="1353" w:hanging="567"/>
      </w:pPr>
      <w:rPr>
        <w:rFonts w:hint="default"/>
      </w:rPr>
    </w:lvl>
    <w:lvl w:ilvl="2">
      <w:start w:val="0"/>
      <w:numFmt w:val="bullet"/>
      <w:lvlText w:val="•"/>
      <w:lvlJc w:val="left"/>
      <w:pPr>
        <w:ind w:left="2027" w:hanging="567"/>
      </w:pPr>
      <w:rPr>
        <w:rFonts w:hint="default"/>
      </w:rPr>
    </w:lvl>
    <w:lvl w:ilvl="3">
      <w:start w:val="0"/>
      <w:numFmt w:val="bullet"/>
      <w:lvlText w:val="•"/>
      <w:lvlJc w:val="left"/>
      <w:pPr>
        <w:ind w:left="2701" w:hanging="567"/>
      </w:pPr>
      <w:rPr>
        <w:rFonts w:hint="default"/>
      </w:rPr>
    </w:lvl>
    <w:lvl w:ilvl="4">
      <w:start w:val="0"/>
      <w:numFmt w:val="bullet"/>
      <w:lvlText w:val="•"/>
      <w:lvlJc w:val="left"/>
      <w:pPr>
        <w:ind w:left="3375" w:hanging="567"/>
      </w:pPr>
      <w:rPr>
        <w:rFonts w:hint="default"/>
      </w:rPr>
    </w:lvl>
    <w:lvl w:ilvl="5">
      <w:start w:val="0"/>
      <w:numFmt w:val="bullet"/>
      <w:lvlText w:val="•"/>
      <w:lvlJc w:val="left"/>
      <w:pPr>
        <w:ind w:left="4049" w:hanging="567"/>
      </w:pPr>
      <w:rPr>
        <w:rFonts w:hint="default"/>
      </w:rPr>
    </w:lvl>
    <w:lvl w:ilvl="6">
      <w:start w:val="0"/>
      <w:numFmt w:val="bullet"/>
      <w:lvlText w:val="•"/>
      <w:lvlJc w:val="left"/>
      <w:pPr>
        <w:ind w:left="4723" w:hanging="567"/>
      </w:pPr>
      <w:rPr>
        <w:rFonts w:hint="default"/>
      </w:rPr>
    </w:lvl>
    <w:lvl w:ilvl="7">
      <w:start w:val="0"/>
      <w:numFmt w:val="bullet"/>
      <w:lvlText w:val="•"/>
      <w:lvlJc w:val="left"/>
      <w:pPr>
        <w:ind w:left="5397" w:hanging="567"/>
      </w:pPr>
      <w:rPr>
        <w:rFonts w:hint="default"/>
      </w:rPr>
    </w:lvl>
    <w:lvl w:ilvl="8">
      <w:start w:val="0"/>
      <w:numFmt w:val="bullet"/>
      <w:lvlText w:val="•"/>
      <w:lvlJc w:val="left"/>
      <w:pPr>
        <w:ind w:left="6071" w:hanging="567"/>
      </w:pPr>
      <w:rPr>
        <w:rFonts w:hint="default"/>
      </w:rPr>
    </w:lvl>
  </w:abstractNum>
  <w:abstractNum w:abstractNumId="6">
    <w:multiLevelType w:val="hybridMultilevel"/>
    <w:lvl w:ilvl="0">
      <w:start w:val="1"/>
      <w:numFmt w:val="decimal"/>
      <w:lvlText w:val="（%1）"/>
      <w:lvlJc w:val="left"/>
      <w:pPr>
        <w:ind w:left="681"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3"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2" w:hanging="567"/>
      </w:pPr>
      <w:rPr>
        <w:rFonts w:hint="default"/>
      </w:rPr>
    </w:lvl>
    <w:lvl w:ilvl="8">
      <w:start w:val="0"/>
      <w:numFmt w:val="bullet"/>
      <w:lvlText w:val="•"/>
      <w:lvlJc w:val="left"/>
      <w:pPr>
        <w:ind w:left="5917" w:hanging="567"/>
      </w:pPr>
      <w:rPr>
        <w:rFonts w:hint="default"/>
      </w:rPr>
    </w:lvl>
  </w:abstractNum>
  <w:abstractNum w:abstractNumId="5">
    <w:multiLevelType w:val="hybridMultilevel"/>
    <w:lvl w:ilvl="0">
      <w:start w:val="1"/>
      <w:numFmt w:val="decimal"/>
      <w:lvlText w:val="（%1）"/>
      <w:lvlJc w:val="left"/>
      <w:pPr>
        <w:ind w:left="681"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3"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2" w:hanging="567"/>
      </w:pPr>
      <w:rPr>
        <w:rFonts w:hint="default"/>
      </w:rPr>
    </w:lvl>
    <w:lvl w:ilvl="8">
      <w:start w:val="0"/>
      <w:numFmt w:val="bullet"/>
      <w:lvlText w:val="•"/>
      <w:lvlJc w:val="left"/>
      <w:pPr>
        <w:ind w:left="5917" w:hanging="567"/>
      </w:pPr>
      <w:rPr>
        <w:rFonts w:hint="default"/>
      </w:rPr>
    </w:lvl>
  </w:abstractNum>
  <w:abstractNum w:abstractNumId="4">
    <w:multiLevelType w:val="hybridMultilevel"/>
    <w:lvl w:ilvl="0">
      <w:start w:val="1"/>
      <w:numFmt w:val="decimal"/>
      <w:lvlText w:val="（%1）"/>
      <w:lvlJc w:val="left"/>
      <w:pPr>
        <w:ind w:left="685" w:hanging="567"/>
        <w:jc w:val="left"/>
      </w:pPr>
      <w:rPr>
        <w:rFonts w:hint="default" w:ascii="黑体" w:hAnsi="黑体" w:eastAsia="黑体" w:cs="黑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8" w:hanging="567"/>
      </w:pPr>
      <w:rPr>
        <w:rFonts w:hint="default"/>
      </w:rPr>
    </w:lvl>
    <w:lvl w:ilvl="5">
      <w:start w:val="0"/>
      <w:numFmt w:val="bullet"/>
      <w:lvlText w:val="•"/>
      <w:lvlJc w:val="left"/>
      <w:pPr>
        <w:ind w:left="3953"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2" w:hanging="567"/>
      </w:pPr>
      <w:rPr>
        <w:rFonts w:hint="default"/>
      </w:rPr>
    </w:lvl>
    <w:lvl w:ilvl="8">
      <w:start w:val="0"/>
      <w:numFmt w:val="bullet"/>
      <w:lvlText w:val="•"/>
      <w:lvlJc w:val="left"/>
      <w:pPr>
        <w:ind w:left="5917" w:hanging="567"/>
      </w:pPr>
      <w:rPr>
        <w:rFonts w:hint="default"/>
      </w:rPr>
    </w:lvl>
  </w:abstractNum>
  <w:abstractNum w:abstractNumId="3">
    <w:multiLevelType w:val="hybridMultilevel"/>
    <w:lvl w:ilvl="0">
      <w:start w:val="1"/>
      <w:numFmt w:val="decimal"/>
      <w:lvlText w:val="（%1）"/>
      <w:lvlJc w:val="left"/>
      <w:pPr>
        <w:ind w:left="721" w:hanging="567"/>
        <w:jc w:val="left"/>
      </w:pPr>
      <w:rPr>
        <w:rFonts w:hint="default" w:ascii="宋体" w:hAnsi="宋体" w:eastAsia="宋体" w:cs="宋体"/>
        <w:w w:val="100"/>
        <w:sz w:val="21"/>
        <w:szCs w:val="21"/>
      </w:rPr>
    </w:lvl>
    <w:lvl w:ilvl="1">
      <w:start w:val="0"/>
      <w:numFmt w:val="bullet"/>
      <w:lvlText w:val="•"/>
      <w:lvlJc w:val="left"/>
      <w:pPr>
        <w:ind w:left="1387" w:hanging="567"/>
      </w:pPr>
      <w:rPr>
        <w:rFonts w:hint="default"/>
      </w:rPr>
    </w:lvl>
    <w:lvl w:ilvl="2">
      <w:start w:val="0"/>
      <w:numFmt w:val="bullet"/>
      <w:lvlText w:val="•"/>
      <w:lvlJc w:val="left"/>
      <w:pPr>
        <w:ind w:left="2055" w:hanging="567"/>
      </w:pPr>
      <w:rPr>
        <w:rFonts w:hint="default"/>
      </w:rPr>
    </w:lvl>
    <w:lvl w:ilvl="3">
      <w:start w:val="0"/>
      <w:numFmt w:val="bullet"/>
      <w:lvlText w:val="•"/>
      <w:lvlJc w:val="left"/>
      <w:pPr>
        <w:ind w:left="2723" w:hanging="567"/>
      </w:pPr>
      <w:rPr>
        <w:rFonts w:hint="default"/>
      </w:rPr>
    </w:lvl>
    <w:lvl w:ilvl="4">
      <w:start w:val="0"/>
      <w:numFmt w:val="bullet"/>
      <w:lvlText w:val="•"/>
      <w:lvlJc w:val="left"/>
      <w:pPr>
        <w:ind w:left="3391" w:hanging="567"/>
      </w:pPr>
      <w:rPr>
        <w:rFonts w:hint="default"/>
      </w:rPr>
    </w:lvl>
    <w:lvl w:ilvl="5">
      <w:start w:val="0"/>
      <w:numFmt w:val="bullet"/>
      <w:lvlText w:val="•"/>
      <w:lvlJc w:val="left"/>
      <w:pPr>
        <w:ind w:left="4059" w:hanging="567"/>
      </w:pPr>
      <w:rPr>
        <w:rFonts w:hint="default"/>
      </w:rPr>
    </w:lvl>
    <w:lvl w:ilvl="6">
      <w:start w:val="0"/>
      <w:numFmt w:val="bullet"/>
      <w:lvlText w:val="•"/>
      <w:lvlJc w:val="left"/>
      <w:pPr>
        <w:ind w:left="4726" w:hanging="567"/>
      </w:pPr>
      <w:rPr>
        <w:rFonts w:hint="default"/>
      </w:rPr>
    </w:lvl>
    <w:lvl w:ilvl="7">
      <w:start w:val="0"/>
      <w:numFmt w:val="bullet"/>
      <w:lvlText w:val="•"/>
      <w:lvlJc w:val="left"/>
      <w:pPr>
        <w:ind w:left="5394" w:hanging="567"/>
      </w:pPr>
      <w:rPr>
        <w:rFonts w:hint="default"/>
      </w:rPr>
    </w:lvl>
    <w:lvl w:ilvl="8">
      <w:start w:val="0"/>
      <w:numFmt w:val="bullet"/>
      <w:lvlText w:val="•"/>
      <w:lvlJc w:val="left"/>
      <w:pPr>
        <w:ind w:left="6062" w:hanging="567"/>
      </w:pPr>
      <w:rPr>
        <w:rFonts w:hint="default"/>
      </w:rPr>
    </w:lvl>
  </w:abstractNum>
  <w:abstractNum w:abstractNumId="2">
    <w:multiLevelType w:val="hybridMultilevel"/>
    <w:lvl w:ilvl="0">
      <w:start w:val="6"/>
      <w:numFmt w:val="decimal"/>
      <w:lvlText w:val="%1"/>
      <w:lvlJc w:val="left"/>
      <w:pPr>
        <w:ind w:left="1045" w:hanging="531"/>
        <w:jc w:val="left"/>
      </w:pPr>
      <w:rPr>
        <w:rFonts w:hint="default"/>
      </w:rPr>
    </w:lvl>
    <w:lvl w:ilvl="1">
      <w:start w:val="10"/>
      <w:numFmt w:val="decimal"/>
      <w:lvlText w:val="%1.%2"/>
      <w:lvlJc w:val="left"/>
      <w:pPr>
        <w:ind w:left="1045" w:hanging="531"/>
        <w:jc w:val="left"/>
      </w:pPr>
      <w:rPr>
        <w:rFonts w:hint="default" w:ascii="Times New Roman" w:hAnsi="Times New Roman" w:eastAsia="Times New Roman" w:cs="Times New Roman"/>
        <w:w w:val="100"/>
        <w:sz w:val="21"/>
        <w:szCs w:val="21"/>
      </w:rPr>
    </w:lvl>
    <w:lvl w:ilvl="2">
      <w:start w:val="0"/>
      <w:numFmt w:val="bullet"/>
      <w:lvlText w:val="•"/>
      <w:lvlJc w:val="left"/>
      <w:pPr>
        <w:ind w:left="1492" w:hanging="531"/>
      </w:pPr>
      <w:rPr>
        <w:rFonts w:hint="default"/>
      </w:rPr>
    </w:lvl>
    <w:lvl w:ilvl="3">
      <w:start w:val="0"/>
      <w:numFmt w:val="bullet"/>
      <w:lvlText w:val="•"/>
      <w:lvlJc w:val="left"/>
      <w:pPr>
        <w:ind w:left="1718" w:hanging="531"/>
      </w:pPr>
      <w:rPr>
        <w:rFonts w:hint="default"/>
      </w:rPr>
    </w:lvl>
    <w:lvl w:ilvl="4">
      <w:start w:val="0"/>
      <w:numFmt w:val="bullet"/>
      <w:lvlText w:val="•"/>
      <w:lvlJc w:val="left"/>
      <w:pPr>
        <w:ind w:left="1944" w:hanging="531"/>
      </w:pPr>
      <w:rPr>
        <w:rFonts w:hint="default"/>
      </w:rPr>
    </w:lvl>
    <w:lvl w:ilvl="5">
      <w:start w:val="0"/>
      <w:numFmt w:val="bullet"/>
      <w:lvlText w:val="•"/>
      <w:lvlJc w:val="left"/>
      <w:pPr>
        <w:ind w:left="2170" w:hanging="531"/>
      </w:pPr>
      <w:rPr>
        <w:rFonts w:hint="default"/>
      </w:rPr>
    </w:lvl>
    <w:lvl w:ilvl="6">
      <w:start w:val="0"/>
      <w:numFmt w:val="bullet"/>
      <w:lvlText w:val="•"/>
      <w:lvlJc w:val="left"/>
      <w:pPr>
        <w:ind w:left="2396" w:hanging="531"/>
      </w:pPr>
      <w:rPr>
        <w:rFonts w:hint="default"/>
      </w:rPr>
    </w:lvl>
    <w:lvl w:ilvl="7">
      <w:start w:val="0"/>
      <w:numFmt w:val="bullet"/>
      <w:lvlText w:val="•"/>
      <w:lvlJc w:val="left"/>
      <w:pPr>
        <w:ind w:left="2622" w:hanging="531"/>
      </w:pPr>
      <w:rPr>
        <w:rFonts w:hint="default"/>
      </w:rPr>
    </w:lvl>
    <w:lvl w:ilvl="8">
      <w:start w:val="0"/>
      <w:numFmt w:val="bullet"/>
      <w:lvlText w:val="•"/>
      <w:lvlJc w:val="left"/>
      <w:pPr>
        <w:ind w:left="2848" w:hanging="531"/>
      </w:pPr>
      <w:rPr>
        <w:rFonts w:hint="default"/>
      </w:rPr>
    </w:lvl>
  </w:abstractNum>
  <w:abstractNum w:abstractNumId="1">
    <w:multiLevelType w:val="hybridMultilevel"/>
    <w:lvl w:ilvl="0">
      <w:start w:val="4"/>
      <w:numFmt w:val="decimal"/>
      <w:lvlText w:val="%1."/>
      <w:lvlJc w:val="left"/>
      <w:pPr>
        <w:ind w:left="573"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85" w:hanging="425"/>
        <w:jc w:val="left"/>
      </w:pPr>
      <w:rPr>
        <w:rFonts w:hint="default" w:ascii="Times New Roman" w:hAnsi="Times New Roman" w:eastAsia="Times New Roman" w:cs="Times New Roman"/>
        <w:w w:val="100"/>
        <w:sz w:val="21"/>
        <w:szCs w:val="21"/>
      </w:rPr>
    </w:lvl>
    <w:lvl w:ilvl="2">
      <w:start w:val="0"/>
      <w:numFmt w:val="bullet"/>
      <w:lvlText w:val="•"/>
      <w:lvlJc w:val="left"/>
      <w:pPr>
        <w:ind w:left="948" w:hanging="425"/>
      </w:pPr>
      <w:rPr>
        <w:rFonts w:hint="default"/>
      </w:rPr>
    </w:lvl>
    <w:lvl w:ilvl="3">
      <w:start w:val="0"/>
      <w:numFmt w:val="bullet"/>
      <w:lvlText w:val="•"/>
      <w:lvlJc w:val="left"/>
      <w:pPr>
        <w:ind w:left="1216" w:hanging="425"/>
      </w:pPr>
      <w:rPr>
        <w:rFonts w:hint="default"/>
      </w:rPr>
    </w:lvl>
    <w:lvl w:ilvl="4">
      <w:start w:val="0"/>
      <w:numFmt w:val="bullet"/>
      <w:lvlText w:val="•"/>
      <w:lvlJc w:val="left"/>
      <w:pPr>
        <w:ind w:left="1484" w:hanging="425"/>
      </w:pPr>
      <w:rPr>
        <w:rFonts w:hint="default"/>
      </w:rPr>
    </w:lvl>
    <w:lvl w:ilvl="5">
      <w:start w:val="0"/>
      <w:numFmt w:val="bullet"/>
      <w:lvlText w:val="•"/>
      <w:lvlJc w:val="left"/>
      <w:pPr>
        <w:ind w:left="1752" w:hanging="425"/>
      </w:pPr>
      <w:rPr>
        <w:rFonts w:hint="default"/>
      </w:rPr>
    </w:lvl>
    <w:lvl w:ilvl="6">
      <w:start w:val="0"/>
      <w:numFmt w:val="bullet"/>
      <w:lvlText w:val="•"/>
      <w:lvlJc w:val="left"/>
      <w:pPr>
        <w:ind w:left="2020" w:hanging="425"/>
      </w:pPr>
      <w:rPr>
        <w:rFonts w:hint="default"/>
      </w:rPr>
    </w:lvl>
    <w:lvl w:ilvl="7">
      <w:start w:val="0"/>
      <w:numFmt w:val="bullet"/>
      <w:lvlText w:val="•"/>
      <w:lvlJc w:val="left"/>
      <w:pPr>
        <w:ind w:left="2288" w:hanging="425"/>
      </w:pPr>
      <w:rPr>
        <w:rFonts w:hint="default"/>
      </w:rPr>
    </w:lvl>
    <w:lvl w:ilvl="8">
      <w:start w:val="0"/>
      <w:numFmt w:val="bullet"/>
      <w:lvlText w:val="•"/>
      <w:lvlJc w:val="left"/>
      <w:pPr>
        <w:ind w:left="2556" w:hanging="425"/>
      </w:pPr>
      <w:rPr>
        <w:rFonts w:hint="default"/>
      </w:rPr>
    </w:lvl>
  </w:abstractNum>
  <w:abstractNum w:abstractNumId="0">
    <w:multiLevelType w:val="hybridMultilevel"/>
    <w:lvl w:ilvl="0">
      <w:start w:val="1"/>
      <w:numFmt w:val="decimal"/>
      <w:lvlText w:val="%1."/>
      <w:lvlJc w:val="left"/>
      <w:pPr>
        <w:ind w:left="535"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1" w:hanging="425"/>
        <w:jc w:val="left"/>
      </w:pPr>
      <w:rPr>
        <w:rFonts w:hint="default" w:ascii="Times New Roman" w:hAnsi="Times New Roman" w:eastAsia="Times New Roman" w:cs="Times New Roman"/>
        <w:w w:val="100"/>
        <w:sz w:val="21"/>
        <w:szCs w:val="21"/>
      </w:rPr>
    </w:lvl>
    <w:lvl w:ilvl="2">
      <w:start w:val="0"/>
      <w:numFmt w:val="bullet"/>
      <w:lvlText w:val="•"/>
      <w:lvlJc w:val="left"/>
      <w:pPr>
        <w:ind w:left="914" w:hanging="425"/>
      </w:pPr>
      <w:rPr>
        <w:rFonts w:hint="default"/>
      </w:rPr>
    </w:lvl>
    <w:lvl w:ilvl="3">
      <w:start w:val="0"/>
      <w:numFmt w:val="bullet"/>
      <w:lvlText w:val="•"/>
      <w:lvlJc w:val="left"/>
      <w:pPr>
        <w:ind w:left="1189" w:hanging="425"/>
      </w:pPr>
      <w:rPr>
        <w:rFonts w:hint="default"/>
      </w:rPr>
    </w:lvl>
    <w:lvl w:ilvl="4">
      <w:start w:val="0"/>
      <w:numFmt w:val="bullet"/>
      <w:lvlText w:val="•"/>
      <w:lvlJc w:val="left"/>
      <w:pPr>
        <w:ind w:left="1464" w:hanging="425"/>
      </w:pPr>
      <w:rPr>
        <w:rFonts w:hint="default"/>
      </w:rPr>
    </w:lvl>
    <w:lvl w:ilvl="5">
      <w:start w:val="0"/>
      <w:numFmt w:val="bullet"/>
      <w:lvlText w:val="•"/>
      <w:lvlJc w:val="left"/>
      <w:pPr>
        <w:ind w:left="1738" w:hanging="425"/>
      </w:pPr>
      <w:rPr>
        <w:rFonts w:hint="default"/>
      </w:rPr>
    </w:lvl>
    <w:lvl w:ilvl="6">
      <w:start w:val="0"/>
      <w:numFmt w:val="bullet"/>
      <w:lvlText w:val="•"/>
      <w:lvlJc w:val="left"/>
      <w:pPr>
        <w:ind w:left="2013" w:hanging="425"/>
      </w:pPr>
      <w:rPr>
        <w:rFonts w:hint="default"/>
      </w:rPr>
    </w:lvl>
    <w:lvl w:ilvl="7">
      <w:start w:val="0"/>
      <w:numFmt w:val="bullet"/>
      <w:lvlText w:val="•"/>
      <w:lvlJc w:val="left"/>
      <w:pPr>
        <w:ind w:left="2288" w:hanging="425"/>
      </w:pPr>
      <w:rPr>
        <w:rFonts w:hint="default"/>
      </w:rPr>
    </w:lvl>
    <w:lvl w:ilvl="8">
      <w:start w:val="0"/>
      <w:numFmt w:val="bullet"/>
      <w:lvlText w:val="•"/>
      <w:lvlJc w:val="left"/>
      <w:pPr>
        <w:ind w:left="2562" w:hanging="42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1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2018-10-19T23:58:49Z</dcterms:created>
  <dcterms:modified xsi:type="dcterms:W3CDTF">2018-10-19T23:58:49Z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