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8" w:lineRule="exact"/>
        <w:ind w:left="875"/>
      </w:pPr>
      <w:r>
        <w:rPr/>
        <w:t>正德附加重大疾病保险 B 款条款</w:t>
      </w:r>
    </w:p>
    <w:p>
      <w:pPr>
        <w:spacing w:before="177"/>
        <w:ind w:left="866" w:right="97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3"/>
        <w:ind w:left="875" w:right="979"/>
        <w:jc w:val="center"/>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8"/>
          <w:w w:val="100"/>
        </w:rPr>
        <w:t>于</w:t>
      </w:r>
      <w:r>
        <w:rPr>
          <w:spacing w:val="-64"/>
          <w:w w:val="100"/>
          <w:position w:val="-7"/>
        </w:rPr>
        <w:t>．</w:t>
      </w:r>
      <w:r>
        <w:rPr>
          <w:spacing w:val="-153"/>
          <w:w w:val="100"/>
        </w:rPr>
        <w:t>您</w:t>
      </w:r>
      <w:r>
        <w:rPr>
          <w:spacing w:val="-63"/>
          <w:w w:val="100"/>
          <w:position w:val="-7"/>
        </w:rPr>
        <w:t>．</w:t>
      </w:r>
      <w:r>
        <w:rPr>
          <w:spacing w:val="-149"/>
          <w:w w:val="100"/>
        </w:rPr>
        <w:t>（</w:t>
      </w:r>
      <w:r>
        <w:rPr>
          <w:spacing w:val="-63"/>
          <w:w w:val="100"/>
          <w:position w:val="-7"/>
        </w:rPr>
        <w:t>．</w:t>
      </w:r>
      <w:r>
        <w:rPr>
          <w:spacing w:val="-149"/>
          <w:w w:val="100"/>
        </w:rPr>
        <w:t>投</w:t>
      </w:r>
      <w:r>
        <w:rPr>
          <w:spacing w:val="-63"/>
          <w:w w:val="100"/>
          <w:position w:val="-7"/>
        </w:rPr>
        <w:t>．</w:t>
      </w:r>
      <w:r>
        <w:rPr>
          <w:spacing w:val="-149"/>
          <w:w w:val="100"/>
        </w:rPr>
        <w:t>保</w:t>
      </w:r>
      <w:r>
        <w:rPr>
          <w:spacing w:val="-63"/>
          <w:w w:val="100"/>
          <w:position w:val="-7"/>
        </w:rPr>
        <w:t>．</w:t>
      </w:r>
      <w:r>
        <w:rPr>
          <w:spacing w:val="-154"/>
          <w:w w:val="100"/>
        </w:rPr>
        <w:t>人</w:t>
      </w:r>
      <w:r>
        <w:rPr>
          <w:spacing w:val="-63"/>
          <w:w w:val="100"/>
          <w:position w:val="-7"/>
        </w:rPr>
        <w:t>．</w:t>
      </w:r>
      <w:r>
        <w:rPr>
          <w:spacing w:val="-149"/>
          <w:w w:val="100"/>
        </w:rPr>
        <w:t>，</w:t>
      </w:r>
      <w:r>
        <w:rPr>
          <w:spacing w:val="-64"/>
          <w:w w:val="100"/>
          <w:position w:val="-7"/>
        </w:rPr>
        <w:t>．</w:t>
      </w:r>
      <w:r>
        <w:rPr>
          <w:spacing w:val="-149"/>
          <w:w w:val="100"/>
        </w:rPr>
        <w:t>以</w:t>
      </w:r>
      <w:r>
        <w:rPr>
          <w:spacing w:val="-64"/>
          <w:w w:val="100"/>
          <w:position w:val="-7"/>
        </w:rPr>
        <w:t>．</w:t>
      </w:r>
      <w:r>
        <w:rPr>
          <w:spacing w:val="-149"/>
          <w:w w:val="100"/>
        </w:rPr>
        <w:t>下</w:t>
      </w:r>
      <w:r>
        <w:rPr>
          <w:spacing w:val="-64"/>
          <w:w w:val="100"/>
          <w:position w:val="-7"/>
        </w:rPr>
        <w:t>．</w:t>
      </w:r>
      <w:r>
        <w:rPr>
          <w:spacing w:val="-153"/>
          <w:w w:val="100"/>
        </w:rPr>
        <w:t>含</w:t>
      </w:r>
      <w:r>
        <w:rPr>
          <w:spacing w:val="-64"/>
          <w:w w:val="100"/>
          <w:position w:val="-7"/>
        </w:rPr>
        <w:t>．</w:t>
      </w:r>
      <w:r>
        <w:rPr>
          <w:spacing w:val="-149"/>
          <w:w w:val="100"/>
        </w:rPr>
        <w:t>义</w:t>
      </w:r>
      <w:r>
        <w:rPr>
          <w:spacing w:val="-64"/>
          <w:w w:val="100"/>
          <w:position w:val="-7"/>
        </w:rPr>
        <w:t>．</w:t>
      </w:r>
      <w:r>
        <w:rPr>
          <w:spacing w:val="-149"/>
          <w:w w:val="100"/>
        </w:rPr>
        <w:t>相</w:t>
      </w:r>
      <w:r>
        <w:rPr>
          <w:spacing w:val="-64"/>
          <w:w w:val="100"/>
          <w:position w:val="-7"/>
        </w:rPr>
        <w:t>．</w:t>
      </w:r>
      <w:r>
        <w:rPr>
          <w:spacing w:val="-148"/>
          <w:w w:val="100"/>
        </w:rPr>
        <w:t>同</w:t>
      </w:r>
      <w:r>
        <w:rPr>
          <w:spacing w:val="-64"/>
          <w:w w:val="100"/>
          <w:position w:val="-7"/>
        </w:rPr>
        <w:t>．</w:t>
      </w:r>
      <w:r>
        <w:rPr>
          <w:spacing w:val="-153"/>
          <w:w w:val="100"/>
        </w:rPr>
        <w:t>）</w:t>
      </w:r>
      <w:r>
        <w:rPr>
          <w:spacing w:val="-63"/>
          <w:w w:val="100"/>
          <w:position w:val="-7"/>
        </w:rPr>
        <w:t>．</w:t>
      </w:r>
      <w:r>
        <w:rPr>
          <w:spacing w:val="-149"/>
          <w:w w:val="100"/>
        </w:rPr>
        <w:t>理</w:t>
      </w:r>
      <w:r>
        <w:rPr>
          <w:spacing w:val="-63"/>
          <w:w w:val="100"/>
          <w:position w:val="-7"/>
        </w:rPr>
        <w:t>．</w:t>
      </w:r>
      <w:r>
        <w:rPr>
          <w:spacing w:val="-154"/>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54"/>
          <w:w w:val="100"/>
        </w:rPr>
        <w:t>本</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53"/>
          <w:w w:val="100"/>
        </w:rPr>
        <w:t>容</w:t>
      </w:r>
      <w:r>
        <w:rPr>
          <w:spacing w:val="-64"/>
          <w:w w:val="100"/>
          <w:position w:val="-7"/>
        </w:rPr>
        <w:t>．</w:t>
      </w:r>
      <w:r>
        <w:rPr>
          <w:spacing w:val="-148"/>
          <w:w w:val="100"/>
        </w:rPr>
        <w:t>的</w:t>
      </w:r>
      <w:r>
        <w:rPr>
          <w:spacing w:val="-64"/>
          <w:w w:val="100"/>
          <w:position w:val="-7"/>
        </w:rPr>
        <w:t>．</w:t>
      </w:r>
      <w:r>
        <w:rPr>
          <w:spacing w:val="-148"/>
          <w:w w:val="100"/>
        </w:rPr>
        <w:t>解</w:t>
      </w:r>
      <w:r>
        <w:rPr>
          <w:spacing w:val="-64"/>
          <w:w w:val="100"/>
          <w:position w:val="-7"/>
        </w:rPr>
        <w:t>．</w:t>
      </w:r>
      <w:r>
        <w:rPr>
          <w:spacing w:val="-148"/>
          <w:w w:val="100"/>
        </w:rPr>
        <w:t>释</w:t>
      </w:r>
      <w:r>
        <w:rPr>
          <w:spacing w:val="-64"/>
          <w:w w:val="100"/>
          <w:position w:val="-7"/>
        </w:rPr>
        <w:t>．</w:t>
      </w:r>
      <w:r>
        <w:rPr>
          <w:spacing w:val="-153"/>
          <w:w w:val="100"/>
        </w:rPr>
        <w:t>以</w:t>
      </w:r>
      <w:r>
        <w:rPr>
          <w:spacing w:val="-64"/>
          <w:w w:val="100"/>
          <w:position w:val="-7"/>
        </w:rPr>
        <w:t>．</w:t>
      </w:r>
      <w:r>
        <w:rPr>
          <w:spacing w:val="-148"/>
          <w:w w:val="100"/>
        </w:rPr>
        <w:t>条</w:t>
      </w:r>
      <w:r>
        <w:rPr>
          <w:spacing w:val="-64"/>
          <w:w w:val="100"/>
          <w:position w:val="-7"/>
        </w:rPr>
        <w:t>．</w:t>
      </w:r>
      <w:r>
        <w:rPr>
          <w:spacing w:val="-148"/>
          <w:w w:val="100"/>
        </w:rPr>
        <w:t>款</w:t>
      </w:r>
      <w:r>
        <w:rPr>
          <w:spacing w:val="-65"/>
          <w:w w:val="100"/>
          <w:position w:val="-7"/>
        </w:rPr>
        <w:t>．</w:t>
      </w:r>
      <w:r>
        <w:rPr>
          <w:spacing w:val="-148"/>
          <w:w w:val="100"/>
        </w:rPr>
        <w:t>为</w:t>
      </w:r>
      <w:r>
        <w:rPr>
          <w:spacing w:val="-65"/>
          <w:w w:val="100"/>
          <w:position w:val="-7"/>
        </w:rPr>
        <w:t>．</w:t>
      </w:r>
      <w:r>
        <w:rPr>
          <w:spacing w:val="-152"/>
          <w:w w:val="100"/>
        </w:rPr>
        <w:t>准</w:t>
      </w:r>
      <w:r>
        <w:rPr>
          <w:spacing w:val="-63"/>
          <w:w w:val="100"/>
          <w:position w:val="-7"/>
        </w:rPr>
        <w:t>．</w:t>
      </w:r>
      <w:r>
        <w:rPr>
          <w:w w:val="100"/>
        </w:rPr>
        <w:t>。</w:t>
      </w:r>
    </w:p>
    <w:p>
      <w:pPr>
        <w:spacing w:before="170"/>
        <w:ind w:left="242" w:right="0" w:firstLine="0"/>
        <w:jc w:val="left"/>
        <w:rPr>
          <w:b/>
          <w:sz w:val="21"/>
        </w:rPr>
      </w:pPr>
      <w:r>
        <w:rPr/>
        <w:pict>
          <v:group style="position:absolute;margin-left:44.183998pt;margin-top:6.007715pt;width:512.85pt;height:617.950pt;mso-position-horizontal-relative:page;mso-position-vertical-relative:paragraph;z-index:-38656" coordorigin="884,120" coordsize="10257,12359">
            <v:shape style="position:absolute;left:883;top:120;width:10257;height:12359" type="#_x0000_t75" stroked="false">
              <v:imagedata r:id="rId5" o:title=""/>
            </v:shape>
            <v:rect style="position:absolute;left:1441;top:4799;width:9312;height:7645" filled="true" fillcolor="#ffffff" stroked="false">
              <v:fill type="solid"/>
            </v:rect>
            <v:rect style="position:absolute;left:1441;top:4799;width:9312;height:7645" filled="false" stroked="true" strokeweight=".75pt" strokecolor="#000000">
              <v:stroke dashstyle="dot"/>
            </v:rect>
            <w10:wrap type="none"/>
          </v:group>
        </w:pict>
      </w:r>
      <w:r>
        <w:rPr>
          <w:rFonts w:ascii="Arial" w:hAnsi="Arial" w:eastAsia="Arial"/>
          <w:b/>
          <w:w w:val="105"/>
          <w:position w:val="-11"/>
          <w:sz w:val="52"/>
        </w:rPr>
        <w:t></w:t>
      </w:r>
      <w:r>
        <w:rPr>
          <w:b/>
          <w:w w:val="105"/>
          <w:sz w:val="21"/>
        </w:rPr>
        <w:t>您拥有的重要权益</w:t>
      </w:r>
    </w:p>
    <w:p>
      <w:pPr>
        <w:pStyle w:val="ListParagraph"/>
        <w:numPr>
          <w:ilvl w:val="0"/>
          <w:numId w:val="1"/>
        </w:numPr>
        <w:tabs>
          <w:tab w:pos="1635" w:val="left" w:leader="none"/>
          <w:tab w:pos="1636" w:val="left" w:leader="none"/>
          <w:tab w:pos="10148" w:val="right" w:leader="dot"/>
        </w:tabs>
        <w:spacing w:line="240" w:lineRule="auto" w:before="23" w:after="0"/>
        <w:ind w:left="1635" w:right="0" w:hanging="418"/>
        <w:jc w:val="left"/>
        <w:rPr>
          <w:sz w:val="21"/>
        </w:rPr>
      </w:pPr>
      <w:r>
        <w:rPr>
          <w:sz w:val="21"/>
        </w:rPr>
        <w:t>签收本合</w:t>
      </w:r>
      <w:r>
        <w:rPr>
          <w:spacing w:val="-5"/>
          <w:sz w:val="21"/>
        </w:rPr>
        <w:t>同</w:t>
      </w:r>
      <w:r>
        <w:rPr>
          <w:sz w:val="21"/>
        </w:rPr>
        <w:t>次日起</w:t>
      </w:r>
      <w:r>
        <w:rPr>
          <w:spacing w:val="-49"/>
          <w:sz w:val="21"/>
        </w:rPr>
        <w:t> </w:t>
      </w:r>
      <w:r>
        <w:rPr>
          <w:sz w:val="21"/>
        </w:rPr>
        <w:t>10</w:t>
      </w:r>
      <w:r>
        <w:rPr>
          <w:spacing w:val="-54"/>
          <w:sz w:val="21"/>
        </w:rPr>
        <w:t> </w:t>
      </w:r>
      <w:r>
        <w:rPr>
          <w:sz w:val="21"/>
        </w:rPr>
        <w:t>日（即</w:t>
      </w:r>
      <w:r>
        <w:rPr>
          <w:spacing w:val="-5"/>
          <w:sz w:val="21"/>
        </w:rPr>
        <w:t>犹</w:t>
      </w:r>
      <w:r>
        <w:rPr>
          <w:sz w:val="21"/>
        </w:rPr>
        <w:t>豫期）</w:t>
      </w:r>
      <w:r>
        <w:rPr>
          <w:spacing w:val="-5"/>
          <w:sz w:val="21"/>
        </w:rPr>
        <w:t>内</w:t>
      </w:r>
      <w:r>
        <w:rPr>
          <w:sz w:val="21"/>
        </w:rPr>
        <w:t>您可</w:t>
      </w:r>
      <w:r>
        <w:rPr>
          <w:spacing w:val="-5"/>
          <w:sz w:val="21"/>
        </w:rPr>
        <w:t>以</w:t>
      </w:r>
      <w:r>
        <w:rPr>
          <w:sz w:val="21"/>
        </w:rPr>
        <w:t>要</w:t>
      </w:r>
      <w:r>
        <w:rPr>
          <w:spacing w:val="-5"/>
          <w:sz w:val="21"/>
        </w:rPr>
        <w:t>求</w:t>
      </w:r>
      <w:r>
        <w:rPr>
          <w:sz w:val="21"/>
        </w:rPr>
        <w:t>退还扣除</w:t>
      </w:r>
      <w:r>
        <w:rPr>
          <w:spacing w:val="-5"/>
          <w:sz w:val="21"/>
        </w:rPr>
        <w:t>工</w:t>
      </w:r>
      <w:r>
        <w:rPr>
          <w:sz w:val="21"/>
        </w:rPr>
        <w:t>本费外</w:t>
      </w:r>
      <w:r>
        <w:rPr>
          <w:spacing w:val="-5"/>
          <w:sz w:val="21"/>
        </w:rPr>
        <w:t>的</w:t>
      </w:r>
      <w:r>
        <w:rPr>
          <w:sz w:val="21"/>
        </w:rPr>
        <w:t>全部保</w:t>
      </w:r>
      <w:r>
        <w:rPr>
          <w:spacing w:val="-5"/>
          <w:sz w:val="21"/>
        </w:rPr>
        <w:t>险</w:t>
      </w:r>
      <w:r>
        <w:rPr>
          <w:sz w:val="21"/>
        </w:rPr>
        <w:t>费</w:t>
        <w:tab/>
        <w:t>1.4</w:t>
      </w:r>
    </w:p>
    <w:p>
      <w:pPr>
        <w:pStyle w:val="ListParagraph"/>
        <w:numPr>
          <w:ilvl w:val="0"/>
          <w:numId w:val="1"/>
        </w:numPr>
        <w:tabs>
          <w:tab w:pos="1635" w:val="left" w:leader="none"/>
          <w:tab w:pos="1636" w:val="left" w:leader="none"/>
          <w:tab w:pos="10148" w:val="right" w:leader="dot"/>
        </w:tabs>
        <w:spacing w:line="240" w:lineRule="auto" w:before="21" w:after="0"/>
        <w:ind w:left="1635" w:right="0" w:hanging="418"/>
        <w:jc w:val="left"/>
        <w:rPr>
          <w:sz w:val="21"/>
        </w:rPr>
      </w:pPr>
      <w:r>
        <w:rPr>
          <w:sz w:val="21"/>
        </w:rPr>
        <w:t>被保险人</w:t>
      </w:r>
      <w:r>
        <w:rPr>
          <w:spacing w:val="-5"/>
          <w:sz w:val="21"/>
        </w:rPr>
        <w:t>可</w:t>
      </w:r>
      <w:r>
        <w:rPr>
          <w:sz w:val="21"/>
        </w:rPr>
        <w:t>以享受</w:t>
      </w:r>
      <w:r>
        <w:rPr>
          <w:spacing w:val="-5"/>
          <w:sz w:val="21"/>
        </w:rPr>
        <w:t>本</w:t>
      </w:r>
      <w:r>
        <w:rPr>
          <w:sz w:val="21"/>
        </w:rPr>
        <w:t>合同提</w:t>
      </w:r>
      <w:r>
        <w:rPr>
          <w:spacing w:val="-4"/>
          <w:sz w:val="21"/>
        </w:rPr>
        <w:t>供</w:t>
      </w:r>
      <w:r>
        <w:rPr>
          <w:sz w:val="21"/>
        </w:rPr>
        <w:t>的保障</w:t>
        <w:tab/>
        <w:t>2.1</w:t>
      </w:r>
    </w:p>
    <w:p>
      <w:pPr>
        <w:pStyle w:val="ListParagraph"/>
        <w:numPr>
          <w:ilvl w:val="0"/>
          <w:numId w:val="1"/>
        </w:numPr>
        <w:tabs>
          <w:tab w:pos="1635" w:val="left" w:leader="none"/>
          <w:tab w:pos="1636" w:val="left" w:leader="none"/>
          <w:tab w:pos="10149" w:val="right" w:leader="dot"/>
        </w:tabs>
        <w:spacing w:line="240" w:lineRule="auto" w:before="22" w:after="0"/>
        <w:ind w:left="1635" w:right="0" w:hanging="418"/>
        <w:jc w:val="left"/>
        <w:rPr>
          <w:sz w:val="21"/>
        </w:rPr>
      </w:pPr>
      <w:r>
        <w:rPr>
          <w:sz w:val="21"/>
        </w:rPr>
        <w:t>您有退保</w:t>
      </w:r>
      <w:r>
        <w:rPr>
          <w:spacing w:val="-5"/>
          <w:sz w:val="21"/>
        </w:rPr>
        <w:t>的</w:t>
      </w:r>
      <w:r>
        <w:rPr>
          <w:sz w:val="21"/>
        </w:rPr>
        <w:t>权利</w:t>
        <w:tab/>
        <w:t>7.1</w:t>
      </w:r>
    </w:p>
    <w:p>
      <w:pPr>
        <w:spacing w:before="24"/>
        <w:ind w:left="242" w:right="0" w:firstLine="0"/>
        <w:jc w:val="left"/>
        <w:rPr>
          <w:b/>
          <w:sz w:val="21"/>
        </w:rPr>
      </w:pPr>
      <w:r>
        <w:rPr>
          <w:rFonts w:ascii="Arial" w:hAnsi="Arial" w:eastAsia="Arial"/>
          <w:b/>
          <w:w w:val="105"/>
          <w:position w:val="-11"/>
          <w:sz w:val="52"/>
        </w:rPr>
        <w:t></w:t>
      </w:r>
      <w:r>
        <w:rPr>
          <w:b/>
          <w:w w:val="105"/>
          <w:sz w:val="21"/>
        </w:rPr>
        <w:t>您应当特别注意的事项</w:t>
      </w:r>
    </w:p>
    <w:p>
      <w:pPr>
        <w:pStyle w:val="ListParagraph"/>
        <w:numPr>
          <w:ilvl w:val="0"/>
          <w:numId w:val="1"/>
        </w:numPr>
        <w:tabs>
          <w:tab w:pos="1635" w:val="left" w:leader="none"/>
          <w:tab w:pos="1636" w:val="left" w:leader="none"/>
          <w:tab w:pos="10148" w:val="right" w:leader="dot"/>
        </w:tabs>
        <w:spacing w:line="240" w:lineRule="auto" w:before="23" w:after="0"/>
        <w:ind w:left="1635" w:right="0" w:hanging="418"/>
        <w:jc w:val="left"/>
        <w:rPr>
          <w:sz w:val="21"/>
        </w:rPr>
      </w:pPr>
      <w:r>
        <w:rPr>
          <w:sz w:val="21"/>
        </w:rPr>
        <w:t>在某些情</w:t>
      </w:r>
      <w:r>
        <w:rPr>
          <w:spacing w:val="-5"/>
          <w:sz w:val="21"/>
        </w:rPr>
        <w:t>况</w:t>
      </w:r>
      <w:r>
        <w:rPr>
          <w:sz w:val="21"/>
        </w:rPr>
        <w:t>下，本</w:t>
      </w:r>
      <w:r>
        <w:rPr>
          <w:spacing w:val="-5"/>
          <w:sz w:val="21"/>
        </w:rPr>
        <w:t>公</w:t>
      </w:r>
      <w:r>
        <w:rPr>
          <w:sz w:val="21"/>
        </w:rPr>
        <w:t>司不承</w:t>
      </w:r>
      <w:r>
        <w:rPr>
          <w:spacing w:val="-5"/>
          <w:sz w:val="21"/>
        </w:rPr>
        <w:t>担</w:t>
      </w:r>
      <w:r>
        <w:rPr>
          <w:sz w:val="21"/>
        </w:rPr>
        <w:t>保险责任</w:t>
        <w:tab/>
        <w:t>2.2</w:t>
      </w:r>
    </w:p>
    <w:p>
      <w:pPr>
        <w:pStyle w:val="ListParagraph"/>
        <w:numPr>
          <w:ilvl w:val="0"/>
          <w:numId w:val="1"/>
        </w:numPr>
        <w:tabs>
          <w:tab w:pos="1635" w:val="left" w:leader="none"/>
          <w:tab w:pos="1636" w:val="left" w:leader="none"/>
          <w:tab w:pos="10148" w:val="right" w:leader="dot"/>
        </w:tabs>
        <w:spacing w:line="240" w:lineRule="auto" w:before="22" w:after="0"/>
        <w:ind w:left="1635" w:right="0" w:hanging="418"/>
        <w:jc w:val="left"/>
        <w:rPr>
          <w:sz w:val="21"/>
        </w:rPr>
      </w:pPr>
      <w:r>
        <w:rPr>
          <w:sz w:val="21"/>
        </w:rPr>
        <w:t>保险事故</w:t>
      </w:r>
      <w:r>
        <w:rPr>
          <w:spacing w:val="-5"/>
          <w:sz w:val="21"/>
        </w:rPr>
        <w:t>发</w:t>
      </w:r>
      <w:r>
        <w:rPr>
          <w:sz w:val="21"/>
        </w:rPr>
        <w:t>生后请</w:t>
      </w:r>
      <w:r>
        <w:rPr>
          <w:spacing w:val="-5"/>
          <w:sz w:val="21"/>
        </w:rPr>
        <w:t>您</w:t>
      </w:r>
      <w:r>
        <w:rPr>
          <w:sz w:val="21"/>
        </w:rPr>
        <w:t>及时通</w:t>
      </w:r>
      <w:r>
        <w:rPr>
          <w:spacing w:val="-5"/>
          <w:sz w:val="21"/>
        </w:rPr>
        <w:t>知</w:t>
      </w:r>
      <w:r>
        <w:rPr>
          <w:sz w:val="21"/>
        </w:rPr>
        <w:t>本公司</w:t>
        <w:tab/>
        <w:t>3.2</w:t>
      </w:r>
    </w:p>
    <w:p>
      <w:pPr>
        <w:pStyle w:val="ListParagraph"/>
        <w:numPr>
          <w:ilvl w:val="0"/>
          <w:numId w:val="1"/>
        </w:numPr>
        <w:tabs>
          <w:tab w:pos="1635" w:val="left" w:leader="none"/>
          <w:tab w:pos="1636" w:val="left" w:leader="none"/>
          <w:tab w:pos="10148" w:val="right" w:leader="dot"/>
        </w:tabs>
        <w:spacing w:line="240" w:lineRule="auto" w:before="22" w:after="0"/>
        <w:ind w:left="1635" w:right="0" w:hanging="418"/>
        <w:jc w:val="left"/>
        <w:rPr>
          <w:sz w:val="21"/>
        </w:rPr>
      </w:pPr>
      <w:r>
        <w:rPr>
          <w:sz w:val="21"/>
        </w:rPr>
        <w:t>您如何交</w:t>
      </w:r>
      <w:r>
        <w:rPr>
          <w:spacing w:val="-5"/>
          <w:sz w:val="21"/>
        </w:rPr>
        <w:t>纳</w:t>
      </w:r>
      <w:r>
        <w:rPr>
          <w:sz w:val="21"/>
        </w:rPr>
        <w:t>保险费</w:t>
        <w:tab/>
        <w:t>4.1</w:t>
      </w:r>
    </w:p>
    <w:p>
      <w:pPr>
        <w:pStyle w:val="ListParagraph"/>
        <w:numPr>
          <w:ilvl w:val="0"/>
          <w:numId w:val="1"/>
        </w:numPr>
        <w:tabs>
          <w:tab w:pos="1635" w:val="left" w:leader="none"/>
          <w:tab w:pos="1636" w:val="left" w:leader="none"/>
          <w:tab w:pos="9937" w:val="right" w:leader="dot"/>
        </w:tabs>
        <w:spacing w:line="240" w:lineRule="auto" w:before="23" w:after="0"/>
        <w:ind w:left="1635" w:right="0" w:hanging="418"/>
        <w:jc w:val="left"/>
        <w:rPr>
          <w:sz w:val="21"/>
        </w:rPr>
      </w:pPr>
      <w:r>
        <w:rPr>
          <w:sz w:val="21"/>
        </w:rPr>
        <w:t>本公司对</w:t>
      </w:r>
      <w:r>
        <w:rPr>
          <w:spacing w:val="-5"/>
          <w:sz w:val="21"/>
        </w:rPr>
        <w:t>一</w:t>
      </w:r>
      <w:r>
        <w:rPr>
          <w:sz w:val="21"/>
        </w:rPr>
        <w:t>些重要</w:t>
      </w:r>
      <w:r>
        <w:rPr>
          <w:spacing w:val="-5"/>
          <w:sz w:val="21"/>
        </w:rPr>
        <w:t>术</w:t>
      </w:r>
      <w:r>
        <w:rPr>
          <w:sz w:val="21"/>
        </w:rPr>
        <w:t>语进行</w:t>
      </w:r>
      <w:r>
        <w:rPr>
          <w:spacing w:val="-5"/>
          <w:sz w:val="21"/>
        </w:rPr>
        <w:t>了</w:t>
      </w:r>
      <w:r>
        <w:rPr>
          <w:sz w:val="21"/>
        </w:rPr>
        <w:t>解释，</w:t>
      </w:r>
      <w:r>
        <w:rPr>
          <w:spacing w:val="-5"/>
          <w:sz w:val="21"/>
        </w:rPr>
        <w:t>并</w:t>
      </w:r>
      <w:r>
        <w:rPr>
          <w:sz w:val="21"/>
        </w:rPr>
        <w:t>作了显</w:t>
      </w:r>
      <w:r>
        <w:rPr>
          <w:spacing w:val="-5"/>
          <w:sz w:val="21"/>
        </w:rPr>
        <w:t>著</w:t>
      </w:r>
      <w:r>
        <w:rPr>
          <w:sz w:val="21"/>
        </w:rPr>
        <w:t>标</w:t>
      </w:r>
      <w:r>
        <w:rPr>
          <w:spacing w:val="-5"/>
          <w:sz w:val="21"/>
        </w:rPr>
        <w:t>识</w:t>
      </w:r>
      <w:r>
        <w:rPr>
          <w:sz w:val="21"/>
        </w:rPr>
        <w:t>，请您注意</w:t>
        <w:tab/>
        <w:t>9</w:t>
      </w:r>
    </w:p>
    <w:p>
      <w:pPr>
        <w:spacing w:before="24"/>
        <w:ind w:left="242" w:right="0" w:firstLine="0"/>
        <w:jc w:val="left"/>
        <w:rPr>
          <w:b/>
          <w:sz w:val="21"/>
        </w:rPr>
      </w:pPr>
      <w:r>
        <w:rPr>
          <w:rFonts w:ascii="Arial" w:hAnsi="Arial" w:eastAsia="Arial"/>
          <w:b/>
          <w:position w:val="-11"/>
          <w:sz w:val="52"/>
        </w:rPr>
        <w:t></w:t>
      </w:r>
      <w:r>
        <w:rPr>
          <w:b/>
          <w:sz w:val="21"/>
        </w:rPr>
        <w:t>条款是保险合同的重要内容，为充分保障您的权益，请您仔细阅读本条款。</w:t>
      </w:r>
    </w:p>
    <w:p>
      <w:pPr>
        <w:spacing w:before="25"/>
        <w:ind w:left="242" w:right="0" w:firstLine="0"/>
        <w:jc w:val="left"/>
        <w:rPr>
          <w:b/>
          <w:sz w:val="21"/>
        </w:rPr>
      </w:pPr>
      <w:r>
        <w:rPr>
          <w:rFonts w:ascii="Arial" w:hAnsi="Arial" w:eastAsia="Arial"/>
          <w:b/>
          <w:w w:val="105"/>
          <w:position w:val="-11"/>
          <w:sz w:val="52"/>
        </w:rPr>
        <w:t></w:t>
      </w:r>
      <w:r>
        <w:rPr>
          <w:b/>
          <w:w w:val="105"/>
          <w:sz w:val="21"/>
        </w:rPr>
        <w:t>条款目录</w:t>
      </w:r>
    </w:p>
    <w:p>
      <w:pPr>
        <w:spacing w:after="0"/>
        <w:jc w:val="left"/>
        <w:rPr>
          <w:sz w:val="21"/>
        </w:rPr>
        <w:sectPr>
          <w:type w:val="continuous"/>
          <w:pgSz w:w="11910" w:h="16840"/>
          <w:pgMar w:top="1240" w:bottom="280" w:left="780" w:right="6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line="491" w:lineRule="auto" w:before="162"/>
        <w:ind w:left="905" w:right="0" w:firstLine="0"/>
        <w:jc w:val="left"/>
        <w:rPr>
          <w:rFonts w:ascii="微软雅黑" w:eastAsia="微软雅黑" w:hint="eastAsia"/>
          <w:b/>
          <w:sz w:val="21"/>
        </w:rPr>
      </w:pPr>
      <w:r>
        <w:rPr/>
        <w:pict>
          <v:shapetype id="_x0000_t202" o:spt="202" coordsize="21600,21600" path="m,l,21600r21600,l21600,xe">
            <v:stroke joinstyle="miter"/>
            <v:path gradientshapeok="t" o:connecttype="rect"/>
          </v:shapetype>
          <v:shape style="position:absolute;margin-left:105.410004pt;margin-top:-145.306488pt;width:373.3pt;height:318.9pt;mso-position-horizontal-relative:page;mso-position-vertical-relative:paragraph;z-index:-38680" type="#_x0000_t202" filled="false" stroked="false">
            <v:textbox inset="0,0,0,0">
              <w:txbxContent>
                <w:p>
                  <w:pPr>
                    <w:tabs>
                      <w:tab w:pos="4518" w:val="left" w:leader="none"/>
                    </w:tabs>
                    <w:spacing w:line="232" w:lineRule="exact" w:before="0"/>
                    <w:ind w:left="0" w:right="0" w:firstLine="0"/>
                    <w:jc w:val="left"/>
                    <w:rPr>
                      <w:rFonts w:ascii="微软雅黑" w:eastAsia="微软雅黑" w:hint="eastAsia"/>
                      <w:b/>
                      <w:sz w:val="21"/>
                    </w:rPr>
                  </w:pPr>
                  <w:r>
                    <w:rPr>
                      <w:rFonts w:ascii="Times New Roman" w:eastAsia="Times New Roman"/>
                      <w:b/>
                      <w:sz w:val="21"/>
                    </w:rPr>
                    <w:t>1</w:t>
                  </w:r>
                  <w:r>
                    <w:rPr>
                      <w:rFonts w:ascii="微软雅黑" w:eastAsia="微软雅黑" w:hint="eastAsia"/>
                      <w:b/>
                      <w:sz w:val="21"/>
                    </w:rPr>
                    <w:t>．投保人与本公司的合同</w:t>
                    <w:tab/>
                  </w:r>
                  <w:r>
                    <w:rPr>
                      <w:rFonts w:ascii="Times New Roman" w:eastAsia="Times New Roman"/>
                      <w:b/>
                      <w:sz w:val="21"/>
                    </w:rPr>
                    <w:t>6</w:t>
                  </w:r>
                  <w:r>
                    <w:rPr>
                      <w:rFonts w:ascii="微软雅黑" w:eastAsia="微软雅黑" w:hint="eastAsia"/>
                      <w:b/>
                      <w:sz w:val="21"/>
                    </w:rPr>
                    <w:t>．其他需要关注的事项</w:t>
                  </w:r>
                </w:p>
                <w:p>
                  <w:pPr>
                    <w:pStyle w:val="BodyText"/>
                    <w:tabs>
                      <w:tab w:pos="4729" w:val="left" w:leader="none"/>
                    </w:tabs>
                    <w:spacing w:line="264" w:lineRule="exact"/>
                    <w:ind w:left="211"/>
                  </w:pPr>
                  <w:r>
                    <w:rPr/>
                    <w:t>1.1</w:t>
                  </w:r>
                  <w:r>
                    <w:rPr>
                      <w:spacing w:val="1"/>
                    </w:rPr>
                    <w:t> </w:t>
                  </w:r>
                  <w:r>
                    <w:rPr/>
                    <w:t>合同</w:t>
                  </w:r>
                  <w:r>
                    <w:rPr>
                      <w:spacing w:val="-5"/>
                    </w:rPr>
                    <w:t>构</w:t>
                  </w:r>
                  <w:r>
                    <w:rPr/>
                    <w:t>成</w:t>
                    <w:tab/>
                    <w:t>6.1</w:t>
                  </w:r>
                  <w:r>
                    <w:rPr>
                      <w:spacing w:val="6"/>
                    </w:rPr>
                    <w:t> </w:t>
                  </w:r>
                  <w:r>
                    <w:rPr/>
                    <w:t>如实</w:t>
                  </w:r>
                  <w:r>
                    <w:rPr>
                      <w:spacing w:val="-5"/>
                    </w:rPr>
                    <w:t>告</w:t>
                  </w:r>
                  <w:r>
                    <w:rPr/>
                    <w:t>知</w:t>
                  </w:r>
                </w:p>
                <w:p>
                  <w:pPr>
                    <w:pStyle w:val="BodyText"/>
                    <w:tabs>
                      <w:tab w:pos="4729" w:val="left" w:leader="none"/>
                    </w:tabs>
                    <w:spacing w:before="8"/>
                    <w:ind w:left="211"/>
                  </w:pPr>
                  <w:r>
                    <w:rPr/>
                    <w:t>1.2</w:t>
                  </w:r>
                  <w:r>
                    <w:rPr>
                      <w:spacing w:val="1"/>
                    </w:rPr>
                    <w:t> </w:t>
                  </w:r>
                  <w:r>
                    <w:rPr/>
                    <w:t>合同</w:t>
                  </w:r>
                  <w:r>
                    <w:rPr>
                      <w:spacing w:val="-5"/>
                    </w:rPr>
                    <w:t>生</w:t>
                  </w:r>
                  <w:r>
                    <w:rPr/>
                    <w:t>效</w:t>
                    <w:tab/>
                    <w:t>6.2</w:t>
                  </w:r>
                  <w:r>
                    <w:rPr>
                      <w:spacing w:val="8"/>
                    </w:rPr>
                    <w:t> </w:t>
                  </w:r>
                  <w:r>
                    <w:rPr/>
                    <w:t>被保</w:t>
                  </w:r>
                  <w:r>
                    <w:rPr>
                      <w:spacing w:val="-5"/>
                    </w:rPr>
                    <w:t>险</w:t>
                  </w:r>
                  <w:r>
                    <w:rPr/>
                    <w:t>人变动</w:t>
                  </w:r>
                </w:p>
                <w:p>
                  <w:pPr>
                    <w:pStyle w:val="BodyText"/>
                    <w:tabs>
                      <w:tab w:pos="4729" w:val="left" w:leader="none"/>
                    </w:tabs>
                    <w:spacing w:before="3"/>
                    <w:ind w:left="211"/>
                  </w:pPr>
                  <w:r>
                    <w:rPr/>
                    <w:t>1.3</w:t>
                  </w:r>
                  <w:r>
                    <w:rPr>
                      <w:spacing w:val="1"/>
                    </w:rPr>
                    <w:t> </w:t>
                  </w:r>
                  <w:r>
                    <w:rPr/>
                    <w:t>投保</w:t>
                  </w:r>
                  <w:r>
                    <w:rPr>
                      <w:spacing w:val="-5"/>
                    </w:rPr>
                    <w:t>年</w:t>
                  </w:r>
                  <w:r>
                    <w:rPr/>
                    <w:t>龄</w:t>
                    <w:tab/>
                    <w:t>6.3</w:t>
                  </w:r>
                  <w:r>
                    <w:rPr>
                      <w:spacing w:val="8"/>
                    </w:rPr>
                    <w:t> </w:t>
                  </w:r>
                  <w:r>
                    <w:rPr/>
                    <w:t>合同</w:t>
                  </w:r>
                  <w:r>
                    <w:rPr>
                      <w:spacing w:val="-5"/>
                    </w:rPr>
                    <w:t>内</w:t>
                  </w:r>
                  <w:r>
                    <w:rPr/>
                    <w:t>容变更</w:t>
                  </w:r>
                </w:p>
                <w:p>
                  <w:pPr>
                    <w:pStyle w:val="BodyText"/>
                    <w:spacing w:line="248" w:lineRule="exact" w:before="3"/>
                    <w:ind w:left="4729"/>
                  </w:pPr>
                  <w:r>
                    <w:rPr/>
                    <w:t>6.4 地址变更</w:t>
                  </w:r>
                </w:p>
                <w:p>
                  <w:pPr>
                    <w:tabs>
                      <w:tab w:pos="4729" w:val="left" w:leader="none"/>
                    </w:tabs>
                    <w:spacing w:line="325" w:lineRule="exact" w:before="0"/>
                    <w:ind w:left="0" w:right="0" w:firstLine="0"/>
                    <w:jc w:val="left"/>
                    <w:rPr>
                      <w:sz w:val="21"/>
                    </w:rPr>
                  </w:pPr>
                  <w:r>
                    <w:rPr>
                      <w:rFonts w:ascii="Times New Roman" w:eastAsia="Times New Roman"/>
                      <w:b/>
                      <w:sz w:val="21"/>
                    </w:rPr>
                    <w:t>2</w:t>
                  </w:r>
                  <w:r>
                    <w:rPr>
                      <w:rFonts w:ascii="微软雅黑" w:eastAsia="微软雅黑" w:hint="eastAsia"/>
                      <w:b/>
                      <w:sz w:val="21"/>
                    </w:rPr>
                    <w:t>．本公司提供的保障</w:t>
                    <w:tab/>
                  </w:r>
                  <w:r>
                    <w:rPr>
                      <w:sz w:val="21"/>
                    </w:rPr>
                    <w:t>6.5</w:t>
                  </w:r>
                  <w:r>
                    <w:rPr>
                      <w:spacing w:val="6"/>
                      <w:sz w:val="21"/>
                    </w:rPr>
                    <w:t> </w:t>
                  </w:r>
                  <w:r>
                    <w:rPr>
                      <w:sz w:val="21"/>
                    </w:rPr>
                    <w:t>争议</w:t>
                  </w:r>
                  <w:r>
                    <w:rPr>
                      <w:spacing w:val="-5"/>
                      <w:sz w:val="21"/>
                    </w:rPr>
                    <w:t>处</w:t>
                  </w:r>
                  <w:r>
                    <w:rPr>
                      <w:sz w:val="21"/>
                    </w:rPr>
                    <w:t>理</w:t>
                  </w:r>
                </w:p>
                <w:p>
                  <w:pPr>
                    <w:pStyle w:val="BodyText"/>
                    <w:spacing w:line="235" w:lineRule="exact"/>
                    <w:ind w:left="211"/>
                  </w:pPr>
                  <w:r>
                    <w:rPr/>
                    <w:t>2.1 保险责任</w:t>
                  </w:r>
                </w:p>
                <w:p>
                  <w:pPr>
                    <w:tabs>
                      <w:tab w:pos="4518" w:val="left" w:leader="none"/>
                    </w:tabs>
                    <w:spacing w:line="325" w:lineRule="exact" w:before="0"/>
                    <w:ind w:left="211" w:right="0" w:firstLine="0"/>
                    <w:jc w:val="left"/>
                    <w:rPr>
                      <w:rFonts w:ascii="微软雅黑" w:eastAsia="微软雅黑" w:hint="eastAsia"/>
                      <w:b/>
                      <w:sz w:val="21"/>
                    </w:rPr>
                  </w:pPr>
                  <w:r>
                    <w:rPr>
                      <w:sz w:val="21"/>
                    </w:rPr>
                    <w:t>2.2</w:t>
                  </w:r>
                  <w:r>
                    <w:rPr>
                      <w:spacing w:val="1"/>
                      <w:sz w:val="21"/>
                    </w:rPr>
                    <w:t> </w:t>
                  </w:r>
                  <w:r>
                    <w:rPr>
                      <w:sz w:val="21"/>
                    </w:rPr>
                    <w:t>责任</w:t>
                  </w:r>
                  <w:r>
                    <w:rPr>
                      <w:spacing w:val="-5"/>
                      <w:sz w:val="21"/>
                    </w:rPr>
                    <w:t>免</w:t>
                  </w:r>
                  <w:r>
                    <w:rPr>
                      <w:sz w:val="21"/>
                    </w:rPr>
                    <w:t>除</w:t>
                    <w:tab/>
                  </w:r>
                  <w:r>
                    <w:rPr>
                      <w:rFonts w:ascii="Times New Roman" w:eastAsia="Times New Roman"/>
                      <w:b/>
                      <w:sz w:val="21"/>
                    </w:rPr>
                    <w:t>7</w:t>
                  </w:r>
                  <w:r>
                    <w:rPr>
                      <w:rFonts w:ascii="微软雅黑" w:eastAsia="微软雅黑" w:hint="eastAsia"/>
                      <w:b/>
                      <w:sz w:val="21"/>
                    </w:rPr>
                    <w:t>．释义</w:t>
                  </w:r>
                </w:p>
                <w:p>
                  <w:pPr>
                    <w:pStyle w:val="BodyText"/>
                    <w:tabs>
                      <w:tab w:pos="4729" w:val="left" w:leader="none"/>
                    </w:tabs>
                    <w:spacing w:line="266" w:lineRule="exact"/>
                    <w:ind w:left="211"/>
                  </w:pPr>
                  <w:r>
                    <w:rPr/>
                    <w:t>2.3</w:t>
                  </w:r>
                  <w:r>
                    <w:rPr>
                      <w:spacing w:val="1"/>
                    </w:rPr>
                    <w:t> </w:t>
                  </w:r>
                  <w:r>
                    <w:rPr/>
                    <w:t>保险</w:t>
                  </w:r>
                  <w:r>
                    <w:rPr>
                      <w:spacing w:val="-5"/>
                    </w:rPr>
                    <w:t>期</w:t>
                  </w:r>
                  <w:r>
                    <w:rPr/>
                    <w:t>间</w:t>
                    <w:tab/>
                    <w:t>7.1</w:t>
                  </w:r>
                  <w:r>
                    <w:rPr>
                      <w:spacing w:val="5"/>
                    </w:rPr>
                    <w:t> </w:t>
                  </w:r>
                  <w:r>
                    <w:rPr/>
                    <w:t>本公司</w:t>
                  </w:r>
                </w:p>
                <w:p>
                  <w:pPr>
                    <w:pStyle w:val="BodyText"/>
                    <w:tabs>
                      <w:tab w:pos="4729" w:val="left" w:leader="none"/>
                    </w:tabs>
                    <w:spacing w:before="3"/>
                    <w:ind w:left="211"/>
                  </w:pPr>
                  <w:r>
                    <w:rPr/>
                    <w:t>2.4</w:t>
                  </w:r>
                  <w:r>
                    <w:rPr>
                      <w:spacing w:val="1"/>
                    </w:rPr>
                    <w:t> </w:t>
                  </w:r>
                  <w:r>
                    <w:rPr/>
                    <w:t>保险</w:t>
                  </w:r>
                  <w:r>
                    <w:rPr>
                      <w:spacing w:val="-5"/>
                    </w:rPr>
                    <w:t>金</w:t>
                  </w:r>
                  <w:r>
                    <w:rPr/>
                    <w:t>额</w:t>
                    <w:tab/>
                    <w:t>7.2</w:t>
                  </w:r>
                  <w:r>
                    <w:rPr>
                      <w:spacing w:val="5"/>
                    </w:rPr>
                    <w:t> </w:t>
                  </w:r>
                  <w:r>
                    <w:rPr/>
                    <w:t>周岁</w:t>
                  </w:r>
                </w:p>
                <w:p>
                  <w:pPr>
                    <w:pStyle w:val="BodyText"/>
                    <w:spacing w:line="248" w:lineRule="exact" w:before="3"/>
                    <w:ind w:left="4729"/>
                  </w:pPr>
                  <w:r>
                    <w:rPr/>
                    <w:t>7.3 在职人员</w:t>
                  </w:r>
                </w:p>
                <w:p>
                  <w:pPr>
                    <w:tabs>
                      <w:tab w:pos="4729" w:val="left" w:leader="none"/>
                    </w:tabs>
                    <w:spacing w:line="325" w:lineRule="exact" w:before="0"/>
                    <w:ind w:left="0" w:right="0" w:firstLine="0"/>
                    <w:jc w:val="left"/>
                    <w:rPr>
                      <w:sz w:val="21"/>
                    </w:rPr>
                  </w:pPr>
                  <w:r>
                    <w:rPr>
                      <w:rFonts w:ascii="Times New Roman" w:eastAsia="Times New Roman"/>
                      <w:b/>
                      <w:sz w:val="21"/>
                    </w:rPr>
                    <w:t>3</w:t>
                  </w:r>
                  <w:r>
                    <w:rPr>
                      <w:rFonts w:ascii="微软雅黑" w:eastAsia="微软雅黑" w:hint="eastAsia"/>
                      <w:b/>
                      <w:sz w:val="21"/>
                    </w:rPr>
                    <w:t>．如何申请领取保险金</w:t>
                    <w:tab/>
                  </w:r>
                  <w:r>
                    <w:rPr>
                      <w:sz w:val="21"/>
                    </w:rPr>
                    <w:t>7.4</w:t>
                  </w:r>
                  <w:r>
                    <w:rPr>
                      <w:spacing w:val="5"/>
                      <w:sz w:val="21"/>
                    </w:rPr>
                    <w:t> </w:t>
                  </w:r>
                  <w:r>
                    <w:rPr>
                      <w:sz w:val="21"/>
                    </w:rPr>
                    <w:t>医院</w:t>
                  </w:r>
                </w:p>
                <w:p>
                  <w:pPr>
                    <w:pStyle w:val="BodyText"/>
                    <w:tabs>
                      <w:tab w:pos="4729" w:val="left" w:leader="none"/>
                    </w:tabs>
                    <w:spacing w:line="264" w:lineRule="exact"/>
                    <w:ind w:left="211"/>
                  </w:pPr>
                  <w:r>
                    <w:rPr/>
                    <w:t>3.1</w:t>
                  </w:r>
                  <w:r>
                    <w:rPr>
                      <w:spacing w:val="1"/>
                    </w:rPr>
                    <w:t> </w:t>
                  </w:r>
                  <w:r>
                    <w:rPr/>
                    <w:t>受益人</w:t>
                    <w:tab/>
                    <w:t>7.5</w:t>
                  </w:r>
                  <w:r>
                    <w:rPr>
                      <w:spacing w:val="5"/>
                    </w:rPr>
                    <w:t> </w:t>
                  </w:r>
                  <w:r>
                    <w:rPr/>
                    <w:t>斗殴</w:t>
                  </w:r>
                </w:p>
                <w:p>
                  <w:pPr>
                    <w:pStyle w:val="BodyText"/>
                    <w:tabs>
                      <w:tab w:pos="4729" w:val="left" w:leader="none"/>
                    </w:tabs>
                    <w:spacing w:before="3"/>
                    <w:ind w:left="211"/>
                  </w:pPr>
                  <w:r>
                    <w:rPr/>
                    <w:t>3.2</w:t>
                  </w:r>
                  <w:r>
                    <w:rPr>
                      <w:spacing w:val="2"/>
                    </w:rPr>
                    <w:t> </w:t>
                  </w:r>
                  <w:r>
                    <w:rPr/>
                    <w:t>保险</w:t>
                  </w:r>
                  <w:r>
                    <w:rPr>
                      <w:spacing w:val="-5"/>
                    </w:rPr>
                    <w:t>事</w:t>
                  </w:r>
                  <w:r>
                    <w:rPr/>
                    <w:t>故通知</w:t>
                    <w:tab/>
                    <w:t>7.6</w:t>
                  </w:r>
                  <w:r>
                    <w:rPr>
                      <w:spacing w:val="5"/>
                    </w:rPr>
                    <w:t> </w:t>
                  </w:r>
                  <w:r>
                    <w:rPr/>
                    <w:t>醉酒</w:t>
                  </w:r>
                </w:p>
                <w:p>
                  <w:pPr>
                    <w:pStyle w:val="BodyText"/>
                    <w:tabs>
                      <w:tab w:pos="4729" w:val="left" w:leader="none"/>
                    </w:tabs>
                    <w:spacing w:before="7"/>
                    <w:ind w:left="211"/>
                  </w:pPr>
                  <w:r>
                    <w:rPr/>
                    <w:t>3.3</w:t>
                  </w:r>
                  <w:r>
                    <w:rPr>
                      <w:spacing w:val="2"/>
                    </w:rPr>
                    <w:t> </w:t>
                  </w:r>
                  <w:r>
                    <w:rPr/>
                    <w:t>保险</w:t>
                  </w:r>
                  <w:r>
                    <w:rPr>
                      <w:spacing w:val="-5"/>
                    </w:rPr>
                    <w:t>金</w:t>
                  </w:r>
                  <w:r>
                    <w:rPr/>
                    <w:t>申请</w:t>
                    <w:tab/>
                    <w:t>7.7</w:t>
                  </w:r>
                  <w:r>
                    <w:rPr>
                      <w:spacing w:val="6"/>
                    </w:rPr>
                    <w:t> </w:t>
                  </w:r>
                  <w:r>
                    <w:rPr/>
                    <w:t>管制</w:t>
                  </w:r>
                  <w:r>
                    <w:rPr>
                      <w:spacing w:val="-5"/>
                    </w:rPr>
                    <w:t>药</w:t>
                  </w:r>
                  <w:r>
                    <w:rPr/>
                    <w:t>品</w:t>
                  </w:r>
                </w:p>
                <w:p>
                  <w:pPr>
                    <w:pStyle w:val="BodyText"/>
                    <w:tabs>
                      <w:tab w:pos="4729" w:val="left" w:leader="none"/>
                    </w:tabs>
                    <w:spacing w:before="3"/>
                    <w:ind w:left="211"/>
                  </w:pPr>
                  <w:r>
                    <w:rPr/>
                    <w:t>3.4</w:t>
                  </w:r>
                  <w:r>
                    <w:rPr>
                      <w:spacing w:val="2"/>
                    </w:rPr>
                    <w:t> </w:t>
                  </w:r>
                  <w:r>
                    <w:rPr/>
                    <w:t>保险</w:t>
                  </w:r>
                  <w:r>
                    <w:rPr>
                      <w:spacing w:val="-5"/>
                    </w:rPr>
                    <w:t>金</w:t>
                  </w:r>
                  <w:r>
                    <w:rPr/>
                    <w:t>给付</w:t>
                    <w:tab/>
                    <w:t>7.8</w:t>
                  </w:r>
                  <w:r>
                    <w:rPr>
                      <w:spacing w:val="15"/>
                    </w:rPr>
                    <w:t> </w:t>
                  </w:r>
                  <w:r>
                    <w:rPr/>
                    <w:t>感染</w:t>
                  </w:r>
                  <w:r>
                    <w:rPr>
                      <w:spacing w:val="-5"/>
                    </w:rPr>
                    <w:t>艾</w:t>
                  </w:r>
                  <w:r>
                    <w:rPr/>
                    <w:t>滋病病</w:t>
                  </w:r>
                  <w:r>
                    <w:rPr>
                      <w:spacing w:val="-5"/>
                    </w:rPr>
                    <w:t>毒</w:t>
                  </w:r>
                  <w:r>
                    <w:rPr/>
                    <w:t>或患艾滋</w:t>
                  </w:r>
                </w:p>
                <w:p>
                  <w:pPr>
                    <w:pStyle w:val="BodyText"/>
                    <w:tabs>
                      <w:tab w:pos="5147" w:val="left" w:leader="none"/>
                    </w:tabs>
                    <w:spacing w:before="3"/>
                    <w:ind w:left="211"/>
                  </w:pPr>
                  <w:r>
                    <w:rPr/>
                    <w:t>3.5</w:t>
                  </w:r>
                  <w:r>
                    <w:rPr>
                      <w:spacing w:val="3"/>
                    </w:rPr>
                    <w:t> </w:t>
                  </w:r>
                  <w:r>
                    <w:rPr/>
                    <w:t>保险</w:t>
                  </w:r>
                  <w:r>
                    <w:rPr>
                      <w:spacing w:val="-5"/>
                    </w:rPr>
                    <w:t>金</w:t>
                  </w:r>
                  <w:r>
                    <w:rPr/>
                    <w:t>申请时效</w:t>
                    <w:tab/>
                    <w:t>病</w:t>
                  </w:r>
                </w:p>
                <w:p>
                  <w:pPr>
                    <w:pStyle w:val="BodyText"/>
                    <w:spacing w:line="245" w:lineRule="exact" w:before="7"/>
                    <w:ind w:left="4729"/>
                  </w:pPr>
                  <w:r>
                    <w:rPr/>
                    <w:t>7.9 恐怖活动</w:t>
                  </w:r>
                </w:p>
                <w:p>
                  <w:pPr>
                    <w:tabs>
                      <w:tab w:pos="4729" w:val="left" w:leader="none"/>
                    </w:tabs>
                    <w:spacing w:line="323" w:lineRule="exact" w:before="0"/>
                    <w:ind w:left="0" w:right="0" w:firstLine="0"/>
                    <w:jc w:val="left"/>
                    <w:rPr>
                      <w:sz w:val="21"/>
                    </w:rPr>
                  </w:pPr>
                  <w:r>
                    <w:rPr>
                      <w:rFonts w:ascii="Times New Roman" w:eastAsia="Times New Roman"/>
                      <w:b/>
                      <w:sz w:val="21"/>
                    </w:rPr>
                    <w:t>4</w:t>
                  </w:r>
                  <w:r>
                    <w:rPr>
                      <w:rFonts w:ascii="微软雅黑" w:eastAsia="微软雅黑" w:hint="eastAsia"/>
                      <w:b/>
                      <w:sz w:val="21"/>
                    </w:rPr>
                    <w:t>．如何缴纳保险费</w:t>
                    <w:tab/>
                  </w:r>
                  <w:r>
                    <w:rPr>
                      <w:sz w:val="21"/>
                    </w:rPr>
                    <w:t>7.10</w:t>
                  </w:r>
                  <w:r>
                    <w:rPr>
                      <w:spacing w:val="5"/>
                      <w:sz w:val="21"/>
                    </w:rPr>
                    <w:t> </w:t>
                  </w:r>
                  <w:r>
                    <w:rPr>
                      <w:sz w:val="21"/>
                    </w:rPr>
                    <w:t>手续费</w:t>
                  </w:r>
                </w:p>
                <w:p>
                  <w:pPr>
                    <w:pStyle w:val="BodyText"/>
                    <w:tabs>
                      <w:tab w:pos="4729" w:val="left" w:leader="none"/>
                    </w:tabs>
                    <w:spacing w:line="264" w:lineRule="exact"/>
                    <w:ind w:left="211"/>
                  </w:pPr>
                  <w:r>
                    <w:rPr/>
                    <w:t>4.1</w:t>
                  </w:r>
                  <w:r>
                    <w:rPr>
                      <w:spacing w:val="1"/>
                    </w:rPr>
                    <w:t> </w:t>
                  </w:r>
                  <w:r>
                    <w:rPr/>
                    <w:t>保险费</w:t>
                    <w:tab/>
                    <w:t>7.11</w:t>
                  </w:r>
                  <w:r>
                    <w:rPr>
                      <w:spacing w:val="10"/>
                    </w:rPr>
                    <w:t> </w:t>
                  </w:r>
                  <w:r>
                    <w:rPr/>
                    <w:t>未满</w:t>
                  </w:r>
                  <w:r>
                    <w:rPr>
                      <w:spacing w:val="-5"/>
                    </w:rPr>
                    <w:t>期</w:t>
                  </w:r>
                  <w:r>
                    <w:rPr/>
                    <w:t>保险费</w:t>
                  </w:r>
                </w:p>
                <w:p>
                  <w:pPr>
                    <w:pStyle w:val="BodyText"/>
                    <w:spacing w:line="245" w:lineRule="exact" w:before="7"/>
                    <w:ind w:left="4729"/>
                  </w:pPr>
                  <w:r>
                    <w:rPr/>
                    <w:t>7.12 不可抗力</w:t>
                  </w:r>
                </w:p>
                <w:p>
                  <w:pPr>
                    <w:spacing w:line="322" w:lineRule="exact" w:before="0"/>
                    <w:ind w:left="0" w:right="0" w:firstLine="0"/>
                    <w:jc w:val="left"/>
                    <w:rPr>
                      <w:rFonts w:ascii="微软雅黑" w:eastAsia="微软雅黑" w:hint="eastAsia"/>
                      <w:b/>
                      <w:sz w:val="21"/>
                    </w:rPr>
                  </w:pPr>
                  <w:r>
                    <w:rPr>
                      <w:rFonts w:ascii="Times New Roman" w:eastAsia="Times New Roman"/>
                      <w:b/>
                      <w:sz w:val="21"/>
                    </w:rPr>
                    <w:t>5</w:t>
                  </w:r>
                  <w:r>
                    <w:rPr>
                      <w:rFonts w:ascii="微软雅黑" w:eastAsia="微软雅黑" w:hint="eastAsia"/>
                      <w:b/>
                      <w:sz w:val="21"/>
                    </w:rPr>
                    <w:t>．如何解除保险合同</w:t>
                  </w:r>
                </w:p>
                <w:p>
                  <w:pPr>
                    <w:pStyle w:val="BodyText"/>
                    <w:spacing w:line="264" w:lineRule="exact"/>
                    <w:ind w:left="211"/>
                  </w:pPr>
                  <w:r>
                    <w:rPr/>
                    <w:t>5.1 合同解除</w:t>
                  </w:r>
                </w:p>
              </w:txbxContent>
            </v:textbox>
            <w10:wrap type="none"/>
          </v:shape>
        </w:pict>
      </w:r>
      <w:r>
        <w:rPr/>
        <w:pict>
          <v:shape style="position:absolute;margin-left:81.764pt;margin-top:-145.546478pt;width:445.1pt;height:160.2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5"/>
                    <w:gridCol w:w="420"/>
                    <w:gridCol w:w="2038"/>
                    <w:gridCol w:w="1299"/>
                    <w:gridCol w:w="2100"/>
                  </w:tblGrid>
                  <w:tr>
                    <w:trPr>
                      <w:trHeight w:val="259" w:hRule="atLeast"/>
                    </w:trPr>
                    <w:tc>
                      <w:tcPr>
                        <w:tcW w:w="3045" w:type="dxa"/>
                      </w:tcPr>
                      <w:p>
                        <w:pPr>
                          <w:pStyle w:val="TableParagraph"/>
                          <w:spacing w:line="239" w:lineRule="exact"/>
                          <w:ind w:left="50"/>
                          <w:rPr>
                            <w:rFonts w:ascii="微软雅黑" w:eastAsia="微软雅黑" w:hint="eastAsia"/>
                            <w:b/>
                            <w:sz w:val="21"/>
                          </w:rPr>
                        </w:pPr>
                        <w:r>
                          <w:rPr>
                            <w:rFonts w:ascii="微软雅黑" w:eastAsia="微软雅黑" w:hint="eastAsia"/>
                            <w:b/>
                            <w:w w:val="95"/>
                            <w:sz w:val="21"/>
                          </w:rPr>
                          <w:t>1．投保人与本公司的合同</w:t>
                        </w:r>
                      </w:p>
                    </w:tc>
                    <w:tc>
                      <w:tcPr>
                        <w:tcW w:w="2458" w:type="dxa"/>
                        <w:gridSpan w:val="2"/>
                      </w:tcPr>
                      <w:p>
                        <w:pPr>
                          <w:pStyle w:val="TableParagraph"/>
                          <w:spacing w:line="239" w:lineRule="exact"/>
                          <w:ind w:left="49"/>
                          <w:rPr>
                            <w:rFonts w:ascii="微软雅黑" w:eastAsia="微软雅黑" w:hint="eastAsia"/>
                            <w:b/>
                            <w:sz w:val="21"/>
                          </w:rPr>
                        </w:pPr>
                        <w:r>
                          <w:rPr>
                            <w:rFonts w:ascii="Times New Roman" w:eastAsia="Times New Roman"/>
                            <w:b/>
                            <w:sz w:val="21"/>
                          </w:rPr>
                          <w:t>5</w:t>
                        </w:r>
                        <w:r>
                          <w:rPr>
                            <w:rFonts w:ascii="微软雅黑" w:eastAsia="微软雅黑" w:hint="eastAsia"/>
                            <w:b/>
                            <w:sz w:val="21"/>
                          </w:rPr>
                          <w:t>．现金价值权益</w:t>
                        </w:r>
                      </w:p>
                    </w:tc>
                    <w:tc>
                      <w:tcPr>
                        <w:tcW w:w="3399" w:type="dxa"/>
                        <w:gridSpan w:val="2"/>
                      </w:tcPr>
                      <w:p>
                        <w:pPr>
                          <w:pStyle w:val="TableParagraph"/>
                          <w:spacing w:line="239" w:lineRule="exact"/>
                          <w:ind w:left="822"/>
                          <w:rPr>
                            <w:rFonts w:ascii="微软雅黑" w:eastAsia="微软雅黑" w:hint="eastAsia"/>
                            <w:b/>
                            <w:sz w:val="21"/>
                          </w:rPr>
                        </w:pPr>
                        <w:r>
                          <w:rPr>
                            <w:rFonts w:ascii="微软雅黑" w:eastAsia="微软雅黑" w:hint="eastAsia"/>
                            <w:b/>
                            <w:w w:val="95"/>
                            <w:sz w:val="21"/>
                          </w:rPr>
                          <w:t>9．释义</w:t>
                        </w:r>
                      </w:p>
                    </w:tc>
                  </w:tr>
                  <w:tr>
                    <w:trPr>
                      <w:trHeight w:val="325" w:hRule="atLeast"/>
                    </w:trPr>
                    <w:tc>
                      <w:tcPr>
                        <w:tcW w:w="3045" w:type="dxa"/>
                      </w:tcPr>
                      <w:p>
                        <w:pPr>
                          <w:pStyle w:val="TableParagraph"/>
                          <w:spacing w:before="5"/>
                          <w:ind w:left="50"/>
                          <w:rPr>
                            <w:sz w:val="21"/>
                          </w:rPr>
                        </w:pPr>
                        <w:r>
                          <w:rPr>
                            <w:sz w:val="21"/>
                          </w:rPr>
                          <w:t>1.1 合同构成</w:t>
                        </w:r>
                      </w:p>
                    </w:tc>
                    <w:tc>
                      <w:tcPr>
                        <w:tcW w:w="2458" w:type="dxa"/>
                        <w:gridSpan w:val="2"/>
                      </w:tcPr>
                      <w:p>
                        <w:pPr>
                          <w:pStyle w:val="TableParagraph"/>
                          <w:spacing w:line="237" w:lineRule="exact"/>
                          <w:ind w:left="49"/>
                          <w:rPr>
                            <w:sz w:val="21"/>
                          </w:rPr>
                        </w:pPr>
                        <w:r>
                          <w:rPr>
                            <w:sz w:val="21"/>
                          </w:rPr>
                          <w:t>5.1 现金价值</w:t>
                        </w:r>
                      </w:p>
                    </w:tc>
                    <w:tc>
                      <w:tcPr>
                        <w:tcW w:w="3399" w:type="dxa"/>
                        <w:gridSpan w:val="2"/>
                      </w:tcPr>
                      <w:p>
                        <w:pPr>
                          <w:pStyle w:val="TableParagraph"/>
                          <w:tabs>
                            <w:tab w:pos="1351" w:val="left" w:leader="none"/>
                          </w:tabs>
                          <w:spacing w:line="270" w:lineRule="exact"/>
                          <w:ind w:left="822"/>
                          <w:rPr>
                            <w:sz w:val="21"/>
                          </w:rPr>
                        </w:pPr>
                        <w:r>
                          <w:rPr>
                            <w:sz w:val="21"/>
                          </w:rPr>
                          <w:t>9.1</w:t>
                          <w:tab/>
                          <w:t>本公司</w:t>
                        </w:r>
                      </w:p>
                    </w:tc>
                  </w:tr>
                  <w:tr>
                    <w:trPr>
                      <w:trHeight w:val="312" w:hRule="atLeast"/>
                    </w:trPr>
                    <w:tc>
                      <w:tcPr>
                        <w:tcW w:w="3045" w:type="dxa"/>
                      </w:tcPr>
                      <w:p>
                        <w:pPr>
                          <w:pStyle w:val="TableParagraph"/>
                          <w:spacing w:line="266" w:lineRule="exact"/>
                          <w:ind w:left="50"/>
                          <w:rPr>
                            <w:sz w:val="21"/>
                          </w:rPr>
                        </w:pPr>
                        <w:r>
                          <w:rPr>
                            <w:sz w:val="21"/>
                          </w:rPr>
                          <w:t>1.2 合同成立与生效</w:t>
                        </w:r>
                      </w:p>
                    </w:tc>
                    <w:tc>
                      <w:tcPr>
                        <w:tcW w:w="2458" w:type="dxa"/>
                        <w:gridSpan w:val="2"/>
                      </w:tcPr>
                      <w:p>
                        <w:pPr>
                          <w:pStyle w:val="TableParagraph"/>
                          <w:spacing w:line="194" w:lineRule="exact"/>
                          <w:ind w:left="49"/>
                          <w:rPr>
                            <w:sz w:val="21"/>
                          </w:rPr>
                        </w:pPr>
                        <w:r>
                          <w:rPr>
                            <w:sz w:val="21"/>
                          </w:rPr>
                          <w:t>5.2 保单贷款</w:t>
                        </w:r>
                      </w:p>
                    </w:tc>
                    <w:tc>
                      <w:tcPr>
                        <w:tcW w:w="3399" w:type="dxa"/>
                        <w:gridSpan w:val="2"/>
                      </w:tcPr>
                      <w:p>
                        <w:pPr>
                          <w:pStyle w:val="TableParagraph"/>
                          <w:tabs>
                            <w:tab w:pos="1351" w:val="left" w:leader="none"/>
                          </w:tabs>
                          <w:spacing w:line="257" w:lineRule="exact"/>
                          <w:ind w:left="822"/>
                          <w:rPr>
                            <w:sz w:val="21"/>
                          </w:rPr>
                        </w:pPr>
                        <w:r>
                          <w:rPr>
                            <w:sz w:val="21"/>
                          </w:rPr>
                          <w:t>9.2</w:t>
                          <w:tab/>
                        </w:r>
                        <w:r>
                          <w:rPr>
                            <w:spacing w:val="-2"/>
                            <w:sz w:val="21"/>
                          </w:rPr>
                          <w:t>保单年度</w:t>
                        </w:r>
                      </w:p>
                    </w:tc>
                  </w:tr>
                  <w:tr>
                    <w:trPr>
                      <w:trHeight w:val="311" w:hRule="atLeast"/>
                    </w:trPr>
                    <w:tc>
                      <w:tcPr>
                        <w:tcW w:w="3045" w:type="dxa"/>
                      </w:tcPr>
                      <w:p>
                        <w:pPr>
                          <w:pStyle w:val="TableParagraph"/>
                          <w:spacing w:line="266" w:lineRule="exact"/>
                          <w:ind w:left="50"/>
                          <w:rPr>
                            <w:sz w:val="21"/>
                          </w:rPr>
                        </w:pPr>
                        <w:r>
                          <w:rPr>
                            <w:sz w:val="21"/>
                          </w:rPr>
                          <w:t>1.3 投保范围</w:t>
                        </w:r>
                      </w:p>
                    </w:tc>
                    <w:tc>
                      <w:tcPr>
                        <w:tcW w:w="2458" w:type="dxa"/>
                        <w:gridSpan w:val="2"/>
                      </w:tcPr>
                      <w:p>
                        <w:pPr>
                          <w:pStyle w:val="TableParagraph"/>
                          <w:spacing w:line="161" w:lineRule="exact"/>
                          <w:ind w:left="49"/>
                          <w:rPr>
                            <w:sz w:val="21"/>
                          </w:rPr>
                        </w:pPr>
                        <w:r>
                          <w:rPr>
                            <w:sz w:val="21"/>
                          </w:rPr>
                          <w:t>5.3 减额交清保险</w:t>
                        </w:r>
                      </w:p>
                    </w:tc>
                    <w:tc>
                      <w:tcPr>
                        <w:tcW w:w="3399" w:type="dxa"/>
                        <w:gridSpan w:val="2"/>
                      </w:tcPr>
                      <w:p>
                        <w:pPr>
                          <w:pStyle w:val="TableParagraph"/>
                          <w:tabs>
                            <w:tab w:pos="1351" w:val="left" w:leader="none"/>
                          </w:tabs>
                          <w:spacing w:line="257" w:lineRule="exact"/>
                          <w:ind w:left="822"/>
                          <w:rPr>
                            <w:sz w:val="21"/>
                          </w:rPr>
                        </w:pPr>
                        <w:r>
                          <w:rPr>
                            <w:sz w:val="21"/>
                          </w:rPr>
                          <w:t>9.3</w:t>
                          <w:tab/>
                        </w:r>
                        <w:r>
                          <w:rPr>
                            <w:spacing w:val="-3"/>
                            <w:sz w:val="21"/>
                          </w:rPr>
                          <w:t>初次患有重大疾病</w:t>
                        </w:r>
                      </w:p>
                    </w:tc>
                  </w:tr>
                  <w:tr>
                    <w:trPr>
                      <w:trHeight w:val="312" w:hRule="atLeast"/>
                    </w:trPr>
                    <w:tc>
                      <w:tcPr>
                        <w:tcW w:w="3045" w:type="dxa"/>
                      </w:tcPr>
                      <w:p>
                        <w:pPr>
                          <w:pStyle w:val="TableParagraph"/>
                          <w:spacing w:line="266" w:lineRule="exact"/>
                          <w:ind w:left="50"/>
                          <w:rPr>
                            <w:sz w:val="21"/>
                          </w:rPr>
                        </w:pPr>
                        <w:r>
                          <w:rPr>
                            <w:sz w:val="21"/>
                          </w:rPr>
                          <w:t>1.4 犹豫期</w:t>
                        </w:r>
                      </w:p>
                    </w:tc>
                    <w:tc>
                      <w:tcPr>
                        <w:tcW w:w="2458" w:type="dxa"/>
                        <w:gridSpan w:val="2"/>
                      </w:tcPr>
                      <w:p>
                        <w:pPr>
                          <w:pStyle w:val="TableParagraph"/>
                          <w:spacing w:line="132" w:lineRule="exact"/>
                          <w:ind w:left="49"/>
                          <w:rPr>
                            <w:sz w:val="21"/>
                          </w:rPr>
                        </w:pPr>
                        <w:r>
                          <w:rPr>
                            <w:sz w:val="21"/>
                          </w:rPr>
                          <w:t>5.4 减保</w:t>
                        </w:r>
                      </w:p>
                    </w:tc>
                    <w:tc>
                      <w:tcPr>
                        <w:tcW w:w="3399" w:type="dxa"/>
                        <w:gridSpan w:val="2"/>
                      </w:tcPr>
                      <w:p>
                        <w:pPr>
                          <w:pStyle w:val="TableParagraph"/>
                          <w:tabs>
                            <w:tab w:pos="1351" w:val="left" w:leader="none"/>
                          </w:tabs>
                          <w:spacing w:line="257" w:lineRule="exact"/>
                          <w:ind w:left="822"/>
                          <w:rPr>
                            <w:sz w:val="21"/>
                          </w:rPr>
                        </w:pPr>
                        <w:r>
                          <w:rPr>
                            <w:sz w:val="21"/>
                          </w:rPr>
                          <w:t>9.4</w:t>
                          <w:tab/>
                        </w:r>
                        <w:r>
                          <w:rPr>
                            <w:spacing w:val="-2"/>
                            <w:sz w:val="21"/>
                          </w:rPr>
                          <w:t>重大疾病</w:t>
                        </w:r>
                      </w:p>
                    </w:tc>
                  </w:tr>
                  <w:tr>
                    <w:trPr>
                      <w:trHeight w:val="305" w:hRule="atLeast"/>
                    </w:trPr>
                    <w:tc>
                      <w:tcPr>
                        <w:tcW w:w="3045" w:type="dxa"/>
                      </w:tcPr>
                      <w:p>
                        <w:pPr>
                          <w:pStyle w:val="TableParagraph"/>
                          <w:ind w:left="0"/>
                          <w:rPr>
                            <w:rFonts w:ascii="Times New Roman"/>
                            <w:sz w:val="20"/>
                          </w:rPr>
                        </w:pPr>
                      </w:p>
                    </w:tc>
                    <w:tc>
                      <w:tcPr>
                        <w:tcW w:w="2458" w:type="dxa"/>
                        <w:gridSpan w:val="2"/>
                      </w:tcPr>
                      <w:p>
                        <w:pPr>
                          <w:pStyle w:val="TableParagraph"/>
                          <w:ind w:left="0"/>
                          <w:rPr>
                            <w:rFonts w:ascii="Times New Roman"/>
                            <w:sz w:val="20"/>
                          </w:rPr>
                        </w:pPr>
                      </w:p>
                    </w:tc>
                    <w:tc>
                      <w:tcPr>
                        <w:tcW w:w="3399" w:type="dxa"/>
                        <w:gridSpan w:val="2"/>
                      </w:tcPr>
                      <w:p>
                        <w:pPr>
                          <w:pStyle w:val="TableParagraph"/>
                          <w:tabs>
                            <w:tab w:pos="1351" w:val="left" w:leader="none"/>
                          </w:tabs>
                          <w:spacing w:line="257" w:lineRule="exact"/>
                          <w:ind w:left="822"/>
                          <w:rPr>
                            <w:sz w:val="21"/>
                          </w:rPr>
                        </w:pPr>
                        <w:r>
                          <w:rPr>
                            <w:sz w:val="21"/>
                          </w:rPr>
                          <w:t>9.5</w:t>
                          <w:tab/>
                        </w:r>
                        <w:r>
                          <w:rPr>
                            <w:spacing w:val="-2"/>
                            <w:sz w:val="21"/>
                          </w:rPr>
                          <w:t>调整系数</w:t>
                        </w:r>
                      </w:p>
                    </w:tc>
                  </w:tr>
                  <w:tr>
                    <w:trPr>
                      <w:trHeight w:val="300" w:hRule="atLeast"/>
                    </w:trPr>
                    <w:tc>
                      <w:tcPr>
                        <w:tcW w:w="3045" w:type="dxa"/>
                      </w:tcPr>
                      <w:p>
                        <w:pPr>
                          <w:pStyle w:val="TableParagraph"/>
                          <w:spacing w:line="280" w:lineRule="exact"/>
                          <w:ind w:left="50"/>
                          <w:rPr>
                            <w:rFonts w:ascii="微软雅黑" w:eastAsia="微软雅黑" w:hint="eastAsia"/>
                            <w:b/>
                            <w:sz w:val="21"/>
                          </w:rPr>
                        </w:pPr>
                        <w:r>
                          <w:rPr>
                            <w:rFonts w:ascii="微软雅黑" w:eastAsia="微软雅黑" w:hint="eastAsia"/>
                            <w:b/>
                            <w:w w:val="95"/>
                            <w:sz w:val="21"/>
                          </w:rPr>
                          <w:t>2．本公司提供的保障</w:t>
                        </w:r>
                      </w:p>
                    </w:tc>
                    <w:tc>
                      <w:tcPr>
                        <w:tcW w:w="2458" w:type="dxa"/>
                        <w:gridSpan w:val="2"/>
                      </w:tcPr>
                      <w:p>
                        <w:pPr>
                          <w:pStyle w:val="TableParagraph"/>
                          <w:spacing w:line="165" w:lineRule="exact"/>
                          <w:ind w:left="49" w:right="-29"/>
                          <w:rPr>
                            <w:rFonts w:ascii="微软雅黑" w:eastAsia="微软雅黑" w:hint="eastAsia"/>
                            <w:b/>
                            <w:sz w:val="21"/>
                          </w:rPr>
                        </w:pPr>
                        <w:r>
                          <w:rPr>
                            <w:rFonts w:ascii="微软雅黑" w:eastAsia="微软雅黑" w:hint="eastAsia"/>
                            <w:b/>
                            <w:w w:val="95"/>
                            <w:sz w:val="21"/>
                          </w:rPr>
                          <w:t>6．合同效力的中止、恢复</w:t>
                        </w:r>
                      </w:p>
                    </w:tc>
                    <w:tc>
                      <w:tcPr>
                        <w:tcW w:w="3399" w:type="dxa"/>
                        <w:gridSpan w:val="2"/>
                      </w:tcPr>
                      <w:p>
                        <w:pPr>
                          <w:pStyle w:val="TableParagraph"/>
                          <w:tabs>
                            <w:tab w:pos="1351" w:val="left" w:leader="none"/>
                          </w:tabs>
                          <w:spacing w:line="259" w:lineRule="exact"/>
                          <w:ind w:left="20"/>
                          <w:rPr>
                            <w:sz w:val="21"/>
                          </w:rPr>
                        </w:pPr>
                        <w:r>
                          <w:rPr>
                            <w:rFonts w:ascii="微软雅黑" w:eastAsia="微软雅黑" w:hint="eastAsia"/>
                            <w:b/>
                            <w:position w:val="12"/>
                            <w:sz w:val="21"/>
                          </w:rPr>
                          <w:t>及终止 </w:t>
                        </w:r>
                        <w:r>
                          <w:rPr>
                            <w:rFonts w:ascii="微软雅黑" w:eastAsia="微软雅黑" w:hint="eastAsia"/>
                            <w:b/>
                            <w:spacing w:val="45"/>
                            <w:position w:val="12"/>
                            <w:sz w:val="21"/>
                          </w:rPr>
                          <w:t> </w:t>
                        </w:r>
                        <w:r>
                          <w:rPr>
                            <w:sz w:val="21"/>
                          </w:rPr>
                          <w:t>9.6</w:t>
                          <w:tab/>
                          <w:t>指定的</w:t>
                        </w:r>
                        <w:r>
                          <w:rPr>
                            <w:spacing w:val="-52"/>
                            <w:sz w:val="21"/>
                          </w:rPr>
                          <w:t> </w:t>
                        </w:r>
                        <w:r>
                          <w:rPr>
                            <w:sz w:val="21"/>
                          </w:rPr>
                          <w:t>10</w:t>
                        </w:r>
                        <w:r>
                          <w:rPr>
                            <w:spacing w:val="-48"/>
                            <w:sz w:val="21"/>
                          </w:rPr>
                          <w:t> </w:t>
                        </w:r>
                        <w:r>
                          <w:rPr>
                            <w:sz w:val="21"/>
                          </w:rPr>
                          <w:t>种</w:t>
                        </w:r>
                        <w:r>
                          <w:rPr>
                            <w:spacing w:val="-5"/>
                            <w:sz w:val="21"/>
                          </w:rPr>
                          <w:t>重</w:t>
                        </w:r>
                        <w:r>
                          <w:rPr>
                            <w:sz w:val="21"/>
                          </w:rPr>
                          <w:t>大疾病</w:t>
                        </w:r>
                      </w:p>
                    </w:tc>
                  </w:tr>
                  <w:tr>
                    <w:trPr>
                      <w:trHeight w:val="244" w:hRule="atLeast"/>
                    </w:trPr>
                    <w:tc>
                      <w:tcPr>
                        <w:tcW w:w="3465" w:type="dxa"/>
                        <w:gridSpan w:val="2"/>
                      </w:tcPr>
                      <w:p>
                        <w:pPr>
                          <w:pStyle w:val="TableParagraph"/>
                          <w:tabs>
                            <w:tab w:pos="3411" w:val="right" w:leader="none"/>
                          </w:tabs>
                          <w:spacing w:line="225" w:lineRule="exact"/>
                          <w:ind w:left="50"/>
                          <w:rPr>
                            <w:sz w:val="21"/>
                          </w:rPr>
                        </w:pPr>
                        <w:r>
                          <w:rPr>
                            <w:sz w:val="21"/>
                          </w:rPr>
                          <w:t>2.1</w:t>
                        </w:r>
                        <w:r>
                          <w:rPr>
                            <w:spacing w:val="0"/>
                            <w:sz w:val="21"/>
                          </w:rPr>
                          <w:t> </w:t>
                        </w:r>
                        <w:r>
                          <w:rPr>
                            <w:sz w:val="21"/>
                          </w:rPr>
                          <w:t>保险</w:t>
                        </w:r>
                        <w:r>
                          <w:rPr>
                            <w:spacing w:val="-5"/>
                            <w:sz w:val="21"/>
                          </w:rPr>
                          <w:t>责</w:t>
                        </w:r>
                        <w:r>
                          <w:rPr>
                            <w:sz w:val="21"/>
                          </w:rPr>
                          <w:t>任</w:t>
                        </w:r>
                        <w:r>
                          <w:rPr>
                            <w:position w:val="13"/>
                            <w:sz w:val="21"/>
                          </w:rPr>
                          <w:tab/>
                          <w:t>6.1</w:t>
                        </w:r>
                      </w:p>
                    </w:tc>
                    <w:tc>
                      <w:tcPr>
                        <w:tcW w:w="2038" w:type="dxa"/>
                      </w:tcPr>
                      <w:p>
                        <w:pPr>
                          <w:pStyle w:val="TableParagraph"/>
                          <w:spacing w:line="151" w:lineRule="exact"/>
                          <w:ind w:left="52"/>
                          <w:rPr>
                            <w:sz w:val="21"/>
                          </w:rPr>
                        </w:pPr>
                        <w:r>
                          <w:rPr>
                            <w:sz w:val="21"/>
                          </w:rPr>
                          <w:t>效力中止</w:t>
                        </w:r>
                      </w:p>
                    </w:tc>
                    <w:tc>
                      <w:tcPr>
                        <w:tcW w:w="1299" w:type="dxa"/>
                      </w:tcPr>
                      <w:p>
                        <w:pPr>
                          <w:pStyle w:val="TableParagraph"/>
                          <w:spacing w:line="225" w:lineRule="exact"/>
                          <w:ind w:left="822"/>
                          <w:rPr>
                            <w:sz w:val="21"/>
                          </w:rPr>
                        </w:pPr>
                        <w:r>
                          <w:rPr>
                            <w:sz w:val="21"/>
                          </w:rPr>
                          <w:t>9.7</w:t>
                        </w:r>
                      </w:p>
                    </w:tc>
                    <w:tc>
                      <w:tcPr>
                        <w:tcW w:w="2100" w:type="dxa"/>
                      </w:tcPr>
                      <w:p>
                        <w:pPr>
                          <w:pStyle w:val="TableParagraph"/>
                          <w:spacing w:line="225" w:lineRule="exact"/>
                          <w:ind w:left="52"/>
                          <w:rPr>
                            <w:sz w:val="21"/>
                          </w:rPr>
                        </w:pPr>
                        <w:r>
                          <w:rPr>
                            <w:sz w:val="21"/>
                          </w:rPr>
                          <w:t>醉酒</w:t>
                        </w:r>
                      </w:p>
                    </w:tc>
                  </w:tr>
                  <w:tr>
                    <w:trPr>
                      <w:trHeight w:val="295" w:hRule="atLeast"/>
                    </w:trPr>
                    <w:tc>
                      <w:tcPr>
                        <w:tcW w:w="3465" w:type="dxa"/>
                        <w:gridSpan w:val="2"/>
                      </w:tcPr>
                      <w:p>
                        <w:pPr>
                          <w:pStyle w:val="TableParagraph"/>
                          <w:tabs>
                            <w:tab w:pos="3411" w:val="right" w:leader="none"/>
                          </w:tabs>
                          <w:spacing w:line="275" w:lineRule="exact"/>
                          <w:ind w:left="50"/>
                          <w:rPr>
                            <w:sz w:val="21"/>
                          </w:rPr>
                        </w:pPr>
                        <w:r>
                          <w:rPr>
                            <w:sz w:val="21"/>
                          </w:rPr>
                          <w:t>2.2</w:t>
                        </w:r>
                        <w:r>
                          <w:rPr>
                            <w:spacing w:val="0"/>
                            <w:sz w:val="21"/>
                          </w:rPr>
                          <w:t> </w:t>
                        </w:r>
                        <w:r>
                          <w:rPr>
                            <w:sz w:val="21"/>
                          </w:rPr>
                          <w:t>责任</w:t>
                        </w:r>
                        <w:r>
                          <w:rPr>
                            <w:spacing w:val="-5"/>
                            <w:sz w:val="21"/>
                          </w:rPr>
                          <w:t>免</w:t>
                        </w:r>
                        <w:r>
                          <w:rPr>
                            <w:sz w:val="21"/>
                          </w:rPr>
                          <w:t>除</w:t>
                        </w:r>
                        <w:r>
                          <w:rPr>
                            <w:position w:val="13"/>
                            <w:sz w:val="21"/>
                          </w:rPr>
                          <w:tab/>
                          <w:t>6.2</w:t>
                        </w:r>
                      </w:p>
                    </w:tc>
                    <w:tc>
                      <w:tcPr>
                        <w:tcW w:w="2038" w:type="dxa"/>
                      </w:tcPr>
                      <w:p>
                        <w:pPr>
                          <w:pStyle w:val="TableParagraph"/>
                          <w:spacing w:line="218" w:lineRule="exact"/>
                          <w:ind w:left="52"/>
                          <w:rPr>
                            <w:sz w:val="21"/>
                          </w:rPr>
                        </w:pPr>
                        <w:r>
                          <w:rPr>
                            <w:sz w:val="21"/>
                          </w:rPr>
                          <w:t>效力恢复</w:t>
                        </w:r>
                      </w:p>
                    </w:tc>
                    <w:tc>
                      <w:tcPr>
                        <w:tcW w:w="1299" w:type="dxa"/>
                      </w:tcPr>
                      <w:p>
                        <w:pPr>
                          <w:pStyle w:val="TableParagraph"/>
                          <w:spacing w:line="271" w:lineRule="exact"/>
                          <w:ind w:left="822"/>
                          <w:rPr>
                            <w:sz w:val="21"/>
                          </w:rPr>
                        </w:pPr>
                        <w:r>
                          <w:rPr>
                            <w:sz w:val="21"/>
                          </w:rPr>
                          <w:t>9.8</w:t>
                        </w:r>
                      </w:p>
                    </w:tc>
                    <w:tc>
                      <w:tcPr>
                        <w:tcW w:w="2100" w:type="dxa"/>
                      </w:tcPr>
                      <w:p>
                        <w:pPr>
                          <w:pStyle w:val="TableParagraph"/>
                          <w:spacing w:line="271" w:lineRule="exact"/>
                          <w:ind w:left="52"/>
                          <w:rPr>
                            <w:sz w:val="21"/>
                          </w:rPr>
                        </w:pPr>
                        <w:r>
                          <w:rPr>
                            <w:sz w:val="21"/>
                          </w:rPr>
                          <w:t>斗殴</w:t>
                        </w:r>
                      </w:p>
                    </w:tc>
                  </w:tr>
                  <w:tr>
                    <w:trPr>
                      <w:trHeight w:val="292" w:hRule="atLeast"/>
                    </w:trPr>
                    <w:tc>
                      <w:tcPr>
                        <w:tcW w:w="3465" w:type="dxa"/>
                        <w:gridSpan w:val="2"/>
                      </w:tcPr>
                      <w:p>
                        <w:pPr>
                          <w:pStyle w:val="TableParagraph"/>
                          <w:tabs>
                            <w:tab w:pos="3411" w:val="right" w:leader="none"/>
                          </w:tabs>
                          <w:spacing w:line="273" w:lineRule="exact"/>
                          <w:ind w:left="50"/>
                          <w:rPr>
                            <w:sz w:val="21"/>
                          </w:rPr>
                        </w:pPr>
                        <w:r>
                          <w:rPr>
                            <w:sz w:val="21"/>
                          </w:rPr>
                          <w:t>2.3</w:t>
                        </w:r>
                        <w:r>
                          <w:rPr>
                            <w:spacing w:val="0"/>
                            <w:sz w:val="21"/>
                          </w:rPr>
                          <w:t> </w:t>
                        </w:r>
                        <w:r>
                          <w:rPr>
                            <w:sz w:val="21"/>
                          </w:rPr>
                          <w:t>保险</w:t>
                        </w:r>
                        <w:r>
                          <w:rPr>
                            <w:spacing w:val="-5"/>
                            <w:sz w:val="21"/>
                          </w:rPr>
                          <w:t>期</w:t>
                        </w:r>
                        <w:r>
                          <w:rPr>
                            <w:sz w:val="21"/>
                          </w:rPr>
                          <w:t>间</w:t>
                        </w:r>
                        <w:r>
                          <w:rPr>
                            <w:position w:val="13"/>
                            <w:sz w:val="21"/>
                          </w:rPr>
                          <w:tab/>
                          <w:t>6.3</w:t>
                        </w:r>
                      </w:p>
                    </w:tc>
                    <w:tc>
                      <w:tcPr>
                        <w:tcW w:w="2038" w:type="dxa"/>
                      </w:tcPr>
                      <w:p>
                        <w:pPr>
                          <w:pStyle w:val="TableParagraph"/>
                          <w:spacing w:line="235" w:lineRule="exact"/>
                          <w:ind w:left="52"/>
                          <w:rPr>
                            <w:sz w:val="21"/>
                          </w:rPr>
                        </w:pPr>
                        <w:r>
                          <w:rPr>
                            <w:sz w:val="21"/>
                          </w:rPr>
                          <w:t>效力终止</w:t>
                        </w:r>
                      </w:p>
                    </w:tc>
                    <w:tc>
                      <w:tcPr>
                        <w:tcW w:w="1299" w:type="dxa"/>
                      </w:tcPr>
                      <w:p>
                        <w:pPr>
                          <w:pStyle w:val="TableParagraph"/>
                          <w:spacing w:line="259" w:lineRule="exact"/>
                          <w:ind w:left="822"/>
                          <w:rPr>
                            <w:sz w:val="21"/>
                          </w:rPr>
                        </w:pPr>
                        <w:r>
                          <w:rPr>
                            <w:sz w:val="21"/>
                          </w:rPr>
                          <w:t>9.9</w:t>
                        </w:r>
                      </w:p>
                    </w:tc>
                    <w:tc>
                      <w:tcPr>
                        <w:tcW w:w="2100" w:type="dxa"/>
                      </w:tcPr>
                      <w:p>
                        <w:pPr>
                          <w:pStyle w:val="TableParagraph"/>
                          <w:spacing w:line="259" w:lineRule="exact"/>
                          <w:ind w:left="52"/>
                          <w:rPr>
                            <w:sz w:val="21"/>
                          </w:rPr>
                        </w:pPr>
                        <w:r>
                          <w:rPr>
                            <w:sz w:val="21"/>
                          </w:rPr>
                          <w:t>毒品</w:t>
                        </w:r>
                      </w:p>
                    </w:tc>
                  </w:tr>
                  <w:tr>
                    <w:trPr>
                      <w:trHeight w:val="244" w:hRule="atLeast"/>
                    </w:trPr>
                    <w:tc>
                      <w:tcPr>
                        <w:tcW w:w="3465" w:type="dxa"/>
                        <w:gridSpan w:val="2"/>
                      </w:tcPr>
                      <w:p>
                        <w:pPr>
                          <w:pStyle w:val="TableParagraph"/>
                          <w:ind w:left="0"/>
                          <w:rPr>
                            <w:rFonts w:ascii="Times New Roman"/>
                            <w:sz w:val="16"/>
                          </w:rPr>
                        </w:pPr>
                      </w:p>
                    </w:tc>
                    <w:tc>
                      <w:tcPr>
                        <w:tcW w:w="2038" w:type="dxa"/>
                      </w:tcPr>
                      <w:p>
                        <w:pPr>
                          <w:pStyle w:val="TableParagraph"/>
                          <w:ind w:left="0"/>
                          <w:rPr>
                            <w:rFonts w:ascii="Times New Roman"/>
                            <w:sz w:val="16"/>
                          </w:rPr>
                        </w:pPr>
                      </w:p>
                    </w:tc>
                    <w:tc>
                      <w:tcPr>
                        <w:tcW w:w="1299" w:type="dxa"/>
                      </w:tcPr>
                      <w:p>
                        <w:pPr>
                          <w:pStyle w:val="TableParagraph"/>
                          <w:spacing w:line="225" w:lineRule="exact"/>
                          <w:ind w:left="822"/>
                          <w:rPr>
                            <w:sz w:val="21"/>
                          </w:rPr>
                        </w:pPr>
                        <w:r>
                          <w:rPr>
                            <w:sz w:val="21"/>
                          </w:rPr>
                          <w:t>9.10</w:t>
                        </w:r>
                      </w:p>
                    </w:tc>
                    <w:tc>
                      <w:tcPr>
                        <w:tcW w:w="2100" w:type="dxa"/>
                      </w:tcPr>
                      <w:p>
                        <w:pPr>
                          <w:pStyle w:val="TableParagraph"/>
                          <w:spacing w:line="225" w:lineRule="exact"/>
                          <w:ind w:left="52"/>
                          <w:rPr>
                            <w:sz w:val="21"/>
                          </w:rPr>
                        </w:pPr>
                        <w:r>
                          <w:rPr>
                            <w:sz w:val="21"/>
                          </w:rPr>
                          <w:t>管制药品</w:t>
                        </w:r>
                      </w:p>
                    </w:tc>
                  </w:tr>
                </w:tbl>
                <w:p>
                  <w:pPr>
                    <w:pStyle w:val="BodyText"/>
                  </w:pPr>
                </w:p>
              </w:txbxContent>
            </v:textbox>
            <w10:wrap type="none"/>
          </v:shape>
        </w:pict>
      </w:r>
      <w:r>
        <w:rPr>
          <w:sz w:val="21"/>
        </w:rPr>
        <w:t>2.4    保 险 金 额</w:t>
      </w:r>
      <w:r>
        <w:rPr>
          <w:rFonts w:ascii="微软雅黑" w:eastAsia="微软雅黑" w:hint="eastAsia"/>
          <w:b/>
          <w:w w:val="95"/>
          <w:sz w:val="21"/>
        </w:rPr>
        <w:t>3．如何申请领取保险金</w:t>
      </w:r>
    </w:p>
    <w:p>
      <w:pPr>
        <w:pStyle w:val="BodyText"/>
        <w:rPr>
          <w:rFonts w:ascii="微软雅黑"/>
          <w:b/>
          <w:sz w:val="20"/>
        </w:rPr>
      </w:pPr>
      <w:r>
        <w:rPr/>
        <w:br w:type="column"/>
      </w:r>
      <w:r>
        <w:rPr>
          <w:rFonts w:ascii="微软雅黑"/>
          <w:b/>
          <w:sz w:val="20"/>
        </w:rPr>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4"/>
        <w:rPr>
          <w:rFonts w:ascii="微软雅黑"/>
          <w:b/>
          <w:sz w:val="19"/>
        </w:rPr>
      </w:pPr>
    </w:p>
    <w:p>
      <w:pPr>
        <w:spacing w:before="0"/>
        <w:ind w:left="787" w:right="0" w:firstLine="0"/>
        <w:jc w:val="left"/>
        <w:rPr>
          <w:rFonts w:ascii="微软雅黑" w:eastAsia="微软雅黑" w:hint="eastAsia"/>
          <w:b/>
          <w:sz w:val="21"/>
        </w:rPr>
      </w:pPr>
      <w:r>
        <w:rPr>
          <w:rFonts w:ascii="微软雅黑" w:eastAsia="微软雅黑" w:hint="eastAsia"/>
          <w:b/>
          <w:w w:val="95"/>
          <w:sz w:val="21"/>
        </w:rPr>
        <w:t>7．如何解除保险合同</w:t>
      </w:r>
    </w:p>
    <w:p>
      <w:pPr>
        <w:pStyle w:val="BodyText"/>
        <w:spacing w:before="40"/>
        <w:ind w:left="787"/>
      </w:pPr>
      <w:r>
        <w:rPr/>
        <w:t>7.1 合同解除</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ListParagraph"/>
        <w:numPr>
          <w:ilvl w:val="1"/>
          <w:numId w:val="2"/>
        </w:numPr>
        <w:tabs>
          <w:tab w:pos="1434" w:val="left" w:leader="none"/>
        </w:tabs>
        <w:spacing w:line="240" w:lineRule="auto" w:before="0" w:after="0"/>
        <w:ind w:left="1433" w:right="0" w:hanging="528"/>
        <w:jc w:val="left"/>
        <w:rPr>
          <w:sz w:val="21"/>
        </w:rPr>
      </w:pPr>
      <w:r>
        <w:rPr>
          <w:spacing w:val="-2"/>
          <w:sz w:val="21"/>
        </w:rPr>
        <w:t>酒后驾驶</w:t>
      </w:r>
    </w:p>
    <w:p>
      <w:pPr>
        <w:pStyle w:val="ListParagraph"/>
        <w:numPr>
          <w:ilvl w:val="1"/>
          <w:numId w:val="2"/>
        </w:numPr>
        <w:tabs>
          <w:tab w:pos="1434" w:val="left" w:leader="none"/>
        </w:tabs>
        <w:spacing w:line="240" w:lineRule="auto" w:before="8" w:after="0"/>
        <w:ind w:left="1433" w:right="0" w:hanging="528"/>
        <w:jc w:val="left"/>
        <w:rPr>
          <w:sz w:val="21"/>
        </w:rPr>
      </w:pPr>
      <w:r>
        <w:rPr>
          <w:spacing w:val="-3"/>
          <w:sz w:val="21"/>
        </w:rPr>
        <w:t>无有效驾驶证驾驶</w:t>
      </w:r>
    </w:p>
    <w:p>
      <w:pPr>
        <w:pStyle w:val="ListParagraph"/>
        <w:numPr>
          <w:ilvl w:val="1"/>
          <w:numId w:val="2"/>
        </w:numPr>
        <w:tabs>
          <w:tab w:pos="1434" w:val="left" w:leader="none"/>
        </w:tabs>
        <w:spacing w:line="240" w:lineRule="auto" w:before="3" w:after="0"/>
        <w:ind w:left="1433" w:right="0" w:hanging="528"/>
        <w:jc w:val="left"/>
        <w:rPr>
          <w:sz w:val="21"/>
        </w:rPr>
      </w:pPr>
      <w:r>
        <w:rPr/>
        <w:pict>
          <v:shape style="position:absolute;margin-left:81.764pt;margin-top:15.33867pt;width:450.35pt;height:73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01"/>
                    <w:gridCol w:w="3347"/>
                    <w:gridCol w:w="909"/>
                    <w:gridCol w:w="2232"/>
                  </w:tblGrid>
                  <w:tr>
                    <w:trPr>
                      <w:trHeight w:val="261" w:hRule="atLeast"/>
                    </w:trPr>
                    <w:tc>
                      <w:tcPr>
                        <w:tcW w:w="420" w:type="dxa"/>
                      </w:tcPr>
                      <w:p>
                        <w:pPr>
                          <w:pStyle w:val="TableParagraph"/>
                          <w:spacing w:line="211" w:lineRule="exact"/>
                          <w:ind w:left="32" w:right="33"/>
                          <w:jc w:val="center"/>
                          <w:rPr>
                            <w:sz w:val="21"/>
                          </w:rPr>
                        </w:pPr>
                        <w:r>
                          <w:rPr>
                            <w:sz w:val="21"/>
                          </w:rPr>
                          <w:t>3.1</w:t>
                        </w:r>
                      </w:p>
                    </w:tc>
                    <w:tc>
                      <w:tcPr>
                        <w:tcW w:w="2101" w:type="dxa"/>
                      </w:tcPr>
                      <w:p>
                        <w:pPr>
                          <w:pStyle w:val="TableParagraph"/>
                          <w:spacing w:line="211" w:lineRule="exact"/>
                          <w:ind w:left="52"/>
                          <w:rPr>
                            <w:sz w:val="21"/>
                          </w:rPr>
                        </w:pPr>
                        <w:r>
                          <w:rPr>
                            <w:sz w:val="21"/>
                          </w:rPr>
                          <w:t>受益人</w:t>
                        </w:r>
                      </w:p>
                    </w:tc>
                    <w:tc>
                      <w:tcPr>
                        <w:tcW w:w="3347" w:type="dxa"/>
                      </w:tcPr>
                      <w:p>
                        <w:pPr>
                          <w:pStyle w:val="TableParagraph"/>
                          <w:ind w:left="0"/>
                          <w:rPr>
                            <w:rFonts w:ascii="Times New Roman"/>
                            <w:sz w:val="18"/>
                          </w:rPr>
                        </w:pPr>
                      </w:p>
                    </w:tc>
                    <w:tc>
                      <w:tcPr>
                        <w:tcW w:w="909" w:type="dxa"/>
                      </w:tcPr>
                      <w:p>
                        <w:pPr>
                          <w:pStyle w:val="TableParagraph"/>
                          <w:spacing w:line="242" w:lineRule="exact"/>
                          <w:ind w:left="0" w:right="26"/>
                          <w:jc w:val="right"/>
                          <w:rPr>
                            <w:sz w:val="21"/>
                          </w:rPr>
                        </w:pPr>
                        <w:r>
                          <w:rPr>
                            <w:sz w:val="21"/>
                          </w:rPr>
                          <w:t>9.14</w:t>
                        </w:r>
                      </w:p>
                    </w:tc>
                    <w:tc>
                      <w:tcPr>
                        <w:tcW w:w="2232" w:type="dxa"/>
                      </w:tcPr>
                      <w:p>
                        <w:pPr>
                          <w:pStyle w:val="TableParagraph"/>
                          <w:spacing w:line="242" w:lineRule="exact"/>
                          <w:ind w:left="77"/>
                          <w:rPr>
                            <w:sz w:val="21"/>
                          </w:rPr>
                        </w:pPr>
                        <w:r>
                          <w:rPr>
                            <w:sz w:val="21"/>
                          </w:rPr>
                          <w:t>机动车</w:t>
                        </w:r>
                      </w:p>
                    </w:tc>
                  </w:tr>
                  <w:tr>
                    <w:trPr>
                      <w:trHeight w:val="307" w:hRule="atLeast"/>
                    </w:trPr>
                    <w:tc>
                      <w:tcPr>
                        <w:tcW w:w="420" w:type="dxa"/>
                      </w:tcPr>
                      <w:p>
                        <w:pPr>
                          <w:pStyle w:val="TableParagraph"/>
                          <w:spacing w:line="261" w:lineRule="exact"/>
                          <w:ind w:left="32" w:right="33"/>
                          <w:jc w:val="center"/>
                          <w:rPr>
                            <w:sz w:val="21"/>
                          </w:rPr>
                        </w:pPr>
                        <w:r>
                          <w:rPr>
                            <w:sz w:val="21"/>
                          </w:rPr>
                          <w:t>3.2</w:t>
                        </w:r>
                      </w:p>
                    </w:tc>
                    <w:tc>
                      <w:tcPr>
                        <w:tcW w:w="2101" w:type="dxa"/>
                      </w:tcPr>
                      <w:p>
                        <w:pPr>
                          <w:pStyle w:val="TableParagraph"/>
                          <w:spacing w:line="261" w:lineRule="exact"/>
                          <w:ind w:left="52"/>
                          <w:rPr>
                            <w:sz w:val="21"/>
                          </w:rPr>
                        </w:pPr>
                        <w:r>
                          <w:rPr>
                            <w:sz w:val="21"/>
                          </w:rPr>
                          <w:t>保险事故通知</w:t>
                        </w:r>
                      </w:p>
                    </w:tc>
                    <w:tc>
                      <w:tcPr>
                        <w:tcW w:w="3347" w:type="dxa"/>
                      </w:tcPr>
                      <w:p>
                        <w:pPr>
                          <w:pStyle w:val="TableParagraph"/>
                          <w:spacing w:line="248" w:lineRule="exact"/>
                          <w:ind w:left="573"/>
                          <w:rPr>
                            <w:rFonts w:ascii="微软雅黑" w:eastAsia="微软雅黑" w:hint="eastAsia"/>
                            <w:b/>
                            <w:sz w:val="21"/>
                          </w:rPr>
                        </w:pPr>
                        <w:r>
                          <w:rPr>
                            <w:rFonts w:ascii="微软雅黑" w:eastAsia="微软雅黑" w:hint="eastAsia"/>
                            <w:b/>
                            <w:w w:val="95"/>
                            <w:sz w:val="21"/>
                          </w:rPr>
                          <w:t>8．其他需要关注的事项</w:t>
                        </w:r>
                      </w:p>
                    </w:tc>
                    <w:tc>
                      <w:tcPr>
                        <w:tcW w:w="909" w:type="dxa"/>
                      </w:tcPr>
                      <w:p>
                        <w:pPr>
                          <w:pStyle w:val="TableParagraph"/>
                          <w:spacing w:line="271" w:lineRule="exact"/>
                          <w:ind w:left="0" w:right="26"/>
                          <w:jc w:val="right"/>
                          <w:rPr>
                            <w:sz w:val="21"/>
                          </w:rPr>
                        </w:pPr>
                        <w:r>
                          <w:rPr>
                            <w:sz w:val="21"/>
                          </w:rPr>
                          <w:t>9.15</w:t>
                        </w:r>
                      </w:p>
                    </w:tc>
                    <w:tc>
                      <w:tcPr>
                        <w:tcW w:w="2232" w:type="dxa"/>
                      </w:tcPr>
                      <w:p>
                        <w:pPr>
                          <w:pStyle w:val="TableParagraph"/>
                          <w:spacing w:line="271" w:lineRule="exact"/>
                          <w:ind w:left="77"/>
                          <w:rPr>
                            <w:sz w:val="21"/>
                          </w:rPr>
                        </w:pPr>
                        <w:r>
                          <w:rPr>
                            <w:sz w:val="21"/>
                          </w:rPr>
                          <w:t>助动交通工具</w:t>
                        </w:r>
                      </w:p>
                    </w:tc>
                  </w:tr>
                  <w:tr>
                    <w:trPr>
                      <w:trHeight w:val="307" w:hRule="atLeast"/>
                    </w:trPr>
                    <w:tc>
                      <w:tcPr>
                        <w:tcW w:w="420" w:type="dxa"/>
                      </w:tcPr>
                      <w:p>
                        <w:pPr>
                          <w:pStyle w:val="TableParagraph"/>
                          <w:spacing w:line="266" w:lineRule="exact"/>
                          <w:ind w:left="32" w:right="33"/>
                          <w:jc w:val="center"/>
                          <w:rPr>
                            <w:sz w:val="21"/>
                          </w:rPr>
                        </w:pPr>
                        <w:r>
                          <w:rPr>
                            <w:sz w:val="21"/>
                          </w:rPr>
                          <w:t>3.3</w:t>
                        </w:r>
                      </w:p>
                    </w:tc>
                    <w:tc>
                      <w:tcPr>
                        <w:tcW w:w="2101" w:type="dxa"/>
                      </w:tcPr>
                      <w:p>
                        <w:pPr>
                          <w:pStyle w:val="TableParagraph"/>
                          <w:spacing w:line="266" w:lineRule="exact"/>
                          <w:ind w:left="52"/>
                          <w:rPr>
                            <w:sz w:val="21"/>
                          </w:rPr>
                        </w:pPr>
                        <w:r>
                          <w:rPr>
                            <w:sz w:val="21"/>
                          </w:rPr>
                          <w:t>保险金申请</w:t>
                        </w:r>
                      </w:p>
                    </w:tc>
                    <w:tc>
                      <w:tcPr>
                        <w:tcW w:w="3347" w:type="dxa"/>
                      </w:tcPr>
                      <w:p>
                        <w:pPr>
                          <w:pStyle w:val="TableParagraph"/>
                          <w:spacing w:line="257" w:lineRule="exact"/>
                          <w:ind w:left="573"/>
                          <w:rPr>
                            <w:sz w:val="21"/>
                          </w:rPr>
                        </w:pPr>
                        <w:r>
                          <w:rPr>
                            <w:sz w:val="21"/>
                          </w:rPr>
                          <w:t>8.1 如实告知</w:t>
                        </w:r>
                      </w:p>
                    </w:tc>
                    <w:tc>
                      <w:tcPr>
                        <w:tcW w:w="909" w:type="dxa"/>
                      </w:tcPr>
                      <w:p>
                        <w:pPr>
                          <w:pStyle w:val="TableParagraph"/>
                          <w:spacing w:line="247" w:lineRule="exact"/>
                          <w:ind w:left="0" w:right="26"/>
                          <w:jc w:val="right"/>
                          <w:rPr>
                            <w:sz w:val="21"/>
                          </w:rPr>
                        </w:pPr>
                        <w:r>
                          <w:rPr>
                            <w:sz w:val="21"/>
                          </w:rPr>
                          <w:t>9.16</w:t>
                        </w:r>
                      </w:p>
                    </w:tc>
                    <w:tc>
                      <w:tcPr>
                        <w:tcW w:w="2232" w:type="dxa"/>
                      </w:tcPr>
                      <w:p>
                        <w:pPr>
                          <w:pStyle w:val="TableParagraph"/>
                          <w:spacing w:line="247" w:lineRule="exact"/>
                          <w:ind w:left="77"/>
                          <w:rPr>
                            <w:sz w:val="21"/>
                          </w:rPr>
                        </w:pPr>
                        <w:r>
                          <w:rPr>
                            <w:sz w:val="21"/>
                          </w:rPr>
                          <w:t>感染艾滋病病毒或患艾</w:t>
                        </w:r>
                      </w:p>
                    </w:tc>
                  </w:tr>
                  <w:tr>
                    <w:trPr>
                      <w:trHeight w:val="312" w:hRule="atLeast"/>
                    </w:trPr>
                    <w:tc>
                      <w:tcPr>
                        <w:tcW w:w="420" w:type="dxa"/>
                      </w:tcPr>
                      <w:p>
                        <w:pPr>
                          <w:pStyle w:val="TableParagraph"/>
                          <w:spacing w:line="271" w:lineRule="exact"/>
                          <w:ind w:left="32" w:right="33"/>
                          <w:jc w:val="center"/>
                          <w:rPr>
                            <w:sz w:val="21"/>
                          </w:rPr>
                        </w:pPr>
                        <w:r>
                          <w:rPr>
                            <w:sz w:val="21"/>
                          </w:rPr>
                          <w:t>3.4</w:t>
                        </w:r>
                      </w:p>
                    </w:tc>
                    <w:tc>
                      <w:tcPr>
                        <w:tcW w:w="2101" w:type="dxa"/>
                      </w:tcPr>
                      <w:p>
                        <w:pPr>
                          <w:pStyle w:val="TableParagraph"/>
                          <w:spacing w:line="271" w:lineRule="exact"/>
                          <w:ind w:left="52"/>
                          <w:rPr>
                            <w:sz w:val="21"/>
                          </w:rPr>
                        </w:pPr>
                        <w:r>
                          <w:rPr>
                            <w:sz w:val="21"/>
                          </w:rPr>
                          <w:t>保险金给付</w:t>
                        </w:r>
                      </w:p>
                    </w:tc>
                    <w:tc>
                      <w:tcPr>
                        <w:tcW w:w="3347" w:type="dxa"/>
                      </w:tcPr>
                      <w:p>
                        <w:pPr>
                          <w:pStyle w:val="TableParagraph"/>
                          <w:spacing w:line="261" w:lineRule="exact"/>
                          <w:ind w:left="573"/>
                          <w:rPr>
                            <w:sz w:val="21"/>
                          </w:rPr>
                        </w:pPr>
                        <w:r>
                          <w:rPr>
                            <w:sz w:val="21"/>
                          </w:rPr>
                          <w:t>8.2 年龄确定与错误处理</w:t>
                        </w:r>
                      </w:p>
                    </w:tc>
                    <w:tc>
                      <w:tcPr>
                        <w:tcW w:w="909" w:type="dxa"/>
                      </w:tcPr>
                      <w:p>
                        <w:pPr>
                          <w:pStyle w:val="TableParagraph"/>
                          <w:ind w:left="0"/>
                          <w:rPr>
                            <w:rFonts w:ascii="Times New Roman"/>
                            <w:sz w:val="20"/>
                          </w:rPr>
                        </w:pPr>
                      </w:p>
                    </w:tc>
                    <w:tc>
                      <w:tcPr>
                        <w:tcW w:w="2232" w:type="dxa"/>
                      </w:tcPr>
                      <w:p>
                        <w:pPr>
                          <w:pStyle w:val="TableParagraph"/>
                          <w:spacing w:line="252" w:lineRule="exact"/>
                          <w:ind w:left="72"/>
                          <w:rPr>
                            <w:sz w:val="21"/>
                          </w:rPr>
                        </w:pPr>
                        <w:r>
                          <w:rPr>
                            <w:sz w:val="21"/>
                          </w:rPr>
                          <w:t>滋病</w:t>
                        </w:r>
                      </w:p>
                    </w:tc>
                  </w:tr>
                  <w:tr>
                    <w:trPr>
                      <w:trHeight w:val="271" w:hRule="atLeast"/>
                    </w:trPr>
                    <w:tc>
                      <w:tcPr>
                        <w:tcW w:w="420" w:type="dxa"/>
                      </w:tcPr>
                      <w:p>
                        <w:pPr>
                          <w:pStyle w:val="TableParagraph"/>
                          <w:spacing w:line="251" w:lineRule="exact"/>
                          <w:ind w:left="32" w:right="33"/>
                          <w:jc w:val="center"/>
                          <w:rPr>
                            <w:sz w:val="21"/>
                          </w:rPr>
                        </w:pPr>
                        <w:r>
                          <w:rPr>
                            <w:sz w:val="21"/>
                          </w:rPr>
                          <w:t>3.5</w:t>
                        </w:r>
                      </w:p>
                    </w:tc>
                    <w:tc>
                      <w:tcPr>
                        <w:tcW w:w="2101" w:type="dxa"/>
                      </w:tcPr>
                      <w:p>
                        <w:pPr>
                          <w:pStyle w:val="TableParagraph"/>
                          <w:spacing w:line="251" w:lineRule="exact"/>
                          <w:ind w:left="52"/>
                          <w:rPr>
                            <w:sz w:val="21"/>
                          </w:rPr>
                        </w:pPr>
                        <w:r>
                          <w:rPr>
                            <w:sz w:val="21"/>
                          </w:rPr>
                          <w:t>保险金申请时效</w:t>
                        </w:r>
                      </w:p>
                    </w:tc>
                    <w:tc>
                      <w:tcPr>
                        <w:tcW w:w="3347" w:type="dxa"/>
                      </w:tcPr>
                      <w:p>
                        <w:pPr>
                          <w:pStyle w:val="TableParagraph"/>
                          <w:spacing w:line="251" w:lineRule="exact"/>
                          <w:ind w:left="573"/>
                          <w:rPr>
                            <w:sz w:val="21"/>
                          </w:rPr>
                        </w:pPr>
                        <w:r>
                          <w:rPr>
                            <w:sz w:val="21"/>
                          </w:rPr>
                          <w:t>8.3 未还款项</w:t>
                        </w:r>
                      </w:p>
                    </w:tc>
                    <w:tc>
                      <w:tcPr>
                        <w:tcW w:w="909" w:type="dxa"/>
                      </w:tcPr>
                      <w:p>
                        <w:pPr>
                          <w:pStyle w:val="TableParagraph"/>
                          <w:spacing w:line="251" w:lineRule="exact"/>
                          <w:ind w:left="0" w:right="26"/>
                          <w:jc w:val="right"/>
                          <w:rPr>
                            <w:sz w:val="21"/>
                          </w:rPr>
                        </w:pPr>
                        <w:r>
                          <w:rPr>
                            <w:sz w:val="21"/>
                          </w:rPr>
                          <w:t>9.17</w:t>
                        </w:r>
                      </w:p>
                    </w:tc>
                    <w:tc>
                      <w:tcPr>
                        <w:tcW w:w="2232" w:type="dxa"/>
                      </w:tcPr>
                      <w:p>
                        <w:pPr>
                          <w:pStyle w:val="TableParagraph"/>
                          <w:spacing w:line="251" w:lineRule="exact"/>
                          <w:ind w:left="24"/>
                          <w:rPr>
                            <w:sz w:val="21"/>
                          </w:rPr>
                        </w:pPr>
                        <w:r>
                          <w:rPr>
                            <w:sz w:val="21"/>
                          </w:rPr>
                          <w:t>恐怖活动</w:t>
                        </w:r>
                      </w:p>
                    </w:tc>
                  </w:tr>
                </w:tbl>
                <w:p>
                  <w:pPr>
                    <w:pStyle w:val="BodyText"/>
                  </w:pPr>
                </w:p>
              </w:txbxContent>
            </v:textbox>
            <w10:wrap type="none"/>
          </v:shape>
        </w:pict>
      </w:r>
      <w:r>
        <w:rPr>
          <w:spacing w:val="-2"/>
          <w:sz w:val="21"/>
        </w:rPr>
        <w:t>无有效行驶证</w:t>
      </w:r>
    </w:p>
    <w:p>
      <w:pPr>
        <w:spacing w:after="0" w:line="240" w:lineRule="auto"/>
        <w:jc w:val="left"/>
        <w:rPr>
          <w:sz w:val="21"/>
        </w:rPr>
        <w:sectPr>
          <w:type w:val="continuous"/>
          <w:pgSz w:w="11910" w:h="16840"/>
          <w:pgMar w:top="1240" w:bottom="280" w:left="780" w:right="660"/>
          <w:cols w:num="3" w:equalWidth="0">
            <w:col w:w="3123" w:space="40"/>
            <w:col w:w="2794" w:space="319"/>
            <w:col w:w="4194"/>
          </w:cols>
        </w:sect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1240" w:bottom="280" w:left="780" w:right="660"/>
        </w:sectPr>
      </w:pPr>
    </w:p>
    <w:p>
      <w:pPr>
        <w:pStyle w:val="BodyText"/>
        <w:rPr>
          <w:sz w:val="20"/>
        </w:rPr>
      </w:pPr>
    </w:p>
    <w:p>
      <w:pPr>
        <w:pStyle w:val="BodyText"/>
        <w:spacing w:before="12"/>
        <w:rPr>
          <w:sz w:val="16"/>
        </w:rPr>
      </w:pPr>
    </w:p>
    <w:p>
      <w:pPr>
        <w:spacing w:before="0"/>
        <w:ind w:left="905" w:right="0" w:firstLine="0"/>
        <w:jc w:val="left"/>
        <w:rPr>
          <w:rFonts w:ascii="微软雅黑" w:eastAsia="微软雅黑" w:hint="eastAsia"/>
          <w:b/>
          <w:sz w:val="21"/>
        </w:rPr>
      </w:pPr>
      <w:r>
        <w:rPr>
          <w:rFonts w:ascii="微软雅黑" w:eastAsia="微软雅黑" w:hint="eastAsia"/>
          <w:b/>
          <w:w w:val="95"/>
          <w:sz w:val="21"/>
        </w:rPr>
        <w:t>4．如何交纳保险费</w:t>
      </w:r>
    </w:p>
    <w:p>
      <w:pPr>
        <w:pStyle w:val="ListParagraph"/>
        <w:numPr>
          <w:ilvl w:val="1"/>
          <w:numId w:val="3"/>
        </w:numPr>
        <w:tabs>
          <w:tab w:pos="1329" w:val="left" w:leader="none"/>
        </w:tabs>
        <w:spacing w:line="240" w:lineRule="auto" w:before="11" w:after="0"/>
        <w:ind w:left="1328" w:right="0" w:hanging="423"/>
        <w:jc w:val="left"/>
        <w:rPr>
          <w:sz w:val="21"/>
        </w:rPr>
      </w:pPr>
      <w:r>
        <w:rPr>
          <w:sz w:val="21"/>
        </w:rPr>
        <w:t>保险费</w:t>
      </w:r>
    </w:p>
    <w:p>
      <w:pPr>
        <w:pStyle w:val="ListParagraph"/>
        <w:numPr>
          <w:ilvl w:val="1"/>
          <w:numId w:val="3"/>
        </w:numPr>
        <w:tabs>
          <w:tab w:pos="1329" w:val="left" w:leader="none"/>
        </w:tabs>
        <w:spacing w:line="240" w:lineRule="auto" w:before="37" w:after="0"/>
        <w:ind w:left="1328" w:right="0" w:hanging="423"/>
        <w:jc w:val="left"/>
        <w:rPr>
          <w:sz w:val="21"/>
        </w:rPr>
      </w:pPr>
      <w:r>
        <w:rPr>
          <w:spacing w:val="-2"/>
          <w:sz w:val="21"/>
        </w:rPr>
        <w:t>保险费率的调整</w:t>
      </w:r>
    </w:p>
    <w:p>
      <w:pPr>
        <w:pStyle w:val="ListParagraph"/>
        <w:numPr>
          <w:ilvl w:val="1"/>
          <w:numId w:val="3"/>
        </w:numPr>
        <w:tabs>
          <w:tab w:pos="1329" w:val="left" w:leader="none"/>
        </w:tabs>
        <w:spacing w:line="240" w:lineRule="auto" w:before="37" w:after="0"/>
        <w:ind w:left="1328" w:right="0" w:hanging="423"/>
        <w:jc w:val="left"/>
        <w:rPr>
          <w:sz w:val="21"/>
        </w:rPr>
      </w:pPr>
      <w:r>
        <w:rPr>
          <w:sz w:val="21"/>
        </w:rPr>
        <w:t>宽限期</w:t>
      </w:r>
    </w:p>
    <w:p>
      <w:pPr>
        <w:pStyle w:val="BodyText"/>
        <w:spacing w:before="2"/>
        <w:rPr>
          <w:sz w:val="17"/>
        </w:rPr>
      </w:pPr>
      <w:r>
        <w:rPr/>
        <w:br w:type="column"/>
      </w:r>
      <w:r>
        <w:rPr>
          <w:sz w:val="17"/>
        </w:rPr>
      </w:r>
    </w:p>
    <w:p>
      <w:pPr>
        <w:pStyle w:val="ListParagraph"/>
        <w:numPr>
          <w:ilvl w:val="1"/>
          <w:numId w:val="4"/>
        </w:numPr>
        <w:tabs>
          <w:tab w:pos="1328" w:val="left" w:leader="none"/>
        </w:tabs>
        <w:spacing w:line="240" w:lineRule="auto" w:before="0" w:after="0"/>
        <w:ind w:left="1327" w:right="0" w:hanging="422"/>
        <w:jc w:val="left"/>
        <w:rPr>
          <w:sz w:val="21"/>
        </w:rPr>
      </w:pPr>
      <w:r>
        <w:rPr>
          <w:spacing w:val="-2"/>
          <w:sz w:val="21"/>
        </w:rPr>
        <w:t>合同内容变更</w:t>
      </w:r>
    </w:p>
    <w:p>
      <w:pPr>
        <w:pStyle w:val="ListParagraph"/>
        <w:numPr>
          <w:ilvl w:val="1"/>
          <w:numId w:val="4"/>
        </w:numPr>
        <w:tabs>
          <w:tab w:pos="1328" w:val="left" w:leader="none"/>
        </w:tabs>
        <w:spacing w:line="240" w:lineRule="auto" w:before="37" w:after="0"/>
        <w:ind w:left="1327" w:right="0" w:hanging="422"/>
        <w:jc w:val="left"/>
        <w:rPr>
          <w:sz w:val="21"/>
        </w:rPr>
      </w:pPr>
      <w:r>
        <w:rPr>
          <w:spacing w:val="-2"/>
          <w:sz w:val="21"/>
        </w:rPr>
        <w:t>地址变更</w:t>
      </w:r>
    </w:p>
    <w:p>
      <w:pPr>
        <w:pStyle w:val="ListParagraph"/>
        <w:numPr>
          <w:ilvl w:val="1"/>
          <w:numId w:val="4"/>
        </w:numPr>
        <w:tabs>
          <w:tab w:pos="1328" w:val="left" w:leader="none"/>
        </w:tabs>
        <w:spacing w:line="240" w:lineRule="auto" w:before="37" w:after="0"/>
        <w:ind w:left="1327" w:right="0" w:hanging="422"/>
        <w:jc w:val="left"/>
        <w:rPr>
          <w:sz w:val="21"/>
        </w:rPr>
      </w:pPr>
      <w:r>
        <w:rPr>
          <w:spacing w:val="-2"/>
          <w:sz w:val="21"/>
        </w:rPr>
        <w:t>争议处理</w:t>
      </w:r>
    </w:p>
    <w:p>
      <w:pPr>
        <w:pStyle w:val="BodyText"/>
        <w:spacing w:before="5"/>
        <w:rPr>
          <w:sz w:val="16"/>
        </w:rPr>
      </w:pPr>
      <w:r>
        <w:rPr/>
        <w:br w:type="column"/>
      </w:r>
      <w:r>
        <w:rPr>
          <w:sz w:val="16"/>
        </w:rPr>
      </w:r>
    </w:p>
    <w:p>
      <w:pPr>
        <w:pStyle w:val="ListParagraph"/>
        <w:numPr>
          <w:ilvl w:val="1"/>
          <w:numId w:val="5"/>
        </w:numPr>
        <w:tabs>
          <w:tab w:pos="1434" w:val="left" w:leader="none"/>
        </w:tabs>
        <w:spacing w:line="240" w:lineRule="auto" w:before="0" w:after="0"/>
        <w:ind w:left="1433" w:right="0" w:hanging="528"/>
        <w:jc w:val="left"/>
        <w:rPr>
          <w:sz w:val="21"/>
        </w:rPr>
      </w:pPr>
      <w:r>
        <w:rPr>
          <w:spacing w:val="-2"/>
          <w:sz w:val="21"/>
        </w:rPr>
        <w:t>现金价值</w:t>
      </w:r>
    </w:p>
    <w:p>
      <w:pPr>
        <w:pStyle w:val="ListParagraph"/>
        <w:numPr>
          <w:ilvl w:val="1"/>
          <w:numId w:val="5"/>
        </w:numPr>
        <w:tabs>
          <w:tab w:pos="1434" w:val="left" w:leader="none"/>
        </w:tabs>
        <w:spacing w:line="240" w:lineRule="auto" w:before="36" w:after="0"/>
        <w:ind w:left="1433" w:right="0" w:hanging="528"/>
        <w:jc w:val="left"/>
        <w:rPr>
          <w:sz w:val="21"/>
        </w:rPr>
      </w:pPr>
      <w:r>
        <w:rPr>
          <w:spacing w:val="-2"/>
          <w:sz w:val="21"/>
        </w:rPr>
        <w:t>保险事故</w:t>
      </w:r>
    </w:p>
    <w:p>
      <w:pPr>
        <w:pStyle w:val="ListParagraph"/>
        <w:numPr>
          <w:ilvl w:val="1"/>
          <w:numId w:val="5"/>
        </w:numPr>
        <w:tabs>
          <w:tab w:pos="1434" w:val="left" w:leader="none"/>
        </w:tabs>
        <w:spacing w:line="240" w:lineRule="auto" w:before="36" w:after="0"/>
        <w:ind w:left="1433" w:right="0" w:hanging="528"/>
        <w:jc w:val="left"/>
        <w:rPr>
          <w:sz w:val="21"/>
        </w:rPr>
      </w:pPr>
      <w:r>
        <w:rPr>
          <w:spacing w:val="-2"/>
          <w:sz w:val="21"/>
        </w:rPr>
        <w:t>不可抗力</w:t>
      </w:r>
    </w:p>
    <w:p>
      <w:pPr>
        <w:pStyle w:val="ListParagraph"/>
        <w:numPr>
          <w:ilvl w:val="1"/>
          <w:numId w:val="5"/>
        </w:numPr>
        <w:tabs>
          <w:tab w:pos="1434" w:val="left" w:leader="none"/>
        </w:tabs>
        <w:spacing w:line="240" w:lineRule="auto" w:before="36" w:after="0"/>
        <w:ind w:left="1433" w:right="0" w:hanging="528"/>
        <w:jc w:val="left"/>
        <w:rPr>
          <w:sz w:val="21"/>
        </w:rPr>
      </w:pPr>
      <w:r>
        <w:rPr>
          <w:spacing w:val="-2"/>
          <w:sz w:val="21"/>
        </w:rPr>
        <w:t>法定身份证明</w:t>
      </w:r>
    </w:p>
    <w:p>
      <w:pPr>
        <w:pStyle w:val="ListParagraph"/>
        <w:numPr>
          <w:ilvl w:val="1"/>
          <w:numId w:val="5"/>
        </w:numPr>
        <w:tabs>
          <w:tab w:pos="1434" w:val="left" w:leader="none"/>
        </w:tabs>
        <w:spacing w:line="240" w:lineRule="auto" w:before="36" w:after="0"/>
        <w:ind w:left="1433" w:right="0" w:hanging="528"/>
        <w:jc w:val="left"/>
        <w:rPr>
          <w:sz w:val="21"/>
        </w:rPr>
      </w:pPr>
      <w:r>
        <w:rPr>
          <w:spacing w:val="-2"/>
          <w:sz w:val="21"/>
        </w:rPr>
        <w:t>约定利率</w:t>
      </w:r>
    </w:p>
    <w:p>
      <w:pPr>
        <w:spacing w:after="0" w:line="240" w:lineRule="auto"/>
        <w:jc w:val="left"/>
        <w:rPr>
          <w:sz w:val="21"/>
        </w:rPr>
        <w:sectPr>
          <w:type w:val="continuous"/>
          <w:pgSz w:w="11910" w:h="16840"/>
          <w:pgMar w:top="1240" w:bottom="280" w:left="780" w:right="660"/>
          <w:cols w:num="3" w:equalWidth="0">
            <w:col w:w="2802" w:space="242"/>
            <w:col w:w="2591" w:space="641"/>
            <w:col w:w="4194"/>
          </w:cols>
        </w:sectPr>
      </w:pPr>
    </w:p>
    <w:p>
      <w:pPr>
        <w:pStyle w:val="Heading1"/>
        <w:spacing w:line="225" w:lineRule="auto" w:before="6"/>
        <w:ind w:left="2907" w:right="2891" w:firstLine="321"/>
        <w:jc w:val="left"/>
      </w:pPr>
      <w:r>
        <w:rPr/>
        <w:t>正德人寿保险股份有限公司 </w:t>
      </w:r>
      <w:r>
        <w:rPr>
          <w:spacing w:val="-3"/>
        </w:rPr>
        <w:t>正德附加重大疾病保险 </w:t>
      </w:r>
      <w:r>
        <w:rPr/>
        <w:t>B</w:t>
      </w:r>
      <w:r>
        <w:rPr>
          <w:spacing w:val="-9"/>
        </w:rPr>
        <w:t> 款条款</w:t>
      </w:r>
    </w:p>
    <w:p>
      <w:pPr>
        <w:pStyle w:val="BodyText"/>
        <w:rPr>
          <w:rFonts w:ascii="微软雅黑"/>
          <w:b/>
          <w:sz w:val="20"/>
        </w:rPr>
      </w:pPr>
    </w:p>
    <w:p>
      <w:pPr>
        <w:pStyle w:val="BodyText"/>
        <w:spacing w:before="4"/>
        <w:rPr>
          <w:rFonts w:ascii="微软雅黑"/>
          <w:b/>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2060"/>
        <w:gridCol w:w="7388"/>
      </w:tblGrid>
      <w:tr>
        <w:trPr>
          <w:trHeight w:val="483" w:hRule="atLeast"/>
        </w:trPr>
        <w:tc>
          <w:tcPr>
            <w:tcW w:w="641" w:type="dxa"/>
            <w:tcBorders>
              <w:bottom w:val="single" w:sz="4" w:space="0" w:color="000000"/>
            </w:tcBorders>
          </w:tcPr>
          <w:p>
            <w:pPr>
              <w:pStyle w:val="TableParagraph"/>
              <w:spacing w:line="356" w:lineRule="exact"/>
              <w:ind w:left="110"/>
              <w:rPr>
                <w:rFonts w:ascii="Times New Roman"/>
                <w:b/>
                <w:sz w:val="32"/>
              </w:rPr>
            </w:pPr>
            <w:r>
              <w:rPr>
                <w:rFonts w:ascii="Times New Roman"/>
                <w:b/>
                <w:w w:val="100"/>
                <w:sz w:val="32"/>
              </w:rPr>
              <w:t>1</w:t>
            </w:r>
          </w:p>
        </w:tc>
        <w:tc>
          <w:tcPr>
            <w:tcW w:w="9448" w:type="dxa"/>
            <w:gridSpan w:val="2"/>
            <w:tcBorders>
              <w:bottom w:val="single" w:sz="4" w:space="0" w:color="000000"/>
            </w:tcBorders>
          </w:tcPr>
          <w:p>
            <w:pPr>
              <w:pStyle w:val="TableParagraph"/>
              <w:spacing w:line="321" w:lineRule="exact"/>
              <w:ind w:left="213"/>
              <w:rPr>
                <w:rFonts w:ascii="微软雅黑" w:eastAsia="微软雅黑" w:hint="eastAsia"/>
                <w:b/>
                <w:sz w:val="24"/>
              </w:rPr>
            </w:pPr>
            <w:r>
              <w:rPr>
                <w:rFonts w:ascii="微软雅黑" w:eastAsia="微软雅黑" w:hint="eastAsia"/>
                <w:b/>
                <w:sz w:val="24"/>
              </w:rPr>
              <w:t>投保人与本公司的合同</w:t>
            </w:r>
          </w:p>
        </w:tc>
      </w:tr>
      <w:tr>
        <w:trPr>
          <w:trHeight w:val="2523" w:hRule="atLeast"/>
        </w:trPr>
        <w:tc>
          <w:tcPr>
            <w:tcW w:w="641" w:type="dxa"/>
            <w:tcBorders>
              <w:top w:val="single" w:sz="4" w:space="0" w:color="000000"/>
            </w:tcBorders>
          </w:tcPr>
          <w:p>
            <w:pPr>
              <w:pStyle w:val="TableParagraph"/>
              <w:spacing w:before="109"/>
              <w:ind w:left="110"/>
              <w:rPr>
                <w:rFonts w:ascii="微软雅黑"/>
                <w:b/>
                <w:sz w:val="21"/>
              </w:rPr>
            </w:pPr>
            <w:r>
              <w:rPr>
                <w:rFonts w:ascii="微软雅黑"/>
                <w:b/>
                <w:sz w:val="21"/>
              </w:rPr>
              <w:t>1.1</w:t>
            </w:r>
          </w:p>
        </w:tc>
        <w:tc>
          <w:tcPr>
            <w:tcW w:w="2060" w:type="dxa"/>
            <w:tcBorders>
              <w:top w:val="single" w:sz="4" w:space="0" w:color="000000"/>
            </w:tcBorders>
          </w:tcPr>
          <w:p>
            <w:pPr>
              <w:pStyle w:val="TableParagraph"/>
              <w:spacing w:before="109"/>
              <w:ind w:left="213"/>
              <w:rPr>
                <w:rFonts w:ascii="微软雅黑" w:eastAsia="微软雅黑" w:hint="eastAsia"/>
                <w:b/>
                <w:sz w:val="21"/>
              </w:rPr>
            </w:pPr>
            <w:r>
              <w:rPr>
                <w:rFonts w:ascii="微软雅黑" w:eastAsia="微软雅黑" w:hint="eastAsia"/>
                <w:b/>
                <w:sz w:val="21"/>
              </w:rPr>
              <w:t>合同构成</w:t>
            </w:r>
          </w:p>
        </w:tc>
        <w:tc>
          <w:tcPr>
            <w:tcW w:w="7388" w:type="dxa"/>
            <w:tcBorders>
              <w:top w:val="single" w:sz="4" w:space="0" w:color="000000"/>
            </w:tcBorders>
          </w:tcPr>
          <w:p>
            <w:pPr>
              <w:pStyle w:val="TableParagraph"/>
              <w:spacing w:before="119"/>
              <w:ind w:left="367"/>
              <w:rPr>
                <w:sz w:val="21"/>
              </w:rPr>
            </w:pPr>
            <w:r>
              <w:rPr>
                <w:spacing w:val="-6"/>
                <w:sz w:val="21"/>
              </w:rPr>
              <w:t>本附加险合同为不参与分红的附加险合同，是主险合同</w:t>
            </w:r>
            <w:r>
              <w:rPr>
                <w:sz w:val="21"/>
              </w:rPr>
              <w:t>（</w:t>
            </w:r>
            <w:r>
              <w:rPr>
                <w:spacing w:val="-7"/>
                <w:sz w:val="21"/>
              </w:rPr>
              <w:t>正德两全保险 </w:t>
            </w:r>
            <w:r>
              <w:rPr>
                <w:sz w:val="21"/>
              </w:rPr>
              <w:t>B</w:t>
            </w:r>
            <w:r>
              <w:rPr>
                <w:spacing w:val="-17"/>
                <w:sz w:val="21"/>
              </w:rPr>
              <w:t> 款</w:t>
            </w:r>
          </w:p>
          <w:p>
            <w:pPr>
              <w:pStyle w:val="TableParagraph"/>
              <w:spacing w:line="355" w:lineRule="auto" w:before="133"/>
              <w:ind w:left="367" w:right="110"/>
              <w:jc w:val="both"/>
              <w:rPr>
                <w:sz w:val="21"/>
              </w:rPr>
            </w:pPr>
            <w:r>
              <w:rPr>
                <w:spacing w:val="3"/>
                <w:w w:val="100"/>
                <w:sz w:val="21"/>
              </w:rPr>
              <w:t>（</w:t>
            </w:r>
            <w:r>
              <w:rPr>
                <w:w w:val="100"/>
                <w:sz w:val="21"/>
              </w:rPr>
              <w:t>分红型</w:t>
            </w:r>
            <w:r>
              <w:rPr>
                <w:spacing w:val="-101"/>
                <w:w w:val="100"/>
                <w:sz w:val="21"/>
              </w:rPr>
              <w:t>）</w:t>
            </w:r>
            <w:r>
              <w:rPr>
                <w:w w:val="100"/>
                <w:sz w:val="21"/>
              </w:rPr>
              <w:t>）不可分割的组成部分，不得单独解除。主险合同的条款适用于</w:t>
            </w:r>
            <w:r>
              <w:rPr>
                <w:spacing w:val="-6"/>
                <w:sz w:val="21"/>
              </w:rPr>
              <w:t>本附加险合同，若主险合同与本附加险合同的条款互有冲突，则以本附加险合同为准。</w:t>
            </w:r>
          </w:p>
          <w:p>
            <w:pPr>
              <w:pStyle w:val="TableParagraph"/>
              <w:spacing w:line="285" w:lineRule="auto" w:before="37"/>
              <w:ind w:left="367" w:right="105"/>
              <w:jc w:val="both"/>
              <w:rPr>
                <w:sz w:val="21"/>
              </w:rPr>
            </w:pPr>
            <w:r>
              <w:rPr>
                <w:sz w:val="21"/>
              </w:rPr>
              <w:t>本附加险合同的保险费及保证现金价值将被并入主险合同的保险费及保证现金价值表内，成为主险合同不可分割的组成部分。</w:t>
            </w:r>
          </w:p>
        </w:tc>
      </w:tr>
      <w:tr>
        <w:trPr>
          <w:trHeight w:val="1277" w:hRule="atLeast"/>
        </w:trPr>
        <w:tc>
          <w:tcPr>
            <w:tcW w:w="641" w:type="dxa"/>
          </w:tcPr>
          <w:p>
            <w:pPr>
              <w:pStyle w:val="TableParagraph"/>
              <w:spacing w:before="39"/>
              <w:ind w:left="110"/>
              <w:rPr>
                <w:rFonts w:ascii="微软雅黑"/>
                <w:b/>
                <w:sz w:val="21"/>
              </w:rPr>
            </w:pPr>
            <w:r>
              <w:rPr>
                <w:rFonts w:ascii="微软雅黑"/>
                <w:b/>
                <w:sz w:val="21"/>
              </w:rPr>
              <w:t>1.2</w:t>
            </w:r>
          </w:p>
        </w:tc>
        <w:tc>
          <w:tcPr>
            <w:tcW w:w="2060" w:type="dxa"/>
          </w:tcPr>
          <w:p>
            <w:pPr>
              <w:pStyle w:val="TableParagraph"/>
              <w:spacing w:before="39"/>
              <w:ind w:left="213"/>
              <w:rPr>
                <w:rFonts w:ascii="微软雅黑" w:eastAsia="微软雅黑" w:hint="eastAsia"/>
                <w:b/>
                <w:sz w:val="21"/>
              </w:rPr>
            </w:pPr>
            <w:r>
              <w:rPr>
                <w:rFonts w:ascii="微软雅黑" w:eastAsia="微软雅黑" w:hint="eastAsia"/>
                <w:b/>
                <w:sz w:val="21"/>
              </w:rPr>
              <w:t>合同成立与生效</w:t>
            </w:r>
          </w:p>
        </w:tc>
        <w:tc>
          <w:tcPr>
            <w:tcW w:w="7388" w:type="dxa"/>
          </w:tcPr>
          <w:p>
            <w:pPr>
              <w:pStyle w:val="TableParagraph"/>
              <w:spacing w:line="268" w:lineRule="auto" w:before="39"/>
              <w:ind w:left="367" w:right="70"/>
              <w:rPr>
                <w:sz w:val="21"/>
              </w:rPr>
            </w:pPr>
            <w:r>
              <w:rPr>
                <w:sz w:val="21"/>
              </w:rPr>
              <w:t>投保人提出保险申请，</w:t>
            </w:r>
            <w:r>
              <w:rPr>
                <w:rFonts w:ascii="微软雅黑" w:eastAsia="微软雅黑" w:hint="eastAsia"/>
                <w:b/>
                <w:sz w:val="21"/>
              </w:rPr>
              <w:t>本公司</w:t>
            </w:r>
            <w:r>
              <w:rPr>
                <w:sz w:val="21"/>
              </w:rPr>
              <w:t>（见 9.1）同意承保，本附加险合同成立。本附加险合同的生效日、</w:t>
            </w:r>
            <w:r>
              <w:rPr>
                <w:rFonts w:ascii="微软雅黑" w:eastAsia="微软雅黑" w:hint="eastAsia"/>
                <w:b/>
                <w:sz w:val="21"/>
              </w:rPr>
              <w:t>保单年度</w:t>
            </w:r>
            <w:r>
              <w:rPr>
                <w:sz w:val="21"/>
              </w:rPr>
              <w:t>（见 9.2）和保险费应交日与主险合同一致。</w:t>
            </w:r>
          </w:p>
        </w:tc>
      </w:tr>
      <w:tr>
        <w:trPr>
          <w:trHeight w:val="557" w:hRule="atLeast"/>
        </w:trPr>
        <w:tc>
          <w:tcPr>
            <w:tcW w:w="641" w:type="dxa"/>
          </w:tcPr>
          <w:p>
            <w:pPr>
              <w:pStyle w:val="TableParagraph"/>
              <w:spacing w:before="53"/>
              <w:ind w:left="110"/>
              <w:rPr>
                <w:rFonts w:ascii="微软雅黑"/>
                <w:b/>
                <w:sz w:val="21"/>
              </w:rPr>
            </w:pPr>
            <w:r>
              <w:rPr>
                <w:rFonts w:ascii="微软雅黑"/>
                <w:b/>
                <w:sz w:val="21"/>
              </w:rPr>
              <w:t>1.3</w:t>
            </w:r>
          </w:p>
        </w:tc>
        <w:tc>
          <w:tcPr>
            <w:tcW w:w="2060" w:type="dxa"/>
          </w:tcPr>
          <w:p>
            <w:pPr>
              <w:pStyle w:val="TableParagraph"/>
              <w:spacing w:before="53"/>
              <w:ind w:left="213"/>
              <w:rPr>
                <w:rFonts w:ascii="微软雅黑" w:eastAsia="微软雅黑" w:hint="eastAsia"/>
                <w:b/>
                <w:sz w:val="21"/>
              </w:rPr>
            </w:pPr>
            <w:r>
              <w:rPr>
                <w:rFonts w:ascii="微软雅黑" w:eastAsia="微软雅黑" w:hint="eastAsia"/>
                <w:b/>
                <w:sz w:val="21"/>
              </w:rPr>
              <w:t>投保范围</w:t>
            </w:r>
          </w:p>
        </w:tc>
        <w:tc>
          <w:tcPr>
            <w:tcW w:w="7388" w:type="dxa"/>
          </w:tcPr>
          <w:p>
            <w:pPr>
              <w:pStyle w:val="TableParagraph"/>
              <w:spacing w:before="87"/>
              <w:ind w:left="367"/>
              <w:rPr>
                <w:sz w:val="21"/>
              </w:rPr>
            </w:pPr>
            <w:r>
              <w:rPr>
                <w:sz w:val="21"/>
              </w:rPr>
              <w:t>本附加险合同的投保人、被保险人与主险合同相同。</w:t>
            </w:r>
          </w:p>
        </w:tc>
      </w:tr>
      <w:tr>
        <w:trPr>
          <w:trHeight w:val="2441" w:hRule="atLeast"/>
        </w:trPr>
        <w:tc>
          <w:tcPr>
            <w:tcW w:w="641" w:type="dxa"/>
          </w:tcPr>
          <w:p>
            <w:pPr>
              <w:pStyle w:val="TableParagraph"/>
              <w:spacing w:before="39"/>
              <w:ind w:left="110"/>
              <w:rPr>
                <w:rFonts w:ascii="微软雅黑"/>
                <w:b/>
                <w:sz w:val="21"/>
              </w:rPr>
            </w:pPr>
            <w:r>
              <w:rPr>
                <w:rFonts w:ascii="微软雅黑"/>
                <w:b/>
                <w:sz w:val="21"/>
              </w:rPr>
              <w:t>1.4</w:t>
            </w:r>
          </w:p>
        </w:tc>
        <w:tc>
          <w:tcPr>
            <w:tcW w:w="2060" w:type="dxa"/>
          </w:tcPr>
          <w:p>
            <w:pPr>
              <w:pStyle w:val="TableParagraph"/>
              <w:spacing w:before="39"/>
              <w:ind w:left="213"/>
              <w:rPr>
                <w:rFonts w:ascii="微软雅黑" w:eastAsia="微软雅黑" w:hint="eastAsia"/>
                <w:b/>
                <w:sz w:val="21"/>
              </w:rPr>
            </w:pPr>
            <w:r>
              <w:rPr>
                <w:rFonts w:ascii="微软雅黑" w:eastAsia="微软雅黑" w:hint="eastAsia"/>
                <w:b/>
                <w:sz w:val="21"/>
              </w:rPr>
              <w:t>犹豫期</w:t>
            </w:r>
          </w:p>
        </w:tc>
        <w:tc>
          <w:tcPr>
            <w:tcW w:w="7388" w:type="dxa"/>
          </w:tcPr>
          <w:p>
            <w:pPr>
              <w:pStyle w:val="TableParagraph"/>
              <w:spacing w:line="326" w:lineRule="auto" w:before="102"/>
              <w:ind w:left="367" w:right="111"/>
              <w:rPr>
                <w:sz w:val="21"/>
              </w:rPr>
            </w:pPr>
            <w:r>
              <w:rPr>
                <w:spacing w:val="-6"/>
                <w:sz w:val="21"/>
              </w:rPr>
              <w:t>自投保人签收本附加险合同的次日起，有 </w:t>
            </w:r>
            <w:r>
              <w:rPr>
                <w:sz w:val="21"/>
              </w:rPr>
              <w:t>10</w:t>
            </w:r>
            <w:r>
              <w:rPr>
                <w:spacing w:val="-8"/>
                <w:sz w:val="21"/>
              </w:rPr>
              <w:t> 日的犹豫期。在此期间，如投保人认为本附加险合同与投保人的需求不相符，可以解除合同，本公司将无</w:t>
            </w:r>
            <w:r>
              <w:rPr>
                <w:spacing w:val="-9"/>
                <w:sz w:val="21"/>
              </w:rPr>
              <w:t>息退还保险费并可扣除不超过 </w:t>
            </w:r>
            <w:r>
              <w:rPr>
                <w:sz w:val="21"/>
              </w:rPr>
              <w:t>10</w:t>
            </w:r>
            <w:r>
              <w:rPr>
                <w:spacing w:val="-8"/>
                <w:sz w:val="21"/>
              </w:rPr>
              <w:t> 元的工本费。</w:t>
            </w:r>
          </w:p>
          <w:p>
            <w:pPr>
              <w:pStyle w:val="TableParagraph"/>
              <w:spacing w:line="326" w:lineRule="auto" w:before="24"/>
              <w:ind w:left="367" w:right="109"/>
              <w:jc w:val="both"/>
              <w:rPr>
                <w:sz w:val="21"/>
              </w:rPr>
            </w:pPr>
            <w:r>
              <w:rPr>
                <w:spacing w:val="-6"/>
                <w:sz w:val="21"/>
              </w:rPr>
              <w:t>解除合同时，投保人需要填写申请书，并提供本附加险合同及本公司要求的</w:t>
            </w:r>
            <w:r>
              <w:rPr>
                <w:spacing w:val="-8"/>
                <w:sz w:val="21"/>
              </w:rPr>
              <w:t>相关资料。自本公司收到投保人申请解除合同的书面申请之日起，本附加险</w:t>
            </w:r>
            <w:r>
              <w:rPr>
                <w:spacing w:val="-6"/>
                <w:sz w:val="21"/>
              </w:rPr>
              <w:t>合同即被解除，本公司自本附加险合同生效日起自始不承担保险责任。</w:t>
            </w:r>
          </w:p>
        </w:tc>
      </w:tr>
      <w:tr>
        <w:trPr>
          <w:trHeight w:val="675" w:hRule="atLeast"/>
        </w:trPr>
        <w:tc>
          <w:tcPr>
            <w:tcW w:w="641" w:type="dxa"/>
            <w:tcBorders>
              <w:bottom w:val="single" w:sz="4" w:space="0" w:color="000000"/>
            </w:tcBorders>
          </w:tcPr>
          <w:p>
            <w:pPr>
              <w:pStyle w:val="TableParagraph"/>
              <w:spacing w:before="180"/>
              <w:ind w:left="110"/>
              <w:rPr>
                <w:rFonts w:ascii="Times New Roman"/>
                <w:b/>
                <w:sz w:val="32"/>
              </w:rPr>
            </w:pPr>
            <w:r>
              <w:rPr>
                <w:rFonts w:ascii="Times New Roman"/>
                <w:b/>
                <w:w w:val="100"/>
                <w:sz w:val="32"/>
              </w:rPr>
              <w:t>2</w:t>
            </w:r>
          </w:p>
        </w:tc>
        <w:tc>
          <w:tcPr>
            <w:tcW w:w="9448" w:type="dxa"/>
            <w:gridSpan w:val="2"/>
            <w:tcBorders>
              <w:bottom w:val="single" w:sz="4" w:space="0" w:color="000000"/>
            </w:tcBorders>
          </w:tcPr>
          <w:p>
            <w:pPr>
              <w:pStyle w:val="TableParagraph"/>
              <w:spacing w:before="98"/>
              <w:ind w:left="213"/>
              <w:rPr>
                <w:rFonts w:ascii="微软雅黑" w:eastAsia="微软雅黑" w:hint="eastAsia"/>
                <w:b/>
                <w:sz w:val="24"/>
              </w:rPr>
            </w:pPr>
            <w:r>
              <w:rPr>
                <w:rFonts w:ascii="微软雅黑" w:eastAsia="微软雅黑" w:hint="eastAsia"/>
                <w:b/>
                <w:sz w:val="24"/>
              </w:rPr>
              <w:t>本公司提供的保障</w:t>
            </w:r>
          </w:p>
        </w:tc>
      </w:tr>
      <w:tr>
        <w:trPr>
          <w:trHeight w:val="3803" w:hRule="atLeast"/>
        </w:trPr>
        <w:tc>
          <w:tcPr>
            <w:tcW w:w="641" w:type="dxa"/>
            <w:tcBorders>
              <w:top w:val="single" w:sz="4" w:space="0" w:color="000000"/>
            </w:tcBorders>
          </w:tcPr>
          <w:p>
            <w:pPr>
              <w:pStyle w:val="TableParagraph"/>
              <w:spacing w:before="115"/>
              <w:ind w:left="110"/>
              <w:rPr>
                <w:rFonts w:ascii="微软雅黑"/>
                <w:b/>
                <w:sz w:val="21"/>
              </w:rPr>
            </w:pPr>
            <w:r>
              <w:rPr>
                <w:rFonts w:ascii="微软雅黑"/>
                <w:b/>
                <w:sz w:val="21"/>
              </w:rPr>
              <w:t>2.1</w:t>
            </w:r>
          </w:p>
        </w:tc>
        <w:tc>
          <w:tcPr>
            <w:tcW w:w="2060" w:type="dxa"/>
            <w:tcBorders>
              <w:top w:val="single" w:sz="4" w:space="0" w:color="000000"/>
            </w:tcBorders>
          </w:tcPr>
          <w:p>
            <w:pPr>
              <w:pStyle w:val="TableParagraph"/>
              <w:spacing w:before="115"/>
              <w:ind w:left="213"/>
              <w:rPr>
                <w:rFonts w:ascii="微软雅黑" w:eastAsia="微软雅黑" w:hint="eastAsia"/>
                <w:b/>
                <w:sz w:val="21"/>
              </w:rPr>
            </w:pPr>
            <w:r>
              <w:rPr>
                <w:rFonts w:ascii="微软雅黑" w:eastAsia="微软雅黑" w:hint="eastAsia"/>
                <w:b/>
                <w:sz w:val="21"/>
              </w:rPr>
              <w:t>保险责任</w:t>
            </w:r>
          </w:p>
        </w:tc>
        <w:tc>
          <w:tcPr>
            <w:tcW w:w="7388" w:type="dxa"/>
            <w:tcBorders>
              <w:top w:val="single" w:sz="4" w:space="0" w:color="000000"/>
            </w:tcBorders>
          </w:tcPr>
          <w:p>
            <w:pPr>
              <w:pStyle w:val="TableParagraph"/>
              <w:spacing w:line="220" w:lineRule="auto" w:before="146"/>
              <w:ind w:left="367" w:right="4"/>
              <w:rPr>
                <w:rFonts w:ascii="微软雅黑" w:eastAsia="微软雅黑" w:hint="eastAsia"/>
                <w:b/>
                <w:sz w:val="21"/>
              </w:rPr>
            </w:pPr>
            <w:r>
              <w:rPr>
                <w:spacing w:val="-6"/>
                <w:sz w:val="21"/>
              </w:rPr>
              <w:t>在本附加险合同保险责任有效期内，若被保险人自本附加险合同签发之日或</w:t>
            </w:r>
            <w:r>
              <w:rPr>
                <w:spacing w:val="-5"/>
                <w:w w:val="100"/>
                <w:sz w:val="21"/>
              </w:rPr>
              <w:t>最后复效日起</w:t>
            </w:r>
            <w:r>
              <w:rPr>
                <w:spacing w:val="-5"/>
                <w:sz w:val="21"/>
              </w:rPr>
              <w:t> </w:t>
            </w:r>
            <w:r>
              <w:rPr>
                <w:w w:val="100"/>
                <w:sz w:val="21"/>
              </w:rPr>
              <w:t>90</w:t>
            </w:r>
            <w:r>
              <w:rPr>
                <w:spacing w:val="-53"/>
                <w:sz w:val="21"/>
              </w:rPr>
              <w:t> </w:t>
            </w:r>
            <w:r>
              <w:rPr>
                <w:spacing w:val="-3"/>
                <w:w w:val="100"/>
                <w:sz w:val="21"/>
              </w:rPr>
              <w:t>日后</w:t>
            </w:r>
            <w:r>
              <w:rPr>
                <w:rFonts w:ascii="微软雅黑" w:eastAsia="微软雅黑" w:hint="eastAsia"/>
                <w:b/>
                <w:spacing w:val="-8"/>
                <w:w w:val="100"/>
                <w:sz w:val="21"/>
              </w:rPr>
              <w:t>初次患有重大疾病</w:t>
            </w:r>
            <w:r>
              <w:rPr>
                <w:spacing w:val="-5"/>
                <w:w w:val="100"/>
                <w:sz w:val="21"/>
              </w:rPr>
              <w:t>（</w:t>
            </w:r>
            <w:r>
              <w:rPr>
                <w:w w:val="100"/>
                <w:sz w:val="21"/>
              </w:rPr>
              <w:t>见</w:t>
            </w:r>
            <w:r>
              <w:rPr>
                <w:spacing w:val="-53"/>
                <w:sz w:val="21"/>
              </w:rPr>
              <w:t> </w:t>
            </w:r>
            <w:r>
              <w:rPr>
                <w:w w:val="100"/>
                <w:sz w:val="21"/>
              </w:rPr>
              <w:t>9.</w:t>
            </w:r>
            <w:r>
              <w:rPr>
                <w:spacing w:val="-5"/>
                <w:w w:val="100"/>
                <w:sz w:val="21"/>
              </w:rPr>
              <w:t>3</w:t>
            </w:r>
            <w:r>
              <w:rPr>
                <w:spacing w:val="-63"/>
                <w:w w:val="100"/>
                <w:sz w:val="21"/>
              </w:rPr>
              <w:t>、</w:t>
            </w:r>
            <w:r>
              <w:rPr>
                <w:w w:val="100"/>
                <w:sz w:val="21"/>
              </w:rPr>
              <w:t>9.</w:t>
            </w:r>
            <w:r>
              <w:rPr>
                <w:spacing w:val="-5"/>
                <w:w w:val="100"/>
                <w:sz w:val="21"/>
              </w:rPr>
              <w:t>4</w:t>
            </w:r>
            <w:r>
              <w:rPr>
                <w:spacing w:val="-106"/>
                <w:w w:val="100"/>
                <w:sz w:val="21"/>
              </w:rPr>
              <w:t>）</w:t>
            </w:r>
            <w:r>
              <w:rPr>
                <w:spacing w:val="-10"/>
                <w:w w:val="100"/>
                <w:sz w:val="21"/>
              </w:rPr>
              <w:t>，经本公司查核属实，</w:t>
            </w:r>
            <w:r>
              <w:rPr>
                <w:spacing w:val="-9"/>
                <w:sz w:val="21"/>
              </w:rPr>
              <w:t>且确在本附加险合同保险责任范围以内，本公司将按基本保险金额乘以</w:t>
            </w:r>
            <w:r>
              <w:rPr>
                <w:rFonts w:ascii="微软雅黑" w:eastAsia="微软雅黑" w:hint="eastAsia"/>
                <w:b/>
                <w:sz w:val="21"/>
              </w:rPr>
              <w:t>调整</w:t>
            </w:r>
            <w:r>
              <w:rPr>
                <w:rFonts w:ascii="微软雅黑" w:eastAsia="微软雅黑" w:hint="eastAsia"/>
                <w:b/>
                <w:spacing w:val="-5"/>
                <w:sz w:val="21"/>
              </w:rPr>
              <w:t>系数</w:t>
            </w:r>
            <w:r>
              <w:rPr>
                <w:sz w:val="21"/>
              </w:rPr>
              <w:t>（</w:t>
            </w:r>
            <w:r>
              <w:rPr>
                <w:spacing w:val="-29"/>
                <w:sz w:val="21"/>
              </w:rPr>
              <w:t>见 </w:t>
            </w:r>
            <w:r>
              <w:rPr>
                <w:spacing w:val="-4"/>
                <w:sz w:val="21"/>
              </w:rPr>
              <w:t>9.5）</w:t>
            </w:r>
            <w:r>
              <w:rPr>
                <w:spacing w:val="-6"/>
                <w:sz w:val="21"/>
              </w:rPr>
              <w:t>给付重大疾病保险金予被保险人，其中对于本公司</w:t>
            </w:r>
            <w:r>
              <w:rPr>
                <w:rFonts w:ascii="微软雅黑" w:eastAsia="微软雅黑" w:hint="eastAsia"/>
                <w:b/>
                <w:spacing w:val="-4"/>
                <w:sz w:val="21"/>
              </w:rPr>
              <w:t>指定的 </w:t>
            </w:r>
            <w:r>
              <w:rPr>
                <w:rFonts w:ascii="微软雅黑" w:eastAsia="微软雅黑" w:hint="eastAsia"/>
                <w:b/>
                <w:sz w:val="21"/>
              </w:rPr>
              <w:t>10</w:t>
            </w:r>
          </w:p>
          <w:p>
            <w:pPr>
              <w:pStyle w:val="TableParagraph"/>
              <w:spacing w:line="324" w:lineRule="exact" w:before="15"/>
              <w:ind w:left="367" w:right="109"/>
              <w:rPr>
                <w:sz w:val="21"/>
              </w:rPr>
            </w:pPr>
            <w:r>
              <w:rPr>
                <w:rFonts w:ascii="微软雅黑" w:eastAsia="微软雅黑" w:hint="eastAsia"/>
                <w:b/>
                <w:sz w:val="21"/>
              </w:rPr>
              <w:t>种重大疾病</w:t>
            </w:r>
            <w:r>
              <w:rPr>
                <w:sz w:val="21"/>
              </w:rPr>
              <w:t>（见</w:t>
            </w:r>
            <w:r>
              <w:rPr>
                <w:spacing w:val="1"/>
                <w:sz w:val="21"/>
              </w:rPr>
              <w:t> </w:t>
            </w:r>
            <w:r>
              <w:rPr>
                <w:sz w:val="21"/>
              </w:rPr>
              <w:t>9.6）按</w:t>
            </w:r>
            <w:r>
              <w:rPr>
                <w:spacing w:val="-5"/>
                <w:sz w:val="21"/>
              </w:rPr>
              <w:t>基</w:t>
            </w:r>
            <w:r>
              <w:rPr>
                <w:sz w:val="21"/>
              </w:rPr>
              <w:t>本保险</w:t>
            </w:r>
            <w:r>
              <w:rPr>
                <w:spacing w:val="-5"/>
                <w:sz w:val="21"/>
              </w:rPr>
              <w:t>金</w:t>
            </w:r>
            <w:r>
              <w:rPr>
                <w:sz w:val="21"/>
              </w:rPr>
              <w:t>额的</w:t>
            </w:r>
            <w:r>
              <w:rPr>
                <w:spacing w:val="-14"/>
                <w:sz w:val="21"/>
              </w:rPr>
              <w:t> </w:t>
            </w:r>
            <w:r>
              <w:rPr>
                <w:w w:val="100"/>
                <w:sz w:val="21"/>
              </w:rPr>
              <w:drawing>
                <wp:inline distT="0" distB="0" distL="0" distR="0">
                  <wp:extent cx="59721" cy="103727"/>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9721" cy="103727"/>
                          </a:xfrm>
                          <a:prstGeom prst="rect">
                            <a:avLst/>
                          </a:prstGeom>
                        </pic:spPr>
                      </pic:pic>
                    </a:graphicData>
                  </a:graphic>
                </wp:inline>
              </w:drawing>
            </w:r>
            <w:r>
              <w:rPr>
                <w:w w:val="100"/>
                <w:sz w:val="21"/>
              </w:rPr>
            </w:r>
            <w:r>
              <w:rPr>
                <w:sz w:val="21"/>
              </w:rPr>
              <w:t>乘以</w:t>
            </w:r>
            <w:r>
              <w:rPr>
                <w:spacing w:val="-5"/>
                <w:sz w:val="21"/>
              </w:rPr>
              <w:t>调</w:t>
            </w:r>
            <w:r>
              <w:rPr>
                <w:sz w:val="21"/>
              </w:rPr>
              <w:t>整系数额</w:t>
            </w:r>
            <w:r>
              <w:rPr>
                <w:spacing w:val="-5"/>
                <w:sz w:val="21"/>
              </w:rPr>
              <w:t>外</w:t>
            </w:r>
            <w:r>
              <w:rPr>
                <w:sz w:val="21"/>
              </w:rPr>
              <w:t>给付重</w:t>
            </w:r>
            <w:r>
              <w:rPr>
                <w:spacing w:val="-5"/>
                <w:sz w:val="21"/>
              </w:rPr>
              <w:t>大</w:t>
            </w:r>
            <w:r>
              <w:rPr>
                <w:sz w:val="21"/>
              </w:rPr>
              <w:t>疾 </w:t>
            </w:r>
            <w:r>
              <w:rPr>
                <w:spacing w:val="-5"/>
                <w:sz w:val="21"/>
              </w:rPr>
              <w:t>病特别保险金予被保险人，本附加险合同及主险合同随之终止。</w:t>
            </w:r>
          </w:p>
          <w:p>
            <w:pPr>
              <w:pStyle w:val="TableParagraph"/>
              <w:spacing w:line="285" w:lineRule="auto" w:before="17"/>
              <w:ind w:left="367" w:right="85"/>
              <w:jc w:val="both"/>
              <w:rPr>
                <w:sz w:val="21"/>
              </w:rPr>
            </w:pPr>
            <w:r>
              <w:rPr>
                <w:sz w:val="21"/>
              </w:rPr>
              <w:t>若重大疾病保险金金额小于主险合同累计已交保险费，则重大疾病保险金金额等于该累计已交保险费。对于本公司指定的 10 种重大疾病，若重大疾病保险金金额与重大疾病特别保险金金额之和小于主险合同累计已交保险费， 则重大疾病保险金金额与重大疾病特别保险金金额之和等于该累计已交保险费。</w:t>
            </w:r>
          </w:p>
        </w:tc>
      </w:tr>
      <w:tr>
        <w:trPr>
          <w:trHeight w:val="672" w:hRule="atLeast"/>
        </w:trPr>
        <w:tc>
          <w:tcPr>
            <w:tcW w:w="641" w:type="dxa"/>
          </w:tcPr>
          <w:p>
            <w:pPr>
              <w:pStyle w:val="TableParagraph"/>
              <w:spacing w:before="61"/>
              <w:ind w:left="110"/>
              <w:rPr>
                <w:rFonts w:ascii="微软雅黑"/>
                <w:b/>
                <w:sz w:val="21"/>
              </w:rPr>
            </w:pPr>
            <w:r>
              <w:rPr>
                <w:rFonts w:ascii="微软雅黑"/>
                <w:b/>
                <w:sz w:val="21"/>
              </w:rPr>
              <w:t>2.2</w:t>
            </w:r>
          </w:p>
        </w:tc>
        <w:tc>
          <w:tcPr>
            <w:tcW w:w="2060" w:type="dxa"/>
          </w:tcPr>
          <w:p>
            <w:pPr>
              <w:pStyle w:val="TableParagraph"/>
              <w:spacing w:before="61"/>
              <w:ind w:left="213"/>
              <w:rPr>
                <w:rFonts w:ascii="微软雅黑" w:eastAsia="微软雅黑" w:hint="eastAsia"/>
                <w:b/>
                <w:sz w:val="21"/>
              </w:rPr>
            </w:pPr>
            <w:r>
              <w:rPr>
                <w:rFonts w:ascii="微软雅黑" w:eastAsia="微软雅黑" w:hint="eastAsia"/>
                <w:b/>
                <w:sz w:val="21"/>
              </w:rPr>
              <w:t>责任免除</w:t>
            </w:r>
          </w:p>
        </w:tc>
        <w:tc>
          <w:tcPr>
            <w:tcW w:w="7388" w:type="dxa"/>
          </w:tcPr>
          <w:p>
            <w:pPr>
              <w:pStyle w:val="TableParagraph"/>
              <w:spacing w:line="320" w:lineRule="atLeast" w:before="25"/>
              <w:ind w:left="367" w:right="86"/>
              <w:rPr>
                <w:sz w:val="21"/>
              </w:rPr>
            </w:pPr>
            <w:r>
              <w:rPr>
                <w:sz w:val="21"/>
              </w:rPr>
              <w:t>因下列情形之一，造成被保险人患有本附加险合同所指重大疾病的，本公司不负保险责任：</w:t>
            </w:r>
          </w:p>
        </w:tc>
      </w:tr>
    </w:tbl>
    <w:p>
      <w:pPr>
        <w:spacing w:after="0" w:line="320" w:lineRule="atLeast"/>
        <w:rPr>
          <w:sz w:val="21"/>
        </w:rPr>
        <w:sectPr>
          <w:footerReference w:type="default" r:id="rId6"/>
          <w:pgSz w:w="11910" w:h="16840"/>
          <w:pgMar w:footer="377" w:header="0" w:top="1580" w:bottom="560" w:left="800" w:right="800"/>
          <w:pgNumType w:start="1"/>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1954"/>
        <w:gridCol w:w="7494"/>
      </w:tblGrid>
      <w:tr>
        <w:trPr>
          <w:trHeight w:val="5809" w:hRule="atLeast"/>
        </w:trPr>
        <w:tc>
          <w:tcPr>
            <w:tcW w:w="641" w:type="dxa"/>
          </w:tcPr>
          <w:p>
            <w:pPr>
              <w:pStyle w:val="TableParagraph"/>
              <w:ind w:left="0"/>
              <w:rPr>
                <w:rFonts w:ascii="Times New Roman"/>
                <w:sz w:val="20"/>
              </w:rPr>
            </w:pPr>
          </w:p>
        </w:tc>
        <w:tc>
          <w:tcPr>
            <w:tcW w:w="1954" w:type="dxa"/>
          </w:tcPr>
          <w:p>
            <w:pPr>
              <w:pStyle w:val="TableParagraph"/>
              <w:ind w:left="0"/>
              <w:rPr>
                <w:rFonts w:ascii="Times New Roman"/>
                <w:sz w:val="20"/>
              </w:rPr>
            </w:pPr>
          </w:p>
        </w:tc>
        <w:tc>
          <w:tcPr>
            <w:tcW w:w="7494" w:type="dxa"/>
          </w:tcPr>
          <w:p>
            <w:pPr>
              <w:pStyle w:val="TableParagraph"/>
              <w:numPr>
                <w:ilvl w:val="0"/>
                <w:numId w:val="6"/>
              </w:numPr>
              <w:tabs>
                <w:tab w:pos="1098" w:val="left" w:leader="none"/>
              </w:tabs>
              <w:spacing w:line="231" w:lineRule="exact" w:before="0" w:after="0"/>
              <w:ind w:left="1097" w:right="0" w:hanging="624"/>
              <w:jc w:val="left"/>
              <w:rPr>
                <w:sz w:val="21"/>
              </w:rPr>
            </w:pPr>
            <w:r>
              <w:rPr>
                <w:spacing w:val="-1"/>
                <w:sz w:val="21"/>
              </w:rPr>
              <w:t>投保人的故意行为；</w:t>
            </w:r>
          </w:p>
          <w:p>
            <w:pPr>
              <w:pStyle w:val="TableParagraph"/>
              <w:numPr>
                <w:ilvl w:val="0"/>
                <w:numId w:val="6"/>
              </w:numPr>
              <w:tabs>
                <w:tab w:pos="1098" w:val="left" w:leader="none"/>
              </w:tabs>
              <w:spacing w:line="240" w:lineRule="auto" w:before="84" w:after="0"/>
              <w:ind w:left="1097" w:right="0" w:hanging="624"/>
              <w:jc w:val="left"/>
              <w:rPr>
                <w:sz w:val="21"/>
              </w:rPr>
            </w:pPr>
            <w:r>
              <w:rPr>
                <w:spacing w:val="-5"/>
                <w:sz w:val="21"/>
              </w:rPr>
              <w:t>被保险人故意犯罪或者抗拒依法采取的刑事强制措施；</w:t>
            </w:r>
          </w:p>
          <w:p>
            <w:pPr>
              <w:pStyle w:val="TableParagraph"/>
              <w:numPr>
                <w:ilvl w:val="0"/>
                <w:numId w:val="6"/>
              </w:numPr>
              <w:tabs>
                <w:tab w:pos="1098" w:val="left" w:leader="none"/>
              </w:tabs>
              <w:spacing w:line="240" w:lineRule="auto" w:before="21" w:after="0"/>
              <w:ind w:left="1097" w:right="0" w:hanging="624"/>
              <w:jc w:val="left"/>
              <w:rPr>
                <w:sz w:val="21"/>
              </w:rPr>
            </w:pPr>
            <w:r>
              <w:rPr>
                <w:spacing w:val="-2"/>
                <w:w w:val="100"/>
                <w:sz w:val="21"/>
              </w:rPr>
              <w:t>被保险人</w:t>
            </w:r>
            <w:r>
              <w:rPr>
                <w:rFonts w:ascii="微软雅黑" w:eastAsia="微软雅黑" w:hint="eastAsia"/>
                <w:b/>
                <w:spacing w:val="1"/>
                <w:w w:val="100"/>
                <w:sz w:val="21"/>
              </w:rPr>
              <w:t>醉酒</w:t>
            </w:r>
            <w:r>
              <w:rPr>
                <w:spacing w:val="-5"/>
                <w:w w:val="100"/>
                <w:sz w:val="21"/>
              </w:rPr>
              <w:t>（</w:t>
            </w:r>
            <w:r>
              <w:rPr>
                <w:w w:val="100"/>
                <w:sz w:val="21"/>
              </w:rPr>
              <w:t>9.7</w:t>
            </w:r>
            <w:r>
              <w:rPr>
                <w:spacing w:val="-106"/>
                <w:w w:val="100"/>
                <w:sz w:val="21"/>
              </w:rPr>
              <w:t>）</w:t>
            </w:r>
            <w:r>
              <w:rPr>
                <w:spacing w:val="-5"/>
                <w:w w:val="100"/>
                <w:sz w:val="21"/>
              </w:rPr>
              <w:t>、</w:t>
            </w:r>
            <w:r>
              <w:rPr>
                <w:rFonts w:ascii="微软雅黑" w:eastAsia="微软雅黑" w:hint="eastAsia"/>
                <w:b/>
                <w:w w:val="100"/>
                <w:sz w:val="21"/>
              </w:rPr>
              <w:t>斗殴</w:t>
            </w:r>
            <w:r>
              <w:rPr>
                <w:w w:val="100"/>
                <w:sz w:val="21"/>
              </w:rPr>
              <w:t>（9.8</w:t>
            </w:r>
            <w:r>
              <w:rPr>
                <w:spacing w:val="-106"/>
                <w:w w:val="100"/>
                <w:sz w:val="21"/>
              </w:rPr>
              <w:t>）</w:t>
            </w:r>
            <w:r>
              <w:rPr>
                <w:spacing w:val="-3"/>
                <w:w w:val="100"/>
                <w:sz w:val="21"/>
              </w:rPr>
              <w:t>、故意自伤；</w:t>
            </w:r>
          </w:p>
          <w:p>
            <w:pPr>
              <w:pStyle w:val="TableParagraph"/>
              <w:numPr>
                <w:ilvl w:val="0"/>
                <w:numId w:val="6"/>
              </w:numPr>
              <w:tabs>
                <w:tab w:pos="1098" w:val="left" w:leader="none"/>
              </w:tabs>
              <w:spacing w:line="288" w:lineRule="auto" w:before="11" w:after="0"/>
              <w:ind w:left="1097" w:right="109" w:hanging="624"/>
              <w:jc w:val="left"/>
              <w:rPr>
                <w:sz w:val="21"/>
              </w:rPr>
            </w:pPr>
            <w:r>
              <w:rPr>
                <w:spacing w:val="-3"/>
                <w:sz w:val="21"/>
              </w:rPr>
              <w:t>被保险人服用、吸食或注射</w:t>
            </w:r>
            <w:r>
              <w:rPr>
                <w:rFonts w:ascii="微软雅黑" w:eastAsia="微软雅黑" w:hint="eastAsia"/>
                <w:b/>
                <w:sz w:val="21"/>
              </w:rPr>
              <w:t>毒品</w:t>
            </w:r>
            <w:r>
              <w:rPr>
                <w:sz w:val="21"/>
              </w:rPr>
              <w:t>（</w:t>
            </w:r>
            <w:r>
              <w:rPr>
                <w:spacing w:val="0"/>
                <w:sz w:val="21"/>
              </w:rPr>
              <w:t>见 </w:t>
            </w:r>
            <w:r>
              <w:rPr>
                <w:sz w:val="21"/>
              </w:rPr>
              <w:t>9.9）</w:t>
            </w:r>
            <w:r>
              <w:rPr>
                <w:spacing w:val="-3"/>
                <w:sz w:val="21"/>
              </w:rPr>
              <w:t>或滥用政府</w:t>
            </w:r>
            <w:r>
              <w:rPr>
                <w:rFonts w:ascii="微软雅黑" w:eastAsia="微软雅黑" w:hint="eastAsia"/>
                <w:b/>
                <w:sz w:val="21"/>
              </w:rPr>
              <w:t>管制药品</w:t>
            </w:r>
            <w:r>
              <w:rPr>
                <w:sz w:val="21"/>
              </w:rPr>
              <w:t>（见</w:t>
            </w:r>
            <w:r>
              <w:rPr>
                <w:w w:val="100"/>
                <w:sz w:val="21"/>
              </w:rPr>
              <w:t>9.10</w:t>
            </w:r>
            <w:r>
              <w:rPr>
                <w:spacing w:val="-106"/>
                <w:w w:val="100"/>
                <w:sz w:val="21"/>
              </w:rPr>
              <w:t>）</w:t>
            </w:r>
            <w:r>
              <w:rPr>
                <w:w w:val="100"/>
                <w:sz w:val="21"/>
              </w:rPr>
              <w:t>；</w:t>
            </w:r>
          </w:p>
          <w:p>
            <w:pPr>
              <w:pStyle w:val="TableParagraph"/>
              <w:numPr>
                <w:ilvl w:val="0"/>
                <w:numId w:val="6"/>
              </w:numPr>
              <w:tabs>
                <w:tab w:pos="1098" w:val="left" w:leader="none"/>
              </w:tabs>
              <w:spacing w:line="247" w:lineRule="auto" w:before="0" w:after="0"/>
              <w:ind w:left="1097" w:right="3" w:hanging="624"/>
              <w:jc w:val="left"/>
              <w:rPr>
                <w:sz w:val="21"/>
              </w:rPr>
            </w:pPr>
            <w:r>
              <w:rPr>
                <w:spacing w:val="-2"/>
                <w:w w:val="100"/>
                <w:sz w:val="21"/>
              </w:rPr>
              <w:t>被保险人</w:t>
            </w:r>
            <w:r>
              <w:rPr>
                <w:rFonts w:ascii="微软雅黑" w:eastAsia="微软雅黑" w:hint="eastAsia"/>
                <w:b/>
                <w:spacing w:val="-2"/>
                <w:w w:val="100"/>
                <w:sz w:val="21"/>
              </w:rPr>
              <w:t>酒后驾驶</w:t>
            </w:r>
            <w:r>
              <w:rPr>
                <w:spacing w:val="-5"/>
                <w:w w:val="100"/>
                <w:sz w:val="21"/>
              </w:rPr>
              <w:t>（</w:t>
            </w:r>
            <w:r>
              <w:rPr>
                <w:w w:val="100"/>
                <w:sz w:val="21"/>
              </w:rPr>
              <w:t>见</w:t>
            </w:r>
            <w:r>
              <w:rPr>
                <w:spacing w:val="-53"/>
                <w:sz w:val="21"/>
              </w:rPr>
              <w:t> </w:t>
            </w:r>
            <w:r>
              <w:rPr>
                <w:w w:val="100"/>
                <w:sz w:val="21"/>
              </w:rPr>
              <w:t>9.11</w:t>
            </w:r>
            <w:r>
              <w:rPr>
                <w:spacing w:val="-106"/>
                <w:w w:val="100"/>
                <w:sz w:val="21"/>
              </w:rPr>
              <w:t>）</w:t>
            </w:r>
            <w:r>
              <w:rPr>
                <w:spacing w:val="-15"/>
                <w:w w:val="100"/>
                <w:sz w:val="21"/>
              </w:rPr>
              <w:t>、</w:t>
            </w:r>
            <w:r>
              <w:rPr>
                <w:rFonts w:ascii="微软雅黑" w:eastAsia="微软雅黑" w:hint="eastAsia"/>
                <w:b/>
                <w:spacing w:val="-1"/>
                <w:w w:val="100"/>
                <w:sz w:val="21"/>
              </w:rPr>
              <w:t>无有效驾驶证驾驶</w:t>
            </w:r>
            <w:r>
              <w:rPr>
                <w:spacing w:val="-5"/>
                <w:w w:val="100"/>
                <w:sz w:val="21"/>
              </w:rPr>
              <w:t>（</w:t>
            </w:r>
            <w:r>
              <w:rPr>
                <w:w w:val="100"/>
                <w:sz w:val="21"/>
              </w:rPr>
              <w:t>见</w:t>
            </w:r>
            <w:r>
              <w:rPr>
                <w:spacing w:val="-52"/>
                <w:sz w:val="21"/>
              </w:rPr>
              <w:t> </w:t>
            </w:r>
            <w:r>
              <w:rPr>
                <w:w w:val="100"/>
                <w:sz w:val="21"/>
              </w:rPr>
              <w:t>9.12</w:t>
            </w:r>
            <w:r>
              <w:rPr>
                <w:spacing w:val="-10"/>
                <w:w w:val="100"/>
                <w:sz w:val="21"/>
              </w:rPr>
              <w:t>）</w:t>
            </w:r>
            <w:r>
              <w:rPr>
                <w:w w:val="100"/>
                <w:sz w:val="21"/>
              </w:rPr>
              <w:t>或驾驶</w:t>
            </w:r>
            <w:r>
              <w:rPr>
                <w:rFonts w:ascii="微软雅黑" w:eastAsia="微软雅黑" w:hint="eastAsia"/>
                <w:b/>
                <w:spacing w:val="-8"/>
                <w:w w:val="100"/>
                <w:sz w:val="21"/>
              </w:rPr>
              <w:t>无有效行驶证</w:t>
            </w:r>
            <w:r>
              <w:rPr>
                <w:w w:val="100"/>
                <w:sz w:val="21"/>
              </w:rPr>
              <w:t>（见</w:t>
            </w:r>
            <w:r>
              <w:rPr>
                <w:spacing w:val="-53"/>
                <w:sz w:val="21"/>
              </w:rPr>
              <w:t> </w:t>
            </w:r>
            <w:r>
              <w:rPr>
                <w:w w:val="100"/>
                <w:sz w:val="21"/>
              </w:rPr>
              <w:t>9</w:t>
            </w:r>
            <w:r>
              <w:rPr>
                <w:spacing w:val="-5"/>
                <w:w w:val="100"/>
                <w:sz w:val="21"/>
              </w:rPr>
              <w:t>.</w:t>
            </w:r>
            <w:r>
              <w:rPr>
                <w:w w:val="100"/>
                <w:sz w:val="21"/>
              </w:rPr>
              <w:t>13</w:t>
            </w:r>
            <w:r>
              <w:rPr>
                <w:spacing w:val="-48"/>
                <w:w w:val="100"/>
                <w:sz w:val="21"/>
              </w:rPr>
              <w:t>）</w:t>
            </w:r>
            <w:r>
              <w:rPr>
                <w:spacing w:val="-5"/>
                <w:w w:val="100"/>
                <w:sz w:val="21"/>
              </w:rPr>
              <w:t>的</w:t>
            </w:r>
            <w:r>
              <w:rPr>
                <w:rFonts w:ascii="微软雅黑" w:eastAsia="微软雅黑" w:hint="eastAsia"/>
                <w:b/>
                <w:spacing w:val="-16"/>
                <w:w w:val="100"/>
                <w:sz w:val="21"/>
              </w:rPr>
              <w:t>机动车</w:t>
            </w:r>
            <w:r>
              <w:rPr>
                <w:w w:val="100"/>
                <w:sz w:val="21"/>
              </w:rPr>
              <w:t>（见</w:t>
            </w:r>
            <w:r>
              <w:rPr>
                <w:spacing w:val="-53"/>
                <w:sz w:val="21"/>
              </w:rPr>
              <w:t> </w:t>
            </w:r>
            <w:r>
              <w:rPr>
                <w:w w:val="100"/>
                <w:sz w:val="21"/>
              </w:rPr>
              <w:t>9</w:t>
            </w:r>
            <w:r>
              <w:rPr>
                <w:spacing w:val="-5"/>
                <w:w w:val="100"/>
                <w:sz w:val="21"/>
              </w:rPr>
              <w:t>.</w:t>
            </w:r>
            <w:r>
              <w:rPr>
                <w:w w:val="100"/>
                <w:sz w:val="21"/>
              </w:rPr>
              <w:t>14</w:t>
            </w:r>
            <w:r>
              <w:rPr>
                <w:spacing w:val="-106"/>
                <w:w w:val="100"/>
                <w:sz w:val="21"/>
              </w:rPr>
              <w:t>）</w:t>
            </w:r>
            <w:r>
              <w:rPr>
                <w:spacing w:val="-53"/>
                <w:w w:val="100"/>
                <w:sz w:val="21"/>
              </w:rPr>
              <w:t>、</w:t>
            </w:r>
            <w:r>
              <w:rPr>
                <w:rFonts w:ascii="微软雅黑" w:eastAsia="微软雅黑" w:hint="eastAsia"/>
                <w:b/>
                <w:spacing w:val="-8"/>
                <w:w w:val="100"/>
                <w:sz w:val="21"/>
              </w:rPr>
              <w:t>助动交通工具</w:t>
            </w:r>
            <w:r>
              <w:rPr>
                <w:w w:val="100"/>
                <w:sz w:val="21"/>
              </w:rPr>
              <w:t>（9.15</w:t>
            </w:r>
            <w:r>
              <w:rPr>
                <w:spacing w:val="-110"/>
                <w:w w:val="100"/>
                <w:sz w:val="21"/>
              </w:rPr>
              <w:t>）</w:t>
            </w:r>
            <w:r>
              <w:rPr>
                <w:w w:val="100"/>
                <w:sz w:val="21"/>
              </w:rPr>
              <w:t>；</w:t>
            </w:r>
          </w:p>
          <w:p>
            <w:pPr>
              <w:pStyle w:val="TableParagraph"/>
              <w:numPr>
                <w:ilvl w:val="0"/>
                <w:numId w:val="6"/>
              </w:numPr>
              <w:tabs>
                <w:tab w:pos="1098" w:val="left" w:leader="none"/>
              </w:tabs>
              <w:spacing w:line="240" w:lineRule="auto" w:before="9" w:after="0"/>
              <w:ind w:left="1097" w:right="0" w:hanging="624"/>
              <w:jc w:val="left"/>
              <w:rPr>
                <w:sz w:val="21"/>
              </w:rPr>
            </w:pPr>
            <w:r>
              <w:rPr>
                <w:spacing w:val="-2"/>
                <w:sz w:val="21"/>
              </w:rPr>
              <w:t>被保险人非因输血而</w:t>
            </w:r>
            <w:r>
              <w:rPr>
                <w:rFonts w:ascii="微软雅黑" w:eastAsia="微软雅黑" w:hint="eastAsia"/>
                <w:b/>
                <w:sz w:val="21"/>
              </w:rPr>
              <w:t>感染艾滋病病毒或患艾滋病</w:t>
            </w:r>
            <w:r>
              <w:rPr>
                <w:spacing w:val="-5"/>
                <w:sz w:val="21"/>
              </w:rPr>
              <w:t>（</w:t>
            </w:r>
            <w:r>
              <w:rPr>
                <w:spacing w:val="-11"/>
                <w:sz w:val="21"/>
              </w:rPr>
              <w:t>见 </w:t>
            </w:r>
            <w:r>
              <w:rPr>
                <w:sz w:val="21"/>
              </w:rPr>
              <w:t>9.16）</w:t>
            </w:r>
            <w:r>
              <w:rPr>
                <w:spacing w:val="-2"/>
                <w:sz w:val="21"/>
              </w:rPr>
              <w:t>期间；</w:t>
            </w:r>
          </w:p>
          <w:p>
            <w:pPr>
              <w:pStyle w:val="TableParagraph"/>
              <w:numPr>
                <w:ilvl w:val="0"/>
                <w:numId w:val="6"/>
              </w:numPr>
              <w:tabs>
                <w:tab w:pos="1098" w:val="left" w:leader="none"/>
              </w:tabs>
              <w:spacing w:line="288" w:lineRule="auto" w:before="12" w:after="0"/>
              <w:ind w:left="1097" w:right="104" w:hanging="624"/>
              <w:jc w:val="left"/>
              <w:rPr>
                <w:sz w:val="21"/>
              </w:rPr>
            </w:pPr>
            <w:r>
              <w:rPr>
                <w:spacing w:val="-8"/>
                <w:sz w:val="21"/>
              </w:rPr>
              <w:t>战争、军事冲突、暴乱、</w:t>
            </w:r>
            <w:r>
              <w:rPr>
                <w:rFonts w:ascii="微软雅黑" w:eastAsia="微软雅黑" w:hint="eastAsia"/>
                <w:b/>
                <w:spacing w:val="-3"/>
                <w:sz w:val="21"/>
              </w:rPr>
              <w:t>恐怖活动</w:t>
            </w:r>
            <w:r>
              <w:rPr>
                <w:sz w:val="21"/>
              </w:rPr>
              <w:t>（</w:t>
            </w:r>
            <w:r>
              <w:rPr>
                <w:spacing w:val="-12"/>
                <w:sz w:val="21"/>
              </w:rPr>
              <w:t>见 </w:t>
            </w:r>
            <w:r>
              <w:rPr>
                <w:spacing w:val="-4"/>
                <w:sz w:val="21"/>
              </w:rPr>
              <w:t>9.17）</w:t>
            </w:r>
            <w:r>
              <w:rPr>
                <w:spacing w:val="-5"/>
                <w:sz w:val="21"/>
              </w:rPr>
              <w:t>或武装叛乱</w:t>
            </w:r>
            <w:r>
              <w:rPr>
                <w:sz w:val="21"/>
              </w:rPr>
              <w:t>（以上行为</w:t>
            </w:r>
            <w:r>
              <w:rPr>
                <w:spacing w:val="-2"/>
                <w:w w:val="100"/>
                <w:sz w:val="21"/>
              </w:rPr>
              <w:t>以政府宣告或认定为准</w:t>
            </w:r>
            <w:r>
              <w:rPr>
                <w:spacing w:val="-106"/>
                <w:w w:val="100"/>
                <w:sz w:val="21"/>
              </w:rPr>
              <w:t>）</w:t>
            </w:r>
            <w:r>
              <w:rPr>
                <w:w w:val="100"/>
                <w:sz w:val="21"/>
              </w:rPr>
              <w:t>；</w:t>
            </w:r>
          </w:p>
          <w:p>
            <w:pPr>
              <w:pStyle w:val="TableParagraph"/>
              <w:numPr>
                <w:ilvl w:val="0"/>
                <w:numId w:val="6"/>
              </w:numPr>
              <w:tabs>
                <w:tab w:pos="1098" w:val="left" w:leader="none"/>
              </w:tabs>
              <w:spacing w:line="240" w:lineRule="auto" w:before="57" w:after="0"/>
              <w:ind w:left="1097" w:right="0" w:hanging="624"/>
              <w:jc w:val="left"/>
              <w:rPr>
                <w:sz w:val="21"/>
              </w:rPr>
            </w:pPr>
            <w:r>
              <w:rPr>
                <w:spacing w:val="-5"/>
                <w:sz w:val="21"/>
              </w:rPr>
              <w:t>核爆炸、核辐射或核污染，或由前述情形引起的疾病；</w:t>
            </w:r>
          </w:p>
          <w:p>
            <w:pPr>
              <w:pStyle w:val="TableParagraph"/>
              <w:numPr>
                <w:ilvl w:val="0"/>
                <w:numId w:val="6"/>
              </w:numPr>
              <w:tabs>
                <w:tab w:pos="1098" w:val="left" w:leader="none"/>
              </w:tabs>
              <w:spacing w:line="240" w:lineRule="auto" w:before="84" w:after="0"/>
              <w:ind w:left="1097" w:right="0" w:hanging="624"/>
              <w:jc w:val="left"/>
              <w:rPr>
                <w:sz w:val="21"/>
              </w:rPr>
            </w:pPr>
            <w:r>
              <w:rPr>
                <w:spacing w:val="-4"/>
                <w:sz w:val="21"/>
              </w:rPr>
              <w:t>遗传性疾病,先天性畸形、变形或染色体异常。</w:t>
            </w:r>
          </w:p>
          <w:p>
            <w:pPr>
              <w:pStyle w:val="TableParagraph"/>
              <w:spacing w:line="232" w:lineRule="auto" w:before="40"/>
              <w:ind w:left="473" w:right="105"/>
              <w:rPr>
                <w:sz w:val="21"/>
              </w:rPr>
            </w:pPr>
            <w:r>
              <w:rPr>
                <w:sz w:val="21"/>
              </w:rPr>
              <w:t>发生上述第（1）项情形导致被保险人身故或全残的，本附加险合同效力即</w:t>
            </w:r>
            <w:r>
              <w:rPr>
                <w:spacing w:val="-5"/>
                <w:w w:val="100"/>
                <w:sz w:val="21"/>
              </w:rPr>
              <w:t>行终止，本公司向保险金受益人退还本附加险合同的</w:t>
            </w:r>
            <w:r>
              <w:rPr>
                <w:rFonts w:ascii="微软雅黑" w:eastAsia="微软雅黑" w:hint="eastAsia"/>
                <w:b/>
                <w:w w:val="100"/>
                <w:sz w:val="21"/>
              </w:rPr>
              <w:t>现金价值</w:t>
            </w:r>
            <w:r>
              <w:rPr>
                <w:w w:val="100"/>
                <w:sz w:val="21"/>
              </w:rPr>
              <w:t>（见</w:t>
            </w:r>
            <w:r>
              <w:rPr>
                <w:spacing w:val="-53"/>
                <w:sz w:val="21"/>
              </w:rPr>
              <w:t> </w:t>
            </w:r>
            <w:r>
              <w:rPr>
                <w:w w:val="100"/>
                <w:sz w:val="21"/>
              </w:rPr>
              <w:t>9.1</w:t>
            </w:r>
            <w:r>
              <w:rPr>
                <w:spacing w:val="-5"/>
                <w:w w:val="100"/>
                <w:sz w:val="21"/>
              </w:rPr>
              <w:t>8</w:t>
            </w:r>
            <w:r>
              <w:rPr>
                <w:spacing w:val="-106"/>
                <w:w w:val="100"/>
                <w:sz w:val="21"/>
              </w:rPr>
              <w:t>）</w:t>
            </w:r>
            <w:r>
              <w:rPr>
                <w:w w:val="100"/>
                <w:sz w:val="21"/>
              </w:rPr>
              <w:t>。</w:t>
            </w:r>
          </w:p>
          <w:p>
            <w:pPr>
              <w:pStyle w:val="TableParagraph"/>
              <w:spacing w:line="285" w:lineRule="auto" w:before="26"/>
              <w:ind w:left="473" w:right="105"/>
              <w:rPr>
                <w:sz w:val="21"/>
              </w:rPr>
            </w:pPr>
            <w:r>
              <w:rPr>
                <w:sz w:val="21"/>
              </w:rPr>
              <w:t>发生上述其他情形导致被保险人身故或全残的，本附加险合同效力即行终止，本公司向投保人退还本附加险合同的现金价值。</w:t>
            </w:r>
          </w:p>
        </w:tc>
      </w:tr>
      <w:tr>
        <w:trPr>
          <w:trHeight w:val="501" w:hRule="atLeast"/>
        </w:trPr>
        <w:tc>
          <w:tcPr>
            <w:tcW w:w="641" w:type="dxa"/>
          </w:tcPr>
          <w:p>
            <w:pPr>
              <w:pStyle w:val="TableParagraph"/>
              <w:spacing w:before="37"/>
              <w:ind w:left="110"/>
              <w:rPr>
                <w:rFonts w:ascii="微软雅黑"/>
                <w:b/>
                <w:sz w:val="21"/>
              </w:rPr>
            </w:pPr>
            <w:r>
              <w:rPr>
                <w:rFonts w:ascii="微软雅黑"/>
                <w:b/>
                <w:sz w:val="21"/>
              </w:rPr>
              <w:t>2.3</w:t>
            </w:r>
          </w:p>
        </w:tc>
        <w:tc>
          <w:tcPr>
            <w:tcW w:w="1954" w:type="dxa"/>
          </w:tcPr>
          <w:p>
            <w:pPr>
              <w:pStyle w:val="TableParagraph"/>
              <w:spacing w:before="37"/>
              <w:ind w:left="213"/>
              <w:rPr>
                <w:rFonts w:ascii="微软雅黑" w:eastAsia="微软雅黑" w:hint="eastAsia"/>
                <w:b/>
                <w:sz w:val="21"/>
              </w:rPr>
            </w:pPr>
            <w:r>
              <w:rPr>
                <w:rFonts w:ascii="微软雅黑" w:eastAsia="微软雅黑" w:hint="eastAsia"/>
                <w:b/>
                <w:sz w:val="21"/>
              </w:rPr>
              <w:t>保险期间</w:t>
            </w:r>
          </w:p>
        </w:tc>
        <w:tc>
          <w:tcPr>
            <w:tcW w:w="7494" w:type="dxa"/>
          </w:tcPr>
          <w:p>
            <w:pPr>
              <w:pStyle w:val="TableParagraph"/>
              <w:spacing w:before="100"/>
              <w:ind w:left="473"/>
              <w:rPr>
                <w:sz w:val="21"/>
              </w:rPr>
            </w:pPr>
            <w:r>
              <w:rPr>
                <w:sz w:val="21"/>
              </w:rPr>
              <w:t>本附加险合同的保险期间与主险合同一致。</w:t>
            </w:r>
          </w:p>
        </w:tc>
      </w:tr>
      <w:tr>
        <w:trPr>
          <w:trHeight w:val="910" w:hRule="atLeast"/>
        </w:trPr>
        <w:tc>
          <w:tcPr>
            <w:tcW w:w="641" w:type="dxa"/>
          </w:tcPr>
          <w:p>
            <w:pPr>
              <w:pStyle w:val="TableParagraph"/>
              <w:spacing w:line="354" w:lineRule="exact"/>
              <w:ind w:left="110"/>
              <w:rPr>
                <w:rFonts w:ascii="微软雅黑"/>
                <w:b/>
                <w:sz w:val="21"/>
              </w:rPr>
            </w:pPr>
            <w:r>
              <w:rPr>
                <w:rFonts w:ascii="微软雅黑"/>
                <w:b/>
                <w:sz w:val="21"/>
              </w:rPr>
              <w:t>2.4</w:t>
            </w:r>
          </w:p>
        </w:tc>
        <w:tc>
          <w:tcPr>
            <w:tcW w:w="1954" w:type="dxa"/>
          </w:tcPr>
          <w:p>
            <w:pPr>
              <w:pStyle w:val="TableParagraph"/>
              <w:spacing w:line="354" w:lineRule="exact"/>
              <w:ind w:left="213"/>
              <w:rPr>
                <w:rFonts w:ascii="微软雅黑" w:eastAsia="微软雅黑" w:hint="eastAsia"/>
                <w:b/>
                <w:sz w:val="21"/>
              </w:rPr>
            </w:pPr>
            <w:r>
              <w:rPr>
                <w:rFonts w:ascii="微软雅黑" w:eastAsia="微软雅黑" w:hint="eastAsia"/>
                <w:b/>
                <w:sz w:val="21"/>
              </w:rPr>
              <w:t>保险金额</w:t>
            </w:r>
          </w:p>
        </w:tc>
        <w:tc>
          <w:tcPr>
            <w:tcW w:w="7494" w:type="dxa"/>
          </w:tcPr>
          <w:p>
            <w:pPr>
              <w:pStyle w:val="TableParagraph"/>
              <w:spacing w:line="326" w:lineRule="auto" w:before="54"/>
              <w:ind w:left="473" w:right="86"/>
              <w:rPr>
                <w:sz w:val="21"/>
              </w:rPr>
            </w:pPr>
            <w:r>
              <w:rPr>
                <w:sz w:val="21"/>
              </w:rPr>
              <w:t>本附加险合同基本保险金额由投保人与本公司在投保时约定。若该金额发生变更，则以变更后的金额为基本保险金额。</w:t>
            </w:r>
          </w:p>
        </w:tc>
      </w:tr>
      <w:tr>
        <w:trPr>
          <w:trHeight w:val="685" w:hRule="atLeast"/>
        </w:trPr>
        <w:tc>
          <w:tcPr>
            <w:tcW w:w="641" w:type="dxa"/>
            <w:tcBorders>
              <w:bottom w:val="single" w:sz="4" w:space="0" w:color="000000"/>
            </w:tcBorders>
          </w:tcPr>
          <w:p>
            <w:pPr>
              <w:pStyle w:val="TableParagraph"/>
              <w:spacing w:before="185"/>
              <w:ind w:left="110"/>
              <w:rPr>
                <w:rFonts w:ascii="Times New Roman"/>
                <w:b/>
                <w:sz w:val="32"/>
              </w:rPr>
            </w:pPr>
            <w:r>
              <w:rPr>
                <w:rFonts w:ascii="Times New Roman"/>
                <w:b/>
                <w:w w:val="100"/>
                <w:sz w:val="32"/>
              </w:rPr>
              <w:t>3</w:t>
            </w:r>
          </w:p>
        </w:tc>
        <w:tc>
          <w:tcPr>
            <w:tcW w:w="9448" w:type="dxa"/>
            <w:gridSpan w:val="2"/>
            <w:tcBorders>
              <w:bottom w:val="single" w:sz="4" w:space="0" w:color="000000"/>
            </w:tcBorders>
          </w:tcPr>
          <w:p>
            <w:pPr>
              <w:pStyle w:val="TableParagraph"/>
              <w:spacing w:before="103"/>
              <w:ind w:left="213"/>
              <w:rPr>
                <w:rFonts w:ascii="微软雅黑" w:eastAsia="微软雅黑" w:hint="eastAsia"/>
                <w:b/>
                <w:sz w:val="24"/>
              </w:rPr>
            </w:pPr>
            <w:r>
              <w:rPr>
                <w:rFonts w:ascii="微软雅黑" w:eastAsia="微软雅黑" w:hint="eastAsia"/>
                <w:b/>
                <w:sz w:val="24"/>
              </w:rPr>
              <w:t>如何申请领取保险金</w:t>
            </w:r>
          </w:p>
        </w:tc>
      </w:tr>
      <w:tr>
        <w:trPr>
          <w:trHeight w:val="605" w:hRule="atLeast"/>
        </w:trPr>
        <w:tc>
          <w:tcPr>
            <w:tcW w:w="641" w:type="dxa"/>
            <w:tcBorders>
              <w:top w:val="single" w:sz="4" w:space="0" w:color="000000"/>
            </w:tcBorders>
          </w:tcPr>
          <w:p>
            <w:pPr>
              <w:pStyle w:val="TableParagraph"/>
              <w:spacing w:before="100"/>
              <w:ind w:left="110"/>
              <w:rPr>
                <w:rFonts w:ascii="微软雅黑"/>
                <w:b/>
                <w:sz w:val="21"/>
              </w:rPr>
            </w:pPr>
            <w:r>
              <w:rPr>
                <w:rFonts w:ascii="微软雅黑"/>
                <w:b/>
                <w:sz w:val="21"/>
              </w:rPr>
              <w:t>3.1</w:t>
            </w:r>
          </w:p>
        </w:tc>
        <w:tc>
          <w:tcPr>
            <w:tcW w:w="1954" w:type="dxa"/>
            <w:tcBorders>
              <w:top w:val="single" w:sz="4" w:space="0" w:color="000000"/>
            </w:tcBorders>
          </w:tcPr>
          <w:p>
            <w:pPr>
              <w:pStyle w:val="TableParagraph"/>
              <w:spacing w:before="100"/>
              <w:ind w:left="213"/>
              <w:rPr>
                <w:rFonts w:ascii="微软雅黑" w:eastAsia="微软雅黑" w:hint="eastAsia"/>
                <w:b/>
                <w:sz w:val="21"/>
              </w:rPr>
            </w:pPr>
            <w:r>
              <w:rPr>
                <w:rFonts w:ascii="微软雅黑" w:eastAsia="微软雅黑" w:hint="eastAsia"/>
                <w:b/>
                <w:sz w:val="21"/>
              </w:rPr>
              <w:t>受益人</w:t>
            </w:r>
          </w:p>
        </w:tc>
        <w:tc>
          <w:tcPr>
            <w:tcW w:w="7494" w:type="dxa"/>
            <w:tcBorders>
              <w:top w:val="single" w:sz="4" w:space="0" w:color="000000"/>
            </w:tcBorders>
          </w:tcPr>
          <w:p>
            <w:pPr>
              <w:pStyle w:val="TableParagraph"/>
              <w:spacing w:before="134"/>
              <w:ind w:left="473"/>
              <w:rPr>
                <w:sz w:val="21"/>
              </w:rPr>
            </w:pPr>
            <w:r>
              <w:rPr>
                <w:sz w:val="21"/>
              </w:rPr>
              <w:t>除另有约定外，本附加险合同的重大疾病保险金受益人为被保险人本人。</w:t>
            </w:r>
          </w:p>
        </w:tc>
      </w:tr>
      <w:tr>
        <w:trPr>
          <w:trHeight w:val="3536" w:hRule="atLeast"/>
        </w:trPr>
        <w:tc>
          <w:tcPr>
            <w:tcW w:w="641" w:type="dxa"/>
          </w:tcPr>
          <w:p>
            <w:pPr>
              <w:pStyle w:val="TableParagraph"/>
              <w:spacing w:before="32"/>
              <w:ind w:left="110"/>
              <w:rPr>
                <w:rFonts w:ascii="微软雅黑"/>
                <w:b/>
                <w:sz w:val="21"/>
              </w:rPr>
            </w:pPr>
            <w:r>
              <w:rPr>
                <w:rFonts w:ascii="微软雅黑"/>
                <w:b/>
                <w:sz w:val="21"/>
              </w:rPr>
              <w:t>3.2</w:t>
            </w:r>
          </w:p>
        </w:tc>
        <w:tc>
          <w:tcPr>
            <w:tcW w:w="1954" w:type="dxa"/>
          </w:tcPr>
          <w:p>
            <w:pPr>
              <w:pStyle w:val="TableParagraph"/>
              <w:spacing w:before="32"/>
              <w:ind w:left="213"/>
              <w:rPr>
                <w:rFonts w:ascii="微软雅黑" w:eastAsia="微软雅黑" w:hint="eastAsia"/>
                <w:b/>
                <w:sz w:val="21"/>
              </w:rPr>
            </w:pPr>
            <w:r>
              <w:rPr>
                <w:rFonts w:ascii="微软雅黑" w:eastAsia="微软雅黑" w:hint="eastAsia"/>
                <w:b/>
                <w:sz w:val="21"/>
              </w:rPr>
              <w:t>保险事故通知</w:t>
            </w:r>
          </w:p>
        </w:tc>
        <w:tc>
          <w:tcPr>
            <w:tcW w:w="7494" w:type="dxa"/>
          </w:tcPr>
          <w:p>
            <w:pPr>
              <w:pStyle w:val="TableParagraph"/>
              <w:spacing w:line="285" w:lineRule="auto" w:before="32"/>
              <w:ind w:left="473" w:right="109"/>
              <w:jc w:val="both"/>
              <w:rPr>
                <w:sz w:val="21"/>
              </w:rPr>
            </w:pPr>
            <w:r>
              <w:rPr>
                <w:spacing w:val="-6"/>
                <w:sz w:val="21"/>
              </w:rPr>
              <w:t>投保人、被保险人或受益人自其知道或应当知道</w:t>
            </w:r>
            <w:r>
              <w:rPr>
                <w:rFonts w:ascii="微软雅黑" w:eastAsia="微软雅黑" w:hint="eastAsia"/>
                <w:b/>
                <w:spacing w:val="-6"/>
                <w:sz w:val="21"/>
              </w:rPr>
              <w:t>保险事故</w:t>
            </w:r>
            <w:r>
              <w:rPr>
                <w:sz w:val="21"/>
              </w:rPr>
              <w:t>（</w:t>
            </w:r>
            <w:r>
              <w:rPr>
                <w:spacing w:val="-10"/>
                <w:sz w:val="21"/>
              </w:rPr>
              <w:t>见 </w:t>
            </w:r>
            <w:r>
              <w:rPr>
                <w:spacing w:val="-6"/>
                <w:sz w:val="21"/>
              </w:rPr>
              <w:t>9.19）</w:t>
            </w:r>
            <w:r>
              <w:rPr>
                <w:spacing w:val="-2"/>
                <w:sz w:val="21"/>
              </w:rPr>
              <w:t>发生之</w:t>
            </w:r>
            <w:r>
              <w:rPr>
                <w:spacing w:val="-13"/>
                <w:sz w:val="21"/>
              </w:rPr>
              <w:t>日起 </w:t>
            </w:r>
            <w:r>
              <w:rPr>
                <w:sz w:val="21"/>
              </w:rPr>
              <w:t>7</w:t>
            </w:r>
            <w:r>
              <w:rPr>
                <w:spacing w:val="-9"/>
                <w:sz w:val="21"/>
              </w:rPr>
              <w:t> 日内通知本公司。否则投保人、被保险人或受益人应承担由于通知迟</w:t>
            </w:r>
            <w:r>
              <w:rPr>
                <w:spacing w:val="-10"/>
                <w:sz w:val="21"/>
              </w:rPr>
              <w:t>延致使本公司增加的勘查、检验等各项费用，但因</w:t>
            </w:r>
            <w:r>
              <w:rPr>
                <w:rFonts w:ascii="微软雅黑" w:eastAsia="微软雅黑" w:hint="eastAsia"/>
                <w:b/>
                <w:spacing w:val="-5"/>
                <w:sz w:val="21"/>
              </w:rPr>
              <w:t>不可抗力</w:t>
            </w:r>
            <w:r>
              <w:rPr>
                <w:sz w:val="21"/>
              </w:rPr>
              <w:t>（</w:t>
            </w:r>
            <w:r>
              <w:rPr>
                <w:spacing w:val="-10"/>
                <w:sz w:val="21"/>
              </w:rPr>
              <w:t>见 </w:t>
            </w:r>
            <w:r>
              <w:rPr>
                <w:spacing w:val="-5"/>
                <w:sz w:val="21"/>
              </w:rPr>
              <w:t>9.20）导致的迟延除外。通知内容包括：事故情况、原因、伤亡情况以及本公司需要了</w:t>
            </w:r>
          </w:p>
          <w:p>
            <w:pPr>
              <w:pStyle w:val="TableParagraph"/>
              <w:spacing w:before="59"/>
              <w:ind w:left="473"/>
              <w:rPr>
                <w:sz w:val="21"/>
              </w:rPr>
            </w:pPr>
            <w:r>
              <w:rPr>
                <w:sz w:val="21"/>
              </w:rPr>
              <w:t>解的其他情况。</w:t>
            </w:r>
          </w:p>
          <w:p>
            <w:pPr>
              <w:pStyle w:val="TableParagraph"/>
              <w:spacing w:line="326" w:lineRule="auto" w:before="99"/>
              <w:ind w:left="473" w:right="110"/>
              <w:jc w:val="both"/>
              <w:rPr>
                <w:sz w:val="21"/>
              </w:rPr>
            </w:pPr>
            <w:r>
              <w:rPr>
                <w:spacing w:val="-6"/>
                <w:sz w:val="21"/>
              </w:rPr>
              <w:t>投保人、被保险人或受益人故意或者因重大过失未及时通知，致使保险事故</w:t>
            </w:r>
            <w:r>
              <w:rPr>
                <w:spacing w:val="-8"/>
                <w:sz w:val="21"/>
              </w:rPr>
              <w:t>的性质、原因等难以确定的，本公司对无法确定的部分，不承担给付保险金的责任，但本公司通过其他途径已经及时知道或者应当及时知道保险事故发生的除外。</w:t>
            </w:r>
          </w:p>
        </w:tc>
      </w:tr>
      <w:tr>
        <w:trPr>
          <w:trHeight w:val="376" w:hRule="atLeast"/>
        </w:trPr>
        <w:tc>
          <w:tcPr>
            <w:tcW w:w="641" w:type="dxa"/>
          </w:tcPr>
          <w:p>
            <w:pPr>
              <w:pStyle w:val="TableParagraph"/>
              <w:spacing w:line="322" w:lineRule="exact" w:before="35"/>
              <w:ind w:left="110"/>
              <w:rPr>
                <w:rFonts w:ascii="微软雅黑"/>
                <w:b/>
                <w:sz w:val="21"/>
              </w:rPr>
            </w:pPr>
            <w:r>
              <w:rPr>
                <w:rFonts w:ascii="微软雅黑"/>
                <w:b/>
                <w:sz w:val="21"/>
              </w:rPr>
              <w:t>3.3</w:t>
            </w:r>
          </w:p>
        </w:tc>
        <w:tc>
          <w:tcPr>
            <w:tcW w:w="1954" w:type="dxa"/>
          </w:tcPr>
          <w:p>
            <w:pPr>
              <w:pStyle w:val="TableParagraph"/>
              <w:spacing w:line="322" w:lineRule="exact" w:before="35"/>
              <w:ind w:left="213"/>
              <w:rPr>
                <w:rFonts w:ascii="微软雅黑" w:eastAsia="微软雅黑" w:hint="eastAsia"/>
                <w:b/>
                <w:sz w:val="21"/>
              </w:rPr>
            </w:pPr>
            <w:r>
              <w:rPr>
                <w:rFonts w:ascii="微软雅黑" w:eastAsia="微软雅黑" w:hint="eastAsia"/>
                <w:b/>
                <w:sz w:val="21"/>
              </w:rPr>
              <w:t>保险金申请</w:t>
            </w:r>
          </w:p>
        </w:tc>
        <w:tc>
          <w:tcPr>
            <w:tcW w:w="7494" w:type="dxa"/>
          </w:tcPr>
          <w:p>
            <w:pPr>
              <w:pStyle w:val="TableParagraph"/>
              <w:spacing w:line="259" w:lineRule="exact" w:before="97"/>
              <w:ind w:left="473"/>
              <w:rPr>
                <w:sz w:val="21"/>
              </w:rPr>
            </w:pPr>
            <w:r>
              <w:rPr>
                <w:sz w:val="21"/>
              </w:rPr>
              <w:t>在申请保险金时，请按照下列方式办理：</w:t>
            </w:r>
          </w:p>
        </w:tc>
      </w:tr>
    </w:tbl>
    <w:p>
      <w:pPr>
        <w:spacing w:after="0" w:line="259" w:lineRule="exact"/>
        <w:rPr>
          <w:sz w:val="21"/>
        </w:rPr>
        <w:sectPr>
          <w:pgSz w:w="11910" w:h="16840"/>
          <w:pgMar w:header="0" w:footer="377" w:top="1360" w:bottom="560" w:left="80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2060"/>
        <w:gridCol w:w="7388"/>
      </w:tblGrid>
      <w:tr>
        <w:trPr>
          <w:trHeight w:val="2007" w:hRule="atLeast"/>
        </w:trPr>
        <w:tc>
          <w:tcPr>
            <w:tcW w:w="641" w:type="dxa"/>
          </w:tcPr>
          <w:p>
            <w:pPr>
              <w:pStyle w:val="TableParagraph"/>
              <w:ind w:left="0"/>
              <w:rPr>
                <w:rFonts w:ascii="Times New Roman"/>
                <w:sz w:val="20"/>
              </w:rPr>
            </w:pPr>
          </w:p>
        </w:tc>
        <w:tc>
          <w:tcPr>
            <w:tcW w:w="2060" w:type="dxa"/>
          </w:tcPr>
          <w:p>
            <w:pPr>
              <w:pStyle w:val="TableParagraph"/>
              <w:ind w:left="0"/>
              <w:rPr>
                <w:rFonts w:ascii="Times New Roman"/>
                <w:sz w:val="20"/>
              </w:rPr>
            </w:pPr>
          </w:p>
        </w:tc>
        <w:tc>
          <w:tcPr>
            <w:tcW w:w="7388" w:type="dxa"/>
          </w:tcPr>
          <w:p>
            <w:pPr>
              <w:pStyle w:val="TableParagraph"/>
              <w:spacing w:line="204" w:lineRule="exact"/>
              <w:ind w:left="367"/>
              <w:rPr>
                <w:sz w:val="21"/>
              </w:rPr>
            </w:pPr>
            <w:r>
              <w:rPr>
                <w:sz w:val="21"/>
              </w:rPr>
              <w:t>由被保险人作为申请人填写保险金给付申请书，并须提供下列证明和资料：</w:t>
            </w:r>
          </w:p>
          <w:p>
            <w:pPr>
              <w:pStyle w:val="TableParagraph"/>
              <w:numPr>
                <w:ilvl w:val="0"/>
                <w:numId w:val="7"/>
              </w:numPr>
              <w:tabs>
                <w:tab w:pos="992" w:val="left" w:leader="none"/>
              </w:tabs>
              <w:spacing w:line="277" w:lineRule="exact" w:before="51" w:after="0"/>
              <w:ind w:left="991" w:right="0" w:hanging="624"/>
              <w:jc w:val="left"/>
              <w:rPr>
                <w:sz w:val="21"/>
              </w:rPr>
            </w:pPr>
            <w:r>
              <w:rPr>
                <w:sz w:val="21"/>
              </w:rPr>
              <w:t>保险合同；</w:t>
            </w:r>
          </w:p>
          <w:p>
            <w:pPr>
              <w:pStyle w:val="TableParagraph"/>
              <w:numPr>
                <w:ilvl w:val="0"/>
                <w:numId w:val="7"/>
              </w:numPr>
              <w:tabs>
                <w:tab w:pos="992" w:val="left" w:leader="none"/>
              </w:tabs>
              <w:spacing w:line="350" w:lineRule="exact" w:before="0" w:after="0"/>
              <w:ind w:left="991" w:right="0" w:hanging="624"/>
              <w:jc w:val="left"/>
              <w:rPr>
                <w:sz w:val="21"/>
              </w:rPr>
            </w:pPr>
            <w:r>
              <w:rPr>
                <w:spacing w:val="-2"/>
                <w:sz w:val="21"/>
              </w:rPr>
              <w:t>申请人的</w:t>
            </w:r>
            <w:r>
              <w:rPr>
                <w:rFonts w:ascii="微软雅黑" w:eastAsia="微软雅黑" w:hint="eastAsia"/>
                <w:b/>
                <w:sz w:val="21"/>
              </w:rPr>
              <w:t>法定身份证明</w:t>
            </w:r>
            <w:r>
              <w:rPr>
                <w:spacing w:val="-13"/>
                <w:sz w:val="21"/>
              </w:rPr>
              <w:t>(见 </w:t>
            </w:r>
            <w:r>
              <w:rPr>
                <w:sz w:val="21"/>
              </w:rPr>
              <w:t>9.21)；</w:t>
            </w:r>
          </w:p>
          <w:p>
            <w:pPr>
              <w:pStyle w:val="TableParagraph"/>
              <w:numPr>
                <w:ilvl w:val="0"/>
                <w:numId w:val="7"/>
              </w:numPr>
              <w:tabs>
                <w:tab w:pos="992" w:val="left" w:leader="none"/>
              </w:tabs>
              <w:spacing w:line="271" w:lineRule="auto" w:before="26" w:after="0"/>
              <w:ind w:left="991" w:right="110" w:hanging="624"/>
              <w:jc w:val="left"/>
              <w:rPr>
                <w:sz w:val="21"/>
              </w:rPr>
            </w:pPr>
            <w:r>
              <w:rPr>
                <w:spacing w:val="-6"/>
                <w:sz w:val="21"/>
              </w:rPr>
              <w:t>本公司指定或认可的医院出具的附有病历、必要病理检验、血液检验</w:t>
            </w:r>
            <w:r>
              <w:rPr>
                <w:spacing w:val="-5"/>
                <w:sz w:val="21"/>
              </w:rPr>
              <w:t>及其它科学方法检验报告的疾病诊断书；</w:t>
            </w:r>
          </w:p>
          <w:p>
            <w:pPr>
              <w:pStyle w:val="TableParagraph"/>
              <w:numPr>
                <w:ilvl w:val="0"/>
                <w:numId w:val="7"/>
              </w:numPr>
              <w:tabs>
                <w:tab w:pos="1002" w:val="left" w:leader="none"/>
              </w:tabs>
              <w:spacing w:line="240" w:lineRule="auto" w:before="23" w:after="0"/>
              <w:ind w:left="1001" w:right="0" w:hanging="634"/>
              <w:jc w:val="left"/>
              <w:rPr>
                <w:sz w:val="21"/>
              </w:rPr>
            </w:pPr>
            <w:r>
              <w:rPr>
                <w:spacing w:val="-5"/>
                <w:sz w:val="21"/>
              </w:rPr>
              <w:t>与确认保险事故的性质、原因、经过等有关的其他证明和资料。</w:t>
            </w:r>
          </w:p>
        </w:tc>
      </w:tr>
      <w:tr>
        <w:trPr>
          <w:trHeight w:val="3533" w:hRule="atLeast"/>
        </w:trPr>
        <w:tc>
          <w:tcPr>
            <w:tcW w:w="641" w:type="dxa"/>
          </w:tcPr>
          <w:p>
            <w:pPr>
              <w:pStyle w:val="TableParagraph"/>
              <w:spacing w:before="29"/>
              <w:ind w:left="110"/>
              <w:rPr>
                <w:rFonts w:ascii="微软雅黑"/>
                <w:b/>
                <w:sz w:val="21"/>
              </w:rPr>
            </w:pPr>
            <w:r>
              <w:rPr>
                <w:rFonts w:ascii="微软雅黑"/>
                <w:b/>
                <w:sz w:val="21"/>
              </w:rPr>
              <w:t>3.4</w:t>
            </w:r>
          </w:p>
        </w:tc>
        <w:tc>
          <w:tcPr>
            <w:tcW w:w="2060" w:type="dxa"/>
          </w:tcPr>
          <w:p>
            <w:pPr>
              <w:pStyle w:val="TableParagraph"/>
              <w:spacing w:before="29"/>
              <w:ind w:left="213"/>
              <w:rPr>
                <w:rFonts w:ascii="微软雅黑" w:eastAsia="微软雅黑" w:hint="eastAsia"/>
                <w:b/>
                <w:sz w:val="21"/>
              </w:rPr>
            </w:pPr>
            <w:r>
              <w:rPr>
                <w:rFonts w:ascii="微软雅黑" w:eastAsia="微软雅黑" w:hint="eastAsia"/>
                <w:b/>
                <w:sz w:val="21"/>
              </w:rPr>
              <w:t>保险金给付</w:t>
            </w:r>
          </w:p>
        </w:tc>
        <w:tc>
          <w:tcPr>
            <w:tcW w:w="7388" w:type="dxa"/>
          </w:tcPr>
          <w:p>
            <w:pPr>
              <w:pStyle w:val="TableParagraph"/>
              <w:spacing w:line="326" w:lineRule="auto" w:before="92"/>
              <w:ind w:left="367"/>
              <w:rPr>
                <w:sz w:val="21"/>
              </w:rPr>
            </w:pPr>
            <w:r>
              <w:rPr>
                <w:spacing w:val="-6"/>
                <w:sz w:val="21"/>
              </w:rPr>
              <w:t>本公司在收到保险金给付申请书及上述完整齐全的有关证明和资料后，会及</w:t>
            </w:r>
            <w:r>
              <w:rPr>
                <w:spacing w:val="-8"/>
                <w:sz w:val="21"/>
              </w:rPr>
              <w:t>时做出核定，对确定属于保险责任的，在与被保险人或受益人达成有关给付</w:t>
            </w:r>
            <w:r>
              <w:rPr>
                <w:spacing w:val="-10"/>
                <w:sz w:val="21"/>
              </w:rPr>
              <w:t>保险金数额的协议后 </w:t>
            </w:r>
            <w:r>
              <w:rPr>
                <w:sz w:val="21"/>
              </w:rPr>
              <w:t>10</w:t>
            </w:r>
            <w:r>
              <w:rPr>
                <w:spacing w:val="-9"/>
                <w:sz w:val="21"/>
              </w:rPr>
              <w:t> 日内，履行给付保险金责任。对不属于保险责任的， </w:t>
            </w:r>
            <w:r>
              <w:rPr>
                <w:spacing w:val="-7"/>
                <w:sz w:val="21"/>
              </w:rPr>
              <w:t>自做出核定之日起三日内向被保险人或者受益人发出拒绝给付保险金通知  </w:t>
            </w:r>
            <w:r>
              <w:rPr>
                <w:spacing w:val="-6"/>
                <w:sz w:val="21"/>
              </w:rPr>
              <w:t>书并说明理由。</w:t>
            </w:r>
          </w:p>
          <w:p>
            <w:pPr>
              <w:pStyle w:val="TableParagraph"/>
              <w:spacing w:before="24"/>
              <w:ind w:left="367"/>
              <w:rPr>
                <w:sz w:val="21"/>
              </w:rPr>
            </w:pPr>
            <w:r>
              <w:rPr>
                <w:sz w:val="21"/>
              </w:rPr>
              <w:t>本公司在收到保险金给付申请书及上述完整齐全的有关证明和资料之日起</w:t>
            </w:r>
          </w:p>
          <w:p>
            <w:pPr>
              <w:pStyle w:val="TableParagraph"/>
              <w:spacing w:line="326" w:lineRule="auto" w:before="99"/>
              <w:ind w:left="367" w:right="1"/>
              <w:rPr>
                <w:sz w:val="21"/>
              </w:rPr>
            </w:pPr>
            <w:r>
              <w:rPr>
                <w:sz w:val="21"/>
              </w:rPr>
              <w:t>60</w:t>
            </w:r>
            <w:r>
              <w:rPr>
                <w:spacing w:val="-12"/>
                <w:sz w:val="21"/>
              </w:rPr>
              <w:t> 日内，对属于保险责任而给付保险金的数额不能确定的，根据已有证明和</w:t>
            </w:r>
            <w:r>
              <w:rPr>
                <w:spacing w:val="-15"/>
                <w:sz w:val="21"/>
              </w:rPr>
              <w:t>资料，按可以确定的数额先予以支付；本公司最终确定给付保险金的数额后， </w:t>
            </w:r>
            <w:r>
              <w:rPr>
                <w:spacing w:val="-9"/>
                <w:sz w:val="21"/>
              </w:rPr>
              <w:t>给付相应的差额。</w:t>
            </w:r>
          </w:p>
        </w:tc>
      </w:tr>
      <w:tr>
        <w:trPr>
          <w:trHeight w:val="943" w:hRule="atLeast"/>
        </w:trPr>
        <w:tc>
          <w:tcPr>
            <w:tcW w:w="641" w:type="dxa"/>
          </w:tcPr>
          <w:p>
            <w:pPr>
              <w:pStyle w:val="TableParagraph"/>
              <w:spacing w:before="29"/>
              <w:ind w:left="110"/>
              <w:rPr>
                <w:rFonts w:ascii="微软雅黑"/>
                <w:b/>
                <w:sz w:val="21"/>
              </w:rPr>
            </w:pPr>
            <w:r>
              <w:rPr>
                <w:rFonts w:ascii="微软雅黑"/>
                <w:b/>
                <w:sz w:val="21"/>
              </w:rPr>
              <w:t>3.5</w:t>
            </w:r>
          </w:p>
        </w:tc>
        <w:tc>
          <w:tcPr>
            <w:tcW w:w="2060" w:type="dxa"/>
          </w:tcPr>
          <w:p>
            <w:pPr>
              <w:pStyle w:val="TableParagraph"/>
              <w:spacing w:before="29"/>
              <w:ind w:left="213"/>
              <w:rPr>
                <w:rFonts w:ascii="微软雅黑" w:eastAsia="微软雅黑" w:hint="eastAsia"/>
                <w:b/>
                <w:sz w:val="21"/>
              </w:rPr>
            </w:pPr>
            <w:r>
              <w:rPr>
                <w:rFonts w:ascii="微软雅黑" w:eastAsia="微软雅黑" w:hint="eastAsia"/>
                <w:b/>
                <w:sz w:val="21"/>
              </w:rPr>
              <w:t>保险金申请时效</w:t>
            </w:r>
          </w:p>
        </w:tc>
        <w:tc>
          <w:tcPr>
            <w:tcW w:w="7388" w:type="dxa"/>
          </w:tcPr>
          <w:p>
            <w:pPr>
              <w:pStyle w:val="TableParagraph"/>
              <w:spacing w:line="326" w:lineRule="auto" w:before="92"/>
              <w:ind w:left="367" w:right="86"/>
              <w:rPr>
                <w:sz w:val="21"/>
              </w:rPr>
            </w:pPr>
            <w:r>
              <w:rPr>
                <w:sz w:val="21"/>
              </w:rPr>
              <w:t>被保险人或者受益人向本公司请求给付保险金的诉讼时效期间为二年，自其知道或者应当知道保险事故发生之日起计算。</w:t>
            </w:r>
          </w:p>
        </w:tc>
      </w:tr>
      <w:tr>
        <w:trPr>
          <w:trHeight w:val="678" w:hRule="atLeast"/>
        </w:trPr>
        <w:tc>
          <w:tcPr>
            <w:tcW w:w="641" w:type="dxa"/>
            <w:tcBorders>
              <w:bottom w:val="single" w:sz="4" w:space="0" w:color="000000"/>
            </w:tcBorders>
          </w:tcPr>
          <w:p>
            <w:pPr>
              <w:pStyle w:val="TableParagraph"/>
              <w:spacing w:before="175"/>
              <w:ind w:left="110"/>
              <w:rPr>
                <w:rFonts w:ascii="Times New Roman"/>
                <w:b/>
                <w:sz w:val="32"/>
              </w:rPr>
            </w:pPr>
            <w:r>
              <w:rPr>
                <w:rFonts w:ascii="Times New Roman"/>
                <w:b/>
                <w:w w:val="100"/>
                <w:sz w:val="32"/>
              </w:rPr>
              <w:t>4</w:t>
            </w:r>
          </w:p>
        </w:tc>
        <w:tc>
          <w:tcPr>
            <w:tcW w:w="2060" w:type="dxa"/>
            <w:tcBorders>
              <w:bottom w:val="single" w:sz="4" w:space="0" w:color="000000"/>
            </w:tcBorders>
          </w:tcPr>
          <w:p>
            <w:pPr>
              <w:pStyle w:val="TableParagraph"/>
              <w:spacing w:before="93"/>
              <w:ind w:left="213"/>
              <w:rPr>
                <w:rFonts w:ascii="微软雅黑" w:eastAsia="微软雅黑" w:hint="eastAsia"/>
                <w:b/>
                <w:sz w:val="24"/>
              </w:rPr>
            </w:pPr>
            <w:r>
              <w:rPr>
                <w:rFonts w:ascii="微软雅黑" w:eastAsia="微软雅黑" w:hint="eastAsia"/>
                <w:b/>
                <w:sz w:val="24"/>
              </w:rPr>
              <w:t>如何交纳保险费</w:t>
            </w:r>
          </w:p>
        </w:tc>
        <w:tc>
          <w:tcPr>
            <w:tcW w:w="7388" w:type="dxa"/>
            <w:tcBorders>
              <w:bottom w:val="single" w:sz="4" w:space="0" w:color="000000"/>
            </w:tcBorders>
          </w:tcPr>
          <w:p>
            <w:pPr>
              <w:pStyle w:val="TableParagraph"/>
              <w:ind w:left="0"/>
              <w:rPr>
                <w:rFonts w:ascii="Times New Roman"/>
                <w:sz w:val="20"/>
              </w:rPr>
            </w:pPr>
          </w:p>
        </w:tc>
      </w:tr>
      <w:tr>
        <w:trPr>
          <w:trHeight w:val="615" w:hRule="atLeast"/>
        </w:trPr>
        <w:tc>
          <w:tcPr>
            <w:tcW w:w="641" w:type="dxa"/>
            <w:tcBorders>
              <w:top w:val="single" w:sz="4" w:space="0" w:color="000000"/>
            </w:tcBorders>
          </w:tcPr>
          <w:p>
            <w:pPr>
              <w:pStyle w:val="TableParagraph"/>
              <w:spacing w:before="107"/>
              <w:ind w:left="110"/>
              <w:rPr>
                <w:rFonts w:ascii="微软雅黑"/>
                <w:b/>
                <w:sz w:val="21"/>
              </w:rPr>
            </w:pPr>
            <w:r>
              <w:rPr>
                <w:rFonts w:ascii="微软雅黑"/>
                <w:b/>
                <w:sz w:val="21"/>
              </w:rPr>
              <w:t>4.1</w:t>
            </w:r>
          </w:p>
        </w:tc>
        <w:tc>
          <w:tcPr>
            <w:tcW w:w="2060" w:type="dxa"/>
            <w:tcBorders>
              <w:top w:val="single" w:sz="4" w:space="0" w:color="000000"/>
            </w:tcBorders>
          </w:tcPr>
          <w:p>
            <w:pPr>
              <w:pStyle w:val="TableParagraph"/>
              <w:spacing w:before="107"/>
              <w:ind w:left="213"/>
              <w:rPr>
                <w:rFonts w:ascii="微软雅黑" w:eastAsia="微软雅黑" w:hint="eastAsia"/>
                <w:b/>
                <w:sz w:val="21"/>
              </w:rPr>
            </w:pPr>
            <w:r>
              <w:rPr>
                <w:rFonts w:ascii="微软雅黑" w:eastAsia="微软雅黑" w:hint="eastAsia"/>
                <w:b/>
                <w:sz w:val="21"/>
              </w:rPr>
              <w:t>保险费</w:t>
            </w:r>
          </w:p>
        </w:tc>
        <w:tc>
          <w:tcPr>
            <w:tcW w:w="7388" w:type="dxa"/>
            <w:tcBorders>
              <w:top w:val="single" w:sz="4" w:space="0" w:color="000000"/>
            </w:tcBorders>
          </w:tcPr>
          <w:p>
            <w:pPr>
              <w:pStyle w:val="TableParagraph"/>
              <w:spacing w:before="169"/>
              <w:ind w:left="367"/>
              <w:rPr>
                <w:sz w:val="21"/>
              </w:rPr>
            </w:pPr>
            <w:r>
              <w:rPr>
                <w:sz w:val="21"/>
              </w:rPr>
              <w:t>本附加险合同的保险费缴纳方式与主险合同一致。</w:t>
            </w:r>
          </w:p>
        </w:tc>
      </w:tr>
      <w:tr>
        <w:trPr>
          <w:trHeight w:val="2037" w:hRule="atLeast"/>
        </w:trPr>
        <w:tc>
          <w:tcPr>
            <w:tcW w:w="641" w:type="dxa"/>
          </w:tcPr>
          <w:p>
            <w:pPr>
              <w:pStyle w:val="TableParagraph"/>
              <w:spacing w:before="29"/>
              <w:ind w:left="110"/>
              <w:rPr>
                <w:rFonts w:ascii="微软雅黑"/>
                <w:b/>
                <w:sz w:val="21"/>
              </w:rPr>
            </w:pPr>
            <w:r>
              <w:rPr>
                <w:rFonts w:ascii="微软雅黑"/>
                <w:b/>
                <w:sz w:val="21"/>
              </w:rPr>
              <w:t>4.2</w:t>
            </w:r>
          </w:p>
        </w:tc>
        <w:tc>
          <w:tcPr>
            <w:tcW w:w="2060" w:type="dxa"/>
          </w:tcPr>
          <w:p>
            <w:pPr>
              <w:pStyle w:val="TableParagraph"/>
              <w:spacing w:before="29"/>
              <w:ind w:left="213"/>
              <w:rPr>
                <w:rFonts w:ascii="微软雅黑" w:eastAsia="微软雅黑" w:hint="eastAsia"/>
                <w:b/>
                <w:sz w:val="21"/>
              </w:rPr>
            </w:pPr>
            <w:r>
              <w:rPr>
                <w:rFonts w:ascii="微软雅黑" w:eastAsia="微软雅黑" w:hint="eastAsia"/>
                <w:b/>
                <w:sz w:val="21"/>
              </w:rPr>
              <w:t>保险费率的调整</w:t>
            </w:r>
          </w:p>
        </w:tc>
        <w:tc>
          <w:tcPr>
            <w:tcW w:w="7388" w:type="dxa"/>
          </w:tcPr>
          <w:p>
            <w:pPr>
              <w:pStyle w:val="TableParagraph"/>
              <w:spacing w:line="326" w:lineRule="auto" w:before="92"/>
              <w:ind w:left="367" w:right="112"/>
              <w:rPr>
                <w:sz w:val="21"/>
              </w:rPr>
            </w:pPr>
            <w:r>
              <w:rPr>
                <w:spacing w:val="-5"/>
                <w:sz w:val="21"/>
              </w:rPr>
              <w:t>当本附加险合同内所界定的疾病的发生率或相关的医疗技术发生重大改变 </w:t>
            </w:r>
            <w:r>
              <w:rPr>
                <w:spacing w:val="-6"/>
                <w:sz w:val="21"/>
              </w:rPr>
              <w:t>时，本公司有权提高或降低本产品的保险费率。费率的调整将符合中国保险</w:t>
            </w:r>
            <w:r>
              <w:rPr>
                <w:spacing w:val="-7"/>
                <w:sz w:val="21"/>
              </w:rPr>
              <w:t>监督管理机构的相关规定，并针对同一性别或同一年龄的所有被保险人。本</w:t>
            </w:r>
            <w:r>
              <w:rPr>
                <w:spacing w:val="-8"/>
                <w:sz w:val="21"/>
              </w:rPr>
              <w:t>公司进行保险费率调整后，投保人须自调整后的第一个保单周年日起，按照</w:t>
            </w:r>
            <w:r>
              <w:rPr>
                <w:spacing w:val="-6"/>
                <w:sz w:val="21"/>
              </w:rPr>
              <w:t>调整后的保险费率交纳本附加险合同相应的保险费。</w:t>
            </w:r>
          </w:p>
        </w:tc>
      </w:tr>
      <w:tr>
        <w:trPr>
          <w:trHeight w:val="2067" w:hRule="atLeast"/>
        </w:trPr>
        <w:tc>
          <w:tcPr>
            <w:tcW w:w="641" w:type="dxa"/>
          </w:tcPr>
          <w:p>
            <w:pPr>
              <w:pStyle w:val="TableParagraph"/>
              <w:spacing w:before="32"/>
              <w:ind w:left="110"/>
              <w:rPr>
                <w:rFonts w:ascii="微软雅黑"/>
                <w:b/>
                <w:sz w:val="21"/>
              </w:rPr>
            </w:pPr>
            <w:r>
              <w:rPr>
                <w:rFonts w:ascii="微软雅黑"/>
                <w:b/>
                <w:sz w:val="21"/>
              </w:rPr>
              <w:t>4.3</w:t>
            </w:r>
          </w:p>
        </w:tc>
        <w:tc>
          <w:tcPr>
            <w:tcW w:w="2060" w:type="dxa"/>
          </w:tcPr>
          <w:p>
            <w:pPr>
              <w:pStyle w:val="TableParagraph"/>
              <w:spacing w:before="32"/>
              <w:ind w:left="213"/>
              <w:rPr>
                <w:rFonts w:ascii="微软雅黑" w:eastAsia="微软雅黑" w:hint="eastAsia"/>
                <w:b/>
                <w:sz w:val="21"/>
              </w:rPr>
            </w:pPr>
            <w:r>
              <w:rPr>
                <w:rFonts w:ascii="微软雅黑" w:eastAsia="微软雅黑" w:hint="eastAsia"/>
                <w:b/>
                <w:sz w:val="21"/>
              </w:rPr>
              <w:t>宽限期</w:t>
            </w:r>
          </w:p>
        </w:tc>
        <w:tc>
          <w:tcPr>
            <w:tcW w:w="7388" w:type="dxa"/>
          </w:tcPr>
          <w:p>
            <w:pPr>
              <w:pStyle w:val="TableParagraph"/>
              <w:spacing w:line="326" w:lineRule="auto" w:before="94"/>
              <w:ind w:left="367" w:right="112"/>
              <w:rPr>
                <w:sz w:val="21"/>
              </w:rPr>
            </w:pPr>
            <w:r>
              <w:rPr>
                <w:spacing w:val="-7"/>
                <w:sz w:val="21"/>
              </w:rPr>
              <w:t>如果投保人到期未交纳保险费，自保险费应交日的次日起 </w:t>
            </w:r>
            <w:r>
              <w:rPr>
                <w:sz w:val="21"/>
              </w:rPr>
              <w:t>60</w:t>
            </w:r>
            <w:r>
              <w:rPr>
                <w:spacing w:val="-8"/>
                <w:sz w:val="21"/>
              </w:rPr>
              <w:t> 日为宽限期。宽限期内发生的保险事故，本公司仍会承担保险责任，但在给付保险金时会</w:t>
            </w:r>
            <w:r>
              <w:rPr>
                <w:spacing w:val="-6"/>
                <w:sz w:val="21"/>
              </w:rPr>
              <w:t>扣除投保人欠交的保险费。</w:t>
            </w:r>
          </w:p>
          <w:p>
            <w:pPr>
              <w:pStyle w:val="TableParagraph"/>
              <w:spacing w:line="326" w:lineRule="auto" w:before="23"/>
              <w:ind w:left="367" w:right="86"/>
              <w:rPr>
                <w:sz w:val="21"/>
              </w:rPr>
            </w:pPr>
            <w:r>
              <w:rPr>
                <w:sz w:val="21"/>
              </w:rPr>
              <w:t>如果宽限期结束之后投保人仍未交纳保险费，则本附加险合同自宽限期满的次日零时起中止，但本附加险合同另有约定的除外。</w:t>
            </w:r>
          </w:p>
        </w:tc>
      </w:tr>
      <w:tr>
        <w:trPr>
          <w:trHeight w:val="666" w:hRule="atLeast"/>
        </w:trPr>
        <w:tc>
          <w:tcPr>
            <w:tcW w:w="641" w:type="dxa"/>
            <w:tcBorders>
              <w:bottom w:val="single" w:sz="4" w:space="0" w:color="000000"/>
            </w:tcBorders>
          </w:tcPr>
          <w:p>
            <w:pPr>
              <w:pStyle w:val="TableParagraph"/>
              <w:spacing w:before="172"/>
              <w:ind w:left="110"/>
              <w:rPr>
                <w:rFonts w:ascii="Times New Roman"/>
                <w:b/>
                <w:sz w:val="32"/>
              </w:rPr>
            </w:pPr>
            <w:r>
              <w:rPr>
                <w:rFonts w:ascii="Times New Roman"/>
                <w:b/>
                <w:w w:val="100"/>
                <w:sz w:val="32"/>
              </w:rPr>
              <w:t>5</w:t>
            </w:r>
          </w:p>
        </w:tc>
        <w:tc>
          <w:tcPr>
            <w:tcW w:w="2060" w:type="dxa"/>
            <w:tcBorders>
              <w:bottom w:val="single" w:sz="4" w:space="0" w:color="000000"/>
            </w:tcBorders>
          </w:tcPr>
          <w:p>
            <w:pPr>
              <w:pStyle w:val="TableParagraph"/>
              <w:spacing w:before="86"/>
              <w:ind w:left="213"/>
              <w:rPr>
                <w:rFonts w:ascii="微软雅黑" w:eastAsia="微软雅黑" w:hint="eastAsia"/>
                <w:b/>
                <w:sz w:val="24"/>
              </w:rPr>
            </w:pPr>
            <w:r>
              <w:rPr>
                <w:rFonts w:ascii="微软雅黑" w:eastAsia="微软雅黑" w:hint="eastAsia"/>
                <w:b/>
                <w:sz w:val="24"/>
              </w:rPr>
              <w:t>现金价值权益</w:t>
            </w:r>
          </w:p>
        </w:tc>
        <w:tc>
          <w:tcPr>
            <w:tcW w:w="7388" w:type="dxa"/>
            <w:tcBorders>
              <w:bottom w:val="single" w:sz="4" w:space="0" w:color="000000"/>
            </w:tcBorders>
          </w:tcPr>
          <w:p>
            <w:pPr>
              <w:pStyle w:val="TableParagraph"/>
              <w:ind w:left="0"/>
              <w:rPr>
                <w:rFonts w:ascii="Times New Roman"/>
                <w:sz w:val="20"/>
              </w:rPr>
            </w:pPr>
          </w:p>
        </w:tc>
      </w:tr>
      <w:tr>
        <w:trPr>
          <w:trHeight w:val="1361" w:hRule="atLeast"/>
        </w:trPr>
        <w:tc>
          <w:tcPr>
            <w:tcW w:w="641" w:type="dxa"/>
            <w:tcBorders>
              <w:top w:val="single" w:sz="4" w:space="0" w:color="000000"/>
            </w:tcBorders>
          </w:tcPr>
          <w:p>
            <w:pPr>
              <w:pStyle w:val="TableParagraph"/>
              <w:spacing w:before="102"/>
              <w:ind w:left="110"/>
              <w:rPr>
                <w:rFonts w:ascii="微软雅黑"/>
                <w:b/>
                <w:sz w:val="21"/>
              </w:rPr>
            </w:pPr>
            <w:r>
              <w:rPr>
                <w:rFonts w:ascii="微软雅黑"/>
                <w:b/>
                <w:sz w:val="21"/>
              </w:rPr>
              <w:t>5.1</w:t>
            </w:r>
          </w:p>
        </w:tc>
        <w:tc>
          <w:tcPr>
            <w:tcW w:w="2060" w:type="dxa"/>
            <w:tcBorders>
              <w:top w:val="single" w:sz="4" w:space="0" w:color="000000"/>
            </w:tcBorders>
          </w:tcPr>
          <w:p>
            <w:pPr>
              <w:pStyle w:val="TableParagraph"/>
              <w:spacing w:before="102"/>
              <w:ind w:left="213"/>
              <w:rPr>
                <w:rFonts w:ascii="微软雅黑" w:eastAsia="微软雅黑" w:hint="eastAsia"/>
                <w:b/>
                <w:sz w:val="21"/>
              </w:rPr>
            </w:pPr>
            <w:r>
              <w:rPr>
                <w:rFonts w:ascii="微软雅黑" w:eastAsia="微软雅黑" w:hint="eastAsia"/>
                <w:b/>
                <w:sz w:val="21"/>
              </w:rPr>
              <w:t>现金价值</w:t>
            </w:r>
          </w:p>
        </w:tc>
        <w:tc>
          <w:tcPr>
            <w:tcW w:w="7388" w:type="dxa"/>
            <w:tcBorders>
              <w:top w:val="single" w:sz="4" w:space="0" w:color="000000"/>
            </w:tcBorders>
          </w:tcPr>
          <w:p>
            <w:pPr>
              <w:pStyle w:val="TableParagraph"/>
              <w:spacing w:line="326" w:lineRule="auto" w:before="164"/>
              <w:ind w:left="367" w:right="109"/>
              <w:jc w:val="both"/>
              <w:rPr>
                <w:sz w:val="21"/>
              </w:rPr>
            </w:pPr>
            <w:r>
              <w:rPr>
                <w:spacing w:val="-6"/>
                <w:sz w:val="21"/>
              </w:rPr>
              <w:t>本附加险合同保单年度末的保证现金价值会在保险单上载明。保单年度内保证现金价值的金额基于保单年度末金额根据合理的方法计算而得，投保人可</w:t>
            </w:r>
            <w:r>
              <w:rPr>
                <w:spacing w:val="-5"/>
                <w:sz w:val="21"/>
              </w:rPr>
              <w:t>以向本公司咨询。</w:t>
            </w:r>
          </w:p>
        </w:tc>
      </w:tr>
      <w:tr>
        <w:trPr>
          <w:trHeight w:val="377" w:hRule="atLeast"/>
        </w:trPr>
        <w:tc>
          <w:tcPr>
            <w:tcW w:w="641" w:type="dxa"/>
          </w:tcPr>
          <w:p>
            <w:pPr>
              <w:pStyle w:val="TableParagraph"/>
              <w:spacing w:line="325" w:lineRule="exact" w:before="32"/>
              <w:ind w:left="110"/>
              <w:rPr>
                <w:rFonts w:ascii="微软雅黑"/>
                <w:b/>
                <w:sz w:val="21"/>
              </w:rPr>
            </w:pPr>
            <w:r>
              <w:rPr>
                <w:rFonts w:ascii="微软雅黑"/>
                <w:b/>
                <w:sz w:val="21"/>
              </w:rPr>
              <w:t>5.2</w:t>
            </w:r>
          </w:p>
        </w:tc>
        <w:tc>
          <w:tcPr>
            <w:tcW w:w="2060" w:type="dxa"/>
          </w:tcPr>
          <w:p>
            <w:pPr>
              <w:pStyle w:val="TableParagraph"/>
              <w:spacing w:line="325" w:lineRule="exact" w:before="32"/>
              <w:ind w:left="213"/>
              <w:rPr>
                <w:rFonts w:ascii="微软雅黑" w:eastAsia="微软雅黑" w:hint="eastAsia"/>
                <w:b/>
                <w:sz w:val="21"/>
              </w:rPr>
            </w:pPr>
            <w:r>
              <w:rPr>
                <w:rFonts w:ascii="微软雅黑" w:eastAsia="微软雅黑" w:hint="eastAsia"/>
                <w:b/>
                <w:sz w:val="21"/>
              </w:rPr>
              <w:t>保单贷款</w:t>
            </w:r>
          </w:p>
        </w:tc>
        <w:tc>
          <w:tcPr>
            <w:tcW w:w="7388" w:type="dxa"/>
          </w:tcPr>
          <w:p>
            <w:pPr>
              <w:pStyle w:val="TableParagraph"/>
              <w:spacing w:line="262" w:lineRule="exact" w:before="94"/>
              <w:ind w:left="367"/>
              <w:rPr>
                <w:sz w:val="21"/>
              </w:rPr>
            </w:pPr>
            <w:r>
              <w:rPr>
                <w:sz w:val="21"/>
              </w:rPr>
              <w:t>在本附加险合同有效期内，投保人可以向本公司申请贷款。本次贷款的金额</w:t>
            </w:r>
          </w:p>
        </w:tc>
      </w:tr>
    </w:tbl>
    <w:p>
      <w:pPr>
        <w:spacing w:after="0" w:line="262" w:lineRule="exact"/>
        <w:rPr>
          <w:sz w:val="21"/>
        </w:rPr>
        <w:sectPr>
          <w:pgSz w:w="11910" w:h="16840"/>
          <w:pgMar w:header="0" w:footer="377" w:top="1320" w:bottom="560" w:left="80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1954"/>
        <w:gridCol w:w="7494"/>
      </w:tblGrid>
      <w:tr>
        <w:trPr>
          <w:trHeight w:val="2621" w:hRule="atLeast"/>
        </w:trPr>
        <w:tc>
          <w:tcPr>
            <w:tcW w:w="641" w:type="dxa"/>
          </w:tcPr>
          <w:p>
            <w:pPr>
              <w:pStyle w:val="TableParagraph"/>
              <w:ind w:left="0"/>
              <w:rPr>
                <w:rFonts w:ascii="Times New Roman"/>
                <w:sz w:val="20"/>
              </w:rPr>
            </w:pPr>
          </w:p>
        </w:tc>
        <w:tc>
          <w:tcPr>
            <w:tcW w:w="1954" w:type="dxa"/>
          </w:tcPr>
          <w:p>
            <w:pPr>
              <w:pStyle w:val="TableParagraph"/>
              <w:ind w:left="0"/>
              <w:rPr>
                <w:rFonts w:ascii="Times New Roman"/>
                <w:sz w:val="20"/>
              </w:rPr>
            </w:pPr>
          </w:p>
        </w:tc>
        <w:tc>
          <w:tcPr>
            <w:tcW w:w="7494" w:type="dxa"/>
          </w:tcPr>
          <w:p>
            <w:pPr>
              <w:pStyle w:val="TableParagraph"/>
              <w:spacing w:line="211" w:lineRule="exact"/>
              <w:ind w:left="473"/>
              <w:rPr>
                <w:sz w:val="21"/>
              </w:rPr>
            </w:pPr>
            <w:r>
              <w:rPr>
                <w:sz w:val="21"/>
              </w:rPr>
              <w:t>加上未偿还贷款的余额不得超过本附加险合同以及与之对应的主险合同现</w:t>
            </w:r>
          </w:p>
          <w:p>
            <w:pPr>
              <w:pStyle w:val="TableParagraph"/>
              <w:spacing w:line="273" w:lineRule="auto" w:before="99"/>
              <w:ind w:left="473" w:right="28"/>
              <w:rPr>
                <w:sz w:val="21"/>
              </w:rPr>
            </w:pPr>
            <w:r>
              <w:rPr>
                <w:spacing w:val="-7"/>
                <w:sz w:val="21"/>
              </w:rPr>
              <w:t>金价值之和的 </w:t>
            </w:r>
            <w:r>
              <w:rPr>
                <w:sz w:val="21"/>
              </w:rPr>
              <w:t>80</w:t>
            </w:r>
            <w:r>
              <w:rPr>
                <w:spacing w:val="-6"/>
                <w:sz w:val="21"/>
              </w:rPr>
              <w:t>，每次贷款期限最长不超过 </w:t>
            </w:r>
            <w:r>
              <w:rPr>
                <w:sz w:val="21"/>
              </w:rPr>
              <w:t>6</w:t>
            </w:r>
            <w:r>
              <w:rPr>
                <w:spacing w:val="-8"/>
                <w:sz w:val="21"/>
              </w:rPr>
              <w:t> 个月，贷款利率按投保人申</w:t>
            </w:r>
            <w:r>
              <w:rPr>
                <w:spacing w:val="-6"/>
                <w:sz w:val="21"/>
              </w:rPr>
              <w:t>请贷款当时本公司确定的</w:t>
            </w:r>
            <w:r>
              <w:rPr>
                <w:rFonts w:ascii="微软雅黑" w:hAnsi="微软雅黑" w:eastAsia="微软雅黑" w:hint="eastAsia"/>
                <w:b/>
                <w:spacing w:val="0"/>
                <w:sz w:val="21"/>
              </w:rPr>
              <w:t>约定利率</w:t>
            </w:r>
            <w:r>
              <w:rPr>
                <w:spacing w:val="-5"/>
                <w:sz w:val="21"/>
              </w:rPr>
              <w:t>（</w:t>
            </w:r>
            <w:r>
              <w:rPr>
                <w:spacing w:val="-10"/>
                <w:sz w:val="21"/>
              </w:rPr>
              <w:t>见 </w:t>
            </w:r>
            <w:r>
              <w:rPr>
                <w:sz w:val="21"/>
              </w:rPr>
              <w:t>9.22）</w:t>
            </w:r>
            <w:r>
              <w:rPr>
                <w:spacing w:val="-4"/>
                <w:sz w:val="21"/>
              </w:rPr>
              <w:t>执行，并在贷款协议中载明。</w:t>
            </w:r>
          </w:p>
          <w:p>
            <w:pPr>
              <w:pStyle w:val="TableParagraph"/>
              <w:spacing w:line="326" w:lineRule="auto" w:before="35"/>
              <w:ind w:left="473" w:right="294"/>
              <w:rPr>
                <w:sz w:val="21"/>
              </w:rPr>
            </w:pPr>
            <w:r>
              <w:rPr>
                <w:sz w:val="21"/>
              </w:rPr>
              <w:t>当未还贷款本金及利息加上其他各项欠款达到本附加险合同以及与之对应的主险合同现金价值之和时，合同效力即行中止。</w:t>
            </w:r>
          </w:p>
          <w:p>
            <w:pPr>
              <w:pStyle w:val="TableParagraph"/>
              <w:spacing w:line="326" w:lineRule="auto" w:before="23"/>
              <w:ind w:left="473" w:right="294"/>
              <w:rPr>
                <w:sz w:val="21"/>
              </w:rPr>
            </w:pPr>
            <w:r>
              <w:rPr>
                <w:sz w:val="21"/>
              </w:rPr>
              <w:t>保单贷款须填写保单贷款申请书及其他相关文件，并凭本附加险合同保险单、主险合同保险单、最后一次交费凭证及投保人的法定身份证明办理。</w:t>
            </w:r>
          </w:p>
        </w:tc>
      </w:tr>
      <w:tr>
        <w:trPr>
          <w:trHeight w:val="2412" w:hRule="atLeast"/>
        </w:trPr>
        <w:tc>
          <w:tcPr>
            <w:tcW w:w="641" w:type="dxa"/>
          </w:tcPr>
          <w:p>
            <w:pPr>
              <w:pStyle w:val="TableParagraph"/>
              <w:spacing w:before="37"/>
              <w:ind w:left="110"/>
              <w:rPr>
                <w:rFonts w:ascii="微软雅黑"/>
                <w:b/>
                <w:sz w:val="21"/>
              </w:rPr>
            </w:pPr>
            <w:r>
              <w:rPr>
                <w:rFonts w:ascii="微软雅黑"/>
                <w:b/>
                <w:sz w:val="21"/>
              </w:rPr>
              <w:t>5.3</w:t>
            </w:r>
          </w:p>
        </w:tc>
        <w:tc>
          <w:tcPr>
            <w:tcW w:w="1954" w:type="dxa"/>
          </w:tcPr>
          <w:p>
            <w:pPr>
              <w:pStyle w:val="TableParagraph"/>
              <w:spacing w:before="37"/>
              <w:ind w:left="213"/>
              <w:rPr>
                <w:rFonts w:ascii="微软雅黑" w:eastAsia="微软雅黑" w:hint="eastAsia"/>
                <w:b/>
                <w:sz w:val="21"/>
              </w:rPr>
            </w:pPr>
            <w:r>
              <w:rPr>
                <w:rFonts w:ascii="微软雅黑" w:eastAsia="微软雅黑" w:hint="eastAsia"/>
                <w:b/>
                <w:sz w:val="21"/>
              </w:rPr>
              <w:t>减额交清保险</w:t>
            </w:r>
          </w:p>
        </w:tc>
        <w:tc>
          <w:tcPr>
            <w:tcW w:w="7494" w:type="dxa"/>
          </w:tcPr>
          <w:p>
            <w:pPr>
              <w:pStyle w:val="TableParagraph"/>
              <w:spacing w:line="326" w:lineRule="auto" w:before="99"/>
              <w:ind w:left="473" w:right="109"/>
              <w:jc w:val="both"/>
              <w:rPr>
                <w:sz w:val="21"/>
              </w:rPr>
            </w:pPr>
            <w:r>
              <w:rPr>
                <w:spacing w:val="-5"/>
                <w:sz w:val="21"/>
              </w:rPr>
              <w:t>在本附加险合同有效期内，投保人可以书面形式通知将合同转为减额交清保</w:t>
            </w:r>
            <w:r>
              <w:rPr>
                <w:spacing w:val="-6"/>
                <w:sz w:val="21"/>
              </w:rPr>
              <w:t>险。本公司以书面通知申请日所具有的本附加险合同以及与之对应的主险合同现金价值净额之和作为一次性交付的保险费，并以相同的合同条件同时相</w:t>
            </w:r>
            <w:r>
              <w:rPr>
                <w:spacing w:val="-5"/>
                <w:sz w:val="21"/>
              </w:rPr>
              <w:t>应减少本附加险合同及与之对应的主险合同的保险金额。</w:t>
            </w:r>
          </w:p>
          <w:p>
            <w:pPr>
              <w:pStyle w:val="TableParagraph"/>
              <w:spacing w:before="23"/>
              <w:ind w:left="473"/>
              <w:jc w:val="both"/>
              <w:rPr>
                <w:sz w:val="21"/>
              </w:rPr>
            </w:pPr>
            <w:r>
              <w:rPr>
                <w:sz w:val="21"/>
              </w:rPr>
              <w:t>减额后的保险金额不得少于当时本公司所规定的最低减额交清保额。</w:t>
            </w:r>
          </w:p>
          <w:p>
            <w:pPr>
              <w:pStyle w:val="TableParagraph"/>
              <w:spacing w:before="99"/>
              <w:ind w:left="473"/>
              <w:jc w:val="both"/>
              <w:rPr>
                <w:sz w:val="21"/>
              </w:rPr>
            </w:pPr>
            <w:r>
              <w:rPr>
                <w:sz w:val="21"/>
              </w:rPr>
              <w:t>本减额交清保险条款不适用于任何因健康或其他原因导致加费的保险合同。</w:t>
            </w:r>
          </w:p>
        </w:tc>
      </w:tr>
      <w:tr>
        <w:trPr>
          <w:trHeight w:val="1342" w:hRule="atLeast"/>
        </w:trPr>
        <w:tc>
          <w:tcPr>
            <w:tcW w:w="641" w:type="dxa"/>
          </w:tcPr>
          <w:p>
            <w:pPr>
              <w:pStyle w:val="TableParagraph"/>
              <w:spacing w:before="39"/>
              <w:ind w:left="110"/>
              <w:rPr>
                <w:rFonts w:ascii="微软雅黑"/>
                <w:b/>
                <w:sz w:val="21"/>
              </w:rPr>
            </w:pPr>
            <w:r>
              <w:rPr>
                <w:rFonts w:ascii="微软雅黑"/>
                <w:b/>
                <w:sz w:val="21"/>
              </w:rPr>
              <w:t>5.4</w:t>
            </w:r>
          </w:p>
        </w:tc>
        <w:tc>
          <w:tcPr>
            <w:tcW w:w="1954" w:type="dxa"/>
          </w:tcPr>
          <w:p>
            <w:pPr>
              <w:pStyle w:val="TableParagraph"/>
              <w:spacing w:before="39"/>
              <w:ind w:left="213"/>
              <w:rPr>
                <w:rFonts w:ascii="微软雅黑" w:eastAsia="微软雅黑" w:hint="eastAsia"/>
                <w:b/>
                <w:sz w:val="21"/>
              </w:rPr>
            </w:pPr>
            <w:r>
              <w:rPr>
                <w:rFonts w:ascii="微软雅黑" w:eastAsia="微软雅黑" w:hint="eastAsia"/>
                <w:b/>
                <w:sz w:val="21"/>
              </w:rPr>
              <w:t>减保</w:t>
            </w:r>
          </w:p>
        </w:tc>
        <w:tc>
          <w:tcPr>
            <w:tcW w:w="7494" w:type="dxa"/>
          </w:tcPr>
          <w:p>
            <w:pPr>
              <w:pStyle w:val="TableParagraph"/>
              <w:spacing w:line="326" w:lineRule="auto" w:before="102"/>
              <w:ind w:left="473" w:right="109"/>
              <w:jc w:val="both"/>
              <w:rPr>
                <w:sz w:val="21"/>
              </w:rPr>
            </w:pPr>
            <w:r>
              <w:rPr>
                <w:spacing w:val="-6"/>
                <w:sz w:val="21"/>
              </w:rPr>
              <w:t>本附加险合同不得单独减保。您申请主险合同减保时，本附加险合同应同时</w:t>
            </w:r>
            <w:r>
              <w:rPr>
                <w:spacing w:val="-7"/>
                <w:sz w:val="21"/>
              </w:rPr>
              <w:t>减保，减保的基本保险金额同主险合同，本公司将退还减少的基本保险金额</w:t>
            </w:r>
            <w:r>
              <w:rPr>
                <w:spacing w:val="-6"/>
                <w:sz w:val="21"/>
              </w:rPr>
              <w:t>所对应的现金价值。</w:t>
            </w:r>
          </w:p>
        </w:tc>
      </w:tr>
      <w:tr>
        <w:trPr>
          <w:trHeight w:val="742" w:hRule="atLeast"/>
        </w:trPr>
        <w:tc>
          <w:tcPr>
            <w:tcW w:w="641" w:type="dxa"/>
            <w:tcBorders>
              <w:bottom w:val="single" w:sz="4" w:space="0" w:color="000000"/>
            </w:tcBorders>
          </w:tcPr>
          <w:p>
            <w:pPr>
              <w:pStyle w:val="TableParagraph"/>
              <w:spacing w:before="204"/>
              <w:ind w:left="110"/>
              <w:rPr>
                <w:rFonts w:ascii="Times New Roman"/>
                <w:b/>
                <w:sz w:val="32"/>
              </w:rPr>
            </w:pPr>
            <w:r>
              <w:rPr>
                <w:rFonts w:ascii="Times New Roman"/>
                <w:b/>
                <w:w w:val="100"/>
                <w:sz w:val="32"/>
              </w:rPr>
              <w:t>6</w:t>
            </w:r>
          </w:p>
        </w:tc>
        <w:tc>
          <w:tcPr>
            <w:tcW w:w="9448" w:type="dxa"/>
            <w:gridSpan w:val="2"/>
            <w:tcBorders>
              <w:bottom w:val="single" w:sz="4" w:space="0" w:color="000000"/>
            </w:tcBorders>
          </w:tcPr>
          <w:p>
            <w:pPr>
              <w:pStyle w:val="TableParagraph"/>
              <w:spacing w:before="122"/>
              <w:ind w:left="213"/>
              <w:rPr>
                <w:rFonts w:ascii="微软雅黑" w:eastAsia="微软雅黑" w:hint="eastAsia"/>
                <w:b/>
                <w:sz w:val="24"/>
              </w:rPr>
            </w:pPr>
            <w:r>
              <w:rPr>
                <w:rFonts w:ascii="微软雅黑" w:eastAsia="微软雅黑" w:hint="eastAsia"/>
                <w:b/>
                <w:sz w:val="24"/>
              </w:rPr>
              <w:t>合同效力的中止、恢复及终止</w:t>
            </w:r>
          </w:p>
        </w:tc>
      </w:tr>
      <w:tr>
        <w:trPr>
          <w:trHeight w:val="1611" w:hRule="atLeast"/>
        </w:trPr>
        <w:tc>
          <w:tcPr>
            <w:tcW w:w="641" w:type="dxa"/>
            <w:tcBorders>
              <w:top w:val="single" w:sz="4" w:space="0" w:color="000000"/>
            </w:tcBorders>
          </w:tcPr>
          <w:p>
            <w:pPr>
              <w:pStyle w:val="TableParagraph"/>
              <w:spacing w:before="109"/>
              <w:ind w:left="110"/>
              <w:rPr>
                <w:rFonts w:ascii="微软雅黑"/>
                <w:b/>
                <w:sz w:val="21"/>
              </w:rPr>
            </w:pPr>
            <w:r>
              <w:rPr>
                <w:rFonts w:ascii="微软雅黑"/>
                <w:b/>
                <w:sz w:val="21"/>
              </w:rPr>
              <w:t>6.1</w:t>
            </w:r>
          </w:p>
        </w:tc>
        <w:tc>
          <w:tcPr>
            <w:tcW w:w="1954" w:type="dxa"/>
            <w:tcBorders>
              <w:top w:val="single" w:sz="4" w:space="0" w:color="000000"/>
            </w:tcBorders>
          </w:tcPr>
          <w:p>
            <w:pPr>
              <w:pStyle w:val="TableParagraph"/>
              <w:spacing w:before="109"/>
              <w:ind w:left="213"/>
              <w:rPr>
                <w:rFonts w:ascii="微软雅黑" w:eastAsia="微软雅黑" w:hint="eastAsia"/>
                <w:b/>
                <w:sz w:val="21"/>
              </w:rPr>
            </w:pPr>
            <w:r>
              <w:rPr>
                <w:rFonts w:ascii="微软雅黑" w:eastAsia="微软雅黑" w:hint="eastAsia"/>
                <w:b/>
                <w:sz w:val="21"/>
              </w:rPr>
              <w:t>效力中止</w:t>
            </w:r>
          </w:p>
        </w:tc>
        <w:tc>
          <w:tcPr>
            <w:tcW w:w="7494" w:type="dxa"/>
            <w:tcBorders>
              <w:top w:val="single" w:sz="4" w:space="0" w:color="000000"/>
            </w:tcBorders>
          </w:tcPr>
          <w:p>
            <w:pPr>
              <w:pStyle w:val="TableParagraph"/>
              <w:spacing w:before="138"/>
              <w:ind w:left="473"/>
              <w:rPr>
                <w:sz w:val="21"/>
              </w:rPr>
            </w:pPr>
            <w:r>
              <w:rPr>
                <w:sz w:val="21"/>
              </w:rPr>
              <w:t>本附加险合同发生下列情况之一时将会自动中止：</w:t>
            </w:r>
          </w:p>
          <w:p>
            <w:pPr>
              <w:pStyle w:val="TableParagraph"/>
              <w:spacing w:before="36"/>
              <w:ind w:left="473"/>
              <w:rPr>
                <w:sz w:val="21"/>
              </w:rPr>
            </w:pPr>
            <w:r>
              <w:rPr>
                <w:sz w:val="21"/>
              </w:rPr>
              <w:t>（1）主险合同效力中止；</w:t>
            </w:r>
          </w:p>
          <w:p>
            <w:pPr>
              <w:pStyle w:val="TableParagraph"/>
              <w:spacing w:line="326" w:lineRule="auto" w:before="70"/>
              <w:ind w:left="473" w:right="1979"/>
              <w:rPr>
                <w:sz w:val="21"/>
              </w:rPr>
            </w:pPr>
            <w:r>
              <w:rPr>
                <w:sz w:val="21"/>
              </w:rPr>
              <w:t>（2）</w:t>
            </w:r>
            <w:r>
              <w:rPr>
                <w:spacing w:val="-5"/>
                <w:sz w:val="21"/>
              </w:rPr>
              <w:t>因出现本附加险合同其他条款所列情况而中止。在本附加险合同效力中止期间，本公司不负保险责任。</w:t>
            </w:r>
          </w:p>
        </w:tc>
      </w:tr>
      <w:tr>
        <w:trPr>
          <w:trHeight w:val="2770" w:hRule="atLeast"/>
        </w:trPr>
        <w:tc>
          <w:tcPr>
            <w:tcW w:w="641" w:type="dxa"/>
          </w:tcPr>
          <w:p>
            <w:pPr>
              <w:pStyle w:val="TableParagraph"/>
              <w:spacing w:before="39"/>
              <w:ind w:left="110"/>
              <w:rPr>
                <w:rFonts w:ascii="微软雅黑"/>
                <w:b/>
                <w:sz w:val="21"/>
              </w:rPr>
            </w:pPr>
            <w:r>
              <w:rPr>
                <w:rFonts w:ascii="微软雅黑"/>
                <w:b/>
                <w:sz w:val="21"/>
              </w:rPr>
              <w:t>6.2</w:t>
            </w:r>
          </w:p>
        </w:tc>
        <w:tc>
          <w:tcPr>
            <w:tcW w:w="1954" w:type="dxa"/>
          </w:tcPr>
          <w:p>
            <w:pPr>
              <w:pStyle w:val="TableParagraph"/>
              <w:spacing w:before="39"/>
              <w:ind w:left="213"/>
              <w:rPr>
                <w:rFonts w:ascii="微软雅黑" w:eastAsia="微软雅黑" w:hint="eastAsia"/>
                <w:b/>
                <w:sz w:val="21"/>
              </w:rPr>
            </w:pPr>
            <w:r>
              <w:rPr>
                <w:rFonts w:ascii="微软雅黑" w:eastAsia="微软雅黑" w:hint="eastAsia"/>
                <w:b/>
                <w:sz w:val="21"/>
              </w:rPr>
              <w:t>效力恢复</w:t>
            </w:r>
          </w:p>
        </w:tc>
        <w:tc>
          <w:tcPr>
            <w:tcW w:w="7494" w:type="dxa"/>
          </w:tcPr>
          <w:p>
            <w:pPr>
              <w:pStyle w:val="TableParagraph"/>
              <w:spacing w:line="326" w:lineRule="auto" w:before="102"/>
              <w:ind w:left="473" w:right="85"/>
              <w:jc w:val="both"/>
              <w:rPr>
                <w:sz w:val="21"/>
              </w:rPr>
            </w:pPr>
            <w:r>
              <w:rPr>
                <w:spacing w:val="-5"/>
                <w:sz w:val="21"/>
              </w:rPr>
              <w:t>本附加险合同效力中止后 </w:t>
            </w:r>
            <w:r>
              <w:rPr>
                <w:sz w:val="21"/>
              </w:rPr>
              <w:t>2</w:t>
            </w:r>
            <w:r>
              <w:rPr>
                <w:spacing w:val="-7"/>
                <w:sz w:val="21"/>
              </w:rPr>
              <w:t> 年内，投保人可以申请恢复本附加险合同效力。</w:t>
            </w:r>
            <w:r>
              <w:rPr>
                <w:spacing w:val="-6"/>
                <w:sz w:val="21"/>
              </w:rPr>
              <w:t>投保人应填写复效申请书，并应本公司的要求提供被保险人的健康声明书、</w:t>
            </w:r>
            <w:r>
              <w:rPr>
                <w:spacing w:val="-5"/>
                <w:sz w:val="21"/>
              </w:rPr>
              <w:t>体检报告书及其他相关证明文件，经本公司审核同意，双方达成复效协议， 自投保人补交保险费、利息及其他未还款项的次日零时起，合同效力恢复。应付利息按本附加险合同约定利率计算，但本附加险合同另有约定的除外。</w:t>
            </w:r>
            <w:r>
              <w:rPr>
                <w:spacing w:val="-6"/>
                <w:sz w:val="21"/>
              </w:rPr>
              <w:t>自本附加险合同效力中止之日起满二年双方未达成协议的，本公司有权解除</w:t>
            </w:r>
            <w:r>
              <w:rPr>
                <w:spacing w:val="-5"/>
                <w:sz w:val="21"/>
              </w:rPr>
              <w:t>合同，并向投保人退还本附加险合同的现金价值。</w:t>
            </w:r>
          </w:p>
        </w:tc>
      </w:tr>
      <w:tr>
        <w:trPr>
          <w:trHeight w:val="1210" w:hRule="atLeast"/>
        </w:trPr>
        <w:tc>
          <w:tcPr>
            <w:tcW w:w="641" w:type="dxa"/>
          </w:tcPr>
          <w:p>
            <w:pPr>
              <w:pStyle w:val="TableParagraph"/>
              <w:spacing w:before="53"/>
              <w:ind w:left="110"/>
              <w:rPr>
                <w:rFonts w:ascii="微软雅黑"/>
                <w:b/>
                <w:sz w:val="21"/>
              </w:rPr>
            </w:pPr>
            <w:r>
              <w:rPr>
                <w:rFonts w:ascii="微软雅黑"/>
                <w:b/>
                <w:sz w:val="21"/>
              </w:rPr>
              <w:t>6.3</w:t>
            </w:r>
          </w:p>
        </w:tc>
        <w:tc>
          <w:tcPr>
            <w:tcW w:w="1954" w:type="dxa"/>
          </w:tcPr>
          <w:p>
            <w:pPr>
              <w:pStyle w:val="TableParagraph"/>
              <w:spacing w:before="53"/>
              <w:ind w:left="213"/>
              <w:rPr>
                <w:rFonts w:ascii="微软雅黑" w:eastAsia="微软雅黑" w:hint="eastAsia"/>
                <w:b/>
                <w:sz w:val="21"/>
              </w:rPr>
            </w:pPr>
            <w:r>
              <w:rPr>
                <w:rFonts w:ascii="微软雅黑" w:eastAsia="微软雅黑" w:hint="eastAsia"/>
                <w:b/>
                <w:sz w:val="21"/>
              </w:rPr>
              <w:t>效力终止</w:t>
            </w:r>
          </w:p>
        </w:tc>
        <w:tc>
          <w:tcPr>
            <w:tcW w:w="7494" w:type="dxa"/>
          </w:tcPr>
          <w:p>
            <w:pPr>
              <w:pStyle w:val="TableParagraph"/>
              <w:spacing w:before="82"/>
              <w:ind w:left="473"/>
              <w:rPr>
                <w:sz w:val="21"/>
              </w:rPr>
            </w:pPr>
            <w:r>
              <w:rPr>
                <w:sz w:val="21"/>
              </w:rPr>
              <w:t>本附加险合同发生下列情况之一时将会自动终止：</w:t>
            </w:r>
          </w:p>
          <w:p>
            <w:pPr>
              <w:pStyle w:val="TableParagraph"/>
              <w:spacing w:before="37"/>
              <w:ind w:left="473"/>
              <w:rPr>
                <w:sz w:val="21"/>
              </w:rPr>
            </w:pPr>
            <w:r>
              <w:rPr>
                <w:sz w:val="21"/>
              </w:rPr>
              <w:t>（1）主险合同效力终止；</w:t>
            </w:r>
          </w:p>
          <w:p>
            <w:pPr>
              <w:pStyle w:val="TableParagraph"/>
              <w:spacing w:before="71"/>
              <w:ind w:left="473"/>
              <w:rPr>
                <w:sz w:val="21"/>
              </w:rPr>
            </w:pPr>
            <w:r>
              <w:rPr>
                <w:sz w:val="21"/>
              </w:rPr>
              <w:t>（2）因出现本附加险合同其他条款所列情况而终止。</w:t>
            </w:r>
          </w:p>
        </w:tc>
      </w:tr>
      <w:tr>
        <w:trPr>
          <w:trHeight w:val="677" w:hRule="atLeast"/>
        </w:trPr>
        <w:tc>
          <w:tcPr>
            <w:tcW w:w="641" w:type="dxa"/>
            <w:tcBorders>
              <w:bottom w:val="single" w:sz="4" w:space="0" w:color="000000"/>
            </w:tcBorders>
          </w:tcPr>
          <w:p>
            <w:pPr>
              <w:pStyle w:val="TableParagraph"/>
              <w:spacing w:before="182"/>
              <w:ind w:left="110"/>
              <w:rPr>
                <w:rFonts w:ascii="Times New Roman"/>
                <w:b/>
                <w:sz w:val="32"/>
              </w:rPr>
            </w:pPr>
            <w:r>
              <w:rPr>
                <w:rFonts w:ascii="Times New Roman"/>
                <w:b/>
                <w:w w:val="100"/>
                <w:sz w:val="32"/>
              </w:rPr>
              <w:t>7</w:t>
            </w:r>
          </w:p>
        </w:tc>
        <w:tc>
          <w:tcPr>
            <w:tcW w:w="9448" w:type="dxa"/>
            <w:gridSpan w:val="2"/>
            <w:tcBorders>
              <w:bottom w:val="single" w:sz="4" w:space="0" w:color="000000"/>
            </w:tcBorders>
          </w:tcPr>
          <w:p>
            <w:pPr>
              <w:pStyle w:val="TableParagraph"/>
              <w:spacing w:before="100"/>
              <w:ind w:left="213"/>
              <w:rPr>
                <w:rFonts w:ascii="微软雅黑" w:eastAsia="微软雅黑" w:hint="eastAsia"/>
                <w:b/>
                <w:sz w:val="24"/>
              </w:rPr>
            </w:pPr>
            <w:r>
              <w:rPr>
                <w:rFonts w:ascii="微软雅黑" w:eastAsia="微软雅黑" w:hint="eastAsia"/>
                <w:b/>
                <w:sz w:val="24"/>
              </w:rPr>
              <w:t>如何解除保险合同</w:t>
            </w:r>
          </w:p>
        </w:tc>
      </w:tr>
      <w:tr>
        <w:trPr>
          <w:trHeight w:val="826" w:hRule="atLeast"/>
        </w:trPr>
        <w:tc>
          <w:tcPr>
            <w:tcW w:w="641" w:type="dxa"/>
            <w:tcBorders>
              <w:top w:val="single" w:sz="4" w:space="0" w:color="000000"/>
            </w:tcBorders>
          </w:tcPr>
          <w:p>
            <w:pPr>
              <w:pStyle w:val="TableParagraph"/>
              <w:spacing w:before="115"/>
              <w:ind w:left="110"/>
              <w:rPr>
                <w:rFonts w:ascii="微软雅黑"/>
                <w:b/>
                <w:sz w:val="21"/>
              </w:rPr>
            </w:pPr>
            <w:r>
              <w:rPr>
                <w:rFonts w:ascii="微软雅黑"/>
                <w:b/>
                <w:sz w:val="21"/>
              </w:rPr>
              <w:t>7.1</w:t>
            </w:r>
          </w:p>
        </w:tc>
        <w:tc>
          <w:tcPr>
            <w:tcW w:w="1954" w:type="dxa"/>
            <w:tcBorders>
              <w:top w:val="single" w:sz="4" w:space="0" w:color="000000"/>
            </w:tcBorders>
          </w:tcPr>
          <w:p>
            <w:pPr>
              <w:pStyle w:val="TableParagraph"/>
              <w:spacing w:before="115"/>
              <w:ind w:left="213"/>
              <w:rPr>
                <w:rFonts w:ascii="微软雅黑" w:eastAsia="微软雅黑" w:hint="eastAsia"/>
                <w:b/>
                <w:sz w:val="21"/>
              </w:rPr>
            </w:pPr>
            <w:r>
              <w:rPr>
                <w:rFonts w:ascii="微软雅黑" w:eastAsia="微软雅黑" w:hint="eastAsia"/>
                <w:b/>
                <w:sz w:val="21"/>
              </w:rPr>
              <w:t>合同解除</w:t>
            </w:r>
          </w:p>
        </w:tc>
        <w:tc>
          <w:tcPr>
            <w:tcW w:w="7494" w:type="dxa"/>
            <w:tcBorders>
              <w:top w:val="single" w:sz="4" w:space="0" w:color="000000"/>
            </w:tcBorders>
          </w:tcPr>
          <w:p>
            <w:pPr>
              <w:pStyle w:val="TableParagraph"/>
              <w:spacing w:line="370" w:lineRule="atLeast" w:before="82"/>
              <w:ind w:left="473" w:right="86"/>
              <w:rPr>
                <w:sz w:val="21"/>
              </w:rPr>
            </w:pPr>
            <w:r>
              <w:rPr>
                <w:sz w:val="21"/>
              </w:rPr>
              <w:t>投保人在犹豫期后，可以书面通知要求解除本附加险合同，并向本公司提供下列证明和资料：</w:t>
            </w:r>
          </w:p>
        </w:tc>
      </w:tr>
    </w:tbl>
    <w:p>
      <w:pPr>
        <w:rPr>
          <w:sz w:val="2"/>
          <w:szCs w:val="2"/>
        </w:rPr>
      </w:pPr>
      <w:r>
        <w:rPr/>
        <w:drawing>
          <wp:anchor distT="0" distB="0" distL="0" distR="0" allowOverlap="1" layoutInCell="1" locked="0" behindDoc="1" simplePos="0" relativeHeight="268396871">
            <wp:simplePos x="0" y="0"/>
            <wp:positionH relativeFrom="page">
              <wp:posOffset>3500501</wp:posOffset>
            </wp:positionH>
            <wp:positionV relativeFrom="page">
              <wp:posOffset>1130045</wp:posOffset>
            </wp:positionV>
            <wp:extent cx="59721" cy="103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7" w:top="1360" w:bottom="560" w:left="80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2271"/>
        <w:gridCol w:w="7177"/>
      </w:tblGrid>
      <w:tr>
        <w:trPr>
          <w:trHeight w:val="1911" w:hRule="atLeast"/>
        </w:trPr>
        <w:tc>
          <w:tcPr>
            <w:tcW w:w="641" w:type="dxa"/>
          </w:tcPr>
          <w:p>
            <w:pPr>
              <w:pStyle w:val="TableParagraph"/>
              <w:ind w:left="0"/>
              <w:rPr>
                <w:rFonts w:ascii="Times New Roman"/>
                <w:sz w:val="20"/>
              </w:rPr>
            </w:pPr>
          </w:p>
        </w:tc>
        <w:tc>
          <w:tcPr>
            <w:tcW w:w="2271" w:type="dxa"/>
          </w:tcPr>
          <w:p>
            <w:pPr>
              <w:pStyle w:val="TableParagraph"/>
              <w:ind w:left="0"/>
              <w:rPr>
                <w:rFonts w:ascii="Times New Roman"/>
                <w:sz w:val="20"/>
              </w:rPr>
            </w:pPr>
          </w:p>
        </w:tc>
        <w:tc>
          <w:tcPr>
            <w:tcW w:w="7177" w:type="dxa"/>
          </w:tcPr>
          <w:p>
            <w:pPr>
              <w:pStyle w:val="TableParagraph"/>
              <w:numPr>
                <w:ilvl w:val="0"/>
                <w:numId w:val="8"/>
              </w:numPr>
              <w:tabs>
                <w:tab w:pos="781" w:val="left" w:leader="none"/>
              </w:tabs>
              <w:spacing w:line="231" w:lineRule="exact" w:before="0" w:after="0"/>
              <w:ind w:left="780" w:right="0" w:hanging="624"/>
              <w:jc w:val="left"/>
              <w:rPr>
                <w:sz w:val="21"/>
              </w:rPr>
            </w:pPr>
            <w:r>
              <w:rPr>
                <w:sz w:val="21"/>
              </w:rPr>
              <w:t>保险合同；</w:t>
            </w:r>
          </w:p>
          <w:p>
            <w:pPr>
              <w:pStyle w:val="TableParagraph"/>
              <w:numPr>
                <w:ilvl w:val="0"/>
                <w:numId w:val="8"/>
              </w:numPr>
              <w:tabs>
                <w:tab w:pos="781" w:val="left" w:leader="none"/>
              </w:tabs>
              <w:spacing w:line="240" w:lineRule="auto" w:before="84" w:after="0"/>
              <w:ind w:left="780" w:right="0" w:hanging="624"/>
              <w:jc w:val="left"/>
              <w:rPr>
                <w:sz w:val="21"/>
              </w:rPr>
            </w:pPr>
            <w:r>
              <w:rPr>
                <w:spacing w:val="-1"/>
                <w:sz w:val="21"/>
              </w:rPr>
              <w:t>解除合同申请书；</w:t>
            </w:r>
          </w:p>
          <w:p>
            <w:pPr>
              <w:pStyle w:val="TableParagraph"/>
              <w:numPr>
                <w:ilvl w:val="0"/>
                <w:numId w:val="8"/>
              </w:numPr>
              <w:tabs>
                <w:tab w:pos="781" w:val="left" w:leader="none"/>
              </w:tabs>
              <w:spacing w:line="240" w:lineRule="auto" w:before="84" w:after="0"/>
              <w:ind w:left="780" w:right="0" w:hanging="624"/>
              <w:jc w:val="left"/>
              <w:rPr>
                <w:sz w:val="21"/>
              </w:rPr>
            </w:pPr>
            <w:r>
              <w:rPr>
                <w:spacing w:val="-2"/>
                <w:sz w:val="21"/>
              </w:rPr>
              <w:t>投保人的法定身份证明。</w:t>
            </w:r>
          </w:p>
          <w:p>
            <w:pPr>
              <w:pStyle w:val="TableParagraph"/>
              <w:spacing w:line="326" w:lineRule="auto" w:before="85"/>
              <w:ind w:left="156" w:right="88"/>
              <w:rPr>
                <w:sz w:val="21"/>
              </w:rPr>
            </w:pPr>
            <w:r>
              <w:rPr>
                <w:sz w:val="21"/>
              </w:rPr>
              <w:t>自本公司收到解除合同申请书之日起，本附加险合同终止。本公司在收到上述证明和资料之日起 30 日内退还本附加险合同的现金价值。</w:t>
            </w:r>
          </w:p>
        </w:tc>
      </w:tr>
      <w:tr>
        <w:trPr>
          <w:trHeight w:val="680" w:hRule="atLeast"/>
        </w:trPr>
        <w:tc>
          <w:tcPr>
            <w:tcW w:w="641" w:type="dxa"/>
            <w:tcBorders>
              <w:bottom w:val="single" w:sz="4" w:space="0" w:color="000000"/>
            </w:tcBorders>
          </w:tcPr>
          <w:p>
            <w:pPr>
              <w:pStyle w:val="TableParagraph"/>
              <w:spacing w:before="175"/>
              <w:ind w:left="110"/>
              <w:rPr>
                <w:rFonts w:ascii="Times New Roman"/>
                <w:b/>
                <w:sz w:val="32"/>
              </w:rPr>
            </w:pPr>
            <w:r>
              <w:rPr>
                <w:rFonts w:ascii="Times New Roman"/>
                <w:b/>
                <w:w w:val="100"/>
                <w:sz w:val="32"/>
              </w:rPr>
              <w:t>8</w:t>
            </w:r>
          </w:p>
        </w:tc>
        <w:tc>
          <w:tcPr>
            <w:tcW w:w="9448" w:type="dxa"/>
            <w:gridSpan w:val="2"/>
            <w:tcBorders>
              <w:bottom w:val="single" w:sz="4" w:space="0" w:color="000000"/>
            </w:tcBorders>
          </w:tcPr>
          <w:p>
            <w:pPr>
              <w:pStyle w:val="TableParagraph"/>
              <w:spacing w:before="98"/>
              <w:ind w:left="213"/>
              <w:rPr>
                <w:rFonts w:ascii="微软雅黑" w:eastAsia="微软雅黑" w:hint="eastAsia"/>
                <w:b/>
                <w:sz w:val="24"/>
              </w:rPr>
            </w:pPr>
            <w:r>
              <w:rPr>
                <w:rFonts w:ascii="微软雅黑" w:eastAsia="微软雅黑" w:hint="eastAsia"/>
                <w:b/>
                <w:sz w:val="24"/>
              </w:rPr>
              <w:t>其他需要关注的事项</w:t>
            </w:r>
          </w:p>
        </w:tc>
      </w:tr>
      <w:tr>
        <w:trPr>
          <w:trHeight w:val="5843" w:hRule="atLeast"/>
        </w:trPr>
        <w:tc>
          <w:tcPr>
            <w:tcW w:w="641" w:type="dxa"/>
            <w:tcBorders>
              <w:top w:val="single" w:sz="4" w:space="0" w:color="000000"/>
            </w:tcBorders>
          </w:tcPr>
          <w:p>
            <w:pPr>
              <w:pStyle w:val="TableParagraph"/>
              <w:spacing w:before="95"/>
              <w:ind w:left="110"/>
              <w:rPr>
                <w:rFonts w:ascii="微软雅黑"/>
                <w:b/>
                <w:sz w:val="21"/>
              </w:rPr>
            </w:pPr>
            <w:r>
              <w:rPr>
                <w:rFonts w:ascii="微软雅黑"/>
                <w:b/>
                <w:sz w:val="21"/>
              </w:rPr>
              <w:t>8.1</w:t>
            </w:r>
          </w:p>
        </w:tc>
        <w:tc>
          <w:tcPr>
            <w:tcW w:w="2271" w:type="dxa"/>
            <w:tcBorders>
              <w:top w:val="single" w:sz="4" w:space="0" w:color="000000"/>
            </w:tcBorders>
          </w:tcPr>
          <w:p>
            <w:pPr>
              <w:pStyle w:val="TableParagraph"/>
              <w:spacing w:before="95"/>
              <w:ind w:left="213"/>
              <w:rPr>
                <w:rFonts w:ascii="微软雅黑" w:eastAsia="微软雅黑" w:hint="eastAsia"/>
                <w:b/>
                <w:sz w:val="21"/>
              </w:rPr>
            </w:pPr>
            <w:r>
              <w:rPr>
                <w:rFonts w:ascii="微软雅黑" w:eastAsia="微软雅黑" w:hint="eastAsia"/>
                <w:b/>
                <w:sz w:val="21"/>
              </w:rPr>
              <w:t>如实告知</w:t>
            </w:r>
          </w:p>
        </w:tc>
        <w:tc>
          <w:tcPr>
            <w:tcW w:w="7177" w:type="dxa"/>
            <w:tcBorders>
              <w:top w:val="single" w:sz="4" w:space="0" w:color="000000"/>
            </w:tcBorders>
          </w:tcPr>
          <w:p>
            <w:pPr>
              <w:pStyle w:val="TableParagraph"/>
              <w:spacing w:line="326" w:lineRule="auto" w:before="158"/>
              <w:ind w:left="156" w:right="1"/>
              <w:rPr>
                <w:sz w:val="21"/>
              </w:rPr>
            </w:pPr>
            <w:r>
              <w:rPr>
                <w:spacing w:val="-7"/>
                <w:sz w:val="21"/>
              </w:rPr>
              <w:t>订立本附加险合同或申请恢复本附加险合同效力时，本公司应向投保人明确</w:t>
            </w:r>
            <w:r>
              <w:rPr>
                <w:spacing w:val="-15"/>
                <w:sz w:val="21"/>
              </w:rPr>
              <w:t>说明本附加险合同的内容，并可以就投保人、被保险人的有关情况提出询问， </w:t>
            </w:r>
            <w:r>
              <w:rPr>
                <w:spacing w:val="-9"/>
                <w:sz w:val="21"/>
              </w:rPr>
              <w:t>投保人应当如实告知。</w:t>
            </w:r>
          </w:p>
          <w:p>
            <w:pPr>
              <w:pStyle w:val="TableParagraph"/>
              <w:spacing w:line="326" w:lineRule="auto" w:before="24"/>
              <w:ind w:left="156" w:right="88"/>
              <w:jc w:val="both"/>
              <w:rPr>
                <w:sz w:val="21"/>
              </w:rPr>
            </w:pPr>
            <w:r>
              <w:rPr>
                <w:spacing w:val="-6"/>
                <w:sz w:val="21"/>
              </w:rPr>
              <w:t>投保人故意或者因重大过失未履行前款规定的如实告知义务，足以影响本公</w:t>
            </w:r>
            <w:r>
              <w:rPr>
                <w:spacing w:val="-5"/>
                <w:sz w:val="21"/>
              </w:rPr>
              <w:t>司决定是否同意承保或者提高保险费率的，本公司有权解除本附加险合同。</w:t>
            </w:r>
            <w:r>
              <w:rPr>
                <w:spacing w:val="-7"/>
                <w:sz w:val="21"/>
              </w:rPr>
              <w:t>前款规定的合同解除权，自本公司知道有解除事由之日起，超过三十日不行</w:t>
            </w:r>
            <w:r>
              <w:rPr>
                <w:spacing w:val="-8"/>
                <w:sz w:val="21"/>
              </w:rPr>
              <w:t>使而消灭。自本附加险合同成立之日起超过二年的，本公司不得解除本附加</w:t>
            </w:r>
            <w:r>
              <w:rPr>
                <w:spacing w:val="-6"/>
                <w:sz w:val="21"/>
              </w:rPr>
              <w:t>险合同；发生保险事故的，本公司承担给付保险金的责任。</w:t>
            </w:r>
          </w:p>
          <w:p>
            <w:pPr>
              <w:pStyle w:val="TableParagraph"/>
              <w:spacing w:line="326" w:lineRule="auto" w:before="24"/>
              <w:ind w:left="156" w:right="294"/>
              <w:rPr>
                <w:sz w:val="21"/>
              </w:rPr>
            </w:pPr>
            <w:r>
              <w:rPr>
                <w:sz w:val="21"/>
              </w:rPr>
              <w:t>投保人故意不履行如实告知义务的，本公司对于合同解除前发生的保险事故，不承担给付保险金的责任，并不退还保险费。</w:t>
            </w:r>
          </w:p>
          <w:p>
            <w:pPr>
              <w:pStyle w:val="TableParagraph"/>
              <w:spacing w:line="326" w:lineRule="auto" w:before="24"/>
              <w:ind w:left="156" w:right="88"/>
              <w:jc w:val="both"/>
              <w:rPr>
                <w:sz w:val="21"/>
              </w:rPr>
            </w:pPr>
            <w:r>
              <w:rPr>
                <w:spacing w:val="-5"/>
                <w:sz w:val="21"/>
              </w:rPr>
              <w:t>投保人因重大过失未履行如实告知义务，对保险事故的发生有严重影响的， </w:t>
            </w:r>
            <w:r>
              <w:rPr>
                <w:spacing w:val="-7"/>
                <w:sz w:val="21"/>
              </w:rPr>
              <w:t>本公司对于合同解除前发生的保险事故，不承担给付保险金的责任，但退还保险费。</w:t>
            </w:r>
          </w:p>
          <w:p>
            <w:pPr>
              <w:pStyle w:val="TableParagraph"/>
              <w:spacing w:line="326" w:lineRule="auto" w:before="23"/>
              <w:ind w:left="156" w:right="88"/>
              <w:jc w:val="both"/>
              <w:rPr>
                <w:sz w:val="21"/>
              </w:rPr>
            </w:pPr>
            <w:r>
              <w:rPr>
                <w:sz w:val="21"/>
              </w:rPr>
              <w:t>本公司在本附加险合同订立时已经知道投保人未如实告知的情况的，本公司不得解除本附加险合同；发生保险事故的，本公司承担给付保险金的责任。</w:t>
            </w:r>
          </w:p>
        </w:tc>
      </w:tr>
      <w:tr>
        <w:trPr>
          <w:trHeight w:val="4285" w:hRule="atLeast"/>
        </w:trPr>
        <w:tc>
          <w:tcPr>
            <w:tcW w:w="641" w:type="dxa"/>
          </w:tcPr>
          <w:p>
            <w:pPr>
              <w:pStyle w:val="TableParagraph"/>
              <w:spacing w:before="32"/>
              <w:ind w:left="110"/>
              <w:rPr>
                <w:rFonts w:ascii="微软雅黑"/>
                <w:b/>
                <w:sz w:val="21"/>
              </w:rPr>
            </w:pPr>
            <w:r>
              <w:rPr>
                <w:rFonts w:ascii="微软雅黑"/>
                <w:b/>
                <w:sz w:val="21"/>
              </w:rPr>
              <w:t>8.2</w:t>
            </w:r>
          </w:p>
        </w:tc>
        <w:tc>
          <w:tcPr>
            <w:tcW w:w="2271" w:type="dxa"/>
          </w:tcPr>
          <w:p>
            <w:pPr>
              <w:pStyle w:val="TableParagraph"/>
              <w:spacing w:before="32"/>
              <w:ind w:left="213"/>
              <w:rPr>
                <w:rFonts w:ascii="微软雅黑" w:eastAsia="微软雅黑" w:hint="eastAsia"/>
                <w:b/>
                <w:sz w:val="21"/>
              </w:rPr>
            </w:pPr>
            <w:r>
              <w:rPr>
                <w:rFonts w:ascii="微软雅黑" w:eastAsia="微软雅黑" w:hint="eastAsia"/>
                <w:b/>
                <w:sz w:val="21"/>
              </w:rPr>
              <w:t>年龄确定与错误处理</w:t>
            </w:r>
          </w:p>
        </w:tc>
        <w:tc>
          <w:tcPr>
            <w:tcW w:w="7177" w:type="dxa"/>
          </w:tcPr>
          <w:p>
            <w:pPr>
              <w:pStyle w:val="TableParagraph"/>
              <w:spacing w:line="326" w:lineRule="auto" w:before="95"/>
              <w:ind w:left="156" w:right="71"/>
              <w:rPr>
                <w:sz w:val="21"/>
              </w:rPr>
            </w:pPr>
            <w:r>
              <w:rPr>
                <w:sz w:val="21"/>
              </w:rPr>
              <w:t>被保险人的投保年龄按周岁计算。投保人应在投保本保险时将被保险人的真实年龄在投保单上填明，如果发生错误，本公司按照下列规定办理：</w:t>
            </w:r>
          </w:p>
          <w:p>
            <w:pPr>
              <w:pStyle w:val="TableParagraph"/>
              <w:spacing w:line="326" w:lineRule="auto" w:before="23"/>
              <w:ind w:left="156" w:right="112"/>
              <w:rPr>
                <w:sz w:val="21"/>
              </w:rPr>
            </w:pPr>
            <w:r>
              <w:rPr>
                <w:sz w:val="21"/>
              </w:rPr>
              <w:t>（1）</w:t>
            </w:r>
            <w:r>
              <w:rPr>
                <w:spacing w:val="-5"/>
                <w:sz w:val="21"/>
              </w:rPr>
              <w:t>投保人申报的被保险人年龄不真实，并且其真实年龄不符合本附加险</w:t>
            </w:r>
            <w:r>
              <w:rPr>
                <w:spacing w:val="-7"/>
                <w:sz w:val="21"/>
              </w:rPr>
              <w:t>合同约定的年龄限制的，本公司有权在知道有解除事由之日起三十日内解除</w:t>
            </w:r>
            <w:r>
              <w:rPr>
                <w:spacing w:val="-8"/>
                <w:sz w:val="21"/>
              </w:rPr>
              <w:t>本附加险合同，并向投保人退还本附加险合同的现金价值，但自本附加险合</w:t>
            </w:r>
            <w:r>
              <w:rPr>
                <w:spacing w:val="-6"/>
                <w:sz w:val="21"/>
              </w:rPr>
              <w:t>同成立之日起超过二年的除外。</w:t>
            </w:r>
          </w:p>
          <w:p>
            <w:pPr>
              <w:pStyle w:val="TableParagraph"/>
              <w:spacing w:line="326" w:lineRule="auto" w:before="23"/>
              <w:ind w:left="156" w:right="109"/>
              <w:rPr>
                <w:sz w:val="21"/>
              </w:rPr>
            </w:pPr>
            <w:r>
              <w:rPr>
                <w:sz w:val="21"/>
              </w:rPr>
              <w:t>（2）</w:t>
            </w:r>
            <w:r>
              <w:rPr>
                <w:spacing w:val="-5"/>
                <w:sz w:val="21"/>
              </w:rPr>
              <w:t>投保人申报的被保险人年龄不真实，致使投保人支付的保险费少于应</w:t>
            </w:r>
            <w:r>
              <w:rPr>
                <w:spacing w:val="-8"/>
                <w:sz w:val="21"/>
              </w:rPr>
              <w:t>付保险费的，本公司有权更正并要求投保人补交保险费，或在给付保险金时</w:t>
            </w:r>
            <w:r>
              <w:rPr>
                <w:spacing w:val="-6"/>
                <w:sz w:val="21"/>
              </w:rPr>
              <w:t>按照实付保险费与应付保险费的比例支付。</w:t>
            </w:r>
          </w:p>
          <w:p>
            <w:pPr>
              <w:pStyle w:val="TableParagraph"/>
              <w:spacing w:line="326" w:lineRule="auto" w:before="24"/>
              <w:ind w:left="156" w:right="112"/>
              <w:rPr>
                <w:sz w:val="21"/>
              </w:rPr>
            </w:pPr>
            <w:r>
              <w:rPr>
                <w:sz w:val="21"/>
              </w:rPr>
              <w:t>（3）投保人申报的被保险人年龄不真实，致使投保人支付的保险费多于应付保险费的，本公司应将多收的保险费无息退还投保人。</w:t>
            </w:r>
          </w:p>
        </w:tc>
      </w:tr>
      <w:tr>
        <w:trPr>
          <w:trHeight w:val="1289" w:hRule="atLeast"/>
        </w:trPr>
        <w:tc>
          <w:tcPr>
            <w:tcW w:w="641" w:type="dxa"/>
          </w:tcPr>
          <w:p>
            <w:pPr>
              <w:pStyle w:val="TableParagraph"/>
              <w:spacing w:before="35"/>
              <w:ind w:left="110"/>
              <w:rPr>
                <w:rFonts w:ascii="微软雅黑"/>
                <w:b/>
                <w:sz w:val="21"/>
              </w:rPr>
            </w:pPr>
            <w:r>
              <w:rPr>
                <w:rFonts w:ascii="微软雅黑"/>
                <w:b/>
                <w:sz w:val="21"/>
              </w:rPr>
              <w:t>8.3</w:t>
            </w:r>
          </w:p>
        </w:tc>
        <w:tc>
          <w:tcPr>
            <w:tcW w:w="2271" w:type="dxa"/>
          </w:tcPr>
          <w:p>
            <w:pPr>
              <w:pStyle w:val="TableParagraph"/>
              <w:spacing w:before="35"/>
              <w:ind w:left="213"/>
              <w:rPr>
                <w:rFonts w:ascii="微软雅黑" w:eastAsia="微软雅黑" w:hint="eastAsia"/>
                <w:b/>
                <w:sz w:val="21"/>
              </w:rPr>
            </w:pPr>
            <w:r>
              <w:rPr>
                <w:rFonts w:ascii="微软雅黑" w:eastAsia="微软雅黑" w:hint="eastAsia"/>
                <w:b/>
                <w:sz w:val="21"/>
              </w:rPr>
              <w:t>未还款项</w:t>
            </w:r>
          </w:p>
        </w:tc>
        <w:tc>
          <w:tcPr>
            <w:tcW w:w="7177" w:type="dxa"/>
          </w:tcPr>
          <w:p>
            <w:pPr>
              <w:pStyle w:val="TableParagraph"/>
              <w:spacing w:line="326" w:lineRule="auto" w:before="97"/>
              <w:ind w:left="156" w:right="106"/>
              <w:jc w:val="both"/>
              <w:rPr>
                <w:sz w:val="21"/>
              </w:rPr>
            </w:pPr>
            <w:r>
              <w:rPr>
                <w:spacing w:val="-6"/>
                <w:sz w:val="21"/>
              </w:rPr>
              <w:t>本公司在给付各项保险金、退还现金价值或返还保险费时，如果投保人有欠</w:t>
            </w:r>
            <w:r>
              <w:rPr>
                <w:spacing w:val="2"/>
                <w:sz w:val="21"/>
              </w:rPr>
              <w:t>交的保险费或其他未还清款项，本公司会在扣除上述欠款及应付利息后给</w:t>
            </w:r>
            <w:r>
              <w:rPr>
                <w:spacing w:val="-5"/>
                <w:sz w:val="21"/>
              </w:rPr>
              <w:t>付。应付利息按本条款约定利率计算，但本附加险合同另有约定的除外。</w:t>
            </w:r>
          </w:p>
        </w:tc>
      </w:tr>
      <w:tr>
        <w:trPr>
          <w:trHeight w:val="374" w:hRule="atLeast"/>
        </w:trPr>
        <w:tc>
          <w:tcPr>
            <w:tcW w:w="641" w:type="dxa"/>
          </w:tcPr>
          <w:p>
            <w:pPr>
              <w:pStyle w:val="TableParagraph"/>
              <w:spacing w:line="322" w:lineRule="exact" w:before="32"/>
              <w:ind w:left="110"/>
              <w:rPr>
                <w:rFonts w:ascii="微软雅黑"/>
                <w:b/>
                <w:sz w:val="21"/>
              </w:rPr>
            </w:pPr>
            <w:r>
              <w:rPr>
                <w:rFonts w:ascii="微软雅黑"/>
                <w:b/>
                <w:sz w:val="21"/>
              </w:rPr>
              <w:t>8.4</w:t>
            </w:r>
          </w:p>
        </w:tc>
        <w:tc>
          <w:tcPr>
            <w:tcW w:w="2271" w:type="dxa"/>
          </w:tcPr>
          <w:p>
            <w:pPr>
              <w:pStyle w:val="TableParagraph"/>
              <w:spacing w:line="322" w:lineRule="exact" w:before="32"/>
              <w:ind w:left="213"/>
              <w:rPr>
                <w:rFonts w:ascii="微软雅黑" w:eastAsia="微软雅黑" w:hint="eastAsia"/>
                <w:b/>
                <w:sz w:val="21"/>
              </w:rPr>
            </w:pPr>
            <w:r>
              <w:rPr>
                <w:rFonts w:ascii="微软雅黑" w:eastAsia="微软雅黑" w:hint="eastAsia"/>
                <w:b/>
                <w:sz w:val="21"/>
              </w:rPr>
              <w:t>合同内容变更</w:t>
            </w:r>
          </w:p>
        </w:tc>
        <w:tc>
          <w:tcPr>
            <w:tcW w:w="7177" w:type="dxa"/>
          </w:tcPr>
          <w:p>
            <w:pPr>
              <w:pStyle w:val="TableParagraph"/>
              <w:spacing w:line="259" w:lineRule="exact" w:before="95"/>
              <w:ind w:left="156"/>
              <w:rPr>
                <w:sz w:val="21"/>
              </w:rPr>
            </w:pPr>
            <w:r>
              <w:rPr>
                <w:sz w:val="21"/>
              </w:rPr>
              <w:t>投保人和本公司可以协商变更本附加险合同的内容。变更本附加险合同的，</w:t>
            </w:r>
          </w:p>
        </w:tc>
      </w:tr>
    </w:tbl>
    <w:p>
      <w:pPr>
        <w:spacing w:after="0" w:line="259" w:lineRule="exact"/>
        <w:rPr>
          <w:sz w:val="21"/>
        </w:rPr>
        <w:sectPr>
          <w:pgSz w:w="11910" w:h="16840"/>
          <w:pgMar w:header="0" w:footer="377" w:top="1360" w:bottom="560" w:left="80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2163"/>
        <w:gridCol w:w="7285"/>
      </w:tblGrid>
      <w:tr>
        <w:trPr>
          <w:trHeight w:val="748" w:hRule="atLeast"/>
        </w:trPr>
        <w:tc>
          <w:tcPr>
            <w:tcW w:w="641" w:type="dxa"/>
          </w:tcPr>
          <w:p>
            <w:pPr>
              <w:pStyle w:val="TableParagraph"/>
              <w:ind w:left="0"/>
              <w:rPr>
                <w:rFonts w:ascii="Times New Roman"/>
                <w:sz w:val="20"/>
              </w:rPr>
            </w:pPr>
          </w:p>
        </w:tc>
        <w:tc>
          <w:tcPr>
            <w:tcW w:w="2163" w:type="dxa"/>
          </w:tcPr>
          <w:p>
            <w:pPr>
              <w:pStyle w:val="TableParagraph"/>
              <w:ind w:left="0"/>
              <w:rPr>
                <w:rFonts w:ascii="Times New Roman"/>
                <w:sz w:val="20"/>
              </w:rPr>
            </w:pPr>
          </w:p>
        </w:tc>
        <w:tc>
          <w:tcPr>
            <w:tcW w:w="7285" w:type="dxa"/>
          </w:tcPr>
          <w:p>
            <w:pPr>
              <w:pStyle w:val="TableParagraph"/>
              <w:spacing w:line="211" w:lineRule="exact"/>
              <w:ind w:left="264"/>
              <w:rPr>
                <w:sz w:val="21"/>
              </w:rPr>
            </w:pPr>
            <w:r>
              <w:rPr>
                <w:sz w:val="21"/>
              </w:rPr>
              <w:t>应当由本公司在保险单或者其他保险凭证上批注或者附贴批单，或者由投保</w:t>
            </w:r>
          </w:p>
          <w:p>
            <w:pPr>
              <w:pStyle w:val="TableParagraph"/>
              <w:spacing w:before="99"/>
              <w:ind w:left="264"/>
              <w:rPr>
                <w:sz w:val="21"/>
              </w:rPr>
            </w:pPr>
            <w:r>
              <w:rPr>
                <w:sz w:val="21"/>
              </w:rPr>
              <w:t>人与本公司订立书面的变更协议。</w:t>
            </w:r>
          </w:p>
        </w:tc>
      </w:tr>
      <w:tr>
        <w:trPr>
          <w:trHeight w:val="1289" w:hRule="atLeast"/>
        </w:trPr>
        <w:tc>
          <w:tcPr>
            <w:tcW w:w="641" w:type="dxa"/>
          </w:tcPr>
          <w:p>
            <w:pPr>
              <w:pStyle w:val="TableParagraph"/>
              <w:spacing w:before="37"/>
              <w:ind w:left="110"/>
              <w:rPr>
                <w:rFonts w:ascii="微软雅黑"/>
                <w:b/>
                <w:sz w:val="21"/>
              </w:rPr>
            </w:pPr>
            <w:r>
              <w:rPr>
                <w:rFonts w:ascii="微软雅黑"/>
                <w:b/>
                <w:sz w:val="21"/>
              </w:rPr>
              <w:t>8.5</w:t>
            </w:r>
          </w:p>
        </w:tc>
        <w:tc>
          <w:tcPr>
            <w:tcW w:w="2163" w:type="dxa"/>
          </w:tcPr>
          <w:p>
            <w:pPr>
              <w:pStyle w:val="TableParagraph"/>
              <w:spacing w:before="37"/>
              <w:ind w:left="213"/>
              <w:rPr>
                <w:rFonts w:ascii="微软雅黑" w:eastAsia="微软雅黑" w:hint="eastAsia"/>
                <w:b/>
                <w:sz w:val="21"/>
              </w:rPr>
            </w:pPr>
            <w:r>
              <w:rPr>
                <w:rFonts w:ascii="微软雅黑" w:eastAsia="微软雅黑" w:hint="eastAsia"/>
                <w:b/>
                <w:sz w:val="21"/>
              </w:rPr>
              <w:t>地址变更</w:t>
            </w:r>
          </w:p>
        </w:tc>
        <w:tc>
          <w:tcPr>
            <w:tcW w:w="7285" w:type="dxa"/>
          </w:tcPr>
          <w:p>
            <w:pPr>
              <w:pStyle w:val="TableParagraph"/>
              <w:spacing w:line="326" w:lineRule="auto" w:before="99"/>
              <w:ind w:left="264" w:right="112"/>
              <w:jc w:val="both"/>
              <w:rPr>
                <w:sz w:val="21"/>
              </w:rPr>
            </w:pPr>
            <w:r>
              <w:rPr>
                <w:spacing w:val="-6"/>
                <w:sz w:val="21"/>
              </w:rPr>
              <w:t>投保人住所或通讯地址变更时，应及时以书面形式通知本公司。投保人未以</w:t>
            </w:r>
            <w:r>
              <w:rPr>
                <w:spacing w:val="-8"/>
                <w:sz w:val="21"/>
              </w:rPr>
              <w:t>书面形式通知的，本公司将按本附加险合同载明的最后住所或通讯地址发送</w:t>
            </w:r>
            <w:r>
              <w:rPr>
                <w:spacing w:val="-6"/>
                <w:sz w:val="21"/>
              </w:rPr>
              <w:t>有关通知，并视为已送达给投保人。</w:t>
            </w:r>
          </w:p>
        </w:tc>
      </w:tr>
      <w:tr>
        <w:trPr>
          <w:trHeight w:val="2448" w:hRule="atLeast"/>
        </w:trPr>
        <w:tc>
          <w:tcPr>
            <w:tcW w:w="641" w:type="dxa"/>
          </w:tcPr>
          <w:p>
            <w:pPr>
              <w:pStyle w:val="TableParagraph"/>
              <w:spacing w:before="39"/>
              <w:ind w:left="110"/>
              <w:rPr>
                <w:rFonts w:ascii="微软雅黑"/>
                <w:b/>
                <w:sz w:val="21"/>
              </w:rPr>
            </w:pPr>
            <w:r>
              <w:rPr>
                <w:rFonts w:ascii="微软雅黑"/>
                <w:b/>
                <w:sz w:val="21"/>
              </w:rPr>
              <w:t>8.6</w:t>
            </w:r>
          </w:p>
        </w:tc>
        <w:tc>
          <w:tcPr>
            <w:tcW w:w="2163" w:type="dxa"/>
          </w:tcPr>
          <w:p>
            <w:pPr>
              <w:pStyle w:val="TableParagraph"/>
              <w:spacing w:before="39"/>
              <w:ind w:left="213"/>
              <w:rPr>
                <w:rFonts w:ascii="微软雅黑" w:eastAsia="微软雅黑" w:hint="eastAsia"/>
                <w:b/>
                <w:sz w:val="21"/>
              </w:rPr>
            </w:pPr>
            <w:r>
              <w:rPr>
                <w:rFonts w:ascii="微软雅黑" w:eastAsia="微软雅黑" w:hint="eastAsia"/>
                <w:b/>
                <w:sz w:val="21"/>
              </w:rPr>
              <w:t>争议处理</w:t>
            </w:r>
          </w:p>
        </w:tc>
        <w:tc>
          <w:tcPr>
            <w:tcW w:w="7285" w:type="dxa"/>
          </w:tcPr>
          <w:p>
            <w:pPr>
              <w:pStyle w:val="TableParagraph"/>
              <w:spacing w:line="326" w:lineRule="auto" w:before="102"/>
              <w:ind w:left="264" w:right="71"/>
              <w:rPr>
                <w:sz w:val="21"/>
              </w:rPr>
            </w:pPr>
            <w:r>
              <w:rPr>
                <w:sz w:val="21"/>
              </w:rPr>
              <w:t>本附加险合同争议的解决方式，由当事人在合同中约定从下列两种方式中选择一种：</w:t>
            </w:r>
          </w:p>
          <w:p>
            <w:pPr>
              <w:pStyle w:val="TableParagraph"/>
              <w:spacing w:line="326" w:lineRule="auto" w:before="24"/>
              <w:ind w:left="264" w:right="193"/>
              <w:rPr>
                <w:sz w:val="21"/>
              </w:rPr>
            </w:pPr>
            <w:r>
              <w:rPr>
                <w:sz w:val="21"/>
              </w:rPr>
              <w:t>（1）因履行本附加险合同发生的争议，由当事人协商解决，协商不成的， 提交×××仲裁委员会仲裁；</w:t>
            </w:r>
          </w:p>
          <w:p>
            <w:pPr>
              <w:pStyle w:val="TableParagraph"/>
              <w:spacing w:line="326" w:lineRule="auto" w:before="23"/>
              <w:ind w:left="264" w:right="192"/>
              <w:rPr>
                <w:sz w:val="21"/>
              </w:rPr>
            </w:pPr>
            <w:r>
              <w:rPr>
                <w:sz w:val="21"/>
              </w:rPr>
              <w:t>（2）因履行本附加险合同发生的争议，由当事人协商解决，协商不成的， 依法向人民法院提起诉讼。</w:t>
            </w:r>
          </w:p>
        </w:tc>
      </w:tr>
      <w:tr>
        <w:trPr>
          <w:trHeight w:val="697" w:hRule="atLeast"/>
        </w:trPr>
        <w:tc>
          <w:tcPr>
            <w:tcW w:w="641" w:type="dxa"/>
            <w:tcBorders>
              <w:bottom w:val="single" w:sz="4" w:space="0" w:color="000000"/>
            </w:tcBorders>
          </w:tcPr>
          <w:p>
            <w:pPr>
              <w:pStyle w:val="TableParagraph"/>
              <w:spacing w:before="187"/>
              <w:ind w:left="110"/>
              <w:rPr>
                <w:rFonts w:ascii="Times New Roman"/>
                <w:b/>
                <w:sz w:val="32"/>
              </w:rPr>
            </w:pPr>
            <w:r>
              <w:rPr>
                <w:rFonts w:ascii="Times New Roman"/>
                <w:b/>
                <w:w w:val="100"/>
                <w:sz w:val="32"/>
              </w:rPr>
              <w:t>9</w:t>
            </w:r>
          </w:p>
        </w:tc>
        <w:tc>
          <w:tcPr>
            <w:tcW w:w="2163" w:type="dxa"/>
            <w:tcBorders>
              <w:bottom w:val="single" w:sz="4" w:space="0" w:color="000000"/>
            </w:tcBorders>
          </w:tcPr>
          <w:p>
            <w:pPr>
              <w:pStyle w:val="TableParagraph"/>
              <w:spacing w:before="106"/>
              <w:ind w:left="213"/>
              <w:rPr>
                <w:rFonts w:ascii="微软雅黑" w:eastAsia="微软雅黑" w:hint="eastAsia"/>
                <w:b/>
                <w:sz w:val="24"/>
              </w:rPr>
            </w:pPr>
            <w:r>
              <w:rPr>
                <w:rFonts w:ascii="微软雅黑" w:eastAsia="微软雅黑" w:hint="eastAsia"/>
                <w:b/>
                <w:sz w:val="24"/>
              </w:rPr>
              <w:t>释义</w:t>
            </w:r>
          </w:p>
        </w:tc>
        <w:tc>
          <w:tcPr>
            <w:tcW w:w="7285" w:type="dxa"/>
            <w:tcBorders>
              <w:bottom w:val="single" w:sz="4" w:space="0" w:color="000000"/>
            </w:tcBorders>
          </w:tcPr>
          <w:p>
            <w:pPr>
              <w:pStyle w:val="TableParagraph"/>
              <w:ind w:left="0"/>
              <w:rPr>
                <w:rFonts w:ascii="Times New Roman"/>
                <w:sz w:val="20"/>
              </w:rPr>
            </w:pPr>
          </w:p>
        </w:tc>
      </w:tr>
      <w:tr>
        <w:trPr>
          <w:trHeight w:val="555" w:hRule="atLeast"/>
        </w:trPr>
        <w:tc>
          <w:tcPr>
            <w:tcW w:w="641" w:type="dxa"/>
            <w:tcBorders>
              <w:top w:val="single" w:sz="4" w:space="0" w:color="000000"/>
            </w:tcBorders>
          </w:tcPr>
          <w:p>
            <w:pPr>
              <w:pStyle w:val="TableParagraph"/>
              <w:spacing w:before="114"/>
              <w:ind w:left="110"/>
              <w:rPr>
                <w:rFonts w:ascii="微软雅黑"/>
                <w:b/>
                <w:sz w:val="21"/>
              </w:rPr>
            </w:pPr>
            <w:r>
              <w:rPr>
                <w:rFonts w:ascii="微软雅黑"/>
                <w:b/>
                <w:sz w:val="21"/>
              </w:rPr>
              <w:t>9.1</w:t>
            </w:r>
          </w:p>
        </w:tc>
        <w:tc>
          <w:tcPr>
            <w:tcW w:w="2163" w:type="dxa"/>
            <w:tcBorders>
              <w:top w:val="single" w:sz="4" w:space="0" w:color="000000"/>
            </w:tcBorders>
          </w:tcPr>
          <w:p>
            <w:pPr>
              <w:pStyle w:val="TableParagraph"/>
              <w:spacing w:before="114"/>
              <w:ind w:left="213"/>
              <w:rPr>
                <w:rFonts w:ascii="微软雅黑" w:eastAsia="微软雅黑" w:hint="eastAsia"/>
                <w:b/>
                <w:sz w:val="21"/>
              </w:rPr>
            </w:pPr>
            <w:r>
              <w:rPr>
                <w:rFonts w:ascii="微软雅黑" w:eastAsia="微软雅黑" w:hint="eastAsia"/>
                <w:b/>
                <w:sz w:val="21"/>
              </w:rPr>
              <w:t>本公司</w:t>
            </w:r>
          </w:p>
        </w:tc>
        <w:tc>
          <w:tcPr>
            <w:tcW w:w="7285" w:type="dxa"/>
            <w:tcBorders>
              <w:top w:val="single" w:sz="4" w:space="0" w:color="000000"/>
            </w:tcBorders>
          </w:tcPr>
          <w:p>
            <w:pPr>
              <w:pStyle w:val="TableParagraph"/>
              <w:spacing w:before="177"/>
              <w:ind w:left="264"/>
              <w:rPr>
                <w:sz w:val="21"/>
              </w:rPr>
            </w:pPr>
            <w:r>
              <w:rPr>
                <w:sz w:val="21"/>
              </w:rPr>
              <w:t>正德人寿保险股份有限公司。</w:t>
            </w:r>
          </w:p>
        </w:tc>
      </w:tr>
      <w:tr>
        <w:trPr>
          <w:trHeight w:val="775" w:hRule="atLeast"/>
        </w:trPr>
        <w:tc>
          <w:tcPr>
            <w:tcW w:w="641" w:type="dxa"/>
          </w:tcPr>
          <w:p>
            <w:pPr>
              <w:pStyle w:val="TableParagraph"/>
              <w:spacing w:line="340" w:lineRule="exact"/>
              <w:ind w:left="110"/>
              <w:rPr>
                <w:rFonts w:ascii="微软雅黑"/>
                <w:b/>
                <w:sz w:val="21"/>
              </w:rPr>
            </w:pPr>
            <w:r>
              <w:rPr>
                <w:rFonts w:ascii="微软雅黑"/>
                <w:b/>
                <w:sz w:val="21"/>
              </w:rPr>
              <w:t>9.2</w:t>
            </w:r>
          </w:p>
        </w:tc>
        <w:tc>
          <w:tcPr>
            <w:tcW w:w="2163" w:type="dxa"/>
          </w:tcPr>
          <w:p>
            <w:pPr>
              <w:pStyle w:val="TableParagraph"/>
              <w:spacing w:line="340" w:lineRule="exact"/>
              <w:ind w:left="213"/>
              <w:rPr>
                <w:rFonts w:ascii="微软雅黑" w:eastAsia="微软雅黑" w:hint="eastAsia"/>
                <w:b/>
                <w:sz w:val="21"/>
              </w:rPr>
            </w:pPr>
            <w:r>
              <w:rPr>
                <w:rFonts w:ascii="微软雅黑" w:eastAsia="微软雅黑" w:hint="eastAsia"/>
                <w:b/>
                <w:sz w:val="21"/>
              </w:rPr>
              <w:t>保单年度</w:t>
            </w:r>
          </w:p>
        </w:tc>
        <w:tc>
          <w:tcPr>
            <w:tcW w:w="7285" w:type="dxa"/>
          </w:tcPr>
          <w:p>
            <w:pPr>
              <w:pStyle w:val="TableParagraph"/>
              <w:spacing w:line="273" w:lineRule="auto" w:before="39"/>
              <w:ind w:left="264" w:right="294"/>
              <w:rPr>
                <w:sz w:val="21"/>
              </w:rPr>
            </w:pPr>
            <w:r>
              <w:rPr>
                <w:sz w:val="21"/>
              </w:rPr>
              <w:t>从保险合同生效日或生效对应日的零时起至下一年度保险合同生效对应日的前一日 24 时止为一个保单年度。</w:t>
            </w:r>
          </w:p>
        </w:tc>
      </w:tr>
      <w:tr>
        <w:trPr>
          <w:trHeight w:val="1627" w:hRule="atLeast"/>
        </w:trPr>
        <w:tc>
          <w:tcPr>
            <w:tcW w:w="641" w:type="dxa"/>
          </w:tcPr>
          <w:p>
            <w:pPr>
              <w:pStyle w:val="TableParagraph"/>
              <w:spacing w:before="22"/>
              <w:ind w:left="110"/>
              <w:rPr>
                <w:rFonts w:ascii="微软雅黑"/>
                <w:b/>
                <w:sz w:val="21"/>
              </w:rPr>
            </w:pPr>
            <w:r>
              <w:rPr>
                <w:rFonts w:ascii="微软雅黑"/>
                <w:b/>
                <w:sz w:val="21"/>
              </w:rPr>
              <w:t>9.3</w:t>
            </w:r>
          </w:p>
        </w:tc>
        <w:tc>
          <w:tcPr>
            <w:tcW w:w="2163" w:type="dxa"/>
          </w:tcPr>
          <w:p>
            <w:pPr>
              <w:pStyle w:val="TableParagraph"/>
              <w:spacing w:before="22"/>
              <w:ind w:left="213"/>
              <w:rPr>
                <w:rFonts w:ascii="微软雅黑" w:eastAsia="微软雅黑" w:hint="eastAsia"/>
                <w:b/>
                <w:sz w:val="21"/>
              </w:rPr>
            </w:pPr>
            <w:r>
              <w:rPr>
                <w:rFonts w:ascii="微软雅黑" w:eastAsia="微软雅黑" w:hint="eastAsia"/>
                <w:b/>
                <w:sz w:val="21"/>
              </w:rPr>
              <w:t>初次患有重大疾病</w:t>
            </w:r>
          </w:p>
        </w:tc>
        <w:tc>
          <w:tcPr>
            <w:tcW w:w="7285" w:type="dxa"/>
          </w:tcPr>
          <w:p>
            <w:pPr>
              <w:pStyle w:val="TableParagraph"/>
              <w:spacing w:line="326" w:lineRule="auto" w:before="85"/>
              <w:ind w:left="264" w:right="109"/>
              <w:rPr>
                <w:sz w:val="21"/>
              </w:rPr>
            </w:pPr>
            <w:r>
              <w:rPr>
                <w:spacing w:val="-7"/>
                <w:sz w:val="21"/>
              </w:rPr>
              <w:t>指被保险人自本附加险合同生效或最后复效之日起 </w:t>
            </w:r>
            <w:r>
              <w:rPr>
                <w:spacing w:val="-3"/>
                <w:sz w:val="21"/>
              </w:rPr>
              <w:t>90</w:t>
            </w:r>
            <w:r>
              <w:rPr>
                <w:spacing w:val="-8"/>
                <w:sz w:val="21"/>
              </w:rPr>
              <w:t> 日后初次患有本附加险合同所指的重大疾病，不包括被保险人在本附加险合同生效前所患或出现的疾病（</w:t>
            </w:r>
            <w:r>
              <w:rPr>
                <w:spacing w:val="-2"/>
                <w:sz w:val="21"/>
              </w:rPr>
              <w:t>或其并发症</w:t>
            </w:r>
            <w:r>
              <w:rPr>
                <w:spacing w:val="-111"/>
                <w:sz w:val="21"/>
              </w:rPr>
              <w:t>）</w:t>
            </w:r>
            <w:r>
              <w:rPr>
                <w:spacing w:val="-5"/>
                <w:sz w:val="21"/>
              </w:rPr>
              <w:t>、症状、体征、生理缺陷、残疾，但本公司在同意承保时或复效时已知晓并书面认可的不在此限。</w:t>
            </w:r>
          </w:p>
        </w:tc>
      </w:tr>
      <w:tr>
        <w:trPr>
          <w:trHeight w:val="924" w:hRule="atLeast"/>
        </w:trPr>
        <w:tc>
          <w:tcPr>
            <w:tcW w:w="641" w:type="dxa"/>
          </w:tcPr>
          <w:p>
            <w:pPr>
              <w:pStyle w:val="TableParagraph"/>
              <w:spacing w:before="18"/>
              <w:ind w:left="110"/>
              <w:rPr>
                <w:rFonts w:ascii="微软雅黑"/>
                <w:b/>
                <w:sz w:val="21"/>
              </w:rPr>
            </w:pPr>
            <w:r>
              <w:rPr>
                <w:rFonts w:ascii="微软雅黑"/>
                <w:b/>
                <w:sz w:val="21"/>
              </w:rPr>
              <w:t>9.4</w:t>
            </w:r>
          </w:p>
        </w:tc>
        <w:tc>
          <w:tcPr>
            <w:tcW w:w="2163" w:type="dxa"/>
          </w:tcPr>
          <w:p>
            <w:pPr>
              <w:pStyle w:val="TableParagraph"/>
              <w:spacing w:before="51"/>
              <w:ind w:left="213"/>
              <w:rPr>
                <w:rFonts w:ascii="微软雅黑" w:eastAsia="微软雅黑" w:hint="eastAsia"/>
                <w:b/>
                <w:sz w:val="21"/>
              </w:rPr>
            </w:pPr>
            <w:r>
              <w:rPr>
                <w:rFonts w:ascii="微软雅黑" w:eastAsia="微软雅黑" w:hint="eastAsia"/>
                <w:b/>
                <w:sz w:val="21"/>
              </w:rPr>
              <w:t>重大疾病</w:t>
            </w:r>
          </w:p>
        </w:tc>
        <w:tc>
          <w:tcPr>
            <w:tcW w:w="7285" w:type="dxa"/>
          </w:tcPr>
          <w:p>
            <w:pPr>
              <w:pStyle w:val="TableParagraph"/>
              <w:spacing w:line="326" w:lineRule="auto" w:before="114"/>
              <w:ind w:left="264" w:right="294"/>
              <w:rPr>
                <w:sz w:val="21"/>
              </w:rPr>
            </w:pPr>
            <w:r>
              <w:rPr>
                <w:sz w:val="21"/>
              </w:rPr>
              <w:t>被保险人发生符合以下疾病定义所述条件的疾病，应当由专科医生明确诊断。</w:t>
            </w:r>
          </w:p>
        </w:tc>
      </w:tr>
      <w:tr>
        <w:trPr>
          <w:trHeight w:val="878" w:hRule="atLeast"/>
        </w:trPr>
        <w:tc>
          <w:tcPr>
            <w:tcW w:w="641" w:type="dxa"/>
          </w:tcPr>
          <w:p>
            <w:pPr>
              <w:pStyle w:val="TableParagraph"/>
              <w:ind w:left="0"/>
              <w:rPr>
                <w:rFonts w:ascii="Times New Roman"/>
                <w:sz w:val="20"/>
              </w:rPr>
            </w:pPr>
          </w:p>
        </w:tc>
        <w:tc>
          <w:tcPr>
            <w:tcW w:w="2163" w:type="dxa"/>
          </w:tcPr>
          <w:p>
            <w:pPr>
              <w:pStyle w:val="TableParagraph"/>
              <w:ind w:left="0"/>
              <w:rPr>
                <w:rFonts w:ascii="Times New Roman"/>
                <w:sz w:val="20"/>
              </w:rPr>
            </w:pPr>
          </w:p>
        </w:tc>
        <w:tc>
          <w:tcPr>
            <w:tcW w:w="7285" w:type="dxa"/>
          </w:tcPr>
          <w:p>
            <w:pPr>
              <w:pStyle w:val="TableParagraph"/>
              <w:spacing w:line="326" w:lineRule="auto" w:before="97"/>
              <w:ind w:left="264"/>
              <w:rPr>
                <w:sz w:val="21"/>
              </w:rPr>
            </w:pPr>
            <w:r>
              <w:rPr>
                <w:sz w:val="21"/>
              </w:rPr>
              <w:t>（1-21</w:t>
            </w:r>
            <w:r>
              <w:rPr>
                <w:spacing w:val="-33"/>
                <w:sz w:val="21"/>
              </w:rPr>
              <w:t> 为 </w:t>
            </w:r>
            <w:r>
              <w:rPr>
                <w:sz w:val="21"/>
              </w:rPr>
              <w:t>2007</w:t>
            </w:r>
            <w:r>
              <w:rPr>
                <w:spacing w:val="-33"/>
                <w:sz w:val="21"/>
              </w:rPr>
              <w:t> 年 </w:t>
            </w:r>
            <w:r>
              <w:rPr>
                <w:sz w:val="21"/>
              </w:rPr>
              <w:t>4</w:t>
            </w:r>
            <w:r>
              <w:rPr>
                <w:spacing w:val="-35"/>
                <w:sz w:val="21"/>
              </w:rPr>
              <w:t> 月 </w:t>
            </w:r>
            <w:r>
              <w:rPr>
                <w:sz w:val="21"/>
              </w:rPr>
              <w:t>3</w:t>
            </w:r>
            <w:r>
              <w:rPr>
                <w:spacing w:val="-13"/>
                <w:sz w:val="21"/>
              </w:rPr>
              <w:t> 日正式启用的《重大疾病保险的疾病定义使用规范》</w:t>
            </w:r>
            <w:r>
              <w:rPr>
                <w:spacing w:val="-8"/>
                <w:sz w:val="21"/>
              </w:rPr>
              <w:t>的规范定义疾病，该规范由中国保险行业协会制定</w:t>
            </w:r>
            <w:r>
              <w:rPr>
                <w:sz w:val="21"/>
              </w:rPr>
              <w:t>）</w:t>
            </w:r>
          </w:p>
        </w:tc>
      </w:tr>
      <w:tr>
        <w:trPr>
          <w:trHeight w:val="3689" w:hRule="atLeast"/>
        </w:trPr>
        <w:tc>
          <w:tcPr>
            <w:tcW w:w="641" w:type="dxa"/>
          </w:tcPr>
          <w:p>
            <w:pPr>
              <w:pStyle w:val="TableParagraph"/>
              <w:ind w:left="0"/>
              <w:rPr>
                <w:rFonts w:ascii="Times New Roman"/>
                <w:sz w:val="20"/>
              </w:rPr>
            </w:pPr>
          </w:p>
        </w:tc>
        <w:tc>
          <w:tcPr>
            <w:tcW w:w="2163" w:type="dxa"/>
          </w:tcPr>
          <w:p>
            <w:pPr>
              <w:pStyle w:val="TableParagraph"/>
              <w:spacing w:before="6"/>
              <w:ind w:left="213"/>
              <w:rPr>
                <w:rFonts w:ascii="微软雅黑" w:eastAsia="微软雅黑" w:hint="eastAsia"/>
                <w:b/>
                <w:sz w:val="21"/>
              </w:rPr>
            </w:pPr>
            <w:r>
              <w:rPr>
                <w:rFonts w:ascii="微软雅黑" w:eastAsia="微软雅黑" w:hint="eastAsia"/>
                <w:b/>
                <w:sz w:val="21"/>
              </w:rPr>
              <w:t>1.恶性肿瘤</w:t>
            </w:r>
          </w:p>
        </w:tc>
        <w:tc>
          <w:tcPr>
            <w:tcW w:w="7285" w:type="dxa"/>
          </w:tcPr>
          <w:p>
            <w:pPr>
              <w:pStyle w:val="TableParagraph"/>
              <w:spacing w:line="326" w:lineRule="auto" w:before="126"/>
              <w:ind w:left="264" w:right="111"/>
              <w:jc w:val="both"/>
              <w:rPr>
                <w:sz w:val="21"/>
              </w:rPr>
            </w:pPr>
            <w:r>
              <w:rPr>
                <w:spacing w:val="-6"/>
                <w:sz w:val="21"/>
              </w:rPr>
              <w:t>指恶性细胞不受控制的进行性增长和扩散，浸润和破坏周围正常组织，可以</w:t>
            </w:r>
            <w:r>
              <w:rPr>
                <w:spacing w:val="-8"/>
                <w:sz w:val="21"/>
              </w:rPr>
              <w:t>经血管、淋巴管和体腔扩散转移到身体其它部位的疾病。经病理学检查结果</w:t>
            </w:r>
            <w:r>
              <w:rPr>
                <w:spacing w:val="-9"/>
                <w:sz w:val="21"/>
              </w:rPr>
              <w:t>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24"/>
              <w:ind w:left="264"/>
              <w:jc w:val="both"/>
              <w:rPr>
                <w:sz w:val="21"/>
              </w:rPr>
            </w:pPr>
            <w:r>
              <w:rPr>
                <w:sz w:val="21"/>
              </w:rPr>
              <w:t>下列疾病不在保障范围内：</w:t>
            </w:r>
          </w:p>
          <w:p>
            <w:pPr>
              <w:pStyle w:val="TableParagraph"/>
              <w:numPr>
                <w:ilvl w:val="0"/>
                <w:numId w:val="9"/>
              </w:numPr>
              <w:tabs>
                <w:tab w:pos="682" w:val="left" w:leader="none"/>
              </w:tabs>
              <w:spacing w:line="274" w:lineRule="exact" w:before="42" w:after="0"/>
              <w:ind w:left="681" w:right="0" w:hanging="422"/>
              <w:jc w:val="both"/>
              <w:rPr>
                <w:sz w:val="21"/>
              </w:rPr>
            </w:pPr>
            <w:r>
              <w:rPr>
                <w:sz w:val="21"/>
              </w:rPr>
              <w:t>原位癌；</w:t>
            </w:r>
          </w:p>
          <w:p>
            <w:pPr>
              <w:pStyle w:val="TableParagraph"/>
              <w:numPr>
                <w:ilvl w:val="0"/>
                <w:numId w:val="9"/>
              </w:numPr>
              <w:tabs>
                <w:tab w:pos="682" w:val="left" w:leader="none"/>
              </w:tabs>
              <w:spacing w:line="274" w:lineRule="exact" w:before="0" w:after="0"/>
              <w:ind w:left="681" w:right="0" w:hanging="422"/>
              <w:jc w:val="both"/>
              <w:rPr>
                <w:sz w:val="21"/>
              </w:rPr>
            </w:pPr>
            <w:r>
              <w:rPr>
                <w:spacing w:val="-12"/>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9"/>
              </w:numPr>
              <w:tabs>
                <w:tab w:pos="682" w:val="left" w:leader="none"/>
              </w:tabs>
              <w:spacing w:line="274" w:lineRule="exact" w:before="0" w:after="0"/>
              <w:ind w:left="681" w:right="0" w:hanging="422"/>
              <w:jc w:val="both"/>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9"/>
              </w:numPr>
              <w:tabs>
                <w:tab w:pos="682" w:val="left" w:leader="none"/>
              </w:tabs>
              <w:spacing w:line="271" w:lineRule="exact" w:before="0" w:after="0"/>
              <w:ind w:left="681" w:right="0" w:hanging="422"/>
              <w:jc w:val="both"/>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TableParagraph"/>
              <w:numPr>
                <w:ilvl w:val="0"/>
                <w:numId w:val="9"/>
              </w:numPr>
              <w:tabs>
                <w:tab w:pos="682" w:val="left" w:leader="none"/>
              </w:tabs>
              <w:spacing w:line="271" w:lineRule="exact" w:before="0" w:after="0"/>
              <w:ind w:left="681" w:right="0" w:hanging="422"/>
              <w:jc w:val="both"/>
              <w:rPr>
                <w:sz w:val="21"/>
              </w:rPr>
            </w:pPr>
            <w:r>
              <w:rPr>
                <w:position w:val="1"/>
                <w:sz w:val="21"/>
              </w:rPr>
              <w:t>TNM</w:t>
            </w:r>
            <w:r>
              <w:rPr>
                <w:spacing w:val="-18"/>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pStyle w:val="TableParagraph"/>
              <w:numPr>
                <w:ilvl w:val="0"/>
                <w:numId w:val="9"/>
              </w:numPr>
              <w:tabs>
                <w:tab w:pos="682" w:val="left" w:leader="none"/>
              </w:tabs>
              <w:spacing w:line="274" w:lineRule="exact" w:before="0" w:after="0"/>
              <w:ind w:left="681" w:right="0" w:hanging="422"/>
              <w:jc w:val="both"/>
              <w:rPr>
                <w:sz w:val="21"/>
              </w:rPr>
            </w:pPr>
            <w:r>
              <w:rPr>
                <w:spacing w:val="-4"/>
                <w:sz w:val="21"/>
              </w:rPr>
              <w:t>感染艾滋病病毒或患艾滋病期间所患恶性肿瘤。</w:t>
            </w:r>
          </w:p>
        </w:tc>
      </w:tr>
      <w:tr>
        <w:trPr>
          <w:trHeight w:val="753" w:hRule="atLeast"/>
        </w:trPr>
        <w:tc>
          <w:tcPr>
            <w:tcW w:w="641" w:type="dxa"/>
          </w:tcPr>
          <w:p>
            <w:pPr>
              <w:pStyle w:val="TableParagraph"/>
              <w:ind w:left="0"/>
              <w:rPr>
                <w:rFonts w:ascii="Times New Roman"/>
                <w:sz w:val="20"/>
              </w:rPr>
            </w:pPr>
          </w:p>
        </w:tc>
        <w:tc>
          <w:tcPr>
            <w:tcW w:w="2163" w:type="dxa"/>
          </w:tcPr>
          <w:p>
            <w:pPr>
              <w:pStyle w:val="TableParagraph"/>
              <w:spacing w:line="347" w:lineRule="exact"/>
              <w:ind w:left="213"/>
              <w:rPr>
                <w:rFonts w:ascii="微软雅黑" w:eastAsia="微软雅黑" w:hint="eastAsia"/>
                <w:b/>
                <w:sz w:val="21"/>
              </w:rPr>
            </w:pPr>
            <w:r>
              <w:rPr>
                <w:rFonts w:ascii="微软雅黑" w:eastAsia="微软雅黑" w:hint="eastAsia"/>
                <w:b/>
                <w:sz w:val="21"/>
              </w:rPr>
              <w:t>2.急性心肌梗塞</w:t>
            </w:r>
          </w:p>
        </w:tc>
        <w:tc>
          <w:tcPr>
            <w:tcW w:w="7285" w:type="dxa"/>
          </w:tcPr>
          <w:p>
            <w:pPr>
              <w:pStyle w:val="TableParagraph"/>
              <w:spacing w:line="370" w:lineRule="atLeast" w:before="9"/>
              <w:ind w:left="264" w:right="86"/>
              <w:rPr>
                <w:sz w:val="21"/>
              </w:rPr>
            </w:pPr>
            <w:r>
              <w:rPr>
                <w:sz w:val="21"/>
              </w:rPr>
              <w:t>指因冠状动脉阻塞导致的相应区域供血不足造成部分心肌坏死。须满足下列至少三项条件：</w:t>
            </w:r>
          </w:p>
        </w:tc>
      </w:tr>
    </w:tbl>
    <w:p>
      <w:pPr>
        <w:spacing w:after="0" w:line="370" w:lineRule="atLeast"/>
        <w:rPr>
          <w:sz w:val="21"/>
        </w:rPr>
        <w:sectPr>
          <w:pgSz w:w="11910" w:h="16840"/>
          <w:pgMar w:header="0" w:footer="377" w:top="1360" w:bottom="560" w:left="800" w:right="8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5"/>
        <w:gridCol w:w="7325"/>
      </w:tblGrid>
      <w:tr>
        <w:trPr>
          <w:trHeight w:val="1411" w:hRule="atLeast"/>
        </w:trPr>
        <w:tc>
          <w:tcPr>
            <w:tcW w:w="2305" w:type="dxa"/>
          </w:tcPr>
          <w:p>
            <w:pPr>
              <w:pStyle w:val="TableParagraph"/>
              <w:ind w:left="0"/>
              <w:rPr>
                <w:rFonts w:ascii="Times New Roman"/>
                <w:sz w:val="20"/>
              </w:rPr>
            </w:pPr>
          </w:p>
        </w:tc>
        <w:tc>
          <w:tcPr>
            <w:tcW w:w="7325" w:type="dxa"/>
          </w:tcPr>
          <w:p>
            <w:pPr>
              <w:pStyle w:val="TableParagraph"/>
              <w:numPr>
                <w:ilvl w:val="0"/>
                <w:numId w:val="10"/>
              </w:numPr>
              <w:tabs>
                <w:tab w:pos="527" w:val="left" w:leader="none"/>
              </w:tabs>
              <w:spacing w:line="210" w:lineRule="exact" w:before="0" w:after="0"/>
              <w:ind w:left="526" w:right="0" w:hanging="423"/>
              <w:jc w:val="left"/>
              <w:rPr>
                <w:sz w:val="21"/>
              </w:rPr>
            </w:pPr>
            <w:r>
              <w:rPr>
                <w:spacing w:val="-3"/>
                <w:sz w:val="21"/>
              </w:rPr>
              <w:t>典型临床表现，例如急性胸痛等；</w:t>
            </w:r>
          </w:p>
          <w:p>
            <w:pPr>
              <w:pStyle w:val="TableParagraph"/>
              <w:numPr>
                <w:ilvl w:val="0"/>
                <w:numId w:val="10"/>
              </w:numPr>
              <w:tabs>
                <w:tab w:pos="527" w:val="left" w:leader="none"/>
              </w:tabs>
              <w:spacing w:line="271" w:lineRule="exact" w:before="0" w:after="0"/>
              <w:ind w:left="526" w:right="0" w:hanging="423"/>
              <w:jc w:val="left"/>
              <w:rPr>
                <w:sz w:val="21"/>
              </w:rPr>
            </w:pPr>
            <w:r>
              <w:rPr>
                <w:spacing w:val="-3"/>
                <w:sz w:val="21"/>
              </w:rPr>
              <w:t>新近的心电图改变提示急性心肌梗塞；</w:t>
            </w:r>
          </w:p>
          <w:p>
            <w:pPr>
              <w:pStyle w:val="TableParagraph"/>
              <w:numPr>
                <w:ilvl w:val="0"/>
                <w:numId w:val="10"/>
              </w:numPr>
              <w:tabs>
                <w:tab w:pos="527" w:val="left" w:leader="none"/>
              </w:tabs>
              <w:spacing w:line="240" w:lineRule="auto" w:before="0" w:after="0"/>
              <w:ind w:left="526" w:right="307" w:hanging="423"/>
              <w:jc w:val="left"/>
              <w:rPr>
                <w:sz w:val="21"/>
              </w:rPr>
            </w:pPr>
            <w:r>
              <w:rPr>
                <w:spacing w:val="-5"/>
                <w:sz w:val="21"/>
              </w:rPr>
              <w:t>心肌酶或肌钙蛋白有诊断意义的升高，或呈符合急性心肌梗塞的动态性变化；</w:t>
            </w:r>
          </w:p>
          <w:p>
            <w:pPr>
              <w:pStyle w:val="TableParagraph"/>
              <w:numPr>
                <w:ilvl w:val="0"/>
                <w:numId w:val="10"/>
              </w:numPr>
              <w:tabs>
                <w:tab w:pos="527" w:val="left" w:leader="none"/>
              </w:tabs>
              <w:spacing w:line="274" w:lineRule="exact" w:before="3" w:after="0"/>
              <w:ind w:left="526" w:right="0" w:hanging="423"/>
              <w:jc w:val="left"/>
              <w:rPr>
                <w:sz w:val="21"/>
              </w:rPr>
            </w:pPr>
            <w:r>
              <w:rPr>
                <w:spacing w:val="-14"/>
                <w:sz w:val="21"/>
              </w:rPr>
              <w:t>发病 </w:t>
            </w:r>
            <w:r>
              <w:rPr>
                <w:sz w:val="21"/>
              </w:rPr>
              <w:t>90</w:t>
            </w:r>
            <w:r>
              <w:rPr>
                <w:spacing w:val="-18"/>
                <w:sz w:val="21"/>
              </w:rPr>
              <w:t> 天后，经检查证实左心室功能降低，如左心室射血分数低于 </w:t>
            </w:r>
            <w:r>
              <w:rPr>
                <w:sz w:val="21"/>
              </w:rPr>
              <w:t>50。</w:t>
            </w:r>
          </w:p>
        </w:tc>
      </w:tr>
      <w:tr>
        <w:trPr>
          <w:trHeight w:val="2371" w:hRule="atLeast"/>
        </w:trPr>
        <w:tc>
          <w:tcPr>
            <w:tcW w:w="2305" w:type="dxa"/>
          </w:tcPr>
          <w:p>
            <w:pPr>
              <w:pStyle w:val="TableParagraph"/>
              <w:spacing w:line="347" w:lineRule="exact"/>
              <w:ind w:left="200"/>
              <w:rPr>
                <w:rFonts w:ascii="微软雅黑" w:eastAsia="微软雅黑" w:hint="eastAsia"/>
                <w:b/>
                <w:sz w:val="21"/>
              </w:rPr>
            </w:pPr>
            <w:r>
              <w:rPr>
                <w:rFonts w:ascii="微软雅黑" w:eastAsia="微软雅黑" w:hint="eastAsia"/>
                <w:b/>
                <w:sz w:val="21"/>
              </w:rPr>
              <w:t>3.脑中风后遗症</w:t>
            </w:r>
          </w:p>
        </w:tc>
        <w:tc>
          <w:tcPr>
            <w:tcW w:w="7325" w:type="dxa"/>
          </w:tcPr>
          <w:p>
            <w:pPr>
              <w:pStyle w:val="TableParagraph"/>
              <w:spacing w:line="326" w:lineRule="auto" w:before="104"/>
              <w:ind w:left="108" w:right="304"/>
              <w:jc w:val="both"/>
              <w:rPr>
                <w:sz w:val="21"/>
              </w:rPr>
            </w:pPr>
            <w:r>
              <w:rPr>
                <w:spacing w:val="-6"/>
                <w:sz w:val="21"/>
              </w:rPr>
              <w:t>指因脑血管的突发病变引起脑血管出血、栓塞或梗塞，并导致神经系统永久</w:t>
            </w:r>
            <w:r>
              <w:rPr>
                <w:spacing w:val="-8"/>
                <w:sz w:val="21"/>
              </w:rPr>
              <w:t>性的功能障碍。神经系统永久性的功能障碍，指疾病确诊 </w:t>
            </w:r>
            <w:r>
              <w:rPr>
                <w:sz w:val="21"/>
              </w:rPr>
              <w:t>180</w:t>
            </w:r>
            <w:r>
              <w:rPr>
                <w:spacing w:val="-9"/>
                <w:sz w:val="21"/>
              </w:rPr>
              <w:t> 天后，仍遗留</w:t>
            </w:r>
            <w:r>
              <w:rPr>
                <w:spacing w:val="-7"/>
                <w:sz w:val="21"/>
              </w:rPr>
              <w:t>下列一种或一种以上障碍：</w:t>
            </w:r>
          </w:p>
          <w:p>
            <w:pPr>
              <w:pStyle w:val="TableParagraph"/>
              <w:numPr>
                <w:ilvl w:val="0"/>
                <w:numId w:val="11"/>
              </w:numPr>
              <w:tabs>
                <w:tab w:pos="527" w:val="left" w:leader="none"/>
              </w:tabs>
              <w:spacing w:line="238" w:lineRule="exact" w:before="0" w:after="0"/>
              <w:ind w:left="526" w:right="0" w:hanging="423"/>
              <w:jc w:val="left"/>
              <w:rPr>
                <w:sz w:val="21"/>
              </w:rPr>
            </w:pPr>
            <w:r>
              <w:rPr>
                <w:spacing w:val="-3"/>
                <w:sz w:val="21"/>
              </w:rPr>
              <w:t>一肢或一肢以上肢体机能完全丧失；</w:t>
            </w:r>
          </w:p>
          <w:p>
            <w:pPr>
              <w:pStyle w:val="TableParagraph"/>
              <w:numPr>
                <w:ilvl w:val="0"/>
                <w:numId w:val="11"/>
              </w:numPr>
              <w:tabs>
                <w:tab w:pos="527" w:val="left" w:leader="none"/>
              </w:tabs>
              <w:spacing w:line="271" w:lineRule="exact" w:before="0" w:after="0"/>
              <w:ind w:left="526" w:right="0" w:hanging="423"/>
              <w:jc w:val="left"/>
              <w:rPr>
                <w:sz w:val="21"/>
              </w:rPr>
            </w:pPr>
            <w:r>
              <w:rPr>
                <w:spacing w:val="-3"/>
                <w:sz w:val="21"/>
              </w:rPr>
              <w:t>语言能力或咀嚼吞咽能力完全丧失；</w:t>
            </w:r>
          </w:p>
          <w:p>
            <w:pPr>
              <w:pStyle w:val="TableParagraph"/>
              <w:numPr>
                <w:ilvl w:val="0"/>
                <w:numId w:val="11"/>
              </w:numPr>
              <w:tabs>
                <w:tab w:pos="527" w:val="left" w:leader="none"/>
              </w:tabs>
              <w:spacing w:line="240" w:lineRule="auto" w:before="0" w:after="0"/>
              <w:ind w:left="526" w:right="307" w:hanging="423"/>
              <w:jc w:val="left"/>
              <w:rPr>
                <w:sz w:val="21"/>
              </w:rPr>
            </w:pPr>
            <w:r>
              <w:rPr>
                <w:spacing w:val="-5"/>
                <w:sz w:val="21"/>
              </w:rPr>
              <w:t>自主生活能力完全丧失，无法独立完成六项基本日常生活活动中的三项或三项以上。</w:t>
            </w:r>
          </w:p>
        </w:tc>
      </w:tr>
      <w:tr>
        <w:trPr>
          <w:trHeight w:val="2009" w:hRule="atLeast"/>
        </w:trPr>
        <w:tc>
          <w:tcPr>
            <w:tcW w:w="2305" w:type="dxa"/>
          </w:tcPr>
          <w:p>
            <w:pPr>
              <w:pStyle w:val="TableParagraph"/>
              <w:spacing w:line="177" w:lineRule="auto" w:before="78"/>
              <w:ind w:left="200" w:right="102"/>
              <w:rPr>
                <w:rFonts w:ascii="微软雅黑" w:eastAsia="微软雅黑" w:hint="eastAsia"/>
                <w:b/>
                <w:sz w:val="21"/>
              </w:rPr>
            </w:pPr>
            <w:r>
              <w:rPr>
                <w:rFonts w:ascii="微软雅黑" w:eastAsia="微软雅黑" w:hint="eastAsia"/>
                <w:b/>
                <w:sz w:val="21"/>
              </w:rPr>
              <w:t>4.重大器官移植术或造血干细胞移植术</w:t>
            </w:r>
          </w:p>
        </w:tc>
        <w:tc>
          <w:tcPr>
            <w:tcW w:w="7325" w:type="dxa"/>
          </w:tcPr>
          <w:p>
            <w:pPr>
              <w:pStyle w:val="TableParagraph"/>
              <w:spacing w:line="326" w:lineRule="auto" w:before="104"/>
              <w:ind w:left="108" w:right="307"/>
              <w:jc w:val="both"/>
              <w:rPr>
                <w:sz w:val="21"/>
              </w:rPr>
            </w:pPr>
            <w:r>
              <w:rPr>
                <w:spacing w:val="-6"/>
                <w:sz w:val="21"/>
              </w:rPr>
              <w:t>重大器官移植术，指因相应器官功能衰竭，已经实施了肾脏、肝脏、心脏或</w:t>
            </w:r>
            <w:r>
              <w:rPr>
                <w:spacing w:val="-5"/>
                <w:sz w:val="21"/>
              </w:rPr>
              <w:t>肺脏的异体移植手术。</w:t>
            </w:r>
          </w:p>
          <w:p>
            <w:pPr>
              <w:pStyle w:val="TableParagraph"/>
              <w:spacing w:line="326" w:lineRule="auto" w:before="23"/>
              <w:ind w:left="108" w:right="307"/>
              <w:jc w:val="both"/>
              <w:rPr>
                <w:sz w:val="21"/>
              </w:rPr>
            </w:pPr>
            <w:r>
              <w:rPr>
                <w:spacing w:val="-6"/>
                <w:sz w:val="21"/>
              </w:rPr>
              <w:t>造血干细胞移植术，指因造血功能损害或造血系统恶性肿瘤，已经实施了造</w:t>
            </w:r>
            <w:r>
              <w:rPr>
                <w:spacing w:val="-7"/>
                <w:sz w:val="21"/>
              </w:rPr>
              <w:t>血干细胞</w:t>
            </w:r>
            <w:r>
              <w:rPr>
                <w:sz w:val="21"/>
              </w:rPr>
              <w:t>（</w:t>
            </w:r>
            <w:r>
              <w:rPr>
                <w:spacing w:val="-5"/>
                <w:sz w:val="21"/>
              </w:rPr>
              <w:t>包括骨髓造血干细胞、外周血造血干细胞和脐血造血干细胞</w:t>
            </w:r>
            <w:r>
              <w:rPr>
                <w:spacing w:val="-10"/>
                <w:sz w:val="21"/>
              </w:rPr>
              <w:t>）</w:t>
            </w:r>
            <w:r>
              <w:rPr>
                <w:sz w:val="21"/>
              </w:rPr>
              <w:t>的</w:t>
            </w:r>
            <w:r>
              <w:rPr>
                <w:spacing w:val="-1"/>
                <w:sz w:val="21"/>
              </w:rPr>
              <w:t>异体移植手术。</w:t>
            </w:r>
          </w:p>
        </w:tc>
      </w:tr>
      <w:tr>
        <w:trPr>
          <w:trHeight w:val="1656" w:hRule="atLeast"/>
        </w:trPr>
        <w:tc>
          <w:tcPr>
            <w:tcW w:w="2305" w:type="dxa"/>
          </w:tcPr>
          <w:p>
            <w:pPr>
              <w:pStyle w:val="TableParagraph"/>
              <w:spacing w:line="318" w:lineRule="exact" w:before="5"/>
              <w:ind w:left="200"/>
              <w:rPr>
                <w:rFonts w:ascii="微软雅黑" w:eastAsia="微软雅黑" w:hint="eastAsia"/>
                <w:b/>
                <w:sz w:val="21"/>
              </w:rPr>
            </w:pPr>
            <w:r>
              <w:rPr>
                <w:rFonts w:ascii="微软雅黑" w:eastAsia="微软雅黑" w:hint="eastAsia"/>
                <w:b/>
                <w:sz w:val="21"/>
              </w:rPr>
              <w:t>5. 冠 状 动 脉 搭 桥 术</w:t>
            </w:r>
          </w:p>
          <w:p>
            <w:pPr>
              <w:pStyle w:val="TableParagraph"/>
              <w:spacing w:line="177" w:lineRule="auto" w:before="49"/>
              <w:ind w:left="200" w:right="103"/>
              <w:rPr>
                <w:rFonts w:ascii="微软雅黑" w:eastAsia="微软雅黑" w:hint="eastAsia"/>
                <w:b/>
                <w:sz w:val="21"/>
              </w:rPr>
            </w:pPr>
            <w:r>
              <w:rPr>
                <w:rFonts w:ascii="微软雅黑" w:eastAsia="微软雅黑" w:hint="eastAsia"/>
                <w:b/>
                <w:sz w:val="21"/>
              </w:rPr>
              <w:t>（或称冠状动脉旁路移植术）</w:t>
            </w:r>
          </w:p>
        </w:tc>
        <w:tc>
          <w:tcPr>
            <w:tcW w:w="7325" w:type="dxa"/>
          </w:tcPr>
          <w:p>
            <w:pPr>
              <w:pStyle w:val="TableParagraph"/>
              <w:spacing w:line="326" w:lineRule="auto" w:before="126"/>
              <w:ind w:left="108" w:right="267"/>
              <w:rPr>
                <w:sz w:val="21"/>
              </w:rPr>
            </w:pPr>
            <w:r>
              <w:rPr>
                <w:sz w:val="21"/>
              </w:rPr>
              <w:t>指为治疗严重的冠心病，实际实施了开胸进行的冠状动脉血管旁路移植的手术。</w:t>
            </w:r>
          </w:p>
          <w:p>
            <w:pPr>
              <w:pStyle w:val="TableParagraph"/>
              <w:spacing w:line="326" w:lineRule="auto" w:before="24"/>
              <w:ind w:left="108" w:right="267"/>
              <w:rPr>
                <w:sz w:val="21"/>
              </w:rPr>
            </w:pPr>
            <w:r>
              <w:rPr>
                <w:sz w:val="21"/>
              </w:rPr>
              <w:t>冠状动脉支架植入术、心导管球囊扩张术、激光射频技术及其它非开胸的介入手术、腔镜手术不在保障范围内。</w:t>
            </w:r>
          </w:p>
        </w:tc>
      </w:tr>
      <w:tr>
        <w:trPr>
          <w:trHeight w:val="996" w:hRule="atLeast"/>
        </w:trPr>
        <w:tc>
          <w:tcPr>
            <w:tcW w:w="2305" w:type="dxa"/>
          </w:tcPr>
          <w:p>
            <w:pPr>
              <w:pStyle w:val="TableParagraph"/>
              <w:spacing w:line="180" w:lineRule="auto" w:before="96"/>
              <w:ind w:left="200" w:right="102"/>
              <w:jc w:val="both"/>
              <w:rPr>
                <w:rFonts w:ascii="微软雅黑" w:eastAsia="微软雅黑" w:hint="eastAsia"/>
                <w:b/>
                <w:sz w:val="21"/>
              </w:rPr>
            </w:pPr>
            <w:r>
              <w:rPr>
                <w:rFonts w:ascii="微软雅黑" w:eastAsia="微软雅黑" w:hint="eastAsia"/>
                <w:b/>
                <w:sz w:val="21"/>
              </w:rPr>
              <w:t>6.终末期肾病（或称慢性肾功能衰竭尿毒症期）</w:t>
            </w:r>
          </w:p>
        </w:tc>
        <w:tc>
          <w:tcPr>
            <w:tcW w:w="7325" w:type="dxa"/>
          </w:tcPr>
          <w:p>
            <w:pPr>
              <w:pStyle w:val="TableParagraph"/>
              <w:spacing w:line="326" w:lineRule="auto" w:before="126"/>
              <w:ind w:left="108" w:right="304"/>
              <w:rPr>
                <w:sz w:val="21"/>
              </w:rPr>
            </w:pPr>
            <w:r>
              <w:rPr>
                <w:spacing w:val="-9"/>
                <w:sz w:val="21"/>
              </w:rPr>
              <w:t>指双肾功能慢性不可逆性衰竭，达到尿毒症期，经诊断后已经进行了至少 </w:t>
            </w:r>
            <w:r>
              <w:rPr>
                <w:sz w:val="21"/>
              </w:rPr>
              <w:t>90 </w:t>
            </w:r>
            <w:r>
              <w:rPr>
                <w:spacing w:val="-4"/>
                <w:sz w:val="21"/>
              </w:rPr>
              <w:t>天的规律性透析治疗或实施了肾脏移植手术。</w:t>
            </w:r>
          </w:p>
        </w:tc>
      </w:tr>
      <w:tr>
        <w:trPr>
          <w:trHeight w:val="2000" w:hRule="atLeast"/>
        </w:trPr>
        <w:tc>
          <w:tcPr>
            <w:tcW w:w="2305" w:type="dxa"/>
          </w:tcPr>
          <w:p>
            <w:pPr>
              <w:pStyle w:val="TableParagraph"/>
              <w:spacing w:line="180" w:lineRule="auto" w:before="75"/>
              <w:ind w:left="200" w:right="102"/>
              <w:rPr>
                <w:rFonts w:ascii="微软雅黑" w:eastAsia="微软雅黑" w:hint="eastAsia"/>
                <w:b/>
                <w:sz w:val="21"/>
              </w:rPr>
            </w:pPr>
            <w:r>
              <w:rPr>
                <w:rFonts w:ascii="微软雅黑" w:eastAsia="微软雅黑" w:hint="eastAsia"/>
                <w:b/>
                <w:sz w:val="21"/>
              </w:rPr>
              <w:t>7.急性或亚急性重症肝炎</w:t>
            </w:r>
          </w:p>
        </w:tc>
        <w:tc>
          <w:tcPr>
            <w:tcW w:w="7325" w:type="dxa"/>
          </w:tcPr>
          <w:p>
            <w:pPr>
              <w:pStyle w:val="TableParagraph"/>
              <w:spacing w:line="326" w:lineRule="auto" w:before="104"/>
              <w:ind w:left="108" w:right="282"/>
              <w:rPr>
                <w:sz w:val="21"/>
              </w:rPr>
            </w:pPr>
            <w:r>
              <w:rPr>
                <w:sz w:val="21"/>
              </w:rPr>
              <w:t>指因肝炎病毒感染引起肝脏组织弥漫性坏死，导致急性肝功能衰竭，且经血清学或病毒学检查证实，并须满足下列全部条件：</w:t>
            </w:r>
          </w:p>
          <w:p>
            <w:pPr>
              <w:pStyle w:val="TableParagraph"/>
              <w:spacing w:line="241" w:lineRule="exact"/>
              <w:ind w:left="103"/>
              <w:rPr>
                <w:sz w:val="21"/>
              </w:rPr>
            </w:pPr>
            <w:r>
              <w:rPr>
                <w:sz w:val="21"/>
              </w:rPr>
              <w:t>(1)重度黄疸或黄疸迅速加重；</w:t>
            </w:r>
          </w:p>
          <w:p>
            <w:pPr>
              <w:pStyle w:val="TableParagraph"/>
              <w:spacing w:line="274" w:lineRule="exact"/>
              <w:ind w:left="103"/>
              <w:rPr>
                <w:sz w:val="21"/>
              </w:rPr>
            </w:pPr>
            <w:r>
              <w:rPr>
                <w:sz w:val="21"/>
              </w:rPr>
              <w:t>(2)肝性脑病；</w:t>
            </w:r>
          </w:p>
          <w:p>
            <w:pPr>
              <w:pStyle w:val="TableParagraph"/>
              <w:spacing w:line="274" w:lineRule="exact"/>
              <w:ind w:left="103"/>
              <w:rPr>
                <w:sz w:val="21"/>
              </w:rPr>
            </w:pPr>
            <w:r>
              <w:rPr>
                <w:sz w:val="21"/>
              </w:rPr>
              <w:t>(3)B 超或其它影像学检查显示肝脏体积急速萎缩；</w:t>
            </w:r>
          </w:p>
          <w:p>
            <w:pPr>
              <w:pStyle w:val="TableParagraph"/>
              <w:spacing w:line="275" w:lineRule="exact"/>
              <w:ind w:left="103"/>
              <w:rPr>
                <w:sz w:val="21"/>
              </w:rPr>
            </w:pPr>
            <w:r>
              <w:rPr>
                <w:sz w:val="21"/>
              </w:rPr>
              <w:t>(4)肝功能指标进行性恶化。</w:t>
            </w:r>
          </w:p>
        </w:tc>
      </w:tr>
      <w:tr>
        <w:trPr>
          <w:trHeight w:val="2554" w:hRule="atLeast"/>
        </w:trPr>
        <w:tc>
          <w:tcPr>
            <w:tcW w:w="2305" w:type="dxa"/>
          </w:tcPr>
          <w:p>
            <w:pPr>
              <w:pStyle w:val="TableParagraph"/>
              <w:spacing w:line="344" w:lineRule="exact"/>
              <w:ind w:left="200"/>
              <w:rPr>
                <w:rFonts w:ascii="微软雅黑" w:eastAsia="微软雅黑" w:hint="eastAsia"/>
                <w:b/>
                <w:sz w:val="21"/>
              </w:rPr>
            </w:pPr>
            <w:r>
              <w:rPr>
                <w:rFonts w:ascii="微软雅黑" w:eastAsia="微软雅黑" w:hint="eastAsia"/>
                <w:b/>
                <w:sz w:val="21"/>
              </w:rPr>
              <w:t>8.良性脑肿瘤</w:t>
            </w:r>
          </w:p>
        </w:tc>
        <w:tc>
          <w:tcPr>
            <w:tcW w:w="7325" w:type="dxa"/>
          </w:tcPr>
          <w:p>
            <w:pPr>
              <w:pStyle w:val="TableParagraph"/>
              <w:spacing w:line="326" w:lineRule="auto" w:before="102"/>
              <w:ind w:left="108" w:right="304"/>
              <w:jc w:val="both"/>
              <w:rPr>
                <w:sz w:val="21"/>
              </w:rPr>
            </w:pPr>
            <w:r>
              <w:rPr>
                <w:spacing w:val="-7"/>
                <w:sz w:val="21"/>
              </w:rPr>
              <w:t>指脑的良性肿瘤，已经引起颅内压增高，临床表现为视神经乳头水肿、精神</w:t>
            </w:r>
            <w:r>
              <w:rPr>
                <w:w w:val="100"/>
                <w:sz w:val="21"/>
              </w:rPr>
              <w:t>症状、癫痫及运动感觉障碍等，并危及生命。须由头颅断层扫描</w:t>
            </w:r>
            <w:r>
              <w:rPr>
                <w:spacing w:val="2"/>
                <w:w w:val="100"/>
                <w:sz w:val="21"/>
              </w:rPr>
              <w:t>（</w:t>
            </w:r>
            <w:r>
              <w:rPr>
                <w:w w:val="100"/>
                <w:sz w:val="21"/>
              </w:rPr>
              <w:t>CT</w:t>
            </w:r>
            <w:r>
              <w:rPr>
                <w:spacing w:val="-106"/>
                <w:w w:val="100"/>
                <w:sz w:val="21"/>
              </w:rPr>
              <w:t>）</w:t>
            </w:r>
            <w:r>
              <w:rPr>
                <w:spacing w:val="0"/>
                <w:w w:val="100"/>
                <w:sz w:val="21"/>
              </w:rPr>
              <w:t>、核</w:t>
            </w:r>
            <w:r>
              <w:rPr>
                <w:spacing w:val="-3"/>
                <w:sz w:val="21"/>
              </w:rPr>
              <w:t>磁共振检查</w:t>
            </w:r>
            <w:r>
              <w:rPr>
                <w:spacing w:val="-1"/>
                <w:sz w:val="21"/>
              </w:rPr>
              <w:t>（MRI）</w:t>
            </w:r>
            <w:r>
              <w:rPr>
                <w:spacing w:val="-4"/>
                <w:sz w:val="21"/>
              </w:rPr>
              <w:t>或正电子发射断层扫描</w:t>
            </w:r>
            <w:r>
              <w:rPr>
                <w:sz w:val="21"/>
              </w:rPr>
              <w:t>（PET）</w:t>
            </w:r>
            <w:r>
              <w:rPr>
                <w:spacing w:val="-5"/>
                <w:sz w:val="21"/>
              </w:rPr>
              <w:t>等影像学检查证实，并须满足下列至少一项条件：</w:t>
            </w:r>
          </w:p>
          <w:p>
            <w:pPr>
              <w:pStyle w:val="TableParagraph"/>
              <w:numPr>
                <w:ilvl w:val="0"/>
                <w:numId w:val="12"/>
              </w:numPr>
              <w:tabs>
                <w:tab w:pos="532" w:val="left" w:leader="none"/>
              </w:tabs>
              <w:spacing w:line="241" w:lineRule="exact" w:before="0" w:after="0"/>
              <w:ind w:left="531" w:right="0" w:hanging="423"/>
              <w:jc w:val="both"/>
              <w:rPr>
                <w:sz w:val="21"/>
              </w:rPr>
            </w:pPr>
            <w:r>
              <w:rPr>
                <w:spacing w:val="-5"/>
                <w:sz w:val="21"/>
              </w:rPr>
              <w:t>实际实施了开颅进行的脑肿瘤完全切除或部分切除的手术；</w:t>
            </w:r>
          </w:p>
          <w:p>
            <w:pPr>
              <w:pStyle w:val="TableParagraph"/>
              <w:numPr>
                <w:ilvl w:val="0"/>
                <w:numId w:val="12"/>
              </w:numPr>
              <w:tabs>
                <w:tab w:pos="532" w:val="left" w:leader="none"/>
              </w:tabs>
              <w:spacing w:line="274" w:lineRule="exact" w:before="0" w:after="0"/>
              <w:ind w:left="531" w:right="0" w:hanging="423"/>
              <w:jc w:val="both"/>
              <w:rPr>
                <w:sz w:val="21"/>
              </w:rPr>
            </w:pPr>
            <w:r>
              <w:rPr>
                <w:spacing w:val="-3"/>
                <w:sz w:val="21"/>
              </w:rPr>
              <w:t>实际实施了对脑肿瘤进行的放射治疗。</w:t>
            </w:r>
          </w:p>
          <w:p>
            <w:pPr>
              <w:pStyle w:val="TableParagraph"/>
              <w:spacing w:before="56"/>
              <w:ind w:left="108"/>
              <w:jc w:val="both"/>
              <w:rPr>
                <w:sz w:val="21"/>
              </w:rPr>
            </w:pPr>
            <w:r>
              <w:rPr>
                <w:sz w:val="21"/>
              </w:rPr>
              <w:t>脑垂体瘤、脑囊肿、脑血管性疾病不在保障范围内。</w:t>
            </w:r>
          </w:p>
        </w:tc>
      </w:tr>
      <w:tr>
        <w:trPr>
          <w:trHeight w:val="1534" w:hRule="atLeast"/>
        </w:trPr>
        <w:tc>
          <w:tcPr>
            <w:tcW w:w="2305" w:type="dxa"/>
          </w:tcPr>
          <w:p>
            <w:pPr>
              <w:pStyle w:val="TableParagraph"/>
              <w:spacing w:line="180" w:lineRule="auto" w:before="96"/>
              <w:ind w:left="200" w:right="102"/>
              <w:rPr>
                <w:rFonts w:ascii="微软雅黑" w:eastAsia="微软雅黑" w:hint="eastAsia"/>
                <w:b/>
                <w:sz w:val="21"/>
              </w:rPr>
            </w:pPr>
            <w:r>
              <w:rPr>
                <w:rFonts w:ascii="微软雅黑" w:eastAsia="微软雅黑" w:hint="eastAsia"/>
                <w:b/>
                <w:sz w:val="21"/>
              </w:rPr>
              <w:t>9.慢性肝功能衰竭失代偿期</w:t>
            </w:r>
          </w:p>
        </w:tc>
        <w:tc>
          <w:tcPr>
            <w:tcW w:w="7325" w:type="dxa"/>
          </w:tcPr>
          <w:p>
            <w:pPr>
              <w:pStyle w:val="TableParagraph"/>
              <w:spacing w:before="126"/>
              <w:ind w:left="108"/>
              <w:rPr>
                <w:sz w:val="21"/>
              </w:rPr>
            </w:pPr>
            <w:r>
              <w:rPr>
                <w:sz w:val="21"/>
              </w:rPr>
              <w:t>指因慢性肝脏疾病导致肝功能衰竭。须满足下列全部条件：</w:t>
            </w:r>
          </w:p>
          <w:p>
            <w:pPr>
              <w:pStyle w:val="TableParagraph"/>
              <w:numPr>
                <w:ilvl w:val="0"/>
                <w:numId w:val="13"/>
              </w:numPr>
              <w:tabs>
                <w:tab w:pos="532" w:val="left" w:leader="none"/>
              </w:tabs>
              <w:spacing w:line="274" w:lineRule="exact" w:before="42" w:after="0"/>
              <w:ind w:left="531" w:right="0" w:hanging="423"/>
              <w:jc w:val="left"/>
              <w:rPr>
                <w:sz w:val="21"/>
              </w:rPr>
            </w:pPr>
            <w:r>
              <w:rPr>
                <w:spacing w:val="-1"/>
                <w:sz w:val="21"/>
              </w:rPr>
              <w:t>持续性黄疸；</w:t>
            </w:r>
          </w:p>
          <w:p>
            <w:pPr>
              <w:pStyle w:val="TableParagraph"/>
              <w:numPr>
                <w:ilvl w:val="0"/>
                <w:numId w:val="13"/>
              </w:numPr>
              <w:tabs>
                <w:tab w:pos="532" w:val="left" w:leader="none"/>
              </w:tabs>
              <w:spacing w:line="271" w:lineRule="exact" w:before="0" w:after="0"/>
              <w:ind w:left="531" w:right="0" w:hanging="423"/>
              <w:jc w:val="left"/>
              <w:rPr>
                <w:sz w:val="21"/>
              </w:rPr>
            </w:pPr>
            <w:r>
              <w:rPr>
                <w:sz w:val="21"/>
              </w:rPr>
              <w:t>腹水；</w:t>
            </w:r>
          </w:p>
          <w:p>
            <w:pPr>
              <w:pStyle w:val="TableParagraph"/>
              <w:numPr>
                <w:ilvl w:val="0"/>
                <w:numId w:val="13"/>
              </w:numPr>
              <w:tabs>
                <w:tab w:pos="532" w:val="left" w:leader="none"/>
              </w:tabs>
              <w:spacing w:line="271" w:lineRule="exact" w:before="0" w:after="0"/>
              <w:ind w:left="531" w:right="0" w:hanging="423"/>
              <w:jc w:val="left"/>
              <w:rPr>
                <w:sz w:val="21"/>
              </w:rPr>
            </w:pPr>
            <w:r>
              <w:rPr>
                <w:sz w:val="21"/>
              </w:rPr>
              <w:t>肝性脑病；</w:t>
            </w:r>
          </w:p>
          <w:p>
            <w:pPr>
              <w:pStyle w:val="TableParagraph"/>
              <w:numPr>
                <w:ilvl w:val="0"/>
                <w:numId w:val="13"/>
              </w:numPr>
              <w:tabs>
                <w:tab w:pos="532" w:val="left" w:leader="none"/>
              </w:tabs>
              <w:spacing w:line="254" w:lineRule="exact" w:before="0" w:after="0"/>
              <w:ind w:left="531" w:right="0" w:hanging="423"/>
              <w:jc w:val="left"/>
              <w:rPr>
                <w:sz w:val="21"/>
              </w:rPr>
            </w:pPr>
            <w:r>
              <w:rPr>
                <w:spacing w:val="-5"/>
                <w:sz w:val="21"/>
              </w:rPr>
              <w:t>充血性脾肿大伴脾功能亢进或食管胃底静脉曲张。</w:t>
            </w:r>
          </w:p>
        </w:tc>
      </w:tr>
    </w:tbl>
    <w:p>
      <w:pPr>
        <w:rPr>
          <w:sz w:val="2"/>
          <w:szCs w:val="2"/>
        </w:rPr>
      </w:pPr>
      <w:r>
        <w:rPr/>
        <w:drawing>
          <wp:anchor distT="0" distB="0" distL="0" distR="0" allowOverlap="1" layoutInCell="1" locked="0" behindDoc="1" simplePos="0" relativeHeight="268396895">
            <wp:simplePos x="0" y="0"/>
            <wp:positionH relativeFrom="page">
              <wp:posOffset>6784340</wp:posOffset>
            </wp:positionH>
            <wp:positionV relativeFrom="page">
              <wp:posOffset>1547621</wp:posOffset>
            </wp:positionV>
            <wp:extent cx="59721" cy="10372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7" w:top="1300" w:bottom="560" w:left="1460" w:right="6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7314"/>
      </w:tblGrid>
      <w:tr>
        <w:trPr>
          <w:trHeight w:val="343" w:hRule="atLeast"/>
        </w:trPr>
        <w:tc>
          <w:tcPr>
            <w:tcW w:w="2320" w:type="dxa"/>
          </w:tcPr>
          <w:p>
            <w:pPr>
              <w:pStyle w:val="TableParagraph"/>
              <w:ind w:left="0"/>
              <w:rPr>
                <w:rFonts w:ascii="Times New Roman"/>
                <w:sz w:val="20"/>
              </w:rPr>
            </w:pPr>
          </w:p>
        </w:tc>
        <w:tc>
          <w:tcPr>
            <w:tcW w:w="7314" w:type="dxa"/>
          </w:tcPr>
          <w:p>
            <w:pPr>
              <w:pStyle w:val="TableParagraph"/>
              <w:spacing w:line="211" w:lineRule="exact"/>
              <w:rPr>
                <w:sz w:val="21"/>
              </w:rPr>
            </w:pPr>
            <w:r>
              <w:rPr>
                <w:sz w:val="21"/>
              </w:rPr>
              <w:t>因酗酒或药物滥用导致的肝功能衰竭不在保障范围内。</w:t>
            </w:r>
          </w:p>
        </w:tc>
      </w:tr>
      <w:tr>
        <w:trPr>
          <w:trHeight w:val="2019" w:hRule="atLeast"/>
        </w:trPr>
        <w:tc>
          <w:tcPr>
            <w:tcW w:w="2320" w:type="dxa"/>
          </w:tcPr>
          <w:p>
            <w:pPr>
              <w:pStyle w:val="TableParagraph"/>
              <w:spacing w:line="180" w:lineRule="auto" w:before="96"/>
              <w:ind w:left="200" w:right="91"/>
              <w:rPr>
                <w:rFonts w:ascii="微软雅黑" w:eastAsia="微软雅黑" w:hint="eastAsia"/>
                <w:b/>
                <w:sz w:val="21"/>
              </w:rPr>
            </w:pPr>
            <w:r>
              <w:rPr>
                <w:rFonts w:ascii="微软雅黑" w:eastAsia="微软雅黑" w:hint="eastAsia"/>
                <w:b/>
                <w:sz w:val="21"/>
              </w:rPr>
              <w:t>10. 脑炎后遗症或脑膜炎后遗症</w:t>
            </w:r>
          </w:p>
        </w:tc>
        <w:tc>
          <w:tcPr>
            <w:tcW w:w="7314" w:type="dxa"/>
          </w:tcPr>
          <w:p>
            <w:pPr>
              <w:pStyle w:val="TableParagraph"/>
              <w:spacing w:line="326" w:lineRule="auto" w:before="126"/>
              <w:ind w:right="288"/>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4"/>
              </w:numPr>
              <w:tabs>
                <w:tab w:pos="517" w:val="left" w:leader="none"/>
              </w:tabs>
              <w:spacing w:line="241" w:lineRule="exact" w:before="0" w:after="0"/>
              <w:ind w:left="516" w:right="0" w:hanging="423"/>
              <w:jc w:val="left"/>
              <w:rPr>
                <w:sz w:val="21"/>
              </w:rPr>
            </w:pPr>
            <w:r>
              <w:rPr>
                <w:spacing w:val="-3"/>
                <w:sz w:val="21"/>
              </w:rPr>
              <w:t>一肢或一肢以上肢体机能完全丧失；</w:t>
            </w:r>
          </w:p>
          <w:p>
            <w:pPr>
              <w:pStyle w:val="TableParagraph"/>
              <w:numPr>
                <w:ilvl w:val="0"/>
                <w:numId w:val="14"/>
              </w:numPr>
              <w:tabs>
                <w:tab w:pos="517" w:val="left" w:leader="none"/>
              </w:tabs>
              <w:spacing w:line="271" w:lineRule="exact" w:before="0" w:after="0"/>
              <w:ind w:left="516" w:right="0" w:hanging="423"/>
              <w:jc w:val="left"/>
              <w:rPr>
                <w:sz w:val="21"/>
              </w:rPr>
            </w:pPr>
            <w:r>
              <w:rPr>
                <w:spacing w:val="-3"/>
                <w:sz w:val="21"/>
              </w:rPr>
              <w:t>语言能力或咀嚼吞咽能力完全丧失；</w:t>
            </w:r>
          </w:p>
          <w:p>
            <w:pPr>
              <w:pStyle w:val="TableParagraph"/>
              <w:numPr>
                <w:ilvl w:val="0"/>
                <w:numId w:val="14"/>
              </w:numPr>
              <w:tabs>
                <w:tab w:pos="517" w:val="left" w:leader="none"/>
              </w:tabs>
              <w:spacing w:line="240" w:lineRule="auto" w:before="0" w:after="0"/>
              <w:ind w:left="516" w:right="306" w:hanging="423"/>
              <w:jc w:val="left"/>
              <w:rPr>
                <w:sz w:val="21"/>
              </w:rPr>
            </w:pPr>
            <w:r>
              <w:rPr>
                <w:spacing w:val="-5"/>
                <w:sz w:val="21"/>
              </w:rPr>
              <w:t>自主生活能力完全丧失，无法独立完成六项基本日常生活活动中的三项或三项以上。</w:t>
            </w:r>
          </w:p>
        </w:tc>
      </w:tr>
      <w:tr>
        <w:trPr>
          <w:trHeight w:val="1634" w:hRule="atLeast"/>
        </w:trPr>
        <w:tc>
          <w:tcPr>
            <w:tcW w:w="2320" w:type="dxa"/>
          </w:tcPr>
          <w:p>
            <w:pPr>
              <w:pStyle w:val="TableParagraph"/>
              <w:spacing w:line="347" w:lineRule="exact"/>
              <w:ind w:left="200"/>
              <w:rPr>
                <w:rFonts w:ascii="微软雅黑" w:eastAsia="微软雅黑" w:hint="eastAsia"/>
                <w:b/>
                <w:sz w:val="21"/>
              </w:rPr>
            </w:pPr>
            <w:r>
              <w:rPr>
                <w:rFonts w:ascii="微软雅黑" w:eastAsia="微软雅黑" w:hint="eastAsia"/>
                <w:b/>
                <w:sz w:val="21"/>
              </w:rPr>
              <w:t>11.深度昏迷</w:t>
            </w:r>
          </w:p>
        </w:tc>
        <w:tc>
          <w:tcPr>
            <w:tcW w:w="7314" w:type="dxa"/>
          </w:tcPr>
          <w:p>
            <w:pPr>
              <w:pStyle w:val="TableParagraph"/>
              <w:spacing w:line="326" w:lineRule="auto" w:before="104"/>
              <w:ind w:right="198"/>
              <w:rPr>
                <w:sz w:val="21"/>
              </w:rPr>
            </w:pPr>
            <w:r>
              <w:rPr>
                <w:spacing w:val="-5"/>
                <w:sz w:val="21"/>
              </w:rPr>
              <w:t>指因疾病或意外伤害导致意识丧失,对外界刺激和体内需求均无反应,昏迷  </w:t>
            </w:r>
            <w:r>
              <w:rPr>
                <w:spacing w:val="-6"/>
                <w:sz w:val="21"/>
              </w:rPr>
              <w:t>程度按照格拉斯哥昏迷分级</w:t>
            </w:r>
            <w:r>
              <w:rPr>
                <w:sz w:val="21"/>
              </w:rPr>
              <w:t>（Glasgow</w:t>
            </w:r>
            <w:r>
              <w:rPr>
                <w:spacing w:val="-48"/>
                <w:sz w:val="21"/>
              </w:rPr>
              <w:t> </w:t>
            </w:r>
            <w:r>
              <w:rPr>
                <w:sz w:val="21"/>
              </w:rPr>
              <w:t>coma</w:t>
            </w:r>
            <w:r>
              <w:rPr>
                <w:spacing w:val="-48"/>
                <w:sz w:val="21"/>
              </w:rPr>
              <w:t> </w:t>
            </w:r>
            <w:r>
              <w:rPr>
                <w:spacing w:val="-3"/>
                <w:sz w:val="21"/>
              </w:rPr>
              <w:t>scale）</w:t>
            </w:r>
            <w:r>
              <w:rPr>
                <w:spacing w:val="-14"/>
                <w:sz w:val="21"/>
              </w:rPr>
              <w:t>结果为 </w:t>
            </w:r>
            <w:r>
              <w:rPr>
                <w:sz w:val="21"/>
              </w:rPr>
              <w:t>5</w:t>
            </w:r>
            <w:r>
              <w:rPr>
                <w:spacing w:val="-25"/>
                <w:sz w:val="21"/>
              </w:rPr>
              <w:t> 分或 </w:t>
            </w:r>
            <w:r>
              <w:rPr>
                <w:sz w:val="21"/>
              </w:rPr>
              <w:t>5</w:t>
            </w:r>
            <w:r>
              <w:rPr>
                <w:spacing w:val="-10"/>
                <w:sz w:val="21"/>
              </w:rPr>
              <w:t> 分以下， </w:t>
            </w:r>
            <w:r>
              <w:rPr>
                <w:spacing w:val="-9"/>
                <w:sz w:val="21"/>
              </w:rPr>
              <w:t>且已经持续使用呼吸机及其它生命维持系统 </w:t>
            </w:r>
            <w:r>
              <w:rPr>
                <w:sz w:val="21"/>
              </w:rPr>
              <w:t>96</w:t>
            </w:r>
            <w:r>
              <w:rPr>
                <w:spacing w:val="-10"/>
                <w:sz w:val="21"/>
              </w:rPr>
              <w:t> 小时以上。</w:t>
            </w:r>
          </w:p>
          <w:p>
            <w:pPr>
              <w:pStyle w:val="TableParagraph"/>
              <w:spacing w:before="23"/>
              <w:rPr>
                <w:sz w:val="21"/>
              </w:rPr>
            </w:pPr>
            <w:r>
              <w:rPr>
                <w:sz w:val="21"/>
              </w:rPr>
              <w:t>因酗酒或药物滥用导致的深度昏迷不在保障范围内。</w:t>
            </w:r>
          </w:p>
        </w:tc>
      </w:tr>
      <w:tr>
        <w:trPr>
          <w:trHeight w:val="1282" w:hRule="atLeast"/>
        </w:trPr>
        <w:tc>
          <w:tcPr>
            <w:tcW w:w="2320" w:type="dxa"/>
          </w:tcPr>
          <w:p>
            <w:pPr>
              <w:pStyle w:val="TableParagraph"/>
              <w:spacing w:before="5"/>
              <w:ind w:left="200"/>
              <w:rPr>
                <w:rFonts w:ascii="微软雅黑" w:eastAsia="微软雅黑" w:hint="eastAsia"/>
                <w:b/>
                <w:sz w:val="21"/>
              </w:rPr>
            </w:pPr>
            <w:r>
              <w:rPr>
                <w:rFonts w:ascii="微软雅黑" w:eastAsia="微软雅黑" w:hint="eastAsia"/>
                <w:b/>
                <w:sz w:val="21"/>
              </w:rPr>
              <w:t>12.双耳失聪</w:t>
            </w:r>
          </w:p>
        </w:tc>
        <w:tc>
          <w:tcPr>
            <w:tcW w:w="7314" w:type="dxa"/>
          </w:tcPr>
          <w:p>
            <w:pPr>
              <w:pStyle w:val="TableParagraph"/>
              <w:spacing w:line="326" w:lineRule="auto" w:before="126"/>
              <w:ind w:right="308"/>
              <w:jc w:val="both"/>
              <w:rPr>
                <w:sz w:val="21"/>
              </w:rPr>
            </w:pPr>
            <w:r>
              <w:rPr>
                <w:spacing w:val="-9"/>
                <w:sz w:val="21"/>
              </w:rPr>
              <w:t>指因疾病或意外伤害导致双耳听力永久不可逆性丧失，在 </w:t>
            </w:r>
            <w:r>
              <w:rPr>
                <w:sz w:val="21"/>
              </w:rPr>
              <w:t>500</w:t>
            </w:r>
            <w:r>
              <w:rPr>
                <w:spacing w:val="-22"/>
                <w:sz w:val="21"/>
              </w:rPr>
              <w:t> 赫兹、</w:t>
            </w:r>
            <w:r>
              <w:rPr>
                <w:sz w:val="21"/>
              </w:rPr>
              <w:t>1000</w:t>
            </w:r>
            <w:r>
              <w:rPr>
                <w:spacing w:val="-22"/>
                <w:sz w:val="21"/>
              </w:rPr>
              <w:t> 赫</w:t>
            </w:r>
            <w:r>
              <w:rPr>
                <w:spacing w:val="-29"/>
                <w:sz w:val="21"/>
              </w:rPr>
              <w:t>兹和 </w:t>
            </w:r>
            <w:r>
              <w:rPr>
                <w:sz w:val="21"/>
              </w:rPr>
              <w:t>2000</w:t>
            </w:r>
            <w:r>
              <w:rPr>
                <w:spacing w:val="-12"/>
                <w:sz w:val="21"/>
              </w:rPr>
              <w:t> 赫兹语音频率下，平均听阈大于 </w:t>
            </w:r>
            <w:r>
              <w:rPr>
                <w:sz w:val="21"/>
              </w:rPr>
              <w:t>90</w:t>
            </w:r>
            <w:r>
              <w:rPr>
                <w:spacing w:val="-10"/>
                <w:sz w:val="21"/>
              </w:rPr>
              <w:t> 分贝，且经纯音听力测试、声</w:t>
            </w:r>
            <w:r>
              <w:rPr>
                <w:spacing w:val="-7"/>
                <w:sz w:val="21"/>
              </w:rPr>
              <w:t>导抗检测或听觉诱发电位检测等证实。</w:t>
            </w:r>
          </w:p>
        </w:tc>
      </w:tr>
      <w:tr>
        <w:trPr>
          <w:trHeight w:val="907" w:hRule="atLeast"/>
        </w:trPr>
        <w:tc>
          <w:tcPr>
            <w:tcW w:w="2320" w:type="dxa"/>
          </w:tcPr>
          <w:p>
            <w:pPr>
              <w:pStyle w:val="TableParagraph"/>
              <w:spacing w:before="5"/>
              <w:ind w:left="200"/>
              <w:rPr>
                <w:rFonts w:ascii="微软雅黑" w:eastAsia="微软雅黑" w:hint="eastAsia"/>
                <w:b/>
                <w:sz w:val="21"/>
              </w:rPr>
            </w:pPr>
            <w:r>
              <w:rPr>
                <w:rFonts w:ascii="微软雅黑" w:eastAsia="微软雅黑" w:hint="eastAsia"/>
                <w:b/>
                <w:sz w:val="21"/>
              </w:rPr>
              <w:t>13.心脏瓣膜手术</w:t>
            </w:r>
          </w:p>
        </w:tc>
        <w:tc>
          <w:tcPr>
            <w:tcW w:w="7314" w:type="dxa"/>
          </w:tcPr>
          <w:p>
            <w:pPr>
              <w:pStyle w:val="TableParagraph"/>
              <w:spacing w:line="326" w:lineRule="auto" w:before="126"/>
              <w:ind w:right="493"/>
              <w:rPr>
                <w:sz w:val="21"/>
              </w:rPr>
            </w:pPr>
            <w:r>
              <w:rPr>
                <w:sz w:val="21"/>
              </w:rPr>
              <w:t>指为治疗心脏瓣膜疾病，实际实施了开胸进行的心脏瓣膜臵换或修复的手术。</w:t>
            </w:r>
          </w:p>
        </w:tc>
      </w:tr>
      <w:tr>
        <w:trPr>
          <w:trHeight w:val="2407" w:hRule="atLeast"/>
        </w:trPr>
        <w:tc>
          <w:tcPr>
            <w:tcW w:w="2320" w:type="dxa"/>
          </w:tcPr>
          <w:p>
            <w:pPr>
              <w:pStyle w:val="TableParagraph"/>
              <w:spacing w:line="182" w:lineRule="auto" w:before="93"/>
              <w:ind w:left="200" w:right="91"/>
              <w:rPr>
                <w:rFonts w:ascii="微软雅黑" w:eastAsia="微软雅黑" w:hint="eastAsia"/>
                <w:b/>
                <w:sz w:val="21"/>
              </w:rPr>
            </w:pPr>
            <w:r>
              <w:rPr>
                <w:rFonts w:ascii="微软雅黑" w:eastAsia="微软雅黑" w:hint="eastAsia"/>
                <w:b/>
                <w:sz w:val="21"/>
              </w:rPr>
              <w:t>14. 严重阿尔茨海默病</w:t>
            </w:r>
          </w:p>
        </w:tc>
        <w:tc>
          <w:tcPr>
            <w:tcW w:w="7314" w:type="dxa"/>
          </w:tcPr>
          <w:p>
            <w:pPr>
              <w:pStyle w:val="TableParagraph"/>
              <w:spacing w:line="326" w:lineRule="auto" w:before="126"/>
              <w:ind w:right="309"/>
              <w:rPr>
                <w:sz w:val="21"/>
              </w:rPr>
            </w:pPr>
            <w:r>
              <w:rPr>
                <w:spacing w:val="-6"/>
                <w:sz w:val="21"/>
              </w:rPr>
              <w:t>指因大脑进行性、不可逆性改变导致智能严重衰退或丧失，临床表现为明显</w:t>
            </w:r>
            <w:r>
              <w:rPr>
                <w:spacing w:val="-8"/>
                <w:sz w:val="21"/>
              </w:rPr>
              <w:t>的认知能力障碍、行为异常和社交能力减退，其日常生活必须持续受到他人</w:t>
            </w:r>
            <w:r>
              <w:rPr>
                <w:spacing w:val="-5"/>
                <w:w w:val="100"/>
                <w:sz w:val="21"/>
              </w:rPr>
              <w:t>监护。须由头颅断层扫描</w:t>
            </w:r>
            <w:r>
              <w:rPr>
                <w:spacing w:val="0"/>
                <w:w w:val="100"/>
                <w:sz w:val="21"/>
              </w:rPr>
              <w:t>（</w:t>
            </w:r>
            <w:r>
              <w:rPr>
                <w:spacing w:val="-5"/>
                <w:w w:val="100"/>
                <w:sz w:val="21"/>
              </w:rPr>
              <w:t>C</w:t>
            </w:r>
            <w:r>
              <w:rPr>
                <w:w w:val="100"/>
                <w:sz w:val="21"/>
              </w:rPr>
              <w:t>T</w:t>
            </w:r>
            <w:r>
              <w:rPr>
                <w:spacing w:val="-106"/>
                <w:w w:val="100"/>
                <w:sz w:val="21"/>
              </w:rPr>
              <w:t>）</w:t>
            </w:r>
            <w:r>
              <w:rPr>
                <w:spacing w:val="-5"/>
                <w:w w:val="100"/>
                <w:sz w:val="21"/>
              </w:rPr>
              <w:t>、核磁共振检查</w:t>
            </w:r>
            <w:r>
              <w:rPr>
                <w:spacing w:val="0"/>
                <w:w w:val="100"/>
                <w:sz w:val="21"/>
              </w:rPr>
              <w:t>（</w:t>
            </w:r>
            <w:r>
              <w:rPr>
                <w:w w:val="100"/>
                <w:sz w:val="21"/>
              </w:rPr>
              <w:t>MR</w:t>
            </w:r>
            <w:r>
              <w:rPr>
                <w:spacing w:val="-5"/>
                <w:w w:val="100"/>
                <w:sz w:val="21"/>
              </w:rPr>
              <w:t>I）</w:t>
            </w:r>
            <w:r>
              <w:rPr>
                <w:spacing w:val="-3"/>
                <w:w w:val="100"/>
                <w:sz w:val="21"/>
              </w:rPr>
              <w:t>或正电子发射断层扫</w:t>
            </w:r>
            <w:r>
              <w:rPr>
                <w:spacing w:val="-3"/>
                <w:sz w:val="21"/>
              </w:rPr>
              <w:t>描（PET）</w:t>
            </w:r>
            <w:r>
              <w:rPr>
                <w:spacing w:val="-5"/>
                <w:sz w:val="21"/>
              </w:rPr>
              <w:t>等影像学检查证实，且自主生活能力完全丧失，无法独立完成六项基本日常生活活动中的三项或三项以上。</w:t>
            </w:r>
          </w:p>
          <w:p>
            <w:pPr>
              <w:pStyle w:val="TableParagraph"/>
              <w:spacing w:before="24"/>
              <w:rPr>
                <w:sz w:val="21"/>
              </w:rPr>
            </w:pPr>
            <w:r>
              <w:rPr>
                <w:sz w:val="21"/>
              </w:rPr>
              <w:t>神经官能症和精神疾病不在保障范围内。</w:t>
            </w:r>
          </w:p>
        </w:tc>
      </w:tr>
      <w:tr>
        <w:trPr>
          <w:trHeight w:val="2770" w:hRule="atLeast"/>
        </w:trPr>
        <w:tc>
          <w:tcPr>
            <w:tcW w:w="2320" w:type="dxa"/>
          </w:tcPr>
          <w:p>
            <w:pPr>
              <w:pStyle w:val="TableParagraph"/>
              <w:spacing w:before="8"/>
              <w:ind w:left="200"/>
              <w:rPr>
                <w:rFonts w:ascii="微软雅黑" w:eastAsia="微软雅黑" w:hint="eastAsia"/>
                <w:b/>
                <w:sz w:val="21"/>
              </w:rPr>
            </w:pPr>
            <w:r>
              <w:rPr>
                <w:rFonts w:ascii="微软雅黑" w:eastAsia="微软雅黑" w:hint="eastAsia"/>
                <w:b/>
                <w:sz w:val="21"/>
              </w:rPr>
              <w:t>15.严重脑损伤</w:t>
            </w:r>
          </w:p>
        </w:tc>
        <w:tc>
          <w:tcPr>
            <w:tcW w:w="7314" w:type="dxa"/>
          </w:tcPr>
          <w:p>
            <w:pPr>
              <w:pStyle w:val="TableParagraph"/>
              <w:spacing w:line="326" w:lineRule="auto" w:before="128"/>
              <w:ind w:right="308"/>
              <w:jc w:val="both"/>
              <w:rPr>
                <w:sz w:val="21"/>
              </w:rPr>
            </w:pPr>
            <w:r>
              <w:rPr>
                <w:spacing w:val="-6"/>
                <w:sz w:val="21"/>
              </w:rPr>
              <w:t>指因头部遭受机械性外力，引起脑重要部位损伤，导致神经系统永久性的功</w:t>
            </w:r>
            <w:r>
              <w:rPr>
                <w:spacing w:val="-6"/>
                <w:w w:val="100"/>
                <w:sz w:val="21"/>
              </w:rPr>
              <w:t>能障碍。须由头颅断层扫描</w:t>
            </w:r>
            <w:r>
              <w:rPr>
                <w:spacing w:val="0"/>
                <w:w w:val="100"/>
                <w:sz w:val="21"/>
              </w:rPr>
              <w:t>（</w:t>
            </w:r>
            <w:r>
              <w:rPr>
                <w:w w:val="100"/>
                <w:sz w:val="21"/>
              </w:rPr>
              <w:t>CT</w:t>
            </w:r>
            <w:r>
              <w:rPr>
                <w:spacing w:val="-106"/>
                <w:w w:val="100"/>
                <w:sz w:val="21"/>
              </w:rPr>
              <w:t>）</w:t>
            </w:r>
            <w:r>
              <w:rPr>
                <w:spacing w:val="-5"/>
                <w:w w:val="100"/>
                <w:sz w:val="21"/>
              </w:rPr>
              <w:t>、核磁共振检查</w:t>
            </w:r>
            <w:r>
              <w:rPr>
                <w:w w:val="100"/>
                <w:sz w:val="21"/>
              </w:rPr>
              <w:t>（</w:t>
            </w:r>
            <w:r>
              <w:rPr>
                <w:spacing w:val="-5"/>
                <w:w w:val="100"/>
                <w:sz w:val="21"/>
              </w:rPr>
              <w:t>M</w:t>
            </w:r>
            <w:r>
              <w:rPr>
                <w:w w:val="100"/>
                <w:sz w:val="21"/>
              </w:rPr>
              <w:t>RI</w:t>
            </w:r>
            <w:r>
              <w:rPr>
                <w:spacing w:val="-5"/>
                <w:w w:val="100"/>
                <w:sz w:val="21"/>
              </w:rPr>
              <w:t>）</w:t>
            </w:r>
            <w:r>
              <w:rPr>
                <w:spacing w:val="-3"/>
                <w:w w:val="100"/>
                <w:sz w:val="21"/>
              </w:rPr>
              <w:t>或正电子发射断层</w:t>
            </w:r>
            <w:r>
              <w:rPr>
                <w:spacing w:val="-12"/>
                <w:sz w:val="21"/>
              </w:rPr>
              <w:t>扫描</w:t>
            </w:r>
            <w:r>
              <w:rPr>
                <w:spacing w:val="-5"/>
                <w:sz w:val="21"/>
              </w:rPr>
              <w:t>（PET）</w:t>
            </w:r>
            <w:r>
              <w:rPr>
                <w:spacing w:val="-7"/>
                <w:sz w:val="21"/>
              </w:rPr>
              <w:t>等影像学检查证实。神经系统永久性的功能障碍，指脑损伤 </w:t>
            </w:r>
            <w:r>
              <w:rPr>
                <w:sz w:val="21"/>
              </w:rPr>
              <w:t>180 </w:t>
            </w:r>
            <w:r>
              <w:rPr>
                <w:spacing w:val="-4"/>
                <w:sz w:val="21"/>
              </w:rPr>
              <w:t>天后，仍遗留下列一种或一种以上障碍：</w:t>
            </w:r>
          </w:p>
          <w:p>
            <w:pPr>
              <w:pStyle w:val="TableParagraph"/>
              <w:numPr>
                <w:ilvl w:val="0"/>
                <w:numId w:val="15"/>
              </w:numPr>
              <w:tabs>
                <w:tab w:pos="517" w:val="left" w:leader="none"/>
              </w:tabs>
              <w:spacing w:line="239" w:lineRule="exact" w:before="0" w:after="0"/>
              <w:ind w:left="516" w:right="0" w:hanging="423"/>
              <w:jc w:val="left"/>
              <w:rPr>
                <w:sz w:val="21"/>
              </w:rPr>
            </w:pPr>
            <w:r>
              <w:rPr>
                <w:spacing w:val="-3"/>
                <w:sz w:val="21"/>
              </w:rPr>
              <w:t>一肢或一肢以上肢体机能完全丧失；</w:t>
            </w:r>
          </w:p>
          <w:p>
            <w:pPr>
              <w:pStyle w:val="TableParagraph"/>
              <w:numPr>
                <w:ilvl w:val="0"/>
                <w:numId w:val="15"/>
              </w:numPr>
              <w:tabs>
                <w:tab w:pos="517" w:val="left" w:leader="none"/>
              </w:tabs>
              <w:spacing w:line="271" w:lineRule="exact" w:before="0" w:after="0"/>
              <w:ind w:left="516" w:right="0" w:hanging="423"/>
              <w:jc w:val="left"/>
              <w:rPr>
                <w:sz w:val="21"/>
              </w:rPr>
            </w:pPr>
            <w:r>
              <w:rPr>
                <w:spacing w:val="-3"/>
                <w:sz w:val="21"/>
              </w:rPr>
              <w:t>语言能力或咀嚼吞咽能力完全丧失；</w:t>
            </w:r>
          </w:p>
          <w:p>
            <w:pPr>
              <w:pStyle w:val="TableParagraph"/>
              <w:numPr>
                <w:ilvl w:val="0"/>
                <w:numId w:val="15"/>
              </w:numPr>
              <w:tabs>
                <w:tab w:pos="517" w:val="left" w:leader="none"/>
              </w:tabs>
              <w:spacing w:line="240" w:lineRule="auto" w:before="0" w:after="0"/>
              <w:ind w:left="516" w:right="306" w:hanging="423"/>
              <w:jc w:val="left"/>
              <w:rPr>
                <w:sz w:val="21"/>
              </w:rPr>
            </w:pPr>
            <w:r>
              <w:rPr>
                <w:spacing w:val="-5"/>
                <w:sz w:val="21"/>
              </w:rPr>
              <w:t>自主生活能力完全丧失，无法独立完成六项基本日常生活活动中的三项或三项以上。</w:t>
            </w:r>
          </w:p>
        </w:tc>
      </w:tr>
      <w:tr>
        <w:trPr>
          <w:trHeight w:val="2076" w:hRule="atLeast"/>
        </w:trPr>
        <w:tc>
          <w:tcPr>
            <w:tcW w:w="2320" w:type="dxa"/>
          </w:tcPr>
          <w:p>
            <w:pPr>
              <w:pStyle w:val="TableParagraph"/>
              <w:spacing w:line="347" w:lineRule="exact"/>
              <w:ind w:left="200"/>
              <w:rPr>
                <w:rFonts w:ascii="微软雅黑" w:eastAsia="微软雅黑" w:hint="eastAsia"/>
                <w:b/>
                <w:sz w:val="21"/>
              </w:rPr>
            </w:pPr>
            <w:r>
              <w:rPr>
                <w:rFonts w:ascii="微软雅黑" w:eastAsia="微软雅黑" w:hint="eastAsia"/>
                <w:b/>
                <w:sz w:val="21"/>
              </w:rPr>
              <w:t>16.严重帕金森病</w:t>
            </w:r>
          </w:p>
        </w:tc>
        <w:tc>
          <w:tcPr>
            <w:tcW w:w="7314" w:type="dxa"/>
          </w:tcPr>
          <w:p>
            <w:pPr>
              <w:pStyle w:val="TableParagraph"/>
              <w:spacing w:line="326" w:lineRule="auto" w:before="104"/>
              <w:ind w:right="311"/>
              <w:rPr>
                <w:sz w:val="21"/>
              </w:rPr>
            </w:pPr>
            <w:r>
              <w:rPr>
                <w:spacing w:val="-7"/>
                <w:sz w:val="21"/>
              </w:rPr>
              <w:t>是一种中枢神经系统的退行性疾病，临床表现为震颤麻痹、共济失调等。须</w:t>
            </w:r>
            <w:r>
              <w:rPr>
                <w:spacing w:val="-6"/>
                <w:sz w:val="21"/>
              </w:rPr>
              <w:t>满足下列全部条件：</w:t>
            </w:r>
          </w:p>
          <w:p>
            <w:pPr>
              <w:pStyle w:val="TableParagraph"/>
              <w:numPr>
                <w:ilvl w:val="0"/>
                <w:numId w:val="16"/>
              </w:numPr>
              <w:tabs>
                <w:tab w:pos="517" w:val="left" w:leader="none"/>
              </w:tabs>
              <w:spacing w:line="238" w:lineRule="exact" w:before="0" w:after="0"/>
              <w:ind w:left="516" w:right="0" w:hanging="423"/>
              <w:jc w:val="left"/>
              <w:rPr>
                <w:sz w:val="21"/>
              </w:rPr>
            </w:pPr>
            <w:r>
              <w:rPr>
                <w:spacing w:val="-2"/>
                <w:sz w:val="21"/>
              </w:rPr>
              <w:t>药物治疗无法控制病情；</w:t>
            </w:r>
          </w:p>
          <w:p>
            <w:pPr>
              <w:pStyle w:val="TableParagraph"/>
              <w:numPr>
                <w:ilvl w:val="0"/>
                <w:numId w:val="16"/>
              </w:numPr>
              <w:tabs>
                <w:tab w:pos="517" w:val="left" w:leader="none"/>
              </w:tabs>
              <w:spacing w:line="240" w:lineRule="auto" w:before="0" w:after="0"/>
              <w:ind w:left="516" w:right="306" w:hanging="423"/>
              <w:jc w:val="left"/>
              <w:rPr>
                <w:sz w:val="21"/>
              </w:rPr>
            </w:pPr>
            <w:r>
              <w:rPr>
                <w:spacing w:val="-5"/>
                <w:sz w:val="21"/>
              </w:rPr>
              <w:t>自主生活能力完全丧失，无法独立完成六项基本日常生活活动中的三项或三项以上。</w:t>
            </w:r>
          </w:p>
          <w:p>
            <w:pPr>
              <w:pStyle w:val="TableParagraph"/>
              <w:spacing w:before="59"/>
              <w:rPr>
                <w:sz w:val="21"/>
              </w:rPr>
            </w:pPr>
            <w:r>
              <w:rPr>
                <w:sz w:val="21"/>
              </w:rPr>
              <w:t>继发性帕金森综合征不在保障范围内。</w:t>
            </w:r>
          </w:p>
        </w:tc>
      </w:tr>
      <w:tr>
        <w:trPr>
          <w:trHeight w:val="775" w:hRule="atLeast"/>
        </w:trPr>
        <w:tc>
          <w:tcPr>
            <w:tcW w:w="2320" w:type="dxa"/>
          </w:tcPr>
          <w:p>
            <w:pPr>
              <w:pStyle w:val="TableParagraph"/>
              <w:spacing w:before="5"/>
              <w:ind w:left="200"/>
              <w:rPr>
                <w:rFonts w:ascii="微软雅黑" w:hAnsi="微软雅黑" w:eastAsia="微软雅黑" w:hint="eastAsia"/>
                <w:b/>
                <w:sz w:val="21"/>
              </w:rPr>
            </w:pPr>
            <w:r>
              <w:rPr>
                <w:rFonts w:ascii="微软雅黑" w:hAnsi="微软雅黑" w:eastAsia="微软雅黑" w:hint="eastAsia"/>
                <w:b/>
                <w:sz w:val="21"/>
              </w:rPr>
              <w:t>17.严重</w:t>
            </w:r>
            <w:r>
              <w:rPr>
                <w:b/>
                <w:sz w:val="21"/>
              </w:rPr>
              <w:t>Ⅲ</w:t>
            </w:r>
            <w:r>
              <w:rPr>
                <w:rFonts w:ascii="微软雅黑" w:hAnsi="微软雅黑" w:eastAsia="微软雅黑" w:hint="eastAsia"/>
                <w:b/>
                <w:sz w:val="21"/>
              </w:rPr>
              <w:t>度烧伤</w:t>
            </w:r>
          </w:p>
        </w:tc>
        <w:tc>
          <w:tcPr>
            <w:tcW w:w="7314" w:type="dxa"/>
          </w:tcPr>
          <w:p>
            <w:pPr>
              <w:pStyle w:val="TableParagraph"/>
              <w:spacing w:line="370" w:lineRule="atLeast" w:before="31"/>
              <w:ind w:right="385"/>
              <w:rPr>
                <w:sz w:val="21"/>
              </w:rPr>
            </w:pPr>
            <w:r>
              <w:rPr>
                <w:spacing w:val="-7"/>
                <w:sz w:val="21"/>
              </w:rPr>
              <w:t>指烧伤程度为Ⅲ度，且Ⅲ度烧伤的面积达到全身体表面积的 </w:t>
            </w:r>
            <w:r>
              <w:rPr>
                <w:sz w:val="21"/>
              </w:rPr>
              <w:t>20</w:t>
            </w:r>
            <w:r>
              <w:rPr>
                <w:spacing w:val="-13"/>
                <w:sz w:val="21"/>
              </w:rPr>
              <w:t>％或 </w:t>
            </w:r>
            <w:r>
              <w:rPr>
                <w:sz w:val="21"/>
              </w:rPr>
              <w:t>20％以</w:t>
            </w:r>
            <w:r>
              <w:rPr>
                <w:spacing w:val="-4"/>
                <w:sz w:val="21"/>
              </w:rPr>
              <w:t>上。体表面积根据《中国新九分法》计算。</w:t>
            </w:r>
          </w:p>
        </w:tc>
      </w:tr>
    </w:tbl>
    <w:p>
      <w:pPr>
        <w:spacing w:after="0" w:line="370" w:lineRule="atLeast"/>
        <w:rPr>
          <w:sz w:val="21"/>
        </w:rPr>
        <w:sectPr>
          <w:pgSz w:w="11910" w:h="16840"/>
          <w:pgMar w:header="0" w:footer="377" w:top="1360" w:bottom="560" w:left="1460" w:right="6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7306"/>
      </w:tblGrid>
      <w:tr>
        <w:trPr>
          <w:trHeight w:val="1149" w:hRule="atLeast"/>
        </w:trPr>
        <w:tc>
          <w:tcPr>
            <w:tcW w:w="2320" w:type="dxa"/>
          </w:tcPr>
          <w:p>
            <w:pPr>
              <w:pStyle w:val="TableParagraph"/>
              <w:spacing w:line="192" w:lineRule="exact"/>
              <w:ind w:left="200"/>
              <w:rPr>
                <w:rFonts w:ascii="微软雅黑" w:eastAsia="微软雅黑" w:hint="eastAsia"/>
                <w:b/>
                <w:sz w:val="21"/>
              </w:rPr>
            </w:pPr>
            <w:r>
              <w:rPr>
                <w:rFonts w:ascii="微软雅黑" w:eastAsia="微软雅黑" w:hint="eastAsia"/>
                <w:b/>
                <w:sz w:val="21"/>
              </w:rPr>
              <w:t>18. 严重原发性肺动</w:t>
            </w:r>
          </w:p>
          <w:p>
            <w:pPr>
              <w:pStyle w:val="TableParagraph"/>
              <w:spacing w:line="318" w:lineRule="exact"/>
              <w:ind w:left="200"/>
              <w:rPr>
                <w:rFonts w:ascii="微软雅黑" w:eastAsia="微软雅黑" w:hint="eastAsia"/>
                <w:b/>
                <w:sz w:val="21"/>
              </w:rPr>
            </w:pPr>
            <w:r>
              <w:rPr>
                <w:rFonts w:ascii="微软雅黑" w:eastAsia="微软雅黑" w:hint="eastAsia"/>
                <w:b/>
                <w:sz w:val="21"/>
              </w:rPr>
              <w:t>脉高压</w:t>
            </w:r>
          </w:p>
        </w:tc>
        <w:tc>
          <w:tcPr>
            <w:tcW w:w="7306" w:type="dxa"/>
          </w:tcPr>
          <w:p>
            <w:pPr>
              <w:pStyle w:val="TableParagraph"/>
              <w:spacing w:line="326" w:lineRule="auto"/>
              <w:ind w:right="303"/>
              <w:jc w:val="both"/>
              <w:rPr>
                <w:sz w:val="21"/>
              </w:rPr>
            </w:pPr>
            <w:r>
              <w:rPr>
                <w:spacing w:val="-6"/>
                <w:sz w:val="21"/>
              </w:rPr>
              <w:t>指不明原因的肺动脉压力持续性增高，进行性发展而导致的慢性疾病，已经</w:t>
            </w:r>
            <w:r>
              <w:rPr>
                <w:spacing w:val="-7"/>
                <w:sz w:val="21"/>
              </w:rPr>
              <w:t>造成永久不可逆性的体力活动能力受限，达到美国纽约心脏病学会心功能状</w:t>
            </w:r>
            <w:r>
              <w:rPr>
                <w:spacing w:val="-17"/>
                <w:sz w:val="21"/>
              </w:rPr>
              <w:t>态分级 </w:t>
            </w:r>
            <w:r>
              <w:rPr>
                <w:sz w:val="21"/>
              </w:rPr>
              <w:t>IV</w:t>
            </w:r>
            <w:r>
              <w:rPr>
                <w:spacing w:val="-11"/>
                <w:sz w:val="21"/>
              </w:rPr>
              <w:t> 级，且静息状态下肺动脉平均压超过 </w:t>
            </w:r>
            <w:r>
              <w:rPr>
                <w:sz w:val="21"/>
              </w:rPr>
              <w:t>30mmHg。</w:t>
            </w:r>
          </w:p>
        </w:tc>
      </w:tr>
      <w:tr>
        <w:trPr>
          <w:trHeight w:val="1281" w:hRule="atLeast"/>
        </w:trPr>
        <w:tc>
          <w:tcPr>
            <w:tcW w:w="2320" w:type="dxa"/>
          </w:tcPr>
          <w:p>
            <w:pPr>
              <w:pStyle w:val="TableParagraph"/>
              <w:spacing w:before="6"/>
              <w:ind w:left="200"/>
              <w:rPr>
                <w:rFonts w:ascii="微软雅黑" w:eastAsia="微软雅黑" w:hint="eastAsia"/>
                <w:b/>
                <w:sz w:val="21"/>
              </w:rPr>
            </w:pPr>
            <w:r>
              <w:rPr>
                <w:rFonts w:ascii="微软雅黑" w:eastAsia="微软雅黑" w:hint="eastAsia"/>
                <w:b/>
                <w:sz w:val="21"/>
              </w:rPr>
              <w:t>19.语言能力丧失</w:t>
            </w:r>
          </w:p>
        </w:tc>
        <w:tc>
          <w:tcPr>
            <w:tcW w:w="7306" w:type="dxa"/>
          </w:tcPr>
          <w:p>
            <w:pPr>
              <w:pStyle w:val="TableParagraph"/>
              <w:spacing w:line="326" w:lineRule="auto" w:before="126"/>
              <w:ind w:right="300"/>
              <w:rPr>
                <w:sz w:val="21"/>
              </w:rPr>
            </w:pPr>
            <w:r>
              <w:rPr>
                <w:spacing w:val="-9"/>
                <w:sz w:val="21"/>
              </w:rPr>
              <w:t>指因疾病或意外伤害导致完全丧失语言能力，经过积极治疗至少 </w:t>
            </w:r>
            <w:r>
              <w:rPr>
                <w:spacing w:val="-3"/>
                <w:sz w:val="21"/>
              </w:rPr>
              <w:t>12</w:t>
            </w:r>
            <w:r>
              <w:rPr>
                <w:spacing w:val="-35"/>
                <w:sz w:val="21"/>
              </w:rPr>
              <w:t> 个月</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24"/>
              <w:rPr>
                <w:sz w:val="21"/>
              </w:rPr>
            </w:pPr>
            <w:r>
              <w:rPr>
                <w:sz w:val="21"/>
              </w:rPr>
              <w:t>精神心理因素所致的语言能力丧失不在保障范围内。</w:t>
            </w:r>
          </w:p>
        </w:tc>
      </w:tr>
      <w:tr>
        <w:trPr>
          <w:trHeight w:val="2292" w:hRule="atLeast"/>
        </w:trPr>
        <w:tc>
          <w:tcPr>
            <w:tcW w:w="2320" w:type="dxa"/>
          </w:tcPr>
          <w:p>
            <w:pPr>
              <w:pStyle w:val="TableParagraph"/>
              <w:spacing w:line="180" w:lineRule="auto" w:before="96"/>
              <w:ind w:left="200" w:right="91"/>
              <w:rPr>
                <w:rFonts w:ascii="微软雅黑" w:eastAsia="微软雅黑" w:hint="eastAsia"/>
                <w:b/>
                <w:sz w:val="21"/>
              </w:rPr>
            </w:pPr>
            <w:r>
              <w:rPr>
                <w:rFonts w:ascii="微软雅黑" w:eastAsia="微软雅黑" w:hint="eastAsia"/>
                <w:b/>
                <w:sz w:val="21"/>
              </w:rPr>
              <w:t>20. 重型再生障碍性贫血</w:t>
            </w:r>
          </w:p>
        </w:tc>
        <w:tc>
          <w:tcPr>
            <w:tcW w:w="7306" w:type="dxa"/>
          </w:tcPr>
          <w:p>
            <w:pPr>
              <w:pStyle w:val="TableParagraph"/>
              <w:spacing w:line="326" w:lineRule="auto" w:before="126"/>
              <w:ind w:right="278"/>
              <w:rPr>
                <w:sz w:val="21"/>
              </w:rPr>
            </w:pPr>
            <w:r>
              <w:rPr>
                <w:sz w:val="21"/>
              </w:rPr>
              <w:t>指因骨髓造血功能慢性持续性衰竭导致的贫血、中性粒细胞减少及血小板减少。须满足下列全部条件：</w:t>
            </w:r>
          </w:p>
          <w:p>
            <w:pPr>
              <w:pStyle w:val="TableParagraph"/>
              <w:numPr>
                <w:ilvl w:val="0"/>
                <w:numId w:val="17"/>
              </w:numPr>
              <w:tabs>
                <w:tab w:pos="517" w:val="left" w:leader="none"/>
              </w:tabs>
              <w:spacing w:line="241" w:lineRule="exact" w:before="0" w:after="0"/>
              <w:ind w:left="516" w:right="0" w:hanging="423"/>
              <w:jc w:val="left"/>
              <w:rPr>
                <w:sz w:val="21"/>
              </w:rPr>
            </w:pPr>
            <w:r>
              <w:rPr>
                <w:spacing w:val="-4"/>
                <w:sz w:val="21"/>
              </w:rPr>
              <w:t>骨髓穿刺检查或骨髓活检结果支持诊断；</w:t>
            </w:r>
          </w:p>
          <w:p>
            <w:pPr>
              <w:pStyle w:val="TableParagraph"/>
              <w:numPr>
                <w:ilvl w:val="0"/>
                <w:numId w:val="17"/>
              </w:numPr>
              <w:tabs>
                <w:tab w:pos="517" w:val="left" w:leader="none"/>
              </w:tabs>
              <w:spacing w:line="274" w:lineRule="exact" w:before="0" w:after="0"/>
              <w:ind w:left="516" w:right="0" w:hanging="423"/>
              <w:jc w:val="left"/>
              <w:rPr>
                <w:sz w:val="21"/>
              </w:rPr>
            </w:pPr>
            <w:r>
              <w:rPr>
                <w:spacing w:val="-3"/>
                <w:sz w:val="21"/>
              </w:rPr>
              <w:t>外周血象须具备以下三项条件：</w:t>
            </w:r>
          </w:p>
          <w:p>
            <w:pPr>
              <w:pStyle w:val="TableParagraph"/>
              <w:spacing w:line="271" w:lineRule="exact"/>
              <w:ind w:left="516"/>
              <w:rPr>
                <w:sz w:val="21"/>
              </w:rPr>
            </w:pPr>
            <w:r>
              <w:rPr>
                <w:sz w:val="21"/>
              </w:rPr>
              <w:t>① 中性粒细胞绝对值≤0.5×10</w:t>
            </w:r>
            <w:r>
              <w:rPr>
                <w:position w:val="11"/>
                <w:sz w:val="11"/>
              </w:rPr>
              <w:t>9</w:t>
            </w:r>
            <w:r>
              <w:rPr>
                <w:sz w:val="21"/>
              </w:rPr>
              <w:t>/L；</w:t>
            </w:r>
          </w:p>
          <w:p>
            <w:pPr>
              <w:pStyle w:val="TableParagraph"/>
              <w:spacing w:line="271" w:lineRule="exact"/>
              <w:ind w:left="516"/>
              <w:rPr>
                <w:sz w:val="21"/>
              </w:rPr>
            </w:pPr>
            <w:r>
              <w:rPr>
                <w:sz w:val="21"/>
              </w:rPr>
              <w:t>② 网织红细胞＜1；</w:t>
            </w:r>
          </w:p>
          <w:p>
            <w:pPr>
              <w:pStyle w:val="TableParagraph"/>
              <w:spacing w:line="274" w:lineRule="exact"/>
              <w:ind w:left="516"/>
              <w:rPr>
                <w:sz w:val="21"/>
              </w:rPr>
            </w:pPr>
            <w:r>
              <w:rPr>
                <w:sz w:val="21"/>
              </w:rPr>
              <w:t>③ 血小板绝对值≤20×10</w:t>
            </w:r>
            <w:r>
              <w:rPr>
                <w:position w:val="11"/>
                <w:sz w:val="11"/>
              </w:rPr>
              <w:t>9</w:t>
            </w:r>
            <w:r>
              <w:rPr>
                <w:sz w:val="21"/>
              </w:rPr>
              <w:t>/L。</w:t>
            </w:r>
          </w:p>
        </w:tc>
      </w:tr>
      <w:tr>
        <w:trPr>
          <w:trHeight w:val="1663" w:hRule="atLeast"/>
        </w:trPr>
        <w:tc>
          <w:tcPr>
            <w:tcW w:w="2320" w:type="dxa"/>
          </w:tcPr>
          <w:p>
            <w:pPr>
              <w:pStyle w:val="TableParagraph"/>
              <w:spacing w:line="347" w:lineRule="exact"/>
              <w:ind w:left="200"/>
              <w:rPr>
                <w:rFonts w:ascii="微软雅黑" w:eastAsia="微软雅黑" w:hint="eastAsia"/>
                <w:b/>
                <w:sz w:val="21"/>
              </w:rPr>
            </w:pPr>
            <w:r>
              <w:rPr>
                <w:rFonts w:ascii="微软雅黑" w:eastAsia="微软雅黑" w:hint="eastAsia"/>
                <w:b/>
                <w:w w:val="81"/>
                <w:sz w:val="21"/>
              </w:rPr>
              <w:t>21</w:t>
            </w:r>
            <w:r>
              <w:rPr>
                <w:rFonts w:ascii="微软雅黑" w:eastAsia="微软雅黑" w:hint="eastAsia"/>
                <w:b/>
                <w:w w:val="176"/>
                <w:sz w:val="21"/>
              </w:rPr>
              <w:t>.</w:t>
            </w:r>
            <w:r>
              <w:rPr>
                <w:rFonts w:ascii="微软雅黑" w:eastAsia="微软雅黑" w:hint="eastAsia"/>
                <w:b/>
                <w:w w:val="100"/>
                <w:sz w:val="21"/>
              </w:rPr>
              <w:t>主动脉手术</w:t>
            </w:r>
          </w:p>
        </w:tc>
        <w:tc>
          <w:tcPr>
            <w:tcW w:w="7306" w:type="dxa"/>
          </w:tcPr>
          <w:p>
            <w:pPr>
              <w:pStyle w:val="TableParagraph"/>
              <w:spacing w:line="326" w:lineRule="auto" w:before="104"/>
              <w:ind w:right="302"/>
              <w:jc w:val="both"/>
              <w:rPr>
                <w:sz w:val="21"/>
              </w:rPr>
            </w:pPr>
            <w:r>
              <w:rPr>
                <w:spacing w:val="-7"/>
                <w:sz w:val="21"/>
              </w:rPr>
              <w:t>指为治疗主动脉疾病，实际实施了开胸或开腹进行的切除、臵换、修补病损</w:t>
            </w:r>
            <w:r>
              <w:rPr>
                <w:spacing w:val="-8"/>
                <w:sz w:val="21"/>
              </w:rPr>
              <w:t>主动脉血管的手术。主动脉指胸主动脉和腹主动脉，不包括胸主动脉和腹主</w:t>
            </w:r>
            <w:r>
              <w:rPr>
                <w:spacing w:val="-6"/>
                <w:sz w:val="21"/>
              </w:rPr>
              <w:t>动脉的分支血管。</w:t>
            </w:r>
          </w:p>
          <w:p>
            <w:pPr>
              <w:pStyle w:val="TableParagraph"/>
              <w:spacing w:before="23"/>
              <w:jc w:val="both"/>
              <w:rPr>
                <w:sz w:val="21"/>
              </w:rPr>
            </w:pPr>
            <w:r>
              <w:rPr>
                <w:sz w:val="21"/>
              </w:rPr>
              <w:t>动脉内血管成形术不在保障范围内。</w:t>
            </w:r>
          </w:p>
        </w:tc>
      </w:tr>
      <w:tr>
        <w:trPr>
          <w:trHeight w:val="533" w:hRule="atLeast"/>
        </w:trPr>
        <w:tc>
          <w:tcPr>
            <w:tcW w:w="2320" w:type="dxa"/>
          </w:tcPr>
          <w:p>
            <w:pPr>
              <w:pStyle w:val="TableParagraph"/>
              <w:ind w:left="0"/>
              <w:rPr>
                <w:rFonts w:ascii="Times New Roman"/>
                <w:sz w:val="20"/>
              </w:rPr>
            </w:pPr>
          </w:p>
        </w:tc>
        <w:tc>
          <w:tcPr>
            <w:tcW w:w="7306" w:type="dxa"/>
          </w:tcPr>
          <w:p>
            <w:pPr>
              <w:pStyle w:val="TableParagraph"/>
              <w:spacing w:before="97"/>
              <w:rPr>
                <w:sz w:val="21"/>
              </w:rPr>
            </w:pPr>
            <w:r>
              <w:rPr>
                <w:sz w:val="21"/>
              </w:rPr>
              <w:t>（22-42 为本公司增加的疾病）</w:t>
            </w:r>
          </w:p>
        </w:tc>
      </w:tr>
      <w:tr>
        <w:trPr>
          <w:trHeight w:val="878" w:hRule="atLeast"/>
        </w:trPr>
        <w:tc>
          <w:tcPr>
            <w:tcW w:w="2320" w:type="dxa"/>
          </w:tcPr>
          <w:p>
            <w:pPr>
              <w:pStyle w:val="TableParagraph"/>
              <w:spacing w:before="34"/>
              <w:ind w:left="200"/>
              <w:rPr>
                <w:rFonts w:ascii="微软雅黑" w:eastAsia="微软雅黑" w:hint="eastAsia"/>
                <w:b/>
                <w:sz w:val="21"/>
              </w:rPr>
            </w:pPr>
            <w:r>
              <w:rPr>
                <w:rFonts w:ascii="微软雅黑" w:eastAsia="微软雅黑" w:hint="eastAsia"/>
                <w:b/>
                <w:sz w:val="21"/>
              </w:rPr>
              <w:t>22.植物人</w:t>
            </w:r>
          </w:p>
        </w:tc>
        <w:tc>
          <w:tcPr>
            <w:tcW w:w="7306" w:type="dxa"/>
          </w:tcPr>
          <w:p>
            <w:pPr>
              <w:pStyle w:val="TableParagraph"/>
              <w:spacing w:line="326" w:lineRule="auto" w:before="97"/>
              <w:ind w:right="303"/>
              <w:rPr>
                <w:sz w:val="21"/>
              </w:rPr>
            </w:pPr>
            <w:r>
              <w:rPr>
                <w:spacing w:val="-7"/>
                <w:sz w:val="21"/>
              </w:rPr>
              <w:t>指经本公司认可的神经科医生确诊，大脑皮质全面坏死，意识完全丧失，但</w:t>
            </w:r>
            <w:r>
              <w:rPr>
                <w:spacing w:val="-6"/>
                <w:sz w:val="21"/>
              </w:rPr>
              <w:t>脑干仍保持完好，且此情况维持一个月以上。</w:t>
            </w:r>
          </w:p>
        </w:tc>
      </w:tr>
      <w:tr>
        <w:trPr>
          <w:trHeight w:val="6393" w:hRule="atLeast"/>
        </w:trPr>
        <w:tc>
          <w:tcPr>
            <w:tcW w:w="2320" w:type="dxa"/>
          </w:tcPr>
          <w:p>
            <w:pPr>
              <w:pStyle w:val="TableParagraph"/>
              <w:spacing w:before="5"/>
              <w:ind w:left="200"/>
              <w:rPr>
                <w:rFonts w:ascii="微软雅黑" w:eastAsia="微软雅黑" w:hint="eastAsia"/>
                <w:b/>
                <w:sz w:val="21"/>
              </w:rPr>
            </w:pPr>
            <w:r>
              <w:rPr>
                <w:rFonts w:ascii="微软雅黑" w:eastAsia="微软雅黑" w:hint="eastAsia"/>
                <w:b/>
                <w:w w:val="81"/>
                <w:sz w:val="21"/>
              </w:rPr>
              <w:t>23</w:t>
            </w:r>
            <w:r>
              <w:rPr>
                <w:rFonts w:ascii="微软雅黑" w:eastAsia="微软雅黑" w:hint="eastAsia"/>
                <w:b/>
                <w:w w:val="176"/>
                <w:sz w:val="21"/>
              </w:rPr>
              <w:t>.</w:t>
            </w:r>
            <w:r>
              <w:rPr>
                <w:rFonts w:ascii="微软雅黑" w:eastAsia="微软雅黑" w:hint="eastAsia"/>
                <w:b/>
                <w:w w:val="100"/>
                <w:sz w:val="21"/>
              </w:rPr>
              <w:t>系统性红斑狼疮</w:t>
            </w:r>
          </w:p>
        </w:tc>
        <w:tc>
          <w:tcPr>
            <w:tcW w:w="7306" w:type="dxa"/>
          </w:tcPr>
          <w:p>
            <w:pPr>
              <w:pStyle w:val="TableParagraph"/>
              <w:spacing w:line="326" w:lineRule="auto" w:before="126"/>
              <w:ind w:right="197"/>
              <w:rPr>
                <w:sz w:val="21"/>
              </w:rPr>
            </w:pPr>
            <w:r>
              <w:rPr>
                <w:spacing w:val="-12"/>
                <w:sz w:val="21"/>
              </w:rPr>
              <w:t>是由多种因素引起，累及多系统和脏器的自身免疫性疾病，以青年女性多见。</w:t>
            </w:r>
            <w:r>
              <w:rPr>
                <w:spacing w:val="-10"/>
                <w:sz w:val="21"/>
              </w:rPr>
              <w:t>其特点是生成自身抗体对抗多种自身抗原。本附加险合同所指的系统性红斑狼疮仅限于累及肾脏(经肾脏活检确认的，并符合下列 </w:t>
            </w:r>
            <w:r>
              <w:rPr>
                <w:sz w:val="21"/>
              </w:rPr>
              <w:t>2003</w:t>
            </w:r>
            <w:r>
              <w:rPr>
                <w:spacing w:val="-9"/>
                <w:sz w:val="21"/>
              </w:rPr>
              <w:t> 年国际肾脏病学</w:t>
            </w:r>
            <w:r>
              <w:rPr>
                <w:spacing w:val="-7"/>
                <w:sz w:val="21"/>
              </w:rPr>
              <w:t>会和肾脏病理学会修订分类标准定义Ⅲ型至Ⅵ型狼疮性肾炎)的系统性红斑 </w:t>
            </w:r>
            <w:r>
              <w:rPr>
                <w:spacing w:val="-6"/>
                <w:sz w:val="21"/>
              </w:rPr>
              <w:t>狼疮，临床主要表现为蛋白尿、血尿,伴或不伴肾功能异常。其他类型的红 斑性狼疮</w:t>
            </w:r>
            <w:r>
              <w:rPr>
                <w:spacing w:val="-5"/>
                <w:sz w:val="21"/>
              </w:rPr>
              <w:t>（如盘状红斑狼疮、亚急性皮肤型红斑狼疮等</w:t>
            </w:r>
            <w:r>
              <w:rPr>
                <w:spacing w:val="-106"/>
                <w:sz w:val="21"/>
              </w:rPr>
              <w:t>）</w:t>
            </w:r>
            <w:r>
              <w:rPr>
                <w:spacing w:val="-2"/>
                <w:sz w:val="21"/>
              </w:rPr>
              <w:t>、仅累及血液及关 </w:t>
            </w:r>
            <w:r>
              <w:rPr>
                <w:spacing w:val="-6"/>
                <w:sz w:val="21"/>
              </w:rPr>
              <w:t>节等其他系统的系统性红斑狼疮不属于本合同所说的系统性红斑狼疮。本病</w:t>
            </w:r>
            <w:r>
              <w:rPr>
                <w:spacing w:val="-5"/>
                <w:sz w:val="21"/>
              </w:rPr>
              <w:t>的诊断必须由本公司认可的免疫科、风湿科或肾内科主任级医师作出。</w:t>
            </w:r>
          </w:p>
          <w:p>
            <w:pPr>
              <w:pStyle w:val="TableParagraph"/>
              <w:spacing w:before="24"/>
              <w:rPr>
                <w:sz w:val="21"/>
              </w:rPr>
            </w:pPr>
            <w:r>
              <w:rPr>
                <w:sz w:val="21"/>
              </w:rPr>
              <w:t>2003 年由国际肾脏病学会和肾脏病理学会 (ISN/RPS)修订的狼疮性肾炎</w:t>
            </w:r>
          </w:p>
          <w:p>
            <w:pPr>
              <w:pStyle w:val="TableParagraph"/>
              <w:spacing w:before="99"/>
              <w:rPr>
                <w:sz w:val="21"/>
              </w:rPr>
            </w:pPr>
            <w:r>
              <w:rPr>
                <w:sz w:val="21"/>
              </w:rPr>
              <w:t>(LN)的分类标准：</w:t>
            </w:r>
          </w:p>
          <w:p>
            <w:pPr>
              <w:pStyle w:val="TableParagraph"/>
              <w:spacing w:line="326" w:lineRule="auto" w:before="99"/>
              <w:ind w:right="368"/>
              <w:rPr>
                <w:sz w:val="21"/>
              </w:rPr>
            </w:pPr>
            <w:r>
              <w:rPr>
                <w:sz w:val="21"/>
              </w:rPr>
              <w:t>Ⅰ型为系膜轻微病变性 LN:光镜下表现基本正常,免疫荧光可见系膜区免疫复合物沉积。</w:t>
            </w:r>
          </w:p>
          <w:p>
            <w:pPr>
              <w:pStyle w:val="TableParagraph"/>
              <w:spacing w:line="326" w:lineRule="auto" w:before="24"/>
              <w:ind w:right="368"/>
              <w:rPr>
                <w:sz w:val="21"/>
              </w:rPr>
            </w:pPr>
            <w:r>
              <w:rPr>
                <w:sz w:val="21"/>
              </w:rPr>
              <w:t>Ⅱ型为系膜增生性 LN:光镜下可见系膜细胞增生或系膜基质增多,伴系膜区免疫复合物沉积,免疫荧光或电镜下可见少量孤立的上皮下或内皮下沉积物。</w:t>
            </w:r>
          </w:p>
          <w:p>
            <w:pPr>
              <w:pStyle w:val="TableParagraph"/>
              <w:spacing w:before="27"/>
              <w:rPr>
                <w:sz w:val="21"/>
              </w:rPr>
            </w:pPr>
            <w:r>
              <w:rPr>
                <w:sz w:val="21"/>
              </w:rPr>
              <w:t>Ⅲ型为局灶</w:t>
            </w:r>
            <w:r>
              <w:rPr>
                <w:spacing w:val="-48"/>
                <w:sz w:val="21"/>
              </w:rPr>
              <w:t> </w:t>
            </w:r>
            <w:r>
              <w:rPr>
                <w:sz w:val="21"/>
              </w:rPr>
              <w:t>LN:受累肾</w:t>
            </w:r>
            <w:r>
              <w:rPr>
                <w:spacing w:val="-5"/>
                <w:sz w:val="21"/>
              </w:rPr>
              <w:t>小</w:t>
            </w:r>
            <w:r>
              <w:rPr>
                <w:sz w:val="21"/>
              </w:rPr>
              <w:t>球少于</w:t>
            </w:r>
            <w:r>
              <w:rPr>
                <w:spacing w:val="-5"/>
                <w:sz w:val="21"/>
              </w:rPr>
              <w:t>全</w:t>
            </w:r>
            <w:r>
              <w:rPr>
                <w:sz w:val="21"/>
              </w:rPr>
              <w:t>部肾</w:t>
            </w:r>
            <w:r>
              <w:rPr>
                <w:spacing w:val="-5"/>
                <w:sz w:val="21"/>
              </w:rPr>
              <w:t>小</w:t>
            </w:r>
            <w:r>
              <w:rPr>
                <w:sz w:val="21"/>
              </w:rPr>
              <w:t>球的</w:t>
            </w:r>
            <w:r>
              <w:rPr>
                <w:spacing w:val="-66"/>
                <w:sz w:val="21"/>
              </w:rPr>
              <w:t> </w:t>
            </w:r>
            <w:r>
              <w:rPr>
                <w:spacing w:val="5"/>
                <w:w w:val="100"/>
                <w:sz w:val="21"/>
              </w:rPr>
              <w:drawing>
                <wp:inline distT="0" distB="0" distL="0" distR="0">
                  <wp:extent cx="59721" cy="103727"/>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59721" cy="103727"/>
                          </a:xfrm>
                          <a:prstGeom prst="rect">
                            <a:avLst/>
                          </a:prstGeom>
                        </pic:spPr>
                      </pic:pic>
                    </a:graphicData>
                  </a:graphic>
                </wp:inline>
              </w:drawing>
            </w:r>
            <w:r>
              <w:rPr>
                <w:spacing w:val="5"/>
                <w:w w:val="100"/>
                <w:sz w:val="21"/>
              </w:rPr>
            </w:r>
            <w:r>
              <w:rPr>
                <w:sz w:val="21"/>
              </w:rPr>
              <w:t>,</w:t>
            </w:r>
            <w:r>
              <w:rPr>
                <w:spacing w:val="-5"/>
                <w:sz w:val="21"/>
              </w:rPr>
              <w:t>可</w:t>
            </w:r>
            <w:r>
              <w:rPr>
                <w:sz w:val="21"/>
              </w:rPr>
              <w:t>表现为活</w:t>
            </w:r>
            <w:r>
              <w:rPr>
                <w:spacing w:val="-5"/>
                <w:sz w:val="21"/>
              </w:rPr>
              <w:t>动</w:t>
            </w:r>
            <w:r>
              <w:rPr>
                <w:sz w:val="21"/>
              </w:rPr>
              <w:t>或非活</w:t>
            </w:r>
            <w:r>
              <w:rPr>
                <w:spacing w:val="-5"/>
                <w:sz w:val="21"/>
              </w:rPr>
              <w:t>动</w:t>
            </w:r>
            <w:r>
              <w:rPr>
                <w:sz w:val="21"/>
              </w:rPr>
              <w:t>性</w:t>
            </w:r>
          </w:p>
          <w:p>
            <w:pPr>
              <w:pStyle w:val="TableParagraph"/>
              <w:spacing w:line="255" w:lineRule="exact" w:before="96"/>
              <w:rPr>
                <w:sz w:val="21"/>
              </w:rPr>
            </w:pPr>
            <w:r>
              <w:rPr>
                <w:sz w:val="21"/>
              </w:rPr>
              <w:t>病变,局灶、节段或球性病变,毛细血管内或毛细血管外增生性病变。其中Ⅲ</w:t>
            </w:r>
          </w:p>
        </w:tc>
      </w:tr>
    </w:tbl>
    <w:p>
      <w:pPr>
        <w:rPr>
          <w:sz w:val="2"/>
          <w:szCs w:val="2"/>
        </w:rPr>
      </w:pPr>
      <w:r>
        <w:rPr/>
        <w:drawing>
          <wp:anchor distT="0" distB="0" distL="0" distR="0" allowOverlap="1" layoutInCell="1" locked="0" behindDoc="1" simplePos="0" relativeHeight="268396919">
            <wp:simplePos x="0" y="0"/>
            <wp:positionH relativeFrom="page">
              <wp:posOffset>3869563</wp:posOffset>
            </wp:positionH>
            <wp:positionV relativeFrom="page">
              <wp:posOffset>3477640</wp:posOffset>
            </wp:positionV>
            <wp:extent cx="59721" cy="10372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7" w:top="1300" w:bottom="560" w:left="1460" w:right="6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5"/>
        <w:gridCol w:w="7429"/>
      </w:tblGrid>
      <w:tr>
        <w:trPr>
          <w:trHeight w:val="6712" w:hRule="atLeast"/>
        </w:trPr>
        <w:tc>
          <w:tcPr>
            <w:tcW w:w="2205" w:type="dxa"/>
          </w:tcPr>
          <w:p>
            <w:pPr>
              <w:pStyle w:val="TableParagraph"/>
              <w:ind w:left="0"/>
              <w:rPr>
                <w:rFonts w:ascii="Times New Roman"/>
                <w:sz w:val="20"/>
              </w:rPr>
            </w:pPr>
          </w:p>
        </w:tc>
        <w:tc>
          <w:tcPr>
            <w:tcW w:w="7429" w:type="dxa"/>
          </w:tcPr>
          <w:p>
            <w:pPr>
              <w:pStyle w:val="TableParagraph"/>
              <w:spacing w:line="211" w:lineRule="exact"/>
              <w:ind w:left="208"/>
              <w:rPr>
                <w:sz w:val="21"/>
              </w:rPr>
            </w:pPr>
            <w:r>
              <w:rPr>
                <w:sz w:val="21"/>
              </w:rPr>
              <w:t>(A) 型为活动性病变,表现为局灶增生型 LN;Ⅲ(A/C) 型为活动性伴慢性病</w:t>
            </w:r>
          </w:p>
          <w:p>
            <w:pPr>
              <w:pStyle w:val="TableParagraph"/>
              <w:spacing w:line="326" w:lineRule="auto" w:before="99"/>
              <w:ind w:left="208" w:right="385"/>
              <w:rPr>
                <w:sz w:val="21"/>
              </w:rPr>
            </w:pPr>
            <w:r>
              <w:rPr>
                <w:sz w:val="21"/>
              </w:rPr>
              <w:t>变,表现为局灶增生硬化性肾炎;Ⅲ(C) 型为慢性病变,表现为局灶硬化性肾炎。</w:t>
            </w:r>
          </w:p>
          <w:p>
            <w:pPr>
              <w:pStyle w:val="TableParagraph"/>
              <w:spacing w:line="326" w:lineRule="auto" w:before="27"/>
              <w:ind w:left="208" w:right="304"/>
              <w:rPr>
                <w:sz w:val="21"/>
              </w:rPr>
            </w:pPr>
            <w:r>
              <w:rPr>
                <w:sz w:val="21"/>
              </w:rPr>
              <w:t>Ⅳ型为弥</w:t>
            </w:r>
            <w:r>
              <w:rPr>
                <w:spacing w:val="-5"/>
                <w:sz w:val="21"/>
              </w:rPr>
              <w:t>漫</w:t>
            </w:r>
            <w:r>
              <w:rPr>
                <w:sz w:val="21"/>
              </w:rPr>
              <w:t>性</w:t>
            </w:r>
            <w:r>
              <w:rPr>
                <w:spacing w:val="-40"/>
                <w:sz w:val="21"/>
              </w:rPr>
              <w:t> </w:t>
            </w:r>
            <w:r>
              <w:rPr>
                <w:sz w:val="21"/>
              </w:rPr>
              <w:t>LN:</w:t>
            </w:r>
            <w:r>
              <w:rPr>
                <w:spacing w:val="-5"/>
                <w:sz w:val="21"/>
              </w:rPr>
              <w:t>受</w:t>
            </w:r>
            <w:r>
              <w:rPr>
                <w:sz w:val="21"/>
              </w:rPr>
              <w:t>累肾小</w:t>
            </w:r>
            <w:r>
              <w:rPr>
                <w:spacing w:val="-5"/>
                <w:sz w:val="21"/>
              </w:rPr>
              <w:t>球</w:t>
            </w:r>
            <w:r>
              <w:rPr>
                <w:sz w:val="21"/>
              </w:rPr>
              <w:t>占全部</w:t>
            </w:r>
            <w:r>
              <w:rPr>
                <w:spacing w:val="-5"/>
                <w:sz w:val="21"/>
              </w:rPr>
              <w:t>肾</w:t>
            </w:r>
            <w:r>
              <w:rPr>
                <w:sz w:val="21"/>
              </w:rPr>
              <w:t>小球的</w:t>
            </w:r>
            <w:r>
              <w:rPr>
                <w:spacing w:val="-40"/>
                <w:sz w:val="21"/>
              </w:rPr>
              <w:t> </w:t>
            </w:r>
            <w:r>
              <w:rPr>
                <w:sz w:val="21"/>
              </w:rPr>
              <w:t>50 </w:t>
            </w:r>
            <w:r>
              <w:rPr>
                <w:spacing w:val="0"/>
                <w:sz w:val="21"/>
              </w:rPr>
              <w:drawing>
                <wp:inline distT="0" distB="0" distL="0" distR="0">
                  <wp:extent cx="59721" cy="103727"/>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59721" cy="103727"/>
                          </a:xfrm>
                          <a:prstGeom prst="rect">
                            <a:avLst/>
                          </a:prstGeom>
                        </pic:spPr>
                      </pic:pic>
                    </a:graphicData>
                  </a:graphic>
                </wp:inline>
              </w:drawing>
            </w:r>
            <w:r>
              <w:rPr>
                <w:spacing w:val="0"/>
                <w:sz w:val="21"/>
              </w:rPr>
            </w:r>
            <w:r>
              <w:rPr>
                <w:spacing w:val="-5"/>
                <w:sz w:val="21"/>
              </w:rPr>
              <w:t>以</w:t>
            </w:r>
            <w:r>
              <w:rPr>
                <w:sz w:val="21"/>
              </w:rPr>
              <w:t>上,典型病</w:t>
            </w:r>
            <w:r>
              <w:rPr>
                <w:spacing w:val="-5"/>
                <w:sz w:val="21"/>
              </w:rPr>
              <w:t>例</w:t>
            </w:r>
            <w:r>
              <w:rPr>
                <w:sz w:val="21"/>
              </w:rPr>
              <w:t>常有弥漫</w:t>
            </w:r>
            <w:r>
              <w:rPr>
                <w:spacing w:val="-5"/>
                <w:sz w:val="21"/>
              </w:rPr>
              <w:t>性内皮下免疫复合物沉积,伴或不伴系膜病变。 根据肾小球的病变分为弥漫</w:t>
            </w:r>
            <w:r>
              <w:rPr>
                <w:spacing w:val="-16"/>
                <w:sz w:val="21"/>
              </w:rPr>
              <w:t>节段型 </w:t>
            </w:r>
            <w:r>
              <w:rPr>
                <w:sz w:val="21"/>
              </w:rPr>
              <w:t>LN(</w:t>
            </w:r>
            <w:r>
              <w:rPr>
                <w:spacing w:val="-8"/>
                <w:sz w:val="21"/>
              </w:rPr>
              <w:t>受累肾小球表现为节段性病变)和弥漫性球型 </w:t>
            </w:r>
            <w:r>
              <w:rPr>
                <w:sz w:val="21"/>
              </w:rPr>
              <w:t>LN(</w:t>
            </w:r>
            <w:r>
              <w:rPr>
                <w:spacing w:val="-2"/>
                <w:sz w:val="21"/>
              </w:rPr>
              <w:t>受累肾小球表现</w:t>
            </w:r>
            <w:r>
              <w:rPr>
                <w:spacing w:val="-13"/>
                <w:sz w:val="21"/>
              </w:rPr>
              <w:t>为球性病变)。Ⅳ</w:t>
            </w:r>
            <w:r>
              <w:rPr>
                <w:sz w:val="21"/>
              </w:rPr>
              <w:t>S(A)</w:t>
            </w:r>
            <w:r>
              <w:rPr>
                <w:spacing w:val="-6"/>
                <w:sz w:val="21"/>
              </w:rPr>
              <w:t> 为活动性节段增生性 </w:t>
            </w:r>
            <w:r>
              <w:rPr>
                <w:sz w:val="21"/>
              </w:rPr>
              <w:t>LN,ⅣG(A)</w:t>
            </w:r>
            <w:r>
              <w:rPr>
                <w:spacing w:val="-1"/>
                <w:sz w:val="21"/>
              </w:rPr>
              <w:t> 为活动性球性增生性</w:t>
            </w:r>
          </w:p>
          <w:p>
            <w:pPr>
              <w:pStyle w:val="TableParagraph"/>
              <w:spacing w:line="326" w:lineRule="auto" w:before="23"/>
              <w:ind w:left="208" w:right="376"/>
              <w:rPr>
                <w:sz w:val="21"/>
              </w:rPr>
            </w:pPr>
            <w:r>
              <w:rPr>
                <w:sz w:val="21"/>
              </w:rPr>
              <w:t>LN,ⅣS(A/C)为活动性伴慢性节段增生硬化性 LN,ⅣG(A/C)为活动性伴慢性球性增生硬化性 LN,ⅣS(C)为慢性节段硬化性 LN,ⅣG(C) 慢性球性硬化性</w:t>
            </w:r>
          </w:p>
          <w:p>
            <w:pPr>
              <w:pStyle w:val="TableParagraph"/>
              <w:spacing w:before="23"/>
              <w:ind w:left="208"/>
              <w:rPr>
                <w:sz w:val="21"/>
              </w:rPr>
            </w:pPr>
            <w:r>
              <w:rPr>
                <w:sz w:val="21"/>
              </w:rPr>
              <w:t>LN。</w:t>
            </w:r>
          </w:p>
          <w:p>
            <w:pPr>
              <w:pStyle w:val="TableParagraph"/>
              <w:spacing w:line="326" w:lineRule="auto" w:before="99"/>
              <w:ind w:left="208" w:right="309"/>
              <w:rPr>
                <w:sz w:val="21"/>
              </w:rPr>
            </w:pPr>
            <w:r>
              <w:rPr>
                <w:spacing w:val="-4"/>
                <w:sz w:val="21"/>
              </w:rPr>
              <w:t>Ⅴ型为膜性 </w:t>
            </w:r>
            <w:r>
              <w:rPr>
                <w:sz w:val="21"/>
              </w:rPr>
              <w:t>LN:</w:t>
            </w:r>
            <w:r>
              <w:rPr>
                <w:spacing w:val="-9"/>
                <w:sz w:val="21"/>
              </w:rPr>
              <w:t>光镜下可见上皮下免疫复合物沉积,伴或不伴系膜病变。免疫</w:t>
            </w:r>
            <w:r>
              <w:rPr>
                <w:spacing w:val="-7"/>
                <w:sz w:val="21"/>
              </w:rPr>
              <w:t>荧光或电镜下可见球性或节段性上皮下连续性免疫复合物沉积,Ⅴ型常与Ⅲ </w:t>
            </w:r>
            <w:r>
              <w:rPr>
                <w:spacing w:val="-6"/>
                <w:sz w:val="21"/>
              </w:rPr>
              <w:t>型或Ⅳ型共同存在。</w:t>
            </w:r>
          </w:p>
          <w:p>
            <w:pPr>
              <w:pStyle w:val="TableParagraph"/>
              <w:spacing w:before="27"/>
              <w:ind w:left="208"/>
              <w:rPr>
                <w:sz w:val="21"/>
              </w:rPr>
            </w:pPr>
            <w:r>
              <w:rPr>
                <w:sz w:val="21"/>
              </w:rPr>
              <w:t>Ⅵ型为进</w:t>
            </w:r>
            <w:r>
              <w:rPr>
                <w:spacing w:val="-5"/>
                <w:sz w:val="21"/>
              </w:rPr>
              <w:t>行</w:t>
            </w:r>
            <w:r>
              <w:rPr>
                <w:sz w:val="21"/>
              </w:rPr>
              <w:t>性硬化性</w:t>
            </w:r>
            <w:r>
              <w:rPr>
                <w:spacing w:val="-43"/>
                <w:sz w:val="21"/>
              </w:rPr>
              <w:t> </w:t>
            </w:r>
            <w:r>
              <w:rPr>
                <w:sz w:val="21"/>
              </w:rPr>
              <w:t>LN:90</w:t>
            </w:r>
            <w:r>
              <w:rPr>
                <w:spacing w:val="5"/>
                <w:sz w:val="21"/>
              </w:rPr>
              <w:t> </w:t>
            </w:r>
            <w:r>
              <w:rPr>
                <w:spacing w:val="5"/>
                <w:sz w:val="21"/>
              </w:rPr>
              <w:drawing>
                <wp:inline distT="0" distB="0" distL="0" distR="0">
                  <wp:extent cx="59721" cy="10372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59721" cy="103727"/>
                          </a:xfrm>
                          <a:prstGeom prst="rect">
                            <a:avLst/>
                          </a:prstGeom>
                        </pic:spPr>
                      </pic:pic>
                    </a:graphicData>
                  </a:graphic>
                </wp:inline>
              </w:drawing>
            </w:r>
            <w:r>
              <w:rPr>
                <w:spacing w:val="5"/>
                <w:sz w:val="21"/>
              </w:rPr>
            </w:r>
            <w:r>
              <w:rPr>
                <w:sz w:val="21"/>
              </w:rPr>
              <w:t>以上的</w:t>
            </w:r>
            <w:r>
              <w:rPr>
                <w:spacing w:val="-5"/>
                <w:sz w:val="21"/>
              </w:rPr>
              <w:t>肾</w:t>
            </w:r>
            <w:r>
              <w:rPr>
                <w:sz w:val="21"/>
              </w:rPr>
              <w:t>小球呈</w:t>
            </w:r>
            <w:r>
              <w:rPr>
                <w:spacing w:val="-5"/>
                <w:sz w:val="21"/>
              </w:rPr>
              <w:t>球</w:t>
            </w:r>
            <w:r>
              <w:rPr>
                <w:sz w:val="21"/>
              </w:rPr>
              <w:t>性</w:t>
            </w:r>
            <w:r>
              <w:rPr>
                <w:spacing w:val="-5"/>
                <w:sz w:val="21"/>
              </w:rPr>
              <w:t>硬</w:t>
            </w:r>
            <w:r>
              <w:rPr>
                <w:sz w:val="21"/>
              </w:rPr>
              <w:t>化。</w:t>
            </w:r>
          </w:p>
          <w:p>
            <w:pPr>
              <w:pStyle w:val="TableParagraph"/>
              <w:spacing w:line="326" w:lineRule="auto" w:before="95"/>
              <w:ind w:left="208" w:right="491"/>
              <w:rPr>
                <w:sz w:val="21"/>
              </w:rPr>
            </w:pPr>
            <w:r>
              <w:rPr>
                <w:sz w:val="21"/>
              </w:rPr>
              <w:t>活动性病变是指下列情形:毛细血管内细胞增生,核碎裂,纤维素样坏死,肾小球基底膜破坏,细胞性或纤维细胞性新月体形成、白金耳等。</w:t>
            </w:r>
          </w:p>
          <w:p>
            <w:pPr>
              <w:pStyle w:val="TableParagraph"/>
              <w:spacing w:line="326" w:lineRule="auto" w:before="23"/>
              <w:ind w:left="208" w:right="287"/>
              <w:rPr>
                <w:sz w:val="21"/>
              </w:rPr>
            </w:pPr>
            <w:r>
              <w:rPr>
                <w:sz w:val="21"/>
              </w:rPr>
              <w:t>慢性病变是指存在节段性或全球性肾小球硬化、纤维性粘连、纤维性新月体形成。</w:t>
            </w:r>
          </w:p>
        </w:tc>
      </w:tr>
      <w:tr>
        <w:trPr>
          <w:trHeight w:val="1337" w:hRule="atLeast"/>
        </w:trPr>
        <w:tc>
          <w:tcPr>
            <w:tcW w:w="2205" w:type="dxa"/>
          </w:tcPr>
          <w:p>
            <w:pPr>
              <w:pStyle w:val="TableParagraph"/>
              <w:spacing w:line="247" w:lineRule="auto" w:before="61"/>
              <w:ind w:left="200" w:right="207"/>
              <w:rPr>
                <w:rFonts w:ascii="微软雅黑" w:eastAsia="微软雅黑" w:hint="eastAsia"/>
                <w:b/>
                <w:sz w:val="21"/>
              </w:rPr>
            </w:pPr>
            <w:r>
              <w:rPr>
                <w:rFonts w:ascii="微软雅黑" w:eastAsia="微软雅黑" w:hint="eastAsia"/>
                <w:b/>
                <w:w w:val="81"/>
                <w:sz w:val="21"/>
              </w:rPr>
              <w:t>24</w:t>
            </w:r>
            <w:r>
              <w:rPr>
                <w:rFonts w:ascii="微软雅黑" w:eastAsia="微软雅黑" w:hint="eastAsia"/>
                <w:b/>
                <w:w w:val="176"/>
                <w:sz w:val="21"/>
              </w:rPr>
              <w:t>.</w:t>
            </w:r>
            <w:r>
              <w:rPr>
                <w:rFonts w:ascii="微软雅黑" w:eastAsia="微软雅黑" w:hint="eastAsia"/>
                <w:b/>
                <w:w w:val="100"/>
                <w:sz w:val="21"/>
              </w:rPr>
              <w:t>急性坏死性胰腺</w:t>
            </w:r>
            <w:r>
              <w:rPr>
                <w:rFonts w:ascii="微软雅黑" w:eastAsia="微软雅黑" w:hint="eastAsia"/>
                <w:b/>
                <w:sz w:val="21"/>
              </w:rPr>
              <w:t>炎</w:t>
            </w:r>
          </w:p>
        </w:tc>
        <w:tc>
          <w:tcPr>
            <w:tcW w:w="7429" w:type="dxa"/>
          </w:tcPr>
          <w:p>
            <w:pPr>
              <w:pStyle w:val="TableParagraph"/>
              <w:spacing w:line="355" w:lineRule="auto" w:before="71"/>
              <w:ind w:left="208" w:right="311"/>
              <w:jc w:val="both"/>
              <w:rPr>
                <w:sz w:val="21"/>
              </w:rPr>
            </w:pPr>
            <w:r>
              <w:rPr>
                <w:spacing w:val="-6"/>
                <w:sz w:val="21"/>
              </w:rPr>
              <w:t>是指由本公司认可的专科医师确诊为急性坏死性胰腺炎，需进行坏死组织清除、病灶切除或胰腺部分切除的手术治疗，但不包括因酒精中毒引起的急性</w:t>
            </w:r>
            <w:r>
              <w:rPr>
                <w:spacing w:val="-5"/>
                <w:sz w:val="21"/>
              </w:rPr>
              <w:t>坏死性胰腺炎。</w:t>
            </w:r>
          </w:p>
        </w:tc>
      </w:tr>
      <w:tr>
        <w:trPr>
          <w:trHeight w:val="2319" w:hRule="atLeast"/>
        </w:trPr>
        <w:tc>
          <w:tcPr>
            <w:tcW w:w="2205" w:type="dxa"/>
          </w:tcPr>
          <w:p>
            <w:pPr>
              <w:pStyle w:val="TableParagraph"/>
              <w:spacing w:before="49"/>
              <w:ind w:left="200"/>
              <w:rPr>
                <w:rFonts w:ascii="微软雅黑" w:eastAsia="微软雅黑" w:hint="eastAsia"/>
                <w:b/>
                <w:sz w:val="21"/>
              </w:rPr>
            </w:pPr>
            <w:r>
              <w:rPr>
                <w:rFonts w:ascii="微软雅黑" w:eastAsia="微软雅黑" w:hint="eastAsia"/>
                <w:b/>
                <w:sz w:val="21"/>
              </w:rPr>
              <w:t>25.肌营养不良症</w:t>
            </w:r>
          </w:p>
        </w:tc>
        <w:tc>
          <w:tcPr>
            <w:tcW w:w="7429" w:type="dxa"/>
          </w:tcPr>
          <w:p>
            <w:pPr>
              <w:pStyle w:val="TableParagraph"/>
              <w:spacing w:line="280" w:lineRule="auto" w:before="116"/>
              <w:ind w:left="208" w:right="287"/>
              <w:rPr>
                <w:sz w:val="21"/>
              </w:rPr>
            </w:pPr>
            <w:r>
              <w:rPr>
                <w:spacing w:val="-7"/>
                <w:sz w:val="21"/>
              </w:rPr>
              <w:t>是指一组原发于肌肉的遗传性疾病。主要临床特征为受累骨骼肌肉的无力和</w:t>
            </w:r>
            <w:r>
              <w:rPr>
                <w:spacing w:val="-6"/>
                <w:sz w:val="21"/>
              </w:rPr>
              <w:t>萎缩。经本公司认可的神经专科医生确认符合以下四项诊断指标中的三项：</w:t>
            </w:r>
          </w:p>
          <w:p>
            <w:pPr>
              <w:pStyle w:val="TableParagraph"/>
              <w:numPr>
                <w:ilvl w:val="0"/>
                <w:numId w:val="18"/>
              </w:numPr>
              <w:tabs>
                <w:tab w:pos="632" w:val="left" w:leader="none"/>
              </w:tabs>
              <w:spacing w:line="240" w:lineRule="auto" w:before="179" w:after="0"/>
              <w:ind w:left="631" w:right="0" w:hanging="423"/>
              <w:jc w:val="left"/>
              <w:rPr>
                <w:sz w:val="21"/>
              </w:rPr>
            </w:pPr>
            <w:r>
              <w:rPr>
                <w:spacing w:val="-3"/>
                <w:sz w:val="21"/>
              </w:rPr>
              <w:t>家族史中有其他成员患相同疾病；</w:t>
            </w:r>
          </w:p>
          <w:p>
            <w:pPr>
              <w:pStyle w:val="TableParagraph"/>
              <w:numPr>
                <w:ilvl w:val="0"/>
                <w:numId w:val="18"/>
              </w:numPr>
              <w:tabs>
                <w:tab w:pos="632" w:val="left" w:leader="none"/>
              </w:tabs>
              <w:spacing w:line="240" w:lineRule="auto" w:before="51" w:after="0"/>
              <w:ind w:left="631" w:right="0" w:hanging="423"/>
              <w:jc w:val="left"/>
              <w:rPr>
                <w:sz w:val="21"/>
              </w:rPr>
            </w:pPr>
            <w:r>
              <w:rPr>
                <w:spacing w:val="-5"/>
                <w:sz w:val="21"/>
              </w:rPr>
              <w:t>临床表现包括：无感觉神经紊乱，正常脑脊液及轻微腱反射的减退；</w:t>
            </w:r>
          </w:p>
          <w:p>
            <w:pPr>
              <w:pStyle w:val="TableParagraph"/>
              <w:numPr>
                <w:ilvl w:val="0"/>
                <w:numId w:val="18"/>
              </w:numPr>
              <w:tabs>
                <w:tab w:pos="632" w:val="left" w:leader="none"/>
              </w:tabs>
              <w:spacing w:line="240" w:lineRule="auto" w:before="51" w:after="0"/>
              <w:ind w:left="631" w:right="0" w:hanging="423"/>
              <w:jc w:val="left"/>
              <w:rPr>
                <w:sz w:val="21"/>
              </w:rPr>
            </w:pPr>
            <w:r>
              <w:rPr>
                <w:spacing w:val="-1"/>
                <w:sz w:val="21"/>
              </w:rPr>
              <w:t>典型的肌电图；</w:t>
            </w:r>
          </w:p>
          <w:p>
            <w:pPr>
              <w:pStyle w:val="TableParagraph"/>
              <w:numPr>
                <w:ilvl w:val="0"/>
                <w:numId w:val="18"/>
              </w:numPr>
              <w:tabs>
                <w:tab w:pos="632" w:val="left" w:leader="none"/>
              </w:tabs>
              <w:spacing w:line="240" w:lineRule="auto" w:before="52" w:after="0"/>
              <w:ind w:left="631" w:right="0" w:hanging="423"/>
              <w:jc w:val="left"/>
              <w:rPr>
                <w:sz w:val="21"/>
              </w:rPr>
            </w:pPr>
            <w:r>
              <w:rPr>
                <w:spacing w:val="-4"/>
                <w:sz w:val="21"/>
              </w:rPr>
              <w:t>临床推测必须有肌肉或组织检查加以证实。</w:t>
            </w:r>
          </w:p>
        </w:tc>
      </w:tr>
      <w:tr>
        <w:trPr>
          <w:trHeight w:val="3012" w:hRule="atLeast"/>
        </w:trPr>
        <w:tc>
          <w:tcPr>
            <w:tcW w:w="2205" w:type="dxa"/>
          </w:tcPr>
          <w:p>
            <w:pPr>
              <w:pStyle w:val="TableParagraph"/>
              <w:spacing w:before="10"/>
              <w:ind w:left="200"/>
              <w:rPr>
                <w:rFonts w:ascii="微软雅黑" w:eastAsia="微软雅黑" w:hint="eastAsia"/>
                <w:b/>
                <w:sz w:val="21"/>
              </w:rPr>
            </w:pPr>
            <w:r>
              <w:rPr>
                <w:rFonts w:ascii="微软雅黑" w:eastAsia="微软雅黑" w:hint="eastAsia"/>
                <w:b/>
                <w:w w:val="81"/>
                <w:sz w:val="21"/>
              </w:rPr>
              <w:t>26</w:t>
            </w:r>
            <w:r>
              <w:rPr>
                <w:rFonts w:ascii="微软雅黑" w:eastAsia="微软雅黑" w:hint="eastAsia"/>
                <w:b/>
                <w:w w:val="176"/>
                <w:sz w:val="21"/>
              </w:rPr>
              <w:t>.</w:t>
            </w:r>
            <w:r>
              <w:rPr>
                <w:rFonts w:ascii="微软雅黑" w:eastAsia="微软雅黑" w:hint="eastAsia"/>
                <w:b/>
                <w:w w:val="100"/>
                <w:sz w:val="21"/>
              </w:rPr>
              <w:t>多发性硬化症</w:t>
            </w:r>
          </w:p>
        </w:tc>
        <w:tc>
          <w:tcPr>
            <w:tcW w:w="7429" w:type="dxa"/>
          </w:tcPr>
          <w:p>
            <w:pPr>
              <w:pStyle w:val="TableParagraph"/>
              <w:spacing w:line="326" w:lineRule="auto" w:before="130"/>
              <w:ind w:left="208" w:right="198"/>
              <w:rPr>
                <w:sz w:val="21"/>
              </w:rPr>
            </w:pPr>
            <w:r>
              <w:rPr>
                <w:spacing w:val="-6"/>
                <w:sz w:val="21"/>
              </w:rPr>
              <w:t>是指一种中枢神经系统脱髓鞘疾病，造成身体部位不可逆的功能障碍。临床</w:t>
            </w:r>
            <w:r>
              <w:rPr>
                <w:spacing w:val="-7"/>
                <w:sz w:val="21"/>
              </w:rPr>
              <w:t>表现为视力受损、截瘫、平衡失调、构音障碍、大小便机能失调等症状，须</w:t>
            </w:r>
            <w:r>
              <w:rPr>
                <w:spacing w:val="-10"/>
                <w:sz w:val="21"/>
              </w:rPr>
              <w:t>经本公司认可的神经专科医师确诊，并有 </w:t>
            </w:r>
            <w:r>
              <w:rPr>
                <w:sz w:val="21"/>
              </w:rPr>
              <w:t>CT</w:t>
            </w:r>
            <w:r>
              <w:rPr>
                <w:spacing w:val="-7"/>
                <w:sz w:val="21"/>
              </w:rPr>
              <w:t> 或核磁共振检查结果诊断报告。</w:t>
            </w:r>
            <w:r>
              <w:rPr>
                <w:spacing w:val="-6"/>
                <w:sz w:val="21"/>
              </w:rPr>
              <w:t>所谓身体部位不可逆的功能障碍指初次诊断为功能障碍后需持续一百八十  </w:t>
            </w:r>
            <w:r>
              <w:rPr>
                <w:spacing w:val="-5"/>
                <w:sz w:val="21"/>
              </w:rPr>
              <w:t>日以上。其诊断必须包含以下全部内容：</w:t>
            </w:r>
          </w:p>
          <w:p>
            <w:pPr>
              <w:pStyle w:val="TableParagraph"/>
              <w:numPr>
                <w:ilvl w:val="0"/>
                <w:numId w:val="19"/>
              </w:numPr>
              <w:tabs>
                <w:tab w:pos="632" w:val="left" w:leader="none"/>
              </w:tabs>
              <w:spacing w:line="246" w:lineRule="exact" w:before="0" w:after="0"/>
              <w:ind w:left="631" w:right="0" w:hanging="423"/>
              <w:jc w:val="left"/>
              <w:rPr>
                <w:sz w:val="21"/>
              </w:rPr>
            </w:pPr>
            <w:r>
              <w:rPr>
                <w:spacing w:val="-5"/>
                <w:sz w:val="21"/>
              </w:rPr>
              <w:t>由于视神经、脑干和脊髓损伤而导致的临床表现；</w:t>
            </w:r>
          </w:p>
          <w:p>
            <w:pPr>
              <w:pStyle w:val="TableParagraph"/>
              <w:numPr>
                <w:ilvl w:val="0"/>
                <w:numId w:val="19"/>
              </w:numPr>
              <w:tabs>
                <w:tab w:pos="632" w:val="left" w:leader="none"/>
              </w:tabs>
              <w:spacing w:line="240" w:lineRule="auto" w:before="52" w:after="0"/>
              <w:ind w:left="631" w:right="0" w:hanging="423"/>
              <w:jc w:val="left"/>
              <w:rPr>
                <w:sz w:val="21"/>
              </w:rPr>
            </w:pPr>
            <w:r>
              <w:rPr>
                <w:spacing w:val="-2"/>
                <w:sz w:val="21"/>
              </w:rPr>
              <w:t>散在的身体损害的多样性；</w:t>
            </w:r>
          </w:p>
          <w:p>
            <w:pPr>
              <w:pStyle w:val="TableParagraph"/>
              <w:numPr>
                <w:ilvl w:val="0"/>
                <w:numId w:val="19"/>
              </w:numPr>
              <w:tabs>
                <w:tab w:pos="632" w:val="left" w:leader="none"/>
              </w:tabs>
              <w:spacing w:line="240" w:lineRule="auto" w:before="51" w:after="0"/>
              <w:ind w:left="631" w:right="0" w:hanging="423"/>
              <w:jc w:val="left"/>
              <w:rPr>
                <w:sz w:val="21"/>
              </w:rPr>
            </w:pPr>
            <w:r>
              <w:rPr>
                <w:spacing w:val="-5"/>
                <w:sz w:val="21"/>
              </w:rPr>
              <w:t>上述症状反复发作、恶化及神经损伤的病史记录。</w:t>
            </w:r>
          </w:p>
        </w:tc>
      </w:tr>
      <w:tr>
        <w:trPr>
          <w:trHeight w:val="778" w:hRule="atLeast"/>
        </w:trPr>
        <w:tc>
          <w:tcPr>
            <w:tcW w:w="2205" w:type="dxa"/>
          </w:tcPr>
          <w:p>
            <w:pPr>
              <w:pStyle w:val="TableParagraph"/>
              <w:spacing w:before="8"/>
              <w:ind w:left="200"/>
              <w:rPr>
                <w:rFonts w:ascii="微软雅黑" w:eastAsia="微软雅黑" w:hint="eastAsia"/>
                <w:b/>
                <w:sz w:val="21"/>
              </w:rPr>
            </w:pPr>
            <w:r>
              <w:rPr>
                <w:rFonts w:ascii="微软雅黑" w:eastAsia="微软雅黑" w:hint="eastAsia"/>
                <w:b/>
                <w:w w:val="81"/>
                <w:sz w:val="21"/>
              </w:rPr>
              <w:t>27</w:t>
            </w:r>
            <w:r>
              <w:rPr>
                <w:rFonts w:ascii="微软雅黑" w:eastAsia="微软雅黑" w:hint="eastAsia"/>
                <w:b/>
                <w:w w:val="176"/>
                <w:sz w:val="21"/>
              </w:rPr>
              <w:t>.</w:t>
            </w:r>
            <w:r>
              <w:rPr>
                <w:rFonts w:ascii="微软雅黑" w:eastAsia="微软雅黑" w:hint="eastAsia"/>
                <w:b/>
                <w:w w:val="100"/>
                <w:sz w:val="21"/>
              </w:rPr>
              <w:t>重症肌无力</w:t>
            </w:r>
          </w:p>
        </w:tc>
        <w:tc>
          <w:tcPr>
            <w:tcW w:w="7429" w:type="dxa"/>
          </w:tcPr>
          <w:p>
            <w:pPr>
              <w:pStyle w:val="TableParagraph"/>
              <w:spacing w:line="370" w:lineRule="atLeast" w:before="33"/>
              <w:ind w:left="208" w:right="287"/>
              <w:rPr>
                <w:sz w:val="21"/>
              </w:rPr>
            </w:pPr>
            <w:r>
              <w:rPr>
                <w:sz w:val="21"/>
              </w:rPr>
              <w:t>是指一种神经与肌肉接头部位传递障碍的自身免疫性疾病，临床特征是局部或全身横纹肌于活动时易于疲劳无力，颅神经眼外肌最易累及，也可涉及呼</w:t>
            </w:r>
          </w:p>
        </w:tc>
      </w:tr>
    </w:tbl>
    <w:p>
      <w:pPr>
        <w:spacing w:after="0" w:line="370" w:lineRule="atLeast"/>
        <w:rPr>
          <w:sz w:val="21"/>
        </w:rPr>
        <w:sectPr>
          <w:pgSz w:w="11910" w:h="16840"/>
          <w:pgMar w:header="0" w:footer="377" w:top="1360" w:bottom="560" w:left="1460" w:right="6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7229"/>
      </w:tblGrid>
      <w:tr>
        <w:trPr>
          <w:trHeight w:val="2674" w:hRule="atLeast"/>
        </w:trPr>
        <w:tc>
          <w:tcPr>
            <w:tcW w:w="2320" w:type="dxa"/>
          </w:tcPr>
          <w:p>
            <w:pPr>
              <w:pStyle w:val="TableParagraph"/>
              <w:ind w:left="0"/>
              <w:rPr>
                <w:rFonts w:ascii="Times New Roman"/>
                <w:sz w:val="20"/>
              </w:rPr>
            </w:pPr>
          </w:p>
        </w:tc>
        <w:tc>
          <w:tcPr>
            <w:tcW w:w="7229" w:type="dxa"/>
          </w:tcPr>
          <w:p>
            <w:pPr>
              <w:pStyle w:val="TableParagraph"/>
              <w:spacing w:line="211" w:lineRule="exact"/>
              <w:rPr>
                <w:sz w:val="21"/>
              </w:rPr>
            </w:pPr>
            <w:r>
              <w:rPr>
                <w:sz w:val="21"/>
              </w:rPr>
              <w:t>吸肌、下肢近端肌群以至全身肌肉，须经本公司认可的神经科医师确诊。其</w:t>
            </w:r>
          </w:p>
          <w:p>
            <w:pPr>
              <w:pStyle w:val="TableParagraph"/>
              <w:spacing w:before="99"/>
              <w:rPr>
                <w:sz w:val="21"/>
              </w:rPr>
            </w:pPr>
            <w:r>
              <w:rPr>
                <w:sz w:val="21"/>
              </w:rPr>
              <w:t>诊断必须同时具有下列情况：</w:t>
            </w:r>
          </w:p>
          <w:p>
            <w:pPr>
              <w:pStyle w:val="TableParagraph"/>
              <w:numPr>
                <w:ilvl w:val="0"/>
                <w:numId w:val="20"/>
              </w:numPr>
              <w:tabs>
                <w:tab w:pos="517" w:val="left" w:leader="none"/>
              </w:tabs>
              <w:spacing w:line="240" w:lineRule="auto" w:before="46" w:after="0"/>
              <w:ind w:left="516" w:right="0" w:hanging="423"/>
              <w:jc w:val="left"/>
              <w:rPr>
                <w:sz w:val="21"/>
              </w:rPr>
            </w:pPr>
            <w:r>
              <w:rPr>
                <w:spacing w:val="-5"/>
                <w:sz w:val="21"/>
              </w:rPr>
              <w:t>经药物、胸腺手术治疗一年以上无法控制病情，丧失正常工作能力；</w:t>
            </w:r>
          </w:p>
          <w:p>
            <w:pPr>
              <w:pStyle w:val="TableParagraph"/>
              <w:numPr>
                <w:ilvl w:val="0"/>
                <w:numId w:val="20"/>
              </w:numPr>
              <w:tabs>
                <w:tab w:pos="517" w:val="left" w:leader="none"/>
              </w:tabs>
              <w:spacing w:line="285" w:lineRule="auto" w:before="51" w:after="0"/>
              <w:ind w:left="516" w:right="221" w:hanging="423"/>
              <w:jc w:val="both"/>
              <w:rPr>
                <w:sz w:val="21"/>
              </w:rPr>
            </w:pPr>
            <w:r>
              <w:rPr>
                <w:spacing w:val="-7"/>
                <w:sz w:val="21"/>
              </w:rPr>
              <w:t>出现眼险下垂，或延髓肌受累引起的构音困难、进食呛咳，或由于肌无</w:t>
            </w:r>
            <w:r>
              <w:rPr>
                <w:spacing w:val="-8"/>
                <w:sz w:val="21"/>
              </w:rPr>
              <w:t>力累及延髓肌、呼吸肌而致机体呼吸功能不正常的危急状态即肌无力危象；</w:t>
            </w:r>
          </w:p>
          <w:p>
            <w:pPr>
              <w:pStyle w:val="TableParagraph"/>
              <w:numPr>
                <w:ilvl w:val="0"/>
                <w:numId w:val="20"/>
              </w:numPr>
              <w:tabs>
                <w:tab w:pos="517" w:val="left" w:leader="none"/>
              </w:tabs>
              <w:spacing w:line="285" w:lineRule="auto" w:before="11" w:after="0"/>
              <w:ind w:left="516" w:right="221" w:hanging="423"/>
              <w:jc w:val="left"/>
              <w:rPr>
                <w:sz w:val="21"/>
              </w:rPr>
            </w:pPr>
            <w:r>
              <w:rPr>
                <w:spacing w:val="-6"/>
                <w:sz w:val="21"/>
              </w:rPr>
              <w:t>症状缓解、复发及恶化交替出现，临床接受新斯的明等抗胆碱酯酶药物</w:t>
            </w:r>
            <w:r>
              <w:rPr>
                <w:spacing w:val="-5"/>
                <w:sz w:val="21"/>
              </w:rPr>
              <w:t>治疗的病史。</w:t>
            </w:r>
          </w:p>
        </w:tc>
      </w:tr>
      <w:tr>
        <w:trPr>
          <w:trHeight w:val="1661" w:hRule="atLeast"/>
        </w:trPr>
        <w:tc>
          <w:tcPr>
            <w:tcW w:w="2320" w:type="dxa"/>
          </w:tcPr>
          <w:p>
            <w:pPr>
              <w:pStyle w:val="TableParagraph"/>
              <w:spacing w:before="8"/>
              <w:ind w:left="200"/>
              <w:rPr>
                <w:rFonts w:ascii="微软雅黑" w:eastAsia="微软雅黑" w:hint="eastAsia"/>
                <w:b/>
                <w:sz w:val="21"/>
              </w:rPr>
            </w:pPr>
            <w:r>
              <w:rPr>
                <w:rFonts w:ascii="微软雅黑" w:eastAsia="微软雅黑" w:hint="eastAsia"/>
                <w:b/>
                <w:w w:val="81"/>
                <w:sz w:val="21"/>
              </w:rPr>
              <w:t>28</w:t>
            </w:r>
            <w:r>
              <w:rPr>
                <w:rFonts w:ascii="微软雅黑" w:eastAsia="微软雅黑" w:hint="eastAsia"/>
                <w:b/>
                <w:w w:val="176"/>
                <w:sz w:val="21"/>
              </w:rPr>
              <w:t>.</w:t>
            </w:r>
            <w:r>
              <w:rPr>
                <w:rFonts w:ascii="微软雅黑" w:eastAsia="微软雅黑" w:hint="eastAsia"/>
                <w:b/>
                <w:w w:val="100"/>
                <w:sz w:val="21"/>
              </w:rPr>
              <w:t>脊髓灰质炎</w:t>
            </w:r>
          </w:p>
        </w:tc>
        <w:tc>
          <w:tcPr>
            <w:tcW w:w="7229" w:type="dxa"/>
          </w:tcPr>
          <w:p>
            <w:pPr>
              <w:pStyle w:val="TableParagraph"/>
              <w:spacing w:line="326" w:lineRule="auto" w:before="128"/>
              <w:ind w:right="226"/>
              <w:rPr>
                <w:sz w:val="21"/>
              </w:rPr>
            </w:pPr>
            <w:r>
              <w:rPr>
                <w:spacing w:val="-5"/>
                <w:sz w:val="21"/>
              </w:rPr>
              <w:t>经由本公司认可的神经专科医生确认是由于脊髓灰质炎病毒感染所导致的 </w:t>
            </w:r>
            <w:r>
              <w:rPr>
                <w:spacing w:val="-6"/>
                <w:sz w:val="21"/>
              </w:rPr>
              <w:t>运动功能障碍或呼吸功能减弱麻痹性瘫痪的疾病。若无因此感染而导致麻痹</w:t>
            </w:r>
            <w:r>
              <w:rPr>
                <w:spacing w:val="-8"/>
                <w:sz w:val="21"/>
              </w:rPr>
              <w:t>性瘫痪的事实结果，以及其它病因所致的麻痹，例如格林巴利综合征则不属</w:t>
            </w:r>
            <w:r>
              <w:rPr>
                <w:spacing w:val="-6"/>
                <w:sz w:val="21"/>
              </w:rPr>
              <w:t>于本附加险合同所说的脊髓灰质炎。</w:t>
            </w:r>
          </w:p>
        </w:tc>
      </w:tr>
      <w:tr>
        <w:trPr>
          <w:trHeight w:val="1889" w:hRule="atLeast"/>
        </w:trPr>
        <w:tc>
          <w:tcPr>
            <w:tcW w:w="2320" w:type="dxa"/>
          </w:tcPr>
          <w:p>
            <w:pPr>
              <w:pStyle w:val="TableParagraph"/>
              <w:spacing w:before="8"/>
              <w:ind w:left="200"/>
              <w:rPr>
                <w:rFonts w:ascii="微软雅黑" w:eastAsia="微软雅黑" w:hint="eastAsia"/>
                <w:b/>
                <w:sz w:val="21"/>
              </w:rPr>
            </w:pPr>
            <w:r>
              <w:rPr>
                <w:rFonts w:ascii="微软雅黑" w:eastAsia="微软雅黑" w:hint="eastAsia"/>
                <w:b/>
                <w:w w:val="81"/>
                <w:sz w:val="21"/>
              </w:rPr>
              <w:t>29</w:t>
            </w:r>
            <w:r>
              <w:rPr>
                <w:rFonts w:ascii="微软雅黑" w:eastAsia="微软雅黑" w:hint="eastAsia"/>
                <w:b/>
                <w:w w:val="176"/>
                <w:sz w:val="21"/>
              </w:rPr>
              <w:t>.</w:t>
            </w:r>
            <w:r>
              <w:rPr>
                <w:rFonts w:ascii="微软雅黑" w:eastAsia="微软雅黑" w:hint="eastAsia"/>
                <w:b/>
                <w:w w:val="100"/>
                <w:sz w:val="21"/>
              </w:rPr>
              <w:t>终末期肺病</w:t>
            </w:r>
          </w:p>
        </w:tc>
        <w:tc>
          <w:tcPr>
            <w:tcW w:w="7229" w:type="dxa"/>
          </w:tcPr>
          <w:p>
            <w:pPr>
              <w:pStyle w:val="TableParagraph"/>
              <w:spacing w:line="326" w:lineRule="auto" w:before="128"/>
              <w:ind w:right="408"/>
              <w:rPr>
                <w:sz w:val="21"/>
              </w:rPr>
            </w:pPr>
            <w:r>
              <w:rPr>
                <w:sz w:val="21"/>
              </w:rPr>
              <w:t>由本公司认可的呼吸专科医生确诊被保险人患有终末期肺病而出现慢性呼吸功能衰竭，其诊断标准包括以下各项：</w:t>
            </w:r>
          </w:p>
          <w:p>
            <w:pPr>
              <w:pStyle w:val="TableParagraph"/>
              <w:numPr>
                <w:ilvl w:val="0"/>
                <w:numId w:val="21"/>
              </w:numPr>
              <w:tabs>
                <w:tab w:pos="517" w:val="left" w:leader="none"/>
              </w:tabs>
              <w:spacing w:line="246" w:lineRule="exact" w:before="0" w:after="0"/>
              <w:ind w:left="516" w:right="0" w:hanging="423"/>
              <w:jc w:val="left"/>
              <w:rPr>
                <w:sz w:val="21"/>
              </w:rPr>
            </w:pPr>
            <w:r>
              <w:rPr>
                <w:spacing w:val="-8"/>
                <w:sz w:val="21"/>
              </w:rPr>
              <w:t>肺功能测试其 </w:t>
            </w:r>
            <w:r>
              <w:rPr>
                <w:sz w:val="21"/>
              </w:rPr>
              <w:t>FEVl</w:t>
            </w:r>
            <w:r>
              <w:rPr>
                <w:spacing w:val="-19"/>
                <w:sz w:val="21"/>
              </w:rPr>
              <w:t> 持续低于 </w:t>
            </w:r>
            <w:r>
              <w:rPr>
                <w:sz w:val="21"/>
              </w:rPr>
              <w:t>0．75</w:t>
            </w:r>
            <w:r>
              <w:rPr>
                <w:spacing w:val="-17"/>
                <w:sz w:val="21"/>
              </w:rPr>
              <w:t> 升；</w:t>
            </w:r>
          </w:p>
          <w:p>
            <w:pPr>
              <w:pStyle w:val="TableParagraph"/>
              <w:numPr>
                <w:ilvl w:val="0"/>
                <w:numId w:val="21"/>
              </w:numPr>
              <w:tabs>
                <w:tab w:pos="517" w:val="left" w:leader="none"/>
              </w:tabs>
              <w:spacing w:line="240" w:lineRule="auto" w:before="52" w:after="0"/>
              <w:ind w:left="516" w:right="0" w:hanging="423"/>
              <w:jc w:val="left"/>
              <w:rPr>
                <w:sz w:val="21"/>
              </w:rPr>
            </w:pPr>
            <w:r>
              <w:rPr>
                <w:spacing w:val="-4"/>
                <w:sz w:val="21"/>
              </w:rPr>
              <w:t>病人缺氧必须广泛而持续地进行输氧治疗；</w:t>
            </w:r>
          </w:p>
          <w:p>
            <w:pPr>
              <w:pStyle w:val="TableParagraph"/>
              <w:numPr>
                <w:ilvl w:val="0"/>
                <w:numId w:val="21"/>
              </w:numPr>
              <w:tabs>
                <w:tab w:pos="517" w:val="left" w:leader="none"/>
              </w:tabs>
              <w:spacing w:line="240" w:lineRule="auto" w:before="51" w:after="0"/>
              <w:ind w:left="516" w:right="0" w:hanging="423"/>
              <w:jc w:val="left"/>
              <w:rPr>
                <w:sz w:val="21"/>
              </w:rPr>
            </w:pPr>
            <w:r>
              <w:rPr>
                <w:spacing w:val="-6"/>
                <w:sz w:val="21"/>
              </w:rPr>
              <w:t>动脉血气分析氧分压低于 </w:t>
            </w:r>
            <w:r>
              <w:rPr>
                <w:sz w:val="21"/>
              </w:rPr>
              <w:t>55mmHg。</w:t>
            </w:r>
          </w:p>
        </w:tc>
      </w:tr>
      <w:tr>
        <w:trPr>
          <w:trHeight w:val="1339" w:hRule="atLeast"/>
        </w:trPr>
        <w:tc>
          <w:tcPr>
            <w:tcW w:w="2320" w:type="dxa"/>
          </w:tcPr>
          <w:p>
            <w:pPr>
              <w:pStyle w:val="TableParagraph"/>
              <w:spacing w:before="63"/>
              <w:ind w:left="200"/>
              <w:rPr>
                <w:rFonts w:ascii="微软雅黑" w:eastAsia="微软雅黑" w:hint="eastAsia"/>
                <w:b/>
                <w:sz w:val="21"/>
              </w:rPr>
            </w:pPr>
            <w:r>
              <w:rPr>
                <w:rFonts w:ascii="微软雅黑" w:eastAsia="微软雅黑" w:hint="eastAsia"/>
                <w:b/>
                <w:w w:val="81"/>
                <w:sz w:val="21"/>
              </w:rPr>
              <w:t>30</w:t>
            </w:r>
            <w:r>
              <w:rPr>
                <w:rFonts w:ascii="微软雅黑" w:eastAsia="微软雅黑" w:hint="eastAsia"/>
                <w:b/>
                <w:w w:val="176"/>
                <w:sz w:val="21"/>
              </w:rPr>
              <w:t>.</w:t>
            </w:r>
            <w:r>
              <w:rPr>
                <w:rFonts w:ascii="微软雅黑" w:eastAsia="微软雅黑" w:hint="eastAsia"/>
                <w:b/>
                <w:w w:val="100"/>
                <w:sz w:val="21"/>
              </w:rPr>
              <w:t>象皮病</w:t>
            </w:r>
          </w:p>
        </w:tc>
        <w:tc>
          <w:tcPr>
            <w:tcW w:w="7229" w:type="dxa"/>
          </w:tcPr>
          <w:p>
            <w:pPr>
              <w:pStyle w:val="TableParagraph"/>
              <w:spacing w:line="357" w:lineRule="auto" w:before="73"/>
              <w:ind w:right="226"/>
              <w:jc w:val="both"/>
              <w:rPr>
                <w:sz w:val="21"/>
              </w:rPr>
            </w:pPr>
            <w:r>
              <w:rPr>
                <w:spacing w:val="-6"/>
                <w:sz w:val="21"/>
              </w:rPr>
              <w:t>指末期丝虫病，按国际淋巴学会分级为三度淋巴液肿，其临床表现为肢体非</w:t>
            </w:r>
            <w:r>
              <w:rPr>
                <w:spacing w:val="-7"/>
                <w:sz w:val="21"/>
              </w:rPr>
              <w:t>凹陷性水肿伴畸形增大、硬皮症和疣状增生。此病症须经本公司认可的专科</w:t>
            </w:r>
            <w:r>
              <w:rPr>
                <w:spacing w:val="-6"/>
                <w:sz w:val="21"/>
              </w:rPr>
              <w:t>医生根据临床表现和微丝蚴的化验结果确诊。</w:t>
            </w:r>
          </w:p>
        </w:tc>
      </w:tr>
      <w:tr>
        <w:trPr>
          <w:trHeight w:val="2201" w:hRule="atLeast"/>
        </w:trPr>
        <w:tc>
          <w:tcPr>
            <w:tcW w:w="2320" w:type="dxa"/>
          </w:tcPr>
          <w:p>
            <w:pPr>
              <w:pStyle w:val="TableParagraph"/>
              <w:spacing w:line="180" w:lineRule="auto" w:before="139"/>
              <w:ind w:left="200" w:right="91"/>
              <w:rPr>
                <w:rFonts w:ascii="微软雅黑" w:eastAsia="微软雅黑" w:hint="eastAsia"/>
                <w:b/>
                <w:sz w:val="21"/>
              </w:rPr>
            </w:pPr>
            <w:r>
              <w:rPr>
                <w:rFonts w:ascii="微软雅黑" w:eastAsia="微软雅黑" w:hint="eastAsia"/>
                <w:b/>
                <w:sz w:val="21"/>
              </w:rPr>
              <w:t>31. 经输血感染艾滋病病毒</w:t>
            </w:r>
          </w:p>
        </w:tc>
        <w:tc>
          <w:tcPr>
            <w:tcW w:w="7229" w:type="dxa"/>
          </w:tcPr>
          <w:p>
            <w:pPr>
              <w:pStyle w:val="TableParagraph"/>
              <w:spacing w:line="297" w:lineRule="auto" w:before="111"/>
              <w:ind w:right="247"/>
              <w:rPr>
                <w:sz w:val="21"/>
              </w:rPr>
            </w:pPr>
            <w:r>
              <w:rPr>
                <w:spacing w:val="-4"/>
                <w:w w:val="100"/>
                <w:sz w:val="21"/>
              </w:rPr>
              <w:t>因输血而被艾滋病病毒</w:t>
            </w:r>
            <w:r>
              <w:rPr>
                <w:spacing w:val="0"/>
                <w:w w:val="100"/>
                <w:sz w:val="21"/>
              </w:rPr>
              <w:t>（</w:t>
            </w:r>
            <w:r>
              <w:rPr>
                <w:w w:val="100"/>
                <w:sz w:val="21"/>
              </w:rPr>
              <w:t>HIV</w:t>
            </w:r>
            <w:r>
              <w:rPr>
                <w:spacing w:val="-15"/>
                <w:w w:val="100"/>
                <w:sz w:val="21"/>
              </w:rPr>
              <w:t>）</w:t>
            </w:r>
            <w:r>
              <w:rPr>
                <w:spacing w:val="-5"/>
                <w:w w:val="100"/>
                <w:sz w:val="21"/>
              </w:rPr>
              <w:t>感染或成为艾滋病患者</w:t>
            </w:r>
            <w:r>
              <w:rPr>
                <w:w w:val="100"/>
                <w:sz w:val="21"/>
              </w:rPr>
              <w:t>（AIDS</w:t>
            </w:r>
            <w:r>
              <w:rPr>
                <w:spacing w:val="-106"/>
                <w:w w:val="100"/>
                <w:sz w:val="21"/>
              </w:rPr>
              <w:t>）</w:t>
            </w:r>
            <w:r>
              <w:rPr>
                <w:spacing w:val="-5"/>
                <w:w w:val="100"/>
                <w:sz w:val="21"/>
              </w:rPr>
              <w:t>，需要满足下</w:t>
            </w:r>
            <w:r>
              <w:rPr>
                <w:spacing w:val="-5"/>
                <w:sz w:val="21"/>
              </w:rPr>
              <w:t>列所有条件：</w:t>
            </w:r>
          </w:p>
          <w:p>
            <w:pPr>
              <w:pStyle w:val="TableParagraph"/>
              <w:numPr>
                <w:ilvl w:val="0"/>
                <w:numId w:val="22"/>
              </w:numPr>
              <w:tabs>
                <w:tab w:pos="517" w:val="left" w:leader="none"/>
              </w:tabs>
              <w:spacing w:line="297" w:lineRule="auto" w:before="15" w:after="0"/>
              <w:ind w:left="516" w:right="250" w:hanging="423"/>
              <w:jc w:val="left"/>
              <w:rPr>
                <w:sz w:val="21"/>
              </w:rPr>
            </w:pPr>
            <w:r>
              <w:rPr>
                <w:spacing w:val="-6"/>
                <w:sz w:val="21"/>
              </w:rPr>
              <w:t>感染是由于必要的医疗性输血引起的，且医疗性输血是在保单生效日后</w:t>
            </w:r>
            <w:r>
              <w:rPr>
                <w:spacing w:val="-5"/>
                <w:sz w:val="21"/>
              </w:rPr>
              <w:t>或复效日后发生的；</w:t>
            </w:r>
          </w:p>
          <w:p>
            <w:pPr>
              <w:pStyle w:val="TableParagraph"/>
              <w:numPr>
                <w:ilvl w:val="0"/>
                <w:numId w:val="22"/>
              </w:numPr>
              <w:tabs>
                <w:tab w:pos="517" w:val="left" w:leader="none"/>
              </w:tabs>
              <w:spacing w:line="240" w:lineRule="auto" w:before="15" w:after="0"/>
              <w:ind w:left="516" w:right="0" w:hanging="423"/>
              <w:jc w:val="left"/>
              <w:rPr>
                <w:sz w:val="21"/>
              </w:rPr>
            </w:pPr>
            <w:r>
              <w:rPr>
                <w:spacing w:val="-5"/>
                <w:sz w:val="21"/>
              </w:rPr>
              <w:t>提供输血的医疗机构承认该项输血感染为医疗责任事故；</w:t>
            </w:r>
          </w:p>
          <w:p>
            <w:pPr>
              <w:pStyle w:val="TableParagraph"/>
              <w:numPr>
                <w:ilvl w:val="0"/>
                <w:numId w:val="22"/>
              </w:numPr>
              <w:tabs>
                <w:tab w:pos="517" w:val="left" w:leader="none"/>
              </w:tabs>
              <w:spacing w:line="240" w:lineRule="auto" w:before="66" w:after="0"/>
              <w:ind w:left="516" w:right="0" w:hanging="423"/>
              <w:jc w:val="left"/>
              <w:rPr>
                <w:sz w:val="21"/>
              </w:rPr>
            </w:pPr>
            <w:r>
              <w:rPr>
                <w:spacing w:val="-2"/>
                <w:sz w:val="21"/>
              </w:rPr>
              <w:t>被保险人不是血友病患者。</w:t>
            </w:r>
          </w:p>
        </w:tc>
      </w:tr>
      <w:tr>
        <w:trPr>
          <w:trHeight w:val="2919" w:hRule="atLeast"/>
        </w:trPr>
        <w:tc>
          <w:tcPr>
            <w:tcW w:w="2320" w:type="dxa"/>
          </w:tcPr>
          <w:p>
            <w:pPr>
              <w:pStyle w:val="TableParagraph"/>
              <w:spacing w:line="182" w:lineRule="auto" w:before="71"/>
              <w:ind w:left="200" w:right="91"/>
              <w:rPr>
                <w:rFonts w:ascii="微软雅黑" w:eastAsia="微软雅黑" w:hint="eastAsia"/>
                <w:b/>
                <w:sz w:val="21"/>
              </w:rPr>
            </w:pPr>
            <w:r>
              <w:rPr>
                <w:rFonts w:ascii="微软雅黑" w:eastAsia="微软雅黑" w:hint="eastAsia"/>
                <w:b/>
                <w:sz w:val="21"/>
              </w:rPr>
              <w:t>32. 严重类风湿性关节炎</w:t>
            </w:r>
          </w:p>
        </w:tc>
        <w:tc>
          <w:tcPr>
            <w:tcW w:w="7229" w:type="dxa"/>
          </w:tcPr>
          <w:p>
            <w:pPr>
              <w:pStyle w:val="TableParagraph"/>
              <w:spacing w:before="46"/>
              <w:rPr>
                <w:sz w:val="21"/>
              </w:rPr>
            </w:pPr>
            <w:r>
              <w:rPr>
                <w:sz w:val="21"/>
              </w:rPr>
              <w:t>是指类风湿性关节炎患者符合以下三项标准的:</w:t>
            </w:r>
          </w:p>
          <w:p>
            <w:pPr>
              <w:pStyle w:val="TableParagraph"/>
              <w:numPr>
                <w:ilvl w:val="0"/>
                <w:numId w:val="23"/>
              </w:numPr>
              <w:tabs>
                <w:tab w:pos="517" w:val="left" w:leader="none"/>
              </w:tabs>
              <w:spacing w:line="297" w:lineRule="auto" w:before="152" w:after="0"/>
              <w:ind w:left="516" w:right="197" w:hanging="423"/>
              <w:jc w:val="left"/>
              <w:rPr>
                <w:sz w:val="21"/>
              </w:rPr>
            </w:pPr>
            <w:r>
              <w:rPr>
                <w:spacing w:val="-5"/>
                <w:sz w:val="21"/>
              </w:rPr>
              <w:t>至少包括下列关节中的三组或以上有广泛受损和畸形改变：手指关节、腕关节、肘关节、膝关节、髋关节、踝关节、脊椎或脚趾关节；</w:t>
            </w:r>
          </w:p>
          <w:p>
            <w:pPr>
              <w:pStyle w:val="TableParagraph"/>
              <w:numPr>
                <w:ilvl w:val="0"/>
                <w:numId w:val="23"/>
              </w:numPr>
              <w:tabs>
                <w:tab w:pos="517" w:val="left" w:leader="none"/>
              </w:tabs>
              <w:spacing w:line="297" w:lineRule="auto" w:before="15" w:after="0"/>
              <w:ind w:left="516" w:right="249" w:hanging="423"/>
              <w:jc w:val="left"/>
              <w:rPr>
                <w:sz w:val="21"/>
              </w:rPr>
            </w:pPr>
            <w:r>
              <w:rPr>
                <w:spacing w:val="-6"/>
                <w:sz w:val="21"/>
              </w:rPr>
              <w:t>手和腕的后前位 </w:t>
            </w:r>
            <w:r>
              <w:rPr>
                <w:sz w:val="21"/>
              </w:rPr>
              <w:t>X</w:t>
            </w:r>
            <w:r>
              <w:rPr>
                <w:spacing w:val="-10"/>
                <w:sz w:val="21"/>
              </w:rPr>
              <w:t> 线拍片检查可见类风湿性关节炎的典型变化，包括骨</w:t>
            </w:r>
            <w:r>
              <w:rPr>
                <w:spacing w:val="-7"/>
                <w:sz w:val="21"/>
              </w:rPr>
              <w:t>质侵蚀或钙流失，位于受累关节及其邻近部位尤其明显；</w:t>
            </w:r>
          </w:p>
          <w:p>
            <w:pPr>
              <w:pStyle w:val="TableParagraph"/>
              <w:numPr>
                <w:ilvl w:val="0"/>
                <w:numId w:val="23"/>
              </w:numPr>
              <w:tabs>
                <w:tab w:pos="517" w:val="left" w:leader="none"/>
              </w:tabs>
              <w:spacing w:line="240" w:lineRule="auto" w:before="15" w:after="0"/>
              <w:ind w:left="516" w:right="0" w:hanging="423"/>
              <w:jc w:val="left"/>
              <w:rPr>
                <w:sz w:val="21"/>
              </w:rPr>
            </w:pPr>
            <w:r>
              <w:rPr>
                <w:spacing w:val="-6"/>
                <w:sz w:val="21"/>
              </w:rPr>
              <w:t>关节的畸形改变至少持续 </w:t>
            </w:r>
            <w:r>
              <w:rPr>
                <w:sz w:val="21"/>
              </w:rPr>
              <w:t>6</w:t>
            </w:r>
            <w:r>
              <w:rPr>
                <w:spacing w:val="-13"/>
                <w:sz w:val="21"/>
              </w:rPr>
              <w:t> 个月。</w:t>
            </w:r>
          </w:p>
          <w:p>
            <w:pPr>
              <w:pStyle w:val="TableParagraph"/>
              <w:spacing w:line="285" w:lineRule="auto" w:before="71"/>
              <w:ind w:right="201"/>
              <w:rPr>
                <w:sz w:val="21"/>
              </w:rPr>
            </w:pPr>
            <w:r>
              <w:rPr>
                <w:sz w:val="21"/>
              </w:rPr>
              <w:t>类风湿性关节炎系指以关节滑膜炎为特征的慢性全身性自身免疫性疾病，诊断必须符合国际认可的该疾病的诊断标准。</w:t>
            </w:r>
          </w:p>
        </w:tc>
      </w:tr>
      <w:tr>
        <w:trPr>
          <w:trHeight w:val="1378" w:hRule="atLeast"/>
        </w:trPr>
        <w:tc>
          <w:tcPr>
            <w:tcW w:w="2320" w:type="dxa"/>
          </w:tcPr>
          <w:p>
            <w:pPr>
              <w:pStyle w:val="TableParagraph"/>
              <w:spacing w:before="8"/>
              <w:ind w:left="200"/>
              <w:rPr>
                <w:rFonts w:ascii="微软雅黑" w:eastAsia="微软雅黑" w:hint="eastAsia"/>
                <w:b/>
                <w:sz w:val="21"/>
              </w:rPr>
            </w:pPr>
            <w:r>
              <w:rPr>
                <w:rFonts w:ascii="微软雅黑" w:eastAsia="微软雅黑" w:hint="eastAsia"/>
                <w:b/>
                <w:sz w:val="21"/>
              </w:rPr>
              <w:t>33.肾髓质囊性病</w:t>
            </w:r>
          </w:p>
        </w:tc>
        <w:tc>
          <w:tcPr>
            <w:tcW w:w="7229" w:type="dxa"/>
          </w:tcPr>
          <w:p>
            <w:pPr>
              <w:pStyle w:val="TableParagraph"/>
              <w:spacing w:before="128"/>
              <w:rPr>
                <w:sz w:val="21"/>
              </w:rPr>
            </w:pPr>
            <w:r>
              <w:rPr>
                <w:sz w:val="21"/>
              </w:rPr>
              <w:t>肾髓质囊性病的诊断必须同时符合下列要求：</w:t>
            </w:r>
          </w:p>
          <w:p>
            <w:pPr>
              <w:pStyle w:val="TableParagraph"/>
              <w:numPr>
                <w:ilvl w:val="0"/>
                <w:numId w:val="24"/>
              </w:numPr>
              <w:tabs>
                <w:tab w:pos="517" w:val="left" w:leader="none"/>
              </w:tabs>
              <w:spacing w:line="240" w:lineRule="auto" w:before="46" w:after="0"/>
              <w:ind w:left="516" w:right="0" w:hanging="423"/>
              <w:jc w:val="left"/>
              <w:rPr>
                <w:sz w:val="21"/>
              </w:rPr>
            </w:pPr>
            <w:r>
              <w:rPr>
                <w:spacing w:val="-5"/>
                <w:sz w:val="21"/>
              </w:rPr>
              <w:t>肾髓质有囊肿、肾小管萎缩及间质纤维化等病理改变；</w:t>
            </w:r>
          </w:p>
          <w:p>
            <w:pPr>
              <w:pStyle w:val="TableParagraph"/>
              <w:numPr>
                <w:ilvl w:val="0"/>
                <w:numId w:val="24"/>
              </w:numPr>
              <w:tabs>
                <w:tab w:pos="517" w:val="left" w:leader="none"/>
              </w:tabs>
              <w:spacing w:line="240" w:lineRule="auto" w:before="51" w:after="0"/>
              <w:ind w:left="516" w:right="0" w:hanging="423"/>
              <w:jc w:val="left"/>
              <w:rPr>
                <w:sz w:val="21"/>
              </w:rPr>
            </w:pPr>
            <w:r>
              <w:rPr>
                <w:spacing w:val="-3"/>
                <w:sz w:val="21"/>
              </w:rPr>
              <w:t>贫血、多尿及肾功能衰竭等临床表现；</w:t>
            </w:r>
          </w:p>
          <w:p>
            <w:pPr>
              <w:pStyle w:val="TableParagraph"/>
              <w:numPr>
                <w:ilvl w:val="0"/>
                <w:numId w:val="24"/>
              </w:numPr>
              <w:tabs>
                <w:tab w:pos="517" w:val="left" w:leader="none"/>
              </w:tabs>
              <w:spacing w:line="255" w:lineRule="exact" w:before="52" w:after="0"/>
              <w:ind w:left="516" w:right="0" w:hanging="423"/>
              <w:jc w:val="left"/>
              <w:rPr>
                <w:sz w:val="21"/>
              </w:rPr>
            </w:pPr>
            <w:r>
              <w:rPr>
                <w:spacing w:val="-2"/>
                <w:sz w:val="21"/>
              </w:rPr>
              <w:t>诊断须由肾组织活检确定。</w:t>
            </w:r>
          </w:p>
        </w:tc>
      </w:tr>
    </w:tbl>
    <w:p>
      <w:pPr>
        <w:spacing w:after="0" w:line="255" w:lineRule="exact"/>
        <w:jc w:val="left"/>
        <w:rPr>
          <w:sz w:val="21"/>
        </w:rPr>
        <w:sectPr>
          <w:pgSz w:w="11910" w:h="16840"/>
          <w:pgMar w:header="0" w:footer="377" w:top="1360" w:bottom="560" w:left="1460" w:right="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7306"/>
      </w:tblGrid>
      <w:tr>
        <w:trPr>
          <w:trHeight w:val="2081" w:hRule="atLeast"/>
        </w:trPr>
        <w:tc>
          <w:tcPr>
            <w:tcW w:w="2320" w:type="dxa"/>
          </w:tcPr>
          <w:p>
            <w:pPr>
              <w:pStyle w:val="TableParagraph"/>
              <w:spacing w:line="236" w:lineRule="exact"/>
              <w:ind w:left="200"/>
              <w:rPr>
                <w:rFonts w:ascii="微软雅黑" w:eastAsia="微软雅黑" w:hint="eastAsia"/>
                <w:b/>
                <w:sz w:val="21"/>
              </w:rPr>
            </w:pPr>
            <w:r>
              <w:rPr>
                <w:rFonts w:ascii="微软雅黑" w:eastAsia="微软雅黑" w:hint="eastAsia"/>
                <w:b/>
                <w:w w:val="81"/>
                <w:sz w:val="21"/>
              </w:rPr>
              <w:t>34</w:t>
            </w:r>
            <w:r>
              <w:rPr>
                <w:rFonts w:ascii="微软雅黑" w:eastAsia="微软雅黑" w:hint="eastAsia"/>
                <w:b/>
                <w:w w:val="176"/>
                <w:sz w:val="21"/>
              </w:rPr>
              <w:t>.</w:t>
            </w:r>
            <w:r>
              <w:rPr>
                <w:rFonts w:ascii="微软雅黑" w:eastAsia="微软雅黑" w:hint="eastAsia"/>
                <w:b/>
                <w:w w:val="100"/>
                <w:sz w:val="21"/>
              </w:rPr>
              <w:t>坏死性筋膜炎</w:t>
            </w:r>
          </w:p>
        </w:tc>
        <w:tc>
          <w:tcPr>
            <w:tcW w:w="7306" w:type="dxa"/>
          </w:tcPr>
          <w:p>
            <w:pPr>
              <w:pStyle w:val="TableParagraph"/>
              <w:spacing w:line="269" w:lineRule="exact"/>
              <w:rPr>
                <w:sz w:val="21"/>
              </w:rPr>
            </w:pPr>
            <w:r>
              <w:rPr>
                <w:sz w:val="21"/>
              </w:rPr>
              <w:t>坏死性筋膜炎的诊断须同时符合下列要求：</w:t>
            </w:r>
          </w:p>
          <w:p>
            <w:pPr>
              <w:pStyle w:val="TableParagraph"/>
              <w:numPr>
                <w:ilvl w:val="0"/>
                <w:numId w:val="25"/>
              </w:numPr>
              <w:tabs>
                <w:tab w:pos="517" w:val="left" w:leader="none"/>
              </w:tabs>
              <w:spacing w:line="240" w:lineRule="auto" w:before="46" w:after="0"/>
              <w:ind w:left="516" w:right="0" w:hanging="423"/>
              <w:jc w:val="left"/>
              <w:rPr>
                <w:sz w:val="21"/>
              </w:rPr>
            </w:pPr>
            <w:r>
              <w:rPr>
                <w:spacing w:val="-3"/>
                <w:sz w:val="21"/>
              </w:rPr>
              <w:t>符合坏死性筋膜炎的一般临床表现；</w:t>
            </w:r>
          </w:p>
          <w:p>
            <w:pPr>
              <w:pStyle w:val="TableParagraph"/>
              <w:numPr>
                <w:ilvl w:val="0"/>
                <w:numId w:val="25"/>
              </w:numPr>
              <w:tabs>
                <w:tab w:pos="517" w:val="left" w:leader="none"/>
              </w:tabs>
              <w:spacing w:line="240" w:lineRule="auto" w:before="51" w:after="0"/>
              <w:ind w:left="516" w:right="0" w:hanging="423"/>
              <w:jc w:val="left"/>
              <w:rPr>
                <w:sz w:val="21"/>
              </w:rPr>
            </w:pPr>
            <w:r>
              <w:rPr>
                <w:spacing w:val="-2"/>
                <w:sz w:val="21"/>
              </w:rPr>
              <w:t>细菌培养检出致病菌；</w:t>
            </w:r>
          </w:p>
          <w:p>
            <w:pPr>
              <w:pStyle w:val="TableParagraph"/>
              <w:numPr>
                <w:ilvl w:val="0"/>
                <w:numId w:val="25"/>
              </w:numPr>
              <w:tabs>
                <w:tab w:pos="517" w:val="left" w:leader="none"/>
              </w:tabs>
              <w:spacing w:line="285" w:lineRule="auto" w:before="51" w:after="0"/>
              <w:ind w:left="516" w:right="296" w:hanging="423"/>
              <w:jc w:val="left"/>
              <w:rPr>
                <w:sz w:val="21"/>
              </w:rPr>
            </w:pPr>
            <w:r>
              <w:rPr>
                <w:spacing w:val="-5"/>
                <w:sz w:val="21"/>
              </w:rPr>
              <w:t>出现广泛性肌肉及软组织坏死，并导致身体受影响部位永久完全失去功能。</w:t>
            </w:r>
          </w:p>
          <w:p>
            <w:pPr>
              <w:pStyle w:val="TableParagraph"/>
              <w:spacing w:before="63"/>
              <w:rPr>
                <w:sz w:val="21"/>
              </w:rPr>
            </w:pPr>
            <w:r>
              <w:rPr>
                <w:sz w:val="21"/>
              </w:rPr>
              <w:t>所谓永久完全失去功能是指受影响部位的功能丧失超过六个月。</w:t>
            </w:r>
          </w:p>
        </w:tc>
      </w:tr>
      <w:tr>
        <w:trPr>
          <w:trHeight w:val="2631" w:hRule="atLeast"/>
        </w:trPr>
        <w:tc>
          <w:tcPr>
            <w:tcW w:w="2320" w:type="dxa"/>
          </w:tcPr>
          <w:p>
            <w:pPr>
              <w:pStyle w:val="TableParagraph"/>
              <w:spacing w:before="63"/>
              <w:ind w:left="200"/>
              <w:rPr>
                <w:rFonts w:ascii="微软雅黑" w:eastAsia="微软雅黑" w:hint="eastAsia"/>
                <w:b/>
                <w:sz w:val="21"/>
              </w:rPr>
            </w:pPr>
            <w:r>
              <w:rPr>
                <w:rFonts w:ascii="微软雅黑" w:eastAsia="微软雅黑" w:hint="eastAsia"/>
                <w:b/>
                <w:w w:val="81"/>
                <w:sz w:val="21"/>
              </w:rPr>
              <w:t>35</w:t>
            </w:r>
            <w:r>
              <w:rPr>
                <w:rFonts w:ascii="微软雅黑" w:eastAsia="微软雅黑" w:hint="eastAsia"/>
                <w:b/>
                <w:w w:val="176"/>
                <w:sz w:val="21"/>
              </w:rPr>
              <w:t>.</w:t>
            </w:r>
            <w:r>
              <w:rPr>
                <w:rFonts w:ascii="微软雅黑" w:eastAsia="微软雅黑" w:hint="eastAsia"/>
                <w:b/>
                <w:w w:val="100"/>
                <w:sz w:val="21"/>
              </w:rPr>
              <w:t>肝豆状核变性</w:t>
            </w:r>
          </w:p>
          <w:p>
            <w:pPr>
              <w:pStyle w:val="TableParagraph"/>
              <w:spacing w:before="11"/>
              <w:ind w:left="200"/>
              <w:rPr>
                <w:rFonts w:ascii="微软雅黑" w:eastAsia="微软雅黑" w:hint="eastAsia"/>
                <w:b/>
                <w:sz w:val="21"/>
              </w:rPr>
            </w:pPr>
            <w:r>
              <w:rPr>
                <w:rFonts w:ascii="微软雅黑" w:eastAsia="微软雅黑" w:hint="eastAsia"/>
                <w:b/>
                <w:w w:val="95"/>
                <w:sz w:val="21"/>
              </w:rPr>
              <w:t>(Wilson 病)</w:t>
            </w:r>
          </w:p>
        </w:tc>
        <w:tc>
          <w:tcPr>
            <w:tcW w:w="7306" w:type="dxa"/>
          </w:tcPr>
          <w:p>
            <w:pPr>
              <w:pStyle w:val="TableParagraph"/>
              <w:spacing w:before="68"/>
              <w:ind w:right="303"/>
              <w:jc w:val="both"/>
              <w:rPr>
                <w:sz w:val="21"/>
              </w:rPr>
            </w:pPr>
            <w:r>
              <w:rPr>
                <w:spacing w:val="-6"/>
                <w:sz w:val="21"/>
              </w:rPr>
              <w:t>由于先天性铜代谢障碍所引起的一种疾病，其特点为肝硬化与双侧脑基底神</w:t>
            </w:r>
            <w:r>
              <w:rPr>
                <w:spacing w:val="-8"/>
                <w:sz w:val="21"/>
              </w:rPr>
              <w:t>经节变性同时存在。理赔须经本公司认可的专科医生确认并同时具备下列情况：</w:t>
            </w:r>
          </w:p>
          <w:p>
            <w:pPr>
              <w:pStyle w:val="TableParagraph"/>
              <w:spacing w:line="235" w:lineRule="auto" w:before="4"/>
              <w:ind w:right="304"/>
              <w:rPr>
                <w:sz w:val="21"/>
              </w:rPr>
            </w:pPr>
            <w:r>
              <w:rPr>
                <w:sz w:val="21"/>
              </w:rPr>
              <w:t>（1）临床表现包括：进行性加剧的肢体震颤，肌强直，吞咽及发音困难， 精神异常；</w:t>
            </w:r>
          </w:p>
          <w:p>
            <w:pPr>
              <w:pStyle w:val="TableParagraph"/>
              <w:spacing w:line="273" w:lineRule="exact"/>
              <w:jc w:val="both"/>
              <w:rPr>
                <w:sz w:val="21"/>
              </w:rPr>
            </w:pPr>
            <w:r>
              <w:rPr>
                <w:w w:val="100"/>
                <w:sz w:val="21"/>
              </w:rPr>
              <w:t>（2）</w:t>
            </w:r>
            <w:r>
              <w:rPr>
                <w:spacing w:val="-2"/>
                <w:w w:val="100"/>
                <w:sz w:val="21"/>
              </w:rPr>
              <w:t>角膜色素环</w:t>
            </w:r>
            <w:r>
              <w:rPr>
                <w:spacing w:val="0"/>
                <w:w w:val="100"/>
                <w:sz w:val="21"/>
              </w:rPr>
              <w:t>（</w:t>
            </w:r>
            <w:r>
              <w:rPr>
                <w:w w:val="100"/>
                <w:sz w:val="21"/>
              </w:rPr>
              <w:t>K</w:t>
            </w:r>
            <w:r>
              <w:rPr>
                <w:spacing w:val="-5"/>
                <w:w w:val="100"/>
                <w:sz w:val="21"/>
              </w:rPr>
              <w:t>-</w:t>
            </w:r>
            <w:r>
              <w:rPr>
                <w:w w:val="100"/>
                <w:sz w:val="21"/>
              </w:rPr>
              <w:t>F</w:t>
            </w:r>
            <w:r>
              <w:rPr>
                <w:spacing w:val="-53"/>
                <w:sz w:val="21"/>
              </w:rPr>
              <w:t> </w:t>
            </w:r>
            <w:r>
              <w:rPr>
                <w:w w:val="100"/>
                <w:sz w:val="21"/>
              </w:rPr>
              <w:t>环</w:t>
            </w:r>
            <w:r>
              <w:rPr>
                <w:spacing w:val="-106"/>
                <w:w w:val="100"/>
                <w:sz w:val="21"/>
              </w:rPr>
              <w:t>）</w:t>
            </w:r>
            <w:r>
              <w:rPr>
                <w:w w:val="100"/>
                <w:sz w:val="21"/>
              </w:rPr>
              <w:t>；</w:t>
            </w:r>
          </w:p>
          <w:p>
            <w:pPr>
              <w:pStyle w:val="TableParagraph"/>
              <w:spacing w:line="271" w:lineRule="exact"/>
              <w:jc w:val="both"/>
              <w:rPr>
                <w:sz w:val="21"/>
              </w:rPr>
            </w:pPr>
            <w:r>
              <w:rPr>
                <w:sz w:val="21"/>
              </w:rPr>
              <w:t>（3）血清铜和血清铜蓝蛋白降低，尿铜增加；</w:t>
            </w:r>
          </w:p>
          <w:p>
            <w:pPr>
              <w:pStyle w:val="TableParagraph"/>
              <w:spacing w:line="271" w:lineRule="exact"/>
              <w:jc w:val="both"/>
              <w:rPr>
                <w:sz w:val="21"/>
              </w:rPr>
            </w:pPr>
            <w:r>
              <w:rPr>
                <w:sz w:val="21"/>
              </w:rPr>
              <w:t>（4）食管静脉曲张 ；</w:t>
            </w:r>
          </w:p>
          <w:p>
            <w:pPr>
              <w:pStyle w:val="TableParagraph"/>
              <w:spacing w:line="274" w:lineRule="exact"/>
              <w:jc w:val="both"/>
              <w:rPr>
                <w:sz w:val="21"/>
              </w:rPr>
            </w:pPr>
            <w:r>
              <w:rPr>
                <w:sz w:val="21"/>
              </w:rPr>
              <w:t>（5）腹水。</w:t>
            </w:r>
          </w:p>
        </w:tc>
      </w:tr>
      <w:tr>
        <w:trPr>
          <w:trHeight w:val="2614" w:hRule="atLeast"/>
        </w:trPr>
        <w:tc>
          <w:tcPr>
            <w:tcW w:w="2320" w:type="dxa"/>
          </w:tcPr>
          <w:p>
            <w:pPr>
              <w:pStyle w:val="TableParagraph"/>
              <w:spacing w:line="180" w:lineRule="auto" w:before="72"/>
              <w:ind w:left="200" w:right="38"/>
              <w:rPr>
                <w:rFonts w:ascii="微软雅黑" w:eastAsia="微软雅黑" w:hint="eastAsia"/>
                <w:b/>
                <w:sz w:val="21"/>
              </w:rPr>
            </w:pPr>
            <w:r>
              <w:rPr>
                <w:rFonts w:ascii="微软雅黑" w:eastAsia="微软雅黑" w:hint="eastAsia"/>
                <w:b/>
                <w:w w:val="81"/>
                <w:sz w:val="21"/>
              </w:rPr>
              <w:t>36</w:t>
            </w:r>
            <w:r>
              <w:rPr>
                <w:rFonts w:ascii="微软雅黑" w:eastAsia="微软雅黑" w:hint="eastAsia"/>
                <w:b/>
                <w:w w:val="176"/>
                <w:sz w:val="21"/>
              </w:rPr>
              <w:t>.</w:t>
            </w:r>
            <w:r>
              <w:rPr>
                <w:rFonts w:ascii="微软雅黑" w:eastAsia="微软雅黑" w:hint="eastAsia"/>
                <w:b/>
                <w:sz w:val="21"/>
              </w:rPr>
              <w:t> </w:t>
            </w:r>
            <w:r>
              <w:rPr>
                <w:rFonts w:ascii="微软雅黑" w:eastAsia="微软雅黑" w:hint="eastAsia"/>
                <w:b/>
                <w:spacing w:val="27"/>
                <w:w w:val="100"/>
                <w:sz w:val="21"/>
              </w:rPr>
              <w:t>胰岛素依赖型糖</w:t>
            </w:r>
            <w:r>
              <w:rPr>
                <w:rFonts w:ascii="微软雅黑" w:eastAsia="微软雅黑" w:hint="eastAsia"/>
                <w:b/>
                <w:sz w:val="21"/>
              </w:rPr>
              <w:t>尿病（Ｉ型糖尿病）</w:t>
            </w:r>
          </w:p>
        </w:tc>
        <w:tc>
          <w:tcPr>
            <w:tcW w:w="7306" w:type="dxa"/>
          </w:tcPr>
          <w:p>
            <w:pPr>
              <w:pStyle w:val="TableParagraph"/>
              <w:spacing w:line="326" w:lineRule="auto" w:before="102"/>
              <w:ind w:right="303"/>
              <w:rPr>
                <w:sz w:val="21"/>
              </w:rPr>
            </w:pPr>
            <w:r>
              <w:rPr>
                <w:spacing w:val="-6"/>
                <w:sz w:val="21"/>
              </w:rPr>
              <w:t>胰岛素依赖型糖尿病是由于胰岛素分泌不足引起的慢性血糖升高，并需持续性地依赖外源性胰岛素维持一百八十天以上，须由本公司认可的有资格的内</w:t>
            </w:r>
            <w:r>
              <w:rPr>
                <w:spacing w:val="-5"/>
                <w:sz w:val="21"/>
              </w:rPr>
              <w:t>分泌医生确诊并在本附加险合同保险责任有效期内，满足下述至少一个条 件。</w:t>
            </w:r>
          </w:p>
          <w:p>
            <w:pPr>
              <w:pStyle w:val="TableParagraph"/>
              <w:numPr>
                <w:ilvl w:val="0"/>
                <w:numId w:val="26"/>
              </w:numPr>
              <w:tabs>
                <w:tab w:pos="517" w:val="left" w:leader="none"/>
              </w:tabs>
              <w:spacing w:line="246" w:lineRule="exact" w:before="0" w:after="0"/>
              <w:ind w:left="516" w:right="0" w:hanging="423"/>
              <w:jc w:val="left"/>
              <w:rPr>
                <w:sz w:val="21"/>
              </w:rPr>
            </w:pPr>
            <w:r>
              <w:rPr>
                <w:spacing w:val="-5"/>
                <w:sz w:val="21"/>
              </w:rPr>
              <w:t>本公司认可的内分泌医生确定已出现增殖性视网膜病变；</w:t>
            </w:r>
          </w:p>
          <w:p>
            <w:pPr>
              <w:pStyle w:val="TableParagraph"/>
              <w:numPr>
                <w:ilvl w:val="0"/>
                <w:numId w:val="26"/>
              </w:numPr>
              <w:tabs>
                <w:tab w:pos="517" w:val="left" w:leader="none"/>
              </w:tabs>
              <w:spacing w:line="240" w:lineRule="auto" w:before="57" w:after="0"/>
              <w:ind w:left="516" w:right="0" w:hanging="423"/>
              <w:jc w:val="left"/>
              <w:rPr>
                <w:sz w:val="21"/>
              </w:rPr>
            </w:pPr>
            <w:r>
              <w:rPr>
                <w:spacing w:val="-3"/>
                <w:sz w:val="21"/>
              </w:rPr>
              <w:t>须植入心脏起搏器治疗心脏病；</w:t>
            </w:r>
          </w:p>
          <w:p>
            <w:pPr>
              <w:pStyle w:val="TableParagraph"/>
              <w:numPr>
                <w:ilvl w:val="0"/>
                <w:numId w:val="26"/>
              </w:numPr>
              <w:tabs>
                <w:tab w:pos="517" w:val="left" w:leader="none"/>
              </w:tabs>
              <w:spacing w:line="240" w:lineRule="auto" w:before="51" w:after="0"/>
              <w:ind w:left="516" w:right="0" w:hanging="423"/>
              <w:jc w:val="left"/>
              <w:rPr>
                <w:sz w:val="21"/>
              </w:rPr>
            </w:pPr>
            <w:r>
              <w:rPr>
                <w:spacing w:val="-3"/>
                <w:sz w:val="21"/>
              </w:rPr>
              <w:t>因坏疽需切除一只或以上脚趾。</w:t>
            </w:r>
          </w:p>
        </w:tc>
      </w:tr>
      <w:tr>
        <w:trPr>
          <w:trHeight w:val="909" w:hRule="atLeast"/>
        </w:trPr>
        <w:tc>
          <w:tcPr>
            <w:tcW w:w="2320" w:type="dxa"/>
          </w:tcPr>
          <w:p>
            <w:pPr>
              <w:pStyle w:val="TableParagraph"/>
              <w:spacing w:line="180" w:lineRule="auto" w:before="99"/>
              <w:ind w:left="200" w:right="38"/>
              <w:rPr>
                <w:rFonts w:ascii="微软雅黑" w:eastAsia="微软雅黑" w:hint="eastAsia"/>
                <w:b/>
                <w:sz w:val="21"/>
              </w:rPr>
            </w:pPr>
            <w:r>
              <w:rPr>
                <w:rFonts w:ascii="微软雅黑" w:eastAsia="微软雅黑" w:hint="eastAsia"/>
                <w:b/>
                <w:w w:val="81"/>
                <w:sz w:val="21"/>
              </w:rPr>
              <w:t>37</w:t>
            </w:r>
            <w:r>
              <w:rPr>
                <w:rFonts w:ascii="微软雅黑" w:eastAsia="微软雅黑" w:hint="eastAsia"/>
                <w:b/>
                <w:w w:val="176"/>
                <w:sz w:val="21"/>
              </w:rPr>
              <w:t>.</w:t>
            </w:r>
            <w:r>
              <w:rPr>
                <w:rFonts w:ascii="微软雅黑" w:eastAsia="微软雅黑" w:hint="eastAsia"/>
                <w:b/>
                <w:sz w:val="21"/>
              </w:rPr>
              <w:t> </w:t>
            </w:r>
            <w:r>
              <w:rPr>
                <w:rFonts w:ascii="微软雅黑" w:eastAsia="微软雅黑" w:hint="eastAsia"/>
                <w:b/>
                <w:spacing w:val="27"/>
                <w:w w:val="100"/>
                <w:sz w:val="21"/>
              </w:rPr>
              <w:t>脑动脉瘤开颅手</w:t>
            </w:r>
            <w:r>
              <w:rPr>
                <w:rFonts w:ascii="微软雅黑" w:eastAsia="微软雅黑" w:hint="eastAsia"/>
                <w:b/>
                <w:sz w:val="21"/>
              </w:rPr>
              <w:t>术</w:t>
            </w:r>
          </w:p>
        </w:tc>
        <w:tc>
          <w:tcPr>
            <w:tcW w:w="7306" w:type="dxa"/>
          </w:tcPr>
          <w:p>
            <w:pPr>
              <w:pStyle w:val="TableParagraph"/>
              <w:spacing w:line="326" w:lineRule="auto" w:before="128"/>
              <w:ind w:right="279"/>
              <w:rPr>
                <w:sz w:val="21"/>
              </w:rPr>
            </w:pPr>
            <w:r>
              <w:rPr>
                <w:sz w:val="21"/>
              </w:rPr>
              <w:t>指确已进行开颅手术以夹闭、修复或切除脑动脉瘤。但不包括导管及血管内手术。</w:t>
            </w:r>
          </w:p>
        </w:tc>
      </w:tr>
      <w:tr>
        <w:trPr>
          <w:trHeight w:val="907" w:hRule="atLeast"/>
        </w:trPr>
        <w:tc>
          <w:tcPr>
            <w:tcW w:w="2320" w:type="dxa"/>
          </w:tcPr>
          <w:p>
            <w:pPr>
              <w:pStyle w:val="TableParagraph"/>
              <w:spacing w:line="180" w:lineRule="auto" w:before="96"/>
              <w:ind w:left="200" w:right="74"/>
              <w:rPr>
                <w:rFonts w:ascii="微软雅黑" w:eastAsia="微软雅黑" w:hint="eastAsia"/>
                <w:b/>
                <w:sz w:val="21"/>
              </w:rPr>
            </w:pPr>
            <w:r>
              <w:rPr>
                <w:rFonts w:ascii="微软雅黑" w:eastAsia="微软雅黑" w:hint="eastAsia"/>
                <w:b/>
                <w:w w:val="81"/>
                <w:sz w:val="21"/>
              </w:rPr>
              <w:t>38</w:t>
            </w:r>
            <w:r>
              <w:rPr>
                <w:rFonts w:ascii="微软雅黑" w:eastAsia="微软雅黑" w:hint="eastAsia"/>
                <w:b/>
                <w:w w:val="176"/>
                <w:sz w:val="21"/>
              </w:rPr>
              <w:t>.</w:t>
            </w:r>
            <w:r>
              <w:rPr>
                <w:rFonts w:ascii="微软雅黑" w:eastAsia="微软雅黑" w:hint="eastAsia"/>
                <w:b/>
                <w:w w:val="100"/>
                <w:sz w:val="21"/>
              </w:rPr>
              <w:t>侵蚀性葡萄胎（恶</w:t>
            </w:r>
            <w:r>
              <w:rPr>
                <w:rFonts w:ascii="微软雅黑" w:eastAsia="微软雅黑" w:hint="eastAsia"/>
                <w:b/>
                <w:sz w:val="21"/>
              </w:rPr>
              <w:t>性葡萄胎）</w:t>
            </w:r>
          </w:p>
        </w:tc>
        <w:tc>
          <w:tcPr>
            <w:tcW w:w="7306" w:type="dxa"/>
          </w:tcPr>
          <w:p>
            <w:pPr>
              <w:pStyle w:val="TableParagraph"/>
              <w:spacing w:line="326" w:lineRule="auto" w:before="126"/>
              <w:ind w:right="484"/>
              <w:rPr>
                <w:sz w:val="21"/>
              </w:rPr>
            </w:pPr>
            <w:r>
              <w:rPr>
                <w:sz w:val="21"/>
              </w:rPr>
              <w:t>该类疾病是指异常增生的绒毛组织浸润性生长浸入子宫肌层或转移至其他器官或组织的葡萄胎，并已经进行化疗或手术切除治疗的。</w:t>
            </w:r>
          </w:p>
        </w:tc>
      </w:tr>
      <w:tr>
        <w:trPr>
          <w:trHeight w:val="3154" w:hRule="atLeast"/>
        </w:trPr>
        <w:tc>
          <w:tcPr>
            <w:tcW w:w="2320" w:type="dxa"/>
          </w:tcPr>
          <w:p>
            <w:pPr>
              <w:pStyle w:val="TableParagraph"/>
              <w:spacing w:before="5"/>
              <w:ind w:left="200"/>
              <w:rPr>
                <w:rFonts w:ascii="微软雅黑" w:eastAsia="微软雅黑" w:hint="eastAsia"/>
                <w:b/>
                <w:sz w:val="21"/>
              </w:rPr>
            </w:pPr>
            <w:r>
              <w:rPr>
                <w:rFonts w:ascii="微软雅黑" w:eastAsia="微软雅黑" w:hint="eastAsia"/>
                <w:b/>
                <w:w w:val="81"/>
                <w:sz w:val="21"/>
              </w:rPr>
              <w:t>39</w:t>
            </w:r>
            <w:r>
              <w:rPr>
                <w:rFonts w:ascii="微软雅黑" w:eastAsia="微软雅黑" w:hint="eastAsia"/>
                <w:b/>
                <w:w w:val="176"/>
                <w:sz w:val="21"/>
              </w:rPr>
              <w:t>.</w:t>
            </w:r>
            <w:r>
              <w:rPr>
                <w:rFonts w:ascii="微软雅黑" w:eastAsia="微软雅黑" w:hint="eastAsia"/>
                <w:b/>
                <w:w w:val="100"/>
                <w:sz w:val="21"/>
              </w:rPr>
              <w:t>原发性心肌病</w:t>
            </w:r>
          </w:p>
        </w:tc>
        <w:tc>
          <w:tcPr>
            <w:tcW w:w="7306" w:type="dxa"/>
          </w:tcPr>
          <w:p>
            <w:pPr>
              <w:pStyle w:val="TableParagraph"/>
              <w:spacing w:line="326" w:lineRule="auto" w:before="126"/>
              <w:ind w:right="198"/>
              <w:rPr>
                <w:sz w:val="21"/>
              </w:rPr>
            </w:pPr>
            <w:r>
              <w:rPr>
                <w:spacing w:val="-6"/>
                <w:sz w:val="21"/>
              </w:rPr>
              <w:t>指不明原因引起的一类心肌病变，包括原发性扩张型心肌病、原发性肥厚型</w:t>
            </w:r>
            <w:r>
              <w:rPr>
                <w:spacing w:val="-7"/>
                <w:sz w:val="21"/>
              </w:rPr>
              <w:t>心肌病及原发性限制型心肌病三种，病变必须已造成事实上心室功能障碍而</w:t>
            </w:r>
            <w:r>
              <w:rPr>
                <w:spacing w:val="-8"/>
                <w:w w:val="100"/>
                <w:sz w:val="21"/>
              </w:rPr>
              <w:t>出现明显的心功能衰竭</w:t>
            </w:r>
            <w:r>
              <w:rPr>
                <w:w w:val="100"/>
                <w:sz w:val="21"/>
              </w:rPr>
              <w:t>（</w:t>
            </w:r>
            <w:r>
              <w:rPr>
                <w:spacing w:val="-5"/>
                <w:w w:val="100"/>
                <w:sz w:val="21"/>
              </w:rPr>
              <w:t>美国纽约心脏协会心功能分类标准心功能达四级</w:t>
            </w:r>
            <w:r>
              <w:rPr>
                <w:spacing w:val="-111"/>
                <w:w w:val="100"/>
                <w:sz w:val="21"/>
              </w:rPr>
              <w:t>）</w:t>
            </w:r>
            <w:r>
              <w:rPr>
                <w:w w:val="100"/>
                <w:sz w:val="21"/>
              </w:rPr>
              <w:t>，</w:t>
            </w:r>
            <w:r>
              <w:rPr>
                <w:spacing w:val="-7"/>
                <w:sz w:val="21"/>
              </w:rPr>
              <w:t>且有相关住院医疗记录显示四级心功能衰竭状态持续至少 </w:t>
            </w:r>
            <w:r>
              <w:rPr>
                <w:sz w:val="21"/>
              </w:rPr>
              <w:t>180</w:t>
            </w:r>
            <w:r>
              <w:rPr>
                <w:spacing w:val="-16"/>
                <w:sz w:val="21"/>
              </w:rPr>
              <w:t> 天。</w:t>
            </w:r>
          </w:p>
          <w:p>
            <w:pPr>
              <w:pStyle w:val="TableParagraph"/>
              <w:spacing w:line="326" w:lineRule="auto" w:before="24"/>
              <w:ind w:right="263"/>
              <w:rPr>
                <w:sz w:val="21"/>
              </w:rPr>
            </w:pPr>
            <w:r>
              <w:rPr>
                <w:sz w:val="21"/>
              </w:rPr>
              <w:t>本病须经专科医师明确诊断。继发于全身性疾病或其它器官系统疾病造成的心肌病变除外。</w:t>
            </w:r>
          </w:p>
          <w:p>
            <w:pPr>
              <w:pStyle w:val="TableParagraph"/>
              <w:spacing w:line="326" w:lineRule="auto" w:before="24"/>
              <w:ind w:right="483"/>
              <w:rPr>
                <w:sz w:val="21"/>
              </w:rPr>
            </w:pPr>
            <w:r>
              <w:rPr>
                <w:sz w:val="21"/>
              </w:rPr>
              <w:t>美国纽约心脏协会分类标准心功能四级是指有医院的医疗记录显示病人不能进行任何活动，休息时仍有心悸、呼吸困难等心力衰竭表现。</w:t>
            </w:r>
          </w:p>
        </w:tc>
      </w:tr>
      <w:tr>
        <w:trPr>
          <w:trHeight w:val="1281" w:hRule="atLeast"/>
        </w:trPr>
        <w:tc>
          <w:tcPr>
            <w:tcW w:w="2320" w:type="dxa"/>
          </w:tcPr>
          <w:p>
            <w:pPr>
              <w:pStyle w:val="TableParagraph"/>
              <w:spacing w:before="5"/>
              <w:ind w:left="200"/>
              <w:rPr>
                <w:rFonts w:ascii="微软雅黑" w:eastAsia="微软雅黑" w:hint="eastAsia"/>
                <w:b/>
                <w:sz w:val="21"/>
              </w:rPr>
            </w:pPr>
            <w:r>
              <w:rPr>
                <w:rFonts w:ascii="微软雅黑" w:eastAsia="微软雅黑" w:hint="eastAsia"/>
                <w:b/>
                <w:sz w:val="21"/>
              </w:rPr>
              <w:t>40.严重克隆病</w:t>
            </w:r>
          </w:p>
        </w:tc>
        <w:tc>
          <w:tcPr>
            <w:tcW w:w="7306" w:type="dxa"/>
          </w:tcPr>
          <w:p>
            <w:pPr>
              <w:pStyle w:val="TableParagraph"/>
              <w:spacing w:line="326" w:lineRule="auto" w:before="126"/>
              <w:ind w:right="303"/>
              <w:jc w:val="both"/>
              <w:rPr>
                <w:sz w:val="21"/>
              </w:rPr>
            </w:pPr>
            <w:r>
              <w:rPr>
                <w:spacing w:val="-6"/>
                <w:sz w:val="21"/>
              </w:rPr>
              <w:t>克隆病是一种慢性肉芽肿性肠炎，具有特征性的克隆病病理组织学变化。诊</w:t>
            </w:r>
            <w:r>
              <w:rPr>
                <w:spacing w:val="-7"/>
                <w:sz w:val="21"/>
              </w:rPr>
              <w:t>断必须由病理检查结果证实。被保险人所患的克隆病必须已经造成瘘管形成</w:t>
            </w:r>
            <w:r>
              <w:rPr>
                <w:spacing w:val="-6"/>
                <w:sz w:val="21"/>
              </w:rPr>
              <w:t>并伴有肠梗阻或肠穿孔。</w:t>
            </w:r>
          </w:p>
        </w:tc>
      </w:tr>
      <w:tr>
        <w:trPr>
          <w:trHeight w:val="775" w:hRule="atLeast"/>
        </w:trPr>
        <w:tc>
          <w:tcPr>
            <w:tcW w:w="2320" w:type="dxa"/>
          </w:tcPr>
          <w:p>
            <w:pPr>
              <w:pStyle w:val="TableParagraph"/>
              <w:spacing w:before="6"/>
              <w:ind w:left="200"/>
              <w:rPr>
                <w:rFonts w:ascii="微软雅黑" w:eastAsia="微软雅黑" w:hint="eastAsia"/>
                <w:b/>
                <w:sz w:val="21"/>
              </w:rPr>
            </w:pPr>
            <w:r>
              <w:rPr>
                <w:rFonts w:ascii="微软雅黑" w:eastAsia="微软雅黑" w:hint="eastAsia"/>
                <w:b/>
                <w:sz w:val="21"/>
              </w:rPr>
              <w:t>41.埃博拉病毒感染</w:t>
            </w:r>
          </w:p>
        </w:tc>
        <w:tc>
          <w:tcPr>
            <w:tcW w:w="7306" w:type="dxa"/>
          </w:tcPr>
          <w:p>
            <w:pPr>
              <w:pStyle w:val="TableParagraph"/>
              <w:spacing w:before="126"/>
              <w:rPr>
                <w:sz w:val="21"/>
              </w:rPr>
            </w:pPr>
            <w:r>
              <w:rPr>
                <w:sz w:val="21"/>
              </w:rPr>
              <w:t>埃博拉病毒感染的诊断须同时符合下列要求：</w:t>
            </w:r>
          </w:p>
          <w:p>
            <w:pPr>
              <w:pStyle w:val="TableParagraph"/>
              <w:spacing w:line="255" w:lineRule="exact" w:before="99"/>
              <w:rPr>
                <w:sz w:val="21"/>
              </w:rPr>
            </w:pPr>
            <w:r>
              <w:rPr>
                <w:sz w:val="21"/>
              </w:rPr>
              <w:t>（1）实验室检查证实埃博拉病毒的存在；</w:t>
            </w:r>
          </w:p>
        </w:tc>
      </w:tr>
    </w:tbl>
    <w:p>
      <w:pPr>
        <w:spacing w:after="0" w:line="255" w:lineRule="exact"/>
        <w:rPr>
          <w:sz w:val="21"/>
        </w:rPr>
        <w:sectPr>
          <w:pgSz w:w="11910" w:h="16840"/>
          <w:pgMar w:header="0" w:footer="377" w:top="1300" w:bottom="560" w:left="146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2319"/>
        <w:gridCol w:w="7315"/>
      </w:tblGrid>
      <w:tr>
        <w:trPr>
          <w:trHeight w:val="343" w:hRule="atLeast"/>
        </w:trPr>
        <w:tc>
          <w:tcPr>
            <w:tcW w:w="730" w:type="dxa"/>
          </w:tcPr>
          <w:p>
            <w:pPr>
              <w:pStyle w:val="TableParagraph"/>
              <w:ind w:left="0"/>
              <w:rPr>
                <w:rFonts w:ascii="Times New Roman"/>
                <w:sz w:val="20"/>
              </w:rPr>
            </w:pPr>
          </w:p>
        </w:tc>
        <w:tc>
          <w:tcPr>
            <w:tcW w:w="2319" w:type="dxa"/>
          </w:tcPr>
          <w:p>
            <w:pPr>
              <w:pStyle w:val="TableParagraph"/>
              <w:ind w:left="0"/>
              <w:rPr>
                <w:rFonts w:ascii="Times New Roman"/>
                <w:sz w:val="20"/>
              </w:rPr>
            </w:pPr>
          </w:p>
        </w:tc>
        <w:tc>
          <w:tcPr>
            <w:tcW w:w="7315" w:type="dxa"/>
          </w:tcPr>
          <w:p>
            <w:pPr>
              <w:pStyle w:val="TableParagraph"/>
              <w:spacing w:line="211" w:lineRule="exact"/>
              <w:ind w:left="108"/>
              <w:rPr>
                <w:sz w:val="21"/>
              </w:rPr>
            </w:pPr>
            <w:r>
              <w:rPr>
                <w:sz w:val="21"/>
              </w:rPr>
              <w:t>（2）从发病开始有超过 30 天的进行性感染症状。</w:t>
            </w:r>
          </w:p>
        </w:tc>
      </w:tr>
      <w:tr>
        <w:trPr>
          <w:trHeight w:val="2033" w:hRule="atLeast"/>
        </w:trPr>
        <w:tc>
          <w:tcPr>
            <w:tcW w:w="730" w:type="dxa"/>
          </w:tcPr>
          <w:p>
            <w:pPr>
              <w:pStyle w:val="TableParagraph"/>
              <w:ind w:left="0"/>
              <w:rPr>
                <w:rFonts w:ascii="Times New Roman"/>
                <w:sz w:val="20"/>
              </w:rPr>
            </w:pPr>
          </w:p>
        </w:tc>
        <w:tc>
          <w:tcPr>
            <w:tcW w:w="2319" w:type="dxa"/>
          </w:tcPr>
          <w:p>
            <w:pPr>
              <w:pStyle w:val="TableParagraph"/>
              <w:spacing w:before="5"/>
              <w:ind w:left="213"/>
              <w:rPr>
                <w:rFonts w:ascii="微软雅黑" w:eastAsia="微软雅黑" w:hint="eastAsia"/>
                <w:b/>
                <w:sz w:val="21"/>
              </w:rPr>
            </w:pPr>
            <w:r>
              <w:rPr>
                <w:rFonts w:ascii="微软雅黑" w:eastAsia="微软雅黑" w:hint="eastAsia"/>
                <w:b/>
                <w:sz w:val="21"/>
              </w:rPr>
              <w:t>42.主动脉夹层瘤</w:t>
            </w:r>
          </w:p>
        </w:tc>
        <w:tc>
          <w:tcPr>
            <w:tcW w:w="7315" w:type="dxa"/>
          </w:tcPr>
          <w:p>
            <w:pPr>
              <w:pStyle w:val="TableParagraph"/>
              <w:spacing w:line="326" w:lineRule="auto" w:before="126"/>
              <w:ind w:left="108" w:right="295"/>
              <w:rPr>
                <w:sz w:val="21"/>
              </w:rPr>
            </w:pPr>
            <w:r>
              <w:rPr>
                <w:spacing w:val="-6"/>
                <w:sz w:val="21"/>
              </w:rPr>
              <w:t>是指主动脉壁在受到某些病理因素的破坏后，高速、高压的主动脉血流将其</w:t>
            </w:r>
            <w:r>
              <w:rPr>
                <w:spacing w:val="-8"/>
                <w:sz w:val="21"/>
              </w:rPr>
              <w:t>内膜撕裂，以致主动脉腔内的血流通过主动脉内膜的破裂口进入主动脉内壁</w:t>
            </w:r>
            <w:r>
              <w:rPr>
                <w:spacing w:val="-6"/>
                <w:w w:val="100"/>
                <w:sz w:val="21"/>
              </w:rPr>
              <w:t>而形成血肿。被保险人需通过电脑断层扫描</w:t>
            </w:r>
            <w:r>
              <w:rPr>
                <w:spacing w:val="0"/>
                <w:w w:val="100"/>
                <w:sz w:val="21"/>
              </w:rPr>
              <w:t>（</w:t>
            </w:r>
            <w:r>
              <w:rPr>
                <w:w w:val="100"/>
                <w:sz w:val="21"/>
              </w:rPr>
              <w:t>C</w:t>
            </w:r>
            <w:r>
              <w:rPr>
                <w:spacing w:val="-5"/>
                <w:w w:val="100"/>
                <w:sz w:val="21"/>
              </w:rPr>
              <w:t>T</w:t>
            </w:r>
            <w:r>
              <w:rPr>
                <w:spacing w:val="-106"/>
                <w:w w:val="100"/>
                <w:sz w:val="21"/>
              </w:rPr>
              <w:t>）</w:t>
            </w:r>
            <w:r>
              <w:rPr>
                <w:spacing w:val="-3"/>
                <w:w w:val="100"/>
                <w:sz w:val="21"/>
              </w:rPr>
              <w:t>、磁共振扫描</w:t>
            </w:r>
            <w:r>
              <w:rPr>
                <w:w w:val="100"/>
                <w:sz w:val="21"/>
              </w:rPr>
              <w:t>（MRI</w:t>
            </w:r>
            <w:r>
              <w:rPr>
                <w:spacing w:val="-106"/>
                <w:w w:val="100"/>
                <w:sz w:val="21"/>
              </w:rPr>
              <w:t>）</w:t>
            </w:r>
            <w:r>
              <w:rPr>
                <w:spacing w:val="-3"/>
                <w:w w:val="100"/>
                <w:sz w:val="21"/>
              </w:rPr>
              <w:t>、磁</w:t>
            </w:r>
            <w:r>
              <w:rPr>
                <w:spacing w:val="-4"/>
                <w:sz w:val="21"/>
              </w:rPr>
              <w:t>共振血管检验法</w:t>
            </w:r>
            <w:r>
              <w:rPr>
                <w:sz w:val="21"/>
              </w:rPr>
              <w:t>（MRA）</w:t>
            </w:r>
            <w:r>
              <w:rPr>
                <w:spacing w:val="-5"/>
                <w:sz w:val="21"/>
              </w:rPr>
              <w:t>或血管扫描等检查，并须经本公司指定或认可的医疗机构的心血管专科医师确诊。</w:t>
            </w:r>
          </w:p>
        </w:tc>
      </w:tr>
      <w:tr>
        <w:trPr>
          <w:trHeight w:val="8337" w:hRule="atLeast"/>
        </w:trPr>
        <w:tc>
          <w:tcPr>
            <w:tcW w:w="730" w:type="dxa"/>
          </w:tcPr>
          <w:p>
            <w:pPr>
              <w:pStyle w:val="TableParagraph"/>
              <w:ind w:left="0"/>
              <w:rPr>
                <w:rFonts w:ascii="Times New Roman"/>
                <w:sz w:val="20"/>
              </w:rPr>
            </w:pPr>
          </w:p>
        </w:tc>
        <w:tc>
          <w:tcPr>
            <w:tcW w:w="2319" w:type="dxa"/>
          </w:tcPr>
          <w:p>
            <w:pPr>
              <w:pStyle w:val="TableParagraph"/>
              <w:spacing w:line="247" w:lineRule="auto" w:before="61"/>
              <w:ind w:left="213" w:right="202"/>
              <w:rPr>
                <w:rFonts w:ascii="微软雅黑" w:eastAsia="微软雅黑" w:hint="eastAsia"/>
                <w:b/>
                <w:sz w:val="21"/>
              </w:rPr>
            </w:pPr>
            <w:r>
              <w:rPr>
                <w:rFonts w:ascii="微软雅黑" w:eastAsia="微软雅黑" w:hint="eastAsia"/>
                <w:b/>
                <w:sz w:val="21"/>
              </w:rPr>
              <w:t>重大疾病定义中所用到的术语定义：</w:t>
            </w:r>
          </w:p>
        </w:tc>
        <w:tc>
          <w:tcPr>
            <w:tcW w:w="7315" w:type="dxa"/>
          </w:tcPr>
          <w:p>
            <w:pPr>
              <w:pStyle w:val="TableParagraph"/>
              <w:spacing w:before="70"/>
              <w:ind w:left="103"/>
              <w:rPr>
                <w:sz w:val="21"/>
              </w:rPr>
            </w:pPr>
            <w:r>
              <w:rPr>
                <w:sz w:val="21"/>
              </w:rPr>
              <w:t>1.肢体机能完全丧失</w:t>
            </w:r>
          </w:p>
          <w:p>
            <w:pPr>
              <w:pStyle w:val="TableParagraph"/>
              <w:spacing w:line="285" w:lineRule="auto" w:before="51"/>
              <w:ind w:left="310" w:right="297"/>
              <w:jc w:val="both"/>
              <w:rPr>
                <w:sz w:val="21"/>
              </w:rPr>
            </w:pPr>
            <w:r>
              <w:rPr>
                <w:spacing w:val="-6"/>
                <w:sz w:val="21"/>
              </w:rPr>
              <w:t>指肢体的三大关节中的两大关节僵硬，或不能随意识活动。肢体是指包括</w:t>
            </w:r>
            <w:r>
              <w:rPr>
                <w:spacing w:val="-5"/>
                <w:sz w:val="21"/>
              </w:rPr>
              <w:t>肩关节的整个上肢或包括髋关节的整个下肢。</w:t>
            </w:r>
          </w:p>
          <w:p>
            <w:pPr>
              <w:pStyle w:val="TableParagraph"/>
              <w:spacing w:before="11"/>
              <w:ind w:left="103"/>
              <w:rPr>
                <w:sz w:val="21"/>
              </w:rPr>
            </w:pPr>
            <w:r>
              <w:rPr>
                <w:sz w:val="21"/>
              </w:rPr>
              <w:t>2.语言能力或咀嚼吞咽能力完全丧失</w:t>
            </w:r>
          </w:p>
          <w:p>
            <w:pPr>
              <w:pStyle w:val="TableParagraph"/>
              <w:spacing w:line="288" w:lineRule="auto" w:before="51"/>
              <w:ind w:left="310" w:right="294"/>
              <w:jc w:val="both"/>
              <w:rPr>
                <w:sz w:val="21"/>
              </w:rPr>
            </w:pPr>
            <w:r>
              <w:rPr>
                <w:spacing w:val="-5"/>
                <w:sz w:val="21"/>
              </w:rPr>
              <w:t>语言能力完全丧失，指无法发出四种语音</w:t>
            </w:r>
            <w:r>
              <w:rPr>
                <w:sz w:val="21"/>
              </w:rPr>
              <w:t>（</w:t>
            </w:r>
            <w:r>
              <w:rPr>
                <w:spacing w:val="-5"/>
                <w:sz w:val="21"/>
              </w:rPr>
              <w:t>包括口唇音、齿舌音、口盖音和喉头音）</w:t>
            </w:r>
            <w:r>
              <w:rPr>
                <w:spacing w:val="-6"/>
                <w:sz w:val="21"/>
              </w:rPr>
              <w:t>中的任何三种、或声带全部切除，或因大脑语言中枢受伤害而患失语症。</w:t>
            </w:r>
          </w:p>
          <w:p>
            <w:pPr>
              <w:pStyle w:val="TableParagraph"/>
              <w:spacing w:line="285" w:lineRule="auto" w:before="10"/>
              <w:ind w:left="310" w:right="278"/>
              <w:jc w:val="both"/>
              <w:rPr>
                <w:sz w:val="21"/>
              </w:rPr>
            </w:pPr>
            <w:r>
              <w:rPr>
                <w:sz w:val="21"/>
              </w:rPr>
              <w:t>咀嚼吞咽能力完全丧失，指因牙齿以外的原因导致器质障碍或机能障碍， 以致不能作咀嚼吞咽运动，除流质食物外不能摄取或吞咽的状态。</w:t>
            </w:r>
          </w:p>
          <w:p>
            <w:pPr>
              <w:pStyle w:val="TableParagraph"/>
              <w:spacing w:before="11"/>
              <w:ind w:left="103"/>
              <w:rPr>
                <w:sz w:val="21"/>
              </w:rPr>
            </w:pPr>
            <w:r>
              <w:rPr>
                <w:sz w:val="21"/>
              </w:rPr>
              <w:t>3.永久不可逆</w:t>
            </w:r>
          </w:p>
          <w:p>
            <w:pPr>
              <w:pStyle w:val="TableParagraph"/>
              <w:spacing w:line="285" w:lineRule="auto" w:before="51"/>
              <w:ind w:left="310" w:right="295"/>
              <w:jc w:val="both"/>
              <w:rPr>
                <w:sz w:val="21"/>
              </w:rPr>
            </w:pPr>
            <w:r>
              <w:rPr>
                <w:spacing w:val="-7"/>
                <w:sz w:val="21"/>
              </w:rPr>
              <w:t>指自疾病确诊或意外伤害发生之日起，经过积极治疗 </w:t>
            </w:r>
            <w:r>
              <w:rPr>
                <w:sz w:val="21"/>
              </w:rPr>
              <w:t>180</w:t>
            </w:r>
            <w:r>
              <w:rPr>
                <w:spacing w:val="-8"/>
                <w:sz w:val="21"/>
              </w:rPr>
              <w:t> 天后，仍无法通</w:t>
            </w:r>
            <w:r>
              <w:rPr>
                <w:spacing w:val="-6"/>
                <w:sz w:val="21"/>
              </w:rPr>
              <w:t>过现有医疗手段恢复。</w:t>
            </w:r>
          </w:p>
          <w:p>
            <w:pPr>
              <w:pStyle w:val="TableParagraph"/>
              <w:spacing w:before="11"/>
              <w:ind w:left="103"/>
              <w:rPr>
                <w:sz w:val="21"/>
              </w:rPr>
            </w:pPr>
            <w:r>
              <w:rPr>
                <w:sz w:val="21"/>
              </w:rPr>
              <w:t>4.专科医生</w:t>
            </w:r>
          </w:p>
          <w:p>
            <w:pPr>
              <w:pStyle w:val="TableParagraph"/>
              <w:spacing w:line="285" w:lineRule="auto" w:before="51"/>
              <w:ind w:left="310" w:right="282"/>
              <w:jc w:val="both"/>
              <w:rPr>
                <w:sz w:val="21"/>
              </w:rPr>
            </w:pPr>
            <w:r>
              <w:rPr>
                <w:spacing w:val="-4"/>
                <w:w w:val="100"/>
                <w:sz w:val="21"/>
              </w:rPr>
              <w:t>专科医生应当同时满足以下四项资格条件</w:t>
            </w:r>
            <w:r>
              <w:rPr>
                <w:spacing w:val="-116"/>
                <w:w w:val="100"/>
                <w:sz w:val="21"/>
              </w:rPr>
              <w:t>：</w:t>
            </w:r>
            <w:r>
              <w:rPr>
                <w:spacing w:val="1"/>
                <w:w w:val="100"/>
                <w:sz w:val="21"/>
              </w:rPr>
              <w:t>（</w:t>
            </w:r>
            <w:r>
              <w:rPr>
                <w:spacing w:val="-5"/>
                <w:w w:val="100"/>
                <w:sz w:val="21"/>
              </w:rPr>
              <w:t>1</w:t>
            </w:r>
            <w:r>
              <w:rPr>
                <w:spacing w:val="-10"/>
                <w:w w:val="100"/>
                <w:sz w:val="21"/>
              </w:rPr>
              <w:t>）</w:t>
            </w:r>
            <w:r>
              <w:rPr>
                <w:spacing w:val="-3"/>
                <w:w w:val="100"/>
                <w:sz w:val="21"/>
              </w:rPr>
              <w:t>具有有效的中华人民共和</w:t>
            </w:r>
            <w:r>
              <w:rPr>
                <w:spacing w:val="-26"/>
                <w:w w:val="100"/>
                <w:sz w:val="21"/>
              </w:rPr>
              <w:t>国《医师资格证书》；</w:t>
            </w:r>
            <w:r>
              <w:rPr>
                <w:spacing w:val="0"/>
                <w:w w:val="100"/>
                <w:sz w:val="21"/>
              </w:rPr>
              <w:t>（</w:t>
            </w:r>
            <w:r>
              <w:rPr>
                <w:w w:val="100"/>
                <w:sz w:val="21"/>
              </w:rPr>
              <w:t>2）</w:t>
            </w:r>
            <w:r>
              <w:rPr>
                <w:spacing w:val="-11"/>
                <w:w w:val="100"/>
                <w:sz w:val="21"/>
              </w:rPr>
              <w:t>具有有效的中华人民共和国《医师执业证书》，</w:t>
            </w:r>
            <w:r>
              <w:rPr>
                <w:spacing w:val="-16"/>
                <w:w w:val="100"/>
                <w:sz w:val="21"/>
              </w:rPr>
              <w:t>并按期到相关部门登记注册；</w:t>
            </w:r>
            <w:r>
              <w:rPr>
                <w:spacing w:val="0"/>
                <w:w w:val="100"/>
                <w:sz w:val="21"/>
              </w:rPr>
              <w:t>（</w:t>
            </w:r>
            <w:r>
              <w:rPr>
                <w:w w:val="100"/>
                <w:sz w:val="21"/>
              </w:rPr>
              <w:t>3</w:t>
            </w:r>
            <w:r>
              <w:rPr>
                <w:spacing w:val="-10"/>
                <w:w w:val="100"/>
                <w:sz w:val="21"/>
              </w:rPr>
              <w:t>）</w:t>
            </w:r>
            <w:r>
              <w:rPr>
                <w:spacing w:val="-5"/>
                <w:w w:val="100"/>
                <w:sz w:val="21"/>
              </w:rPr>
              <w:t>具有有效的中华人民共和国主治医师或</w:t>
            </w:r>
            <w:r>
              <w:rPr>
                <w:spacing w:val="-12"/>
                <w:w w:val="100"/>
                <w:sz w:val="21"/>
              </w:rPr>
              <w:t>主治医师以上职称的《医师职称证书》；</w:t>
            </w:r>
            <w:r>
              <w:rPr>
                <w:spacing w:val="1"/>
                <w:w w:val="100"/>
                <w:sz w:val="21"/>
              </w:rPr>
              <w:t>（</w:t>
            </w:r>
            <w:r>
              <w:rPr>
                <w:spacing w:val="3"/>
                <w:w w:val="100"/>
                <w:sz w:val="21"/>
              </w:rPr>
              <w:t>4</w:t>
            </w:r>
            <w:r>
              <w:rPr>
                <w:w w:val="100"/>
                <w:sz w:val="21"/>
              </w:rPr>
              <w:t>）在二级或二级以上医院的相</w:t>
            </w:r>
            <w:r>
              <w:rPr>
                <w:spacing w:val="-3"/>
                <w:sz w:val="21"/>
              </w:rPr>
              <w:t>应科室从事临床工作三年以上。</w:t>
            </w:r>
          </w:p>
          <w:p>
            <w:pPr>
              <w:pStyle w:val="TableParagraph"/>
              <w:spacing w:before="11"/>
              <w:ind w:left="103"/>
              <w:rPr>
                <w:sz w:val="21"/>
              </w:rPr>
            </w:pPr>
            <w:r>
              <w:rPr>
                <w:sz w:val="21"/>
              </w:rPr>
              <w:t>5.遗传性疾病</w:t>
            </w:r>
          </w:p>
          <w:p>
            <w:pPr>
              <w:pStyle w:val="TableParagraph"/>
              <w:spacing w:line="285" w:lineRule="auto" w:before="51"/>
              <w:ind w:left="310" w:right="297"/>
              <w:jc w:val="both"/>
              <w:rPr>
                <w:sz w:val="21"/>
              </w:rPr>
            </w:pPr>
            <w:r>
              <w:rPr>
                <w:spacing w:val="-4"/>
                <w:sz w:val="21"/>
              </w:rPr>
              <w:t>指生殖细胞或受精卵的遗传物质</w:t>
            </w:r>
            <w:r>
              <w:rPr>
                <w:sz w:val="21"/>
              </w:rPr>
              <w:t>（</w:t>
            </w:r>
            <w:r>
              <w:rPr>
                <w:spacing w:val="-3"/>
                <w:sz w:val="21"/>
              </w:rPr>
              <w:t>染色体和基因</w:t>
            </w:r>
            <w:r>
              <w:rPr>
                <w:spacing w:val="-10"/>
                <w:sz w:val="21"/>
              </w:rPr>
              <w:t>）</w:t>
            </w:r>
            <w:r>
              <w:rPr>
                <w:spacing w:val="-3"/>
                <w:sz w:val="21"/>
              </w:rPr>
              <w:t>发生突变或畸变所引起</w:t>
            </w:r>
            <w:r>
              <w:rPr>
                <w:spacing w:val="-5"/>
                <w:sz w:val="21"/>
              </w:rPr>
              <w:t>的疾病，通常具有由亲代传至后代的垂直传递的特征。</w:t>
            </w:r>
          </w:p>
          <w:p>
            <w:pPr>
              <w:pStyle w:val="TableParagraph"/>
              <w:spacing w:before="11"/>
              <w:ind w:left="103"/>
              <w:rPr>
                <w:sz w:val="21"/>
              </w:rPr>
            </w:pPr>
            <w:r>
              <w:rPr>
                <w:sz w:val="21"/>
              </w:rPr>
              <w:t>6.先天性畸形、变形和染色体异常</w:t>
            </w:r>
          </w:p>
          <w:p>
            <w:pPr>
              <w:pStyle w:val="TableParagraph"/>
              <w:spacing w:line="285" w:lineRule="auto" w:before="51"/>
              <w:ind w:left="310" w:right="197"/>
              <w:jc w:val="both"/>
              <w:rPr>
                <w:sz w:val="21"/>
              </w:rPr>
            </w:pPr>
            <w:r>
              <w:rPr>
                <w:spacing w:val="-5"/>
                <w:sz w:val="21"/>
              </w:rPr>
              <w:t>指被保险人出生时就具有的畸形、变形或染色体异常。先天性畸形、变形</w:t>
            </w:r>
            <w:r>
              <w:rPr>
                <w:sz w:val="21"/>
              </w:rPr>
              <w:t>和染色体异常依照世界卫生组织《疾病和有关健康问题的国际统计分类》</w:t>
            </w:r>
          </w:p>
          <w:p>
            <w:pPr>
              <w:pStyle w:val="TableParagraph"/>
              <w:spacing w:before="11"/>
              <w:ind w:left="310"/>
              <w:jc w:val="both"/>
              <w:rPr>
                <w:sz w:val="21"/>
              </w:rPr>
            </w:pPr>
            <w:r>
              <w:rPr>
                <w:sz w:val="21"/>
              </w:rPr>
              <w:t>（ICD-10）确定。</w:t>
            </w:r>
          </w:p>
        </w:tc>
      </w:tr>
      <w:tr>
        <w:trPr>
          <w:trHeight w:val="941" w:hRule="atLeast"/>
        </w:trPr>
        <w:tc>
          <w:tcPr>
            <w:tcW w:w="730" w:type="dxa"/>
          </w:tcPr>
          <w:p>
            <w:pPr>
              <w:pStyle w:val="TableParagraph"/>
              <w:spacing w:before="20"/>
              <w:ind w:left="0" w:right="211"/>
              <w:jc w:val="right"/>
              <w:rPr>
                <w:rFonts w:ascii="微软雅黑"/>
                <w:b/>
                <w:sz w:val="21"/>
              </w:rPr>
            </w:pPr>
            <w:r>
              <w:rPr>
                <w:rFonts w:ascii="微软雅黑"/>
                <w:b/>
                <w:w w:val="95"/>
                <w:sz w:val="21"/>
              </w:rPr>
              <w:t>9.5</w:t>
            </w:r>
          </w:p>
        </w:tc>
        <w:tc>
          <w:tcPr>
            <w:tcW w:w="2319" w:type="dxa"/>
          </w:tcPr>
          <w:p>
            <w:pPr>
              <w:pStyle w:val="TableParagraph"/>
              <w:spacing w:before="53"/>
              <w:ind w:left="213"/>
              <w:rPr>
                <w:rFonts w:ascii="微软雅黑" w:eastAsia="微软雅黑" w:hint="eastAsia"/>
                <w:b/>
                <w:sz w:val="21"/>
              </w:rPr>
            </w:pPr>
            <w:r>
              <w:rPr>
                <w:rFonts w:ascii="微软雅黑" w:eastAsia="微软雅黑" w:hint="eastAsia"/>
                <w:b/>
                <w:sz w:val="21"/>
              </w:rPr>
              <w:t>调整系数</w:t>
            </w:r>
          </w:p>
        </w:tc>
        <w:tc>
          <w:tcPr>
            <w:tcW w:w="7315" w:type="dxa"/>
          </w:tcPr>
          <w:p>
            <w:pPr>
              <w:pStyle w:val="TableParagraph"/>
              <w:spacing w:line="326" w:lineRule="auto" w:before="116"/>
              <w:ind w:left="108" w:right="289"/>
              <w:rPr>
                <w:sz w:val="21"/>
              </w:rPr>
            </w:pPr>
            <w:r>
              <w:rPr>
                <w:spacing w:val="-16"/>
                <w:sz w:val="21"/>
              </w:rPr>
              <w:t>在前 </w:t>
            </w:r>
            <w:r>
              <w:rPr>
                <w:sz w:val="21"/>
              </w:rPr>
              <w:t>10</w:t>
            </w:r>
            <w:r>
              <w:rPr>
                <w:spacing w:val="-14"/>
                <w:sz w:val="21"/>
              </w:rPr>
              <w:t> 个保单年度等于 </w:t>
            </w:r>
            <w:r>
              <w:rPr>
                <w:spacing w:val="-8"/>
                <w:sz w:val="21"/>
              </w:rPr>
              <w:t>1</w:t>
            </w:r>
            <w:r>
              <w:rPr>
                <w:spacing w:val="-13"/>
                <w:sz w:val="21"/>
              </w:rPr>
              <w:t>，之后每 </w:t>
            </w:r>
            <w:r>
              <w:rPr>
                <w:sz w:val="21"/>
              </w:rPr>
              <w:t>10</w:t>
            </w:r>
            <w:r>
              <w:rPr>
                <w:spacing w:val="-21"/>
                <w:sz w:val="21"/>
              </w:rPr>
              <w:t> 年增加 </w:t>
            </w:r>
            <w:r>
              <w:rPr>
                <w:spacing w:val="-4"/>
                <w:sz w:val="21"/>
              </w:rPr>
              <w:t>0.025</w:t>
            </w:r>
            <w:r>
              <w:rPr>
                <w:spacing w:val="-11"/>
                <w:sz w:val="21"/>
              </w:rPr>
              <w:t>，即从第 </w:t>
            </w:r>
            <w:r>
              <w:rPr>
                <w:sz w:val="21"/>
              </w:rPr>
              <w:t>11</w:t>
            </w:r>
            <w:r>
              <w:rPr>
                <w:spacing w:val="-10"/>
                <w:sz w:val="21"/>
              </w:rPr>
              <w:t> 个保单年度</w:t>
            </w:r>
            <w:r>
              <w:rPr>
                <w:spacing w:val="-22"/>
                <w:sz w:val="21"/>
              </w:rPr>
              <w:t>至第 </w:t>
            </w:r>
            <w:r>
              <w:rPr>
                <w:sz w:val="21"/>
              </w:rPr>
              <w:t>20</w:t>
            </w:r>
            <w:r>
              <w:rPr>
                <w:spacing w:val="-11"/>
                <w:sz w:val="21"/>
              </w:rPr>
              <w:t> 个保单年度期间的调整系数为 </w:t>
            </w:r>
            <w:r>
              <w:rPr>
                <w:sz w:val="21"/>
              </w:rPr>
              <w:t>1.025，</w:t>
            </w:r>
            <w:r>
              <w:rPr>
                <w:spacing w:val="-3"/>
                <w:sz w:val="21"/>
              </w:rPr>
              <w:t>以此类推。</w:t>
            </w:r>
          </w:p>
        </w:tc>
      </w:tr>
      <w:tr>
        <w:trPr>
          <w:trHeight w:val="1471" w:hRule="atLeast"/>
        </w:trPr>
        <w:tc>
          <w:tcPr>
            <w:tcW w:w="730" w:type="dxa"/>
          </w:tcPr>
          <w:p>
            <w:pPr>
              <w:pStyle w:val="TableParagraph"/>
              <w:spacing w:before="82"/>
              <w:ind w:left="0" w:right="211"/>
              <w:jc w:val="right"/>
              <w:rPr>
                <w:rFonts w:ascii="微软雅黑"/>
                <w:b/>
                <w:sz w:val="21"/>
              </w:rPr>
            </w:pPr>
            <w:r>
              <w:rPr>
                <w:rFonts w:ascii="微软雅黑"/>
                <w:b/>
                <w:w w:val="95"/>
                <w:sz w:val="21"/>
              </w:rPr>
              <w:t>9.6</w:t>
            </w:r>
          </w:p>
        </w:tc>
        <w:tc>
          <w:tcPr>
            <w:tcW w:w="2319" w:type="dxa"/>
          </w:tcPr>
          <w:p>
            <w:pPr>
              <w:pStyle w:val="TableParagraph"/>
              <w:spacing w:before="82"/>
              <w:ind w:left="213"/>
              <w:rPr>
                <w:rFonts w:ascii="微软雅黑" w:eastAsia="微软雅黑" w:hint="eastAsia"/>
                <w:b/>
                <w:sz w:val="21"/>
              </w:rPr>
            </w:pPr>
            <w:r>
              <w:rPr>
                <w:rFonts w:ascii="微软雅黑" w:eastAsia="微软雅黑" w:hint="eastAsia"/>
                <w:b/>
                <w:sz w:val="21"/>
              </w:rPr>
              <w:t>指定的 10 种重大疾病</w:t>
            </w:r>
          </w:p>
        </w:tc>
        <w:tc>
          <w:tcPr>
            <w:tcW w:w="7315" w:type="dxa"/>
          </w:tcPr>
          <w:p>
            <w:pPr>
              <w:pStyle w:val="TableParagraph"/>
              <w:spacing w:line="273" w:lineRule="auto" w:before="111"/>
              <w:ind w:left="108" w:right="296"/>
              <w:jc w:val="both"/>
              <w:rPr>
                <w:sz w:val="21"/>
              </w:rPr>
            </w:pPr>
            <w:r>
              <w:rPr>
                <w:spacing w:val="0"/>
                <w:sz w:val="21"/>
              </w:rPr>
              <w:t>指此 </w:t>
            </w:r>
            <w:r>
              <w:rPr>
                <w:sz w:val="21"/>
              </w:rPr>
              <w:t>10</w:t>
            </w:r>
            <w:r>
              <w:rPr>
                <w:spacing w:val="-5"/>
                <w:sz w:val="21"/>
              </w:rPr>
              <w:t> 种重大疾病：重大器官移植术或造血干细胞移植术、良性脑肿瘤、</w:t>
            </w:r>
            <w:r>
              <w:rPr>
                <w:spacing w:val="-8"/>
                <w:sz w:val="21"/>
              </w:rPr>
              <w:t>脑炎后遗症或脑膜炎后遗症、严重脑损伤、严重Ⅲ度烧伤、严重原发性肺动</w:t>
            </w:r>
            <w:r>
              <w:rPr>
                <w:spacing w:val="-7"/>
                <w:sz w:val="21"/>
              </w:rPr>
              <w:t>脉高压、重型再生障碍性贫血、植物人、脊髓灰质炎、经输血感染艾滋病病毒。</w:t>
            </w:r>
          </w:p>
        </w:tc>
      </w:tr>
      <w:tr>
        <w:trPr>
          <w:trHeight w:val="1109" w:hRule="atLeast"/>
        </w:trPr>
        <w:tc>
          <w:tcPr>
            <w:tcW w:w="730" w:type="dxa"/>
          </w:tcPr>
          <w:p>
            <w:pPr>
              <w:pStyle w:val="TableParagraph"/>
              <w:spacing w:before="22"/>
              <w:ind w:left="0" w:right="211"/>
              <w:jc w:val="right"/>
              <w:rPr>
                <w:rFonts w:ascii="微软雅黑"/>
                <w:b/>
                <w:sz w:val="21"/>
              </w:rPr>
            </w:pPr>
            <w:r>
              <w:rPr>
                <w:rFonts w:ascii="微软雅黑"/>
                <w:b/>
                <w:w w:val="95"/>
                <w:sz w:val="21"/>
              </w:rPr>
              <w:t>9.7</w:t>
            </w:r>
          </w:p>
        </w:tc>
        <w:tc>
          <w:tcPr>
            <w:tcW w:w="2319" w:type="dxa"/>
          </w:tcPr>
          <w:p>
            <w:pPr>
              <w:pStyle w:val="TableParagraph"/>
              <w:spacing w:before="22"/>
              <w:ind w:left="213"/>
              <w:rPr>
                <w:rFonts w:ascii="微软雅黑" w:eastAsia="微软雅黑" w:hint="eastAsia"/>
                <w:b/>
                <w:sz w:val="21"/>
              </w:rPr>
            </w:pPr>
            <w:r>
              <w:rPr>
                <w:rFonts w:ascii="微软雅黑" w:eastAsia="微软雅黑" w:hint="eastAsia"/>
                <w:b/>
                <w:sz w:val="21"/>
              </w:rPr>
              <w:t>醉酒</w:t>
            </w:r>
          </w:p>
        </w:tc>
        <w:tc>
          <w:tcPr>
            <w:tcW w:w="7315" w:type="dxa"/>
          </w:tcPr>
          <w:p>
            <w:pPr>
              <w:pStyle w:val="TableParagraph"/>
              <w:spacing w:before="85"/>
              <w:ind w:left="108"/>
              <w:rPr>
                <w:sz w:val="21"/>
              </w:rPr>
            </w:pPr>
            <w:r>
              <w:rPr>
                <w:sz w:val="21"/>
              </w:rPr>
              <w:t>指因饮酒而表现出动作不协调、意识紊乱、舌重口吃或其他不能清醒地控制</w:t>
            </w:r>
          </w:p>
          <w:p>
            <w:pPr>
              <w:pStyle w:val="TableParagraph"/>
              <w:spacing w:line="370" w:lineRule="atLeast" w:before="5"/>
              <w:ind w:left="108" w:right="273"/>
              <w:rPr>
                <w:sz w:val="21"/>
              </w:rPr>
            </w:pPr>
            <w:r>
              <w:rPr>
                <w:sz w:val="21"/>
              </w:rPr>
              <w:t>自己行为的状态。醉酒的认定，如有司法机关、公安部门的有关法律文件、医院的诊断书等，则以上述法律文件、诊断书等为准。</w:t>
            </w:r>
          </w:p>
        </w:tc>
      </w:tr>
    </w:tbl>
    <w:p>
      <w:pPr>
        <w:spacing w:after="0" w:line="370" w:lineRule="atLeast"/>
        <w:rPr>
          <w:sz w:val="21"/>
        </w:rPr>
        <w:sectPr>
          <w:pgSz w:w="11910" w:h="16840"/>
          <w:pgMar w:header="0" w:footer="377" w:top="1360" w:bottom="560" w:left="7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2218"/>
        <w:gridCol w:w="7369"/>
      </w:tblGrid>
      <w:tr>
        <w:trPr>
          <w:trHeight w:val="746" w:hRule="atLeast"/>
        </w:trPr>
        <w:tc>
          <w:tcPr>
            <w:tcW w:w="783" w:type="dxa"/>
          </w:tcPr>
          <w:p>
            <w:pPr>
              <w:pStyle w:val="TableParagraph"/>
              <w:spacing w:line="236" w:lineRule="exact"/>
              <w:ind w:left="200"/>
              <w:rPr>
                <w:rFonts w:ascii="微软雅黑"/>
                <w:b/>
                <w:sz w:val="21"/>
              </w:rPr>
            </w:pPr>
            <w:r>
              <w:rPr>
                <w:rFonts w:ascii="微软雅黑"/>
                <w:b/>
                <w:sz w:val="21"/>
              </w:rPr>
              <w:t>9.8</w:t>
            </w:r>
          </w:p>
        </w:tc>
        <w:tc>
          <w:tcPr>
            <w:tcW w:w="2218" w:type="dxa"/>
          </w:tcPr>
          <w:p>
            <w:pPr>
              <w:pStyle w:val="TableParagraph"/>
              <w:spacing w:line="236" w:lineRule="exact"/>
              <w:ind w:left="160"/>
              <w:rPr>
                <w:rFonts w:ascii="微软雅黑" w:eastAsia="微软雅黑" w:hint="eastAsia"/>
                <w:b/>
                <w:sz w:val="21"/>
              </w:rPr>
            </w:pPr>
            <w:r>
              <w:rPr>
                <w:rFonts w:ascii="微软雅黑" w:eastAsia="微软雅黑" w:hint="eastAsia"/>
                <w:b/>
                <w:sz w:val="21"/>
              </w:rPr>
              <w:t>斗殴</w:t>
            </w:r>
          </w:p>
        </w:tc>
        <w:tc>
          <w:tcPr>
            <w:tcW w:w="7369" w:type="dxa"/>
          </w:tcPr>
          <w:p>
            <w:pPr>
              <w:pStyle w:val="TableParagraph"/>
              <w:spacing w:line="211" w:lineRule="exact"/>
              <w:ind w:left="156"/>
              <w:rPr>
                <w:sz w:val="21"/>
              </w:rPr>
            </w:pPr>
            <w:r>
              <w:rPr>
                <w:sz w:val="21"/>
              </w:rPr>
              <w:t>指双方或多方通过拳脚、器械等武力以求制胜的行为。斗殴的认定，如有司</w:t>
            </w:r>
          </w:p>
          <w:p>
            <w:pPr>
              <w:pStyle w:val="TableParagraph"/>
              <w:spacing w:before="99"/>
              <w:ind w:left="156"/>
              <w:rPr>
                <w:sz w:val="21"/>
              </w:rPr>
            </w:pPr>
            <w:r>
              <w:rPr>
                <w:sz w:val="21"/>
              </w:rPr>
              <w:t>法机关、公安部门的有关法律文件，则以上述法律文件为准。</w:t>
            </w:r>
          </w:p>
        </w:tc>
      </w:tr>
      <w:tr>
        <w:trPr>
          <w:trHeight w:val="907" w:hRule="atLeast"/>
        </w:trPr>
        <w:tc>
          <w:tcPr>
            <w:tcW w:w="783" w:type="dxa"/>
          </w:tcPr>
          <w:p>
            <w:pPr>
              <w:pStyle w:val="TableParagraph"/>
              <w:spacing w:before="34"/>
              <w:ind w:left="200"/>
              <w:rPr>
                <w:rFonts w:ascii="微软雅黑"/>
                <w:b/>
                <w:sz w:val="21"/>
              </w:rPr>
            </w:pPr>
            <w:r>
              <w:rPr>
                <w:rFonts w:ascii="微软雅黑"/>
                <w:b/>
                <w:sz w:val="21"/>
              </w:rPr>
              <w:t>9.9</w:t>
            </w:r>
          </w:p>
        </w:tc>
        <w:tc>
          <w:tcPr>
            <w:tcW w:w="2218" w:type="dxa"/>
          </w:tcPr>
          <w:p>
            <w:pPr>
              <w:pStyle w:val="TableParagraph"/>
              <w:spacing w:before="34"/>
              <w:ind w:left="160"/>
              <w:rPr>
                <w:rFonts w:ascii="微软雅黑" w:eastAsia="微软雅黑" w:hint="eastAsia"/>
                <w:b/>
                <w:sz w:val="21"/>
              </w:rPr>
            </w:pPr>
            <w:r>
              <w:rPr>
                <w:rFonts w:ascii="微软雅黑" w:eastAsia="微软雅黑" w:hint="eastAsia"/>
                <w:b/>
                <w:sz w:val="21"/>
              </w:rPr>
              <w:t>毒品</w:t>
            </w:r>
          </w:p>
        </w:tc>
        <w:tc>
          <w:tcPr>
            <w:tcW w:w="7369" w:type="dxa"/>
          </w:tcPr>
          <w:p>
            <w:pPr>
              <w:pStyle w:val="TableParagraph"/>
              <w:spacing w:line="326" w:lineRule="auto" w:before="97"/>
              <w:ind w:left="156" w:right="385"/>
              <w:rPr>
                <w:sz w:val="21"/>
              </w:rPr>
            </w:pPr>
            <w:r>
              <w:rPr>
                <w:spacing w:val="-3"/>
                <w:sz w:val="21"/>
              </w:rPr>
              <w:t>指鸦片、海洛因、甲基苯丙胺</w:t>
            </w:r>
            <w:r>
              <w:rPr>
                <w:sz w:val="21"/>
              </w:rPr>
              <w:t>（冰毒</w:t>
            </w:r>
            <w:r>
              <w:rPr>
                <w:spacing w:val="-106"/>
                <w:sz w:val="21"/>
              </w:rPr>
              <w:t>）</w:t>
            </w:r>
            <w:r>
              <w:rPr>
                <w:spacing w:val="-5"/>
                <w:sz w:val="21"/>
              </w:rPr>
              <w:t>、吗啡、大麻、可卡因以及索赔当时政府规定管制的其他能够使人形成瘾癖的麻醉药品和精神药品。</w:t>
            </w:r>
          </w:p>
        </w:tc>
      </w:tr>
      <w:tr>
        <w:trPr>
          <w:trHeight w:val="907" w:hRule="atLeast"/>
        </w:trPr>
        <w:tc>
          <w:tcPr>
            <w:tcW w:w="783" w:type="dxa"/>
          </w:tcPr>
          <w:p>
            <w:pPr>
              <w:pStyle w:val="TableParagraph"/>
              <w:spacing w:before="34"/>
              <w:ind w:left="200"/>
              <w:rPr>
                <w:rFonts w:ascii="微软雅黑"/>
                <w:b/>
                <w:sz w:val="21"/>
              </w:rPr>
            </w:pPr>
            <w:r>
              <w:rPr>
                <w:rFonts w:ascii="微软雅黑"/>
                <w:b/>
                <w:sz w:val="21"/>
              </w:rPr>
              <w:t>9.10</w:t>
            </w:r>
          </w:p>
        </w:tc>
        <w:tc>
          <w:tcPr>
            <w:tcW w:w="2218" w:type="dxa"/>
          </w:tcPr>
          <w:p>
            <w:pPr>
              <w:pStyle w:val="TableParagraph"/>
              <w:spacing w:before="34"/>
              <w:ind w:left="160"/>
              <w:rPr>
                <w:rFonts w:ascii="微软雅黑" w:eastAsia="微软雅黑" w:hint="eastAsia"/>
                <w:b/>
                <w:sz w:val="21"/>
              </w:rPr>
            </w:pPr>
            <w:r>
              <w:rPr>
                <w:rFonts w:ascii="微软雅黑" w:eastAsia="微软雅黑" w:hint="eastAsia"/>
                <w:b/>
                <w:sz w:val="21"/>
              </w:rPr>
              <w:t>管制药品</w:t>
            </w:r>
          </w:p>
        </w:tc>
        <w:tc>
          <w:tcPr>
            <w:tcW w:w="7369" w:type="dxa"/>
          </w:tcPr>
          <w:p>
            <w:pPr>
              <w:pStyle w:val="TableParagraph"/>
              <w:spacing w:line="326" w:lineRule="auto" w:before="97"/>
              <w:ind w:left="156" w:right="278"/>
              <w:rPr>
                <w:sz w:val="21"/>
              </w:rPr>
            </w:pPr>
            <w:r>
              <w:rPr>
                <w:sz w:val="21"/>
              </w:rPr>
              <w:t>指在索赔当时，根据《中华人民共和国药品管理法》及有关法规被列为特殊管理的药品，包括麻醉药品、精神药品、毒性药品及放射性药品。</w:t>
            </w:r>
          </w:p>
        </w:tc>
      </w:tr>
      <w:tr>
        <w:trPr>
          <w:trHeight w:val="907" w:hRule="atLeast"/>
        </w:trPr>
        <w:tc>
          <w:tcPr>
            <w:tcW w:w="783" w:type="dxa"/>
          </w:tcPr>
          <w:p>
            <w:pPr>
              <w:pStyle w:val="TableParagraph"/>
              <w:spacing w:before="34"/>
              <w:ind w:left="200"/>
              <w:rPr>
                <w:rFonts w:ascii="微软雅黑"/>
                <w:b/>
                <w:sz w:val="21"/>
              </w:rPr>
            </w:pPr>
            <w:r>
              <w:rPr>
                <w:rFonts w:ascii="微软雅黑"/>
                <w:b/>
                <w:sz w:val="21"/>
              </w:rPr>
              <w:t>9.11</w:t>
            </w:r>
          </w:p>
        </w:tc>
        <w:tc>
          <w:tcPr>
            <w:tcW w:w="2218" w:type="dxa"/>
          </w:tcPr>
          <w:p>
            <w:pPr>
              <w:pStyle w:val="TableParagraph"/>
              <w:spacing w:before="34"/>
              <w:ind w:left="160"/>
              <w:rPr>
                <w:rFonts w:ascii="微软雅黑" w:eastAsia="微软雅黑" w:hint="eastAsia"/>
                <w:b/>
                <w:sz w:val="21"/>
              </w:rPr>
            </w:pPr>
            <w:r>
              <w:rPr>
                <w:rFonts w:ascii="微软雅黑" w:eastAsia="微软雅黑" w:hint="eastAsia"/>
                <w:b/>
                <w:sz w:val="21"/>
              </w:rPr>
              <w:t>酒后驾驶</w:t>
            </w:r>
          </w:p>
        </w:tc>
        <w:tc>
          <w:tcPr>
            <w:tcW w:w="7369" w:type="dxa"/>
          </w:tcPr>
          <w:p>
            <w:pPr>
              <w:pStyle w:val="TableParagraph"/>
              <w:spacing w:line="326" w:lineRule="auto" w:before="97"/>
              <w:ind w:left="156" w:right="266"/>
              <w:rPr>
                <w:sz w:val="21"/>
              </w:rPr>
            </w:pPr>
            <w:r>
              <w:rPr>
                <w:sz w:val="21"/>
              </w:rPr>
              <w:t>指经检测或鉴定，发生保险事故时车辆驾驶人员每百毫升血液中的酒精含量大于或等于 20 毫克。</w:t>
            </w:r>
          </w:p>
        </w:tc>
      </w:tr>
      <w:tr>
        <w:trPr>
          <w:trHeight w:val="3154" w:hRule="atLeast"/>
        </w:trPr>
        <w:tc>
          <w:tcPr>
            <w:tcW w:w="783" w:type="dxa"/>
          </w:tcPr>
          <w:p>
            <w:pPr>
              <w:pStyle w:val="TableParagraph"/>
              <w:spacing w:before="34"/>
              <w:ind w:left="200"/>
              <w:rPr>
                <w:rFonts w:ascii="微软雅黑"/>
                <w:b/>
                <w:sz w:val="21"/>
              </w:rPr>
            </w:pPr>
            <w:r>
              <w:rPr>
                <w:rFonts w:ascii="微软雅黑"/>
                <w:b/>
                <w:sz w:val="21"/>
              </w:rPr>
              <w:t>9.12</w:t>
            </w:r>
          </w:p>
        </w:tc>
        <w:tc>
          <w:tcPr>
            <w:tcW w:w="2218" w:type="dxa"/>
          </w:tcPr>
          <w:p>
            <w:pPr>
              <w:pStyle w:val="TableParagraph"/>
              <w:spacing w:before="34"/>
              <w:ind w:left="160"/>
              <w:rPr>
                <w:rFonts w:ascii="微软雅黑" w:eastAsia="微软雅黑" w:hint="eastAsia"/>
                <w:b/>
                <w:sz w:val="21"/>
              </w:rPr>
            </w:pPr>
            <w:r>
              <w:rPr>
                <w:rFonts w:ascii="微软雅黑" w:eastAsia="微软雅黑" w:hint="eastAsia"/>
                <w:b/>
                <w:sz w:val="21"/>
              </w:rPr>
              <w:t>无有效驾驶证驾驶</w:t>
            </w:r>
          </w:p>
        </w:tc>
        <w:tc>
          <w:tcPr>
            <w:tcW w:w="7369" w:type="dxa"/>
          </w:tcPr>
          <w:p>
            <w:pPr>
              <w:pStyle w:val="TableParagraph"/>
              <w:spacing w:before="97"/>
              <w:ind w:left="156"/>
              <w:rPr>
                <w:sz w:val="21"/>
              </w:rPr>
            </w:pPr>
            <w:r>
              <w:rPr>
                <w:sz w:val="21"/>
              </w:rPr>
              <w:t>指下列情形之一：</w:t>
            </w:r>
          </w:p>
          <w:p>
            <w:pPr>
              <w:pStyle w:val="TableParagraph"/>
              <w:spacing w:before="99"/>
              <w:ind w:left="156"/>
              <w:rPr>
                <w:sz w:val="21"/>
              </w:rPr>
            </w:pPr>
            <w:r>
              <w:rPr>
                <w:sz w:val="21"/>
              </w:rPr>
              <w:t>（1）没有驾驶证驾驶；</w:t>
            </w:r>
          </w:p>
          <w:p>
            <w:pPr>
              <w:pStyle w:val="TableParagraph"/>
              <w:spacing w:before="99"/>
              <w:ind w:left="156"/>
              <w:rPr>
                <w:sz w:val="21"/>
              </w:rPr>
            </w:pPr>
            <w:r>
              <w:rPr>
                <w:sz w:val="21"/>
              </w:rPr>
              <w:t>（2）驾驶与驾驶证准驾车型不相符合的车辆；</w:t>
            </w:r>
          </w:p>
          <w:p>
            <w:pPr>
              <w:pStyle w:val="TableParagraph"/>
              <w:spacing w:before="100"/>
              <w:ind w:left="156"/>
              <w:rPr>
                <w:sz w:val="21"/>
              </w:rPr>
            </w:pPr>
            <w:r>
              <w:rPr>
                <w:sz w:val="21"/>
              </w:rPr>
              <w:t>（3）驾驶员持审验不合格的驾驶证驾驶；</w:t>
            </w:r>
          </w:p>
          <w:p>
            <w:pPr>
              <w:pStyle w:val="TableParagraph"/>
              <w:spacing w:before="99"/>
              <w:ind w:left="156"/>
              <w:rPr>
                <w:sz w:val="21"/>
              </w:rPr>
            </w:pPr>
            <w:r>
              <w:rPr>
                <w:sz w:val="21"/>
              </w:rPr>
              <w:t>（4）未经公安交通管理部门同意，持未审验的驾驶证驾驶；</w:t>
            </w:r>
          </w:p>
          <w:p>
            <w:pPr>
              <w:pStyle w:val="TableParagraph"/>
              <w:spacing w:line="326" w:lineRule="auto" w:before="99"/>
              <w:ind w:left="680" w:right="385" w:hanging="524"/>
              <w:rPr>
                <w:sz w:val="21"/>
              </w:rPr>
            </w:pPr>
            <w:r>
              <w:rPr>
                <w:sz w:val="21"/>
              </w:rPr>
              <w:t>（5）持学习驾驶证学习驾车时，无教练员随车指导，或不按指定时间、路线学习驾车；</w:t>
            </w:r>
          </w:p>
          <w:p>
            <w:pPr>
              <w:pStyle w:val="TableParagraph"/>
              <w:spacing w:before="24"/>
              <w:ind w:left="156"/>
              <w:rPr>
                <w:sz w:val="21"/>
              </w:rPr>
            </w:pPr>
            <w:r>
              <w:rPr>
                <w:sz w:val="21"/>
              </w:rPr>
              <w:t>（6）公安交通管理部门规定的其他无有效驾驶证驾驶的情况。</w:t>
            </w:r>
          </w:p>
        </w:tc>
      </w:tr>
      <w:tr>
        <w:trPr>
          <w:trHeight w:val="1284" w:hRule="atLeast"/>
        </w:trPr>
        <w:tc>
          <w:tcPr>
            <w:tcW w:w="783" w:type="dxa"/>
          </w:tcPr>
          <w:p>
            <w:pPr>
              <w:pStyle w:val="TableParagraph"/>
              <w:spacing w:before="34"/>
              <w:ind w:left="200"/>
              <w:rPr>
                <w:rFonts w:ascii="微软雅黑"/>
                <w:b/>
                <w:sz w:val="21"/>
              </w:rPr>
            </w:pPr>
            <w:r>
              <w:rPr>
                <w:rFonts w:ascii="微软雅黑"/>
                <w:b/>
                <w:sz w:val="21"/>
              </w:rPr>
              <w:t>9.13</w:t>
            </w:r>
          </w:p>
        </w:tc>
        <w:tc>
          <w:tcPr>
            <w:tcW w:w="2218" w:type="dxa"/>
          </w:tcPr>
          <w:p>
            <w:pPr>
              <w:pStyle w:val="TableParagraph"/>
              <w:spacing w:before="34"/>
              <w:ind w:left="160"/>
              <w:rPr>
                <w:rFonts w:ascii="微软雅黑" w:eastAsia="微软雅黑" w:hint="eastAsia"/>
                <w:b/>
                <w:sz w:val="21"/>
              </w:rPr>
            </w:pPr>
            <w:r>
              <w:rPr>
                <w:rFonts w:ascii="微软雅黑" w:eastAsia="微软雅黑" w:hint="eastAsia"/>
                <w:b/>
                <w:sz w:val="21"/>
              </w:rPr>
              <w:t>无有效行驶证</w:t>
            </w:r>
          </w:p>
        </w:tc>
        <w:tc>
          <w:tcPr>
            <w:tcW w:w="7369" w:type="dxa"/>
          </w:tcPr>
          <w:p>
            <w:pPr>
              <w:pStyle w:val="TableParagraph"/>
              <w:spacing w:before="97"/>
              <w:ind w:left="156"/>
              <w:rPr>
                <w:sz w:val="21"/>
              </w:rPr>
            </w:pPr>
            <w:r>
              <w:rPr>
                <w:sz w:val="21"/>
              </w:rPr>
              <w:t>指下列情形之一：</w:t>
            </w:r>
          </w:p>
          <w:p>
            <w:pPr>
              <w:pStyle w:val="TableParagraph"/>
              <w:spacing w:before="99"/>
              <w:ind w:left="156"/>
              <w:rPr>
                <w:sz w:val="21"/>
              </w:rPr>
            </w:pPr>
            <w:r>
              <w:rPr>
                <w:sz w:val="21"/>
              </w:rPr>
              <w:t>（1）没有机动车行驶证；</w:t>
            </w:r>
          </w:p>
          <w:p>
            <w:pPr>
              <w:pStyle w:val="TableParagraph"/>
              <w:spacing w:before="99"/>
              <w:ind w:left="156"/>
              <w:rPr>
                <w:sz w:val="21"/>
              </w:rPr>
            </w:pPr>
            <w:r>
              <w:rPr>
                <w:sz w:val="21"/>
              </w:rPr>
              <w:t>（2）未在法律规定期限内按时进行或通过安全技术检验。</w:t>
            </w:r>
          </w:p>
        </w:tc>
      </w:tr>
      <w:tr>
        <w:trPr>
          <w:trHeight w:val="1658" w:hRule="atLeast"/>
        </w:trPr>
        <w:tc>
          <w:tcPr>
            <w:tcW w:w="783" w:type="dxa"/>
          </w:tcPr>
          <w:p>
            <w:pPr>
              <w:pStyle w:val="TableParagraph"/>
              <w:spacing w:before="37"/>
              <w:ind w:left="200"/>
              <w:rPr>
                <w:rFonts w:ascii="微软雅黑"/>
                <w:b/>
                <w:sz w:val="21"/>
              </w:rPr>
            </w:pPr>
            <w:r>
              <w:rPr>
                <w:rFonts w:ascii="微软雅黑"/>
                <w:b/>
                <w:sz w:val="21"/>
              </w:rPr>
              <w:t>9.14</w:t>
            </w:r>
          </w:p>
        </w:tc>
        <w:tc>
          <w:tcPr>
            <w:tcW w:w="2218" w:type="dxa"/>
          </w:tcPr>
          <w:p>
            <w:pPr>
              <w:pStyle w:val="TableParagraph"/>
              <w:spacing w:before="37"/>
              <w:ind w:left="160"/>
              <w:rPr>
                <w:rFonts w:ascii="微软雅黑" w:eastAsia="微软雅黑" w:hint="eastAsia"/>
                <w:b/>
                <w:sz w:val="21"/>
              </w:rPr>
            </w:pPr>
            <w:r>
              <w:rPr>
                <w:rFonts w:ascii="微软雅黑" w:eastAsia="微软雅黑" w:hint="eastAsia"/>
                <w:b/>
                <w:sz w:val="21"/>
              </w:rPr>
              <w:t>机动车</w:t>
            </w:r>
          </w:p>
        </w:tc>
        <w:tc>
          <w:tcPr>
            <w:tcW w:w="7369" w:type="dxa"/>
          </w:tcPr>
          <w:p>
            <w:pPr>
              <w:pStyle w:val="TableParagraph"/>
              <w:spacing w:line="326" w:lineRule="auto" w:before="99"/>
              <w:ind w:left="156" w:right="198"/>
              <w:rPr>
                <w:sz w:val="21"/>
              </w:rPr>
            </w:pPr>
            <w:r>
              <w:rPr>
                <w:spacing w:val="-5"/>
                <w:sz w:val="21"/>
              </w:rPr>
              <w:t>指以动力装臵驱动或者牵引，能合法上道路行驶的供人员乘用的四轮及四轮</w:t>
            </w:r>
            <w:r>
              <w:rPr>
                <w:spacing w:val="-13"/>
                <w:sz w:val="21"/>
              </w:rPr>
              <w:t>以上轮式车辆，并不包括以下车辆：轨道交通车辆、警车、救护车、消防车、</w:t>
            </w:r>
            <w:r>
              <w:rPr>
                <w:spacing w:val="-10"/>
                <w:sz w:val="21"/>
              </w:rPr>
              <w:t>工程抢险车、工程作业车、公路监督检查专用车、公路养护车、清障车、救</w:t>
            </w:r>
            <w:r>
              <w:rPr>
                <w:spacing w:val="-7"/>
                <w:sz w:val="21"/>
              </w:rPr>
              <w:t>援车、洒水车、清扫车以及拖拉机等农业用途车辆。</w:t>
            </w:r>
          </w:p>
        </w:tc>
      </w:tr>
      <w:tr>
        <w:trPr>
          <w:trHeight w:val="907" w:hRule="atLeast"/>
        </w:trPr>
        <w:tc>
          <w:tcPr>
            <w:tcW w:w="783" w:type="dxa"/>
          </w:tcPr>
          <w:p>
            <w:pPr>
              <w:pStyle w:val="TableParagraph"/>
              <w:spacing w:before="34"/>
              <w:ind w:left="200"/>
              <w:rPr>
                <w:rFonts w:ascii="微软雅黑"/>
                <w:b/>
                <w:sz w:val="21"/>
              </w:rPr>
            </w:pPr>
            <w:r>
              <w:rPr>
                <w:rFonts w:ascii="微软雅黑"/>
                <w:b/>
                <w:sz w:val="21"/>
              </w:rPr>
              <w:t>9.15</w:t>
            </w:r>
          </w:p>
        </w:tc>
        <w:tc>
          <w:tcPr>
            <w:tcW w:w="2218" w:type="dxa"/>
          </w:tcPr>
          <w:p>
            <w:pPr>
              <w:pStyle w:val="TableParagraph"/>
              <w:spacing w:before="34"/>
              <w:ind w:left="160"/>
              <w:rPr>
                <w:rFonts w:ascii="微软雅黑" w:eastAsia="微软雅黑" w:hint="eastAsia"/>
                <w:b/>
                <w:sz w:val="21"/>
              </w:rPr>
            </w:pPr>
            <w:r>
              <w:rPr>
                <w:rFonts w:ascii="微软雅黑" w:eastAsia="微软雅黑" w:hint="eastAsia"/>
                <w:b/>
                <w:sz w:val="21"/>
              </w:rPr>
              <w:t>助动交通工具</w:t>
            </w:r>
          </w:p>
        </w:tc>
        <w:tc>
          <w:tcPr>
            <w:tcW w:w="7369" w:type="dxa"/>
          </w:tcPr>
          <w:p>
            <w:pPr>
              <w:pStyle w:val="TableParagraph"/>
              <w:spacing w:line="326" w:lineRule="auto" w:before="97"/>
              <w:ind w:left="156" w:right="277"/>
              <w:rPr>
                <w:sz w:val="21"/>
              </w:rPr>
            </w:pPr>
            <w:r>
              <w:rPr>
                <w:sz w:val="21"/>
              </w:rPr>
              <w:t>指依照行驶当地公安部门的有关规定须办理驾驶许可证、照，行驶许可证、照或其他相应准驶证、照的助动交通工具。</w:t>
            </w:r>
          </w:p>
        </w:tc>
      </w:tr>
      <w:tr>
        <w:trPr>
          <w:trHeight w:val="1656" w:hRule="atLeast"/>
        </w:trPr>
        <w:tc>
          <w:tcPr>
            <w:tcW w:w="783" w:type="dxa"/>
          </w:tcPr>
          <w:p>
            <w:pPr>
              <w:pStyle w:val="TableParagraph"/>
              <w:spacing w:before="34"/>
              <w:ind w:left="200"/>
              <w:rPr>
                <w:rFonts w:ascii="微软雅黑"/>
                <w:b/>
                <w:sz w:val="21"/>
              </w:rPr>
            </w:pPr>
            <w:r>
              <w:rPr>
                <w:rFonts w:ascii="微软雅黑"/>
                <w:b/>
                <w:sz w:val="21"/>
              </w:rPr>
              <w:t>9.16</w:t>
            </w:r>
          </w:p>
        </w:tc>
        <w:tc>
          <w:tcPr>
            <w:tcW w:w="2218" w:type="dxa"/>
          </w:tcPr>
          <w:p>
            <w:pPr>
              <w:pStyle w:val="TableParagraph"/>
              <w:spacing w:line="247" w:lineRule="auto" w:before="34"/>
              <w:ind w:left="160" w:right="154"/>
              <w:rPr>
                <w:rFonts w:ascii="微软雅黑" w:eastAsia="微软雅黑" w:hint="eastAsia"/>
                <w:b/>
                <w:sz w:val="21"/>
              </w:rPr>
            </w:pPr>
            <w:r>
              <w:rPr>
                <w:rFonts w:ascii="微软雅黑" w:eastAsia="微软雅黑" w:hint="eastAsia"/>
                <w:b/>
                <w:sz w:val="21"/>
              </w:rPr>
              <w:t>感染艾滋病病毒或患艾滋病</w:t>
            </w:r>
          </w:p>
        </w:tc>
        <w:tc>
          <w:tcPr>
            <w:tcW w:w="7369" w:type="dxa"/>
          </w:tcPr>
          <w:p>
            <w:pPr>
              <w:pStyle w:val="TableParagraph"/>
              <w:spacing w:line="326" w:lineRule="auto" w:before="97"/>
              <w:ind w:left="156" w:right="301"/>
              <w:jc w:val="both"/>
              <w:rPr>
                <w:sz w:val="21"/>
              </w:rPr>
            </w:pPr>
            <w:r>
              <w:rPr>
                <w:spacing w:val="-6"/>
                <w:sz w:val="21"/>
              </w:rPr>
              <w:t>艾滋病病毒指人类免疫缺陷病毒，英文缩写为 </w:t>
            </w:r>
            <w:r>
              <w:rPr>
                <w:sz w:val="21"/>
              </w:rPr>
              <w:t>HIV</w:t>
            </w:r>
            <w:r>
              <w:rPr>
                <w:spacing w:val="-4"/>
                <w:sz w:val="21"/>
              </w:rPr>
              <w:t>。艾滋病指人类免疫缺陷</w:t>
            </w:r>
            <w:r>
              <w:rPr>
                <w:spacing w:val="-9"/>
                <w:sz w:val="21"/>
              </w:rPr>
              <w:t>病毒引起的获得性免疫缺陷综合征，英文缩写为 </w:t>
            </w:r>
            <w:r>
              <w:rPr>
                <w:sz w:val="21"/>
              </w:rPr>
              <w:t>AIDS</w:t>
            </w:r>
            <w:r>
              <w:rPr>
                <w:spacing w:val="-7"/>
                <w:sz w:val="21"/>
              </w:rPr>
              <w:t>。在人体血液或其他样</w:t>
            </w:r>
            <w:r>
              <w:rPr>
                <w:spacing w:val="-8"/>
                <w:sz w:val="21"/>
              </w:rPr>
              <w:t>本中检测到艾滋病病毒或其抗体呈阳性，没有出现临床症状或体征的，为感</w:t>
            </w:r>
            <w:r>
              <w:rPr>
                <w:spacing w:val="-6"/>
                <w:sz w:val="21"/>
              </w:rPr>
              <w:t>染艾滋病病毒；如果同时出现了明显临床症状或体征的，为患艾滋病。</w:t>
            </w:r>
          </w:p>
        </w:tc>
      </w:tr>
      <w:tr>
        <w:trPr>
          <w:trHeight w:val="1281" w:hRule="atLeast"/>
        </w:trPr>
        <w:tc>
          <w:tcPr>
            <w:tcW w:w="783" w:type="dxa"/>
          </w:tcPr>
          <w:p>
            <w:pPr>
              <w:pStyle w:val="TableParagraph"/>
              <w:spacing w:before="34"/>
              <w:ind w:left="200"/>
              <w:rPr>
                <w:rFonts w:ascii="微软雅黑"/>
                <w:b/>
                <w:sz w:val="21"/>
              </w:rPr>
            </w:pPr>
            <w:r>
              <w:rPr>
                <w:rFonts w:ascii="微软雅黑"/>
                <w:b/>
                <w:sz w:val="21"/>
              </w:rPr>
              <w:t>9.17</w:t>
            </w:r>
          </w:p>
        </w:tc>
        <w:tc>
          <w:tcPr>
            <w:tcW w:w="2218" w:type="dxa"/>
          </w:tcPr>
          <w:p>
            <w:pPr>
              <w:pStyle w:val="TableParagraph"/>
              <w:spacing w:before="34"/>
              <w:ind w:left="160"/>
              <w:rPr>
                <w:rFonts w:ascii="微软雅黑" w:eastAsia="微软雅黑" w:hint="eastAsia"/>
                <w:b/>
                <w:sz w:val="21"/>
              </w:rPr>
            </w:pPr>
            <w:r>
              <w:rPr>
                <w:rFonts w:ascii="微软雅黑" w:eastAsia="微软雅黑" w:hint="eastAsia"/>
                <w:b/>
                <w:sz w:val="21"/>
              </w:rPr>
              <w:t>恐怖活动</w:t>
            </w:r>
          </w:p>
        </w:tc>
        <w:tc>
          <w:tcPr>
            <w:tcW w:w="7369" w:type="dxa"/>
          </w:tcPr>
          <w:p>
            <w:pPr>
              <w:pStyle w:val="TableParagraph"/>
              <w:spacing w:line="326" w:lineRule="auto" w:before="97"/>
              <w:ind w:left="156" w:right="303"/>
              <w:rPr>
                <w:sz w:val="21"/>
              </w:rPr>
            </w:pPr>
            <w:r>
              <w:rPr>
                <w:spacing w:val="-6"/>
                <w:sz w:val="21"/>
              </w:rPr>
              <w:t>指恐怖分子制造的任何危害社会稳定、危及人的生命及财产安全的一切形式</w:t>
            </w:r>
            <w:r>
              <w:rPr>
                <w:spacing w:val="-5"/>
                <w:sz w:val="21"/>
              </w:rPr>
              <w:t>的活动，通常表现为爆炸、袭击、劫持</w:t>
            </w:r>
            <w:r>
              <w:rPr>
                <w:sz w:val="21"/>
              </w:rPr>
              <w:t>（绑架</w:t>
            </w:r>
            <w:r>
              <w:rPr>
                <w:spacing w:val="-111"/>
                <w:sz w:val="21"/>
              </w:rPr>
              <w:t>）</w:t>
            </w:r>
            <w:r>
              <w:rPr>
                <w:spacing w:val="-4"/>
                <w:sz w:val="21"/>
              </w:rPr>
              <w:t>、投放危险物质、放火等形</w:t>
            </w:r>
            <w:r>
              <w:rPr>
                <w:spacing w:val="-15"/>
                <w:sz w:val="21"/>
              </w:rPr>
              <w:t>式，与恐怖活动相关的事件通常称为“恐怖事件”、“恐怖袭击”等。</w:t>
            </w:r>
          </w:p>
        </w:tc>
      </w:tr>
      <w:tr>
        <w:trPr>
          <w:trHeight w:val="746" w:hRule="atLeast"/>
        </w:trPr>
        <w:tc>
          <w:tcPr>
            <w:tcW w:w="783" w:type="dxa"/>
          </w:tcPr>
          <w:p>
            <w:pPr>
              <w:pStyle w:val="TableParagraph"/>
              <w:spacing w:before="34"/>
              <w:ind w:left="200"/>
              <w:rPr>
                <w:rFonts w:ascii="微软雅黑"/>
                <w:b/>
                <w:sz w:val="21"/>
              </w:rPr>
            </w:pPr>
            <w:r>
              <w:rPr>
                <w:rFonts w:ascii="微软雅黑"/>
                <w:b/>
                <w:sz w:val="21"/>
              </w:rPr>
              <w:t>9.18</w:t>
            </w:r>
          </w:p>
        </w:tc>
        <w:tc>
          <w:tcPr>
            <w:tcW w:w="2218" w:type="dxa"/>
          </w:tcPr>
          <w:p>
            <w:pPr>
              <w:pStyle w:val="TableParagraph"/>
              <w:spacing w:before="34"/>
              <w:ind w:left="160"/>
              <w:rPr>
                <w:rFonts w:ascii="微软雅黑" w:eastAsia="微软雅黑" w:hint="eastAsia"/>
                <w:b/>
                <w:sz w:val="21"/>
              </w:rPr>
            </w:pPr>
            <w:r>
              <w:rPr>
                <w:rFonts w:ascii="微软雅黑" w:eastAsia="微软雅黑" w:hint="eastAsia"/>
                <w:b/>
                <w:sz w:val="21"/>
              </w:rPr>
              <w:t>现金价值</w:t>
            </w:r>
          </w:p>
        </w:tc>
        <w:tc>
          <w:tcPr>
            <w:tcW w:w="7369" w:type="dxa"/>
          </w:tcPr>
          <w:p>
            <w:pPr>
              <w:pStyle w:val="TableParagraph"/>
              <w:spacing w:line="374" w:lineRule="exact" w:before="43"/>
              <w:ind w:left="156" w:right="278"/>
              <w:rPr>
                <w:sz w:val="21"/>
              </w:rPr>
            </w:pPr>
            <w:r>
              <w:rPr>
                <w:sz w:val="21"/>
              </w:rPr>
              <w:t>指保单所具有的价值，通常体现为解除本附加险合同时，由本公司向投保人退还的那部分金额。</w:t>
            </w:r>
          </w:p>
        </w:tc>
      </w:tr>
    </w:tbl>
    <w:p>
      <w:pPr>
        <w:spacing w:after="0" w:line="374" w:lineRule="exact"/>
        <w:rPr>
          <w:sz w:val="21"/>
        </w:rPr>
        <w:sectPr>
          <w:pgSz w:w="11910" w:h="16840"/>
          <w:pgMar w:header="0" w:footer="377" w:top="1360" w:bottom="560" w:left="720" w:right="6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901"/>
        <w:gridCol w:w="7605"/>
      </w:tblGrid>
      <w:tr>
        <w:trPr>
          <w:trHeight w:val="372" w:hRule="atLeast"/>
        </w:trPr>
        <w:tc>
          <w:tcPr>
            <w:tcW w:w="783" w:type="dxa"/>
          </w:tcPr>
          <w:p>
            <w:pPr>
              <w:pStyle w:val="TableParagraph"/>
              <w:spacing w:line="236" w:lineRule="exact"/>
              <w:ind w:left="0" w:right="158"/>
              <w:jc w:val="right"/>
              <w:rPr>
                <w:rFonts w:ascii="微软雅黑"/>
                <w:b/>
                <w:sz w:val="21"/>
              </w:rPr>
            </w:pPr>
            <w:r>
              <w:rPr>
                <w:rFonts w:ascii="微软雅黑"/>
                <w:b/>
                <w:w w:val="95"/>
                <w:sz w:val="21"/>
              </w:rPr>
              <w:t>9.19</w:t>
            </w:r>
          </w:p>
        </w:tc>
        <w:tc>
          <w:tcPr>
            <w:tcW w:w="1901" w:type="dxa"/>
          </w:tcPr>
          <w:p>
            <w:pPr>
              <w:pStyle w:val="TableParagraph"/>
              <w:spacing w:line="236" w:lineRule="exact"/>
              <w:ind w:left="160"/>
              <w:rPr>
                <w:rFonts w:ascii="微软雅黑" w:eastAsia="微软雅黑" w:hint="eastAsia"/>
                <w:b/>
                <w:sz w:val="21"/>
              </w:rPr>
            </w:pPr>
            <w:r>
              <w:rPr>
                <w:rFonts w:ascii="微软雅黑" w:eastAsia="微软雅黑" w:hint="eastAsia"/>
                <w:b/>
                <w:sz w:val="21"/>
              </w:rPr>
              <w:t>保险事故</w:t>
            </w:r>
          </w:p>
        </w:tc>
        <w:tc>
          <w:tcPr>
            <w:tcW w:w="7605" w:type="dxa"/>
          </w:tcPr>
          <w:p>
            <w:pPr>
              <w:pStyle w:val="TableParagraph"/>
              <w:spacing w:line="211" w:lineRule="exact"/>
              <w:ind w:left="473"/>
              <w:rPr>
                <w:sz w:val="21"/>
              </w:rPr>
            </w:pPr>
            <w:r>
              <w:rPr>
                <w:sz w:val="21"/>
              </w:rPr>
              <w:t>指本附加险合同约定的保险责任范围内的事故。</w:t>
            </w:r>
          </w:p>
        </w:tc>
      </w:tr>
      <w:tr>
        <w:trPr>
          <w:trHeight w:val="508" w:hRule="atLeast"/>
        </w:trPr>
        <w:tc>
          <w:tcPr>
            <w:tcW w:w="783" w:type="dxa"/>
          </w:tcPr>
          <w:p>
            <w:pPr>
              <w:pStyle w:val="TableParagraph"/>
              <w:spacing w:before="34"/>
              <w:ind w:left="0" w:right="158"/>
              <w:jc w:val="right"/>
              <w:rPr>
                <w:rFonts w:ascii="微软雅黑"/>
                <w:b/>
                <w:sz w:val="21"/>
              </w:rPr>
            </w:pPr>
            <w:r>
              <w:rPr>
                <w:rFonts w:ascii="微软雅黑"/>
                <w:b/>
                <w:w w:val="95"/>
                <w:sz w:val="21"/>
              </w:rPr>
              <w:t>9.20</w:t>
            </w:r>
          </w:p>
        </w:tc>
        <w:tc>
          <w:tcPr>
            <w:tcW w:w="1901" w:type="dxa"/>
          </w:tcPr>
          <w:p>
            <w:pPr>
              <w:pStyle w:val="TableParagraph"/>
              <w:spacing w:before="34"/>
              <w:ind w:left="160"/>
              <w:rPr>
                <w:rFonts w:ascii="微软雅黑" w:eastAsia="微软雅黑" w:hint="eastAsia"/>
                <w:b/>
                <w:sz w:val="21"/>
              </w:rPr>
            </w:pPr>
            <w:r>
              <w:rPr>
                <w:rFonts w:ascii="微软雅黑" w:eastAsia="微软雅黑" w:hint="eastAsia"/>
                <w:b/>
                <w:sz w:val="21"/>
              </w:rPr>
              <w:t>不可抗力</w:t>
            </w:r>
          </w:p>
        </w:tc>
        <w:tc>
          <w:tcPr>
            <w:tcW w:w="7605" w:type="dxa"/>
          </w:tcPr>
          <w:p>
            <w:pPr>
              <w:pStyle w:val="TableParagraph"/>
              <w:spacing w:before="97"/>
              <w:ind w:left="473"/>
              <w:rPr>
                <w:sz w:val="21"/>
              </w:rPr>
            </w:pPr>
            <w:r>
              <w:rPr>
                <w:sz w:val="21"/>
              </w:rPr>
              <w:t>指不能预见、不能避免、不能克服的客观情况。</w:t>
            </w:r>
          </w:p>
        </w:tc>
      </w:tr>
      <w:tr>
        <w:trPr>
          <w:trHeight w:val="862" w:hRule="atLeast"/>
        </w:trPr>
        <w:tc>
          <w:tcPr>
            <w:tcW w:w="783" w:type="dxa"/>
          </w:tcPr>
          <w:p>
            <w:pPr>
              <w:pStyle w:val="TableParagraph"/>
              <w:spacing w:before="10"/>
              <w:ind w:left="0" w:right="158"/>
              <w:jc w:val="right"/>
              <w:rPr>
                <w:rFonts w:ascii="微软雅黑"/>
                <w:b/>
                <w:sz w:val="21"/>
              </w:rPr>
            </w:pPr>
            <w:r>
              <w:rPr>
                <w:rFonts w:ascii="微软雅黑"/>
                <w:b/>
                <w:w w:val="95"/>
                <w:sz w:val="21"/>
              </w:rPr>
              <w:t>9.21</w:t>
            </w:r>
          </w:p>
        </w:tc>
        <w:tc>
          <w:tcPr>
            <w:tcW w:w="1901" w:type="dxa"/>
          </w:tcPr>
          <w:p>
            <w:pPr>
              <w:pStyle w:val="TableParagraph"/>
              <w:spacing w:before="10"/>
              <w:ind w:left="160"/>
              <w:rPr>
                <w:rFonts w:ascii="微软雅黑" w:eastAsia="微软雅黑" w:hint="eastAsia"/>
                <w:b/>
                <w:sz w:val="21"/>
              </w:rPr>
            </w:pPr>
            <w:r>
              <w:rPr>
                <w:rFonts w:ascii="微软雅黑" w:eastAsia="微软雅黑" w:hint="eastAsia"/>
                <w:b/>
                <w:sz w:val="21"/>
              </w:rPr>
              <w:t>法定身份证明</w:t>
            </w:r>
          </w:p>
        </w:tc>
        <w:tc>
          <w:tcPr>
            <w:tcW w:w="7605" w:type="dxa"/>
          </w:tcPr>
          <w:p>
            <w:pPr>
              <w:pStyle w:val="TableParagraph"/>
              <w:spacing w:line="326" w:lineRule="auto" w:before="73"/>
              <w:ind w:left="473" w:right="197"/>
              <w:rPr>
                <w:sz w:val="21"/>
              </w:rPr>
            </w:pPr>
            <w:r>
              <w:rPr>
                <w:sz w:val="21"/>
              </w:rPr>
              <w:t>指依据法律规定，由有权机构制作颁发的证明身份的证件、文件等，如：居民身份证、户口簿、护照、军人证等。</w:t>
            </w:r>
          </w:p>
        </w:tc>
      </w:tr>
      <w:tr>
        <w:trPr>
          <w:trHeight w:val="350" w:hRule="atLeast"/>
        </w:trPr>
        <w:tc>
          <w:tcPr>
            <w:tcW w:w="783" w:type="dxa"/>
          </w:tcPr>
          <w:p>
            <w:pPr>
              <w:pStyle w:val="TableParagraph"/>
              <w:spacing w:line="317" w:lineRule="exact" w:before="13"/>
              <w:ind w:left="0" w:right="158"/>
              <w:jc w:val="right"/>
              <w:rPr>
                <w:rFonts w:ascii="微软雅黑"/>
                <w:b/>
                <w:sz w:val="21"/>
              </w:rPr>
            </w:pPr>
            <w:r>
              <w:rPr>
                <w:rFonts w:ascii="微软雅黑"/>
                <w:b/>
                <w:w w:val="95"/>
                <w:sz w:val="21"/>
              </w:rPr>
              <w:t>9.22</w:t>
            </w:r>
          </w:p>
        </w:tc>
        <w:tc>
          <w:tcPr>
            <w:tcW w:w="1901" w:type="dxa"/>
          </w:tcPr>
          <w:p>
            <w:pPr>
              <w:pStyle w:val="TableParagraph"/>
              <w:spacing w:line="317" w:lineRule="exact" w:before="13"/>
              <w:ind w:left="160"/>
              <w:rPr>
                <w:rFonts w:ascii="微软雅黑" w:eastAsia="微软雅黑" w:hint="eastAsia"/>
                <w:b/>
                <w:sz w:val="21"/>
              </w:rPr>
            </w:pPr>
            <w:r>
              <w:rPr>
                <w:rFonts w:ascii="微软雅黑" w:eastAsia="微软雅黑" w:hint="eastAsia"/>
                <w:b/>
                <w:sz w:val="21"/>
              </w:rPr>
              <w:t>约定利率</w:t>
            </w:r>
          </w:p>
        </w:tc>
        <w:tc>
          <w:tcPr>
            <w:tcW w:w="7605" w:type="dxa"/>
          </w:tcPr>
          <w:p>
            <w:pPr>
              <w:pStyle w:val="TableParagraph"/>
              <w:spacing w:line="255" w:lineRule="exact" w:before="75"/>
              <w:ind w:left="473"/>
              <w:rPr>
                <w:sz w:val="21"/>
              </w:rPr>
            </w:pPr>
            <w:r>
              <w:rPr>
                <w:sz w:val="21"/>
              </w:rPr>
              <w:t>指本公司每年参照 1 年期流动资金贷款法定利率作相应浮动后宣布的利率。</w:t>
            </w:r>
          </w:p>
        </w:tc>
      </w:tr>
    </w:tbl>
    <w:sectPr>
      <w:pgSz w:w="11910" w:h="16840"/>
      <w:pgMar w:header="0" w:footer="377" w:top="1360" w:bottom="560" w:left="7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99994pt;margin-top:808.049011pt;width:13.15pt;height:12.1pt;mso-position-horizontal-relative:page;mso-position-vertical-relative:page;z-index:-386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8" w:hanging="423"/>
      </w:pPr>
      <w:rPr>
        <w:rFonts w:hint="default"/>
      </w:rPr>
    </w:lvl>
    <w:lvl w:ilvl="2">
      <w:start w:val="0"/>
      <w:numFmt w:val="bullet"/>
      <w:lvlText w:val="•"/>
      <w:lvlJc w:val="left"/>
      <w:pPr>
        <w:ind w:left="1877" w:hanging="423"/>
      </w:pPr>
      <w:rPr>
        <w:rFonts w:hint="default"/>
      </w:rPr>
    </w:lvl>
    <w:lvl w:ilvl="3">
      <w:start w:val="0"/>
      <w:numFmt w:val="bullet"/>
      <w:lvlText w:val="•"/>
      <w:lvlJc w:val="left"/>
      <w:pPr>
        <w:ind w:left="2555" w:hanging="423"/>
      </w:pPr>
      <w:rPr>
        <w:rFonts w:hint="default"/>
      </w:rPr>
    </w:lvl>
    <w:lvl w:ilvl="4">
      <w:start w:val="0"/>
      <w:numFmt w:val="bullet"/>
      <w:lvlText w:val="•"/>
      <w:lvlJc w:val="left"/>
      <w:pPr>
        <w:ind w:left="3234" w:hanging="423"/>
      </w:pPr>
      <w:rPr>
        <w:rFonts w:hint="default"/>
      </w:rPr>
    </w:lvl>
    <w:lvl w:ilvl="5">
      <w:start w:val="0"/>
      <w:numFmt w:val="bullet"/>
      <w:lvlText w:val="•"/>
      <w:lvlJc w:val="left"/>
      <w:pPr>
        <w:ind w:left="3913" w:hanging="423"/>
      </w:pPr>
      <w:rPr>
        <w:rFonts w:hint="default"/>
      </w:rPr>
    </w:lvl>
    <w:lvl w:ilvl="6">
      <w:start w:val="0"/>
      <w:numFmt w:val="bullet"/>
      <w:lvlText w:val="•"/>
      <w:lvlJc w:val="left"/>
      <w:pPr>
        <w:ind w:left="4591" w:hanging="423"/>
      </w:pPr>
      <w:rPr>
        <w:rFonts w:hint="default"/>
      </w:rPr>
    </w:lvl>
    <w:lvl w:ilvl="7">
      <w:start w:val="0"/>
      <w:numFmt w:val="bullet"/>
      <w:lvlText w:val="•"/>
      <w:lvlJc w:val="left"/>
      <w:pPr>
        <w:ind w:left="5270" w:hanging="423"/>
      </w:pPr>
      <w:rPr>
        <w:rFonts w:hint="default"/>
      </w:rPr>
    </w:lvl>
    <w:lvl w:ilvl="8">
      <w:start w:val="0"/>
      <w:numFmt w:val="bullet"/>
      <w:lvlText w:val="•"/>
      <w:lvlJc w:val="left"/>
      <w:pPr>
        <w:ind w:left="5948" w:hanging="423"/>
      </w:pPr>
      <w:rPr>
        <w:rFonts w:hint="default"/>
      </w:rPr>
    </w:lvl>
  </w:abstractNum>
  <w:abstractNum w:abstractNumId="24">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8" w:hanging="423"/>
      </w:pPr>
      <w:rPr>
        <w:rFonts w:hint="default"/>
      </w:rPr>
    </w:lvl>
    <w:lvl w:ilvl="2">
      <w:start w:val="0"/>
      <w:numFmt w:val="bullet"/>
      <w:lvlText w:val="•"/>
      <w:lvlJc w:val="left"/>
      <w:pPr>
        <w:ind w:left="1877" w:hanging="423"/>
      </w:pPr>
      <w:rPr>
        <w:rFonts w:hint="default"/>
      </w:rPr>
    </w:lvl>
    <w:lvl w:ilvl="3">
      <w:start w:val="0"/>
      <w:numFmt w:val="bullet"/>
      <w:lvlText w:val="•"/>
      <w:lvlJc w:val="left"/>
      <w:pPr>
        <w:ind w:left="2555" w:hanging="423"/>
      </w:pPr>
      <w:rPr>
        <w:rFonts w:hint="default"/>
      </w:rPr>
    </w:lvl>
    <w:lvl w:ilvl="4">
      <w:start w:val="0"/>
      <w:numFmt w:val="bullet"/>
      <w:lvlText w:val="•"/>
      <w:lvlJc w:val="left"/>
      <w:pPr>
        <w:ind w:left="3234" w:hanging="423"/>
      </w:pPr>
      <w:rPr>
        <w:rFonts w:hint="default"/>
      </w:rPr>
    </w:lvl>
    <w:lvl w:ilvl="5">
      <w:start w:val="0"/>
      <w:numFmt w:val="bullet"/>
      <w:lvlText w:val="•"/>
      <w:lvlJc w:val="left"/>
      <w:pPr>
        <w:ind w:left="3913" w:hanging="423"/>
      </w:pPr>
      <w:rPr>
        <w:rFonts w:hint="default"/>
      </w:rPr>
    </w:lvl>
    <w:lvl w:ilvl="6">
      <w:start w:val="0"/>
      <w:numFmt w:val="bullet"/>
      <w:lvlText w:val="•"/>
      <w:lvlJc w:val="left"/>
      <w:pPr>
        <w:ind w:left="4591" w:hanging="423"/>
      </w:pPr>
      <w:rPr>
        <w:rFonts w:hint="default"/>
      </w:rPr>
    </w:lvl>
    <w:lvl w:ilvl="7">
      <w:start w:val="0"/>
      <w:numFmt w:val="bullet"/>
      <w:lvlText w:val="•"/>
      <w:lvlJc w:val="left"/>
      <w:pPr>
        <w:ind w:left="5270" w:hanging="423"/>
      </w:pPr>
      <w:rPr>
        <w:rFonts w:hint="default"/>
      </w:rPr>
    </w:lvl>
    <w:lvl w:ilvl="8">
      <w:start w:val="0"/>
      <w:numFmt w:val="bullet"/>
      <w:lvlText w:val="•"/>
      <w:lvlJc w:val="left"/>
      <w:pPr>
        <w:ind w:left="5948" w:hanging="423"/>
      </w:pPr>
      <w:rPr>
        <w:rFonts w:hint="default"/>
      </w:rPr>
    </w:lvl>
  </w:abstractNum>
  <w:abstractNum w:abstractNumId="23">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0" w:hanging="423"/>
      </w:pPr>
      <w:rPr>
        <w:rFonts w:hint="default"/>
      </w:rPr>
    </w:lvl>
    <w:lvl w:ilvl="2">
      <w:start w:val="0"/>
      <w:numFmt w:val="bullet"/>
      <w:lvlText w:val="•"/>
      <w:lvlJc w:val="left"/>
      <w:pPr>
        <w:ind w:left="1861" w:hanging="423"/>
      </w:pPr>
      <w:rPr>
        <w:rFonts w:hint="default"/>
      </w:rPr>
    </w:lvl>
    <w:lvl w:ilvl="3">
      <w:start w:val="0"/>
      <w:numFmt w:val="bullet"/>
      <w:lvlText w:val="•"/>
      <w:lvlJc w:val="left"/>
      <w:pPr>
        <w:ind w:left="2532" w:hanging="423"/>
      </w:pPr>
      <w:rPr>
        <w:rFonts w:hint="default"/>
      </w:rPr>
    </w:lvl>
    <w:lvl w:ilvl="4">
      <w:start w:val="0"/>
      <w:numFmt w:val="bullet"/>
      <w:lvlText w:val="•"/>
      <w:lvlJc w:val="left"/>
      <w:pPr>
        <w:ind w:left="3203" w:hanging="423"/>
      </w:pPr>
      <w:rPr>
        <w:rFonts w:hint="default"/>
      </w:rPr>
    </w:lvl>
    <w:lvl w:ilvl="5">
      <w:start w:val="0"/>
      <w:numFmt w:val="bullet"/>
      <w:lvlText w:val="•"/>
      <w:lvlJc w:val="left"/>
      <w:pPr>
        <w:ind w:left="3874" w:hanging="423"/>
      </w:pPr>
      <w:rPr>
        <w:rFonts w:hint="default"/>
      </w:rPr>
    </w:lvl>
    <w:lvl w:ilvl="6">
      <w:start w:val="0"/>
      <w:numFmt w:val="bullet"/>
      <w:lvlText w:val="•"/>
      <w:lvlJc w:val="left"/>
      <w:pPr>
        <w:ind w:left="4545" w:hanging="423"/>
      </w:pPr>
      <w:rPr>
        <w:rFonts w:hint="default"/>
      </w:rPr>
    </w:lvl>
    <w:lvl w:ilvl="7">
      <w:start w:val="0"/>
      <w:numFmt w:val="bullet"/>
      <w:lvlText w:val="•"/>
      <w:lvlJc w:val="left"/>
      <w:pPr>
        <w:ind w:left="5216" w:hanging="423"/>
      </w:pPr>
      <w:rPr>
        <w:rFonts w:hint="default"/>
      </w:rPr>
    </w:lvl>
    <w:lvl w:ilvl="8">
      <w:start w:val="0"/>
      <w:numFmt w:val="bullet"/>
      <w:lvlText w:val="•"/>
      <w:lvlJc w:val="left"/>
      <w:pPr>
        <w:ind w:left="5887" w:hanging="423"/>
      </w:pPr>
      <w:rPr>
        <w:rFonts w:hint="default"/>
      </w:rPr>
    </w:lvl>
  </w:abstractNum>
  <w:abstractNum w:abstractNumId="22">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0" w:hanging="423"/>
      </w:pPr>
      <w:rPr>
        <w:rFonts w:hint="default"/>
      </w:rPr>
    </w:lvl>
    <w:lvl w:ilvl="2">
      <w:start w:val="0"/>
      <w:numFmt w:val="bullet"/>
      <w:lvlText w:val="•"/>
      <w:lvlJc w:val="left"/>
      <w:pPr>
        <w:ind w:left="1861" w:hanging="423"/>
      </w:pPr>
      <w:rPr>
        <w:rFonts w:hint="default"/>
      </w:rPr>
    </w:lvl>
    <w:lvl w:ilvl="3">
      <w:start w:val="0"/>
      <w:numFmt w:val="bullet"/>
      <w:lvlText w:val="•"/>
      <w:lvlJc w:val="left"/>
      <w:pPr>
        <w:ind w:left="2532" w:hanging="423"/>
      </w:pPr>
      <w:rPr>
        <w:rFonts w:hint="default"/>
      </w:rPr>
    </w:lvl>
    <w:lvl w:ilvl="4">
      <w:start w:val="0"/>
      <w:numFmt w:val="bullet"/>
      <w:lvlText w:val="•"/>
      <w:lvlJc w:val="left"/>
      <w:pPr>
        <w:ind w:left="3203" w:hanging="423"/>
      </w:pPr>
      <w:rPr>
        <w:rFonts w:hint="default"/>
      </w:rPr>
    </w:lvl>
    <w:lvl w:ilvl="5">
      <w:start w:val="0"/>
      <w:numFmt w:val="bullet"/>
      <w:lvlText w:val="•"/>
      <w:lvlJc w:val="left"/>
      <w:pPr>
        <w:ind w:left="3874" w:hanging="423"/>
      </w:pPr>
      <w:rPr>
        <w:rFonts w:hint="default"/>
      </w:rPr>
    </w:lvl>
    <w:lvl w:ilvl="6">
      <w:start w:val="0"/>
      <w:numFmt w:val="bullet"/>
      <w:lvlText w:val="•"/>
      <w:lvlJc w:val="left"/>
      <w:pPr>
        <w:ind w:left="4545" w:hanging="423"/>
      </w:pPr>
      <w:rPr>
        <w:rFonts w:hint="default"/>
      </w:rPr>
    </w:lvl>
    <w:lvl w:ilvl="7">
      <w:start w:val="0"/>
      <w:numFmt w:val="bullet"/>
      <w:lvlText w:val="•"/>
      <w:lvlJc w:val="left"/>
      <w:pPr>
        <w:ind w:left="5216" w:hanging="423"/>
      </w:pPr>
      <w:rPr>
        <w:rFonts w:hint="default"/>
      </w:rPr>
    </w:lvl>
    <w:lvl w:ilvl="8">
      <w:start w:val="0"/>
      <w:numFmt w:val="bullet"/>
      <w:lvlText w:val="•"/>
      <w:lvlJc w:val="left"/>
      <w:pPr>
        <w:ind w:left="5887" w:hanging="423"/>
      </w:pPr>
      <w:rPr>
        <w:rFonts w:hint="default"/>
      </w:rPr>
    </w:lvl>
  </w:abstractNum>
  <w:abstractNum w:abstractNumId="21">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0" w:hanging="423"/>
      </w:pPr>
      <w:rPr>
        <w:rFonts w:hint="default"/>
      </w:rPr>
    </w:lvl>
    <w:lvl w:ilvl="2">
      <w:start w:val="0"/>
      <w:numFmt w:val="bullet"/>
      <w:lvlText w:val="•"/>
      <w:lvlJc w:val="left"/>
      <w:pPr>
        <w:ind w:left="1861" w:hanging="423"/>
      </w:pPr>
      <w:rPr>
        <w:rFonts w:hint="default"/>
      </w:rPr>
    </w:lvl>
    <w:lvl w:ilvl="3">
      <w:start w:val="0"/>
      <w:numFmt w:val="bullet"/>
      <w:lvlText w:val="•"/>
      <w:lvlJc w:val="left"/>
      <w:pPr>
        <w:ind w:left="2532" w:hanging="423"/>
      </w:pPr>
      <w:rPr>
        <w:rFonts w:hint="default"/>
      </w:rPr>
    </w:lvl>
    <w:lvl w:ilvl="4">
      <w:start w:val="0"/>
      <w:numFmt w:val="bullet"/>
      <w:lvlText w:val="•"/>
      <w:lvlJc w:val="left"/>
      <w:pPr>
        <w:ind w:left="3203" w:hanging="423"/>
      </w:pPr>
      <w:rPr>
        <w:rFonts w:hint="default"/>
      </w:rPr>
    </w:lvl>
    <w:lvl w:ilvl="5">
      <w:start w:val="0"/>
      <w:numFmt w:val="bullet"/>
      <w:lvlText w:val="•"/>
      <w:lvlJc w:val="left"/>
      <w:pPr>
        <w:ind w:left="3874" w:hanging="423"/>
      </w:pPr>
      <w:rPr>
        <w:rFonts w:hint="default"/>
      </w:rPr>
    </w:lvl>
    <w:lvl w:ilvl="6">
      <w:start w:val="0"/>
      <w:numFmt w:val="bullet"/>
      <w:lvlText w:val="•"/>
      <w:lvlJc w:val="left"/>
      <w:pPr>
        <w:ind w:left="4545" w:hanging="423"/>
      </w:pPr>
      <w:rPr>
        <w:rFonts w:hint="default"/>
      </w:rPr>
    </w:lvl>
    <w:lvl w:ilvl="7">
      <w:start w:val="0"/>
      <w:numFmt w:val="bullet"/>
      <w:lvlText w:val="•"/>
      <w:lvlJc w:val="left"/>
      <w:pPr>
        <w:ind w:left="5216" w:hanging="423"/>
      </w:pPr>
      <w:rPr>
        <w:rFonts w:hint="default"/>
      </w:rPr>
    </w:lvl>
    <w:lvl w:ilvl="8">
      <w:start w:val="0"/>
      <w:numFmt w:val="bullet"/>
      <w:lvlText w:val="•"/>
      <w:lvlJc w:val="left"/>
      <w:pPr>
        <w:ind w:left="5887" w:hanging="423"/>
      </w:pPr>
      <w:rPr>
        <w:rFonts w:hint="default"/>
      </w:rPr>
    </w:lvl>
  </w:abstractNum>
  <w:abstractNum w:abstractNumId="20">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0" w:hanging="423"/>
      </w:pPr>
      <w:rPr>
        <w:rFonts w:hint="default"/>
      </w:rPr>
    </w:lvl>
    <w:lvl w:ilvl="2">
      <w:start w:val="0"/>
      <w:numFmt w:val="bullet"/>
      <w:lvlText w:val="•"/>
      <w:lvlJc w:val="left"/>
      <w:pPr>
        <w:ind w:left="1861" w:hanging="423"/>
      </w:pPr>
      <w:rPr>
        <w:rFonts w:hint="default"/>
      </w:rPr>
    </w:lvl>
    <w:lvl w:ilvl="3">
      <w:start w:val="0"/>
      <w:numFmt w:val="bullet"/>
      <w:lvlText w:val="•"/>
      <w:lvlJc w:val="left"/>
      <w:pPr>
        <w:ind w:left="2532" w:hanging="423"/>
      </w:pPr>
      <w:rPr>
        <w:rFonts w:hint="default"/>
      </w:rPr>
    </w:lvl>
    <w:lvl w:ilvl="4">
      <w:start w:val="0"/>
      <w:numFmt w:val="bullet"/>
      <w:lvlText w:val="•"/>
      <w:lvlJc w:val="left"/>
      <w:pPr>
        <w:ind w:left="3203" w:hanging="423"/>
      </w:pPr>
      <w:rPr>
        <w:rFonts w:hint="default"/>
      </w:rPr>
    </w:lvl>
    <w:lvl w:ilvl="5">
      <w:start w:val="0"/>
      <w:numFmt w:val="bullet"/>
      <w:lvlText w:val="•"/>
      <w:lvlJc w:val="left"/>
      <w:pPr>
        <w:ind w:left="3874" w:hanging="423"/>
      </w:pPr>
      <w:rPr>
        <w:rFonts w:hint="default"/>
      </w:rPr>
    </w:lvl>
    <w:lvl w:ilvl="6">
      <w:start w:val="0"/>
      <w:numFmt w:val="bullet"/>
      <w:lvlText w:val="•"/>
      <w:lvlJc w:val="left"/>
      <w:pPr>
        <w:ind w:left="4545" w:hanging="423"/>
      </w:pPr>
      <w:rPr>
        <w:rFonts w:hint="default"/>
      </w:rPr>
    </w:lvl>
    <w:lvl w:ilvl="7">
      <w:start w:val="0"/>
      <w:numFmt w:val="bullet"/>
      <w:lvlText w:val="•"/>
      <w:lvlJc w:val="left"/>
      <w:pPr>
        <w:ind w:left="5216" w:hanging="423"/>
      </w:pPr>
      <w:rPr>
        <w:rFonts w:hint="default"/>
      </w:rPr>
    </w:lvl>
    <w:lvl w:ilvl="8">
      <w:start w:val="0"/>
      <w:numFmt w:val="bullet"/>
      <w:lvlText w:val="•"/>
      <w:lvlJc w:val="left"/>
      <w:pPr>
        <w:ind w:left="5887" w:hanging="423"/>
      </w:pPr>
      <w:rPr>
        <w:rFonts w:hint="default"/>
      </w:rPr>
    </w:lvl>
  </w:abstractNum>
  <w:abstractNum w:abstractNumId="19">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0" w:hanging="423"/>
      </w:pPr>
      <w:rPr>
        <w:rFonts w:hint="default"/>
      </w:rPr>
    </w:lvl>
    <w:lvl w:ilvl="2">
      <w:start w:val="0"/>
      <w:numFmt w:val="bullet"/>
      <w:lvlText w:val="•"/>
      <w:lvlJc w:val="left"/>
      <w:pPr>
        <w:ind w:left="1861" w:hanging="423"/>
      </w:pPr>
      <w:rPr>
        <w:rFonts w:hint="default"/>
      </w:rPr>
    </w:lvl>
    <w:lvl w:ilvl="3">
      <w:start w:val="0"/>
      <w:numFmt w:val="bullet"/>
      <w:lvlText w:val="•"/>
      <w:lvlJc w:val="left"/>
      <w:pPr>
        <w:ind w:left="2532" w:hanging="423"/>
      </w:pPr>
      <w:rPr>
        <w:rFonts w:hint="default"/>
      </w:rPr>
    </w:lvl>
    <w:lvl w:ilvl="4">
      <w:start w:val="0"/>
      <w:numFmt w:val="bullet"/>
      <w:lvlText w:val="•"/>
      <w:lvlJc w:val="left"/>
      <w:pPr>
        <w:ind w:left="3203" w:hanging="423"/>
      </w:pPr>
      <w:rPr>
        <w:rFonts w:hint="default"/>
      </w:rPr>
    </w:lvl>
    <w:lvl w:ilvl="5">
      <w:start w:val="0"/>
      <w:numFmt w:val="bullet"/>
      <w:lvlText w:val="•"/>
      <w:lvlJc w:val="left"/>
      <w:pPr>
        <w:ind w:left="3874" w:hanging="423"/>
      </w:pPr>
      <w:rPr>
        <w:rFonts w:hint="default"/>
      </w:rPr>
    </w:lvl>
    <w:lvl w:ilvl="6">
      <w:start w:val="0"/>
      <w:numFmt w:val="bullet"/>
      <w:lvlText w:val="•"/>
      <w:lvlJc w:val="left"/>
      <w:pPr>
        <w:ind w:left="4545" w:hanging="423"/>
      </w:pPr>
      <w:rPr>
        <w:rFonts w:hint="default"/>
      </w:rPr>
    </w:lvl>
    <w:lvl w:ilvl="7">
      <w:start w:val="0"/>
      <w:numFmt w:val="bullet"/>
      <w:lvlText w:val="•"/>
      <w:lvlJc w:val="left"/>
      <w:pPr>
        <w:ind w:left="5216" w:hanging="423"/>
      </w:pPr>
      <w:rPr>
        <w:rFonts w:hint="default"/>
      </w:rPr>
    </w:lvl>
    <w:lvl w:ilvl="8">
      <w:start w:val="0"/>
      <w:numFmt w:val="bullet"/>
      <w:lvlText w:val="•"/>
      <w:lvlJc w:val="left"/>
      <w:pPr>
        <w:ind w:left="5887" w:hanging="423"/>
      </w:pPr>
      <w:rPr>
        <w:rFonts w:hint="default"/>
      </w:rPr>
    </w:lvl>
  </w:abstractNum>
  <w:abstractNum w:abstractNumId="18">
    <w:multiLevelType w:val="hybridMultilevel"/>
    <w:lvl w:ilvl="0">
      <w:start w:val="1"/>
      <w:numFmt w:val="decimal"/>
      <w:lvlText w:val="(%1)"/>
      <w:lvlJc w:val="left"/>
      <w:pPr>
        <w:ind w:left="631" w:hanging="423"/>
        <w:jc w:val="left"/>
      </w:pPr>
      <w:rPr>
        <w:rFonts w:hint="default" w:ascii="宋体" w:hAnsi="宋体" w:eastAsia="宋体" w:cs="宋体"/>
        <w:w w:val="100"/>
        <w:sz w:val="21"/>
        <w:szCs w:val="21"/>
      </w:rPr>
    </w:lvl>
    <w:lvl w:ilvl="1">
      <w:start w:val="0"/>
      <w:numFmt w:val="bullet"/>
      <w:lvlText w:val="•"/>
      <w:lvlJc w:val="left"/>
      <w:pPr>
        <w:ind w:left="1318" w:hanging="423"/>
      </w:pPr>
      <w:rPr>
        <w:rFonts w:hint="default"/>
      </w:rPr>
    </w:lvl>
    <w:lvl w:ilvl="2">
      <w:start w:val="0"/>
      <w:numFmt w:val="bullet"/>
      <w:lvlText w:val="•"/>
      <w:lvlJc w:val="left"/>
      <w:pPr>
        <w:ind w:left="1997" w:hanging="423"/>
      </w:pPr>
      <w:rPr>
        <w:rFonts w:hint="default"/>
      </w:rPr>
    </w:lvl>
    <w:lvl w:ilvl="3">
      <w:start w:val="0"/>
      <w:numFmt w:val="bullet"/>
      <w:lvlText w:val="•"/>
      <w:lvlJc w:val="left"/>
      <w:pPr>
        <w:ind w:left="2676" w:hanging="423"/>
      </w:pPr>
      <w:rPr>
        <w:rFonts w:hint="default"/>
      </w:rPr>
    </w:lvl>
    <w:lvl w:ilvl="4">
      <w:start w:val="0"/>
      <w:numFmt w:val="bullet"/>
      <w:lvlText w:val="•"/>
      <w:lvlJc w:val="left"/>
      <w:pPr>
        <w:ind w:left="3355" w:hanging="423"/>
      </w:pPr>
      <w:rPr>
        <w:rFonts w:hint="default"/>
      </w:rPr>
    </w:lvl>
    <w:lvl w:ilvl="5">
      <w:start w:val="0"/>
      <w:numFmt w:val="bullet"/>
      <w:lvlText w:val="•"/>
      <w:lvlJc w:val="left"/>
      <w:pPr>
        <w:ind w:left="4034" w:hanging="423"/>
      </w:pPr>
      <w:rPr>
        <w:rFonts w:hint="default"/>
      </w:rPr>
    </w:lvl>
    <w:lvl w:ilvl="6">
      <w:start w:val="0"/>
      <w:numFmt w:val="bullet"/>
      <w:lvlText w:val="•"/>
      <w:lvlJc w:val="left"/>
      <w:pPr>
        <w:ind w:left="4713" w:hanging="423"/>
      </w:pPr>
      <w:rPr>
        <w:rFonts w:hint="default"/>
      </w:rPr>
    </w:lvl>
    <w:lvl w:ilvl="7">
      <w:start w:val="0"/>
      <w:numFmt w:val="bullet"/>
      <w:lvlText w:val="•"/>
      <w:lvlJc w:val="left"/>
      <w:pPr>
        <w:ind w:left="5392" w:hanging="423"/>
      </w:pPr>
      <w:rPr>
        <w:rFonts w:hint="default"/>
      </w:rPr>
    </w:lvl>
    <w:lvl w:ilvl="8">
      <w:start w:val="0"/>
      <w:numFmt w:val="bullet"/>
      <w:lvlText w:val="•"/>
      <w:lvlJc w:val="left"/>
      <w:pPr>
        <w:ind w:left="6071" w:hanging="423"/>
      </w:pPr>
      <w:rPr>
        <w:rFonts w:hint="default"/>
      </w:rPr>
    </w:lvl>
  </w:abstractNum>
  <w:abstractNum w:abstractNumId="17">
    <w:multiLevelType w:val="hybridMultilevel"/>
    <w:lvl w:ilvl="0">
      <w:start w:val="1"/>
      <w:numFmt w:val="decimal"/>
      <w:lvlText w:val="(%1)"/>
      <w:lvlJc w:val="left"/>
      <w:pPr>
        <w:ind w:left="631" w:hanging="423"/>
        <w:jc w:val="left"/>
      </w:pPr>
      <w:rPr>
        <w:rFonts w:hint="default" w:ascii="宋体" w:hAnsi="宋体" w:eastAsia="宋体" w:cs="宋体"/>
        <w:w w:val="100"/>
        <w:sz w:val="21"/>
        <w:szCs w:val="21"/>
      </w:rPr>
    </w:lvl>
    <w:lvl w:ilvl="1">
      <w:start w:val="0"/>
      <w:numFmt w:val="bullet"/>
      <w:lvlText w:val="•"/>
      <w:lvlJc w:val="left"/>
      <w:pPr>
        <w:ind w:left="1318" w:hanging="423"/>
      </w:pPr>
      <w:rPr>
        <w:rFonts w:hint="default"/>
      </w:rPr>
    </w:lvl>
    <w:lvl w:ilvl="2">
      <w:start w:val="0"/>
      <w:numFmt w:val="bullet"/>
      <w:lvlText w:val="•"/>
      <w:lvlJc w:val="left"/>
      <w:pPr>
        <w:ind w:left="1997" w:hanging="423"/>
      </w:pPr>
      <w:rPr>
        <w:rFonts w:hint="default"/>
      </w:rPr>
    </w:lvl>
    <w:lvl w:ilvl="3">
      <w:start w:val="0"/>
      <w:numFmt w:val="bullet"/>
      <w:lvlText w:val="•"/>
      <w:lvlJc w:val="left"/>
      <w:pPr>
        <w:ind w:left="2676" w:hanging="423"/>
      </w:pPr>
      <w:rPr>
        <w:rFonts w:hint="default"/>
      </w:rPr>
    </w:lvl>
    <w:lvl w:ilvl="4">
      <w:start w:val="0"/>
      <w:numFmt w:val="bullet"/>
      <w:lvlText w:val="•"/>
      <w:lvlJc w:val="left"/>
      <w:pPr>
        <w:ind w:left="3355" w:hanging="423"/>
      </w:pPr>
      <w:rPr>
        <w:rFonts w:hint="default"/>
      </w:rPr>
    </w:lvl>
    <w:lvl w:ilvl="5">
      <w:start w:val="0"/>
      <w:numFmt w:val="bullet"/>
      <w:lvlText w:val="•"/>
      <w:lvlJc w:val="left"/>
      <w:pPr>
        <w:ind w:left="4034" w:hanging="423"/>
      </w:pPr>
      <w:rPr>
        <w:rFonts w:hint="default"/>
      </w:rPr>
    </w:lvl>
    <w:lvl w:ilvl="6">
      <w:start w:val="0"/>
      <w:numFmt w:val="bullet"/>
      <w:lvlText w:val="•"/>
      <w:lvlJc w:val="left"/>
      <w:pPr>
        <w:ind w:left="4713" w:hanging="423"/>
      </w:pPr>
      <w:rPr>
        <w:rFonts w:hint="default"/>
      </w:rPr>
    </w:lvl>
    <w:lvl w:ilvl="7">
      <w:start w:val="0"/>
      <w:numFmt w:val="bullet"/>
      <w:lvlText w:val="•"/>
      <w:lvlJc w:val="left"/>
      <w:pPr>
        <w:ind w:left="5392" w:hanging="423"/>
      </w:pPr>
      <w:rPr>
        <w:rFonts w:hint="default"/>
      </w:rPr>
    </w:lvl>
    <w:lvl w:ilvl="8">
      <w:start w:val="0"/>
      <w:numFmt w:val="bullet"/>
      <w:lvlText w:val="•"/>
      <w:lvlJc w:val="left"/>
      <w:pPr>
        <w:ind w:left="6071" w:hanging="423"/>
      </w:pPr>
      <w:rPr>
        <w:rFonts w:hint="default"/>
      </w:rPr>
    </w:lvl>
  </w:abstractNum>
  <w:abstractNum w:abstractNumId="16">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8" w:hanging="423"/>
      </w:pPr>
      <w:rPr>
        <w:rFonts w:hint="default"/>
      </w:rPr>
    </w:lvl>
    <w:lvl w:ilvl="2">
      <w:start w:val="0"/>
      <w:numFmt w:val="bullet"/>
      <w:lvlText w:val="•"/>
      <w:lvlJc w:val="left"/>
      <w:pPr>
        <w:ind w:left="1877" w:hanging="423"/>
      </w:pPr>
      <w:rPr>
        <w:rFonts w:hint="default"/>
      </w:rPr>
    </w:lvl>
    <w:lvl w:ilvl="3">
      <w:start w:val="0"/>
      <w:numFmt w:val="bullet"/>
      <w:lvlText w:val="•"/>
      <w:lvlJc w:val="left"/>
      <w:pPr>
        <w:ind w:left="2555" w:hanging="423"/>
      </w:pPr>
      <w:rPr>
        <w:rFonts w:hint="default"/>
      </w:rPr>
    </w:lvl>
    <w:lvl w:ilvl="4">
      <w:start w:val="0"/>
      <w:numFmt w:val="bullet"/>
      <w:lvlText w:val="•"/>
      <w:lvlJc w:val="left"/>
      <w:pPr>
        <w:ind w:left="3234" w:hanging="423"/>
      </w:pPr>
      <w:rPr>
        <w:rFonts w:hint="default"/>
      </w:rPr>
    </w:lvl>
    <w:lvl w:ilvl="5">
      <w:start w:val="0"/>
      <w:numFmt w:val="bullet"/>
      <w:lvlText w:val="•"/>
      <w:lvlJc w:val="left"/>
      <w:pPr>
        <w:ind w:left="3913" w:hanging="423"/>
      </w:pPr>
      <w:rPr>
        <w:rFonts w:hint="default"/>
      </w:rPr>
    </w:lvl>
    <w:lvl w:ilvl="6">
      <w:start w:val="0"/>
      <w:numFmt w:val="bullet"/>
      <w:lvlText w:val="•"/>
      <w:lvlJc w:val="left"/>
      <w:pPr>
        <w:ind w:left="4591" w:hanging="423"/>
      </w:pPr>
      <w:rPr>
        <w:rFonts w:hint="default"/>
      </w:rPr>
    </w:lvl>
    <w:lvl w:ilvl="7">
      <w:start w:val="0"/>
      <w:numFmt w:val="bullet"/>
      <w:lvlText w:val="•"/>
      <w:lvlJc w:val="left"/>
      <w:pPr>
        <w:ind w:left="5270" w:hanging="423"/>
      </w:pPr>
      <w:rPr>
        <w:rFonts w:hint="default"/>
      </w:rPr>
    </w:lvl>
    <w:lvl w:ilvl="8">
      <w:start w:val="0"/>
      <w:numFmt w:val="bullet"/>
      <w:lvlText w:val="•"/>
      <w:lvlJc w:val="left"/>
      <w:pPr>
        <w:ind w:left="5948" w:hanging="423"/>
      </w:pPr>
      <w:rPr>
        <w:rFonts w:hint="default"/>
      </w:rPr>
    </w:lvl>
  </w:abstractNum>
  <w:abstractNum w:abstractNumId="15">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9" w:hanging="423"/>
      </w:pPr>
      <w:rPr>
        <w:rFonts w:hint="default"/>
      </w:rPr>
    </w:lvl>
    <w:lvl w:ilvl="2">
      <w:start w:val="0"/>
      <w:numFmt w:val="bullet"/>
      <w:lvlText w:val="•"/>
      <w:lvlJc w:val="left"/>
      <w:pPr>
        <w:ind w:left="1878" w:hanging="423"/>
      </w:pPr>
      <w:rPr>
        <w:rFonts w:hint="default"/>
      </w:rPr>
    </w:lvl>
    <w:lvl w:ilvl="3">
      <w:start w:val="0"/>
      <w:numFmt w:val="bullet"/>
      <w:lvlText w:val="•"/>
      <w:lvlJc w:val="left"/>
      <w:pPr>
        <w:ind w:left="2558" w:hanging="423"/>
      </w:pPr>
      <w:rPr>
        <w:rFonts w:hint="default"/>
      </w:rPr>
    </w:lvl>
    <w:lvl w:ilvl="4">
      <w:start w:val="0"/>
      <w:numFmt w:val="bullet"/>
      <w:lvlText w:val="•"/>
      <w:lvlJc w:val="left"/>
      <w:pPr>
        <w:ind w:left="3237" w:hanging="423"/>
      </w:pPr>
      <w:rPr>
        <w:rFonts w:hint="default"/>
      </w:rPr>
    </w:lvl>
    <w:lvl w:ilvl="5">
      <w:start w:val="0"/>
      <w:numFmt w:val="bullet"/>
      <w:lvlText w:val="•"/>
      <w:lvlJc w:val="left"/>
      <w:pPr>
        <w:ind w:left="3917" w:hanging="423"/>
      </w:pPr>
      <w:rPr>
        <w:rFonts w:hint="default"/>
      </w:rPr>
    </w:lvl>
    <w:lvl w:ilvl="6">
      <w:start w:val="0"/>
      <w:numFmt w:val="bullet"/>
      <w:lvlText w:val="•"/>
      <w:lvlJc w:val="left"/>
      <w:pPr>
        <w:ind w:left="4596" w:hanging="423"/>
      </w:pPr>
      <w:rPr>
        <w:rFonts w:hint="default"/>
      </w:rPr>
    </w:lvl>
    <w:lvl w:ilvl="7">
      <w:start w:val="0"/>
      <w:numFmt w:val="bullet"/>
      <w:lvlText w:val="•"/>
      <w:lvlJc w:val="left"/>
      <w:pPr>
        <w:ind w:left="5275" w:hanging="423"/>
      </w:pPr>
      <w:rPr>
        <w:rFonts w:hint="default"/>
      </w:rPr>
    </w:lvl>
    <w:lvl w:ilvl="8">
      <w:start w:val="0"/>
      <w:numFmt w:val="bullet"/>
      <w:lvlText w:val="•"/>
      <w:lvlJc w:val="left"/>
      <w:pPr>
        <w:ind w:left="5955" w:hanging="423"/>
      </w:pPr>
      <w:rPr>
        <w:rFonts w:hint="default"/>
      </w:rPr>
    </w:lvl>
  </w:abstractNum>
  <w:abstractNum w:abstractNumId="14">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9" w:hanging="423"/>
      </w:pPr>
      <w:rPr>
        <w:rFonts w:hint="default"/>
      </w:rPr>
    </w:lvl>
    <w:lvl w:ilvl="2">
      <w:start w:val="0"/>
      <w:numFmt w:val="bullet"/>
      <w:lvlText w:val="•"/>
      <w:lvlJc w:val="left"/>
      <w:pPr>
        <w:ind w:left="1878" w:hanging="423"/>
      </w:pPr>
      <w:rPr>
        <w:rFonts w:hint="default"/>
      </w:rPr>
    </w:lvl>
    <w:lvl w:ilvl="3">
      <w:start w:val="0"/>
      <w:numFmt w:val="bullet"/>
      <w:lvlText w:val="•"/>
      <w:lvlJc w:val="left"/>
      <w:pPr>
        <w:ind w:left="2558" w:hanging="423"/>
      </w:pPr>
      <w:rPr>
        <w:rFonts w:hint="default"/>
      </w:rPr>
    </w:lvl>
    <w:lvl w:ilvl="4">
      <w:start w:val="0"/>
      <w:numFmt w:val="bullet"/>
      <w:lvlText w:val="•"/>
      <w:lvlJc w:val="left"/>
      <w:pPr>
        <w:ind w:left="3237" w:hanging="423"/>
      </w:pPr>
      <w:rPr>
        <w:rFonts w:hint="default"/>
      </w:rPr>
    </w:lvl>
    <w:lvl w:ilvl="5">
      <w:start w:val="0"/>
      <w:numFmt w:val="bullet"/>
      <w:lvlText w:val="•"/>
      <w:lvlJc w:val="left"/>
      <w:pPr>
        <w:ind w:left="3917" w:hanging="423"/>
      </w:pPr>
      <w:rPr>
        <w:rFonts w:hint="default"/>
      </w:rPr>
    </w:lvl>
    <w:lvl w:ilvl="6">
      <w:start w:val="0"/>
      <w:numFmt w:val="bullet"/>
      <w:lvlText w:val="•"/>
      <w:lvlJc w:val="left"/>
      <w:pPr>
        <w:ind w:left="4596" w:hanging="423"/>
      </w:pPr>
      <w:rPr>
        <w:rFonts w:hint="default"/>
      </w:rPr>
    </w:lvl>
    <w:lvl w:ilvl="7">
      <w:start w:val="0"/>
      <w:numFmt w:val="bullet"/>
      <w:lvlText w:val="•"/>
      <w:lvlJc w:val="left"/>
      <w:pPr>
        <w:ind w:left="5275" w:hanging="423"/>
      </w:pPr>
      <w:rPr>
        <w:rFonts w:hint="default"/>
      </w:rPr>
    </w:lvl>
    <w:lvl w:ilvl="8">
      <w:start w:val="0"/>
      <w:numFmt w:val="bullet"/>
      <w:lvlText w:val="•"/>
      <w:lvlJc w:val="left"/>
      <w:pPr>
        <w:ind w:left="5955" w:hanging="423"/>
      </w:pPr>
      <w:rPr>
        <w:rFonts w:hint="default"/>
      </w:rPr>
    </w:lvl>
  </w:abstractNum>
  <w:abstractNum w:abstractNumId="13">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199" w:hanging="423"/>
      </w:pPr>
      <w:rPr>
        <w:rFonts w:hint="default"/>
      </w:rPr>
    </w:lvl>
    <w:lvl w:ilvl="2">
      <w:start w:val="0"/>
      <w:numFmt w:val="bullet"/>
      <w:lvlText w:val="•"/>
      <w:lvlJc w:val="left"/>
      <w:pPr>
        <w:ind w:left="1878" w:hanging="423"/>
      </w:pPr>
      <w:rPr>
        <w:rFonts w:hint="default"/>
      </w:rPr>
    </w:lvl>
    <w:lvl w:ilvl="3">
      <w:start w:val="0"/>
      <w:numFmt w:val="bullet"/>
      <w:lvlText w:val="•"/>
      <w:lvlJc w:val="left"/>
      <w:pPr>
        <w:ind w:left="2558" w:hanging="423"/>
      </w:pPr>
      <w:rPr>
        <w:rFonts w:hint="default"/>
      </w:rPr>
    </w:lvl>
    <w:lvl w:ilvl="4">
      <w:start w:val="0"/>
      <w:numFmt w:val="bullet"/>
      <w:lvlText w:val="•"/>
      <w:lvlJc w:val="left"/>
      <w:pPr>
        <w:ind w:left="3237" w:hanging="423"/>
      </w:pPr>
      <w:rPr>
        <w:rFonts w:hint="default"/>
      </w:rPr>
    </w:lvl>
    <w:lvl w:ilvl="5">
      <w:start w:val="0"/>
      <w:numFmt w:val="bullet"/>
      <w:lvlText w:val="•"/>
      <w:lvlJc w:val="left"/>
      <w:pPr>
        <w:ind w:left="3917" w:hanging="423"/>
      </w:pPr>
      <w:rPr>
        <w:rFonts w:hint="default"/>
      </w:rPr>
    </w:lvl>
    <w:lvl w:ilvl="6">
      <w:start w:val="0"/>
      <w:numFmt w:val="bullet"/>
      <w:lvlText w:val="•"/>
      <w:lvlJc w:val="left"/>
      <w:pPr>
        <w:ind w:left="4596" w:hanging="423"/>
      </w:pPr>
      <w:rPr>
        <w:rFonts w:hint="default"/>
      </w:rPr>
    </w:lvl>
    <w:lvl w:ilvl="7">
      <w:start w:val="0"/>
      <w:numFmt w:val="bullet"/>
      <w:lvlText w:val="•"/>
      <w:lvlJc w:val="left"/>
      <w:pPr>
        <w:ind w:left="5275" w:hanging="423"/>
      </w:pPr>
      <w:rPr>
        <w:rFonts w:hint="default"/>
      </w:rPr>
    </w:lvl>
    <w:lvl w:ilvl="8">
      <w:start w:val="0"/>
      <w:numFmt w:val="bullet"/>
      <w:lvlText w:val="•"/>
      <w:lvlJc w:val="left"/>
      <w:pPr>
        <w:ind w:left="5955" w:hanging="423"/>
      </w:pPr>
      <w:rPr>
        <w:rFonts w:hint="default"/>
      </w:rPr>
    </w:lvl>
  </w:abstractNum>
  <w:abstractNum w:abstractNumId="12">
    <w:multiLevelType w:val="hybridMultilevel"/>
    <w:lvl w:ilvl="0">
      <w:start w:val="1"/>
      <w:numFmt w:val="decimal"/>
      <w:lvlText w:val="(%1)"/>
      <w:lvlJc w:val="left"/>
      <w:pPr>
        <w:ind w:left="531" w:hanging="423"/>
        <w:jc w:val="left"/>
      </w:pPr>
      <w:rPr>
        <w:rFonts w:hint="default" w:ascii="宋体" w:hAnsi="宋体" w:eastAsia="宋体" w:cs="宋体"/>
        <w:w w:val="100"/>
        <w:sz w:val="21"/>
        <w:szCs w:val="21"/>
      </w:rPr>
    </w:lvl>
    <w:lvl w:ilvl="1">
      <w:start w:val="0"/>
      <w:numFmt w:val="bullet"/>
      <w:lvlText w:val="•"/>
      <w:lvlJc w:val="left"/>
      <w:pPr>
        <w:ind w:left="1218" w:hanging="423"/>
      </w:pPr>
      <w:rPr>
        <w:rFonts w:hint="default"/>
      </w:rPr>
    </w:lvl>
    <w:lvl w:ilvl="2">
      <w:start w:val="0"/>
      <w:numFmt w:val="bullet"/>
      <w:lvlText w:val="•"/>
      <w:lvlJc w:val="left"/>
      <w:pPr>
        <w:ind w:left="1897" w:hanging="423"/>
      </w:pPr>
      <w:rPr>
        <w:rFonts w:hint="default"/>
      </w:rPr>
    </w:lvl>
    <w:lvl w:ilvl="3">
      <w:start w:val="0"/>
      <w:numFmt w:val="bullet"/>
      <w:lvlText w:val="•"/>
      <w:lvlJc w:val="left"/>
      <w:pPr>
        <w:ind w:left="2575" w:hanging="423"/>
      </w:pPr>
      <w:rPr>
        <w:rFonts w:hint="default"/>
      </w:rPr>
    </w:lvl>
    <w:lvl w:ilvl="4">
      <w:start w:val="0"/>
      <w:numFmt w:val="bullet"/>
      <w:lvlText w:val="•"/>
      <w:lvlJc w:val="left"/>
      <w:pPr>
        <w:ind w:left="3254" w:hanging="423"/>
      </w:pPr>
      <w:rPr>
        <w:rFonts w:hint="default"/>
      </w:rPr>
    </w:lvl>
    <w:lvl w:ilvl="5">
      <w:start w:val="0"/>
      <w:numFmt w:val="bullet"/>
      <w:lvlText w:val="•"/>
      <w:lvlJc w:val="left"/>
      <w:pPr>
        <w:ind w:left="3932" w:hanging="423"/>
      </w:pPr>
      <w:rPr>
        <w:rFonts w:hint="default"/>
      </w:rPr>
    </w:lvl>
    <w:lvl w:ilvl="6">
      <w:start w:val="0"/>
      <w:numFmt w:val="bullet"/>
      <w:lvlText w:val="•"/>
      <w:lvlJc w:val="left"/>
      <w:pPr>
        <w:ind w:left="4611" w:hanging="423"/>
      </w:pPr>
      <w:rPr>
        <w:rFonts w:hint="default"/>
      </w:rPr>
    </w:lvl>
    <w:lvl w:ilvl="7">
      <w:start w:val="0"/>
      <w:numFmt w:val="bullet"/>
      <w:lvlText w:val="•"/>
      <w:lvlJc w:val="left"/>
      <w:pPr>
        <w:ind w:left="5289" w:hanging="423"/>
      </w:pPr>
      <w:rPr>
        <w:rFonts w:hint="default"/>
      </w:rPr>
    </w:lvl>
    <w:lvl w:ilvl="8">
      <w:start w:val="0"/>
      <w:numFmt w:val="bullet"/>
      <w:lvlText w:val="•"/>
      <w:lvlJc w:val="left"/>
      <w:pPr>
        <w:ind w:left="5968" w:hanging="423"/>
      </w:pPr>
      <w:rPr>
        <w:rFonts w:hint="default"/>
      </w:rPr>
    </w:lvl>
  </w:abstractNum>
  <w:abstractNum w:abstractNumId="11">
    <w:multiLevelType w:val="hybridMultilevel"/>
    <w:lvl w:ilvl="0">
      <w:start w:val="1"/>
      <w:numFmt w:val="decimal"/>
      <w:lvlText w:val="(%1)"/>
      <w:lvlJc w:val="left"/>
      <w:pPr>
        <w:ind w:left="531" w:hanging="423"/>
        <w:jc w:val="left"/>
      </w:pPr>
      <w:rPr>
        <w:rFonts w:hint="default" w:ascii="宋体" w:hAnsi="宋体" w:eastAsia="宋体" w:cs="宋体"/>
        <w:w w:val="100"/>
        <w:sz w:val="21"/>
        <w:szCs w:val="21"/>
      </w:rPr>
    </w:lvl>
    <w:lvl w:ilvl="1">
      <w:start w:val="0"/>
      <w:numFmt w:val="bullet"/>
      <w:lvlText w:val="•"/>
      <w:lvlJc w:val="left"/>
      <w:pPr>
        <w:ind w:left="1218" w:hanging="423"/>
      </w:pPr>
      <w:rPr>
        <w:rFonts w:hint="default"/>
      </w:rPr>
    </w:lvl>
    <w:lvl w:ilvl="2">
      <w:start w:val="0"/>
      <w:numFmt w:val="bullet"/>
      <w:lvlText w:val="•"/>
      <w:lvlJc w:val="left"/>
      <w:pPr>
        <w:ind w:left="1897" w:hanging="423"/>
      </w:pPr>
      <w:rPr>
        <w:rFonts w:hint="default"/>
      </w:rPr>
    </w:lvl>
    <w:lvl w:ilvl="3">
      <w:start w:val="0"/>
      <w:numFmt w:val="bullet"/>
      <w:lvlText w:val="•"/>
      <w:lvlJc w:val="left"/>
      <w:pPr>
        <w:ind w:left="2575" w:hanging="423"/>
      </w:pPr>
      <w:rPr>
        <w:rFonts w:hint="default"/>
      </w:rPr>
    </w:lvl>
    <w:lvl w:ilvl="4">
      <w:start w:val="0"/>
      <w:numFmt w:val="bullet"/>
      <w:lvlText w:val="•"/>
      <w:lvlJc w:val="left"/>
      <w:pPr>
        <w:ind w:left="3254" w:hanging="423"/>
      </w:pPr>
      <w:rPr>
        <w:rFonts w:hint="default"/>
      </w:rPr>
    </w:lvl>
    <w:lvl w:ilvl="5">
      <w:start w:val="0"/>
      <w:numFmt w:val="bullet"/>
      <w:lvlText w:val="•"/>
      <w:lvlJc w:val="left"/>
      <w:pPr>
        <w:ind w:left="3932" w:hanging="423"/>
      </w:pPr>
      <w:rPr>
        <w:rFonts w:hint="default"/>
      </w:rPr>
    </w:lvl>
    <w:lvl w:ilvl="6">
      <w:start w:val="0"/>
      <w:numFmt w:val="bullet"/>
      <w:lvlText w:val="•"/>
      <w:lvlJc w:val="left"/>
      <w:pPr>
        <w:ind w:left="4611" w:hanging="423"/>
      </w:pPr>
      <w:rPr>
        <w:rFonts w:hint="default"/>
      </w:rPr>
    </w:lvl>
    <w:lvl w:ilvl="7">
      <w:start w:val="0"/>
      <w:numFmt w:val="bullet"/>
      <w:lvlText w:val="•"/>
      <w:lvlJc w:val="left"/>
      <w:pPr>
        <w:ind w:left="5289" w:hanging="423"/>
      </w:pPr>
      <w:rPr>
        <w:rFonts w:hint="default"/>
      </w:rPr>
    </w:lvl>
    <w:lvl w:ilvl="8">
      <w:start w:val="0"/>
      <w:numFmt w:val="bullet"/>
      <w:lvlText w:val="•"/>
      <w:lvlJc w:val="left"/>
      <w:pPr>
        <w:ind w:left="5968" w:hanging="423"/>
      </w:pPr>
      <w:rPr>
        <w:rFonts w:hint="default"/>
      </w:rPr>
    </w:lvl>
  </w:abstractNum>
  <w:abstractNum w:abstractNumId="10">
    <w:multiLevelType w:val="hybridMultilevel"/>
    <w:lvl w:ilvl="0">
      <w:start w:val="1"/>
      <w:numFmt w:val="decimal"/>
      <w:lvlText w:val="(%1)"/>
      <w:lvlJc w:val="left"/>
      <w:pPr>
        <w:ind w:left="526" w:hanging="423"/>
        <w:jc w:val="left"/>
      </w:pPr>
      <w:rPr>
        <w:rFonts w:hint="default" w:ascii="宋体" w:hAnsi="宋体" w:eastAsia="宋体" w:cs="宋体"/>
        <w:w w:val="100"/>
        <w:sz w:val="21"/>
        <w:szCs w:val="21"/>
      </w:rPr>
    </w:lvl>
    <w:lvl w:ilvl="1">
      <w:start w:val="0"/>
      <w:numFmt w:val="bullet"/>
      <w:lvlText w:val="•"/>
      <w:lvlJc w:val="left"/>
      <w:pPr>
        <w:ind w:left="1200" w:hanging="423"/>
      </w:pPr>
      <w:rPr>
        <w:rFonts w:hint="default"/>
      </w:rPr>
    </w:lvl>
    <w:lvl w:ilvl="2">
      <w:start w:val="0"/>
      <w:numFmt w:val="bullet"/>
      <w:lvlText w:val="•"/>
      <w:lvlJc w:val="left"/>
      <w:pPr>
        <w:ind w:left="1881" w:hanging="423"/>
      </w:pPr>
      <w:rPr>
        <w:rFonts w:hint="default"/>
      </w:rPr>
    </w:lvl>
    <w:lvl w:ilvl="3">
      <w:start w:val="0"/>
      <w:numFmt w:val="bullet"/>
      <w:lvlText w:val="•"/>
      <w:lvlJc w:val="left"/>
      <w:pPr>
        <w:ind w:left="2561" w:hanging="423"/>
      </w:pPr>
      <w:rPr>
        <w:rFonts w:hint="default"/>
      </w:rPr>
    </w:lvl>
    <w:lvl w:ilvl="4">
      <w:start w:val="0"/>
      <w:numFmt w:val="bullet"/>
      <w:lvlText w:val="•"/>
      <w:lvlJc w:val="left"/>
      <w:pPr>
        <w:ind w:left="3242" w:hanging="423"/>
      </w:pPr>
      <w:rPr>
        <w:rFonts w:hint="default"/>
      </w:rPr>
    </w:lvl>
    <w:lvl w:ilvl="5">
      <w:start w:val="0"/>
      <w:numFmt w:val="bullet"/>
      <w:lvlText w:val="•"/>
      <w:lvlJc w:val="left"/>
      <w:pPr>
        <w:ind w:left="3922" w:hanging="423"/>
      </w:pPr>
      <w:rPr>
        <w:rFonts w:hint="default"/>
      </w:rPr>
    </w:lvl>
    <w:lvl w:ilvl="6">
      <w:start w:val="0"/>
      <w:numFmt w:val="bullet"/>
      <w:lvlText w:val="•"/>
      <w:lvlJc w:val="left"/>
      <w:pPr>
        <w:ind w:left="4603" w:hanging="423"/>
      </w:pPr>
      <w:rPr>
        <w:rFonts w:hint="default"/>
      </w:rPr>
    </w:lvl>
    <w:lvl w:ilvl="7">
      <w:start w:val="0"/>
      <w:numFmt w:val="bullet"/>
      <w:lvlText w:val="•"/>
      <w:lvlJc w:val="left"/>
      <w:pPr>
        <w:ind w:left="5283" w:hanging="423"/>
      </w:pPr>
      <w:rPr>
        <w:rFonts w:hint="default"/>
      </w:rPr>
    </w:lvl>
    <w:lvl w:ilvl="8">
      <w:start w:val="0"/>
      <w:numFmt w:val="bullet"/>
      <w:lvlText w:val="•"/>
      <w:lvlJc w:val="left"/>
      <w:pPr>
        <w:ind w:left="5964" w:hanging="423"/>
      </w:pPr>
      <w:rPr>
        <w:rFonts w:hint="default"/>
      </w:rPr>
    </w:lvl>
  </w:abstractNum>
  <w:abstractNum w:abstractNumId="9">
    <w:multiLevelType w:val="hybridMultilevel"/>
    <w:lvl w:ilvl="0">
      <w:start w:val="1"/>
      <w:numFmt w:val="decimal"/>
      <w:lvlText w:val="(%1)"/>
      <w:lvlJc w:val="left"/>
      <w:pPr>
        <w:ind w:left="526" w:hanging="423"/>
        <w:jc w:val="left"/>
      </w:pPr>
      <w:rPr>
        <w:rFonts w:hint="default" w:ascii="宋体" w:hAnsi="宋体" w:eastAsia="宋体" w:cs="宋体"/>
        <w:w w:val="100"/>
        <w:sz w:val="21"/>
        <w:szCs w:val="21"/>
      </w:rPr>
    </w:lvl>
    <w:lvl w:ilvl="1">
      <w:start w:val="0"/>
      <w:numFmt w:val="bullet"/>
      <w:lvlText w:val="•"/>
      <w:lvlJc w:val="left"/>
      <w:pPr>
        <w:ind w:left="1200" w:hanging="423"/>
      </w:pPr>
      <w:rPr>
        <w:rFonts w:hint="default"/>
      </w:rPr>
    </w:lvl>
    <w:lvl w:ilvl="2">
      <w:start w:val="0"/>
      <w:numFmt w:val="bullet"/>
      <w:lvlText w:val="•"/>
      <w:lvlJc w:val="left"/>
      <w:pPr>
        <w:ind w:left="1881" w:hanging="423"/>
      </w:pPr>
      <w:rPr>
        <w:rFonts w:hint="default"/>
      </w:rPr>
    </w:lvl>
    <w:lvl w:ilvl="3">
      <w:start w:val="0"/>
      <w:numFmt w:val="bullet"/>
      <w:lvlText w:val="•"/>
      <w:lvlJc w:val="left"/>
      <w:pPr>
        <w:ind w:left="2561" w:hanging="423"/>
      </w:pPr>
      <w:rPr>
        <w:rFonts w:hint="default"/>
      </w:rPr>
    </w:lvl>
    <w:lvl w:ilvl="4">
      <w:start w:val="0"/>
      <w:numFmt w:val="bullet"/>
      <w:lvlText w:val="•"/>
      <w:lvlJc w:val="left"/>
      <w:pPr>
        <w:ind w:left="3242" w:hanging="423"/>
      </w:pPr>
      <w:rPr>
        <w:rFonts w:hint="default"/>
      </w:rPr>
    </w:lvl>
    <w:lvl w:ilvl="5">
      <w:start w:val="0"/>
      <w:numFmt w:val="bullet"/>
      <w:lvlText w:val="•"/>
      <w:lvlJc w:val="left"/>
      <w:pPr>
        <w:ind w:left="3922" w:hanging="423"/>
      </w:pPr>
      <w:rPr>
        <w:rFonts w:hint="default"/>
      </w:rPr>
    </w:lvl>
    <w:lvl w:ilvl="6">
      <w:start w:val="0"/>
      <w:numFmt w:val="bullet"/>
      <w:lvlText w:val="•"/>
      <w:lvlJc w:val="left"/>
      <w:pPr>
        <w:ind w:left="4603" w:hanging="423"/>
      </w:pPr>
      <w:rPr>
        <w:rFonts w:hint="default"/>
      </w:rPr>
    </w:lvl>
    <w:lvl w:ilvl="7">
      <w:start w:val="0"/>
      <w:numFmt w:val="bullet"/>
      <w:lvlText w:val="•"/>
      <w:lvlJc w:val="left"/>
      <w:pPr>
        <w:ind w:left="5283" w:hanging="423"/>
      </w:pPr>
      <w:rPr>
        <w:rFonts w:hint="default"/>
      </w:rPr>
    </w:lvl>
    <w:lvl w:ilvl="8">
      <w:start w:val="0"/>
      <w:numFmt w:val="bullet"/>
      <w:lvlText w:val="•"/>
      <w:lvlJc w:val="left"/>
      <w:pPr>
        <w:ind w:left="5964" w:hanging="423"/>
      </w:pPr>
      <w:rPr>
        <w:rFonts w:hint="default"/>
      </w:rPr>
    </w:lvl>
  </w:abstractNum>
  <w:abstractNum w:abstractNumId="8">
    <w:multiLevelType w:val="hybridMultilevel"/>
    <w:lvl w:ilvl="0">
      <w:start w:val="1"/>
      <w:numFmt w:val="decimal"/>
      <w:lvlText w:val="(%1)"/>
      <w:lvlJc w:val="left"/>
      <w:pPr>
        <w:ind w:left="681" w:hanging="423"/>
        <w:jc w:val="left"/>
      </w:pPr>
      <w:rPr>
        <w:rFonts w:hint="default" w:ascii="宋体" w:hAnsi="宋体" w:eastAsia="宋体" w:cs="宋体"/>
        <w:w w:val="100"/>
        <w:sz w:val="21"/>
        <w:szCs w:val="21"/>
      </w:rPr>
    </w:lvl>
    <w:lvl w:ilvl="1">
      <w:start w:val="0"/>
      <w:numFmt w:val="bullet"/>
      <w:lvlText w:val="•"/>
      <w:lvlJc w:val="left"/>
      <w:pPr>
        <w:ind w:left="1340" w:hanging="423"/>
      </w:pPr>
      <w:rPr>
        <w:rFonts w:hint="default"/>
      </w:rPr>
    </w:lvl>
    <w:lvl w:ilvl="2">
      <w:start w:val="0"/>
      <w:numFmt w:val="bullet"/>
      <w:lvlText w:val="•"/>
      <w:lvlJc w:val="left"/>
      <w:pPr>
        <w:ind w:left="2001" w:hanging="423"/>
      </w:pPr>
      <w:rPr>
        <w:rFonts w:hint="default"/>
      </w:rPr>
    </w:lvl>
    <w:lvl w:ilvl="3">
      <w:start w:val="0"/>
      <w:numFmt w:val="bullet"/>
      <w:lvlText w:val="•"/>
      <w:lvlJc w:val="left"/>
      <w:pPr>
        <w:ind w:left="2661" w:hanging="423"/>
      </w:pPr>
      <w:rPr>
        <w:rFonts w:hint="default"/>
      </w:rPr>
    </w:lvl>
    <w:lvl w:ilvl="4">
      <w:start w:val="0"/>
      <w:numFmt w:val="bullet"/>
      <w:lvlText w:val="•"/>
      <w:lvlJc w:val="left"/>
      <w:pPr>
        <w:ind w:left="3322" w:hanging="423"/>
      </w:pPr>
      <w:rPr>
        <w:rFonts w:hint="default"/>
      </w:rPr>
    </w:lvl>
    <w:lvl w:ilvl="5">
      <w:start w:val="0"/>
      <w:numFmt w:val="bullet"/>
      <w:lvlText w:val="•"/>
      <w:lvlJc w:val="left"/>
      <w:pPr>
        <w:ind w:left="3982" w:hanging="423"/>
      </w:pPr>
      <w:rPr>
        <w:rFonts w:hint="default"/>
      </w:rPr>
    </w:lvl>
    <w:lvl w:ilvl="6">
      <w:start w:val="0"/>
      <w:numFmt w:val="bullet"/>
      <w:lvlText w:val="•"/>
      <w:lvlJc w:val="left"/>
      <w:pPr>
        <w:ind w:left="4643" w:hanging="423"/>
      </w:pPr>
      <w:rPr>
        <w:rFonts w:hint="default"/>
      </w:rPr>
    </w:lvl>
    <w:lvl w:ilvl="7">
      <w:start w:val="0"/>
      <w:numFmt w:val="bullet"/>
      <w:lvlText w:val="•"/>
      <w:lvlJc w:val="left"/>
      <w:pPr>
        <w:ind w:left="5303" w:hanging="423"/>
      </w:pPr>
      <w:rPr>
        <w:rFonts w:hint="default"/>
      </w:rPr>
    </w:lvl>
    <w:lvl w:ilvl="8">
      <w:start w:val="0"/>
      <w:numFmt w:val="bullet"/>
      <w:lvlText w:val="•"/>
      <w:lvlJc w:val="left"/>
      <w:pPr>
        <w:ind w:left="5964" w:hanging="423"/>
      </w:pPr>
      <w:rPr>
        <w:rFonts w:hint="default"/>
      </w:rPr>
    </w:lvl>
  </w:abstractNum>
  <w:abstractNum w:abstractNumId="7">
    <w:multiLevelType w:val="hybridMultilevel"/>
    <w:lvl w:ilvl="0">
      <w:start w:val="1"/>
      <w:numFmt w:val="decimal"/>
      <w:lvlText w:val="（%1）"/>
      <w:lvlJc w:val="left"/>
      <w:pPr>
        <w:ind w:left="780" w:hanging="625"/>
        <w:jc w:val="left"/>
      </w:pPr>
      <w:rPr>
        <w:rFonts w:hint="default" w:ascii="宋体" w:hAnsi="宋体" w:eastAsia="宋体" w:cs="宋体"/>
        <w:spacing w:val="-3"/>
        <w:w w:val="100"/>
        <w:sz w:val="21"/>
        <w:szCs w:val="21"/>
      </w:rPr>
    </w:lvl>
    <w:lvl w:ilvl="1">
      <w:start w:val="0"/>
      <w:numFmt w:val="bullet"/>
      <w:lvlText w:val="•"/>
      <w:lvlJc w:val="left"/>
      <w:pPr>
        <w:ind w:left="1419" w:hanging="625"/>
      </w:pPr>
      <w:rPr>
        <w:rFonts w:hint="default"/>
      </w:rPr>
    </w:lvl>
    <w:lvl w:ilvl="2">
      <w:start w:val="0"/>
      <w:numFmt w:val="bullet"/>
      <w:lvlText w:val="•"/>
      <w:lvlJc w:val="left"/>
      <w:pPr>
        <w:ind w:left="2059" w:hanging="625"/>
      </w:pPr>
      <w:rPr>
        <w:rFonts w:hint="default"/>
      </w:rPr>
    </w:lvl>
    <w:lvl w:ilvl="3">
      <w:start w:val="0"/>
      <w:numFmt w:val="bullet"/>
      <w:lvlText w:val="•"/>
      <w:lvlJc w:val="left"/>
      <w:pPr>
        <w:ind w:left="2699" w:hanging="625"/>
      </w:pPr>
      <w:rPr>
        <w:rFonts w:hint="default"/>
      </w:rPr>
    </w:lvl>
    <w:lvl w:ilvl="4">
      <w:start w:val="0"/>
      <w:numFmt w:val="bullet"/>
      <w:lvlText w:val="•"/>
      <w:lvlJc w:val="left"/>
      <w:pPr>
        <w:ind w:left="3338" w:hanging="625"/>
      </w:pPr>
      <w:rPr>
        <w:rFonts w:hint="default"/>
      </w:rPr>
    </w:lvl>
    <w:lvl w:ilvl="5">
      <w:start w:val="0"/>
      <w:numFmt w:val="bullet"/>
      <w:lvlText w:val="•"/>
      <w:lvlJc w:val="left"/>
      <w:pPr>
        <w:ind w:left="3978" w:hanging="625"/>
      </w:pPr>
      <w:rPr>
        <w:rFonts w:hint="default"/>
      </w:rPr>
    </w:lvl>
    <w:lvl w:ilvl="6">
      <w:start w:val="0"/>
      <w:numFmt w:val="bullet"/>
      <w:lvlText w:val="•"/>
      <w:lvlJc w:val="left"/>
      <w:pPr>
        <w:ind w:left="4618" w:hanging="625"/>
      </w:pPr>
      <w:rPr>
        <w:rFonts w:hint="default"/>
      </w:rPr>
    </w:lvl>
    <w:lvl w:ilvl="7">
      <w:start w:val="0"/>
      <w:numFmt w:val="bullet"/>
      <w:lvlText w:val="•"/>
      <w:lvlJc w:val="left"/>
      <w:pPr>
        <w:ind w:left="5257" w:hanging="625"/>
      </w:pPr>
      <w:rPr>
        <w:rFonts w:hint="default"/>
      </w:rPr>
    </w:lvl>
    <w:lvl w:ilvl="8">
      <w:start w:val="0"/>
      <w:numFmt w:val="bullet"/>
      <w:lvlText w:val="•"/>
      <w:lvlJc w:val="left"/>
      <w:pPr>
        <w:ind w:left="5897" w:hanging="625"/>
      </w:pPr>
      <w:rPr>
        <w:rFonts w:hint="default"/>
      </w:rPr>
    </w:lvl>
  </w:abstractNum>
  <w:abstractNum w:abstractNumId="6">
    <w:multiLevelType w:val="hybridMultilevel"/>
    <w:lvl w:ilvl="0">
      <w:start w:val="1"/>
      <w:numFmt w:val="decimal"/>
      <w:lvlText w:val="（%1）"/>
      <w:lvlJc w:val="left"/>
      <w:pPr>
        <w:ind w:left="991" w:hanging="625"/>
        <w:jc w:val="left"/>
      </w:pPr>
      <w:rPr>
        <w:rFonts w:hint="default" w:ascii="宋体" w:hAnsi="宋体" w:eastAsia="宋体" w:cs="宋体"/>
        <w:spacing w:val="-3"/>
        <w:w w:val="100"/>
        <w:sz w:val="21"/>
        <w:szCs w:val="21"/>
      </w:rPr>
    </w:lvl>
    <w:lvl w:ilvl="1">
      <w:start w:val="0"/>
      <w:numFmt w:val="bullet"/>
      <w:lvlText w:val="•"/>
      <w:lvlJc w:val="left"/>
      <w:pPr>
        <w:ind w:left="1638" w:hanging="625"/>
      </w:pPr>
      <w:rPr>
        <w:rFonts w:hint="default"/>
      </w:rPr>
    </w:lvl>
    <w:lvl w:ilvl="2">
      <w:start w:val="0"/>
      <w:numFmt w:val="bullet"/>
      <w:lvlText w:val="•"/>
      <w:lvlJc w:val="left"/>
      <w:pPr>
        <w:ind w:left="2277" w:hanging="625"/>
      </w:pPr>
      <w:rPr>
        <w:rFonts w:hint="default"/>
      </w:rPr>
    </w:lvl>
    <w:lvl w:ilvl="3">
      <w:start w:val="0"/>
      <w:numFmt w:val="bullet"/>
      <w:lvlText w:val="•"/>
      <w:lvlJc w:val="left"/>
      <w:pPr>
        <w:ind w:left="2916" w:hanging="625"/>
      </w:pPr>
      <w:rPr>
        <w:rFonts w:hint="default"/>
      </w:rPr>
    </w:lvl>
    <w:lvl w:ilvl="4">
      <w:start w:val="0"/>
      <w:numFmt w:val="bullet"/>
      <w:lvlText w:val="•"/>
      <w:lvlJc w:val="left"/>
      <w:pPr>
        <w:ind w:left="3555" w:hanging="625"/>
      </w:pPr>
      <w:rPr>
        <w:rFonts w:hint="default"/>
      </w:rPr>
    </w:lvl>
    <w:lvl w:ilvl="5">
      <w:start w:val="0"/>
      <w:numFmt w:val="bullet"/>
      <w:lvlText w:val="•"/>
      <w:lvlJc w:val="left"/>
      <w:pPr>
        <w:ind w:left="4194" w:hanging="625"/>
      </w:pPr>
      <w:rPr>
        <w:rFonts w:hint="default"/>
      </w:rPr>
    </w:lvl>
    <w:lvl w:ilvl="6">
      <w:start w:val="0"/>
      <w:numFmt w:val="bullet"/>
      <w:lvlText w:val="•"/>
      <w:lvlJc w:val="left"/>
      <w:pPr>
        <w:ind w:left="4832" w:hanging="625"/>
      </w:pPr>
      <w:rPr>
        <w:rFonts w:hint="default"/>
      </w:rPr>
    </w:lvl>
    <w:lvl w:ilvl="7">
      <w:start w:val="0"/>
      <w:numFmt w:val="bullet"/>
      <w:lvlText w:val="•"/>
      <w:lvlJc w:val="left"/>
      <w:pPr>
        <w:ind w:left="5471" w:hanging="625"/>
      </w:pPr>
      <w:rPr>
        <w:rFonts w:hint="default"/>
      </w:rPr>
    </w:lvl>
    <w:lvl w:ilvl="8">
      <w:start w:val="0"/>
      <w:numFmt w:val="bullet"/>
      <w:lvlText w:val="•"/>
      <w:lvlJc w:val="left"/>
      <w:pPr>
        <w:ind w:left="6110" w:hanging="625"/>
      </w:pPr>
      <w:rPr>
        <w:rFonts w:hint="default"/>
      </w:rPr>
    </w:lvl>
  </w:abstractNum>
  <w:abstractNum w:abstractNumId="5">
    <w:multiLevelType w:val="hybridMultilevel"/>
    <w:lvl w:ilvl="0">
      <w:start w:val="1"/>
      <w:numFmt w:val="decimal"/>
      <w:lvlText w:val="（%1）"/>
      <w:lvlJc w:val="left"/>
      <w:pPr>
        <w:ind w:left="1097" w:hanging="625"/>
        <w:jc w:val="left"/>
      </w:pPr>
      <w:rPr>
        <w:rFonts w:hint="default" w:ascii="宋体" w:hAnsi="宋体" w:eastAsia="宋体" w:cs="宋体"/>
        <w:spacing w:val="-3"/>
        <w:w w:val="100"/>
        <w:sz w:val="21"/>
        <w:szCs w:val="21"/>
      </w:rPr>
    </w:lvl>
    <w:lvl w:ilvl="1">
      <w:start w:val="0"/>
      <w:numFmt w:val="bullet"/>
      <w:lvlText w:val="•"/>
      <w:lvlJc w:val="left"/>
      <w:pPr>
        <w:ind w:left="1739" w:hanging="625"/>
      </w:pPr>
      <w:rPr>
        <w:rFonts w:hint="default"/>
      </w:rPr>
    </w:lvl>
    <w:lvl w:ilvl="2">
      <w:start w:val="0"/>
      <w:numFmt w:val="bullet"/>
      <w:lvlText w:val="•"/>
      <w:lvlJc w:val="left"/>
      <w:pPr>
        <w:ind w:left="2378" w:hanging="625"/>
      </w:pPr>
      <w:rPr>
        <w:rFonts w:hint="default"/>
      </w:rPr>
    </w:lvl>
    <w:lvl w:ilvl="3">
      <w:start w:val="0"/>
      <w:numFmt w:val="bullet"/>
      <w:lvlText w:val="•"/>
      <w:lvlJc w:val="left"/>
      <w:pPr>
        <w:ind w:left="3018" w:hanging="625"/>
      </w:pPr>
      <w:rPr>
        <w:rFonts w:hint="default"/>
      </w:rPr>
    </w:lvl>
    <w:lvl w:ilvl="4">
      <w:start w:val="0"/>
      <w:numFmt w:val="bullet"/>
      <w:lvlText w:val="•"/>
      <w:lvlJc w:val="left"/>
      <w:pPr>
        <w:ind w:left="3657" w:hanging="625"/>
      </w:pPr>
      <w:rPr>
        <w:rFonts w:hint="default"/>
      </w:rPr>
    </w:lvl>
    <w:lvl w:ilvl="5">
      <w:start w:val="0"/>
      <w:numFmt w:val="bullet"/>
      <w:lvlText w:val="•"/>
      <w:lvlJc w:val="left"/>
      <w:pPr>
        <w:ind w:left="4297" w:hanging="625"/>
      </w:pPr>
      <w:rPr>
        <w:rFonts w:hint="default"/>
      </w:rPr>
    </w:lvl>
    <w:lvl w:ilvl="6">
      <w:start w:val="0"/>
      <w:numFmt w:val="bullet"/>
      <w:lvlText w:val="•"/>
      <w:lvlJc w:val="left"/>
      <w:pPr>
        <w:ind w:left="4936" w:hanging="625"/>
      </w:pPr>
      <w:rPr>
        <w:rFonts w:hint="default"/>
      </w:rPr>
    </w:lvl>
    <w:lvl w:ilvl="7">
      <w:start w:val="0"/>
      <w:numFmt w:val="bullet"/>
      <w:lvlText w:val="•"/>
      <w:lvlJc w:val="left"/>
      <w:pPr>
        <w:ind w:left="5575" w:hanging="625"/>
      </w:pPr>
      <w:rPr>
        <w:rFonts w:hint="default"/>
      </w:rPr>
    </w:lvl>
    <w:lvl w:ilvl="8">
      <w:start w:val="0"/>
      <w:numFmt w:val="bullet"/>
      <w:lvlText w:val="•"/>
      <w:lvlJc w:val="left"/>
      <w:pPr>
        <w:ind w:left="6215" w:hanging="625"/>
      </w:pPr>
      <w:rPr>
        <w:rFonts w:hint="default"/>
      </w:rPr>
    </w:lvl>
  </w:abstractNum>
  <w:abstractNum w:abstractNumId="4">
    <w:multiLevelType w:val="hybridMultilevel"/>
    <w:lvl w:ilvl="0">
      <w:start w:val="9"/>
      <w:numFmt w:val="decimal"/>
      <w:lvlText w:val="%1"/>
      <w:lvlJc w:val="left"/>
      <w:pPr>
        <w:ind w:left="1433" w:hanging="529"/>
        <w:jc w:val="left"/>
      </w:pPr>
      <w:rPr>
        <w:rFonts w:hint="default"/>
      </w:rPr>
    </w:lvl>
    <w:lvl w:ilvl="1">
      <w:start w:val="18"/>
      <w:numFmt w:val="decimal"/>
      <w:lvlText w:val="%1.%2"/>
      <w:lvlJc w:val="left"/>
      <w:pPr>
        <w:ind w:left="1433" w:hanging="529"/>
        <w:jc w:val="left"/>
      </w:pPr>
      <w:rPr>
        <w:rFonts w:hint="default" w:ascii="宋体" w:hAnsi="宋体" w:eastAsia="宋体" w:cs="宋体"/>
        <w:w w:val="100"/>
        <w:sz w:val="21"/>
        <w:szCs w:val="21"/>
      </w:rPr>
    </w:lvl>
    <w:lvl w:ilvl="2">
      <w:start w:val="0"/>
      <w:numFmt w:val="bullet"/>
      <w:lvlText w:val="•"/>
      <w:lvlJc w:val="left"/>
      <w:pPr>
        <w:ind w:left="1989" w:hanging="529"/>
      </w:pPr>
      <w:rPr>
        <w:rFonts w:hint="default"/>
      </w:rPr>
    </w:lvl>
    <w:lvl w:ilvl="3">
      <w:start w:val="0"/>
      <w:numFmt w:val="bullet"/>
      <w:lvlText w:val="•"/>
      <w:lvlJc w:val="left"/>
      <w:pPr>
        <w:ind w:left="2264" w:hanging="529"/>
      </w:pPr>
      <w:rPr>
        <w:rFonts w:hint="default"/>
      </w:rPr>
    </w:lvl>
    <w:lvl w:ilvl="4">
      <w:start w:val="0"/>
      <w:numFmt w:val="bullet"/>
      <w:lvlText w:val="•"/>
      <w:lvlJc w:val="left"/>
      <w:pPr>
        <w:ind w:left="2539" w:hanging="529"/>
      </w:pPr>
      <w:rPr>
        <w:rFonts w:hint="default"/>
      </w:rPr>
    </w:lvl>
    <w:lvl w:ilvl="5">
      <w:start w:val="0"/>
      <w:numFmt w:val="bullet"/>
      <w:lvlText w:val="•"/>
      <w:lvlJc w:val="left"/>
      <w:pPr>
        <w:ind w:left="2814" w:hanging="529"/>
      </w:pPr>
      <w:rPr>
        <w:rFonts w:hint="default"/>
      </w:rPr>
    </w:lvl>
    <w:lvl w:ilvl="6">
      <w:start w:val="0"/>
      <w:numFmt w:val="bullet"/>
      <w:lvlText w:val="•"/>
      <w:lvlJc w:val="left"/>
      <w:pPr>
        <w:ind w:left="3088" w:hanging="529"/>
      </w:pPr>
      <w:rPr>
        <w:rFonts w:hint="default"/>
      </w:rPr>
    </w:lvl>
    <w:lvl w:ilvl="7">
      <w:start w:val="0"/>
      <w:numFmt w:val="bullet"/>
      <w:lvlText w:val="•"/>
      <w:lvlJc w:val="left"/>
      <w:pPr>
        <w:ind w:left="3363" w:hanging="529"/>
      </w:pPr>
      <w:rPr>
        <w:rFonts w:hint="default"/>
      </w:rPr>
    </w:lvl>
    <w:lvl w:ilvl="8">
      <w:start w:val="0"/>
      <w:numFmt w:val="bullet"/>
      <w:lvlText w:val="•"/>
      <w:lvlJc w:val="left"/>
      <w:pPr>
        <w:ind w:left="3638" w:hanging="529"/>
      </w:pPr>
      <w:rPr>
        <w:rFonts w:hint="default"/>
      </w:rPr>
    </w:lvl>
  </w:abstractNum>
  <w:abstractNum w:abstractNumId="3">
    <w:multiLevelType w:val="hybridMultilevel"/>
    <w:lvl w:ilvl="0">
      <w:start w:val="8"/>
      <w:numFmt w:val="decimal"/>
      <w:lvlText w:val="%1"/>
      <w:lvlJc w:val="left"/>
      <w:pPr>
        <w:ind w:left="1327" w:hanging="423"/>
        <w:jc w:val="left"/>
      </w:pPr>
      <w:rPr>
        <w:rFonts w:hint="default"/>
      </w:rPr>
    </w:lvl>
    <w:lvl w:ilvl="1">
      <w:start w:val="4"/>
      <w:numFmt w:val="decimal"/>
      <w:lvlText w:val="%1.%2"/>
      <w:lvlJc w:val="left"/>
      <w:pPr>
        <w:ind w:left="1327" w:hanging="423"/>
        <w:jc w:val="left"/>
      </w:pPr>
      <w:rPr>
        <w:rFonts w:hint="default" w:ascii="宋体" w:hAnsi="宋体" w:eastAsia="宋体" w:cs="宋体"/>
        <w:w w:val="100"/>
        <w:sz w:val="21"/>
        <w:szCs w:val="21"/>
      </w:rPr>
    </w:lvl>
    <w:lvl w:ilvl="2">
      <w:start w:val="0"/>
      <w:numFmt w:val="bullet"/>
      <w:lvlText w:val="•"/>
      <w:lvlJc w:val="left"/>
      <w:pPr>
        <w:ind w:left="1574" w:hanging="423"/>
      </w:pPr>
      <w:rPr>
        <w:rFonts w:hint="default"/>
      </w:rPr>
    </w:lvl>
    <w:lvl w:ilvl="3">
      <w:start w:val="0"/>
      <w:numFmt w:val="bullet"/>
      <w:lvlText w:val="•"/>
      <w:lvlJc w:val="left"/>
      <w:pPr>
        <w:ind w:left="1701" w:hanging="423"/>
      </w:pPr>
      <w:rPr>
        <w:rFonts w:hint="default"/>
      </w:rPr>
    </w:lvl>
    <w:lvl w:ilvl="4">
      <w:start w:val="0"/>
      <w:numFmt w:val="bullet"/>
      <w:lvlText w:val="•"/>
      <w:lvlJc w:val="left"/>
      <w:pPr>
        <w:ind w:left="1828" w:hanging="423"/>
      </w:pPr>
      <w:rPr>
        <w:rFonts w:hint="default"/>
      </w:rPr>
    </w:lvl>
    <w:lvl w:ilvl="5">
      <w:start w:val="0"/>
      <w:numFmt w:val="bullet"/>
      <w:lvlText w:val="•"/>
      <w:lvlJc w:val="left"/>
      <w:pPr>
        <w:ind w:left="1955" w:hanging="423"/>
      </w:pPr>
      <w:rPr>
        <w:rFonts w:hint="default"/>
      </w:rPr>
    </w:lvl>
    <w:lvl w:ilvl="6">
      <w:start w:val="0"/>
      <w:numFmt w:val="bullet"/>
      <w:lvlText w:val="•"/>
      <w:lvlJc w:val="left"/>
      <w:pPr>
        <w:ind w:left="2082" w:hanging="423"/>
      </w:pPr>
      <w:rPr>
        <w:rFonts w:hint="default"/>
      </w:rPr>
    </w:lvl>
    <w:lvl w:ilvl="7">
      <w:start w:val="0"/>
      <w:numFmt w:val="bullet"/>
      <w:lvlText w:val="•"/>
      <w:lvlJc w:val="left"/>
      <w:pPr>
        <w:ind w:left="2209" w:hanging="423"/>
      </w:pPr>
      <w:rPr>
        <w:rFonts w:hint="default"/>
      </w:rPr>
    </w:lvl>
    <w:lvl w:ilvl="8">
      <w:start w:val="0"/>
      <w:numFmt w:val="bullet"/>
      <w:lvlText w:val="•"/>
      <w:lvlJc w:val="left"/>
      <w:pPr>
        <w:ind w:left="2336" w:hanging="423"/>
      </w:pPr>
      <w:rPr>
        <w:rFonts w:hint="default"/>
      </w:rPr>
    </w:lvl>
  </w:abstractNum>
  <w:abstractNum w:abstractNumId="2">
    <w:multiLevelType w:val="hybridMultilevel"/>
    <w:lvl w:ilvl="0">
      <w:start w:val="4"/>
      <w:numFmt w:val="decimal"/>
      <w:lvlText w:val="%1"/>
      <w:lvlJc w:val="left"/>
      <w:pPr>
        <w:ind w:left="1328" w:hanging="423"/>
        <w:jc w:val="left"/>
      </w:pPr>
      <w:rPr>
        <w:rFonts w:hint="default"/>
      </w:rPr>
    </w:lvl>
    <w:lvl w:ilvl="1">
      <w:start w:val="1"/>
      <w:numFmt w:val="decimal"/>
      <w:lvlText w:val="%1.%2"/>
      <w:lvlJc w:val="left"/>
      <w:pPr>
        <w:ind w:left="1328" w:hanging="423"/>
        <w:jc w:val="left"/>
      </w:pPr>
      <w:rPr>
        <w:rFonts w:hint="default" w:ascii="宋体" w:hAnsi="宋体" w:eastAsia="宋体" w:cs="宋体"/>
        <w:w w:val="100"/>
        <w:sz w:val="21"/>
        <w:szCs w:val="21"/>
      </w:rPr>
    </w:lvl>
    <w:lvl w:ilvl="2">
      <w:start w:val="0"/>
      <w:numFmt w:val="bullet"/>
      <w:lvlText w:val="•"/>
      <w:lvlJc w:val="left"/>
      <w:pPr>
        <w:ind w:left="1616" w:hanging="423"/>
      </w:pPr>
      <w:rPr>
        <w:rFonts w:hint="default"/>
      </w:rPr>
    </w:lvl>
    <w:lvl w:ilvl="3">
      <w:start w:val="0"/>
      <w:numFmt w:val="bullet"/>
      <w:lvlText w:val="•"/>
      <w:lvlJc w:val="left"/>
      <w:pPr>
        <w:ind w:left="1764" w:hanging="423"/>
      </w:pPr>
      <w:rPr>
        <w:rFonts w:hint="default"/>
      </w:rPr>
    </w:lvl>
    <w:lvl w:ilvl="4">
      <w:start w:val="0"/>
      <w:numFmt w:val="bullet"/>
      <w:lvlText w:val="•"/>
      <w:lvlJc w:val="left"/>
      <w:pPr>
        <w:ind w:left="1912" w:hanging="423"/>
      </w:pPr>
      <w:rPr>
        <w:rFonts w:hint="default"/>
      </w:rPr>
    </w:lvl>
    <w:lvl w:ilvl="5">
      <w:start w:val="0"/>
      <w:numFmt w:val="bullet"/>
      <w:lvlText w:val="•"/>
      <w:lvlJc w:val="left"/>
      <w:pPr>
        <w:ind w:left="2060" w:hanging="423"/>
      </w:pPr>
      <w:rPr>
        <w:rFonts w:hint="default"/>
      </w:rPr>
    </w:lvl>
    <w:lvl w:ilvl="6">
      <w:start w:val="0"/>
      <w:numFmt w:val="bullet"/>
      <w:lvlText w:val="•"/>
      <w:lvlJc w:val="left"/>
      <w:pPr>
        <w:ind w:left="2209" w:hanging="423"/>
      </w:pPr>
      <w:rPr>
        <w:rFonts w:hint="default"/>
      </w:rPr>
    </w:lvl>
    <w:lvl w:ilvl="7">
      <w:start w:val="0"/>
      <w:numFmt w:val="bullet"/>
      <w:lvlText w:val="•"/>
      <w:lvlJc w:val="left"/>
      <w:pPr>
        <w:ind w:left="2357" w:hanging="423"/>
      </w:pPr>
      <w:rPr>
        <w:rFonts w:hint="default"/>
      </w:rPr>
    </w:lvl>
    <w:lvl w:ilvl="8">
      <w:start w:val="0"/>
      <w:numFmt w:val="bullet"/>
      <w:lvlText w:val="•"/>
      <w:lvlJc w:val="left"/>
      <w:pPr>
        <w:ind w:left="2505" w:hanging="423"/>
      </w:pPr>
      <w:rPr>
        <w:rFonts w:hint="default"/>
      </w:rPr>
    </w:lvl>
  </w:abstractNum>
  <w:abstractNum w:abstractNumId="1">
    <w:multiLevelType w:val="hybridMultilevel"/>
    <w:lvl w:ilvl="0">
      <w:start w:val="9"/>
      <w:numFmt w:val="decimal"/>
      <w:lvlText w:val="%1"/>
      <w:lvlJc w:val="left"/>
      <w:pPr>
        <w:ind w:left="1433" w:hanging="529"/>
        <w:jc w:val="left"/>
      </w:pPr>
      <w:rPr>
        <w:rFonts w:hint="default"/>
      </w:rPr>
    </w:lvl>
    <w:lvl w:ilvl="1">
      <w:start w:val="11"/>
      <w:numFmt w:val="decimal"/>
      <w:lvlText w:val="%1.%2"/>
      <w:lvlJc w:val="left"/>
      <w:pPr>
        <w:ind w:left="1433" w:hanging="529"/>
        <w:jc w:val="left"/>
      </w:pPr>
      <w:rPr>
        <w:rFonts w:hint="default" w:ascii="宋体" w:hAnsi="宋体" w:eastAsia="宋体" w:cs="宋体"/>
        <w:w w:val="100"/>
        <w:sz w:val="21"/>
        <w:szCs w:val="21"/>
      </w:rPr>
    </w:lvl>
    <w:lvl w:ilvl="2">
      <w:start w:val="0"/>
      <w:numFmt w:val="bullet"/>
      <w:lvlText w:val="•"/>
      <w:lvlJc w:val="left"/>
      <w:pPr>
        <w:ind w:left="1989" w:hanging="529"/>
      </w:pPr>
      <w:rPr>
        <w:rFonts w:hint="default"/>
      </w:rPr>
    </w:lvl>
    <w:lvl w:ilvl="3">
      <w:start w:val="0"/>
      <w:numFmt w:val="bullet"/>
      <w:lvlText w:val="•"/>
      <w:lvlJc w:val="left"/>
      <w:pPr>
        <w:ind w:left="2264" w:hanging="529"/>
      </w:pPr>
      <w:rPr>
        <w:rFonts w:hint="default"/>
      </w:rPr>
    </w:lvl>
    <w:lvl w:ilvl="4">
      <w:start w:val="0"/>
      <w:numFmt w:val="bullet"/>
      <w:lvlText w:val="•"/>
      <w:lvlJc w:val="left"/>
      <w:pPr>
        <w:ind w:left="2539" w:hanging="529"/>
      </w:pPr>
      <w:rPr>
        <w:rFonts w:hint="default"/>
      </w:rPr>
    </w:lvl>
    <w:lvl w:ilvl="5">
      <w:start w:val="0"/>
      <w:numFmt w:val="bullet"/>
      <w:lvlText w:val="•"/>
      <w:lvlJc w:val="left"/>
      <w:pPr>
        <w:ind w:left="2814" w:hanging="529"/>
      </w:pPr>
      <w:rPr>
        <w:rFonts w:hint="default"/>
      </w:rPr>
    </w:lvl>
    <w:lvl w:ilvl="6">
      <w:start w:val="0"/>
      <w:numFmt w:val="bullet"/>
      <w:lvlText w:val="•"/>
      <w:lvlJc w:val="left"/>
      <w:pPr>
        <w:ind w:left="3088" w:hanging="529"/>
      </w:pPr>
      <w:rPr>
        <w:rFonts w:hint="default"/>
      </w:rPr>
    </w:lvl>
    <w:lvl w:ilvl="7">
      <w:start w:val="0"/>
      <w:numFmt w:val="bullet"/>
      <w:lvlText w:val="•"/>
      <w:lvlJc w:val="left"/>
      <w:pPr>
        <w:ind w:left="3363" w:hanging="529"/>
      </w:pPr>
      <w:rPr>
        <w:rFonts w:hint="default"/>
      </w:rPr>
    </w:lvl>
    <w:lvl w:ilvl="8">
      <w:start w:val="0"/>
      <w:numFmt w:val="bullet"/>
      <w:lvlText w:val="•"/>
      <w:lvlJc w:val="left"/>
      <w:pPr>
        <w:ind w:left="3638" w:hanging="529"/>
      </w:pPr>
      <w:rPr>
        <w:rFonts w:hint="default"/>
      </w:rPr>
    </w:lvl>
  </w:abstractNum>
  <w:abstractNum w:abstractNumId="0">
    <w:multiLevelType w:val="hybridMultilevel"/>
    <w:lvl w:ilvl="0">
      <w:start w:val="0"/>
      <w:numFmt w:val="bullet"/>
      <w:lvlText w:val=""/>
      <w:lvlJc w:val="left"/>
      <w:pPr>
        <w:ind w:left="1635" w:hanging="418"/>
      </w:pPr>
      <w:rPr>
        <w:rFonts w:hint="default" w:ascii="Wingdings" w:hAnsi="Wingdings" w:eastAsia="Wingdings" w:cs="Wingdings"/>
        <w:w w:val="100"/>
        <w:sz w:val="21"/>
        <w:szCs w:val="21"/>
      </w:rPr>
    </w:lvl>
    <w:lvl w:ilvl="1">
      <w:start w:val="0"/>
      <w:numFmt w:val="bullet"/>
      <w:lvlText w:val="•"/>
      <w:lvlJc w:val="left"/>
      <w:pPr>
        <w:ind w:left="2522" w:hanging="418"/>
      </w:pPr>
      <w:rPr>
        <w:rFonts w:hint="default"/>
      </w:rPr>
    </w:lvl>
    <w:lvl w:ilvl="2">
      <w:start w:val="0"/>
      <w:numFmt w:val="bullet"/>
      <w:lvlText w:val="•"/>
      <w:lvlJc w:val="left"/>
      <w:pPr>
        <w:ind w:left="3404" w:hanging="418"/>
      </w:pPr>
      <w:rPr>
        <w:rFonts w:hint="default"/>
      </w:rPr>
    </w:lvl>
    <w:lvl w:ilvl="3">
      <w:start w:val="0"/>
      <w:numFmt w:val="bullet"/>
      <w:lvlText w:val="•"/>
      <w:lvlJc w:val="left"/>
      <w:pPr>
        <w:ind w:left="4287" w:hanging="418"/>
      </w:pPr>
      <w:rPr>
        <w:rFonts w:hint="default"/>
      </w:rPr>
    </w:lvl>
    <w:lvl w:ilvl="4">
      <w:start w:val="0"/>
      <w:numFmt w:val="bullet"/>
      <w:lvlText w:val="•"/>
      <w:lvlJc w:val="left"/>
      <w:pPr>
        <w:ind w:left="5169" w:hanging="418"/>
      </w:pPr>
      <w:rPr>
        <w:rFonts w:hint="default"/>
      </w:rPr>
    </w:lvl>
    <w:lvl w:ilvl="5">
      <w:start w:val="0"/>
      <w:numFmt w:val="bullet"/>
      <w:lvlText w:val="•"/>
      <w:lvlJc w:val="left"/>
      <w:pPr>
        <w:ind w:left="6052" w:hanging="418"/>
      </w:pPr>
      <w:rPr>
        <w:rFonts w:hint="default"/>
      </w:rPr>
    </w:lvl>
    <w:lvl w:ilvl="6">
      <w:start w:val="0"/>
      <w:numFmt w:val="bullet"/>
      <w:lvlText w:val="•"/>
      <w:lvlJc w:val="left"/>
      <w:pPr>
        <w:ind w:left="6934" w:hanging="418"/>
      </w:pPr>
      <w:rPr>
        <w:rFonts w:hint="default"/>
      </w:rPr>
    </w:lvl>
    <w:lvl w:ilvl="7">
      <w:start w:val="0"/>
      <w:numFmt w:val="bullet"/>
      <w:lvlText w:val="•"/>
      <w:lvlJc w:val="left"/>
      <w:pPr>
        <w:ind w:left="7816" w:hanging="418"/>
      </w:pPr>
      <w:rPr>
        <w:rFonts w:hint="default"/>
      </w:rPr>
    </w:lvl>
    <w:lvl w:ilvl="8">
      <w:start w:val="0"/>
      <w:numFmt w:val="bullet"/>
      <w:lvlText w:val="•"/>
      <w:lvlJc w:val="left"/>
      <w:pPr>
        <w:ind w:left="8699" w:hanging="418"/>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66" w:right="979"/>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36"/>
      <w:ind w:left="1433" w:hanging="528"/>
    </w:pPr>
    <w:rPr>
      <w:rFonts w:ascii="宋体" w:hAnsi="宋体" w:eastAsia="宋体" w:cs="宋体"/>
    </w:rPr>
  </w:style>
  <w:style w:styleId="TableParagraph" w:type="paragraph">
    <w:name w:val="Table Paragraph"/>
    <w:basedOn w:val="Normal"/>
    <w:uiPriority w:val="1"/>
    <w:qFormat/>
    <w:pPr>
      <w:ind w:left="9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luochengdong</dc:creator>
  <dc:subject>产品条款</dc:subject>
  <dc:title>正德附加重大疾病保险B款条款</dc:title>
  <dcterms:created xsi:type="dcterms:W3CDTF">2018-10-19T22:20:57Z</dcterms:created>
  <dcterms:modified xsi:type="dcterms:W3CDTF">2018-10-19T22:20:57Z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2011-10-08T00:00:00Z</vt:filetime>
  </property>
  <property fmtid="{D5CDD505-2E9C-101B-9397-08002B2CF9AE}" pid="3" name="Creator">
    <vt:lpwstr>Microsoft® Office Word 2007</vt:lpwstr>
  </property>
  <property fmtid="{D5CDD505-2E9C-101B-9397-08002B2CF9AE}" pid="4" name="LastSaved">
    <vt:filetime>2018-10-19T00:00:00Z</vt:filetime>
  </property>
</Properties>
</file>