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
        <w:ind w:left="0" w:right="231" w:firstLine="0"/>
        <w:jc w:val="right"/>
        <w:rPr>
          <w:rFonts w:ascii="仿宋" w:eastAsia="仿宋" w:hint="eastAsia"/>
          <w:sz w:val="21"/>
        </w:rPr>
      </w:pPr>
      <w:r>
        <w:rPr/>
        <w:drawing>
          <wp:anchor distT="0" distB="0" distL="0" distR="0" allowOverlap="1" layoutInCell="1" locked="0" behindDoc="0" simplePos="0" relativeHeight="0">
            <wp:simplePos x="0" y="0"/>
            <wp:positionH relativeFrom="page">
              <wp:posOffset>5581650</wp:posOffset>
            </wp:positionH>
            <wp:positionV relativeFrom="paragraph">
              <wp:posOffset>247696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sz w:val="21"/>
        </w:rPr>
        <w:t>爱心人寿[2017]疾病保险 012 号</w:t>
      </w:r>
    </w:p>
    <w:p>
      <w:pPr>
        <w:spacing w:after="0"/>
        <w:jc w:val="right"/>
        <w:rPr>
          <w:rFonts w:ascii="仿宋" w:eastAsia="仿宋" w:hint="eastAsia"/>
          <w:sz w:val="21"/>
        </w:rPr>
        <w:sectPr>
          <w:type w:val="continuous"/>
          <w:pgSz w:w="11910" w:h="16840"/>
          <w:pgMar w:top="980" w:bottom="280" w:left="860" w:right="840"/>
        </w:sectPr>
      </w:pPr>
    </w:p>
    <w:p>
      <w:pPr>
        <w:spacing w:before="84"/>
        <w:ind w:left="3129" w:right="0" w:firstLine="0"/>
        <w:jc w:val="left"/>
        <w:rPr>
          <w:rFonts w:ascii="微软雅黑" w:eastAsia="微软雅黑" w:hint="eastAsia"/>
          <w:b/>
          <w:sz w:val="32"/>
        </w:rPr>
      </w:pPr>
      <w:r>
        <w:rPr>
          <w:rFonts w:ascii="微软雅黑" w:eastAsia="微软雅黑" w:hint="eastAsia"/>
          <w:b/>
          <w:sz w:val="32"/>
        </w:rPr>
        <w:t>爱心人寿保险股份有限公司</w:t>
      </w:r>
    </w:p>
    <w:p>
      <w:pPr>
        <w:spacing w:before="12"/>
        <w:ind w:left="438" w:right="0" w:firstLine="0"/>
        <w:jc w:val="left"/>
        <w:rPr>
          <w:rFonts w:ascii="仿宋" w:eastAsia="仿宋" w:hint="eastAsia"/>
          <w:sz w:val="21"/>
        </w:rPr>
      </w:pPr>
      <w:r>
        <w:rPr/>
        <w:br w:type="column"/>
      </w:r>
      <w:r>
        <w:rPr>
          <w:rFonts w:ascii="仿宋" w:eastAsia="仿宋" w:hint="eastAsia"/>
          <w:sz w:val="21"/>
        </w:rPr>
        <w:t>请扫描以查询验证条款</w:t>
      </w:r>
    </w:p>
    <w:p>
      <w:pPr>
        <w:spacing w:after="0"/>
        <w:jc w:val="left"/>
        <w:rPr>
          <w:rFonts w:ascii="仿宋" w:eastAsia="仿宋" w:hint="eastAsia"/>
          <w:sz w:val="21"/>
        </w:rPr>
        <w:sectPr>
          <w:type w:val="continuous"/>
          <w:pgSz w:w="11910" w:h="16840"/>
          <w:pgMar w:top="980" w:bottom="280" w:left="860" w:right="840"/>
          <w:cols w:num="2" w:equalWidth="0">
            <w:col w:w="6972" w:space="40"/>
            <w:col w:w="3198"/>
          </w:cols>
        </w:sectPr>
      </w:pPr>
    </w:p>
    <w:p>
      <w:pPr>
        <w:pStyle w:val="BodyText"/>
        <w:spacing w:before="1"/>
        <w:rPr>
          <w:rFonts w:ascii="仿宋"/>
          <w:sz w:val="9"/>
        </w:rPr>
      </w:pPr>
    </w:p>
    <w:p>
      <w:pPr>
        <w:spacing w:line="508" w:lineRule="exact" w:before="0"/>
        <w:ind w:left="1537" w:right="1642" w:firstLine="0"/>
        <w:jc w:val="center"/>
        <w:rPr>
          <w:rFonts w:ascii="微软雅黑" w:eastAsia="微软雅黑" w:hint="eastAsia"/>
          <w:b/>
          <w:sz w:val="32"/>
        </w:rPr>
      </w:pPr>
      <w:r>
        <w:rPr>
          <w:rFonts w:ascii="微软雅黑" w:eastAsia="微软雅黑" w:hint="eastAsia"/>
          <w:b/>
          <w:sz w:val="32"/>
        </w:rPr>
        <w:t>爱心人寿附加爱心 </w:t>
      </w:r>
      <w:r>
        <w:rPr>
          <w:rFonts w:ascii="Calibri" w:eastAsia="Calibri"/>
          <w:b/>
          <w:i/>
          <w:sz w:val="32"/>
        </w:rPr>
        <w:t>i+</w:t>
      </w:r>
      <w:r>
        <w:rPr>
          <w:rFonts w:ascii="微软雅黑" w:eastAsia="微软雅黑" w:hint="eastAsia"/>
          <w:b/>
          <w:sz w:val="32"/>
        </w:rPr>
        <w:t>提前给付重大疾病保险条款</w:t>
      </w:r>
    </w:p>
    <w:p>
      <w:pPr>
        <w:spacing w:before="124"/>
        <w:ind w:left="0" w:right="1" w:firstLine="0"/>
        <w:jc w:val="center"/>
        <w:rPr>
          <w:sz w:val="21"/>
        </w:rPr>
      </w:pPr>
      <w:r>
        <w:rPr>
          <w:w w:val="100"/>
          <w:sz w:val="21"/>
        </w:rPr>
        <w:t> </w:t>
      </w:r>
    </w:p>
    <w:p>
      <w:pPr>
        <w:pStyle w:val="BodyText"/>
        <w:rPr>
          <w:sz w:val="12"/>
        </w:rPr>
      </w:pPr>
      <w:r>
        <w:rPr/>
        <w:pict>
          <v:line style="position:absolute;mso-position-horizontal-relative:page;mso-position-vertical-relative:paragraph;z-index:1048;mso-wrap-distance-left:0;mso-wrap-distance-right:0" from="64.5pt,10.244001pt" to="526.5pt,10.244001pt" stroked="true" strokeweight=".75pt" strokecolor="#000000">
            <v:stroke dashstyle="solid"/>
            <w10:wrap type="topAndBottom"/>
          </v:line>
        </w:pict>
      </w:r>
    </w:p>
    <w:p>
      <w:pPr>
        <w:pStyle w:val="BodyText"/>
        <w:rPr>
          <w:sz w:val="20"/>
        </w:rPr>
      </w:pPr>
    </w:p>
    <w:p>
      <w:pPr>
        <w:spacing w:before="147"/>
        <w:ind w:left="1538" w:right="1642" w:firstLine="0"/>
        <w:jc w:val="center"/>
        <w:rPr>
          <w:rFonts w:ascii="微软雅黑" w:eastAsia="微软雅黑" w:hint="eastAsia"/>
          <w:b/>
          <w:sz w:val="32"/>
        </w:rPr>
      </w:pPr>
      <w:r>
        <w:rPr>
          <w:rFonts w:ascii="微软雅黑" w:eastAsia="微软雅黑" w:hint="eastAsia"/>
          <w:b/>
          <w:sz w:val="32"/>
        </w:rPr>
        <w:t>阅  读  指 引</w:t>
      </w:r>
    </w:p>
    <w:p>
      <w:pPr>
        <w:spacing w:before="83"/>
        <w:ind w:left="85" w:right="0" w:firstLine="0"/>
        <w:jc w:val="center"/>
        <w:rPr>
          <w:sz w:val="21"/>
        </w:rPr>
      </w:pPr>
      <w:r>
        <w:rPr>
          <w:w w:val="100"/>
          <w:sz w:val="21"/>
        </w:rPr>
        <w:t> </w:t>
      </w:r>
    </w:p>
    <w:p>
      <w:pPr>
        <w:spacing w:line="312" w:lineRule="auto" w:before="128"/>
        <w:ind w:left="1732" w:right="1642" w:firstLine="0"/>
        <w:jc w:val="center"/>
        <w:rPr>
          <w:sz w:val="21"/>
        </w:rPr>
      </w:pPr>
      <w:r>
        <w:rPr>
          <w:spacing w:val="-3"/>
          <w:sz w:val="21"/>
        </w:rPr>
        <w:t>条款是保险合同的重要内容，为充分保障您的权益，请您仔细阅读条款。本阅读指引有助于您理解条款，对本合同内容的解释以条款为准。 </w:t>
      </w:r>
    </w:p>
    <w:p>
      <w:pPr>
        <w:spacing w:before="66"/>
        <w:ind w:left="52" w:right="0" w:firstLine="0"/>
        <w:jc w:val="center"/>
        <w:rPr>
          <w:b/>
          <w:sz w:val="32"/>
        </w:rPr>
      </w:pPr>
      <w:r>
        <w:rPr>
          <w:b/>
          <w:w w:val="98"/>
          <w:sz w:val="32"/>
        </w:rPr>
        <w:t> </w:t>
      </w:r>
    </w:p>
    <w:p>
      <w:pPr>
        <w:spacing w:before="137"/>
        <w:ind w:left="1665" w:right="1569" w:firstLine="0"/>
        <w:jc w:val="center"/>
        <w:rPr>
          <w:b/>
          <w:i/>
          <w:sz w:val="42"/>
        </w:rPr>
      </w:pPr>
      <w:r>
        <w:rPr>
          <w:b/>
          <w:w w:val="95"/>
          <w:sz w:val="24"/>
        </w:rPr>
        <w:t>您拥有的重要权益</w:t>
      </w:r>
      <w:r>
        <w:rPr>
          <w:b/>
          <w:i/>
          <w:w w:val="94"/>
          <w:sz w:val="42"/>
        </w:rPr>
        <w:t> </w:t>
      </w:r>
    </w:p>
    <w:p>
      <w:pPr>
        <w:spacing w:before="43"/>
        <w:ind w:left="13" w:right="0" w:firstLine="0"/>
        <w:jc w:val="center"/>
        <w:rPr>
          <w:sz w:val="24"/>
        </w:rPr>
      </w:pPr>
      <w:r>
        <w:rPr/>
        <w:pict>
          <v:group style="position:absolute;margin-left:49.68pt;margin-top:65.625633pt;width:496.1pt;height:42.5pt;mso-position-horizontal-relative:page;mso-position-vertical-relative:paragraph;z-index:-62200" coordorigin="994,1313" coordsize="9922,850">
            <v:shape style="position:absolute;left:993;top:1312;width:9922;height:850" coordorigin="994,1313" coordsize="9922,850" path="m5497,1313l994,1313,994,2162,5497,2162,5497,1313m10915,1313l5497,1313,5497,2162,10915,2162,10915,1313e" filled="true" fillcolor="#d9d9d9" stroked="false">
              <v:path arrowok="t"/>
              <v:fill type="solid"/>
            </v:shape>
            <v:rect style="position:absolute;left:3558;top:1383;width:1399;height:632" filled="true" fillcolor="#d7d7d7" stroked="false">
              <v:fill type="solid"/>
            </v:rect>
            <v:shape style="position:absolute;left:1947;top:1423;width:690;height:585" type="#_x0000_t75" stroked="false">
              <v:imagedata r:id="rId6" o:title=""/>
            </v:shape>
            <w10:wrap type="none"/>
          </v:group>
        </w:pict>
      </w:r>
      <w:r>
        <w:rPr>
          <w:sz w:val="24"/>
        </w:rPr>
        <w:t> </w:t>
      </w:r>
    </w:p>
    <w:p>
      <w:pPr>
        <w:pStyle w:val="BodyText"/>
        <w:spacing w:before="8"/>
        <w:rPr>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4"/>
        <w:gridCol w:w="5861"/>
      </w:tblGrid>
      <w:tr>
        <w:trPr>
          <w:trHeight w:val="851" w:hRule="atLeast"/>
        </w:trPr>
        <w:tc>
          <w:tcPr>
            <w:tcW w:w="4104" w:type="dxa"/>
            <w:tcBorders>
              <w:top w:val="double" w:sz="2" w:space="0" w:color="000000"/>
              <w:left w:val="double" w:sz="2" w:space="0" w:color="000000"/>
            </w:tcBorders>
          </w:tcPr>
          <w:p>
            <w:pPr>
              <w:pStyle w:val="TableParagraph"/>
              <w:spacing w:before="68"/>
              <w:ind w:right="539"/>
              <w:jc w:val="right"/>
              <w:rPr>
                <w:rFonts w:ascii="微软雅黑" w:eastAsia="微软雅黑" w:hint="eastAsia"/>
                <w:sz w:val="21"/>
              </w:rPr>
            </w:pPr>
            <w:r>
              <w:rPr>
                <w:position w:val="-18"/>
              </w:rPr>
              <w:drawing>
                <wp:inline distT="0" distB="0" distL="0" distR="0">
                  <wp:extent cx="434340" cy="43433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434340" cy="434339"/>
                          </a:xfrm>
                          <a:prstGeom prst="rect">
                            <a:avLst/>
                          </a:prstGeom>
                        </pic:spPr>
                      </pic:pic>
                    </a:graphicData>
                  </a:graphic>
                </wp:inline>
              </w:drawing>
            </w:r>
            <w:r>
              <w:rPr>
                <w:position w:val="-18"/>
              </w:rPr>
            </w:r>
            <w:r>
              <w:rPr>
                <w:rFonts w:ascii="Times New Roman" w:eastAsia="Times New Roman"/>
                <w:sz w:val="20"/>
              </w:rPr>
              <w:t>                    </w:t>
            </w:r>
            <w:r>
              <w:rPr>
                <w:rFonts w:ascii="Times New Roman" w:eastAsia="Times New Roman"/>
                <w:spacing w:val="11"/>
                <w:sz w:val="20"/>
              </w:rPr>
              <w:t> </w:t>
            </w:r>
            <w:r>
              <w:rPr>
                <w:rFonts w:ascii="微软雅黑" w:eastAsia="微软雅黑" w:hint="eastAsia"/>
                <w:spacing w:val="-1"/>
                <w:sz w:val="21"/>
              </w:rPr>
              <w:t>保障责任</w:t>
            </w:r>
          </w:p>
        </w:tc>
        <w:tc>
          <w:tcPr>
            <w:tcW w:w="5861" w:type="dxa"/>
            <w:tcBorders>
              <w:top w:val="double" w:sz="2" w:space="0" w:color="000000"/>
              <w:right w:val="double" w:sz="2" w:space="0" w:color="000000"/>
            </w:tcBorders>
          </w:tcPr>
          <w:p>
            <w:pPr>
              <w:pStyle w:val="TableParagraph"/>
              <w:spacing w:before="203"/>
              <w:ind w:left="536"/>
              <w:rPr>
                <w:rFonts w:ascii="微软雅黑" w:eastAsia="微软雅黑" w:hint="eastAsia"/>
                <w:sz w:val="21"/>
              </w:rPr>
            </w:pPr>
            <w:r>
              <w:rPr>
                <w:rFonts w:ascii="微软雅黑" w:eastAsia="微软雅黑" w:hint="eastAsia"/>
                <w:sz w:val="21"/>
              </w:rPr>
              <w:t>25 种重大疾病，初次确诊后立即给付。</w:t>
            </w:r>
          </w:p>
        </w:tc>
      </w:tr>
      <w:tr>
        <w:trPr>
          <w:trHeight w:val="849" w:hRule="atLeast"/>
        </w:trPr>
        <w:tc>
          <w:tcPr>
            <w:tcW w:w="4104" w:type="dxa"/>
            <w:tcBorders>
              <w:left w:val="double" w:sz="2" w:space="0" w:color="000000"/>
            </w:tcBorders>
          </w:tcPr>
          <w:p>
            <w:pPr>
              <w:pStyle w:val="TableParagraph"/>
              <w:spacing w:before="232"/>
              <w:ind w:right="520"/>
              <w:jc w:val="right"/>
              <w:rPr>
                <w:rFonts w:ascii="微软雅黑" w:eastAsia="微软雅黑" w:hint="eastAsia"/>
                <w:sz w:val="21"/>
              </w:rPr>
            </w:pPr>
            <w:r>
              <w:rPr>
                <w:rFonts w:ascii="微软雅黑" w:eastAsia="微软雅黑" w:hint="eastAsia"/>
                <w:sz w:val="21"/>
              </w:rPr>
              <w:t>保险期间</w:t>
            </w:r>
          </w:p>
        </w:tc>
        <w:tc>
          <w:tcPr>
            <w:tcW w:w="5861" w:type="dxa"/>
            <w:tcBorders>
              <w:right w:val="double" w:sz="2" w:space="0" w:color="000000"/>
            </w:tcBorders>
          </w:tcPr>
          <w:p>
            <w:pPr>
              <w:pStyle w:val="TableParagraph"/>
              <w:spacing w:before="201"/>
              <w:ind w:left="536"/>
              <w:rPr>
                <w:rFonts w:ascii="微软雅黑" w:eastAsia="微软雅黑" w:hint="eastAsia"/>
                <w:sz w:val="21"/>
              </w:rPr>
            </w:pPr>
            <w:r>
              <w:rPr>
                <w:rFonts w:ascii="微软雅黑" w:eastAsia="微软雅黑" w:hint="eastAsia"/>
                <w:sz w:val="21"/>
              </w:rPr>
              <w:t>可选择 20 年、30 年、至 60 周岁或至 70 周岁。</w:t>
            </w:r>
          </w:p>
        </w:tc>
      </w:tr>
      <w:tr>
        <w:trPr>
          <w:trHeight w:val="851" w:hRule="atLeast"/>
        </w:trPr>
        <w:tc>
          <w:tcPr>
            <w:tcW w:w="4104" w:type="dxa"/>
            <w:tcBorders>
              <w:left w:val="double" w:sz="2" w:space="0" w:color="000000"/>
              <w:bottom w:val="double" w:sz="2" w:space="0" w:color="000000"/>
            </w:tcBorders>
          </w:tcPr>
          <w:p>
            <w:pPr>
              <w:pStyle w:val="TableParagraph"/>
              <w:spacing w:before="108"/>
              <w:ind w:right="520"/>
              <w:jc w:val="right"/>
              <w:rPr>
                <w:rFonts w:ascii="微软雅黑" w:eastAsia="微软雅黑" w:hint="eastAsia"/>
                <w:sz w:val="21"/>
              </w:rPr>
            </w:pPr>
            <w:r>
              <w:rPr>
                <w:position w:val="-24"/>
              </w:rPr>
              <w:drawing>
                <wp:inline distT="0" distB="0" distL="0" distR="0">
                  <wp:extent cx="432489" cy="397763"/>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32489" cy="397763"/>
                          </a:xfrm>
                          <a:prstGeom prst="rect">
                            <a:avLst/>
                          </a:prstGeom>
                        </pic:spPr>
                      </pic:pic>
                    </a:graphicData>
                  </a:graphic>
                </wp:inline>
              </w:drawing>
            </w:r>
            <w:r>
              <w:rPr>
                <w:position w:val="-24"/>
              </w:rPr>
            </w:r>
            <w:r>
              <w:rPr>
                <w:rFonts w:ascii="Times New Roman" w:eastAsia="Times New Roman"/>
                <w:sz w:val="20"/>
              </w:rPr>
              <w:t>                    </w:t>
            </w:r>
            <w:r>
              <w:rPr>
                <w:rFonts w:ascii="Times New Roman" w:eastAsia="Times New Roman"/>
                <w:spacing w:val="10"/>
                <w:sz w:val="20"/>
              </w:rPr>
              <w:t> </w:t>
            </w:r>
            <w:r>
              <w:rPr>
                <w:rFonts w:ascii="微软雅黑" w:eastAsia="微软雅黑" w:hint="eastAsia"/>
                <w:spacing w:val="-1"/>
                <w:sz w:val="21"/>
              </w:rPr>
              <w:t>投保年龄</w:t>
            </w:r>
          </w:p>
        </w:tc>
        <w:tc>
          <w:tcPr>
            <w:tcW w:w="5861" w:type="dxa"/>
            <w:tcBorders>
              <w:bottom w:val="double" w:sz="2" w:space="0" w:color="000000"/>
              <w:right w:val="double" w:sz="2" w:space="0" w:color="000000"/>
            </w:tcBorders>
          </w:tcPr>
          <w:p>
            <w:pPr>
              <w:pStyle w:val="TableParagraph"/>
              <w:spacing w:before="201"/>
              <w:ind w:left="536"/>
              <w:rPr>
                <w:rFonts w:ascii="微软雅黑" w:eastAsia="微软雅黑" w:hint="eastAsia"/>
                <w:sz w:val="21"/>
              </w:rPr>
            </w:pPr>
            <w:r>
              <w:rPr>
                <w:rFonts w:ascii="微软雅黑" w:eastAsia="微软雅黑" w:hint="eastAsia"/>
                <w:sz w:val="21"/>
              </w:rPr>
              <w:t>承保满 18 周岁至 55 周岁的人群。</w:t>
            </w:r>
          </w:p>
        </w:tc>
      </w:tr>
    </w:tbl>
    <w:p>
      <w:pPr>
        <w:spacing w:before="68"/>
        <w:ind w:left="220" w:right="0" w:firstLine="0"/>
        <w:jc w:val="left"/>
        <w:rPr>
          <w:b/>
          <w:sz w:val="32"/>
        </w:rPr>
      </w:pPr>
      <w:r>
        <w:rPr>
          <w:b/>
          <w:w w:val="98"/>
          <w:sz w:val="32"/>
        </w:rPr>
        <w:t> </w:t>
      </w:r>
    </w:p>
    <w:p>
      <w:pPr>
        <w:spacing w:before="138"/>
        <w:ind w:left="220" w:right="0" w:firstLine="0"/>
        <w:jc w:val="left"/>
        <w:rPr>
          <w:b/>
          <w:sz w:val="24"/>
        </w:rPr>
      </w:pPr>
      <w:r>
        <w:rPr/>
        <w:pict>
          <v:shapetype id="_x0000_t202" o:spt="202" coordsize="21600,21600" path="m,l,21600r21600,l21600,xe">
            <v:stroke joinstyle="miter"/>
            <v:path gradientshapeok="t" o:connecttype="rect"/>
          </v:shapetype>
          <v:shape style="position:absolute;margin-left:161.199997pt;margin-top:19.205635pt;width:384.9pt;height:81.2pt;mso-position-horizontal-relative:page;mso-position-vertical-relative:paragraph;z-index:1120" type="#_x0000_t202" filled="true" fillcolor="#d7d7d7" stroked="false">
            <v:textbox inset="0,0,0,0">
              <w:txbxContent>
                <w:p>
                  <w:pPr>
                    <w:pStyle w:val="BodyText"/>
                    <w:spacing w:before="6"/>
                    <w:rPr>
                      <w:b/>
                      <w:sz w:val="16"/>
                    </w:rPr>
                  </w:pPr>
                </w:p>
                <w:p>
                  <w:pPr>
                    <w:spacing w:line="256" w:lineRule="auto" w:before="0"/>
                    <w:ind w:left="143" w:right="135" w:firstLine="0"/>
                    <w:jc w:val="both"/>
                    <w:rPr>
                      <w:sz w:val="21"/>
                    </w:rPr>
                  </w:pPr>
                  <w:r>
                    <w:rPr>
                      <w:spacing w:val="-7"/>
                      <w:w w:val="100"/>
                      <w:sz w:val="21"/>
                    </w:rPr>
                    <w:t>甲先生，</w:t>
                  </w:r>
                  <w:r>
                    <w:rPr>
                      <w:w w:val="100"/>
                      <w:sz w:val="21"/>
                    </w:rPr>
                    <w:t>35</w:t>
                  </w:r>
                  <w:r>
                    <w:rPr>
                      <w:spacing w:val="-53"/>
                      <w:sz w:val="21"/>
                    </w:rPr>
                    <w:t> </w:t>
                  </w:r>
                  <w:r>
                    <w:rPr>
                      <w:spacing w:val="-8"/>
                      <w:w w:val="100"/>
                      <w:sz w:val="21"/>
                    </w:rPr>
                    <w:t>岁，为自己投保了“爱心</w:t>
                  </w:r>
                  <w:r>
                    <w:rPr>
                      <w:spacing w:val="-8"/>
                      <w:sz w:val="21"/>
                    </w:rPr>
                    <w:t> </w:t>
                  </w:r>
                  <w:r>
                    <w:rPr>
                      <w:rFonts w:ascii="Calibri" w:hAnsi="Calibri" w:eastAsia="Calibri"/>
                      <w:i/>
                      <w:spacing w:val="-1"/>
                      <w:w w:val="105"/>
                      <w:sz w:val="21"/>
                    </w:rPr>
                    <w:t>i</w:t>
                  </w:r>
                  <w:r>
                    <w:rPr>
                      <w:rFonts w:ascii="Calibri" w:hAnsi="Calibri" w:eastAsia="Calibri"/>
                      <w:i/>
                      <w:w w:val="105"/>
                      <w:sz w:val="21"/>
                    </w:rPr>
                    <w:t>+</w:t>
                  </w:r>
                  <w:r>
                    <w:rPr>
                      <w:rFonts w:ascii="Calibri" w:hAnsi="Calibri" w:eastAsia="Calibri"/>
                      <w:i/>
                      <w:spacing w:val="2"/>
                      <w:sz w:val="21"/>
                    </w:rPr>
                    <w:t>  </w:t>
                  </w:r>
                  <w:r>
                    <w:rPr>
                      <w:spacing w:val="-14"/>
                      <w:w w:val="100"/>
                      <w:sz w:val="21"/>
                    </w:rPr>
                    <w:t>定期寿险”，基本保险金额为</w:t>
                  </w:r>
                  <w:r>
                    <w:rPr>
                      <w:spacing w:val="-14"/>
                      <w:sz w:val="21"/>
                    </w:rPr>
                    <w:t> </w:t>
                  </w:r>
                  <w:r>
                    <w:rPr>
                      <w:w w:val="100"/>
                      <w:sz w:val="21"/>
                    </w:rPr>
                    <w:t>50</w:t>
                  </w:r>
                  <w:r>
                    <w:rPr>
                      <w:spacing w:val="-53"/>
                      <w:sz w:val="21"/>
                    </w:rPr>
                    <w:t> </w:t>
                  </w:r>
                  <w:r>
                    <w:rPr>
                      <w:spacing w:val="-7"/>
                      <w:w w:val="100"/>
                      <w:sz w:val="21"/>
                    </w:rPr>
                    <w:t>万元；同</w:t>
                  </w:r>
                  <w:r>
                    <w:rPr>
                      <w:spacing w:val="-12"/>
                      <w:sz w:val="21"/>
                    </w:rPr>
                    <w:t>时购买了“附加爱心 </w:t>
                  </w:r>
                  <w:r>
                    <w:rPr>
                      <w:rFonts w:ascii="Calibri" w:hAnsi="Calibri" w:eastAsia="Calibri"/>
                      <w:i/>
                      <w:sz w:val="21"/>
                    </w:rPr>
                    <w:t>i</w:t>
                  </w:r>
                  <w:r>
                    <w:rPr>
                      <w:rFonts w:ascii="Calibri" w:hAnsi="Calibri" w:eastAsia="Calibri"/>
                      <w:i/>
                      <w:spacing w:val="10"/>
                      <w:sz w:val="21"/>
                    </w:rPr>
                    <w:t>+ </w:t>
                  </w:r>
                  <w:r>
                    <w:rPr>
                      <w:spacing w:val="-15"/>
                      <w:sz w:val="21"/>
                    </w:rPr>
                    <w:t>提前给付重大疾病保险”，附加险的基本保险金额为 </w:t>
                  </w:r>
                  <w:r>
                    <w:rPr>
                      <w:sz w:val="21"/>
                    </w:rPr>
                    <w:t>30</w:t>
                  </w:r>
                  <w:r>
                    <w:rPr>
                      <w:spacing w:val="-24"/>
                      <w:sz w:val="21"/>
                    </w:rPr>
                    <w:t> 万</w:t>
                  </w:r>
                  <w:r>
                    <w:rPr>
                      <w:spacing w:val="-10"/>
                      <w:sz w:val="21"/>
                    </w:rPr>
                    <w:t>元。甲先生选择的保险期间为 </w:t>
                  </w:r>
                  <w:r>
                    <w:rPr>
                      <w:sz w:val="21"/>
                    </w:rPr>
                    <w:t>30</w:t>
                  </w:r>
                  <w:r>
                    <w:rPr>
                      <w:spacing w:val="-9"/>
                      <w:sz w:val="21"/>
                    </w:rPr>
                    <w:t> 年，交费期为 </w:t>
                  </w:r>
                  <w:r>
                    <w:rPr>
                      <w:sz w:val="21"/>
                    </w:rPr>
                    <w:t>20</w:t>
                  </w:r>
                  <w:r>
                    <w:rPr>
                      <w:spacing w:val="-7"/>
                      <w:sz w:val="21"/>
                    </w:rPr>
                    <w:t> 年。在之后的岁月里他将获得</w:t>
                  </w:r>
                  <w:r>
                    <w:rPr>
                      <w:spacing w:val="-4"/>
                      <w:sz w:val="21"/>
                    </w:rPr>
                    <w:t>如下保障：</w:t>
                  </w:r>
                </w:p>
              </w:txbxContent>
            </v:textbox>
            <v:fill type="solid"/>
            <w10:wrap type="none"/>
          </v:shape>
        </w:pict>
      </w:r>
      <w:r>
        <w:rPr>
          <w:b/>
          <w:w w:val="95"/>
          <w:sz w:val="24"/>
        </w:rPr>
        <w:t>示例：</w:t>
      </w:r>
      <w:r>
        <w:rPr>
          <w:b/>
          <w:w w:val="99"/>
          <w:sz w:val="24"/>
        </w:rPr>
        <w:t> </w:t>
      </w:r>
    </w:p>
    <w:p>
      <w:pPr>
        <w:spacing w:before="66"/>
        <w:ind w:left="220" w:right="0" w:firstLine="0"/>
        <w:jc w:val="left"/>
        <w:rPr>
          <w:sz w:val="21"/>
        </w:rPr>
      </w:pPr>
      <w:r>
        <w:rPr/>
        <w:drawing>
          <wp:anchor distT="0" distB="0" distL="0" distR="0" allowOverlap="1" layoutInCell="1" locked="0" behindDoc="0" simplePos="0" relativeHeight="1096">
            <wp:simplePos x="0" y="0"/>
            <wp:positionH relativeFrom="page">
              <wp:posOffset>1176019</wp:posOffset>
            </wp:positionH>
            <wp:positionV relativeFrom="paragraph">
              <wp:posOffset>103170</wp:posOffset>
            </wp:positionV>
            <wp:extent cx="560705" cy="743585"/>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560705" cy="743585"/>
                    </a:xfrm>
                    <a:prstGeom prst="rect">
                      <a:avLst/>
                    </a:prstGeom>
                  </pic:spPr>
                </pic:pic>
              </a:graphicData>
            </a:graphic>
          </wp:anchor>
        </w:drawing>
      </w:r>
      <w:r>
        <w:rPr>
          <w:w w:val="100"/>
          <w:sz w:val="21"/>
        </w:rPr>
        <w:t> </w:t>
      </w:r>
    </w:p>
    <w:p>
      <w:pPr>
        <w:spacing w:before="129"/>
        <w:ind w:left="220" w:right="0" w:firstLine="0"/>
        <w:jc w:val="left"/>
        <w:rPr>
          <w:b/>
          <w:sz w:val="32"/>
        </w:rPr>
      </w:pPr>
      <w:r>
        <w:rPr>
          <w:b/>
          <w:w w:val="98"/>
          <w:sz w:val="32"/>
        </w:rPr>
        <w:t> </w:t>
      </w:r>
    </w:p>
    <w:p>
      <w:pPr>
        <w:spacing w:before="205"/>
        <w:ind w:left="220" w:right="0" w:firstLine="0"/>
        <w:jc w:val="left"/>
        <w:rPr>
          <w:b/>
          <w:sz w:val="32"/>
        </w:rPr>
      </w:pPr>
      <w:r>
        <w:rPr>
          <w:b/>
          <w:w w:val="98"/>
          <w:sz w:val="32"/>
        </w:rPr>
        <w:t> </w:t>
      </w:r>
    </w:p>
    <w:p>
      <w:pPr>
        <w:pStyle w:val="BodyText"/>
        <w:spacing w:before="7"/>
        <w:rPr>
          <w:b/>
          <w:sz w:val="11"/>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1513"/>
        <w:gridCol w:w="6945"/>
      </w:tblGrid>
      <w:tr>
        <w:trPr>
          <w:trHeight w:val="359" w:hRule="atLeast"/>
        </w:trPr>
        <w:tc>
          <w:tcPr>
            <w:tcW w:w="1508" w:type="dxa"/>
            <w:shd w:val="clear" w:color="auto" w:fill="BEBEBE"/>
          </w:tcPr>
          <w:p>
            <w:pPr>
              <w:pStyle w:val="TableParagraph"/>
              <w:spacing w:before="9"/>
              <w:ind w:left="192" w:right="80"/>
              <w:jc w:val="center"/>
              <w:rPr>
                <w:b/>
                <w:sz w:val="21"/>
              </w:rPr>
            </w:pPr>
            <w:r>
              <w:rPr>
                <w:b/>
                <w:sz w:val="21"/>
              </w:rPr>
              <w:t>保障范围</w:t>
            </w:r>
            <w:r>
              <w:rPr>
                <w:b/>
                <w:w w:val="99"/>
                <w:sz w:val="21"/>
              </w:rPr>
              <w:t> </w:t>
            </w:r>
          </w:p>
        </w:tc>
        <w:tc>
          <w:tcPr>
            <w:tcW w:w="1513" w:type="dxa"/>
            <w:shd w:val="clear" w:color="auto" w:fill="BEBEBE"/>
          </w:tcPr>
          <w:p>
            <w:pPr>
              <w:pStyle w:val="TableParagraph"/>
              <w:spacing w:before="9"/>
              <w:ind w:left="365" w:right="254"/>
              <w:jc w:val="center"/>
              <w:rPr>
                <w:b/>
                <w:sz w:val="21"/>
              </w:rPr>
            </w:pPr>
            <w:r>
              <w:rPr>
                <w:b/>
                <w:sz w:val="21"/>
              </w:rPr>
              <w:t>保险金额</w:t>
            </w:r>
            <w:r>
              <w:rPr>
                <w:b/>
                <w:w w:val="99"/>
                <w:sz w:val="21"/>
              </w:rPr>
              <w:t> </w:t>
            </w:r>
          </w:p>
        </w:tc>
        <w:tc>
          <w:tcPr>
            <w:tcW w:w="6945" w:type="dxa"/>
            <w:shd w:val="clear" w:color="auto" w:fill="BEBEBE"/>
          </w:tcPr>
          <w:p>
            <w:pPr>
              <w:pStyle w:val="TableParagraph"/>
              <w:spacing w:before="9"/>
              <w:ind w:left="3079" w:right="2972"/>
              <w:jc w:val="center"/>
              <w:rPr>
                <w:b/>
                <w:sz w:val="21"/>
              </w:rPr>
            </w:pPr>
            <w:r>
              <w:rPr>
                <w:b/>
                <w:sz w:val="21"/>
              </w:rPr>
              <w:t>案例说明</w:t>
            </w:r>
            <w:r>
              <w:rPr>
                <w:b/>
                <w:w w:val="99"/>
                <w:sz w:val="21"/>
              </w:rPr>
              <w:t> </w:t>
            </w:r>
          </w:p>
        </w:tc>
      </w:tr>
      <w:tr>
        <w:trPr>
          <w:trHeight w:val="1339" w:hRule="atLeast"/>
        </w:trPr>
        <w:tc>
          <w:tcPr>
            <w:tcW w:w="1508" w:type="dxa"/>
          </w:tcPr>
          <w:p>
            <w:pPr>
              <w:pStyle w:val="TableParagraph"/>
              <w:rPr>
                <w:b/>
                <w:sz w:val="18"/>
              </w:rPr>
            </w:pPr>
          </w:p>
          <w:p>
            <w:pPr>
              <w:pStyle w:val="TableParagraph"/>
              <w:rPr>
                <w:b/>
                <w:sz w:val="22"/>
              </w:rPr>
            </w:pPr>
          </w:p>
          <w:p>
            <w:pPr>
              <w:pStyle w:val="TableParagraph"/>
              <w:ind w:left="192" w:right="96"/>
              <w:jc w:val="center"/>
              <w:rPr>
                <w:sz w:val="18"/>
              </w:rPr>
            </w:pPr>
            <w:r>
              <w:rPr>
                <w:sz w:val="18"/>
              </w:rPr>
              <w:t>25 种重大疾病 </w:t>
            </w:r>
          </w:p>
        </w:tc>
        <w:tc>
          <w:tcPr>
            <w:tcW w:w="1513" w:type="dxa"/>
          </w:tcPr>
          <w:p>
            <w:pPr>
              <w:pStyle w:val="TableParagraph"/>
              <w:rPr>
                <w:b/>
                <w:sz w:val="18"/>
              </w:rPr>
            </w:pPr>
          </w:p>
          <w:p>
            <w:pPr>
              <w:pStyle w:val="TableParagraph"/>
              <w:rPr>
                <w:b/>
                <w:sz w:val="22"/>
              </w:rPr>
            </w:pPr>
          </w:p>
          <w:p>
            <w:pPr>
              <w:pStyle w:val="TableParagraph"/>
              <w:ind w:left="347" w:right="254"/>
              <w:jc w:val="center"/>
              <w:rPr>
                <w:sz w:val="18"/>
              </w:rPr>
            </w:pPr>
            <w:r>
              <w:rPr>
                <w:sz w:val="18"/>
              </w:rPr>
              <w:t>30 万元 </w:t>
            </w:r>
          </w:p>
        </w:tc>
        <w:tc>
          <w:tcPr>
            <w:tcW w:w="6945" w:type="dxa"/>
          </w:tcPr>
          <w:p>
            <w:pPr>
              <w:pStyle w:val="TableParagraph"/>
              <w:spacing w:line="362" w:lineRule="auto" w:before="164"/>
              <w:ind w:left="104" w:right="98"/>
              <w:rPr>
                <w:sz w:val="18"/>
              </w:rPr>
            </w:pPr>
            <w:r>
              <w:rPr>
                <w:sz w:val="18"/>
              </w:rPr>
              <w:t>50</w:t>
            </w:r>
            <w:r>
              <w:rPr>
                <w:spacing w:val="-11"/>
                <w:sz w:val="18"/>
              </w:rPr>
              <w:t> 岁时，甲先生不幸确诊肝癌，一次性获得 </w:t>
            </w:r>
            <w:r>
              <w:rPr>
                <w:sz w:val="18"/>
              </w:rPr>
              <w:t>30</w:t>
            </w:r>
            <w:r>
              <w:rPr>
                <w:spacing w:val="-10"/>
                <w:sz w:val="18"/>
              </w:rPr>
              <w:t> 万元重大疾病保险金，附加险终止。该笔保险金用于手术治疗和术后康复，不会给家庭带来过重经济负担。同时，甲先生购</w:t>
            </w:r>
            <w:r>
              <w:rPr>
                <w:spacing w:val="-16"/>
                <w:sz w:val="18"/>
              </w:rPr>
              <w:t>买的“爱心 </w:t>
            </w:r>
            <w:r>
              <w:rPr>
                <w:rFonts w:ascii="Calibri" w:hAnsi="Calibri" w:eastAsia="Calibri"/>
                <w:i/>
                <w:sz w:val="21"/>
              </w:rPr>
              <w:t>i+</w:t>
            </w:r>
            <w:r>
              <w:rPr>
                <w:spacing w:val="-4"/>
                <w:sz w:val="18"/>
              </w:rPr>
              <w:t>定期寿险”基本保险金额相应减少为 </w:t>
            </w:r>
            <w:r>
              <w:rPr>
                <w:sz w:val="18"/>
              </w:rPr>
              <w:t>20</w:t>
            </w:r>
            <w:r>
              <w:rPr>
                <w:spacing w:val="-12"/>
                <w:sz w:val="18"/>
              </w:rPr>
              <w:t> 万元。 </w:t>
            </w:r>
          </w:p>
        </w:tc>
      </w:tr>
    </w:tbl>
    <w:p>
      <w:pPr>
        <w:spacing w:after="0" w:line="362" w:lineRule="auto"/>
        <w:rPr>
          <w:sz w:val="18"/>
        </w:rPr>
        <w:sectPr>
          <w:type w:val="continuous"/>
          <w:pgSz w:w="11910" w:h="16840"/>
          <w:pgMar w:top="980" w:bottom="280" w:left="860" w:right="840"/>
        </w:sectPr>
      </w:pPr>
    </w:p>
    <w:p>
      <w:pPr>
        <w:spacing w:before="148"/>
        <w:ind w:left="3752" w:right="3639" w:firstLine="0"/>
        <w:jc w:val="center"/>
        <w:rPr>
          <w:b/>
          <w:sz w:val="40"/>
        </w:rPr>
      </w:pPr>
      <w:r>
        <w:rPr>
          <w:b/>
          <w:w w:val="95"/>
          <w:sz w:val="24"/>
        </w:rPr>
        <w:t>您需要注意的几个关键词</w:t>
      </w:r>
      <w:r>
        <w:rPr>
          <w:b/>
          <w:w w:val="99"/>
          <w:sz w:val="40"/>
        </w:rPr>
        <w:t> </w:t>
      </w:r>
    </w:p>
    <w:p>
      <w:pPr>
        <w:pStyle w:val="BodyText"/>
        <w:rPr>
          <w:b/>
          <w:sz w:val="20"/>
        </w:rPr>
      </w:pPr>
    </w:p>
    <w:p>
      <w:pPr>
        <w:pStyle w:val="BodyText"/>
        <w:spacing w:before="11"/>
        <w:rPr>
          <w:b/>
          <w:sz w:val="19"/>
        </w:rPr>
      </w:pPr>
    </w:p>
    <w:p>
      <w:pPr>
        <w:spacing w:before="37"/>
        <w:ind w:left="1629" w:right="0" w:firstLine="0"/>
        <w:jc w:val="left"/>
        <w:rPr>
          <w:sz w:val="21"/>
        </w:rPr>
      </w:pPr>
      <w:r>
        <w:rPr/>
        <w:pict>
          <v:group style="position:absolute;margin-left:54pt;margin-top:1.173684pt;width:48.9pt;height:49.6pt;mso-position-horizontal-relative:page;mso-position-vertical-relative:paragraph;z-index:1168" coordorigin="1080,23" coordsize="978,992">
            <v:shape style="position:absolute;left:1080;top:23;width:978;height:992" type="#_x0000_t75" stroked="false">
              <v:imagedata r:id="rId10" o:title=""/>
            </v:shape>
            <v:shape style="position:absolute;left:1080;top:23;width:978;height:992" type="#_x0000_t202" filled="false" stroked="false">
              <v:textbox inset="0,0,0,0">
                <w:txbxContent>
                  <w:p>
                    <w:pPr>
                      <w:spacing w:before="139"/>
                      <w:ind w:left="158" w:right="0" w:firstLine="0"/>
                      <w:jc w:val="left"/>
                      <w:rPr>
                        <w:rFonts w:ascii="Malgun Gothic" w:eastAsia="Malgun Gothic" w:hint="eastAsia"/>
                        <w:b/>
                        <w:sz w:val="28"/>
                      </w:rPr>
                    </w:pPr>
                    <w:r>
                      <w:rPr>
                        <w:rFonts w:ascii="Times New Roman" w:eastAsia="Times New Roman"/>
                        <w:b/>
                        <w:sz w:val="28"/>
                      </w:rPr>
                      <w:t>15 </w:t>
                    </w:r>
                    <w:r>
                      <w:rPr>
                        <w:rFonts w:ascii="Malgun Gothic" w:eastAsia="Malgun Gothic" w:hint="eastAsia"/>
                        <w:b/>
                        <w:sz w:val="28"/>
                      </w:rPr>
                      <w:t>天</w:t>
                    </w:r>
                  </w:p>
                </w:txbxContent>
              </v:textbox>
              <w10:wrap type="none"/>
            </v:shape>
            <w10:wrap type="none"/>
          </v:group>
        </w:pict>
      </w:r>
      <w:r>
        <w:rPr>
          <w:b/>
          <w:sz w:val="21"/>
        </w:rPr>
        <w:t>犹豫期</w:t>
      </w:r>
      <w:r>
        <w:rPr>
          <w:sz w:val="21"/>
        </w:rPr>
        <w:t>：在您签收本附加合同之日起 15 天内，如果您改变了想法并申请退保，我们将在</w:t>
      </w:r>
    </w:p>
    <w:p>
      <w:pPr>
        <w:spacing w:line="276" w:lineRule="auto" w:before="37"/>
        <w:ind w:left="1629" w:right="119" w:firstLine="0"/>
        <w:jc w:val="left"/>
        <w:rPr>
          <w:sz w:val="21"/>
        </w:rPr>
      </w:pPr>
      <w:r>
        <w:rPr>
          <w:sz w:val="21"/>
        </w:rPr>
        <w:t>扣除不超过 10 元的工本费后无息退还您已交的保险费；如果您在犹豫期之后申请退保， 我们将退还您本附加合同的现金价值，您可能会因此承受一定损失。 </w:t>
      </w:r>
    </w:p>
    <w:p>
      <w:pPr>
        <w:pStyle w:val="BodyText"/>
        <w:rPr>
          <w:sz w:val="20"/>
        </w:rPr>
      </w:pPr>
    </w:p>
    <w:p>
      <w:pPr>
        <w:pStyle w:val="BodyText"/>
        <w:rPr>
          <w:sz w:val="20"/>
        </w:rPr>
      </w:pPr>
    </w:p>
    <w:p>
      <w:pPr>
        <w:pStyle w:val="BodyText"/>
        <w:spacing w:before="6"/>
        <w:rPr>
          <w:sz w:val="14"/>
        </w:rPr>
      </w:pPr>
    </w:p>
    <w:p>
      <w:pPr>
        <w:spacing w:line="273" w:lineRule="auto" w:before="1"/>
        <w:ind w:left="1629" w:right="139" w:firstLine="0"/>
        <w:jc w:val="both"/>
        <w:rPr>
          <w:sz w:val="21"/>
        </w:rPr>
      </w:pPr>
      <w:r>
        <w:rPr/>
        <w:pict>
          <v:group style="position:absolute;margin-left:54pt;margin-top:-2.726318pt;width:48.9pt;height:49.6pt;mso-position-horizontal-relative:page;mso-position-vertical-relative:paragraph;z-index:1216" coordorigin="1080,-55" coordsize="978,992">
            <v:shape style="position:absolute;left:1080;top:-55;width:978;height:992" type="#_x0000_t75" stroked="false">
              <v:imagedata r:id="rId10" o:title=""/>
            </v:shape>
            <v:shape style="position:absolute;left:1080;top:-55;width:978;height:992" type="#_x0000_t202" filled="false" stroked="false">
              <v:textbox inset="0,0,0,0">
                <w:txbxContent>
                  <w:p>
                    <w:pPr>
                      <w:spacing w:before="138"/>
                      <w:ind w:left="172" w:right="0" w:firstLine="0"/>
                      <w:jc w:val="left"/>
                      <w:rPr>
                        <w:rFonts w:ascii="Malgun Gothic" w:eastAsia="Malgun Gothic" w:hint="eastAsia"/>
                        <w:b/>
                        <w:sz w:val="28"/>
                      </w:rPr>
                    </w:pPr>
                    <w:r>
                      <w:rPr>
                        <w:rFonts w:ascii="Times New Roman" w:eastAsia="Times New Roman"/>
                        <w:b/>
                        <w:sz w:val="28"/>
                      </w:rPr>
                      <w:t>90 </w:t>
                    </w:r>
                    <w:r>
                      <w:rPr>
                        <w:rFonts w:ascii="Malgun Gothic" w:eastAsia="Malgun Gothic" w:hint="eastAsia"/>
                        <w:b/>
                        <w:sz w:val="28"/>
                      </w:rPr>
                      <w:t>天</w:t>
                    </w:r>
                  </w:p>
                </w:txbxContent>
              </v:textbox>
              <w10:wrap type="none"/>
            </v:shape>
            <w10:wrap type="none"/>
          </v:group>
        </w:pict>
      </w:r>
      <w:r>
        <w:rPr>
          <w:b/>
          <w:sz w:val="21"/>
        </w:rPr>
        <w:t>等待期：</w:t>
      </w:r>
      <w:r>
        <w:rPr>
          <w:spacing w:val="-3"/>
          <w:sz w:val="21"/>
        </w:rPr>
        <w:t>被保险人在合同生效后 </w:t>
      </w:r>
      <w:r>
        <w:rPr>
          <w:sz w:val="21"/>
        </w:rPr>
        <w:t>90</w:t>
      </w:r>
      <w:r>
        <w:rPr>
          <w:spacing w:val="-3"/>
          <w:sz w:val="21"/>
        </w:rPr>
        <w:t> 天内确诊为本附加合同约定的重大疾病，我们将无息</w:t>
      </w:r>
      <w:r>
        <w:rPr>
          <w:spacing w:val="-6"/>
          <w:sz w:val="21"/>
        </w:rPr>
        <w:t>退还您已交的保险费，但是不给付保险金；因意外伤害导致的重大疾病的，则不受等待期</w:t>
      </w:r>
      <w:r>
        <w:rPr>
          <w:spacing w:val="-5"/>
          <w:sz w:val="21"/>
        </w:rPr>
        <w:t>限制。</w:t>
      </w:r>
      <w:r>
        <w:rPr>
          <w:sz w:val="21"/>
        </w:rPr>
        <w:t> </w:t>
      </w:r>
    </w:p>
    <w:p>
      <w:pPr>
        <w:pStyle w:val="BodyText"/>
        <w:rPr>
          <w:sz w:val="20"/>
        </w:rPr>
      </w:pPr>
    </w:p>
    <w:p>
      <w:pPr>
        <w:pStyle w:val="BodyText"/>
        <w:spacing w:before="5"/>
        <w:rPr>
          <w:sz w:val="24"/>
        </w:rPr>
      </w:pPr>
    </w:p>
    <w:p>
      <w:pPr>
        <w:spacing w:line="273" w:lineRule="auto" w:before="37"/>
        <w:ind w:left="1672" w:right="105" w:firstLine="0"/>
        <w:jc w:val="both"/>
        <w:rPr>
          <w:sz w:val="21"/>
        </w:rPr>
      </w:pPr>
      <w:r>
        <w:rPr/>
        <w:pict>
          <v:group style="position:absolute;margin-left:54pt;margin-top:1.983689pt;width:48.9pt;height:49.6pt;mso-position-horizontal-relative:page;mso-position-vertical-relative:paragraph;z-index:1264" coordorigin="1080,40" coordsize="978,992">
            <v:shape style="position:absolute;left:1080;top:39;width:978;height:992" type="#_x0000_t75" stroked="false">
              <v:imagedata r:id="rId10" o:title=""/>
            </v:shape>
            <v:shape style="position:absolute;left:1080;top:39;width:978;height:992" type="#_x0000_t202" filled="false" stroked="false">
              <v:textbox inset="0,0,0,0">
                <w:txbxContent>
                  <w:p>
                    <w:pPr>
                      <w:spacing w:before="137"/>
                      <w:ind w:left="172" w:right="0" w:firstLine="0"/>
                      <w:jc w:val="left"/>
                      <w:rPr>
                        <w:rFonts w:ascii="Malgun Gothic" w:eastAsia="Malgun Gothic" w:hint="eastAsia"/>
                        <w:b/>
                        <w:sz w:val="28"/>
                      </w:rPr>
                    </w:pPr>
                    <w:r>
                      <w:rPr>
                        <w:rFonts w:ascii="Times New Roman" w:eastAsia="Times New Roman"/>
                        <w:b/>
                        <w:sz w:val="28"/>
                      </w:rPr>
                      <w:t>60 </w:t>
                    </w:r>
                    <w:r>
                      <w:rPr>
                        <w:rFonts w:ascii="Malgun Gothic" w:eastAsia="Malgun Gothic" w:hint="eastAsia"/>
                        <w:b/>
                        <w:sz w:val="28"/>
                      </w:rPr>
                      <w:t>天</w:t>
                    </w:r>
                  </w:p>
                </w:txbxContent>
              </v:textbox>
              <w10:wrap type="none"/>
            </v:shape>
            <w10:wrap type="none"/>
          </v:group>
        </w:pict>
      </w:r>
      <w:r>
        <w:rPr>
          <w:b/>
          <w:spacing w:val="-3"/>
          <w:sz w:val="21"/>
        </w:rPr>
        <w:t>宽限期：</w:t>
      </w:r>
      <w:r>
        <w:rPr>
          <w:spacing w:val="-5"/>
          <w:sz w:val="21"/>
        </w:rPr>
        <w:t>在支付首期保险费后，如果您到期未支付续期保险费，自保险费约定支付日的次</w:t>
      </w:r>
      <w:r>
        <w:rPr>
          <w:spacing w:val="-3"/>
          <w:sz w:val="21"/>
        </w:rPr>
        <w:t>日零时起 </w:t>
      </w:r>
      <w:r>
        <w:rPr>
          <w:sz w:val="21"/>
        </w:rPr>
        <w:t>60</w:t>
      </w:r>
      <w:r>
        <w:rPr>
          <w:spacing w:val="-3"/>
          <w:sz w:val="21"/>
        </w:rPr>
        <w:t> 天为宽限期，本附加合同效力自宽限期满的次日零时起中止。宽限期内发生的保险事故，我们仍会承担保险责任，但在给付保险金时会扣减您欠交的保险费。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spacing w:before="0"/>
        <w:ind w:left="3752" w:right="3633" w:firstLine="0"/>
        <w:jc w:val="center"/>
        <w:rPr>
          <w:b/>
          <w:sz w:val="24"/>
        </w:rPr>
      </w:pPr>
      <w:r>
        <w:rPr>
          <w:b/>
          <w:sz w:val="24"/>
        </w:rPr>
        <w:t>责任免除</w:t>
      </w:r>
      <w:r>
        <w:rPr>
          <w:b/>
          <w:w w:val="99"/>
          <w:sz w:val="24"/>
        </w:rPr>
        <w:t> </w:t>
      </w:r>
    </w:p>
    <w:p>
      <w:pPr>
        <w:pStyle w:val="BodyText"/>
        <w:spacing w:before="10"/>
        <w:rPr>
          <w:b/>
          <w:sz w:val="29"/>
        </w:rPr>
      </w:pPr>
    </w:p>
    <w:p>
      <w:pPr>
        <w:spacing w:before="37"/>
        <w:ind w:left="100" w:right="0" w:firstLine="0"/>
        <w:jc w:val="left"/>
        <w:rPr>
          <w:rFonts w:ascii="黑体" w:eastAsia="黑体" w:hint="eastAsia"/>
          <w:sz w:val="21"/>
        </w:rPr>
      </w:pPr>
      <w:r>
        <w:rPr>
          <w:rFonts w:ascii="黑体" w:eastAsia="黑体" w:hint="eastAsia"/>
          <w:sz w:val="21"/>
          <w:shd w:fill="D9D9D9" w:color="auto" w:val="clear"/>
        </w:rPr>
        <w:t>您需要特别注意，因下列情形之一导致被保险人初次发Th重大疾病的，我们不承担给付保险金的责任：</w:t>
      </w:r>
    </w:p>
    <w:p>
      <w:pPr>
        <w:pStyle w:val="BodyText"/>
        <w:rPr>
          <w:rFonts w:ascii="黑体"/>
          <w:sz w:val="20"/>
        </w:rPr>
      </w:pPr>
    </w:p>
    <w:p>
      <w:pPr>
        <w:pStyle w:val="BodyText"/>
        <w:spacing w:before="11"/>
        <w:rPr>
          <w:rFonts w:ascii="黑体"/>
          <w:sz w:val="13"/>
        </w:rPr>
      </w:pPr>
    </w:p>
    <w:p>
      <w:pPr>
        <w:pStyle w:val="ListParagraph"/>
        <w:numPr>
          <w:ilvl w:val="0"/>
          <w:numId w:val="1"/>
        </w:numPr>
        <w:tabs>
          <w:tab w:pos="1152" w:val="left" w:leader="none"/>
        </w:tabs>
        <w:spacing w:line="240" w:lineRule="auto" w:before="0" w:after="0"/>
        <w:ind w:left="1151" w:right="0" w:hanging="631"/>
        <w:jc w:val="left"/>
        <w:rPr>
          <w:sz w:val="21"/>
        </w:rPr>
      </w:pPr>
      <w:r>
        <w:rPr>
          <w:spacing w:val="-3"/>
          <w:sz w:val="21"/>
          <w:shd w:fill="D9D9D9" w:color="auto" w:val="clear"/>
        </w:rPr>
        <w:t>投保人对被保险人的故意杀害、故意伤害；</w:t>
      </w:r>
    </w:p>
    <w:p>
      <w:pPr>
        <w:pStyle w:val="ListParagraph"/>
        <w:numPr>
          <w:ilvl w:val="0"/>
          <w:numId w:val="1"/>
        </w:numPr>
        <w:tabs>
          <w:tab w:pos="1152" w:val="left" w:leader="none"/>
        </w:tabs>
        <w:spacing w:line="240" w:lineRule="auto" w:before="85" w:after="0"/>
        <w:ind w:left="1151" w:right="0" w:hanging="631"/>
        <w:jc w:val="left"/>
        <w:rPr>
          <w:sz w:val="21"/>
        </w:rPr>
      </w:pPr>
      <w:r>
        <w:rPr>
          <w:spacing w:val="-3"/>
          <w:sz w:val="21"/>
          <w:shd w:fill="D9D9D9" w:color="auto" w:val="clear"/>
        </w:rPr>
        <w:t>被保险人故意自伤、故意犯罪或者抗拒依法采取的刑事强制措施；</w:t>
      </w:r>
    </w:p>
    <w:p>
      <w:pPr>
        <w:pStyle w:val="ListParagraph"/>
        <w:numPr>
          <w:ilvl w:val="0"/>
          <w:numId w:val="1"/>
        </w:numPr>
        <w:tabs>
          <w:tab w:pos="1152" w:val="left" w:leader="none"/>
        </w:tabs>
        <w:spacing w:line="240" w:lineRule="auto" w:before="82" w:after="0"/>
        <w:ind w:left="1151" w:right="0" w:hanging="631"/>
        <w:jc w:val="left"/>
        <w:rPr>
          <w:sz w:val="21"/>
        </w:rPr>
      </w:pPr>
      <w:r>
        <w:rPr>
          <w:spacing w:val="-3"/>
          <w:sz w:val="21"/>
          <w:shd w:fill="D9D9D9" w:color="auto" w:val="clear"/>
        </w:rPr>
        <w:t>被保险人主动吸食或注射毒品；</w:t>
      </w:r>
    </w:p>
    <w:p>
      <w:pPr>
        <w:pStyle w:val="ListParagraph"/>
        <w:numPr>
          <w:ilvl w:val="0"/>
          <w:numId w:val="1"/>
        </w:numPr>
        <w:tabs>
          <w:tab w:pos="1152" w:val="left" w:leader="none"/>
        </w:tabs>
        <w:spacing w:line="240" w:lineRule="auto" w:before="84" w:after="0"/>
        <w:ind w:left="1151" w:right="0" w:hanging="631"/>
        <w:jc w:val="left"/>
        <w:rPr>
          <w:sz w:val="21"/>
        </w:rPr>
      </w:pPr>
      <w:r>
        <w:rPr>
          <w:spacing w:val="-3"/>
          <w:sz w:val="21"/>
          <w:shd w:fill="D9D9D9" w:color="auto" w:val="clear"/>
        </w:rPr>
        <w:t>被保险人酒后驾驶，无合法有效驾驶证驾驶，或驾驶无有效行驶证的机动车；</w:t>
      </w:r>
    </w:p>
    <w:p>
      <w:pPr>
        <w:pStyle w:val="ListParagraph"/>
        <w:numPr>
          <w:ilvl w:val="0"/>
          <w:numId w:val="1"/>
        </w:numPr>
        <w:tabs>
          <w:tab w:pos="1152" w:val="left" w:leader="none"/>
        </w:tabs>
        <w:spacing w:line="240" w:lineRule="auto" w:before="82" w:after="0"/>
        <w:ind w:left="1151" w:right="0" w:hanging="631"/>
        <w:jc w:val="left"/>
        <w:rPr>
          <w:sz w:val="21"/>
        </w:rPr>
      </w:pPr>
      <w:r>
        <w:rPr>
          <w:spacing w:val="-3"/>
          <w:w w:val="100"/>
          <w:sz w:val="21"/>
          <w:shd w:fill="D9D9D9" w:color="auto" w:val="clear"/>
        </w:rPr>
        <w:t>被保险人感染艾滋病病毒或患艾滋病（不包括经输血导致的艾滋病病毒感染或患艾滋病</w:t>
      </w:r>
      <w:r>
        <w:rPr>
          <w:spacing w:val="-108"/>
          <w:w w:val="100"/>
          <w:sz w:val="21"/>
          <w:shd w:fill="D9D9D9" w:color="auto" w:val="clear"/>
        </w:rPr>
        <w:t>）</w:t>
      </w:r>
      <w:r>
        <w:rPr>
          <w:w w:val="100"/>
          <w:sz w:val="21"/>
          <w:shd w:fill="D9D9D9" w:color="auto" w:val="clear"/>
        </w:rPr>
        <w:t>；</w:t>
      </w:r>
    </w:p>
    <w:p>
      <w:pPr>
        <w:pStyle w:val="ListParagraph"/>
        <w:numPr>
          <w:ilvl w:val="0"/>
          <w:numId w:val="1"/>
        </w:numPr>
        <w:tabs>
          <w:tab w:pos="1157" w:val="left" w:leader="none"/>
        </w:tabs>
        <w:spacing w:line="240" w:lineRule="auto" w:before="85" w:after="0"/>
        <w:ind w:left="1156" w:right="0" w:hanging="631"/>
        <w:jc w:val="left"/>
        <w:rPr>
          <w:sz w:val="21"/>
        </w:rPr>
      </w:pPr>
      <w:r>
        <w:rPr>
          <w:spacing w:val="-3"/>
          <w:sz w:val="21"/>
          <w:shd w:fill="D9D9D9" w:color="auto" w:val="clear"/>
        </w:rPr>
        <w:t>遗传性疾病，先天性畸形、变形或染色体异常。</w:t>
      </w:r>
    </w:p>
    <w:p>
      <w:pPr>
        <w:spacing w:after="0" w:line="240" w:lineRule="auto"/>
        <w:jc w:val="left"/>
        <w:rPr>
          <w:sz w:val="21"/>
        </w:rPr>
        <w:sectPr>
          <w:pgSz w:w="11910" w:h="16840"/>
          <w:pgMar w:top="1260" w:bottom="280" w:left="980" w:right="980"/>
        </w:sectPr>
      </w:pPr>
    </w:p>
    <w:p>
      <w:pPr>
        <w:spacing w:line="488" w:lineRule="exact" w:before="0"/>
        <w:ind w:left="4268" w:right="4462" w:firstLine="0"/>
        <w:jc w:val="center"/>
        <w:rPr>
          <w:rFonts w:ascii="微软雅黑" w:eastAsia="微软雅黑" w:hint="eastAsia"/>
          <w:b/>
          <w:sz w:val="32"/>
        </w:rPr>
      </w:pPr>
      <w:r>
        <w:rPr>
          <w:rFonts w:ascii="微软雅黑" w:eastAsia="微软雅黑" w:hint="eastAsia"/>
          <w:b/>
          <w:sz w:val="32"/>
        </w:rPr>
        <w:t>条款目录</w:t>
      </w:r>
    </w:p>
    <w:p>
      <w:pPr>
        <w:pStyle w:val="BodyText"/>
        <w:spacing w:before="2"/>
        <w:rPr>
          <w:rFonts w:ascii="微软雅黑"/>
          <w:b/>
          <w:sz w:val="27"/>
        </w:rPr>
      </w:pPr>
      <w:r>
        <w:rPr/>
        <w:pict>
          <v:group style="position:absolute;margin-left:54pt;margin-top:25.37253pt;width:491.2pt;height:81.150pt;mso-position-horizontal-relative:page;mso-position-vertical-relative:paragraph;z-index:1432;mso-wrap-distance-left:0;mso-wrap-distance-right:0" coordorigin="1080,507" coordsize="9824,1623">
            <v:shape style="position:absolute;left:1094;top:507;width:9810;height:1515" coordorigin="1094,507" coordsize="9810,1515" path="m10754,507l1244,507,1185,519,1138,551,1106,599,1094,657,1094,1873,1106,1931,1138,1979,1185,2011,1244,2022,10754,2022,10813,2011,10860,1979,10892,1931,10904,1873,10904,657,10892,599,10860,551,10813,519,10754,507xe" filled="true" fillcolor="#d7d7d7" stroked="false">
              <v:path arrowok="t"/>
              <v:fill type="solid"/>
            </v:shape>
            <v:shape style="position:absolute;left:1319;top:687;width:2460;height:1154" coordorigin="1319,687" coordsize="2460,1154" path="m3698,687l1400,687,1368,694,1343,711,1325,737,1319,768,1319,1761,1325,1792,1343,1818,1368,1835,1400,1841,3698,1841,3730,1835,3755,1818,3773,1792,3779,1761,3779,768,3773,737,3755,711,3730,694,3698,687xe" filled="true" fillcolor="#ffffff" stroked="false">
              <v:path arrowok="t"/>
              <v:fill type="solid"/>
            </v:shape>
            <v:shape style="position:absolute;left:1544;top:927;width:810;height:735" type="#_x0000_t75" stroked="false">
              <v:imagedata r:id="rId11" o:title=""/>
            </v:shape>
            <v:shape style="position:absolute;left:3764;top:927;width:255;height:645" coordorigin="3764,927" coordsize="255,645" path="m3764,927l3764,1572,4019,1250,3764,927xe" filled="true" fillcolor="#ffffff" stroked="false">
              <v:path arrowok="t"/>
              <v:fill type="solid"/>
            </v:shape>
            <v:shape style="position:absolute;left:1080;top:601;width:161;height:905" type="#_x0000_t202" filled="false" stroked="false">
              <v:textbox inset="0,0,0,0">
                <w:txbxContent>
                  <w:p>
                    <w:pPr>
                      <w:spacing w:line="281" w:lineRule="exact" w:before="0"/>
                      <w:ind w:left="0" w:right="0" w:firstLine="0"/>
                      <w:jc w:val="left"/>
                      <w:rPr>
                        <w:b/>
                        <w:sz w:val="28"/>
                      </w:rPr>
                    </w:pPr>
                    <w:r>
                      <w:rPr>
                        <w:b/>
                        <w:w w:val="99"/>
                        <w:sz w:val="28"/>
                      </w:rPr>
                      <w:t> </w:t>
                    </w:r>
                  </w:p>
                  <w:p>
                    <w:pPr>
                      <w:spacing w:line="240" w:lineRule="auto" w:before="15"/>
                      <w:rPr>
                        <w:rFonts w:ascii="微软雅黑"/>
                        <w:b/>
                        <w:sz w:val="14"/>
                      </w:rPr>
                    </w:pPr>
                  </w:p>
                  <w:p>
                    <w:pPr>
                      <w:spacing w:before="0"/>
                      <w:ind w:left="0" w:right="0" w:firstLine="0"/>
                      <w:jc w:val="left"/>
                      <w:rPr>
                        <w:b/>
                        <w:sz w:val="28"/>
                      </w:rPr>
                    </w:pPr>
                    <w:r>
                      <w:rPr>
                        <w:b/>
                        <w:w w:val="99"/>
                        <w:sz w:val="28"/>
                      </w:rPr>
                      <w:t> </w:t>
                    </w:r>
                  </w:p>
                </w:txbxContent>
              </v:textbox>
              <w10:wrap type="none"/>
            </v:shape>
            <v:shape style="position:absolute;left:2558;top:726;width:980;height:1056" type="#_x0000_t202" filled="false" stroked="false">
              <v:textbox inset="0,0,0,0">
                <w:txbxContent>
                  <w:p>
                    <w:pPr>
                      <w:spacing w:line="265" w:lineRule="exact" w:before="0"/>
                      <w:ind w:left="14" w:right="0" w:firstLine="0"/>
                      <w:jc w:val="left"/>
                      <w:rPr>
                        <w:rFonts w:ascii="仿宋"/>
                        <w:b/>
                        <w:sz w:val="30"/>
                      </w:rPr>
                    </w:pPr>
                    <w:r>
                      <w:rPr>
                        <w:rFonts w:ascii="仿宋"/>
                        <w:b/>
                        <w:w w:val="99"/>
                        <w:sz w:val="30"/>
                      </w:rPr>
                      <w:t>1</w:t>
                    </w:r>
                  </w:p>
                  <w:p>
                    <w:pPr>
                      <w:spacing w:line="378" w:lineRule="exact" w:before="0"/>
                      <w:ind w:left="0" w:right="0" w:firstLine="0"/>
                      <w:jc w:val="left"/>
                      <w:rPr>
                        <w:rFonts w:ascii="微软雅黑" w:eastAsia="微软雅黑" w:hint="eastAsia"/>
                        <w:b/>
                        <w:sz w:val="24"/>
                      </w:rPr>
                    </w:pPr>
                    <w:r>
                      <w:rPr>
                        <w:rFonts w:ascii="微软雅黑" w:eastAsia="微软雅黑" w:hint="eastAsia"/>
                        <w:b/>
                        <w:sz w:val="24"/>
                      </w:rPr>
                      <w:t>我们的</w:t>
                    </w:r>
                  </w:p>
                  <w:p>
                    <w:pPr>
                      <w:spacing w:line="412" w:lineRule="exact" w:before="0"/>
                      <w:ind w:left="0" w:right="0" w:firstLine="0"/>
                      <w:jc w:val="left"/>
                      <w:rPr>
                        <w:rFonts w:ascii="微软雅黑" w:eastAsia="微软雅黑" w:hint="eastAsia"/>
                        <w:b/>
                        <w:sz w:val="24"/>
                      </w:rPr>
                    </w:pPr>
                    <w:r>
                      <w:rPr>
                        <w:rFonts w:ascii="微软雅黑" w:eastAsia="微软雅黑" w:hint="eastAsia"/>
                        <w:b/>
                        <w:sz w:val="24"/>
                      </w:rPr>
                      <w:t>保障范围</w:t>
                    </w:r>
                  </w:p>
                </w:txbxContent>
              </v:textbox>
              <w10:wrap type="none"/>
            </v:shape>
            <v:shape style="position:absolute;left:4412;top:1083;width:1921;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0">
                      <w:r>
                        <w:rPr>
                          <w:rFonts w:ascii="微软雅黑" w:eastAsia="微软雅黑" w:hint="eastAsia"/>
                          <w:sz w:val="24"/>
                        </w:rPr>
                        <w:t>1.1 基本保险金额</w:t>
                      </w:r>
                    </w:hyperlink>
                  </w:p>
                </w:txbxContent>
              </v:textbox>
              <w10:wrap type="none"/>
            </v:shape>
            <v:shape style="position:absolute;left:6879;top:1083;width:1381;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1">
                      <w:r>
                        <w:rPr>
                          <w:rFonts w:ascii="微软雅黑" w:eastAsia="微软雅黑" w:hint="eastAsia"/>
                          <w:sz w:val="24"/>
                        </w:rPr>
                        <w:t>1.2 保险责任</w:t>
                      </w:r>
                    </w:hyperlink>
                  </w:p>
                </w:txbxContent>
              </v:textbox>
              <w10:wrap type="none"/>
            </v:shape>
            <v:shape style="position:absolute;left:8785;top:1083;width:1382;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2">
                      <w:r>
                        <w:rPr>
                          <w:rFonts w:ascii="微软雅黑" w:eastAsia="微软雅黑" w:hint="eastAsia"/>
                          <w:sz w:val="24"/>
                        </w:rPr>
                        <w:t>1.3 保险期间</w:t>
                      </w:r>
                    </w:hyperlink>
                  </w:p>
                </w:txbxContent>
              </v:textbox>
              <w10:wrap type="none"/>
            </v:shape>
            <v:shape style="position:absolute;left:1080;top:1849;width:161;height:281" type="#_x0000_t202" filled="false" stroked="false">
              <v:textbox inset="0,0,0,0">
                <w:txbxContent>
                  <w:p>
                    <w:pPr>
                      <w:spacing w:line="281" w:lineRule="exact" w:before="0"/>
                      <w:ind w:left="0" w:right="0" w:firstLine="0"/>
                      <w:jc w:val="left"/>
                      <w:rPr>
                        <w:b/>
                        <w:sz w:val="28"/>
                      </w:rPr>
                    </w:pPr>
                    <w:r>
                      <w:rPr>
                        <w:b/>
                        <w:w w:val="99"/>
                        <w:sz w:val="28"/>
                      </w:rPr>
                      <w:t> </w:t>
                    </w:r>
                  </w:p>
                </w:txbxContent>
              </v:textbox>
              <w10:wrap type="none"/>
            </v:shape>
            <w10:wrap type="topAndBottom"/>
          </v:group>
        </w:pict>
      </w:r>
      <w:r>
        <w:rPr/>
        <w:pict>
          <v:group style="position:absolute;margin-left:54pt;margin-top:118.972527pt;width:491.2pt;height:81.2pt;mso-position-horizontal-relative:page;mso-position-vertical-relative:paragraph;z-index:1552;mso-wrap-distance-left:0;mso-wrap-distance-right:0" coordorigin="1080,2379" coordsize="9824,1624">
            <v:shape style="position:absolute;left:1094;top:2379;width:9810;height:1515" coordorigin="1094,2379" coordsize="9810,1515" path="m10754,2379l1244,2379,1185,2391,1138,2423,1106,2471,1094,2529,1094,3745,1106,3803,1138,3851,1185,3883,1244,3894,10754,3894,10813,3883,10860,3851,10892,3803,10904,3745,10904,2529,10892,2471,10860,2423,10813,2391,10754,2379xe" filled="true" fillcolor="#d7d7d7" stroked="false">
              <v:path arrowok="t"/>
              <v:fill type="solid"/>
            </v:shape>
            <v:shape style="position:absolute;left:1319;top:2559;width:2460;height:1154" coordorigin="1319,2559" coordsize="2460,1154" path="m3698,2559l1400,2559,1368,2566,1343,2583,1325,2609,1319,2640,1319,3633,1325,3664,1343,3690,1368,3707,1400,3713,3698,3713,3730,3707,3755,3690,3773,3664,3779,3633,3779,2640,3773,2609,3755,2583,3730,2566,3698,2559xe" filled="true" fillcolor="#ffffff" stroked="false">
              <v:path arrowok="t"/>
              <v:fill type="solid"/>
            </v:shape>
            <v:shape style="position:absolute;left:1544;top:2727;width:780;height:840" type="#_x0000_t75" stroked="false">
              <v:imagedata r:id="rId12" o:title=""/>
            </v:shape>
            <v:shape style="position:absolute;left:3764;top:2799;width:255;height:645" coordorigin="3764,2799" coordsize="255,645" path="m3764,2799l3764,3444,4019,3122,3764,2799xe" filled="true" fillcolor="#ffffff" stroked="false">
              <v:path arrowok="t"/>
              <v:fill type="solid"/>
            </v:shape>
            <v:shape style="position:absolute;left:1080;top:2473;width:161;height:906" type="#_x0000_t202" filled="false" stroked="false">
              <v:textbox inset="0,0,0,0">
                <w:txbxContent>
                  <w:p>
                    <w:pPr>
                      <w:spacing w:line="281" w:lineRule="exact" w:before="0"/>
                      <w:ind w:left="0" w:right="0" w:firstLine="0"/>
                      <w:jc w:val="left"/>
                      <w:rPr>
                        <w:b/>
                        <w:sz w:val="28"/>
                      </w:rPr>
                    </w:pPr>
                    <w:r>
                      <w:rPr>
                        <w:b/>
                        <w:w w:val="99"/>
                        <w:sz w:val="28"/>
                      </w:rPr>
                      <w:t> </w:t>
                    </w:r>
                  </w:p>
                  <w:p>
                    <w:pPr>
                      <w:spacing w:line="240" w:lineRule="auto" w:before="16"/>
                      <w:rPr>
                        <w:rFonts w:ascii="微软雅黑"/>
                        <w:b/>
                        <w:sz w:val="14"/>
                      </w:rPr>
                    </w:pPr>
                  </w:p>
                  <w:p>
                    <w:pPr>
                      <w:spacing w:before="0"/>
                      <w:ind w:left="0" w:right="0" w:firstLine="0"/>
                      <w:jc w:val="left"/>
                      <w:rPr>
                        <w:b/>
                        <w:sz w:val="28"/>
                      </w:rPr>
                    </w:pPr>
                    <w:r>
                      <w:rPr>
                        <w:b/>
                        <w:w w:val="99"/>
                        <w:sz w:val="28"/>
                      </w:rPr>
                      <w:t> </w:t>
                    </w:r>
                  </w:p>
                </w:txbxContent>
              </v:textbox>
              <w10:wrap type="none"/>
            </v:shape>
            <v:shape style="position:absolute;left:2558;top:2598;width:1220;height:1056" type="#_x0000_t202" filled="false" stroked="false">
              <v:textbox inset="0,0,0,0">
                <w:txbxContent>
                  <w:p>
                    <w:pPr>
                      <w:spacing w:line="264" w:lineRule="exact" w:before="0"/>
                      <w:ind w:left="14" w:right="0" w:firstLine="0"/>
                      <w:jc w:val="left"/>
                      <w:rPr>
                        <w:rFonts w:ascii="仿宋"/>
                        <w:b/>
                        <w:sz w:val="30"/>
                      </w:rPr>
                    </w:pPr>
                    <w:r>
                      <w:rPr>
                        <w:rFonts w:ascii="仿宋"/>
                        <w:b/>
                        <w:w w:val="99"/>
                        <w:sz w:val="30"/>
                      </w:rPr>
                      <w:t>2</w:t>
                    </w:r>
                  </w:p>
                  <w:p>
                    <w:pPr>
                      <w:spacing w:line="378" w:lineRule="exact" w:before="0"/>
                      <w:ind w:left="0" w:right="0" w:firstLine="0"/>
                      <w:jc w:val="left"/>
                      <w:rPr>
                        <w:rFonts w:ascii="微软雅黑" w:eastAsia="微软雅黑" w:hint="eastAsia"/>
                        <w:b/>
                        <w:sz w:val="24"/>
                      </w:rPr>
                    </w:pPr>
                    <w:r>
                      <w:rPr>
                        <w:rFonts w:ascii="微软雅黑" w:eastAsia="微软雅黑" w:hint="eastAsia"/>
                        <w:b/>
                        <w:sz w:val="24"/>
                      </w:rPr>
                      <w:t>我们不给付</w:t>
                    </w:r>
                  </w:p>
                  <w:p>
                    <w:pPr>
                      <w:spacing w:line="414" w:lineRule="exact" w:before="0"/>
                      <w:ind w:left="0" w:right="0" w:firstLine="0"/>
                      <w:jc w:val="left"/>
                      <w:rPr>
                        <w:rFonts w:ascii="微软雅黑" w:eastAsia="微软雅黑" w:hint="eastAsia"/>
                        <w:b/>
                        <w:sz w:val="24"/>
                      </w:rPr>
                    </w:pPr>
                    <w:r>
                      <w:rPr>
                        <w:rFonts w:ascii="微软雅黑" w:eastAsia="微软雅黑" w:hint="eastAsia"/>
                        <w:b/>
                        <w:sz w:val="24"/>
                      </w:rPr>
                      <w:t>的情形</w:t>
                    </w:r>
                  </w:p>
                </w:txbxContent>
              </v:textbox>
              <w10:wrap type="none"/>
            </v:shape>
            <v:shape style="position:absolute;left:4417;top:2970;width:1381;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3">
                      <w:r>
                        <w:rPr>
                          <w:rFonts w:ascii="微软雅黑" w:eastAsia="微软雅黑" w:hint="eastAsia"/>
                          <w:sz w:val="24"/>
                        </w:rPr>
                        <w:t>2.1 责任免除</w:t>
                      </w:r>
                    </w:hyperlink>
                  </w:p>
                </w:txbxContent>
              </v:textbox>
              <w10:wrap type="none"/>
            </v:shape>
            <v:shape style="position:absolute;left:1080;top:3721;width:161;height:281" type="#_x0000_t202" filled="false" stroked="false">
              <v:textbox inset="0,0,0,0">
                <w:txbxContent>
                  <w:p>
                    <w:pPr>
                      <w:spacing w:line="281" w:lineRule="exact" w:before="0"/>
                      <w:ind w:left="0" w:right="0" w:firstLine="0"/>
                      <w:jc w:val="left"/>
                      <w:rPr>
                        <w:b/>
                        <w:sz w:val="28"/>
                      </w:rPr>
                    </w:pPr>
                    <w:r>
                      <w:rPr>
                        <w:b/>
                        <w:w w:val="99"/>
                        <w:sz w:val="28"/>
                      </w:rPr>
                      <w:t> </w:t>
                    </w:r>
                  </w:p>
                </w:txbxContent>
              </v:textbox>
              <w10:wrap type="none"/>
            </v:shape>
            <w10:wrap type="topAndBottom"/>
          </v:group>
        </w:pict>
      </w:r>
      <w:r>
        <w:rPr/>
        <w:pict>
          <v:group style="position:absolute;margin-left:54pt;margin-top:212.572525pt;width:491.2pt;height:81.2pt;mso-position-horizontal-relative:page;mso-position-vertical-relative:paragraph;z-index:1696;mso-wrap-distance-left:0;mso-wrap-distance-right:0" coordorigin="1080,4251" coordsize="9824,1624">
            <v:shape style="position:absolute;left:1094;top:4251;width:9810;height:1515" coordorigin="1094,4251" coordsize="9810,1515" path="m10754,4251l1244,4251,1185,4263,1138,4295,1106,4343,1094,4401,1094,5617,1106,5675,1138,5723,1185,5755,1244,5766,10754,5766,10813,5755,10860,5723,10892,5675,10904,5617,10904,4401,10892,4343,10860,4295,10813,4263,10754,4251xe" filled="true" fillcolor="#d7d7d7" stroked="false">
              <v:path arrowok="t"/>
              <v:fill type="solid"/>
            </v:shape>
            <v:shape style="position:absolute;left:1319;top:4431;width:2460;height:1154" coordorigin="1319,4431" coordsize="2460,1154" path="m3698,4431l1400,4431,1368,4438,1343,4455,1325,4481,1319,4512,1319,5505,1325,5536,1343,5562,1368,5579,1400,5585,3698,5585,3730,5579,3755,5562,3773,5536,3779,5505,3779,4512,3773,4481,3755,4455,3730,4438,3698,4431xe" filled="true" fillcolor="#ffffff" stroked="false">
              <v:path arrowok="t"/>
              <v:fill type="solid"/>
            </v:shape>
            <v:shape style="position:absolute;left:1484;top:4557;width:870;height:855" type="#_x0000_t75" stroked="false">
              <v:imagedata r:id="rId13" o:title=""/>
            </v:shape>
            <v:shape style="position:absolute;left:3764;top:4671;width:255;height:645" coordorigin="3764,4671" coordsize="255,645" path="m3764,4671l3764,5316,4019,4994,3764,4671xe" filled="true" fillcolor="#ffffff" stroked="false">
              <v:path arrowok="t"/>
              <v:fill type="solid"/>
            </v:shape>
            <v:shape style="position:absolute;left:1080;top:4345;width:161;height:905" type="#_x0000_t202" filled="false" stroked="false">
              <v:textbox inset="0,0,0,0">
                <w:txbxContent>
                  <w:p>
                    <w:pPr>
                      <w:spacing w:line="281" w:lineRule="exact" w:before="0"/>
                      <w:ind w:left="0" w:right="0" w:firstLine="0"/>
                      <w:jc w:val="left"/>
                      <w:rPr>
                        <w:b/>
                        <w:sz w:val="28"/>
                      </w:rPr>
                    </w:pPr>
                    <w:r>
                      <w:rPr>
                        <w:b/>
                        <w:w w:val="99"/>
                        <w:sz w:val="28"/>
                      </w:rPr>
                      <w:t> </w:t>
                    </w:r>
                  </w:p>
                  <w:p>
                    <w:pPr>
                      <w:spacing w:line="240" w:lineRule="auto" w:before="15"/>
                      <w:rPr>
                        <w:rFonts w:ascii="微软雅黑"/>
                        <w:b/>
                        <w:sz w:val="14"/>
                      </w:rPr>
                    </w:pPr>
                  </w:p>
                  <w:p>
                    <w:pPr>
                      <w:spacing w:before="0"/>
                      <w:ind w:left="0" w:right="0" w:firstLine="0"/>
                      <w:jc w:val="left"/>
                      <w:rPr>
                        <w:b/>
                        <w:sz w:val="28"/>
                      </w:rPr>
                    </w:pPr>
                    <w:r>
                      <w:rPr>
                        <w:b/>
                        <w:w w:val="99"/>
                        <w:sz w:val="28"/>
                      </w:rPr>
                      <w:t> </w:t>
                    </w:r>
                  </w:p>
                </w:txbxContent>
              </v:textbox>
              <w10:wrap type="none"/>
            </v:shape>
            <v:shape style="position:absolute;left:2558;top:4471;width:980;height:1058" type="#_x0000_t202" filled="false" stroked="false">
              <v:textbox inset="0,0,0,0">
                <w:txbxContent>
                  <w:p>
                    <w:pPr>
                      <w:spacing w:line="265" w:lineRule="exact" w:before="0"/>
                      <w:ind w:left="14" w:right="0" w:firstLine="0"/>
                      <w:jc w:val="left"/>
                      <w:rPr>
                        <w:rFonts w:ascii="仿宋"/>
                        <w:b/>
                        <w:sz w:val="30"/>
                      </w:rPr>
                    </w:pPr>
                    <w:r>
                      <w:rPr>
                        <w:rFonts w:ascii="仿宋"/>
                        <w:b/>
                        <w:w w:val="99"/>
                        <w:sz w:val="30"/>
                      </w:rPr>
                      <w:t>3</w:t>
                    </w:r>
                  </w:p>
                  <w:p>
                    <w:pPr>
                      <w:spacing w:line="379" w:lineRule="exact" w:before="0"/>
                      <w:ind w:left="0" w:right="0" w:firstLine="0"/>
                      <w:jc w:val="left"/>
                      <w:rPr>
                        <w:rFonts w:ascii="微软雅黑" w:eastAsia="微软雅黑" w:hint="eastAsia"/>
                        <w:b/>
                        <w:sz w:val="24"/>
                      </w:rPr>
                    </w:pPr>
                    <w:r>
                      <w:rPr>
                        <w:rFonts w:ascii="微软雅黑" w:eastAsia="微软雅黑" w:hint="eastAsia"/>
                        <w:b/>
                        <w:sz w:val="24"/>
                      </w:rPr>
                      <w:t>如何支付</w:t>
                    </w:r>
                  </w:p>
                  <w:p>
                    <w:pPr>
                      <w:spacing w:line="414" w:lineRule="exact" w:before="0"/>
                      <w:ind w:left="0" w:right="0" w:firstLine="0"/>
                      <w:jc w:val="left"/>
                      <w:rPr>
                        <w:rFonts w:ascii="微软雅黑" w:eastAsia="微软雅黑" w:hint="eastAsia"/>
                        <w:b/>
                        <w:sz w:val="24"/>
                      </w:rPr>
                    </w:pPr>
                    <w:r>
                      <w:rPr>
                        <w:rFonts w:ascii="微软雅黑" w:eastAsia="微软雅黑" w:hint="eastAsia"/>
                        <w:b/>
                        <w:sz w:val="24"/>
                      </w:rPr>
                      <w:t>保险费</w:t>
                    </w:r>
                  </w:p>
                </w:txbxContent>
              </v:textbox>
              <w10:wrap type="none"/>
            </v:shape>
            <v:shape style="position:absolute;left:4414;top:4604;width:1864;height:812" type="#_x0000_t202" filled="false" stroked="false">
              <v:textbox inset="0,0,0,0">
                <w:txbxContent>
                  <w:p>
                    <w:pPr>
                      <w:spacing w:line="317" w:lineRule="exact" w:before="0"/>
                      <w:ind w:left="2" w:right="0" w:firstLine="0"/>
                      <w:jc w:val="left"/>
                      <w:rPr>
                        <w:rFonts w:ascii="微软雅黑" w:eastAsia="微软雅黑" w:hint="eastAsia"/>
                        <w:sz w:val="24"/>
                      </w:rPr>
                    </w:pPr>
                    <w:hyperlink w:history="true" w:anchor="_bookmark4">
                      <w:r>
                        <w:rPr>
                          <w:rFonts w:ascii="微软雅黑" w:eastAsia="微软雅黑" w:hint="eastAsia"/>
                          <w:sz w:val="24"/>
                        </w:rPr>
                        <w:t>3.1 保险费的支付</w:t>
                      </w:r>
                    </w:hyperlink>
                  </w:p>
                  <w:p>
                    <w:pPr>
                      <w:spacing w:before="80"/>
                      <w:ind w:left="0" w:right="0" w:firstLine="0"/>
                      <w:jc w:val="left"/>
                      <w:rPr>
                        <w:rFonts w:ascii="微软雅黑" w:eastAsia="微软雅黑" w:hint="eastAsia"/>
                        <w:sz w:val="24"/>
                      </w:rPr>
                    </w:pPr>
                    <w:hyperlink w:history="true" w:anchor="_bookmark6">
                      <w:r>
                        <w:rPr>
                          <w:rFonts w:ascii="微软雅黑" w:eastAsia="微软雅黑" w:hint="eastAsia"/>
                          <w:sz w:val="24"/>
                        </w:rPr>
                        <w:t>3.3 效力中止</w:t>
                      </w:r>
                    </w:hyperlink>
                  </w:p>
                </w:txbxContent>
              </v:textbox>
              <w10:wrap type="none"/>
            </v:shape>
            <v:shape style="position:absolute;left:6879;top:4604;width:1381;height:828"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5">
                      <w:r>
                        <w:rPr>
                          <w:rFonts w:ascii="微软雅黑" w:eastAsia="微软雅黑" w:hint="eastAsia"/>
                          <w:sz w:val="24"/>
                        </w:rPr>
                        <w:t>3.2 宽限期</w:t>
                      </w:r>
                    </w:hyperlink>
                  </w:p>
                  <w:p>
                    <w:pPr>
                      <w:spacing w:before="96"/>
                      <w:ind w:left="0" w:right="0" w:firstLine="0"/>
                      <w:jc w:val="left"/>
                      <w:rPr>
                        <w:rFonts w:ascii="微软雅黑" w:eastAsia="微软雅黑" w:hint="eastAsia"/>
                        <w:sz w:val="24"/>
                      </w:rPr>
                    </w:pPr>
                    <w:hyperlink w:history="true" w:anchor="_bookmark7">
                      <w:r>
                        <w:rPr>
                          <w:rFonts w:ascii="微软雅黑" w:eastAsia="微软雅黑" w:hint="eastAsia"/>
                          <w:sz w:val="24"/>
                        </w:rPr>
                        <w:t>3.4 效力恢复</w:t>
                      </w:r>
                    </w:hyperlink>
                  </w:p>
                </w:txbxContent>
              </v:textbox>
              <w10:wrap type="none"/>
            </v:shape>
            <v:shape style="position:absolute;left:1080;top:5593;width:161;height:281" type="#_x0000_t202" filled="false" stroked="false">
              <v:textbox inset="0,0,0,0">
                <w:txbxContent>
                  <w:p>
                    <w:pPr>
                      <w:spacing w:line="281" w:lineRule="exact" w:before="0"/>
                      <w:ind w:left="0" w:right="0" w:firstLine="0"/>
                      <w:jc w:val="left"/>
                      <w:rPr>
                        <w:b/>
                        <w:sz w:val="28"/>
                      </w:rPr>
                    </w:pPr>
                    <w:r>
                      <w:rPr>
                        <w:b/>
                        <w:w w:val="99"/>
                        <w:sz w:val="28"/>
                      </w:rPr>
                      <w:t> </w:t>
                    </w:r>
                  </w:p>
                </w:txbxContent>
              </v:textbox>
              <w10:wrap type="none"/>
            </v:shape>
            <w10:wrap type="topAndBottom"/>
          </v:group>
        </w:pict>
      </w:r>
      <w:r>
        <w:rPr/>
        <w:pict>
          <v:group style="position:absolute;margin-left:54pt;margin-top:306.172516pt;width:491.2pt;height:81.2pt;mso-position-horizontal-relative:page;mso-position-vertical-relative:paragraph;z-index:1840;mso-wrap-distance-left:0;mso-wrap-distance-right:0" coordorigin="1080,6123" coordsize="9824,1624">
            <v:shape style="position:absolute;left:1094;top:6123;width:9810;height:1515" coordorigin="1094,6123" coordsize="9810,1515" path="m10754,6123l1244,6123,1185,6135,1138,6167,1106,6215,1094,6273,1094,7489,1106,7547,1138,7595,1185,7627,1244,7638,10754,7638,10813,7627,10860,7595,10892,7547,10904,7489,10904,6273,10892,6215,10860,6167,10813,6135,10754,6123xe" filled="true" fillcolor="#d7d7d7" stroked="false">
              <v:path arrowok="t"/>
              <v:fill type="solid"/>
            </v:shape>
            <v:shape style="position:absolute;left:1319;top:6303;width:2460;height:1154" coordorigin="1319,6303" coordsize="2460,1154" path="m3698,6303l1400,6303,1368,6310,1343,6327,1325,6353,1319,6384,1319,7377,1325,7408,1343,7434,1368,7451,1400,7457,3698,7457,3730,7451,3755,7434,3773,7408,3779,7377,3779,6384,3773,6353,3755,6327,3730,6310,3698,6303xe" filled="true" fillcolor="#ffffff" stroked="false">
              <v:path arrowok="t"/>
              <v:fill type="solid"/>
            </v:shape>
            <v:shape style="position:absolute;left:1469;top:6477;width:795;height:795" type="#_x0000_t75" stroked="false">
              <v:imagedata r:id="rId14" o:title=""/>
            </v:shape>
            <v:shape style="position:absolute;left:3764;top:6543;width:255;height:645" coordorigin="3764,6543" coordsize="255,645" path="m3764,6543l3764,7188,4019,6866,3764,6543xe" filled="true" fillcolor="#ffffff" stroked="false">
              <v:path arrowok="t"/>
              <v:fill type="solid"/>
            </v:shape>
            <v:shape style="position:absolute;left:1080;top:6218;width:161;height:905" type="#_x0000_t202" filled="false" stroked="false">
              <v:textbox inset="0,0,0,0">
                <w:txbxContent>
                  <w:p>
                    <w:pPr>
                      <w:spacing w:line="281" w:lineRule="exact" w:before="0"/>
                      <w:ind w:left="0" w:right="0" w:firstLine="0"/>
                      <w:jc w:val="left"/>
                      <w:rPr>
                        <w:b/>
                        <w:sz w:val="28"/>
                      </w:rPr>
                    </w:pPr>
                    <w:r>
                      <w:rPr>
                        <w:b/>
                        <w:w w:val="99"/>
                        <w:sz w:val="28"/>
                      </w:rPr>
                      <w:t> </w:t>
                    </w:r>
                  </w:p>
                  <w:p>
                    <w:pPr>
                      <w:spacing w:line="240" w:lineRule="auto" w:before="15"/>
                      <w:rPr>
                        <w:rFonts w:ascii="微软雅黑"/>
                        <w:b/>
                        <w:sz w:val="14"/>
                      </w:rPr>
                    </w:pPr>
                  </w:p>
                  <w:p>
                    <w:pPr>
                      <w:spacing w:before="0"/>
                      <w:ind w:left="0" w:right="0" w:firstLine="0"/>
                      <w:jc w:val="left"/>
                      <w:rPr>
                        <w:b/>
                        <w:sz w:val="28"/>
                      </w:rPr>
                    </w:pPr>
                    <w:r>
                      <w:rPr>
                        <w:b/>
                        <w:w w:val="99"/>
                        <w:sz w:val="28"/>
                      </w:rPr>
                      <w:t> </w:t>
                    </w:r>
                  </w:p>
                </w:txbxContent>
              </v:textbox>
              <w10:wrap type="none"/>
            </v:shape>
            <v:shape style="position:absolute;left:2558;top:6343;width:980;height:1058" type="#_x0000_t202" filled="false" stroked="false">
              <v:textbox inset="0,0,0,0">
                <w:txbxContent>
                  <w:p>
                    <w:pPr>
                      <w:spacing w:line="266" w:lineRule="exact" w:before="0"/>
                      <w:ind w:left="14" w:right="0" w:firstLine="0"/>
                      <w:jc w:val="left"/>
                      <w:rPr>
                        <w:rFonts w:ascii="仿宋"/>
                        <w:b/>
                        <w:sz w:val="30"/>
                      </w:rPr>
                    </w:pPr>
                    <w:r>
                      <w:rPr>
                        <w:rFonts w:ascii="仿宋"/>
                        <w:b/>
                        <w:w w:val="99"/>
                        <w:sz w:val="30"/>
                      </w:rPr>
                      <w:t>4</w:t>
                    </w:r>
                  </w:p>
                  <w:p>
                    <w:pPr>
                      <w:spacing w:line="379" w:lineRule="exact" w:before="0"/>
                      <w:ind w:left="0" w:right="0" w:firstLine="0"/>
                      <w:jc w:val="left"/>
                      <w:rPr>
                        <w:rFonts w:ascii="微软雅黑" w:eastAsia="微软雅黑" w:hint="eastAsia"/>
                        <w:b/>
                        <w:sz w:val="24"/>
                      </w:rPr>
                    </w:pPr>
                    <w:r>
                      <w:rPr>
                        <w:rFonts w:ascii="微软雅黑" w:eastAsia="微软雅黑" w:hint="eastAsia"/>
                        <w:b/>
                        <w:sz w:val="24"/>
                      </w:rPr>
                      <w:t>如何领取</w:t>
                    </w:r>
                  </w:p>
                  <w:p>
                    <w:pPr>
                      <w:spacing w:line="412" w:lineRule="exact" w:before="0"/>
                      <w:ind w:left="0" w:right="0" w:firstLine="0"/>
                      <w:jc w:val="left"/>
                      <w:rPr>
                        <w:rFonts w:ascii="微软雅黑" w:eastAsia="微软雅黑" w:hint="eastAsia"/>
                        <w:b/>
                        <w:sz w:val="24"/>
                      </w:rPr>
                    </w:pPr>
                    <w:r>
                      <w:rPr>
                        <w:rFonts w:ascii="微软雅黑" w:eastAsia="微软雅黑" w:hint="eastAsia"/>
                        <w:b/>
                        <w:sz w:val="24"/>
                      </w:rPr>
                      <w:t>保险金</w:t>
                    </w:r>
                  </w:p>
                </w:txbxContent>
              </v:textbox>
              <w10:wrap type="none"/>
            </v:shape>
            <v:shape style="position:absolute;left:4412;top:6522;width:1621;height:812" type="#_x0000_t202" filled="false" stroked="false">
              <v:textbox inset="0,0,0,0">
                <w:txbxContent>
                  <w:p>
                    <w:pPr>
                      <w:spacing w:line="317" w:lineRule="exact" w:before="0"/>
                      <w:ind w:left="4" w:right="0" w:firstLine="0"/>
                      <w:jc w:val="left"/>
                      <w:rPr>
                        <w:rFonts w:ascii="微软雅黑" w:eastAsia="微软雅黑" w:hint="eastAsia"/>
                        <w:sz w:val="24"/>
                      </w:rPr>
                    </w:pPr>
                    <w:hyperlink w:history="true" w:anchor="_bookmark8">
                      <w:r>
                        <w:rPr>
                          <w:rFonts w:ascii="微软雅黑" w:eastAsia="微软雅黑" w:hint="eastAsia"/>
                          <w:sz w:val="24"/>
                        </w:rPr>
                        <w:t>4.1 受益人</w:t>
                      </w:r>
                    </w:hyperlink>
                  </w:p>
                  <w:p>
                    <w:pPr>
                      <w:spacing w:before="80"/>
                      <w:ind w:left="0" w:right="0" w:firstLine="0"/>
                      <w:jc w:val="left"/>
                      <w:rPr>
                        <w:rFonts w:ascii="微软雅黑" w:eastAsia="微软雅黑" w:hint="eastAsia"/>
                        <w:sz w:val="24"/>
                      </w:rPr>
                    </w:pPr>
                    <w:hyperlink w:history="true" w:anchor="_bookmark10">
                      <w:r>
                        <w:rPr>
                          <w:rFonts w:ascii="微软雅黑" w:eastAsia="微软雅黑" w:hint="eastAsia"/>
                          <w:sz w:val="24"/>
                        </w:rPr>
                        <w:t>4.3 保险金申请</w:t>
                      </w:r>
                    </w:hyperlink>
                  </w:p>
                </w:txbxContent>
              </v:textbox>
              <w10:wrap type="none"/>
            </v:shape>
            <v:shape style="position:absolute;left:6879;top:6520;width:1861;height:816"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9">
                      <w:r>
                        <w:rPr>
                          <w:rFonts w:ascii="微软雅黑" w:eastAsia="微软雅黑" w:hint="eastAsia"/>
                          <w:sz w:val="24"/>
                        </w:rPr>
                        <w:t>4.2 保险事故通知</w:t>
                      </w:r>
                    </w:hyperlink>
                  </w:p>
                  <w:p>
                    <w:pPr>
                      <w:spacing w:before="84"/>
                      <w:ind w:left="0" w:right="0" w:firstLine="0"/>
                      <w:jc w:val="left"/>
                      <w:rPr>
                        <w:rFonts w:ascii="微软雅黑" w:eastAsia="微软雅黑" w:hint="eastAsia"/>
                        <w:sz w:val="24"/>
                      </w:rPr>
                    </w:pPr>
                    <w:hyperlink w:history="true" w:anchor="_bookmark11">
                      <w:r>
                        <w:rPr>
                          <w:rFonts w:ascii="微软雅黑" w:eastAsia="微软雅黑" w:hint="eastAsia"/>
                          <w:sz w:val="24"/>
                        </w:rPr>
                        <w:t>4.4 保险金给付</w:t>
                      </w:r>
                    </w:hyperlink>
                  </w:p>
                </w:txbxContent>
              </v:textbox>
              <w10:wrap type="none"/>
            </v:shape>
            <v:shape style="position:absolute;left:1080;top:7466;width:161;height:281" type="#_x0000_t202" filled="false" stroked="false">
              <v:textbox inset="0,0,0,0">
                <w:txbxContent>
                  <w:p>
                    <w:pPr>
                      <w:spacing w:line="281" w:lineRule="exact" w:before="0"/>
                      <w:ind w:left="0" w:right="0" w:firstLine="0"/>
                      <w:jc w:val="left"/>
                      <w:rPr>
                        <w:b/>
                        <w:sz w:val="28"/>
                      </w:rPr>
                    </w:pPr>
                    <w:r>
                      <w:rPr>
                        <w:b/>
                        <w:w w:val="99"/>
                        <w:sz w:val="28"/>
                      </w:rPr>
                      <w:t> </w:t>
                    </w:r>
                  </w:p>
                </w:txbxContent>
              </v:textbox>
              <w10:wrap type="none"/>
            </v:shape>
            <w10:wrap type="topAndBottom"/>
          </v:group>
        </w:pict>
      </w:r>
      <w:r>
        <w:rPr/>
        <w:pict>
          <v:group style="position:absolute;margin-left:54pt;margin-top:399.772522pt;width:491.2pt;height:81.25pt;mso-position-horizontal-relative:page;mso-position-vertical-relative:paragraph;z-index:1984;mso-wrap-distance-left:0;mso-wrap-distance-right:0" coordorigin="1080,7995" coordsize="9824,1625">
            <v:shape style="position:absolute;left:1094;top:7995;width:9810;height:1515" coordorigin="1094,7995" coordsize="9810,1515" path="m10754,7995l1244,7995,1185,8007,1138,8039,1106,8087,1094,8145,1094,9361,1106,9419,1138,9467,1185,9499,1244,9510,10754,9510,10813,9499,10860,9467,10892,9419,10904,9361,10904,8145,10892,8087,10860,8039,10813,8007,10754,7995xe" filled="true" fillcolor="#d7d7d7" stroked="false">
              <v:path arrowok="t"/>
              <v:fill type="solid"/>
            </v:shape>
            <v:shape style="position:absolute;left:1319;top:8175;width:2460;height:1154" coordorigin="1319,8175" coordsize="2460,1154" path="m3698,8175l1400,8175,1368,8182,1343,8199,1325,8225,1319,8256,1319,9249,1325,9280,1343,9306,1368,9323,1400,9329,3698,9329,3730,9323,3755,9306,3773,9280,3779,9249,3779,8256,3773,8225,3755,8199,3730,8182,3698,8175xe" filled="true" fillcolor="#ffffff" stroked="false">
              <v:path arrowok="t"/>
              <v:fill type="solid"/>
            </v:shape>
            <v:shape style="position:absolute;left:1560;top:8361;width:734;height:885" type="#_x0000_t75" stroked="false">
              <v:imagedata r:id="rId15" o:title=""/>
            </v:shape>
            <v:shape style="position:absolute;left:3764;top:8415;width:255;height:645" coordorigin="3764,8415" coordsize="255,645" path="m3764,8415l3764,9060,4019,8738,3764,8415xe" filled="true" fillcolor="#ffffff" stroked="false">
              <v:path arrowok="t"/>
              <v:fill type="solid"/>
            </v:shape>
            <v:shape style="position:absolute;left:1080;top:8090;width:161;height:905" type="#_x0000_t202" filled="false" stroked="false">
              <v:textbox inset="0,0,0,0">
                <w:txbxContent>
                  <w:p>
                    <w:pPr>
                      <w:spacing w:line="281" w:lineRule="exact" w:before="0"/>
                      <w:ind w:left="0" w:right="0" w:firstLine="0"/>
                      <w:jc w:val="left"/>
                      <w:rPr>
                        <w:b/>
                        <w:sz w:val="28"/>
                      </w:rPr>
                    </w:pPr>
                    <w:r>
                      <w:rPr>
                        <w:b/>
                        <w:w w:val="99"/>
                        <w:sz w:val="28"/>
                      </w:rPr>
                      <w:t> </w:t>
                    </w:r>
                  </w:p>
                  <w:p>
                    <w:pPr>
                      <w:spacing w:line="240" w:lineRule="auto" w:before="15"/>
                      <w:rPr>
                        <w:rFonts w:ascii="微软雅黑"/>
                        <w:b/>
                        <w:sz w:val="14"/>
                      </w:rPr>
                    </w:pPr>
                  </w:p>
                  <w:p>
                    <w:pPr>
                      <w:spacing w:before="0"/>
                      <w:ind w:left="0" w:right="0" w:firstLine="0"/>
                      <w:jc w:val="left"/>
                      <w:rPr>
                        <w:b/>
                        <w:sz w:val="28"/>
                      </w:rPr>
                    </w:pPr>
                    <w:r>
                      <w:rPr>
                        <w:b/>
                        <w:w w:val="99"/>
                        <w:sz w:val="28"/>
                      </w:rPr>
                      <w:t> </w:t>
                    </w:r>
                  </w:p>
                </w:txbxContent>
              </v:textbox>
              <w10:wrap type="none"/>
            </v:shape>
            <v:shape style="position:absolute;left:2558;top:8215;width:980;height:676" type="#_x0000_t202" filled="false" stroked="false">
              <v:textbox inset="0,0,0,0">
                <w:txbxContent>
                  <w:p>
                    <w:pPr>
                      <w:spacing w:line="281" w:lineRule="exact" w:before="0"/>
                      <w:ind w:left="14" w:right="0" w:firstLine="0"/>
                      <w:jc w:val="left"/>
                      <w:rPr>
                        <w:rFonts w:ascii="仿宋"/>
                        <w:b/>
                        <w:sz w:val="30"/>
                      </w:rPr>
                    </w:pPr>
                    <w:r>
                      <w:rPr>
                        <w:rFonts w:ascii="仿宋"/>
                        <w:b/>
                        <w:w w:val="99"/>
                        <w:sz w:val="30"/>
                      </w:rPr>
                      <w:t>5</w:t>
                    </w:r>
                  </w:p>
                  <w:p>
                    <w:pPr>
                      <w:spacing w:line="395" w:lineRule="exact" w:before="0"/>
                      <w:ind w:left="0" w:right="0" w:firstLine="0"/>
                      <w:jc w:val="left"/>
                      <w:rPr>
                        <w:rFonts w:ascii="微软雅黑" w:eastAsia="微软雅黑" w:hint="eastAsia"/>
                        <w:b/>
                        <w:sz w:val="24"/>
                      </w:rPr>
                    </w:pPr>
                    <w:r>
                      <w:rPr>
                        <w:rFonts w:ascii="微软雅黑" w:eastAsia="微软雅黑" w:hint="eastAsia"/>
                        <w:b/>
                        <w:sz w:val="24"/>
                      </w:rPr>
                      <w:t>如何退保</w:t>
                    </w:r>
                  </w:p>
                </w:txbxContent>
              </v:textbox>
              <w10:wrap type="none"/>
            </v:shape>
            <v:shape style="position:absolute;left:4417;top:8581;width:1861;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12">
                      <w:r>
                        <w:rPr>
                          <w:rFonts w:ascii="微软雅黑" w:eastAsia="微软雅黑" w:hint="eastAsia"/>
                          <w:sz w:val="24"/>
                        </w:rPr>
                        <w:t>5.1 犹豫期内退保</w:t>
                      </w:r>
                    </w:hyperlink>
                  </w:p>
                </w:txbxContent>
              </v:textbox>
              <w10:wrap type="none"/>
            </v:shape>
            <v:shape style="position:absolute;left:6894;top:8579;width:3299;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13">
                      <w:r>
                        <w:rPr>
                          <w:rFonts w:ascii="微软雅黑" w:eastAsia="微软雅黑" w:hint="eastAsia"/>
                          <w:sz w:val="24"/>
                        </w:rPr>
                        <w:t>5.2 犹豫期后退保的手续及风险</w:t>
                      </w:r>
                    </w:hyperlink>
                  </w:p>
                </w:txbxContent>
              </v:textbox>
              <w10:wrap type="none"/>
            </v:shape>
            <v:shape style="position:absolute;left:1080;top:9338;width:161;height:281" type="#_x0000_t202" filled="false" stroked="false">
              <v:textbox inset="0,0,0,0">
                <w:txbxContent>
                  <w:p>
                    <w:pPr>
                      <w:spacing w:line="281" w:lineRule="exact" w:before="0"/>
                      <w:ind w:left="0" w:right="0" w:firstLine="0"/>
                      <w:jc w:val="left"/>
                      <w:rPr>
                        <w:b/>
                        <w:sz w:val="28"/>
                      </w:rPr>
                    </w:pPr>
                    <w:r>
                      <w:rPr>
                        <w:b/>
                        <w:w w:val="99"/>
                        <w:sz w:val="28"/>
                      </w:rPr>
                      <w:t> </w:t>
                    </w:r>
                  </w:p>
                </w:txbxContent>
              </v:textbox>
              <w10:wrap type="none"/>
            </v:shape>
            <w10:wrap type="topAndBottom"/>
          </v:group>
        </w:pict>
      </w:r>
    </w:p>
    <w:p>
      <w:pPr>
        <w:pStyle w:val="BodyText"/>
        <w:spacing w:before="8"/>
        <w:rPr>
          <w:rFonts w:ascii="微软雅黑"/>
          <w:b/>
          <w:sz w:val="10"/>
        </w:rPr>
      </w:pPr>
    </w:p>
    <w:p>
      <w:pPr>
        <w:pStyle w:val="BodyText"/>
        <w:spacing w:before="8"/>
        <w:rPr>
          <w:rFonts w:ascii="微软雅黑"/>
          <w:b/>
          <w:sz w:val="10"/>
        </w:rPr>
      </w:pPr>
    </w:p>
    <w:p>
      <w:pPr>
        <w:pStyle w:val="BodyText"/>
        <w:spacing w:before="8"/>
        <w:rPr>
          <w:rFonts w:ascii="微软雅黑"/>
          <w:b/>
          <w:sz w:val="10"/>
        </w:rPr>
      </w:pPr>
    </w:p>
    <w:p>
      <w:pPr>
        <w:pStyle w:val="BodyText"/>
        <w:spacing w:before="7"/>
        <w:rPr>
          <w:rFonts w:ascii="微软雅黑"/>
          <w:b/>
          <w:sz w:val="10"/>
        </w:rPr>
      </w:pPr>
    </w:p>
    <w:p>
      <w:pPr>
        <w:pStyle w:val="BodyText"/>
        <w:spacing w:before="11"/>
        <w:rPr>
          <w:rFonts w:ascii="微软雅黑"/>
          <w:b/>
          <w:sz w:val="19"/>
        </w:rPr>
      </w:pPr>
    </w:p>
    <w:p>
      <w:pPr>
        <w:spacing w:after="0"/>
        <w:rPr>
          <w:rFonts w:ascii="微软雅黑"/>
          <w:sz w:val="19"/>
        </w:rPr>
        <w:sectPr>
          <w:pgSz w:w="11910" w:h="16840"/>
          <w:pgMar w:top="1440" w:bottom="280" w:left="980" w:right="880"/>
        </w:sectPr>
      </w:pPr>
    </w:p>
    <w:p>
      <w:pPr>
        <w:spacing w:line="358" w:lineRule="exact" w:before="7"/>
        <w:ind w:left="557" w:right="0" w:firstLine="0"/>
        <w:jc w:val="center"/>
        <w:rPr>
          <w:rFonts w:ascii="仿宋"/>
          <w:b/>
          <w:sz w:val="30"/>
        </w:rPr>
      </w:pPr>
      <w:r>
        <w:rPr/>
        <w:pict>
          <v:group style="position:absolute;margin-left:55.150002pt;margin-top:-6.050466pt;width:490.5pt;height:75.75pt;mso-position-horizontal-relative:page;mso-position-vertical-relative:paragraph;z-index:-61120" coordorigin="1103,-121" coordsize="9810,1515">
            <v:shape style="position:absolute;left:1103;top:-122;width:9810;height:1515" coordorigin="1103,-121" coordsize="9810,1515" path="m10763,-121l1253,-121,1194,-109,1147,-77,1115,-30,1103,29,1103,1244,1115,1303,1147,1350,1194,1382,1253,1394,10763,1394,10822,1382,10869,1350,10901,1303,10913,1244,10913,29,10901,-30,10869,-77,10822,-109,10763,-121xe" filled="true" fillcolor="#d7d7d7" stroked="false">
              <v:path arrowok="t"/>
              <v:fill type="solid"/>
            </v:shape>
            <v:shape style="position:absolute;left:1319;top:58;width:2460;height:1154" coordorigin="1319,59" coordsize="2460,1154" path="m3698,59l1400,59,1368,65,1343,83,1325,108,1319,140,1319,1132,1325,1164,1343,1189,1368,1207,1400,1213,3698,1213,3730,1207,3755,1189,3773,1164,3779,1132,3779,140,3773,108,3755,83,3730,65,3698,59xe" filled="true" fillcolor="#ffffff" stroked="false">
              <v:path arrowok="t"/>
              <v:fill type="solid"/>
            </v:shape>
            <v:shape style="position:absolute;left:1481;top:208;width:834;height:840" type="#_x0000_t75" stroked="false">
              <v:imagedata r:id="rId16" o:title=""/>
            </v:shape>
            <v:shape style="position:absolute;left:3764;top:298;width:255;height:645" coordorigin="3764,299" coordsize="255,645" path="m3764,299l3764,944,4019,622,3764,299xe" filled="true" fillcolor="#ffffff" stroked="false">
              <v:path arrowok="t"/>
              <v:fill type="solid"/>
            </v:shape>
            <w10:wrap type="none"/>
          </v:group>
        </w:pict>
      </w:r>
      <w:r>
        <w:rPr>
          <w:rFonts w:ascii="仿宋"/>
          <w:b/>
          <w:w w:val="99"/>
          <w:sz w:val="30"/>
        </w:rPr>
        <w:t>6</w:t>
      </w:r>
    </w:p>
    <w:p>
      <w:pPr>
        <w:pStyle w:val="Heading2"/>
        <w:spacing w:line="378" w:lineRule="exact"/>
        <w:jc w:val="left"/>
        <w:rPr>
          <w:rFonts w:ascii="微软雅黑" w:eastAsia="微软雅黑" w:hint="eastAsia"/>
        </w:rPr>
      </w:pPr>
      <w:r>
        <w:rPr>
          <w:rFonts w:ascii="微软雅黑" w:eastAsia="微软雅黑" w:hint="eastAsia"/>
        </w:rPr>
        <w:t>需要关注的</w:t>
      </w:r>
    </w:p>
    <w:p>
      <w:pPr>
        <w:spacing w:line="412" w:lineRule="exact" w:before="0"/>
        <w:ind w:left="1578" w:right="0" w:firstLine="0"/>
        <w:jc w:val="left"/>
        <w:rPr>
          <w:rFonts w:ascii="微软雅黑" w:eastAsia="微软雅黑" w:hint="eastAsia"/>
          <w:b/>
          <w:sz w:val="24"/>
        </w:rPr>
      </w:pPr>
      <w:r>
        <w:rPr>
          <w:rFonts w:ascii="微软雅黑" w:eastAsia="微软雅黑" w:hint="eastAsia"/>
          <w:b/>
          <w:sz w:val="24"/>
        </w:rPr>
        <w:t>其他内容</w:t>
      </w:r>
    </w:p>
    <w:p>
      <w:pPr>
        <w:tabs>
          <w:tab w:pos="3076" w:val="left" w:leader="none"/>
        </w:tabs>
        <w:spacing w:line="389" w:lineRule="exact" w:before="30"/>
        <w:ind w:left="606" w:right="0" w:firstLine="0"/>
        <w:jc w:val="left"/>
        <w:rPr>
          <w:rFonts w:ascii="微软雅黑" w:eastAsia="微软雅黑" w:hint="eastAsia"/>
          <w:sz w:val="24"/>
        </w:rPr>
      </w:pPr>
      <w:r>
        <w:rPr/>
        <w:br w:type="column"/>
      </w:r>
      <w:hyperlink w:history="true" w:anchor="_bookmark14">
        <w:r>
          <w:rPr>
            <w:rFonts w:ascii="微软雅黑" w:eastAsia="微软雅黑" w:hint="eastAsia"/>
            <w:sz w:val="24"/>
          </w:rPr>
          <w:t>6.1</w:t>
        </w:r>
        <w:r>
          <w:rPr>
            <w:rFonts w:ascii="微软雅黑" w:eastAsia="微软雅黑" w:hint="eastAsia"/>
            <w:spacing w:val="-11"/>
            <w:sz w:val="24"/>
          </w:rPr>
          <w:t> </w:t>
        </w:r>
        <w:r>
          <w:rPr>
            <w:rFonts w:ascii="微软雅黑" w:eastAsia="微软雅黑" w:hint="eastAsia"/>
            <w:sz w:val="24"/>
          </w:rPr>
          <w:t>合同构成</w:t>
        </w:r>
      </w:hyperlink>
      <w:r>
        <w:rPr>
          <w:rFonts w:ascii="微软雅黑" w:eastAsia="微软雅黑" w:hint="eastAsia"/>
          <w:sz w:val="24"/>
        </w:rPr>
        <w:tab/>
      </w:r>
      <w:hyperlink w:history="true" w:anchor="_bookmark15">
        <w:r>
          <w:rPr>
            <w:rFonts w:ascii="微软雅黑" w:eastAsia="微软雅黑" w:hint="eastAsia"/>
            <w:sz w:val="24"/>
          </w:rPr>
          <w:t>6.2</w:t>
        </w:r>
        <w:r>
          <w:rPr>
            <w:rFonts w:ascii="微软雅黑" w:eastAsia="微软雅黑" w:hint="eastAsia"/>
            <w:spacing w:val="-11"/>
            <w:sz w:val="24"/>
          </w:rPr>
          <w:t> </w:t>
        </w:r>
        <w:r>
          <w:rPr>
            <w:rFonts w:ascii="微软雅黑" w:eastAsia="微软雅黑" w:hint="eastAsia"/>
            <w:sz w:val="24"/>
          </w:rPr>
          <w:t>合同的成立与生效</w:t>
        </w:r>
      </w:hyperlink>
    </w:p>
    <w:p>
      <w:pPr>
        <w:tabs>
          <w:tab w:pos="3076" w:val="left" w:leader="none"/>
        </w:tabs>
        <w:spacing w:line="370" w:lineRule="exact" w:before="0"/>
        <w:ind w:left="606" w:right="0" w:firstLine="0"/>
        <w:jc w:val="left"/>
        <w:rPr>
          <w:rFonts w:ascii="微软雅黑" w:eastAsia="微软雅黑" w:hint="eastAsia"/>
          <w:sz w:val="24"/>
        </w:rPr>
      </w:pPr>
      <w:hyperlink w:history="true" w:anchor="_bookmark16">
        <w:r>
          <w:rPr>
            <w:rFonts w:ascii="微软雅黑" w:eastAsia="微软雅黑" w:hint="eastAsia"/>
            <w:sz w:val="24"/>
          </w:rPr>
          <w:t>6.3</w:t>
        </w:r>
        <w:r>
          <w:rPr>
            <w:rFonts w:ascii="微软雅黑" w:eastAsia="微软雅黑" w:hint="eastAsia"/>
            <w:spacing w:val="-11"/>
            <w:sz w:val="24"/>
          </w:rPr>
          <w:t> </w:t>
        </w:r>
        <w:r>
          <w:rPr>
            <w:rFonts w:ascii="微软雅黑" w:eastAsia="微软雅黑" w:hint="eastAsia"/>
            <w:sz w:val="24"/>
          </w:rPr>
          <w:t>投保年龄</w:t>
        </w:r>
      </w:hyperlink>
      <w:r>
        <w:rPr>
          <w:rFonts w:ascii="微软雅黑" w:eastAsia="微软雅黑" w:hint="eastAsia"/>
          <w:sz w:val="24"/>
        </w:rPr>
        <w:tab/>
      </w:r>
      <w:hyperlink w:history="true" w:anchor="_bookmark17">
        <w:r>
          <w:rPr>
            <w:rFonts w:ascii="微软雅黑" w:eastAsia="微软雅黑" w:hint="eastAsia"/>
            <w:position w:val="1"/>
            <w:sz w:val="24"/>
          </w:rPr>
          <w:t>6.4</w:t>
        </w:r>
        <w:r>
          <w:rPr>
            <w:rFonts w:ascii="微软雅黑" w:eastAsia="微软雅黑" w:hint="eastAsia"/>
            <w:spacing w:val="-11"/>
            <w:position w:val="1"/>
            <w:sz w:val="24"/>
          </w:rPr>
          <w:t> </w:t>
        </w:r>
        <w:r>
          <w:rPr>
            <w:rFonts w:ascii="微软雅黑" w:eastAsia="微软雅黑" w:hint="eastAsia"/>
            <w:position w:val="1"/>
            <w:sz w:val="24"/>
          </w:rPr>
          <w:t>效力终止</w:t>
        </w:r>
      </w:hyperlink>
    </w:p>
    <w:p>
      <w:pPr>
        <w:tabs>
          <w:tab w:pos="3080" w:val="left" w:leader="none"/>
          <w:tab w:pos="5167" w:val="left" w:leader="none"/>
        </w:tabs>
        <w:spacing w:line="385" w:lineRule="exact" w:before="0"/>
        <w:ind w:left="606" w:right="0" w:firstLine="0"/>
        <w:jc w:val="left"/>
        <w:rPr>
          <w:rFonts w:ascii="微软雅黑" w:eastAsia="微软雅黑" w:hint="eastAsia"/>
          <w:sz w:val="24"/>
        </w:rPr>
      </w:pPr>
      <w:hyperlink w:history="true" w:anchor="_bookmark18">
        <w:r>
          <w:rPr>
            <w:rFonts w:ascii="微软雅黑" w:eastAsia="微软雅黑" w:hint="eastAsia"/>
            <w:sz w:val="24"/>
          </w:rPr>
          <w:t>6.5</w:t>
        </w:r>
        <w:r>
          <w:rPr>
            <w:rFonts w:ascii="微软雅黑" w:eastAsia="微软雅黑" w:hint="eastAsia"/>
            <w:spacing w:val="-11"/>
            <w:sz w:val="24"/>
          </w:rPr>
          <w:t> </w:t>
        </w:r>
        <w:r>
          <w:rPr>
            <w:rFonts w:ascii="微软雅黑" w:eastAsia="微软雅黑" w:hint="eastAsia"/>
            <w:sz w:val="24"/>
          </w:rPr>
          <w:t>合同变更</w:t>
        </w:r>
      </w:hyperlink>
      <w:r>
        <w:rPr>
          <w:rFonts w:ascii="微软雅黑" w:eastAsia="微软雅黑" w:hint="eastAsia"/>
          <w:sz w:val="24"/>
        </w:rPr>
        <w:tab/>
      </w:r>
      <w:hyperlink w:history="true" w:anchor="_bookmark19">
        <w:r>
          <w:rPr>
            <w:rFonts w:ascii="微软雅黑" w:eastAsia="微软雅黑" w:hint="eastAsia"/>
            <w:sz w:val="24"/>
          </w:rPr>
          <w:t>6.6</w:t>
        </w:r>
        <w:r>
          <w:rPr>
            <w:rFonts w:ascii="微软雅黑" w:eastAsia="微软雅黑" w:hint="eastAsia"/>
            <w:spacing w:val="-11"/>
            <w:sz w:val="24"/>
          </w:rPr>
          <w:t> </w:t>
        </w:r>
        <w:r>
          <w:rPr>
            <w:rFonts w:ascii="微软雅黑" w:eastAsia="微软雅黑" w:hint="eastAsia"/>
            <w:sz w:val="24"/>
          </w:rPr>
          <w:t>通知送达</w:t>
        </w:r>
      </w:hyperlink>
      <w:r>
        <w:rPr>
          <w:rFonts w:ascii="微软雅黑" w:eastAsia="微软雅黑" w:hint="eastAsia"/>
          <w:sz w:val="24"/>
        </w:rPr>
        <w:tab/>
      </w:r>
      <w:hyperlink w:history="true" w:anchor="_bookmark20">
        <w:r>
          <w:rPr>
            <w:rFonts w:ascii="微软雅黑" w:eastAsia="微软雅黑" w:hint="eastAsia"/>
            <w:sz w:val="24"/>
          </w:rPr>
          <w:t>6.7</w:t>
        </w:r>
        <w:r>
          <w:rPr>
            <w:rFonts w:ascii="微软雅黑" w:eastAsia="微软雅黑" w:hint="eastAsia"/>
            <w:spacing w:val="-11"/>
            <w:sz w:val="24"/>
          </w:rPr>
          <w:t> </w:t>
        </w:r>
        <w:r>
          <w:rPr>
            <w:rFonts w:ascii="微软雅黑" w:eastAsia="微软雅黑" w:hint="eastAsia"/>
            <w:sz w:val="24"/>
          </w:rPr>
          <w:t>争议处理</w:t>
        </w:r>
      </w:hyperlink>
    </w:p>
    <w:p>
      <w:pPr>
        <w:spacing w:after="0" w:line="385" w:lineRule="exact"/>
        <w:jc w:val="left"/>
        <w:rPr>
          <w:rFonts w:ascii="微软雅黑" w:eastAsia="微软雅黑" w:hint="eastAsia"/>
          <w:sz w:val="24"/>
        </w:rPr>
        <w:sectPr>
          <w:type w:val="continuous"/>
          <w:pgSz w:w="11910" w:h="16840"/>
          <w:pgMar w:top="980" w:bottom="280" w:left="980" w:right="880"/>
          <w:cols w:num="2" w:equalWidth="0">
            <w:col w:w="2779" w:space="40"/>
            <w:col w:w="7231"/>
          </w:cols>
        </w:sectPr>
      </w:pPr>
    </w:p>
    <w:p>
      <w:pPr>
        <w:pStyle w:val="BodyText"/>
        <w:rPr>
          <w:rFonts w:ascii="微软雅黑"/>
          <w:sz w:val="20"/>
        </w:rPr>
      </w:pPr>
    </w:p>
    <w:p>
      <w:pPr>
        <w:pStyle w:val="BodyText"/>
        <w:spacing w:before="6" w:after="1"/>
        <w:rPr>
          <w:rFonts w:ascii="微软雅黑"/>
          <w:sz w:val="13"/>
        </w:rPr>
      </w:pPr>
    </w:p>
    <w:p>
      <w:pPr>
        <w:pStyle w:val="BodyText"/>
        <w:ind w:left="100"/>
        <w:rPr>
          <w:rFonts w:ascii="微软雅黑"/>
          <w:sz w:val="20"/>
        </w:rPr>
      </w:pPr>
      <w:r>
        <w:rPr>
          <w:rFonts w:ascii="微软雅黑"/>
          <w:sz w:val="20"/>
        </w:rPr>
        <w:pict>
          <v:group style="width:491.2pt;height:75.75pt;mso-position-horizontal-relative:char;mso-position-vertical-relative:line" coordorigin="0,0" coordsize="9824,1515">
            <v:shape style="position:absolute;left:14;top:0;width:9810;height:1515" coordorigin="14,0" coordsize="9810,1515" path="m9674,0l164,0,105,12,58,44,26,91,14,150,14,1365,26,1424,58,1471,105,1503,164,1515,9674,1515,9733,1503,9780,1471,9812,1424,9824,1365,9824,150,9812,91,9780,44,9733,12,9674,0xe" filled="true" fillcolor="#d7d7d7" stroked="false">
              <v:path arrowok="t"/>
              <v:fill type="solid"/>
            </v:shape>
            <v:shape style="position:absolute;left:239;top:180;width:2460;height:1154" coordorigin="239,180" coordsize="2460,1154" path="m2618,180l320,180,288,186,263,204,245,229,239,261,239,1253,245,1285,263,1310,288,1328,320,1334,2618,1334,2650,1328,2675,1310,2693,1285,2699,1253,2699,261,2693,229,2675,204,2650,186,2618,180xe" filled="true" fillcolor="#ffffff" stroked="false">
              <v:path arrowok="t"/>
              <v:fill type="solid"/>
            </v:shape>
            <v:shape style="position:absolute;left:401;top:305;width:838;height:840" type="#_x0000_t75" stroked="false">
              <v:imagedata r:id="rId17" o:title=""/>
            </v:shape>
            <v:shape style="position:absolute;left:2684;top:420;width:255;height:645" coordorigin="2684,420" coordsize="255,645" path="m2684,420l2684,1065,2939,743,2684,420xe" filled="true" fillcolor="#ffffff" stroked="false">
              <v:path arrowok="t"/>
              <v:fill type="solid"/>
            </v:shape>
            <v:shape style="position:absolute;left:0;top:95;width:161;height:281" type="#_x0000_t202" filled="false" stroked="false">
              <v:textbox inset="0,0,0,0">
                <w:txbxContent>
                  <w:p>
                    <w:pPr>
                      <w:spacing w:line="281" w:lineRule="exact" w:before="0"/>
                      <w:ind w:left="0" w:right="0" w:firstLine="0"/>
                      <w:jc w:val="left"/>
                      <w:rPr>
                        <w:b/>
                        <w:sz w:val="28"/>
                      </w:rPr>
                    </w:pPr>
                    <w:r>
                      <w:rPr>
                        <w:b/>
                        <w:w w:val="99"/>
                        <w:sz w:val="28"/>
                      </w:rPr>
                      <w:t> </w:t>
                    </w:r>
                  </w:p>
                </w:txbxContent>
              </v:textbox>
              <w10:wrap type="none"/>
            </v:shape>
            <v:shape style="position:absolute;left:1478;top:220;width:980;height:1056" type="#_x0000_t202" filled="false" stroked="false">
              <v:textbox inset="0,0,0,0">
                <w:txbxContent>
                  <w:p>
                    <w:pPr>
                      <w:spacing w:line="264" w:lineRule="exact" w:before="0"/>
                      <w:ind w:left="14" w:right="0" w:firstLine="0"/>
                      <w:jc w:val="left"/>
                      <w:rPr>
                        <w:rFonts w:ascii="仿宋"/>
                        <w:b/>
                        <w:sz w:val="30"/>
                      </w:rPr>
                    </w:pPr>
                    <w:r>
                      <w:rPr>
                        <w:rFonts w:ascii="仿宋"/>
                        <w:b/>
                        <w:w w:val="99"/>
                        <w:sz w:val="30"/>
                      </w:rPr>
                      <w:t>7</w:t>
                    </w:r>
                  </w:p>
                  <w:p>
                    <w:pPr>
                      <w:spacing w:line="378" w:lineRule="exact" w:before="0"/>
                      <w:ind w:left="0" w:right="0" w:firstLine="0"/>
                      <w:jc w:val="left"/>
                      <w:rPr>
                        <w:rFonts w:ascii="微软雅黑" w:eastAsia="微软雅黑" w:hint="eastAsia"/>
                        <w:b/>
                        <w:sz w:val="24"/>
                      </w:rPr>
                    </w:pPr>
                    <w:r>
                      <w:rPr>
                        <w:rFonts w:ascii="微软雅黑" w:eastAsia="微软雅黑" w:hint="eastAsia"/>
                        <w:b/>
                        <w:sz w:val="24"/>
                      </w:rPr>
                      <w:t>重大疾病</w:t>
                    </w:r>
                  </w:p>
                  <w:p>
                    <w:pPr>
                      <w:spacing w:line="414" w:lineRule="exact" w:before="0"/>
                      <w:ind w:left="0" w:right="0" w:firstLine="0"/>
                      <w:jc w:val="left"/>
                      <w:rPr>
                        <w:rFonts w:ascii="微软雅黑" w:eastAsia="微软雅黑" w:hint="eastAsia"/>
                        <w:b/>
                        <w:sz w:val="24"/>
                      </w:rPr>
                    </w:pPr>
                    <w:r>
                      <w:rPr>
                        <w:rFonts w:ascii="微软雅黑" w:eastAsia="微软雅黑" w:hint="eastAsia"/>
                        <w:b/>
                        <w:sz w:val="24"/>
                      </w:rPr>
                      <w:t>释义</w:t>
                    </w:r>
                  </w:p>
                </w:txbxContent>
              </v:textbox>
              <w10:wrap type="none"/>
            </v:shape>
            <v:shape style="position:absolute;left:3325;top:217;width:6432;height:706" type="#_x0000_t202" filled="false" stroked="false">
              <v:textbox inset="0,0,0,0">
                <w:txbxContent>
                  <w:p>
                    <w:pPr>
                      <w:tabs>
                        <w:tab w:pos="3149" w:val="left" w:leader="none"/>
                      </w:tabs>
                      <w:spacing w:line="312" w:lineRule="exact" w:before="0"/>
                      <w:ind w:left="0" w:right="0" w:firstLine="0"/>
                      <w:jc w:val="left"/>
                      <w:rPr>
                        <w:rFonts w:ascii="微软雅黑" w:eastAsia="微软雅黑" w:hint="eastAsia"/>
                        <w:sz w:val="24"/>
                      </w:rPr>
                    </w:pPr>
                    <w:hyperlink w:history="true" w:anchor="_bookmark21">
                      <w:r>
                        <w:rPr>
                          <w:rFonts w:ascii="微软雅黑" w:eastAsia="微软雅黑" w:hint="eastAsia"/>
                          <w:position w:val="2"/>
                          <w:sz w:val="24"/>
                        </w:rPr>
                        <w:t>7.1</w:t>
                      </w:r>
                      <w:r>
                        <w:rPr>
                          <w:rFonts w:ascii="微软雅黑" w:eastAsia="微软雅黑" w:hint="eastAsia"/>
                          <w:spacing w:val="-11"/>
                          <w:position w:val="2"/>
                          <w:sz w:val="24"/>
                        </w:rPr>
                        <w:t> </w:t>
                      </w:r>
                      <w:r>
                        <w:rPr>
                          <w:rFonts w:ascii="微软雅黑" w:eastAsia="微软雅黑" w:hint="eastAsia"/>
                          <w:position w:val="2"/>
                          <w:sz w:val="24"/>
                        </w:rPr>
                        <w:t>与恶性肿瘤相关</w:t>
                      </w:r>
                      <w:r>
                        <w:rPr>
                          <w:rFonts w:ascii="微软雅黑" w:eastAsia="微软雅黑" w:hint="eastAsia"/>
                          <w:spacing w:val="-3"/>
                          <w:position w:val="2"/>
                          <w:sz w:val="24"/>
                        </w:rPr>
                        <w:t>的</w:t>
                      </w:r>
                      <w:r>
                        <w:rPr>
                          <w:rFonts w:ascii="微软雅黑" w:eastAsia="微软雅黑" w:hint="eastAsia"/>
                          <w:position w:val="2"/>
                          <w:sz w:val="24"/>
                        </w:rPr>
                        <w:t>疾病</w:t>
                      </w:r>
                    </w:hyperlink>
                    <w:r>
                      <w:rPr>
                        <w:rFonts w:ascii="微软雅黑" w:eastAsia="微软雅黑" w:hint="eastAsia"/>
                        <w:position w:val="2"/>
                        <w:sz w:val="24"/>
                      </w:rPr>
                      <w:tab/>
                    </w:r>
                    <w:hyperlink w:history="true" w:anchor="_bookmark22">
                      <w:r>
                        <w:rPr>
                          <w:rFonts w:ascii="微软雅黑" w:eastAsia="微软雅黑" w:hint="eastAsia"/>
                          <w:sz w:val="24"/>
                        </w:rPr>
                        <w:t>7.2</w:t>
                      </w:r>
                      <w:r>
                        <w:rPr>
                          <w:rFonts w:ascii="微软雅黑" w:eastAsia="微软雅黑" w:hint="eastAsia"/>
                          <w:spacing w:val="-27"/>
                          <w:sz w:val="24"/>
                        </w:rPr>
                        <w:t> </w:t>
                      </w:r>
                      <w:r>
                        <w:rPr>
                          <w:rFonts w:ascii="微软雅黑" w:eastAsia="微软雅黑" w:hint="eastAsia"/>
                          <w:sz w:val="24"/>
                        </w:rPr>
                        <w:t>与心脏或脑血管</w:t>
                      </w:r>
                      <w:r>
                        <w:rPr>
                          <w:rFonts w:ascii="微软雅黑" w:eastAsia="微软雅黑" w:hint="eastAsia"/>
                          <w:spacing w:val="-3"/>
                          <w:sz w:val="24"/>
                        </w:rPr>
                        <w:t>相</w:t>
                      </w:r>
                      <w:r>
                        <w:rPr>
                          <w:rFonts w:ascii="微软雅黑" w:eastAsia="微软雅黑" w:hint="eastAsia"/>
                          <w:sz w:val="24"/>
                        </w:rPr>
                        <w:t>关的疾病</w:t>
                      </w:r>
                    </w:hyperlink>
                  </w:p>
                  <w:p>
                    <w:pPr>
                      <w:spacing w:line="393" w:lineRule="exact" w:before="0"/>
                      <w:ind w:left="0" w:right="0" w:firstLine="0"/>
                      <w:jc w:val="left"/>
                      <w:rPr>
                        <w:rFonts w:ascii="微软雅黑" w:eastAsia="微软雅黑" w:hint="eastAsia"/>
                        <w:sz w:val="24"/>
                      </w:rPr>
                    </w:pPr>
                    <w:hyperlink w:history="true" w:anchor="_bookmark23">
                      <w:r>
                        <w:rPr>
                          <w:rFonts w:ascii="微软雅黑" w:eastAsia="微软雅黑" w:hint="eastAsia"/>
                          <w:sz w:val="24"/>
                        </w:rPr>
                        <w:t>7.3 与器官功能严重受损相关的疾病</w:t>
                      </w:r>
                    </w:hyperlink>
                  </w:p>
                </w:txbxContent>
              </v:textbox>
              <w10:wrap type="none"/>
            </v:shape>
            <v:shape style="position:absolute;left:3325;top:992;width:2819;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24">
                      <w:r>
                        <w:rPr>
                          <w:rFonts w:ascii="微软雅黑" w:eastAsia="微软雅黑" w:hint="eastAsia"/>
                          <w:sz w:val="24"/>
                        </w:rPr>
                        <w:t>7.4 与神经系统相关的疾病</w:t>
                      </w:r>
                    </w:hyperlink>
                  </w:p>
                </w:txbxContent>
              </v:textbox>
              <w10:wrap type="none"/>
            </v:shape>
            <v:shape style="position:absolute;left:6474;top:997;width:1861;height:317" type="#_x0000_t202" filled="false" stroked="false">
              <v:textbox inset="0,0,0,0">
                <w:txbxContent>
                  <w:p>
                    <w:pPr>
                      <w:spacing w:line="317" w:lineRule="exact" w:before="0"/>
                      <w:ind w:left="0" w:right="0" w:firstLine="0"/>
                      <w:jc w:val="left"/>
                      <w:rPr>
                        <w:rFonts w:ascii="微软雅黑" w:eastAsia="微软雅黑" w:hint="eastAsia"/>
                        <w:sz w:val="24"/>
                      </w:rPr>
                    </w:pPr>
                    <w:hyperlink w:history="true" w:anchor="_bookmark25">
                      <w:r>
                        <w:rPr>
                          <w:rFonts w:ascii="微软雅黑" w:eastAsia="微软雅黑" w:hint="eastAsia"/>
                          <w:sz w:val="24"/>
                        </w:rPr>
                        <w:t>7.5 其他重大疾病</w:t>
                      </w:r>
                    </w:hyperlink>
                  </w:p>
                </w:txbxContent>
              </v:textbox>
              <w10:wrap type="none"/>
            </v:shape>
          </v:group>
        </w:pict>
      </w:r>
      <w:r>
        <w:rPr>
          <w:rFonts w:ascii="微软雅黑"/>
          <w:sz w:val="20"/>
        </w:rPr>
      </w:r>
    </w:p>
    <w:p>
      <w:pPr>
        <w:spacing w:after="0"/>
        <w:rPr>
          <w:rFonts w:ascii="微软雅黑"/>
          <w:sz w:val="20"/>
        </w:rPr>
        <w:sectPr>
          <w:type w:val="continuous"/>
          <w:pgSz w:w="11910" w:h="16840"/>
          <w:pgMar w:top="980" w:bottom="280" w:left="980" w:right="880"/>
        </w:sectPr>
      </w:pPr>
    </w:p>
    <w:p>
      <w:pPr>
        <w:spacing w:line="490" w:lineRule="exact" w:before="0"/>
        <w:ind w:left="266" w:right="33" w:firstLine="0"/>
        <w:jc w:val="center"/>
        <w:rPr>
          <w:b/>
          <w:sz w:val="28"/>
        </w:rPr>
      </w:pPr>
      <w:r>
        <w:rPr>
          <w:rFonts w:ascii="微软雅黑" w:eastAsia="微软雅黑" w:hint="eastAsia"/>
          <w:b/>
          <w:sz w:val="32"/>
        </w:rPr>
        <w:t>爱心人寿附加爱心 </w:t>
      </w:r>
      <w:r>
        <w:rPr>
          <w:rFonts w:ascii="Calibri" w:eastAsia="Calibri"/>
          <w:b/>
          <w:i/>
          <w:sz w:val="32"/>
        </w:rPr>
        <w:t>i+</w:t>
      </w:r>
      <w:r>
        <w:rPr>
          <w:rFonts w:ascii="微软雅黑" w:eastAsia="微软雅黑" w:hint="eastAsia"/>
          <w:b/>
          <w:sz w:val="32"/>
        </w:rPr>
        <w:t>提前给付重大疾病保险条款</w:t>
      </w:r>
      <w:r>
        <w:rPr>
          <w:b/>
          <w:w w:val="99"/>
          <w:sz w:val="28"/>
        </w:rPr>
        <w:t> </w:t>
      </w:r>
    </w:p>
    <w:p>
      <w:pPr>
        <w:spacing w:before="101"/>
        <w:ind w:left="213" w:right="0" w:firstLine="0"/>
        <w:jc w:val="center"/>
        <w:rPr>
          <w:b/>
          <w:sz w:val="24"/>
        </w:rPr>
      </w:pPr>
      <w:r>
        <w:rPr>
          <w:b/>
          <w:w w:val="99"/>
          <w:sz w:val="24"/>
        </w:rPr>
        <w:t> </w:t>
      </w:r>
    </w:p>
    <w:p>
      <w:pPr>
        <w:spacing w:before="66"/>
        <w:ind w:left="405" w:right="0" w:firstLine="0"/>
        <w:jc w:val="left"/>
        <w:rPr>
          <w:sz w:val="21"/>
        </w:rPr>
      </w:pPr>
      <w:r>
        <w:rPr>
          <w:spacing w:val="-17"/>
          <w:w w:val="100"/>
          <w:sz w:val="21"/>
        </w:rPr>
        <w:t>在本条款中，“您”指投保人，“我们”指爱心人寿保险股份有限公司。</w:t>
      </w:r>
      <w:r>
        <w:rPr>
          <w:w w:val="100"/>
          <w:sz w:val="21"/>
        </w:rPr>
        <w:t> </w:t>
      </w:r>
    </w:p>
    <w:p>
      <w:pPr>
        <w:pStyle w:val="BodyText"/>
        <w:spacing w:before="9"/>
        <w:rPr>
          <w:sz w:val="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893"/>
        <w:gridCol w:w="6685"/>
      </w:tblGrid>
      <w:tr>
        <w:trPr>
          <w:trHeight w:val="269" w:hRule="atLeast"/>
        </w:trPr>
        <w:tc>
          <w:tcPr>
            <w:tcW w:w="858" w:type="dxa"/>
          </w:tcPr>
          <w:p>
            <w:pPr>
              <w:pStyle w:val="TableParagraph"/>
              <w:spacing w:line="211" w:lineRule="exact"/>
              <w:ind w:left="200"/>
              <w:rPr>
                <w:sz w:val="21"/>
              </w:rPr>
            </w:pPr>
            <w:r>
              <w:rPr>
                <w:w w:val="100"/>
                <w:sz w:val="21"/>
              </w:rPr>
              <w:t> </w:t>
            </w:r>
          </w:p>
        </w:tc>
        <w:tc>
          <w:tcPr>
            <w:tcW w:w="1893" w:type="dxa"/>
          </w:tcPr>
          <w:p>
            <w:pPr>
              <w:pStyle w:val="TableParagraph"/>
              <w:spacing w:line="211" w:lineRule="exact"/>
              <w:ind w:left="194"/>
              <w:rPr>
                <w:sz w:val="21"/>
              </w:rPr>
            </w:pPr>
            <w:r>
              <w:rPr>
                <w:w w:val="100"/>
                <w:sz w:val="21"/>
              </w:rPr>
              <w:t> </w:t>
            </w:r>
          </w:p>
        </w:tc>
        <w:tc>
          <w:tcPr>
            <w:tcW w:w="6685" w:type="dxa"/>
          </w:tcPr>
          <w:p>
            <w:pPr>
              <w:pStyle w:val="TableParagraph"/>
              <w:spacing w:line="211" w:lineRule="exact"/>
              <w:rPr>
                <w:sz w:val="21"/>
              </w:rPr>
            </w:pPr>
            <w:r>
              <w:rPr>
                <w:w w:val="100"/>
                <w:sz w:val="21"/>
              </w:rPr>
              <w:t> </w:t>
            </w:r>
          </w:p>
        </w:tc>
      </w:tr>
      <w:tr>
        <w:trPr>
          <w:trHeight w:val="651" w:hRule="atLeast"/>
        </w:trPr>
        <w:tc>
          <w:tcPr>
            <w:tcW w:w="858" w:type="dxa"/>
          </w:tcPr>
          <w:p>
            <w:pPr>
              <w:pStyle w:val="TableParagraph"/>
              <w:spacing w:line="631" w:lineRule="exact"/>
              <w:ind w:left="200"/>
              <w:rPr>
                <w:rFonts w:ascii="Yu Gothic" w:hAnsi="Yu Gothic"/>
                <w:b/>
                <w:sz w:val="52"/>
              </w:rPr>
            </w:pPr>
            <w:r>
              <w:rPr>
                <w:rFonts w:ascii="Yu Gothic" w:hAnsi="Yu Gothic"/>
                <w:b/>
                <w:w w:val="89"/>
                <w:sz w:val="52"/>
              </w:rPr>
              <w:t></w:t>
            </w:r>
          </w:p>
        </w:tc>
        <w:tc>
          <w:tcPr>
            <w:tcW w:w="8578" w:type="dxa"/>
            <w:gridSpan w:val="2"/>
          </w:tcPr>
          <w:p>
            <w:pPr>
              <w:pStyle w:val="TableParagraph"/>
              <w:spacing w:before="105"/>
              <w:ind w:left="194"/>
              <w:rPr>
                <w:b/>
                <w:sz w:val="21"/>
              </w:rPr>
            </w:pPr>
            <w:r>
              <w:rPr>
                <w:b/>
                <w:sz w:val="28"/>
              </w:rPr>
              <w:t>我们的保障范围 </w:t>
            </w:r>
            <w:r>
              <w:rPr>
                <w:sz w:val="21"/>
              </w:rPr>
              <w:t>这部分讲的是我们提供的保障以及保障的期间。</w:t>
            </w:r>
            <w:r>
              <w:rPr>
                <w:b/>
                <w:w w:val="99"/>
                <w:sz w:val="21"/>
              </w:rPr>
              <w:t> </w:t>
            </w:r>
          </w:p>
        </w:tc>
      </w:tr>
      <w:tr>
        <w:trPr>
          <w:trHeight w:val="318"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6685" w:type="dxa"/>
          </w:tcPr>
          <w:p>
            <w:pPr>
              <w:pStyle w:val="TableParagraph"/>
              <w:spacing w:line="255" w:lineRule="exact"/>
              <w:rPr>
                <w:sz w:val="21"/>
              </w:rPr>
            </w:pPr>
            <w:r>
              <w:rPr>
                <w:w w:val="100"/>
                <w:sz w:val="21"/>
              </w:rPr>
              <w:t> </w:t>
            </w:r>
          </w:p>
        </w:tc>
      </w:tr>
      <w:tr>
        <w:trPr>
          <w:trHeight w:val="637" w:hRule="atLeast"/>
        </w:trPr>
        <w:tc>
          <w:tcPr>
            <w:tcW w:w="858" w:type="dxa"/>
          </w:tcPr>
          <w:p>
            <w:pPr>
              <w:pStyle w:val="TableParagraph"/>
              <w:ind w:left="200"/>
              <w:rPr>
                <w:b/>
                <w:sz w:val="21"/>
              </w:rPr>
            </w:pPr>
            <w:r>
              <w:rPr>
                <w:b/>
                <w:sz w:val="21"/>
              </w:rPr>
              <w:t>1.1 </w:t>
            </w:r>
          </w:p>
        </w:tc>
        <w:tc>
          <w:tcPr>
            <w:tcW w:w="1893" w:type="dxa"/>
          </w:tcPr>
          <w:p>
            <w:pPr>
              <w:pStyle w:val="TableParagraph"/>
              <w:ind w:left="194"/>
              <w:rPr>
                <w:b/>
                <w:sz w:val="21"/>
              </w:rPr>
            </w:pPr>
            <w:bookmarkStart w:name="_bookmark0" w:id="1"/>
            <w:bookmarkEnd w:id="1"/>
            <w:r>
              <w:rPr/>
            </w:r>
            <w:r>
              <w:rPr>
                <w:b/>
                <w:sz w:val="21"/>
              </w:rPr>
              <w:t>基本保险金额</w:t>
            </w:r>
            <w:r>
              <w:rPr>
                <w:b/>
                <w:w w:val="99"/>
                <w:sz w:val="21"/>
              </w:rPr>
              <w:t> </w:t>
            </w:r>
          </w:p>
        </w:tc>
        <w:tc>
          <w:tcPr>
            <w:tcW w:w="6685" w:type="dxa"/>
          </w:tcPr>
          <w:p>
            <w:pPr>
              <w:pStyle w:val="TableParagraph"/>
              <w:spacing w:line="273" w:lineRule="auto"/>
              <w:ind w:right="-15"/>
              <w:rPr>
                <w:sz w:val="21"/>
              </w:rPr>
            </w:pPr>
            <w:r>
              <w:rPr>
                <w:spacing w:val="0"/>
                <w:sz w:val="21"/>
              </w:rPr>
              <w:t>本附加合同的基本保险金额由您与我们约定，并在保险单或批注单上载</w:t>
            </w:r>
            <w:r>
              <w:rPr>
                <w:spacing w:val="-3"/>
                <w:sz w:val="21"/>
              </w:rPr>
              <w:t>明。若该金额发生变更，则以变更后的金额为基本保险金额。 </w:t>
            </w:r>
          </w:p>
        </w:tc>
      </w:tr>
      <w:tr>
        <w:trPr>
          <w:trHeight w:val="315" w:hRule="atLeast"/>
        </w:trPr>
        <w:tc>
          <w:tcPr>
            <w:tcW w:w="858" w:type="dxa"/>
          </w:tcPr>
          <w:p>
            <w:pPr>
              <w:pStyle w:val="TableParagraph"/>
              <w:spacing w:line="262" w:lineRule="exact"/>
              <w:ind w:left="200"/>
              <w:rPr>
                <w:b/>
                <w:sz w:val="21"/>
              </w:rPr>
            </w:pPr>
            <w:r>
              <w:rPr>
                <w:b/>
                <w:w w:val="99"/>
                <w:sz w:val="21"/>
              </w:rPr>
              <w:t> </w:t>
            </w:r>
          </w:p>
        </w:tc>
        <w:tc>
          <w:tcPr>
            <w:tcW w:w="1893" w:type="dxa"/>
          </w:tcPr>
          <w:p>
            <w:pPr>
              <w:pStyle w:val="TableParagraph"/>
              <w:spacing w:line="262" w:lineRule="exact"/>
              <w:ind w:left="194"/>
              <w:rPr>
                <w:b/>
                <w:sz w:val="21"/>
              </w:rPr>
            </w:pPr>
            <w:r>
              <w:rPr>
                <w:b/>
                <w:w w:val="99"/>
                <w:sz w:val="21"/>
              </w:rPr>
              <w:t> </w:t>
            </w:r>
          </w:p>
        </w:tc>
        <w:tc>
          <w:tcPr>
            <w:tcW w:w="6685" w:type="dxa"/>
          </w:tcPr>
          <w:p>
            <w:pPr>
              <w:pStyle w:val="TableParagraph"/>
              <w:rPr>
                <w:rFonts w:ascii="Times New Roman"/>
                <w:sz w:val="18"/>
              </w:rPr>
            </w:pPr>
          </w:p>
        </w:tc>
      </w:tr>
      <w:tr>
        <w:trPr>
          <w:trHeight w:val="364" w:hRule="atLeast"/>
        </w:trPr>
        <w:tc>
          <w:tcPr>
            <w:tcW w:w="858" w:type="dxa"/>
          </w:tcPr>
          <w:p>
            <w:pPr>
              <w:pStyle w:val="TableParagraph"/>
              <w:spacing w:before="12"/>
              <w:ind w:left="200"/>
              <w:rPr>
                <w:b/>
                <w:sz w:val="21"/>
              </w:rPr>
            </w:pPr>
            <w:r>
              <w:rPr>
                <w:b/>
                <w:sz w:val="21"/>
              </w:rPr>
              <w:t>1.2 </w:t>
            </w:r>
          </w:p>
        </w:tc>
        <w:tc>
          <w:tcPr>
            <w:tcW w:w="1893" w:type="dxa"/>
          </w:tcPr>
          <w:p>
            <w:pPr>
              <w:pStyle w:val="TableParagraph"/>
              <w:spacing w:before="12"/>
              <w:ind w:left="194"/>
              <w:rPr>
                <w:b/>
                <w:sz w:val="21"/>
              </w:rPr>
            </w:pPr>
            <w:bookmarkStart w:name="_bookmark1" w:id="2"/>
            <w:bookmarkEnd w:id="2"/>
            <w:r>
              <w:rPr/>
            </w:r>
            <w:r>
              <w:rPr>
                <w:b/>
                <w:sz w:val="21"/>
              </w:rPr>
              <w:t>保险责任</w:t>
            </w:r>
            <w:r>
              <w:rPr>
                <w:b/>
                <w:w w:val="99"/>
                <w:sz w:val="21"/>
              </w:rPr>
              <w:t> </w:t>
            </w:r>
          </w:p>
        </w:tc>
        <w:tc>
          <w:tcPr>
            <w:tcW w:w="6685" w:type="dxa"/>
          </w:tcPr>
          <w:p>
            <w:pPr>
              <w:pStyle w:val="TableParagraph"/>
              <w:spacing w:line="265" w:lineRule="exact"/>
              <w:rPr>
                <w:sz w:val="21"/>
              </w:rPr>
            </w:pPr>
            <w:r>
              <w:rPr>
                <w:sz w:val="21"/>
              </w:rPr>
              <w:t>在本附加合同</w:t>
            </w:r>
            <w:r>
              <w:rPr>
                <w:sz w:val="20"/>
              </w:rPr>
              <w:t>保险期间</w:t>
            </w:r>
            <w:r>
              <w:rPr>
                <w:sz w:val="21"/>
              </w:rPr>
              <w:t>内，我们承担如下保险责任：</w:t>
            </w:r>
          </w:p>
        </w:tc>
      </w:tr>
      <w:tr>
        <w:trPr>
          <w:trHeight w:val="271" w:hRule="atLeast"/>
        </w:trPr>
        <w:tc>
          <w:tcPr>
            <w:tcW w:w="858" w:type="dxa"/>
          </w:tcPr>
          <w:p>
            <w:pPr>
              <w:pStyle w:val="TableParagraph"/>
              <w:spacing w:before="47"/>
              <w:ind w:left="200"/>
              <w:rPr>
                <w:b/>
                <w:sz w:val="10"/>
              </w:rPr>
            </w:pPr>
            <w:r>
              <w:rPr>
                <w:b/>
                <w:w w:val="100"/>
                <w:sz w:val="10"/>
              </w:rPr>
              <w:t> </w:t>
            </w:r>
          </w:p>
        </w:tc>
        <w:tc>
          <w:tcPr>
            <w:tcW w:w="1893" w:type="dxa"/>
          </w:tcPr>
          <w:p>
            <w:pPr>
              <w:pStyle w:val="TableParagraph"/>
              <w:spacing w:before="47"/>
              <w:ind w:left="194"/>
              <w:rPr>
                <w:b/>
                <w:sz w:val="10"/>
              </w:rPr>
            </w:pPr>
            <w:r>
              <w:rPr>
                <w:b/>
                <w:w w:val="100"/>
                <w:sz w:val="10"/>
              </w:rPr>
              <w:t> </w:t>
            </w:r>
          </w:p>
        </w:tc>
        <w:tc>
          <w:tcPr>
            <w:tcW w:w="6685" w:type="dxa"/>
          </w:tcPr>
          <w:p>
            <w:pPr>
              <w:pStyle w:val="TableParagraph"/>
              <w:rPr>
                <w:rFonts w:ascii="Times New Roman"/>
                <w:sz w:val="18"/>
              </w:rPr>
            </w:pPr>
          </w:p>
        </w:tc>
      </w:tr>
      <w:tr>
        <w:trPr>
          <w:trHeight w:val="353" w:hRule="atLeast"/>
        </w:trPr>
        <w:tc>
          <w:tcPr>
            <w:tcW w:w="858" w:type="dxa"/>
          </w:tcPr>
          <w:p>
            <w:pPr>
              <w:pStyle w:val="TableParagraph"/>
              <w:spacing w:before="29"/>
              <w:ind w:left="200"/>
              <w:rPr>
                <w:b/>
                <w:sz w:val="21"/>
              </w:rPr>
            </w:pPr>
            <w:r>
              <w:rPr>
                <w:b/>
                <w:w w:val="99"/>
                <w:sz w:val="21"/>
              </w:rPr>
              <w:t> </w:t>
            </w:r>
          </w:p>
        </w:tc>
        <w:tc>
          <w:tcPr>
            <w:tcW w:w="1893" w:type="dxa"/>
          </w:tcPr>
          <w:p>
            <w:pPr>
              <w:pStyle w:val="TableParagraph"/>
              <w:spacing w:before="29"/>
              <w:ind w:left="194"/>
              <w:rPr>
                <w:b/>
                <w:sz w:val="21"/>
              </w:rPr>
            </w:pPr>
            <w:r>
              <w:rPr>
                <w:b/>
                <w:sz w:val="21"/>
              </w:rPr>
              <w:t>等待期</w:t>
            </w:r>
            <w:r>
              <w:rPr>
                <w:b/>
                <w:w w:val="99"/>
                <w:sz w:val="21"/>
              </w:rPr>
              <w:t> </w:t>
            </w:r>
          </w:p>
        </w:tc>
        <w:tc>
          <w:tcPr>
            <w:tcW w:w="6685" w:type="dxa"/>
            <w:vMerge w:val="restart"/>
          </w:tcPr>
          <w:p>
            <w:pPr>
              <w:pStyle w:val="TableParagraph"/>
              <w:spacing w:line="273" w:lineRule="auto" w:before="29"/>
              <w:ind w:right="-15"/>
              <w:jc w:val="both"/>
              <w:rPr>
                <w:sz w:val="21"/>
              </w:rPr>
            </w:pPr>
            <w:r>
              <w:rPr>
                <w:rFonts w:ascii="黑体" w:eastAsia="黑体" w:hint="eastAsia"/>
                <w:spacing w:val="-2"/>
                <w:sz w:val="21"/>
                <w:shd w:fill="D9D9D9" w:color="auto" w:val="clear"/>
              </w:rPr>
              <w:t>从本附加合同</w:t>
            </w:r>
            <w:r>
              <w:rPr>
                <w:rFonts w:ascii="黑体" w:eastAsia="黑体" w:hint="eastAsia"/>
                <w:sz w:val="21"/>
                <w:shd w:fill="D9D9D9" w:color="auto" w:val="clear"/>
              </w:rPr>
              <w:t>Th效</w:t>
            </w:r>
            <w:r>
              <w:rPr>
                <w:rFonts w:ascii="黑体" w:eastAsia="黑体" w:hint="eastAsia"/>
                <w:spacing w:val="-3"/>
                <w:sz w:val="21"/>
                <w:shd w:fill="D9D9D9" w:color="auto" w:val="clear"/>
              </w:rPr>
              <w:t>（或最后复效</w:t>
            </w:r>
            <w:r>
              <w:rPr>
                <w:rFonts w:ascii="黑体" w:eastAsia="黑体" w:hint="eastAsia"/>
                <w:sz w:val="21"/>
                <w:shd w:fill="D9D9D9" w:color="auto" w:val="clear"/>
              </w:rPr>
              <w:t>）</w:t>
            </w:r>
            <w:r>
              <w:rPr>
                <w:rFonts w:ascii="黑体" w:eastAsia="黑体" w:hint="eastAsia"/>
                <w:spacing w:val="-3"/>
                <w:sz w:val="21"/>
                <w:shd w:fill="D9D9D9" w:color="auto" w:val="clear"/>
              </w:rPr>
              <w:t>之日起 </w:t>
            </w:r>
            <w:r>
              <w:rPr>
                <w:rFonts w:ascii="黑体" w:eastAsia="黑体" w:hint="eastAsia"/>
                <w:sz w:val="21"/>
                <w:shd w:fill="D9D9D9" w:color="auto" w:val="clear"/>
              </w:rPr>
              <w:t>90</w:t>
            </w:r>
            <w:r>
              <w:rPr>
                <w:rFonts w:ascii="黑体" w:eastAsia="黑体" w:hint="eastAsia"/>
                <w:spacing w:val="-3"/>
                <w:sz w:val="21"/>
                <w:shd w:fill="D9D9D9" w:color="auto" w:val="clear"/>
              </w:rPr>
              <w:t> 日内，被保险人首次发病并</w:t>
            </w:r>
            <w:r>
              <w:rPr>
                <w:rFonts w:ascii="黑体" w:eastAsia="黑体" w:hint="eastAsia"/>
                <w:spacing w:val="-3"/>
                <w:sz w:val="21"/>
              </w:rPr>
              <w:t>经</w:t>
            </w:r>
            <w:r>
              <w:rPr>
                <w:rFonts w:ascii="黑体" w:eastAsia="黑体" w:hint="eastAsia"/>
                <w:b/>
                <w:spacing w:val="-3"/>
                <w:sz w:val="21"/>
              </w:rPr>
              <w:t>医院</w:t>
            </w:r>
            <w:r>
              <w:rPr>
                <w:rFonts w:ascii="黑体" w:eastAsia="黑体" w:hint="eastAsia"/>
                <w:b/>
                <w:spacing w:val="-3"/>
                <w:position w:val="11"/>
                <w:sz w:val="11"/>
              </w:rPr>
              <w:t>1</w:t>
            </w:r>
            <w:r>
              <w:rPr>
                <w:rFonts w:ascii="黑体" w:eastAsia="黑体" w:hint="eastAsia"/>
                <w:spacing w:val="-3"/>
                <w:sz w:val="21"/>
              </w:rPr>
              <w:t>确诊为本附加合同约定的</w:t>
            </w:r>
            <w:r>
              <w:rPr>
                <w:rFonts w:ascii="黑体" w:eastAsia="黑体" w:hint="eastAsia"/>
                <w:b/>
                <w:spacing w:val="-3"/>
                <w:sz w:val="21"/>
              </w:rPr>
              <w:t>重大疾病</w:t>
            </w:r>
            <w:r>
              <w:rPr>
                <w:rFonts w:ascii="黑体" w:eastAsia="黑体" w:hint="eastAsia"/>
                <w:b/>
                <w:spacing w:val="-3"/>
                <w:position w:val="11"/>
                <w:sz w:val="11"/>
              </w:rPr>
              <w:t>2</w:t>
            </w:r>
            <w:r>
              <w:rPr>
                <w:rFonts w:ascii="黑体" w:eastAsia="黑体" w:hint="eastAsia"/>
                <w:spacing w:val="-3"/>
                <w:sz w:val="21"/>
              </w:rPr>
              <w:t>，我们不承担给付保险金的责</w:t>
            </w:r>
            <w:r>
              <w:rPr>
                <w:rFonts w:ascii="黑体" w:eastAsia="黑体" w:hint="eastAsia"/>
                <w:spacing w:val="-7"/>
                <w:sz w:val="21"/>
                <w:shd w:fill="D9D9D9" w:color="auto" w:val="clear"/>
              </w:rPr>
              <w:t>任，将无息退还本附加合同及主合同已交的保险费，本附加合同及主合同</w:t>
            </w:r>
            <w:r>
              <w:rPr>
                <w:rFonts w:ascii="黑体" w:eastAsia="黑体" w:hint="eastAsia"/>
                <w:spacing w:val="-10"/>
                <w:sz w:val="21"/>
                <w:shd w:fill="D9D9D9" w:color="auto" w:val="clear"/>
              </w:rPr>
              <w:t>效力终止。这 </w:t>
            </w:r>
            <w:r>
              <w:rPr>
                <w:rFonts w:ascii="黑体" w:eastAsia="黑体" w:hint="eastAsia"/>
                <w:sz w:val="21"/>
                <w:shd w:fill="D9D9D9" w:color="auto" w:val="clear"/>
              </w:rPr>
              <w:t>90</w:t>
            </w:r>
            <w:r>
              <w:rPr>
                <w:rFonts w:ascii="黑体" w:eastAsia="黑体" w:hint="eastAsia"/>
                <w:spacing w:val="-7"/>
                <w:sz w:val="21"/>
                <w:shd w:fill="D9D9D9" w:color="auto" w:val="clear"/>
              </w:rPr>
              <w:t> 日的时间称为等待期；</w:t>
            </w:r>
            <w:r>
              <w:rPr>
                <w:spacing w:val="-3"/>
                <w:sz w:val="21"/>
              </w:rPr>
              <w:t>被保险人因</w:t>
            </w:r>
            <w:r>
              <w:rPr>
                <w:b/>
                <w:sz w:val="21"/>
              </w:rPr>
              <w:t>意外伤害</w:t>
            </w:r>
            <w:r>
              <w:rPr>
                <w:b/>
                <w:position w:val="11"/>
                <w:sz w:val="11"/>
              </w:rPr>
              <w:t>3</w:t>
            </w:r>
            <w:r>
              <w:rPr>
                <w:spacing w:val="-2"/>
                <w:sz w:val="21"/>
              </w:rPr>
              <w:t>发生上述情</w:t>
            </w:r>
            <w:r>
              <w:rPr>
                <w:spacing w:val="-3"/>
                <w:sz w:val="21"/>
              </w:rPr>
              <w:t>形的，无等待期。</w:t>
            </w:r>
            <w:r>
              <w:rPr>
                <w:sz w:val="21"/>
              </w:rPr>
              <w:t> </w:t>
            </w:r>
          </w:p>
        </w:tc>
      </w:tr>
      <w:tr>
        <w:trPr>
          <w:trHeight w:val="312" w:hRule="atLeast"/>
        </w:trPr>
        <w:tc>
          <w:tcPr>
            <w:tcW w:w="858" w:type="dxa"/>
          </w:tcPr>
          <w:p>
            <w:pPr>
              <w:pStyle w:val="TableParagraph"/>
              <w:rPr>
                <w:rFonts w:ascii="Times New Roman"/>
                <w:sz w:val="18"/>
              </w:rPr>
            </w:pPr>
          </w:p>
        </w:tc>
        <w:tc>
          <w:tcPr>
            <w:tcW w:w="1893" w:type="dxa"/>
          </w:tcPr>
          <w:p>
            <w:pPr>
              <w:pStyle w:val="TableParagraph"/>
              <w:rPr>
                <w:rFonts w:ascii="Times New Roman"/>
                <w:sz w:val="18"/>
              </w:rPr>
            </w:pPr>
          </w:p>
        </w:tc>
        <w:tc>
          <w:tcPr>
            <w:tcW w:w="6685" w:type="dxa"/>
            <w:vMerge/>
            <w:tcBorders>
              <w:top w:val="nil"/>
            </w:tcBorders>
          </w:tcPr>
          <w:p>
            <w:pPr>
              <w:rPr>
                <w:sz w:val="2"/>
                <w:szCs w:val="2"/>
              </w:rPr>
            </w:pPr>
          </w:p>
        </w:tc>
      </w:tr>
      <w:tr>
        <w:trPr>
          <w:trHeight w:val="1262" w:hRule="atLeast"/>
        </w:trPr>
        <w:tc>
          <w:tcPr>
            <w:tcW w:w="858" w:type="dxa"/>
          </w:tcPr>
          <w:p>
            <w:pPr>
              <w:pStyle w:val="TableParagraph"/>
              <w:rPr>
                <w:sz w:val="20"/>
              </w:rPr>
            </w:pPr>
          </w:p>
          <w:p>
            <w:pPr>
              <w:pStyle w:val="TableParagraph"/>
              <w:rPr>
                <w:sz w:val="20"/>
              </w:rPr>
            </w:pPr>
          </w:p>
          <w:p>
            <w:pPr>
              <w:pStyle w:val="TableParagraph"/>
              <w:rPr>
                <w:sz w:val="20"/>
              </w:rPr>
            </w:pPr>
          </w:p>
          <w:p>
            <w:pPr>
              <w:pStyle w:val="TableParagraph"/>
              <w:spacing w:before="138"/>
              <w:ind w:left="200"/>
              <w:rPr>
                <w:b/>
                <w:sz w:val="21"/>
              </w:rPr>
            </w:pPr>
            <w:r>
              <w:rPr>
                <w:b/>
                <w:w w:val="99"/>
                <w:sz w:val="21"/>
              </w:rPr>
              <w:t> </w:t>
            </w:r>
          </w:p>
        </w:tc>
        <w:tc>
          <w:tcPr>
            <w:tcW w:w="1893" w:type="dxa"/>
          </w:tcPr>
          <w:p>
            <w:pPr>
              <w:pStyle w:val="TableParagraph"/>
              <w:rPr>
                <w:sz w:val="20"/>
              </w:rPr>
            </w:pPr>
          </w:p>
          <w:p>
            <w:pPr>
              <w:pStyle w:val="TableParagraph"/>
              <w:rPr>
                <w:sz w:val="20"/>
              </w:rPr>
            </w:pPr>
          </w:p>
          <w:p>
            <w:pPr>
              <w:pStyle w:val="TableParagraph"/>
              <w:rPr>
                <w:sz w:val="20"/>
              </w:rPr>
            </w:pPr>
          </w:p>
          <w:p>
            <w:pPr>
              <w:pStyle w:val="TableParagraph"/>
              <w:spacing w:before="138"/>
              <w:ind w:left="194"/>
              <w:rPr>
                <w:b/>
                <w:sz w:val="21"/>
              </w:rPr>
            </w:pPr>
            <w:r>
              <w:rPr>
                <w:b/>
                <w:w w:val="99"/>
                <w:sz w:val="21"/>
              </w:rPr>
              <w:t> </w:t>
            </w:r>
          </w:p>
        </w:tc>
        <w:tc>
          <w:tcPr>
            <w:tcW w:w="6685" w:type="dxa"/>
            <w:vMerge/>
            <w:tcBorders>
              <w:top w:val="nil"/>
            </w:tcBorders>
          </w:tcPr>
          <w:p>
            <w:pPr>
              <w:rPr>
                <w:sz w:val="2"/>
                <w:szCs w:val="2"/>
              </w:rPr>
            </w:pPr>
          </w:p>
        </w:tc>
      </w:tr>
      <w:tr>
        <w:trPr>
          <w:trHeight w:val="637" w:hRule="atLeast"/>
        </w:trPr>
        <w:tc>
          <w:tcPr>
            <w:tcW w:w="858" w:type="dxa"/>
          </w:tcPr>
          <w:p>
            <w:pPr>
              <w:pStyle w:val="TableParagraph"/>
              <w:ind w:left="200"/>
              <w:rPr>
                <w:b/>
                <w:sz w:val="21"/>
              </w:rPr>
            </w:pPr>
            <w:r>
              <w:rPr>
                <w:b/>
                <w:w w:val="99"/>
                <w:sz w:val="21"/>
              </w:rPr>
              <w:t> </w:t>
            </w:r>
          </w:p>
        </w:tc>
        <w:tc>
          <w:tcPr>
            <w:tcW w:w="1893" w:type="dxa"/>
          </w:tcPr>
          <w:p>
            <w:pPr>
              <w:pStyle w:val="TableParagraph"/>
              <w:ind w:left="194"/>
              <w:rPr>
                <w:b/>
                <w:sz w:val="21"/>
              </w:rPr>
            </w:pPr>
            <w:r>
              <w:rPr>
                <w:b/>
                <w:w w:val="99"/>
                <w:sz w:val="21"/>
              </w:rPr>
              <w:t> </w:t>
            </w:r>
          </w:p>
        </w:tc>
        <w:tc>
          <w:tcPr>
            <w:tcW w:w="6685" w:type="dxa"/>
          </w:tcPr>
          <w:p>
            <w:pPr>
              <w:pStyle w:val="TableParagraph"/>
              <w:spacing w:line="273" w:lineRule="auto"/>
              <w:ind w:right="-15"/>
              <w:rPr>
                <w:sz w:val="21"/>
              </w:rPr>
            </w:pPr>
            <w:r>
              <w:rPr>
                <w:spacing w:val="-5"/>
                <w:sz w:val="21"/>
              </w:rPr>
              <w:t>被保险人因意外伤害或于等待期后发生保险事故，我们按照下列方式给付</w:t>
            </w:r>
            <w:r>
              <w:rPr>
                <w:spacing w:val="-2"/>
                <w:sz w:val="21"/>
              </w:rPr>
              <w:t>保险金：</w:t>
            </w:r>
            <w:r>
              <w:rPr>
                <w:sz w:val="21"/>
              </w:rPr>
              <w:t> </w:t>
            </w:r>
          </w:p>
        </w:tc>
      </w:tr>
      <w:tr>
        <w:trPr>
          <w:trHeight w:val="326" w:hRule="atLeast"/>
        </w:trPr>
        <w:tc>
          <w:tcPr>
            <w:tcW w:w="858" w:type="dxa"/>
          </w:tcPr>
          <w:p>
            <w:pPr>
              <w:pStyle w:val="TableParagraph"/>
              <w:spacing w:line="262" w:lineRule="exact"/>
              <w:ind w:left="200"/>
              <w:rPr>
                <w:sz w:val="21"/>
              </w:rPr>
            </w:pPr>
            <w:r>
              <w:rPr>
                <w:w w:val="100"/>
                <w:sz w:val="21"/>
              </w:rPr>
              <w:t> </w:t>
            </w:r>
          </w:p>
        </w:tc>
        <w:tc>
          <w:tcPr>
            <w:tcW w:w="1893" w:type="dxa"/>
          </w:tcPr>
          <w:p>
            <w:pPr>
              <w:pStyle w:val="TableParagraph"/>
              <w:spacing w:line="262" w:lineRule="exact"/>
              <w:ind w:left="194"/>
              <w:rPr>
                <w:sz w:val="21"/>
              </w:rPr>
            </w:pPr>
            <w:r>
              <w:rPr>
                <w:w w:val="100"/>
                <w:sz w:val="21"/>
              </w:rPr>
              <w:t> </w:t>
            </w:r>
          </w:p>
        </w:tc>
        <w:tc>
          <w:tcPr>
            <w:tcW w:w="6685" w:type="dxa"/>
          </w:tcPr>
          <w:p>
            <w:pPr>
              <w:pStyle w:val="TableParagraph"/>
              <w:spacing w:line="262" w:lineRule="exact"/>
              <w:rPr>
                <w:sz w:val="21"/>
              </w:rPr>
            </w:pPr>
            <w:r>
              <w:rPr>
                <w:w w:val="100"/>
                <w:sz w:val="21"/>
              </w:rPr>
              <w:t> </w:t>
            </w:r>
          </w:p>
        </w:tc>
      </w:tr>
      <w:tr>
        <w:trPr>
          <w:trHeight w:val="950" w:hRule="atLeast"/>
        </w:trPr>
        <w:tc>
          <w:tcPr>
            <w:tcW w:w="858" w:type="dxa"/>
          </w:tcPr>
          <w:p>
            <w:pPr>
              <w:pStyle w:val="TableParagraph"/>
              <w:spacing w:before="1"/>
              <w:ind w:left="200"/>
              <w:rPr>
                <w:b/>
                <w:sz w:val="21"/>
              </w:rPr>
            </w:pPr>
            <w:r>
              <w:rPr>
                <w:b/>
                <w:w w:val="99"/>
                <w:sz w:val="21"/>
              </w:rPr>
              <w:t> </w:t>
            </w:r>
          </w:p>
        </w:tc>
        <w:tc>
          <w:tcPr>
            <w:tcW w:w="1893" w:type="dxa"/>
          </w:tcPr>
          <w:p>
            <w:pPr>
              <w:pStyle w:val="TableParagraph"/>
              <w:spacing w:before="1"/>
              <w:ind w:left="194"/>
              <w:rPr>
                <w:b/>
                <w:sz w:val="21"/>
              </w:rPr>
            </w:pPr>
            <w:r>
              <w:rPr>
                <w:b/>
                <w:sz w:val="21"/>
              </w:rPr>
              <w:t>重大疾病保险金</w:t>
            </w:r>
            <w:r>
              <w:rPr>
                <w:b/>
                <w:w w:val="99"/>
                <w:sz w:val="21"/>
              </w:rPr>
              <w:t> </w:t>
            </w:r>
          </w:p>
        </w:tc>
        <w:tc>
          <w:tcPr>
            <w:tcW w:w="6685" w:type="dxa"/>
          </w:tcPr>
          <w:p>
            <w:pPr>
              <w:pStyle w:val="TableParagraph"/>
              <w:spacing w:line="273" w:lineRule="auto" w:before="1"/>
              <w:ind w:right="-15"/>
              <w:rPr>
                <w:sz w:val="21"/>
              </w:rPr>
            </w:pPr>
            <w:r>
              <w:rPr>
                <w:spacing w:val="-5"/>
                <w:sz w:val="21"/>
              </w:rPr>
              <w:t>被保险人首次发病并经医院确诊为本附加合同约定的重大疾病，我们按照</w:t>
            </w:r>
            <w:r>
              <w:rPr>
                <w:spacing w:val="-4"/>
                <w:sz w:val="21"/>
              </w:rPr>
              <w:t>确诊时的基本保险金额给付重大疾病保险金。</w:t>
            </w:r>
            <w:r>
              <w:rPr>
                <w:sz w:val="21"/>
              </w:rPr>
              <w:t> </w:t>
            </w:r>
          </w:p>
          <w:p>
            <w:pPr>
              <w:pStyle w:val="TableParagraph"/>
              <w:spacing w:before="7"/>
              <w:rPr>
                <w:sz w:val="21"/>
              </w:rPr>
            </w:pPr>
            <w:r>
              <w:rPr>
                <w:w w:val="100"/>
                <w:sz w:val="21"/>
              </w:rPr>
              <w:t> </w:t>
            </w:r>
          </w:p>
        </w:tc>
      </w:tr>
      <w:tr>
        <w:trPr>
          <w:trHeight w:val="1248" w:hRule="atLeast"/>
        </w:trPr>
        <w:tc>
          <w:tcPr>
            <w:tcW w:w="858" w:type="dxa"/>
          </w:tcPr>
          <w:p>
            <w:pPr>
              <w:pStyle w:val="TableParagraph"/>
              <w:spacing w:line="261" w:lineRule="exact"/>
              <w:ind w:left="200"/>
              <w:rPr>
                <w:b/>
                <w:sz w:val="21"/>
              </w:rPr>
            </w:pPr>
            <w:r>
              <w:rPr>
                <w:b/>
                <w:w w:val="99"/>
                <w:sz w:val="21"/>
              </w:rPr>
              <w:t> </w:t>
            </w:r>
          </w:p>
        </w:tc>
        <w:tc>
          <w:tcPr>
            <w:tcW w:w="1893" w:type="dxa"/>
          </w:tcPr>
          <w:p>
            <w:pPr>
              <w:pStyle w:val="TableParagraph"/>
              <w:spacing w:line="261" w:lineRule="exact"/>
              <w:ind w:left="194"/>
              <w:rPr>
                <w:b/>
                <w:sz w:val="21"/>
              </w:rPr>
            </w:pPr>
            <w:r>
              <w:rPr>
                <w:b/>
                <w:w w:val="99"/>
                <w:sz w:val="21"/>
              </w:rPr>
              <w:t> </w:t>
            </w:r>
          </w:p>
        </w:tc>
        <w:tc>
          <w:tcPr>
            <w:tcW w:w="6685" w:type="dxa"/>
          </w:tcPr>
          <w:p>
            <w:pPr>
              <w:pStyle w:val="TableParagraph"/>
              <w:spacing w:line="261" w:lineRule="exact"/>
              <w:ind w:right="-15"/>
              <w:rPr>
                <w:sz w:val="21"/>
              </w:rPr>
            </w:pPr>
            <w:r>
              <w:rPr>
                <w:spacing w:val="-6"/>
                <w:sz w:val="21"/>
              </w:rPr>
              <w:t>我们给付重大疾病保险金后，本附加合同效力终止，主合同的基本保险金</w:t>
            </w:r>
          </w:p>
          <w:p>
            <w:pPr>
              <w:pStyle w:val="TableParagraph"/>
              <w:spacing w:line="273" w:lineRule="auto" w:before="37"/>
              <w:ind w:right="-15"/>
              <w:jc w:val="both"/>
              <w:rPr>
                <w:sz w:val="21"/>
              </w:rPr>
            </w:pPr>
            <w:r>
              <w:rPr>
                <w:spacing w:val="-6"/>
                <w:sz w:val="21"/>
              </w:rPr>
              <w:t>额按已给付的重大疾病保险金等额减少；主合同约定的各项保险责任及保</w:t>
            </w:r>
            <w:r>
              <w:rPr>
                <w:spacing w:val="-4"/>
                <w:sz w:val="21"/>
              </w:rPr>
              <w:t>险单上载明的</w:t>
            </w:r>
            <w:r>
              <w:rPr>
                <w:b/>
                <w:spacing w:val="-1"/>
                <w:sz w:val="21"/>
              </w:rPr>
              <w:t>现金价值</w:t>
            </w:r>
            <w:r>
              <w:rPr>
                <w:b/>
                <w:position w:val="11"/>
                <w:sz w:val="11"/>
              </w:rPr>
              <w:t>4</w:t>
            </w:r>
            <w:r>
              <w:rPr>
                <w:spacing w:val="-10"/>
                <w:sz w:val="21"/>
              </w:rPr>
              <w:t>按减少后的基本保险金额确定。当主合同基本保险</w:t>
            </w:r>
            <w:r>
              <w:rPr>
                <w:spacing w:val="-5"/>
                <w:sz w:val="21"/>
              </w:rPr>
              <w:t>金额减少至零时，主合同效力终止。</w:t>
            </w:r>
            <w:r>
              <w:rPr>
                <w:sz w:val="21"/>
              </w:rPr>
              <w:t> </w:t>
            </w:r>
          </w:p>
        </w:tc>
      </w:tr>
      <w:tr>
        <w:trPr>
          <w:trHeight w:val="326" w:hRule="atLeast"/>
        </w:trPr>
        <w:tc>
          <w:tcPr>
            <w:tcW w:w="858" w:type="dxa"/>
          </w:tcPr>
          <w:p>
            <w:pPr>
              <w:pStyle w:val="TableParagraph"/>
              <w:spacing w:line="261" w:lineRule="exact"/>
              <w:ind w:left="200"/>
              <w:rPr>
                <w:b/>
                <w:sz w:val="21"/>
              </w:rPr>
            </w:pPr>
            <w:r>
              <w:rPr>
                <w:b/>
                <w:w w:val="99"/>
                <w:sz w:val="21"/>
              </w:rPr>
              <w:t> </w:t>
            </w:r>
          </w:p>
        </w:tc>
        <w:tc>
          <w:tcPr>
            <w:tcW w:w="1893" w:type="dxa"/>
          </w:tcPr>
          <w:p>
            <w:pPr>
              <w:pStyle w:val="TableParagraph"/>
              <w:spacing w:line="261" w:lineRule="exact"/>
              <w:ind w:left="194"/>
              <w:rPr>
                <w:b/>
                <w:sz w:val="21"/>
              </w:rPr>
            </w:pPr>
            <w:r>
              <w:rPr>
                <w:b/>
                <w:w w:val="99"/>
                <w:sz w:val="21"/>
              </w:rPr>
              <w:t> </w:t>
            </w:r>
          </w:p>
        </w:tc>
        <w:tc>
          <w:tcPr>
            <w:tcW w:w="6685" w:type="dxa"/>
          </w:tcPr>
          <w:p>
            <w:pPr>
              <w:pStyle w:val="TableParagraph"/>
              <w:spacing w:line="261" w:lineRule="exact"/>
              <w:rPr>
                <w:sz w:val="21"/>
              </w:rPr>
            </w:pPr>
            <w:r>
              <w:rPr>
                <w:w w:val="100"/>
                <w:sz w:val="21"/>
              </w:rPr>
              <w:t> </w:t>
            </w:r>
          </w:p>
        </w:tc>
      </w:tr>
      <w:tr>
        <w:trPr>
          <w:trHeight w:val="638" w:hRule="atLeast"/>
        </w:trPr>
        <w:tc>
          <w:tcPr>
            <w:tcW w:w="858" w:type="dxa"/>
          </w:tcPr>
          <w:p>
            <w:pPr>
              <w:pStyle w:val="TableParagraph"/>
              <w:spacing w:before="1"/>
              <w:ind w:left="200"/>
              <w:rPr>
                <w:b/>
                <w:sz w:val="21"/>
              </w:rPr>
            </w:pPr>
            <w:r>
              <w:rPr>
                <w:b/>
                <w:w w:val="99"/>
                <w:sz w:val="21"/>
              </w:rPr>
              <w:t> </w:t>
            </w:r>
          </w:p>
        </w:tc>
        <w:tc>
          <w:tcPr>
            <w:tcW w:w="1893" w:type="dxa"/>
          </w:tcPr>
          <w:p>
            <w:pPr>
              <w:pStyle w:val="TableParagraph"/>
              <w:spacing w:line="273" w:lineRule="auto" w:before="1"/>
              <w:ind w:left="194" w:right="209"/>
              <w:rPr>
                <w:b/>
                <w:sz w:val="21"/>
              </w:rPr>
            </w:pPr>
            <w:r>
              <w:rPr>
                <w:b/>
                <w:sz w:val="21"/>
              </w:rPr>
              <w:t>我们所保障的重大疾病</w:t>
            </w:r>
            <w:r>
              <w:rPr>
                <w:b/>
                <w:w w:val="99"/>
                <w:sz w:val="21"/>
              </w:rPr>
              <w:t> </w:t>
            </w:r>
          </w:p>
        </w:tc>
        <w:tc>
          <w:tcPr>
            <w:tcW w:w="6685" w:type="dxa"/>
          </w:tcPr>
          <w:p>
            <w:pPr>
              <w:pStyle w:val="TableParagraph"/>
              <w:spacing w:line="273" w:lineRule="auto" w:before="1"/>
              <w:ind w:right="61"/>
              <w:rPr>
                <w:sz w:val="21"/>
              </w:rPr>
            </w:pPr>
            <w:r>
              <w:rPr>
                <w:spacing w:val="-6"/>
                <w:sz w:val="21"/>
              </w:rPr>
              <w:t>我们提供保障的重大疾病共有 </w:t>
            </w:r>
            <w:r>
              <w:rPr>
                <w:sz w:val="21"/>
              </w:rPr>
              <w:t>25</w:t>
            </w:r>
            <w:r>
              <w:rPr>
                <w:spacing w:val="-9"/>
                <w:sz w:val="21"/>
              </w:rPr>
              <w:t> 种，名称如下，具体释义见“</w:t>
            </w:r>
            <w:r>
              <w:rPr>
                <w:sz w:val="21"/>
              </w:rPr>
              <w:t>7</w:t>
            </w:r>
            <w:r>
              <w:rPr>
                <w:spacing w:val="1"/>
                <w:sz w:val="21"/>
              </w:rPr>
              <w:t> 重大疾</w:t>
            </w:r>
            <w:r>
              <w:rPr>
                <w:spacing w:val="-23"/>
                <w:sz w:val="21"/>
              </w:rPr>
              <w:t>病释义”。 </w:t>
            </w:r>
          </w:p>
        </w:tc>
      </w:tr>
      <w:tr>
        <w:trPr>
          <w:trHeight w:val="261" w:hRule="atLeast"/>
        </w:trPr>
        <w:tc>
          <w:tcPr>
            <w:tcW w:w="858" w:type="dxa"/>
          </w:tcPr>
          <w:p>
            <w:pPr>
              <w:pStyle w:val="TableParagraph"/>
              <w:spacing w:line="242" w:lineRule="exact"/>
              <w:ind w:left="200"/>
              <w:rPr>
                <w:b/>
                <w:sz w:val="21"/>
              </w:rPr>
            </w:pPr>
            <w:r>
              <w:rPr>
                <w:b/>
                <w:w w:val="99"/>
                <w:sz w:val="21"/>
              </w:rPr>
              <w:t> </w:t>
            </w:r>
          </w:p>
        </w:tc>
        <w:tc>
          <w:tcPr>
            <w:tcW w:w="1893" w:type="dxa"/>
          </w:tcPr>
          <w:p>
            <w:pPr>
              <w:pStyle w:val="TableParagraph"/>
              <w:spacing w:line="242" w:lineRule="exact"/>
              <w:ind w:left="194"/>
              <w:rPr>
                <w:b/>
                <w:sz w:val="21"/>
              </w:rPr>
            </w:pPr>
            <w:r>
              <w:rPr>
                <w:b/>
                <w:w w:val="99"/>
                <w:sz w:val="21"/>
              </w:rPr>
              <w:t> </w:t>
            </w:r>
          </w:p>
        </w:tc>
        <w:tc>
          <w:tcPr>
            <w:tcW w:w="6685" w:type="dxa"/>
          </w:tcPr>
          <w:p>
            <w:pPr>
              <w:pStyle w:val="TableParagraph"/>
              <w:spacing w:line="242" w:lineRule="exact"/>
              <w:rPr>
                <w:sz w:val="21"/>
              </w:rPr>
            </w:pPr>
            <w:r>
              <w:rPr>
                <w:w w:val="100"/>
                <w:sz w:val="21"/>
              </w:rPr>
              <w:t> </w:t>
            </w:r>
          </w:p>
        </w:tc>
      </w:tr>
    </w:tbl>
    <w:p>
      <w:pPr>
        <w:pStyle w:val="BodyText"/>
        <w:spacing w:before="6"/>
        <w:rPr>
          <w:sz w:val="21"/>
        </w:rPr>
      </w:pPr>
      <w:r>
        <w:rPr/>
        <w:pict>
          <v:line style="position:absolute;mso-position-horizontal-relative:page;mso-position-vertical-relative:paragraph;z-index:2176;mso-wrap-distance-left:0;mso-wrap-distance-right:0" from="54pt,16.275009pt" to="198.05pt,16.275009pt" stroked="true" strokeweight=".47998pt" strokecolor="#000000">
            <v:stroke dashstyle="solid"/>
            <w10:wrap type="topAndBottom"/>
          </v:line>
        </w:pict>
      </w:r>
    </w:p>
    <w:p>
      <w:pPr>
        <w:pStyle w:val="BodyText"/>
        <w:spacing w:before="91"/>
        <w:ind w:left="266" w:right="81"/>
        <w:jc w:val="center"/>
        <w:rPr>
          <w:rFonts w:ascii="黑体" w:eastAsia="黑体" w:hint="eastAsia"/>
        </w:rPr>
      </w:pPr>
      <w:r>
        <w:rPr>
          <w:rFonts w:ascii="Times New Roman" w:eastAsia="Times New Roman"/>
          <w:position w:val="6"/>
          <w:sz w:val="12"/>
        </w:rPr>
        <w:t>1</w:t>
      </w:r>
      <w:r>
        <w:rPr>
          <w:rFonts w:ascii="Times New Roman" w:eastAsia="Times New Roman"/>
          <w:sz w:val="12"/>
        </w:rPr>
        <w:t>    </w:t>
      </w:r>
      <w:r>
        <w:rPr>
          <w:b/>
        </w:rPr>
        <w:t>医院</w:t>
      </w:r>
      <w:r>
        <w:rPr/>
        <w:t>指经中华人民共和国卫生部门评审确定的二级或二级以上的公立医院，</w:t>
      </w:r>
      <w:r>
        <w:rPr>
          <w:rFonts w:ascii="黑体" w:eastAsia="黑体" w:hint="eastAsia"/>
          <w:shd w:fill="D9D9D9" w:color="auto" w:val="clear"/>
        </w:rPr>
        <w:t>但不包括精神病院及专供康复、休养、戒毒、</w:t>
      </w:r>
    </w:p>
    <w:p>
      <w:pPr>
        <w:pStyle w:val="BodyText"/>
        <w:spacing w:line="304" w:lineRule="auto" w:before="63"/>
        <w:ind w:left="463" w:right="202"/>
      </w:pPr>
      <w:r>
        <w:rPr>
          <w:rFonts w:ascii="黑体" w:eastAsia="黑体" w:hint="eastAsia"/>
          <w:spacing w:val="-7"/>
          <w:shd w:fill="D9D9D9" w:color="auto" w:val="clear"/>
        </w:rPr>
        <w:t>戒酒、护理、养老等非以直接诊治病人为目的的医疗机构。</w:t>
      </w:r>
      <w:r>
        <w:rPr/>
        <w:t>该医院必须具有符合国家有关医院管理规则设置标准的医疗设备，且全天二十四小时有合格医师及护士驻院提供医疗及护理服务。 </w:t>
      </w:r>
    </w:p>
    <w:p>
      <w:pPr>
        <w:pStyle w:val="BodyText"/>
        <w:spacing w:line="304" w:lineRule="auto" w:before="15"/>
        <w:ind w:left="463" w:right="158" w:hanging="164"/>
        <w:jc w:val="both"/>
      </w:pPr>
      <w:r>
        <w:rPr>
          <w:rFonts w:ascii="Times New Roman" w:hAnsi="Times New Roman" w:eastAsia="Times New Roman"/>
          <w:position w:val="6"/>
          <w:sz w:val="12"/>
        </w:rPr>
        <w:t>2</w:t>
      </w:r>
      <w:r>
        <w:rPr>
          <w:rFonts w:ascii="Times New Roman" w:hAnsi="Times New Roman" w:eastAsia="Times New Roman"/>
          <w:sz w:val="12"/>
        </w:rPr>
        <w:t> </w:t>
      </w:r>
      <w:r>
        <w:rPr>
          <w:b/>
        </w:rPr>
        <w:t>重大疾病</w:t>
      </w:r>
      <w:r>
        <w:rPr>
          <w:spacing w:val="-1"/>
        </w:rPr>
        <w:t>指被保险人初次发生符合</w:t>
      </w:r>
      <w:r>
        <w:rPr/>
        <w:t>“7</w:t>
      </w:r>
      <w:r>
        <w:rPr>
          <w:spacing w:val="-4"/>
        </w:rPr>
        <w:t> 重大疾病释义”定义的疾病，或初次接受符合</w:t>
      </w:r>
      <w:r>
        <w:rPr/>
        <w:t>“7</w:t>
      </w:r>
      <w:r>
        <w:rPr>
          <w:spacing w:val="-4"/>
        </w:rPr>
        <w:t> 重大疾病释义”定义的手术。该</w:t>
      </w:r>
      <w:r>
        <w:rPr>
          <w:spacing w:val="-5"/>
        </w:rPr>
        <w:t>疾病或手术应当由专科医生明确诊断。专科医生应当同时满足以下四项资格条件</w:t>
      </w:r>
      <w:r>
        <w:rPr>
          <w:spacing w:val="-101"/>
        </w:rPr>
        <w:t>：</w:t>
      </w:r>
      <w:r>
        <w:rPr>
          <w:spacing w:val="0"/>
        </w:rPr>
        <w:t>（1</w:t>
      </w:r>
      <w:r>
        <w:rPr>
          <w:spacing w:val="-10"/>
        </w:rPr>
        <w:t>）</w:t>
      </w:r>
      <w:r>
        <w:rPr>
          <w:spacing w:val="-2"/>
        </w:rPr>
        <w:t>具有有效的中华人民共和国《医师</w:t>
      </w:r>
      <w:r>
        <w:rPr>
          <w:spacing w:val="-34"/>
        </w:rPr>
        <w:t>资格证书》；</w:t>
      </w:r>
      <w:r>
        <w:rPr/>
        <w:t>（</w:t>
      </w:r>
      <w:r>
        <w:rPr>
          <w:spacing w:val="0"/>
        </w:rPr>
        <w:t>2</w:t>
      </w:r>
      <w:r>
        <w:rPr>
          <w:spacing w:val="-8"/>
        </w:rPr>
        <w:t>）</w:t>
      </w:r>
      <w:r>
        <w:rPr>
          <w:spacing w:val="-10"/>
        </w:rPr>
        <w:t>具有有效的中华人民共和国《医师执业证书》，并按期到相关部门登记注册；</w:t>
      </w:r>
      <w:r>
        <w:rPr>
          <w:spacing w:val="0"/>
        </w:rPr>
        <w:t>（3</w:t>
      </w:r>
      <w:r>
        <w:rPr>
          <w:spacing w:val="-8"/>
        </w:rPr>
        <w:t>）</w:t>
      </w:r>
      <w:r>
        <w:rPr>
          <w:spacing w:val="-1"/>
        </w:rPr>
        <w:t>具有有效的中华人民共</w:t>
      </w:r>
      <w:r>
        <w:rPr>
          <w:spacing w:val="-9"/>
        </w:rPr>
        <w:t>和国主治医师或主治医师以上职称的《医师职称证书》；</w:t>
      </w:r>
      <w:r>
        <w:rPr>
          <w:spacing w:val="0"/>
        </w:rPr>
        <w:t>（4</w:t>
      </w:r>
      <w:r>
        <w:rPr>
          <w:spacing w:val="1"/>
        </w:rPr>
        <w:t>）</w:t>
      </w:r>
      <w:r>
        <w:rPr/>
        <w:t>在二级或二级以上医院的相应科室从事临床工作三年以上。 </w:t>
      </w:r>
    </w:p>
    <w:p>
      <w:pPr>
        <w:pStyle w:val="BodyText"/>
        <w:spacing w:before="16"/>
        <w:ind w:left="300"/>
      </w:pPr>
      <w:r>
        <w:rPr>
          <w:rFonts w:ascii="Times New Roman" w:eastAsia="Times New Roman"/>
          <w:position w:val="6"/>
          <w:sz w:val="12"/>
        </w:rPr>
        <w:t>3</w:t>
      </w:r>
      <w:r>
        <w:rPr>
          <w:rFonts w:ascii="Times New Roman" w:eastAsia="Times New Roman"/>
          <w:sz w:val="12"/>
        </w:rPr>
        <w:t>   </w:t>
      </w:r>
      <w:r>
        <w:rPr>
          <w:b/>
        </w:rPr>
        <w:t>意外伤害</w:t>
      </w:r>
      <w:r>
        <w:rPr/>
        <w:t>指遭受外来的、突发的、非本意的、非疾病的使身体受到伤害的客观事件。 </w:t>
      </w:r>
    </w:p>
    <w:p>
      <w:pPr>
        <w:pStyle w:val="BodyText"/>
        <w:spacing w:before="64"/>
        <w:ind w:left="207" w:right="111"/>
        <w:jc w:val="center"/>
      </w:pPr>
      <w:r>
        <w:rPr>
          <w:rFonts w:ascii="Times New Roman" w:eastAsia="Times New Roman"/>
          <w:position w:val="6"/>
          <w:sz w:val="12"/>
        </w:rPr>
        <w:t>4</w:t>
      </w:r>
      <w:r>
        <w:rPr>
          <w:rFonts w:ascii="Times New Roman" w:eastAsia="Times New Roman"/>
          <w:sz w:val="12"/>
        </w:rPr>
        <w:t>   </w:t>
      </w:r>
      <w:r>
        <w:rPr>
          <w:b/>
        </w:rPr>
        <w:t>现金价值</w:t>
      </w:r>
      <w:r>
        <w:rPr/>
        <w:t>指保险单所具有的价值，通常体现为解除保险合同时，根据精算原理计算的，由我们退还的那部分金额。各保单</w:t>
      </w:r>
    </w:p>
    <w:p>
      <w:pPr>
        <w:pStyle w:val="BodyText"/>
        <w:spacing w:before="64"/>
        <w:ind w:left="463"/>
      </w:pPr>
      <w:r>
        <w:rPr/>
        <w:t>年度末的现金价值会在保险单上载明，保单年度内的现金价值，您可以向我们咨询。 </w:t>
      </w:r>
    </w:p>
    <w:p>
      <w:pPr>
        <w:spacing w:after="0"/>
        <w:sectPr>
          <w:pgSz w:w="11910" w:h="16840"/>
          <w:pgMar w:top="1440" w:bottom="280" w:left="78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893"/>
        <w:gridCol w:w="2751"/>
        <w:gridCol w:w="4211"/>
      </w:tblGrid>
      <w:tr>
        <w:trPr>
          <w:trHeight w:val="261" w:hRule="atLeast"/>
        </w:trPr>
        <w:tc>
          <w:tcPr>
            <w:tcW w:w="858" w:type="dxa"/>
          </w:tcPr>
          <w:p>
            <w:pPr>
              <w:pStyle w:val="TableParagraph"/>
              <w:spacing w:line="204" w:lineRule="exact"/>
              <w:ind w:left="200"/>
              <w:rPr>
                <w:b/>
                <w:sz w:val="21"/>
              </w:rPr>
            </w:pPr>
            <w:r>
              <w:rPr>
                <w:b/>
                <w:w w:val="99"/>
                <w:sz w:val="21"/>
              </w:rPr>
              <w:t> </w:t>
            </w:r>
          </w:p>
        </w:tc>
        <w:tc>
          <w:tcPr>
            <w:tcW w:w="1893" w:type="dxa"/>
          </w:tcPr>
          <w:p>
            <w:pPr>
              <w:pStyle w:val="TableParagraph"/>
              <w:spacing w:line="204" w:lineRule="exact"/>
              <w:ind w:left="194"/>
              <w:rPr>
                <w:b/>
                <w:sz w:val="21"/>
              </w:rPr>
            </w:pPr>
            <w:r>
              <w:rPr>
                <w:b/>
                <w:w w:val="99"/>
                <w:sz w:val="21"/>
              </w:rPr>
              <w:t> </w:t>
            </w:r>
          </w:p>
        </w:tc>
        <w:tc>
          <w:tcPr>
            <w:tcW w:w="6962" w:type="dxa"/>
            <w:gridSpan w:val="2"/>
          </w:tcPr>
          <w:p>
            <w:pPr>
              <w:pStyle w:val="TableParagraph"/>
              <w:spacing w:line="204" w:lineRule="exact"/>
              <w:rPr>
                <w:b/>
                <w:sz w:val="21"/>
              </w:rPr>
            </w:pPr>
            <w:r>
              <w:rPr>
                <w:b/>
                <w:sz w:val="21"/>
              </w:rPr>
              <w:t>第 1 类：与恶性肿瘤相关的疾病</w:t>
            </w:r>
            <w:r>
              <w:rPr>
                <w:b/>
                <w:w w:val="99"/>
                <w:sz w:val="21"/>
              </w:rPr>
              <w:t>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1、恶性肿瘤 </w:t>
            </w:r>
          </w:p>
        </w:tc>
        <w:tc>
          <w:tcPr>
            <w:tcW w:w="4211" w:type="dxa"/>
          </w:tcPr>
          <w:p>
            <w:pPr>
              <w:pStyle w:val="TableParagraph"/>
              <w:spacing w:line="255" w:lineRule="exact"/>
              <w:ind w:left="123"/>
              <w:rPr>
                <w:sz w:val="21"/>
              </w:rPr>
            </w:pPr>
            <w:r>
              <w:rPr>
                <w:w w:val="100"/>
                <w:sz w:val="21"/>
              </w:rPr>
              <w:t> </w:t>
            </w:r>
          </w:p>
        </w:tc>
      </w:tr>
      <w:tr>
        <w:trPr>
          <w:trHeight w:val="311"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6962" w:type="dxa"/>
            <w:gridSpan w:val="2"/>
          </w:tcPr>
          <w:p>
            <w:pPr>
              <w:pStyle w:val="TableParagraph"/>
              <w:spacing w:line="255" w:lineRule="exact"/>
              <w:rPr>
                <w:b/>
                <w:sz w:val="21"/>
              </w:rPr>
            </w:pPr>
            <w:r>
              <w:rPr>
                <w:b/>
                <w:sz w:val="21"/>
              </w:rPr>
              <w:t>第 2 类：与心脏或脑血管相关的疾病</w:t>
            </w:r>
            <w:r>
              <w:rPr>
                <w:b/>
                <w:w w:val="99"/>
                <w:sz w:val="21"/>
              </w:rPr>
              <w:t>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2、急性心肌梗塞 </w:t>
            </w:r>
          </w:p>
        </w:tc>
        <w:tc>
          <w:tcPr>
            <w:tcW w:w="4211" w:type="dxa"/>
          </w:tcPr>
          <w:p>
            <w:pPr>
              <w:pStyle w:val="TableParagraph"/>
              <w:spacing w:line="255" w:lineRule="exact"/>
              <w:ind w:left="123"/>
              <w:rPr>
                <w:sz w:val="21"/>
              </w:rPr>
            </w:pPr>
            <w:r>
              <w:rPr>
                <w:sz w:val="21"/>
              </w:rPr>
              <w:t>3、严重原发性肺动脉高压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4、心脏瓣膜手术 </w:t>
            </w:r>
          </w:p>
        </w:tc>
        <w:tc>
          <w:tcPr>
            <w:tcW w:w="4211" w:type="dxa"/>
          </w:tcPr>
          <w:p>
            <w:pPr>
              <w:pStyle w:val="TableParagraph"/>
              <w:spacing w:line="255" w:lineRule="exact"/>
              <w:ind w:left="123"/>
              <w:rPr>
                <w:sz w:val="21"/>
              </w:rPr>
            </w:pPr>
            <w:r>
              <w:rPr>
                <w:sz w:val="21"/>
              </w:rPr>
              <w:t>5、主动脉手术 </w:t>
            </w:r>
          </w:p>
        </w:tc>
      </w:tr>
      <w:tr>
        <w:trPr>
          <w:trHeight w:val="624"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6、冠状动脉搭桥术（或称冠</w:t>
            </w:r>
          </w:p>
          <w:p>
            <w:pPr>
              <w:pStyle w:val="TableParagraph"/>
              <w:spacing w:before="37"/>
              <w:rPr>
                <w:sz w:val="21"/>
              </w:rPr>
            </w:pPr>
            <w:r>
              <w:rPr>
                <w:sz w:val="21"/>
              </w:rPr>
              <w:t>状动脉旁路移植术） </w:t>
            </w:r>
          </w:p>
        </w:tc>
        <w:tc>
          <w:tcPr>
            <w:tcW w:w="4211" w:type="dxa"/>
          </w:tcPr>
          <w:p>
            <w:pPr>
              <w:pStyle w:val="TableParagraph"/>
              <w:spacing w:line="255" w:lineRule="exact"/>
              <w:ind w:left="123"/>
              <w:rPr>
                <w:sz w:val="21"/>
              </w:rPr>
            </w:pPr>
            <w:r>
              <w:rPr>
                <w:sz w:val="21"/>
              </w:rPr>
              <w:t>7、脑中风后遗症 </w:t>
            </w:r>
          </w:p>
        </w:tc>
      </w:tr>
      <w:tr>
        <w:trPr>
          <w:trHeight w:val="311"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6962" w:type="dxa"/>
            <w:gridSpan w:val="2"/>
          </w:tcPr>
          <w:p>
            <w:pPr>
              <w:pStyle w:val="TableParagraph"/>
              <w:spacing w:line="255" w:lineRule="exact"/>
              <w:rPr>
                <w:b/>
                <w:sz w:val="21"/>
              </w:rPr>
            </w:pPr>
            <w:r>
              <w:rPr>
                <w:b/>
                <w:sz w:val="21"/>
              </w:rPr>
              <w:t>第 3 类：与器官功能严重受损相关的疾病</w:t>
            </w:r>
            <w:r>
              <w:rPr>
                <w:b/>
                <w:w w:val="99"/>
                <w:sz w:val="21"/>
              </w:rPr>
              <w:t>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8、重型再生障碍性贫血 </w:t>
            </w:r>
          </w:p>
        </w:tc>
        <w:tc>
          <w:tcPr>
            <w:tcW w:w="4211" w:type="dxa"/>
          </w:tcPr>
          <w:p>
            <w:pPr>
              <w:pStyle w:val="TableParagraph"/>
              <w:spacing w:line="255" w:lineRule="exact"/>
              <w:ind w:left="123"/>
              <w:rPr>
                <w:sz w:val="21"/>
              </w:rPr>
            </w:pPr>
            <w:r>
              <w:rPr>
                <w:sz w:val="21"/>
              </w:rPr>
              <w:t>9、重大器官移植术或造血干细胞移植术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10、双耳失聪 </w:t>
            </w:r>
          </w:p>
        </w:tc>
        <w:tc>
          <w:tcPr>
            <w:tcW w:w="4211" w:type="dxa"/>
          </w:tcPr>
          <w:p>
            <w:pPr>
              <w:pStyle w:val="TableParagraph"/>
              <w:spacing w:line="255" w:lineRule="exact"/>
              <w:ind w:left="123"/>
              <w:rPr>
                <w:sz w:val="21"/>
              </w:rPr>
            </w:pPr>
            <w:r>
              <w:rPr>
                <w:sz w:val="21"/>
              </w:rPr>
              <w:t>11、慢性肝功能衰竭失代偿期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12、双目失明 </w:t>
            </w:r>
          </w:p>
        </w:tc>
        <w:tc>
          <w:tcPr>
            <w:tcW w:w="4211" w:type="dxa"/>
          </w:tcPr>
          <w:p>
            <w:pPr>
              <w:pStyle w:val="TableParagraph"/>
              <w:spacing w:line="255" w:lineRule="exact"/>
              <w:ind w:left="123"/>
              <w:rPr>
                <w:sz w:val="21"/>
              </w:rPr>
            </w:pPr>
            <w:r>
              <w:rPr>
                <w:sz w:val="21"/>
              </w:rPr>
              <w:t>13、终末期肾病（或称慢性肾功能衰竭尿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14、语言能力丧失 </w:t>
            </w:r>
          </w:p>
        </w:tc>
        <w:tc>
          <w:tcPr>
            <w:tcW w:w="4211" w:type="dxa"/>
          </w:tcPr>
          <w:p>
            <w:pPr>
              <w:pStyle w:val="TableParagraph"/>
              <w:spacing w:line="255" w:lineRule="exact"/>
              <w:ind w:left="123"/>
              <w:rPr>
                <w:sz w:val="21"/>
              </w:rPr>
            </w:pPr>
            <w:r>
              <w:rPr>
                <w:sz w:val="21"/>
              </w:rPr>
              <w:t>毒症期）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15、急性或亚急性重症肝炎 </w:t>
            </w:r>
          </w:p>
        </w:tc>
        <w:tc>
          <w:tcPr>
            <w:tcW w:w="4211" w:type="dxa"/>
          </w:tcPr>
          <w:p>
            <w:pPr>
              <w:pStyle w:val="TableParagraph"/>
              <w:spacing w:line="255" w:lineRule="exact"/>
              <w:ind w:left="123"/>
              <w:rPr>
                <w:sz w:val="21"/>
              </w:rPr>
            </w:pPr>
            <w:r>
              <w:rPr>
                <w:w w:val="100"/>
                <w:sz w:val="21"/>
              </w:rPr>
              <w:t>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6962" w:type="dxa"/>
            <w:gridSpan w:val="2"/>
          </w:tcPr>
          <w:p>
            <w:pPr>
              <w:pStyle w:val="TableParagraph"/>
              <w:spacing w:line="255" w:lineRule="exact"/>
              <w:rPr>
                <w:b/>
                <w:sz w:val="21"/>
              </w:rPr>
            </w:pPr>
            <w:r>
              <w:rPr>
                <w:b/>
                <w:sz w:val="21"/>
              </w:rPr>
              <w:t>第 4 类：与神经系统相关的疾病</w:t>
            </w:r>
            <w:r>
              <w:rPr>
                <w:b/>
                <w:w w:val="99"/>
                <w:sz w:val="21"/>
              </w:rPr>
              <w:t> </w:t>
            </w:r>
          </w:p>
        </w:tc>
      </w:tr>
      <w:tr>
        <w:trPr>
          <w:trHeight w:val="311"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16、良性脑肿瘤 </w:t>
            </w:r>
          </w:p>
        </w:tc>
        <w:tc>
          <w:tcPr>
            <w:tcW w:w="4211" w:type="dxa"/>
          </w:tcPr>
          <w:p>
            <w:pPr>
              <w:pStyle w:val="TableParagraph"/>
              <w:spacing w:line="255" w:lineRule="exact"/>
              <w:ind w:left="123"/>
              <w:rPr>
                <w:sz w:val="21"/>
              </w:rPr>
            </w:pPr>
            <w:r>
              <w:rPr>
                <w:sz w:val="21"/>
              </w:rPr>
              <w:t>17、脑炎后遗症或脑膜炎后遗症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18、深度昏迷 </w:t>
            </w:r>
          </w:p>
        </w:tc>
        <w:tc>
          <w:tcPr>
            <w:tcW w:w="4211" w:type="dxa"/>
          </w:tcPr>
          <w:p>
            <w:pPr>
              <w:pStyle w:val="TableParagraph"/>
              <w:spacing w:line="255" w:lineRule="exact"/>
              <w:ind w:left="123"/>
              <w:rPr>
                <w:sz w:val="21"/>
              </w:rPr>
            </w:pPr>
            <w:r>
              <w:rPr>
                <w:sz w:val="21"/>
              </w:rPr>
              <w:t>19、严重阿尔茨海默病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20、瘫痪 </w:t>
            </w:r>
          </w:p>
        </w:tc>
        <w:tc>
          <w:tcPr>
            <w:tcW w:w="4211" w:type="dxa"/>
          </w:tcPr>
          <w:p>
            <w:pPr>
              <w:pStyle w:val="TableParagraph"/>
              <w:spacing w:line="255" w:lineRule="exact"/>
              <w:ind w:left="123"/>
              <w:rPr>
                <w:sz w:val="21"/>
              </w:rPr>
            </w:pPr>
            <w:r>
              <w:rPr>
                <w:sz w:val="21"/>
              </w:rPr>
              <w:t>21、严重帕金森病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22、严重脑损伤 </w:t>
            </w:r>
          </w:p>
        </w:tc>
        <w:tc>
          <w:tcPr>
            <w:tcW w:w="4211" w:type="dxa"/>
          </w:tcPr>
          <w:p>
            <w:pPr>
              <w:pStyle w:val="TableParagraph"/>
              <w:spacing w:line="255" w:lineRule="exact"/>
              <w:ind w:left="123"/>
              <w:rPr>
                <w:sz w:val="21"/>
              </w:rPr>
            </w:pPr>
            <w:r>
              <w:rPr>
                <w:sz w:val="21"/>
              </w:rPr>
              <w:t>23、严重运动神经元病 </w:t>
            </w:r>
          </w:p>
        </w:tc>
      </w:tr>
      <w:tr>
        <w:trPr>
          <w:trHeight w:val="312"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b/>
                <w:sz w:val="21"/>
              </w:rPr>
            </w:pPr>
            <w:r>
              <w:rPr>
                <w:b/>
                <w:sz w:val="21"/>
              </w:rPr>
              <w:t>第 5 类：其他重大疾病</w:t>
            </w:r>
            <w:r>
              <w:rPr>
                <w:b/>
                <w:w w:val="99"/>
                <w:sz w:val="21"/>
              </w:rPr>
              <w:t> </w:t>
            </w:r>
          </w:p>
        </w:tc>
        <w:tc>
          <w:tcPr>
            <w:tcW w:w="4211" w:type="dxa"/>
          </w:tcPr>
          <w:p>
            <w:pPr>
              <w:pStyle w:val="TableParagraph"/>
              <w:spacing w:line="255" w:lineRule="exact"/>
              <w:ind w:left="123"/>
              <w:rPr>
                <w:sz w:val="21"/>
              </w:rPr>
            </w:pPr>
            <w:r>
              <w:rPr>
                <w:w w:val="100"/>
                <w:sz w:val="21"/>
              </w:rPr>
              <w:t> </w:t>
            </w:r>
          </w:p>
        </w:tc>
      </w:tr>
      <w:tr>
        <w:trPr>
          <w:trHeight w:val="311"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sz w:val="21"/>
              </w:rPr>
              <w:t>24、多个肢体缺失 </w:t>
            </w:r>
          </w:p>
        </w:tc>
        <w:tc>
          <w:tcPr>
            <w:tcW w:w="4211" w:type="dxa"/>
          </w:tcPr>
          <w:p>
            <w:pPr>
              <w:pStyle w:val="TableParagraph"/>
              <w:spacing w:line="255" w:lineRule="exact"/>
              <w:ind w:left="123"/>
              <w:rPr>
                <w:sz w:val="21"/>
              </w:rPr>
            </w:pPr>
            <w:r>
              <w:rPr>
                <w:sz w:val="21"/>
              </w:rPr>
              <w:t>25、严重Ⅲ度烧伤 </w:t>
            </w:r>
          </w:p>
        </w:tc>
      </w:tr>
      <w:tr>
        <w:trPr>
          <w:trHeight w:val="326" w:hRule="atLeast"/>
        </w:trPr>
        <w:tc>
          <w:tcPr>
            <w:tcW w:w="858" w:type="dxa"/>
          </w:tcPr>
          <w:p>
            <w:pPr>
              <w:pStyle w:val="TableParagraph"/>
              <w:spacing w:line="255" w:lineRule="exact"/>
              <w:ind w:left="200"/>
              <w:rPr>
                <w:b/>
                <w:sz w:val="21"/>
              </w:rPr>
            </w:pPr>
            <w:r>
              <w:rPr>
                <w:b/>
                <w:w w:val="99"/>
                <w:sz w:val="21"/>
              </w:rPr>
              <w:t> </w:t>
            </w:r>
          </w:p>
        </w:tc>
        <w:tc>
          <w:tcPr>
            <w:tcW w:w="1893" w:type="dxa"/>
          </w:tcPr>
          <w:p>
            <w:pPr>
              <w:pStyle w:val="TableParagraph"/>
              <w:spacing w:line="255" w:lineRule="exact"/>
              <w:ind w:left="194"/>
              <w:rPr>
                <w:b/>
                <w:sz w:val="21"/>
              </w:rPr>
            </w:pPr>
            <w:r>
              <w:rPr>
                <w:b/>
                <w:w w:val="99"/>
                <w:sz w:val="21"/>
              </w:rPr>
              <w:t> </w:t>
            </w:r>
          </w:p>
        </w:tc>
        <w:tc>
          <w:tcPr>
            <w:tcW w:w="2751" w:type="dxa"/>
          </w:tcPr>
          <w:p>
            <w:pPr>
              <w:pStyle w:val="TableParagraph"/>
              <w:spacing w:line="255" w:lineRule="exact"/>
              <w:rPr>
                <w:sz w:val="21"/>
              </w:rPr>
            </w:pPr>
            <w:r>
              <w:rPr>
                <w:w w:val="100"/>
                <w:sz w:val="21"/>
              </w:rPr>
              <w:t> </w:t>
            </w:r>
          </w:p>
        </w:tc>
        <w:tc>
          <w:tcPr>
            <w:tcW w:w="4211" w:type="dxa"/>
          </w:tcPr>
          <w:p>
            <w:pPr>
              <w:pStyle w:val="TableParagraph"/>
              <w:spacing w:line="255" w:lineRule="exact"/>
              <w:ind w:left="123"/>
              <w:rPr>
                <w:sz w:val="21"/>
              </w:rPr>
            </w:pPr>
            <w:r>
              <w:rPr>
                <w:w w:val="100"/>
                <w:sz w:val="21"/>
              </w:rPr>
              <w:t> </w:t>
            </w:r>
          </w:p>
        </w:tc>
      </w:tr>
      <w:tr>
        <w:trPr>
          <w:trHeight w:val="326" w:hRule="atLeast"/>
        </w:trPr>
        <w:tc>
          <w:tcPr>
            <w:tcW w:w="858" w:type="dxa"/>
          </w:tcPr>
          <w:p>
            <w:pPr>
              <w:pStyle w:val="TableParagraph"/>
              <w:spacing w:line="269" w:lineRule="exact"/>
              <w:ind w:left="200"/>
              <w:rPr>
                <w:b/>
                <w:sz w:val="21"/>
              </w:rPr>
            </w:pPr>
            <w:r>
              <w:rPr>
                <w:b/>
                <w:sz w:val="21"/>
              </w:rPr>
              <w:t>1.3 </w:t>
            </w:r>
          </w:p>
        </w:tc>
        <w:tc>
          <w:tcPr>
            <w:tcW w:w="1893" w:type="dxa"/>
          </w:tcPr>
          <w:p>
            <w:pPr>
              <w:pStyle w:val="TableParagraph"/>
              <w:spacing w:line="269" w:lineRule="exact"/>
              <w:ind w:left="194"/>
              <w:rPr>
                <w:b/>
                <w:sz w:val="21"/>
              </w:rPr>
            </w:pPr>
            <w:bookmarkStart w:name="_bookmark2" w:id="3"/>
            <w:bookmarkEnd w:id="3"/>
            <w:r>
              <w:rPr/>
            </w:r>
            <w:r>
              <w:rPr>
                <w:b/>
                <w:sz w:val="21"/>
              </w:rPr>
              <w:t>保险期间</w:t>
            </w:r>
            <w:r>
              <w:rPr>
                <w:b/>
                <w:w w:val="99"/>
                <w:sz w:val="21"/>
              </w:rPr>
              <w:t> </w:t>
            </w:r>
          </w:p>
        </w:tc>
        <w:tc>
          <w:tcPr>
            <w:tcW w:w="6962" w:type="dxa"/>
            <w:gridSpan w:val="2"/>
          </w:tcPr>
          <w:p>
            <w:pPr>
              <w:pStyle w:val="TableParagraph"/>
              <w:spacing w:line="269" w:lineRule="exact"/>
              <w:rPr>
                <w:sz w:val="21"/>
              </w:rPr>
            </w:pPr>
            <w:r>
              <w:rPr>
                <w:sz w:val="21"/>
              </w:rPr>
              <w:t>本附加合同的保险期间同主合同。 </w:t>
            </w:r>
          </w:p>
        </w:tc>
      </w:tr>
      <w:tr>
        <w:trPr>
          <w:trHeight w:val="318" w:hRule="atLeast"/>
        </w:trPr>
        <w:tc>
          <w:tcPr>
            <w:tcW w:w="858" w:type="dxa"/>
          </w:tcPr>
          <w:p>
            <w:pPr>
              <w:pStyle w:val="TableParagraph"/>
              <w:spacing w:line="255" w:lineRule="exact"/>
              <w:ind w:left="200"/>
              <w:rPr>
                <w:sz w:val="21"/>
              </w:rPr>
            </w:pPr>
            <w:r>
              <w:rPr>
                <w:w w:val="100"/>
                <w:sz w:val="21"/>
              </w:rPr>
              <w:t> </w:t>
            </w:r>
          </w:p>
        </w:tc>
        <w:tc>
          <w:tcPr>
            <w:tcW w:w="1893" w:type="dxa"/>
          </w:tcPr>
          <w:p>
            <w:pPr>
              <w:pStyle w:val="TableParagraph"/>
              <w:spacing w:line="255" w:lineRule="exact"/>
              <w:ind w:left="194"/>
              <w:rPr>
                <w:sz w:val="21"/>
              </w:rPr>
            </w:pPr>
            <w:r>
              <w:rPr>
                <w:w w:val="100"/>
                <w:sz w:val="21"/>
              </w:rPr>
              <w:t> </w:t>
            </w:r>
          </w:p>
        </w:tc>
        <w:tc>
          <w:tcPr>
            <w:tcW w:w="2751" w:type="dxa"/>
          </w:tcPr>
          <w:p>
            <w:pPr>
              <w:pStyle w:val="TableParagraph"/>
              <w:spacing w:line="255" w:lineRule="exact"/>
              <w:rPr>
                <w:sz w:val="21"/>
              </w:rPr>
            </w:pPr>
            <w:r>
              <w:rPr>
                <w:w w:val="100"/>
                <w:sz w:val="21"/>
              </w:rPr>
              <w:t> </w:t>
            </w:r>
          </w:p>
        </w:tc>
        <w:tc>
          <w:tcPr>
            <w:tcW w:w="4211" w:type="dxa"/>
          </w:tcPr>
          <w:p>
            <w:pPr>
              <w:pStyle w:val="TableParagraph"/>
              <w:rPr>
                <w:rFonts w:ascii="Times New Roman"/>
                <w:sz w:val="20"/>
              </w:rPr>
            </w:pPr>
          </w:p>
        </w:tc>
      </w:tr>
      <w:tr>
        <w:trPr>
          <w:trHeight w:val="650" w:hRule="atLeast"/>
        </w:trPr>
        <w:tc>
          <w:tcPr>
            <w:tcW w:w="858" w:type="dxa"/>
          </w:tcPr>
          <w:p>
            <w:pPr>
              <w:pStyle w:val="TableParagraph"/>
              <w:spacing w:line="630" w:lineRule="exact"/>
              <w:ind w:left="200"/>
              <w:rPr>
                <w:rFonts w:ascii="Yu Gothic" w:hAnsi="Yu Gothic"/>
                <w:b/>
                <w:sz w:val="52"/>
              </w:rPr>
            </w:pPr>
            <w:r>
              <w:rPr>
                <w:rFonts w:ascii="Yu Gothic" w:hAnsi="Yu Gothic"/>
                <w:b/>
                <w:w w:val="89"/>
                <w:sz w:val="52"/>
              </w:rPr>
              <w:t>❖</w:t>
            </w:r>
          </w:p>
        </w:tc>
        <w:tc>
          <w:tcPr>
            <w:tcW w:w="8855" w:type="dxa"/>
            <w:gridSpan w:val="3"/>
          </w:tcPr>
          <w:p>
            <w:pPr>
              <w:pStyle w:val="TableParagraph"/>
              <w:spacing w:before="98"/>
              <w:ind w:left="194"/>
              <w:rPr>
                <w:sz w:val="28"/>
              </w:rPr>
            </w:pPr>
            <w:r>
              <w:rPr>
                <w:b/>
                <w:sz w:val="28"/>
              </w:rPr>
              <w:t>我们不给付的情形 </w:t>
            </w:r>
            <w:r>
              <w:rPr>
                <w:sz w:val="21"/>
              </w:rPr>
              <w:t>这部分讲的是在哪些情形下，我们不予给付。</w:t>
            </w:r>
            <w:r>
              <w:rPr>
                <w:w w:val="100"/>
                <w:sz w:val="28"/>
              </w:rPr>
              <w:t> </w:t>
            </w:r>
          </w:p>
        </w:tc>
      </w:tr>
      <w:tr>
        <w:trPr>
          <w:trHeight w:val="319" w:hRule="atLeast"/>
        </w:trPr>
        <w:tc>
          <w:tcPr>
            <w:tcW w:w="858" w:type="dxa"/>
          </w:tcPr>
          <w:p>
            <w:pPr>
              <w:pStyle w:val="TableParagraph"/>
              <w:spacing w:line="248" w:lineRule="exact"/>
              <w:ind w:left="200"/>
              <w:rPr>
                <w:b/>
                <w:sz w:val="21"/>
              </w:rPr>
            </w:pPr>
            <w:r>
              <w:rPr>
                <w:b/>
                <w:w w:val="99"/>
                <w:sz w:val="21"/>
              </w:rPr>
              <w:t> </w:t>
            </w:r>
          </w:p>
        </w:tc>
        <w:tc>
          <w:tcPr>
            <w:tcW w:w="1893" w:type="dxa"/>
          </w:tcPr>
          <w:p>
            <w:pPr>
              <w:pStyle w:val="TableParagraph"/>
              <w:spacing w:line="248" w:lineRule="exact"/>
              <w:ind w:left="194"/>
              <w:rPr>
                <w:b/>
                <w:sz w:val="21"/>
              </w:rPr>
            </w:pPr>
            <w:r>
              <w:rPr>
                <w:b/>
                <w:w w:val="99"/>
                <w:sz w:val="21"/>
              </w:rPr>
              <w:t> </w:t>
            </w:r>
          </w:p>
        </w:tc>
        <w:tc>
          <w:tcPr>
            <w:tcW w:w="2751" w:type="dxa"/>
          </w:tcPr>
          <w:p>
            <w:pPr>
              <w:pStyle w:val="TableParagraph"/>
              <w:rPr>
                <w:rFonts w:ascii="Times New Roman"/>
                <w:sz w:val="20"/>
              </w:rPr>
            </w:pPr>
          </w:p>
        </w:tc>
        <w:tc>
          <w:tcPr>
            <w:tcW w:w="4211" w:type="dxa"/>
          </w:tcPr>
          <w:p>
            <w:pPr>
              <w:pStyle w:val="TableParagraph"/>
              <w:rPr>
                <w:rFonts w:ascii="Times New Roman"/>
                <w:sz w:val="20"/>
              </w:rPr>
            </w:pPr>
          </w:p>
        </w:tc>
      </w:tr>
      <w:tr>
        <w:trPr>
          <w:trHeight w:val="1866" w:hRule="atLeast"/>
        </w:trPr>
        <w:tc>
          <w:tcPr>
            <w:tcW w:w="858" w:type="dxa"/>
          </w:tcPr>
          <w:p>
            <w:pPr>
              <w:pStyle w:val="TableParagraph"/>
              <w:spacing w:line="269" w:lineRule="exact"/>
              <w:ind w:left="200"/>
              <w:rPr>
                <w:b/>
                <w:sz w:val="21"/>
              </w:rPr>
            </w:pPr>
            <w:r>
              <w:rPr>
                <w:b/>
                <w:sz w:val="21"/>
              </w:rPr>
              <w:t>2.1 </w:t>
            </w:r>
          </w:p>
        </w:tc>
        <w:tc>
          <w:tcPr>
            <w:tcW w:w="1893" w:type="dxa"/>
          </w:tcPr>
          <w:p>
            <w:pPr>
              <w:pStyle w:val="TableParagraph"/>
              <w:spacing w:line="269" w:lineRule="exact"/>
              <w:ind w:left="194"/>
              <w:rPr>
                <w:b/>
                <w:sz w:val="21"/>
              </w:rPr>
            </w:pPr>
            <w:bookmarkStart w:name="_bookmark3" w:id="4"/>
            <w:bookmarkEnd w:id="4"/>
            <w:r>
              <w:rPr/>
            </w:r>
            <w:r>
              <w:rPr>
                <w:b/>
                <w:sz w:val="21"/>
              </w:rPr>
              <w:t>责任免除</w:t>
            </w:r>
            <w:r>
              <w:rPr>
                <w:b/>
                <w:w w:val="99"/>
                <w:sz w:val="21"/>
              </w:rPr>
              <w:t> </w:t>
            </w:r>
          </w:p>
        </w:tc>
        <w:tc>
          <w:tcPr>
            <w:tcW w:w="6962" w:type="dxa"/>
            <w:gridSpan w:val="2"/>
          </w:tcPr>
          <w:p>
            <w:pPr>
              <w:pStyle w:val="TableParagraph"/>
              <w:spacing w:line="273" w:lineRule="auto"/>
              <w:ind w:right="222"/>
              <w:rPr>
                <w:rFonts w:ascii="黑体" w:eastAsia="黑体" w:hint="eastAsia"/>
                <w:sz w:val="21"/>
              </w:rPr>
            </w:pPr>
            <w:r>
              <w:rPr>
                <w:rFonts w:ascii="黑体" w:eastAsia="黑体" w:hint="eastAsia"/>
                <w:sz w:val="21"/>
                <w:shd w:fill="D9D9D9" w:color="auto" w:val="clear"/>
              </w:rPr>
              <w:t>因下列情形之一导致被保险人初次发Th重大疾病的，我们不承担给付保险金的责任：</w:t>
            </w:r>
          </w:p>
          <w:p>
            <w:pPr>
              <w:pStyle w:val="TableParagraph"/>
              <w:numPr>
                <w:ilvl w:val="0"/>
                <w:numId w:val="2"/>
              </w:numPr>
              <w:tabs>
                <w:tab w:pos="633" w:val="left" w:leader="none"/>
              </w:tabs>
              <w:spacing w:line="240" w:lineRule="auto" w:before="13" w:after="0"/>
              <w:ind w:left="632" w:right="0" w:hanging="632"/>
              <w:jc w:val="left"/>
              <w:rPr>
                <w:rFonts w:ascii="黑体" w:eastAsia="黑体" w:hint="eastAsia"/>
                <w:sz w:val="21"/>
              </w:rPr>
            </w:pPr>
            <w:r>
              <w:rPr>
                <w:rFonts w:ascii="黑体" w:eastAsia="黑体" w:hint="eastAsia"/>
                <w:spacing w:val="-3"/>
                <w:sz w:val="21"/>
                <w:shd w:fill="D9D9D9" w:color="auto" w:val="clear"/>
              </w:rPr>
              <w:t>投保人对被保险人的故意杀害、故意伤害；</w:t>
            </w:r>
          </w:p>
          <w:p>
            <w:pPr>
              <w:pStyle w:val="TableParagraph"/>
              <w:numPr>
                <w:ilvl w:val="0"/>
                <w:numId w:val="2"/>
              </w:numPr>
              <w:tabs>
                <w:tab w:pos="633" w:val="left" w:leader="none"/>
              </w:tabs>
              <w:spacing w:line="240" w:lineRule="auto" w:before="36" w:after="0"/>
              <w:ind w:left="632" w:right="0" w:hanging="632"/>
              <w:jc w:val="left"/>
              <w:rPr>
                <w:rFonts w:ascii="黑体" w:eastAsia="黑体" w:hint="eastAsia"/>
                <w:sz w:val="21"/>
              </w:rPr>
            </w:pPr>
            <w:r>
              <w:rPr>
                <w:rFonts w:ascii="黑体" w:eastAsia="黑体" w:hint="eastAsia"/>
                <w:spacing w:val="-3"/>
                <w:sz w:val="21"/>
                <w:shd w:fill="D9D9D9" w:color="auto" w:val="clear"/>
              </w:rPr>
              <w:t>被保险人故意自伤、故意犯罪或者抗拒依法采取的刑事强制措施；</w:t>
            </w:r>
          </w:p>
          <w:p>
            <w:pPr>
              <w:pStyle w:val="TableParagraph"/>
              <w:numPr>
                <w:ilvl w:val="0"/>
                <w:numId w:val="2"/>
              </w:numPr>
              <w:tabs>
                <w:tab w:pos="633" w:val="left" w:leader="none"/>
              </w:tabs>
              <w:spacing w:line="240" w:lineRule="auto" w:before="36" w:after="0"/>
              <w:ind w:left="632" w:right="0" w:hanging="632"/>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pacing w:val="-2"/>
                <w:sz w:val="21"/>
              </w:rPr>
              <w:t>毒品</w:t>
            </w:r>
            <w:r>
              <w:rPr>
                <w:rFonts w:ascii="黑体" w:eastAsia="黑体" w:hint="eastAsia"/>
                <w:b/>
                <w:position w:val="11"/>
                <w:sz w:val="11"/>
              </w:rPr>
              <w:t>5</w:t>
            </w:r>
            <w:r>
              <w:rPr>
                <w:rFonts w:ascii="黑体" w:eastAsia="黑体" w:hint="eastAsia"/>
                <w:sz w:val="21"/>
              </w:rPr>
              <w:t>；</w:t>
            </w:r>
          </w:p>
          <w:p>
            <w:pPr>
              <w:pStyle w:val="TableParagraph"/>
              <w:numPr>
                <w:ilvl w:val="0"/>
                <w:numId w:val="2"/>
              </w:numPr>
              <w:tabs>
                <w:tab w:pos="638" w:val="left" w:leader="none"/>
              </w:tabs>
              <w:spacing w:line="240" w:lineRule="auto" w:before="36" w:after="0"/>
              <w:ind w:left="637" w:right="0" w:hanging="637"/>
              <w:jc w:val="left"/>
              <w:rPr>
                <w:rFonts w:ascii="黑体" w:eastAsia="黑体" w:hint="eastAsia"/>
                <w:b/>
                <w:sz w:val="21"/>
              </w:rPr>
            </w:pPr>
            <w:r>
              <w:rPr>
                <w:rFonts w:ascii="黑体" w:eastAsia="黑体" w:hint="eastAsia"/>
                <w:sz w:val="21"/>
              </w:rPr>
              <w:t>被保险人</w:t>
            </w:r>
            <w:r>
              <w:rPr>
                <w:rFonts w:ascii="黑体" w:eastAsia="黑体" w:hint="eastAsia"/>
                <w:b/>
                <w:sz w:val="21"/>
              </w:rPr>
              <w:t>酒后驾驶</w:t>
            </w:r>
            <w:r>
              <w:rPr>
                <w:rFonts w:ascii="黑体" w:eastAsia="黑体" w:hint="eastAsia"/>
                <w:b/>
                <w:position w:val="11"/>
                <w:sz w:val="11"/>
              </w:rPr>
              <w:t>6</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7</w:t>
            </w:r>
            <w:r>
              <w:rPr>
                <w:rFonts w:ascii="黑体" w:eastAsia="黑体" w:hint="eastAsia"/>
                <w:sz w:val="21"/>
              </w:rPr>
              <w:t>，或驾驶</w:t>
            </w:r>
            <w:r>
              <w:rPr>
                <w:rFonts w:ascii="黑体" w:eastAsia="黑体" w:hint="eastAsia"/>
                <w:b/>
                <w:sz w:val="21"/>
              </w:rPr>
              <w:t>无有效行驶</w:t>
            </w:r>
          </w:p>
        </w:tc>
      </w:tr>
    </w:tbl>
    <w:p>
      <w:pPr>
        <w:pStyle w:val="BodyText"/>
        <w:rPr>
          <w:sz w:val="20"/>
        </w:rPr>
      </w:pPr>
    </w:p>
    <w:p>
      <w:pPr>
        <w:pStyle w:val="BodyText"/>
        <w:rPr>
          <w:sz w:val="20"/>
        </w:rPr>
      </w:pPr>
    </w:p>
    <w:p>
      <w:pPr>
        <w:pStyle w:val="BodyText"/>
        <w:spacing w:before="3"/>
      </w:pPr>
      <w:r>
        <w:rPr/>
        <w:pict>
          <v:line style="position:absolute;mso-position-horizontal-relative:page;mso-position-vertical-relative:paragraph;z-index:2200;mso-wrap-distance-left:0;mso-wrap-distance-right:0" from="54pt,14.173135pt" to="198.05pt,14.173135pt" stroked="true" strokeweight=".47998pt" strokecolor="#000000">
            <v:stroke dashstyle="solid"/>
            <w10:wrap type="topAndBottom"/>
          </v:line>
        </w:pict>
      </w:r>
    </w:p>
    <w:p>
      <w:pPr>
        <w:pStyle w:val="BodyText"/>
        <w:spacing w:before="91"/>
        <w:ind w:left="300"/>
      </w:pPr>
      <w:r>
        <w:rPr>
          <w:rFonts w:ascii="Times New Roman" w:eastAsia="Times New Roman"/>
          <w:position w:val="6"/>
          <w:sz w:val="12"/>
        </w:rPr>
        <w:t>5</w:t>
      </w:r>
      <w:r>
        <w:rPr>
          <w:rFonts w:ascii="Times New Roman" w:eastAsia="Times New Roman"/>
          <w:spacing w:val="3"/>
          <w:sz w:val="12"/>
        </w:rPr>
        <w:t>    </w:t>
      </w:r>
      <w:r>
        <w:rPr>
          <w:b/>
        </w:rPr>
        <w:t>毒品</w:t>
      </w:r>
      <w:r>
        <w:rPr/>
        <w:t>指《中华人民共和国刑法》规定的鸦片、海洛因、甲基苯丙胺（冰毒</w:t>
      </w:r>
      <w:r>
        <w:rPr>
          <w:spacing w:val="-89"/>
        </w:rPr>
        <w:t>）</w:t>
      </w:r>
      <w:r>
        <w:rPr/>
        <w:t>、吗啡、大麻、可卡因以及国家规定管制的其</w:t>
      </w:r>
    </w:p>
    <w:p>
      <w:pPr>
        <w:pStyle w:val="BodyText"/>
        <w:spacing w:line="304" w:lineRule="auto" w:before="63"/>
        <w:ind w:left="463" w:right="57"/>
      </w:pPr>
      <w:r>
        <w:rPr/>
        <w:pict>
          <v:shape style="position:absolute;margin-left:181.580002pt;margin-top:-88.128304pt;width:334.15pt;height:29.35pt;mso-position-horizontal-relative:page;mso-position-vertical-relative:paragraph;z-index:-61048" coordorigin="3632,-1763" coordsize="6683,587" path="m7264,-1763l3632,-1763,3632,-1489,7264,-1489,7264,-1763m10315,-1450l3632,-1450,3632,-1176,10315,-1176,10315,-1450e" filled="true" fillcolor="#d9d9d9" stroked="false">
            <v:path arrowok="t"/>
            <v:fill type="solid"/>
            <w10:wrap type="none"/>
          </v:shape>
        </w:pict>
      </w:r>
      <w:r>
        <w:rPr/>
        <w:t>他能够使人形成瘾癖的麻醉药品和精神药品，但不包括由医生开具并遵医嘱使用的用于治疗疾病但含有毒品成分的处方药品。 </w:t>
      </w:r>
    </w:p>
    <w:p>
      <w:pPr>
        <w:pStyle w:val="BodyText"/>
        <w:spacing w:before="15"/>
        <w:ind w:left="300"/>
      </w:pPr>
      <w:r>
        <w:rPr>
          <w:rFonts w:ascii="Times New Roman" w:eastAsia="Times New Roman"/>
          <w:position w:val="6"/>
          <w:sz w:val="12"/>
        </w:rPr>
        <w:t>6</w:t>
      </w:r>
      <w:r>
        <w:rPr>
          <w:rFonts w:ascii="Times New Roman" w:eastAsia="Times New Roman"/>
          <w:sz w:val="12"/>
        </w:rPr>
        <w:t>   </w:t>
      </w:r>
      <w:r>
        <w:rPr>
          <w:b/>
        </w:rPr>
        <w:t>酒后驾驶</w:t>
      </w:r>
      <w:r>
        <w:rPr/>
        <w:t>指经检测或鉴定，发生事故时车辆驾驶人员每百毫升血液中的酒精含量达到或超过一定的标准，公安机关交通管</w:t>
      </w:r>
    </w:p>
    <w:p>
      <w:pPr>
        <w:pStyle w:val="BodyText"/>
        <w:spacing w:before="64"/>
        <w:ind w:left="463"/>
      </w:pPr>
      <w:r>
        <w:rPr/>
        <w:t>理部门依据《道路交通安全法》的规定认定为饮酒后驾驶或醉酒后驾驶。 </w:t>
      </w:r>
    </w:p>
    <w:p>
      <w:pPr>
        <w:spacing w:before="64"/>
        <w:ind w:left="300" w:right="0" w:firstLine="0"/>
        <w:jc w:val="left"/>
        <w:rPr>
          <w:sz w:val="18"/>
        </w:rPr>
      </w:pPr>
      <w:r>
        <w:rPr>
          <w:rFonts w:ascii="Times New Roman" w:eastAsia="Times New Roman"/>
          <w:position w:val="6"/>
          <w:sz w:val="12"/>
        </w:rPr>
        <w:t>7</w:t>
      </w:r>
      <w:r>
        <w:rPr>
          <w:rFonts w:ascii="Times New Roman" w:eastAsia="Times New Roman"/>
          <w:sz w:val="12"/>
        </w:rPr>
        <w:t>   </w:t>
      </w:r>
      <w:r>
        <w:rPr>
          <w:b/>
          <w:sz w:val="18"/>
        </w:rPr>
        <w:t>无合法有效驾驶证驾驶</w:t>
      </w:r>
      <w:r>
        <w:rPr>
          <w:sz w:val="18"/>
        </w:rPr>
        <w:t>指下列情形之一： </w:t>
      </w:r>
    </w:p>
    <w:p>
      <w:pPr>
        <w:pStyle w:val="BodyText"/>
        <w:spacing w:before="64"/>
        <w:ind w:left="463"/>
      </w:pPr>
      <w:r>
        <w:rPr/>
        <w:t>（1）没有驾驶证驾驶； </w:t>
      </w:r>
    </w:p>
    <w:p>
      <w:pPr>
        <w:pStyle w:val="BodyText"/>
        <w:spacing w:before="64"/>
        <w:ind w:left="463"/>
      </w:pPr>
      <w:r>
        <w:rPr/>
        <w:t>（2）驾驶与驾驶证准驾车型不相符合的车辆； </w:t>
      </w:r>
    </w:p>
    <w:p>
      <w:pPr>
        <w:pStyle w:val="BodyText"/>
        <w:spacing w:before="64"/>
        <w:ind w:left="463"/>
      </w:pPr>
      <w:r>
        <w:rPr/>
        <w:t>（3）持审验不合格的驾驶证驾驶； </w:t>
      </w:r>
    </w:p>
    <w:p>
      <w:pPr>
        <w:pStyle w:val="BodyText"/>
        <w:spacing w:before="64"/>
        <w:ind w:left="463"/>
      </w:pPr>
      <w:r>
        <w:rPr/>
        <w:t>（4）持学习驾驶证学习驾车时，无教练员随车指导，或不按指定时间、路线学习驾车。 </w:t>
      </w:r>
    </w:p>
    <w:p>
      <w:pPr>
        <w:spacing w:after="0"/>
        <w:sectPr>
          <w:pgSz w:w="11910" w:h="16840"/>
          <w:pgMar w:top="1480" w:bottom="280" w:left="780" w:right="10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808"/>
        <w:gridCol w:w="6685"/>
      </w:tblGrid>
      <w:tr>
        <w:trPr>
          <w:trHeight w:val="3394" w:hRule="atLeast"/>
        </w:trPr>
        <w:tc>
          <w:tcPr>
            <w:tcW w:w="943" w:type="dxa"/>
          </w:tcPr>
          <w:p>
            <w:pPr>
              <w:pStyle w:val="TableParagraph"/>
              <w:rPr>
                <w:rFonts w:ascii="Times New Roman"/>
                <w:sz w:val="18"/>
              </w:rPr>
            </w:pPr>
          </w:p>
        </w:tc>
        <w:tc>
          <w:tcPr>
            <w:tcW w:w="1808" w:type="dxa"/>
          </w:tcPr>
          <w:p>
            <w:pPr>
              <w:pStyle w:val="TableParagraph"/>
              <w:rPr>
                <w:rFonts w:ascii="Times New Roman"/>
                <w:sz w:val="18"/>
              </w:rPr>
            </w:pPr>
          </w:p>
        </w:tc>
        <w:tc>
          <w:tcPr>
            <w:tcW w:w="6685" w:type="dxa"/>
          </w:tcPr>
          <w:p>
            <w:pPr>
              <w:pStyle w:val="TableParagraph"/>
              <w:spacing w:line="244" w:lineRule="exact"/>
              <w:ind w:left="632"/>
              <w:rPr>
                <w:rFonts w:ascii="黑体" w:eastAsia="黑体" w:hint="eastAsia"/>
                <w:sz w:val="21"/>
              </w:rPr>
            </w:pPr>
            <w:r>
              <w:rPr>
                <w:rFonts w:ascii="黑体" w:eastAsia="黑体" w:hint="eastAsia"/>
                <w:b/>
                <w:sz w:val="21"/>
              </w:rPr>
              <w:t>证</w:t>
            </w:r>
            <w:r>
              <w:rPr>
                <w:rFonts w:ascii="黑体" w:eastAsia="黑体" w:hint="eastAsia"/>
                <w:b/>
                <w:position w:val="11"/>
                <w:sz w:val="11"/>
              </w:rPr>
              <w:t>8</w:t>
            </w:r>
            <w:r>
              <w:rPr>
                <w:rFonts w:ascii="黑体" w:eastAsia="黑体" w:hint="eastAsia"/>
                <w:sz w:val="21"/>
              </w:rPr>
              <w:t>的</w:t>
            </w:r>
            <w:r>
              <w:rPr>
                <w:rFonts w:ascii="黑体" w:eastAsia="黑体" w:hint="eastAsia"/>
                <w:b/>
                <w:sz w:val="21"/>
              </w:rPr>
              <w:t>机动车</w:t>
            </w:r>
            <w:r>
              <w:rPr>
                <w:rFonts w:ascii="黑体" w:eastAsia="黑体" w:hint="eastAsia"/>
                <w:b/>
                <w:position w:val="11"/>
                <w:sz w:val="11"/>
              </w:rPr>
              <w:t>9</w:t>
            </w:r>
            <w:r>
              <w:rPr>
                <w:rFonts w:ascii="黑体" w:eastAsia="黑体" w:hint="eastAsia"/>
                <w:sz w:val="21"/>
              </w:rPr>
              <w:t>；</w:t>
            </w:r>
          </w:p>
          <w:p>
            <w:pPr>
              <w:pStyle w:val="TableParagraph"/>
              <w:numPr>
                <w:ilvl w:val="0"/>
                <w:numId w:val="3"/>
              </w:numPr>
              <w:tabs>
                <w:tab w:pos="638" w:val="left" w:leader="none"/>
              </w:tabs>
              <w:spacing w:line="273" w:lineRule="auto" w:before="37" w:after="0"/>
              <w:ind w:left="632" w:right="-15" w:hanging="632"/>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b/>
                <w:position w:val="11"/>
                <w:sz w:val="11"/>
              </w:rPr>
              <w:t>10</w:t>
            </w:r>
            <w:r>
              <w:rPr>
                <w:rFonts w:ascii="黑体" w:eastAsia="黑体" w:hint="eastAsia"/>
                <w:sz w:val="21"/>
              </w:rPr>
              <w:t>（</w:t>
            </w:r>
            <w:r>
              <w:rPr>
                <w:rFonts w:ascii="黑体" w:eastAsia="黑体" w:hint="eastAsia"/>
                <w:spacing w:val="-1"/>
                <w:sz w:val="21"/>
              </w:rPr>
              <w:t>不包括经输血导致的艾滋</w:t>
            </w:r>
            <w:r>
              <w:rPr>
                <w:rFonts w:ascii="黑体" w:eastAsia="黑体" w:hint="eastAsia"/>
                <w:spacing w:val="-3"/>
                <w:w w:val="100"/>
                <w:sz w:val="21"/>
                <w:shd w:fill="D9D9D9" w:color="auto" w:val="clear"/>
              </w:rPr>
              <w:t>病病毒感染或患艾滋病</w:t>
            </w:r>
            <w:r>
              <w:rPr>
                <w:rFonts w:ascii="黑体" w:eastAsia="黑体" w:hint="eastAsia"/>
                <w:spacing w:val="-108"/>
                <w:w w:val="100"/>
                <w:sz w:val="21"/>
                <w:shd w:fill="D9D9D9" w:color="auto" w:val="clear"/>
              </w:rPr>
              <w:t>）</w:t>
            </w:r>
            <w:r>
              <w:rPr>
                <w:rFonts w:ascii="黑体" w:eastAsia="黑体" w:hint="eastAsia"/>
                <w:w w:val="100"/>
                <w:sz w:val="21"/>
                <w:shd w:fill="D9D9D9" w:color="auto" w:val="clear"/>
              </w:rPr>
              <w:t>；</w:t>
            </w:r>
          </w:p>
          <w:p>
            <w:pPr>
              <w:pStyle w:val="TableParagraph"/>
              <w:numPr>
                <w:ilvl w:val="0"/>
                <w:numId w:val="3"/>
              </w:numPr>
              <w:tabs>
                <w:tab w:pos="633" w:val="left" w:leader="none"/>
              </w:tabs>
              <w:spacing w:line="240" w:lineRule="auto" w:before="7" w:after="0"/>
              <w:ind w:left="632" w:right="0" w:hanging="632"/>
              <w:jc w:val="left"/>
              <w:rPr>
                <w:rFonts w:ascii="黑体" w:eastAsia="黑体" w:hint="eastAsia"/>
                <w:sz w:val="21"/>
              </w:rPr>
            </w:pPr>
            <w:r>
              <w:rPr>
                <w:rFonts w:ascii="黑体" w:eastAsia="黑体" w:hint="eastAsia"/>
                <w:b/>
                <w:spacing w:val="-1"/>
                <w:sz w:val="21"/>
              </w:rPr>
              <w:t>遗传性疾病</w:t>
            </w:r>
            <w:r>
              <w:rPr>
                <w:rFonts w:ascii="黑体" w:eastAsia="黑体" w:hint="eastAsia"/>
                <w:b/>
                <w:position w:val="11"/>
                <w:sz w:val="11"/>
              </w:rPr>
              <w:t>11</w:t>
            </w:r>
            <w:r>
              <w:rPr>
                <w:rFonts w:ascii="黑体" w:eastAsia="黑体" w:hint="eastAsia"/>
                <w:sz w:val="21"/>
              </w:rPr>
              <w:t>，</w:t>
            </w:r>
            <w:r>
              <w:rPr>
                <w:rFonts w:ascii="黑体" w:eastAsia="黑体" w:hint="eastAsia"/>
                <w:b/>
                <w:spacing w:val="-2"/>
                <w:sz w:val="21"/>
              </w:rPr>
              <w:t>先天性畸形、变形或染色体异常</w:t>
            </w:r>
            <w:r>
              <w:rPr>
                <w:rFonts w:ascii="黑体" w:eastAsia="黑体" w:hint="eastAsia"/>
                <w:b/>
                <w:position w:val="11"/>
                <w:sz w:val="11"/>
              </w:rPr>
              <w:t>12</w:t>
            </w:r>
            <w:r>
              <w:rPr>
                <w:rFonts w:ascii="黑体" w:eastAsia="黑体" w:hint="eastAsia"/>
                <w:sz w:val="21"/>
              </w:rPr>
              <w:t>。</w:t>
            </w:r>
          </w:p>
          <w:p>
            <w:pPr>
              <w:pStyle w:val="TableParagraph"/>
              <w:spacing w:before="8"/>
              <w:rPr>
                <w:sz w:val="26"/>
              </w:rPr>
            </w:pPr>
          </w:p>
          <w:p>
            <w:pPr>
              <w:pStyle w:val="TableParagraph"/>
              <w:spacing w:line="273" w:lineRule="auto"/>
              <w:ind w:right="-15"/>
              <w:jc w:val="both"/>
              <w:rPr>
                <w:rFonts w:ascii="黑体" w:eastAsia="黑体" w:hint="eastAsia"/>
                <w:sz w:val="21"/>
              </w:rPr>
            </w:pPr>
            <w:r>
              <w:rPr>
                <w:rFonts w:ascii="黑体" w:eastAsia="黑体" w:hint="eastAsia"/>
                <w:sz w:val="21"/>
                <w:shd w:fill="D9D9D9" w:color="auto" w:val="clear"/>
              </w:rPr>
              <w:t>发Th上述第（1）项情形导致被保险人初次发Th重大疾病的，本附加合同</w:t>
            </w:r>
            <w:r>
              <w:rPr>
                <w:rFonts w:ascii="黑体" w:eastAsia="黑体" w:hint="eastAsia"/>
                <w:spacing w:val="-6"/>
                <w:sz w:val="21"/>
                <w:shd w:fill="D9D9D9" w:color="auto" w:val="clear"/>
              </w:rPr>
              <w:t>及其主合同效力终止，您已交足两年以上保险费的，我们向被保险人退还</w:t>
            </w:r>
            <w:r>
              <w:rPr>
                <w:rFonts w:ascii="黑体" w:eastAsia="黑体" w:hint="eastAsia"/>
                <w:spacing w:val="-198"/>
                <w:sz w:val="21"/>
                <w:shd w:fill="D9D9D9" w:color="auto" w:val="clear"/>
              </w:rPr>
              <w:t>本</w:t>
            </w:r>
            <w:r>
              <w:rPr>
                <w:rFonts w:ascii="黑体" w:eastAsia="黑体" w:hint="eastAsia"/>
                <w:spacing w:val="-3"/>
                <w:sz w:val="21"/>
                <w:shd w:fill="D9D9D9" w:color="auto" w:val="clear"/>
              </w:rPr>
              <w:t>附加合同及其主合同的现金价值。</w:t>
            </w:r>
          </w:p>
          <w:p>
            <w:pPr>
              <w:pStyle w:val="TableParagraph"/>
              <w:spacing w:before="9"/>
              <w:rPr>
                <w:sz w:val="21"/>
              </w:rPr>
            </w:pPr>
          </w:p>
          <w:p>
            <w:pPr>
              <w:pStyle w:val="TableParagraph"/>
              <w:spacing w:line="310" w:lineRule="atLeast"/>
              <w:ind w:right="-15"/>
              <w:jc w:val="both"/>
              <w:rPr>
                <w:sz w:val="21"/>
              </w:rPr>
            </w:pPr>
            <w:r>
              <w:rPr>
                <w:rFonts w:ascii="黑体" w:eastAsia="黑体" w:hint="eastAsia"/>
                <w:sz w:val="21"/>
              </w:rPr>
              <w:t>发Th</w:t>
            </w:r>
            <w:r>
              <w:rPr>
                <w:rFonts w:ascii="黑体" w:eastAsia="黑体" w:hint="eastAsia"/>
                <w:spacing w:val="-3"/>
                <w:sz w:val="21"/>
              </w:rPr>
              <w:t>上述其他情形导致被保险人初次发</w:t>
            </w:r>
            <w:r>
              <w:rPr>
                <w:rFonts w:ascii="黑体" w:eastAsia="黑体" w:hint="eastAsia"/>
                <w:sz w:val="21"/>
              </w:rPr>
              <w:t>Th</w:t>
            </w:r>
            <w:r>
              <w:rPr>
                <w:rFonts w:ascii="黑体" w:eastAsia="黑体" w:hint="eastAsia"/>
                <w:spacing w:val="-8"/>
                <w:sz w:val="21"/>
              </w:rPr>
              <w:t>重大疾病的，本附加合同及其主</w:t>
            </w:r>
            <w:r>
              <w:rPr>
                <w:rFonts w:ascii="黑体" w:eastAsia="黑体" w:hint="eastAsia"/>
                <w:spacing w:val="-3"/>
                <w:sz w:val="21"/>
              </w:rPr>
              <w:t>合同效力终止，我们向您退还本附加合同及其主合同的现金价值。</w:t>
            </w:r>
            <w:r>
              <w:rPr>
                <w:spacing w:val="-3"/>
                <w:sz w:val="21"/>
              </w:rPr>
              <w:t> </w:t>
            </w:r>
          </w:p>
        </w:tc>
      </w:tr>
      <w:tr>
        <w:trPr>
          <w:trHeight w:val="340" w:hRule="atLeast"/>
        </w:trPr>
        <w:tc>
          <w:tcPr>
            <w:tcW w:w="943" w:type="dxa"/>
          </w:tcPr>
          <w:p>
            <w:pPr>
              <w:pStyle w:val="TableParagraph"/>
              <w:spacing w:before="7"/>
              <w:ind w:left="200"/>
              <w:rPr>
                <w:sz w:val="21"/>
              </w:rPr>
            </w:pPr>
            <w:r>
              <w:rPr>
                <w:w w:val="100"/>
                <w:sz w:val="21"/>
              </w:rPr>
              <w:t> </w:t>
            </w:r>
          </w:p>
        </w:tc>
        <w:tc>
          <w:tcPr>
            <w:tcW w:w="1808" w:type="dxa"/>
          </w:tcPr>
          <w:p>
            <w:pPr>
              <w:pStyle w:val="TableParagraph"/>
              <w:spacing w:before="7"/>
              <w:ind w:left="109"/>
              <w:rPr>
                <w:sz w:val="21"/>
              </w:rPr>
            </w:pPr>
            <w:r>
              <w:rPr>
                <w:w w:val="100"/>
                <w:sz w:val="21"/>
              </w:rPr>
              <w:t> </w:t>
            </w:r>
          </w:p>
        </w:tc>
        <w:tc>
          <w:tcPr>
            <w:tcW w:w="6685" w:type="dxa"/>
          </w:tcPr>
          <w:p>
            <w:pPr>
              <w:pStyle w:val="TableParagraph"/>
              <w:spacing w:before="7"/>
              <w:rPr>
                <w:sz w:val="21"/>
              </w:rPr>
            </w:pPr>
            <w:r>
              <w:rPr>
                <w:w w:val="100"/>
                <w:sz w:val="21"/>
              </w:rPr>
              <w:t> </w:t>
            </w:r>
          </w:p>
        </w:tc>
      </w:tr>
      <w:tr>
        <w:trPr>
          <w:trHeight w:val="651" w:hRule="atLeast"/>
        </w:trPr>
        <w:tc>
          <w:tcPr>
            <w:tcW w:w="943" w:type="dxa"/>
          </w:tcPr>
          <w:p>
            <w:pPr>
              <w:pStyle w:val="TableParagraph"/>
              <w:spacing w:line="631" w:lineRule="exact"/>
              <w:ind w:left="200"/>
              <w:rPr>
                <w:rFonts w:ascii="Yu Gothic" w:hAnsi="Yu Gothic"/>
                <w:b/>
                <w:sz w:val="52"/>
              </w:rPr>
            </w:pPr>
            <w:r>
              <w:rPr>
                <w:rFonts w:ascii="Yu Gothic" w:hAnsi="Yu Gothic"/>
                <w:b/>
                <w:w w:val="89"/>
                <w:sz w:val="52"/>
              </w:rPr>
              <w:t></w:t>
            </w:r>
          </w:p>
        </w:tc>
        <w:tc>
          <w:tcPr>
            <w:tcW w:w="8493" w:type="dxa"/>
            <w:gridSpan w:val="2"/>
          </w:tcPr>
          <w:p>
            <w:pPr>
              <w:pStyle w:val="TableParagraph"/>
              <w:spacing w:before="105"/>
              <w:ind w:left="109"/>
              <w:rPr>
                <w:sz w:val="21"/>
              </w:rPr>
            </w:pPr>
            <w:r>
              <w:rPr>
                <w:b/>
                <w:sz w:val="28"/>
              </w:rPr>
              <w:t>如何支付保险费 </w:t>
            </w:r>
            <w:r>
              <w:rPr>
                <w:sz w:val="21"/>
              </w:rPr>
              <w:t>这部分讲的是您应按时交纳保险费。 </w:t>
            </w:r>
          </w:p>
        </w:tc>
      </w:tr>
      <w:tr>
        <w:trPr>
          <w:trHeight w:val="318" w:hRule="atLeast"/>
        </w:trPr>
        <w:tc>
          <w:tcPr>
            <w:tcW w:w="943"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109"/>
              <w:rPr>
                <w:b/>
                <w:sz w:val="21"/>
              </w:rPr>
            </w:pPr>
            <w:r>
              <w:rPr>
                <w:b/>
                <w:w w:val="99"/>
                <w:sz w:val="21"/>
              </w:rPr>
              <w:t> </w:t>
            </w:r>
          </w:p>
        </w:tc>
        <w:tc>
          <w:tcPr>
            <w:tcW w:w="6685" w:type="dxa"/>
          </w:tcPr>
          <w:p>
            <w:pPr>
              <w:pStyle w:val="TableParagraph"/>
              <w:spacing w:line="255" w:lineRule="exact"/>
              <w:rPr>
                <w:sz w:val="21"/>
              </w:rPr>
            </w:pPr>
            <w:r>
              <w:rPr>
                <w:w w:val="100"/>
                <w:sz w:val="21"/>
              </w:rPr>
              <w:t> </w:t>
            </w:r>
          </w:p>
        </w:tc>
      </w:tr>
      <w:tr>
        <w:trPr>
          <w:trHeight w:val="949" w:hRule="atLeast"/>
        </w:trPr>
        <w:tc>
          <w:tcPr>
            <w:tcW w:w="943" w:type="dxa"/>
          </w:tcPr>
          <w:p>
            <w:pPr>
              <w:pStyle w:val="TableParagraph"/>
              <w:ind w:left="200"/>
              <w:rPr>
                <w:b/>
                <w:sz w:val="21"/>
              </w:rPr>
            </w:pPr>
            <w:r>
              <w:rPr>
                <w:b/>
                <w:sz w:val="21"/>
              </w:rPr>
              <w:t>3.1   </w:t>
            </w:r>
          </w:p>
        </w:tc>
        <w:tc>
          <w:tcPr>
            <w:tcW w:w="1808" w:type="dxa"/>
          </w:tcPr>
          <w:p>
            <w:pPr>
              <w:pStyle w:val="TableParagraph"/>
              <w:ind w:left="109"/>
              <w:rPr>
                <w:b/>
                <w:sz w:val="21"/>
              </w:rPr>
            </w:pPr>
            <w:bookmarkStart w:name="_bookmark4" w:id="5"/>
            <w:bookmarkEnd w:id="5"/>
            <w:r>
              <w:rPr/>
            </w:r>
            <w:r>
              <w:rPr>
                <w:b/>
                <w:sz w:val="21"/>
              </w:rPr>
              <w:t>保险费的支付</w:t>
            </w:r>
            <w:r>
              <w:rPr>
                <w:b/>
                <w:w w:val="99"/>
                <w:sz w:val="21"/>
              </w:rPr>
              <w:t> </w:t>
            </w:r>
          </w:p>
        </w:tc>
        <w:tc>
          <w:tcPr>
            <w:tcW w:w="6685" w:type="dxa"/>
          </w:tcPr>
          <w:p>
            <w:pPr>
              <w:pStyle w:val="TableParagraph"/>
              <w:spacing w:line="273" w:lineRule="auto"/>
              <w:ind w:right="-15"/>
              <w:jc w:val="both"/>
              <w:rPr>
                <w:sz w:val="21"/>
              </w:rPr>
            </w:pPr>
            <w:r>
              <w:rPr>
                <w:spacing w:val="-5"/>
                <w:sz w:val="21"/>
              </w:rPr>
              <w:t>本附加合同的交费方式由您和我们约定并在保险单上载明。分期交纳保险费的，在交纳首期保险费后，您应当按约定的</w:t>
            </w:r>
            <w:r>
              <w:rPr>
                <w:b/>
                <w:spacing w:val="-5"/>
                <w:sz w:val="21"/>
              </w:rPr>
              <w:t>保险费支付日</w:t>
            </w:r>
            <w:r>
              <w:rPr>
                <w:b/>
                <w:spacing w:val="-5"/>
                <w:position w:val="11"/>
                <w:sz w:val="11"/>
              </w:rPr>
              <w:t>13</w:t>
            </w:r>
            <w:r>
              <w:rPr>
                <w:spacing w:val="-4"/>
                <w:sz w:val="21"/>
              </w:rPr>
              <w:t>交纳其余各</w:t>
            </w:r>
            <w:r>
              <w:rPr>
                <w:spacing w:val="-3"/>
                <w:sz w:val="21"/>
              </w:rPr>
              <w:t>期的保险费。 </w:t>
            </w:r>
          </w:p>
        </w:tc>
      </w:tr>
      <w:tr>
        <w:trPr>
          <w:trHeight w:val="326" w:hRule="atLeast"/>
        </w:trPr>
        <w:tc>
          <w:tcPr>
            <w:tcW w:w="943" w:type="dxa"/>
          </w:tcPr>
          <w:p>
            <w:pPr>
              <w:pStyle w:val="TableParagraph"/>
              <w:spacing w:line="261" w:lineRule="exact"/>
              <w:ind w:left="200"/>
              <w:rPr>
                <w:sz w:val="21"/>
              </w:rPr>
            </w:pPr>
            <w:r>
              <w:rPr>
                <w:w w:val="100"/>
                <w:sz w:val="21"/>
              </w:rPr>
              <w:t> </w:t>
            </w:r>
          </w:p>
        </w:tc>
        <w:tc>
          <w:tcPr>
            <w:tcW w:w="1808" w:type="dxa"/>
          </w:tcPr>
          <w:p>
            <w:pPr>
              <w:pStyle w:val="TableParagraph"/>
              <w:spacing w:line="261" w:lineRule="exact"/>
              <w:ind w:left="109"/>
              <w:rPr>
                <w:sz w:val="21"/>
              </w:rPr>
            </w:pPr>
            <w:r>
              <w:rPr>
                <w:w w:val="100"/>
                <w:sz w:val="21"/>
              </w:rPr>
              <w:t> </w:t>
            </w:r>
          </w:p>
        </w:tc>
        <w:tc>
          <w:tcPr>
            <w:tcW w:w="6685" w:type="dxa"/>
          </w:tcPr>
          <w:p>
            <w:pPr>
              <w:pStyle w:val="TableParagraph"/>
              <w:spacing w:line="261" w:lineRule="exact"/>
              <w:rPr>
                <w:sz w:val="21"/>
              </w:rPr>
            </w:pPr>
            <w:r>
              <w:rPr>
                <w:w w:val="100"/>
                <w:sz w:val="21"/>
              </w:rPr>
              <w:t> </w:t>
            </w:r>
          </w:p>
        </w:tc>
      </w:tr>
      <w:tr>
        <w:trPr>
          <w:trHeight w:val="2198" w:hRule="atLeast"/>
        </w:trPr>
        <w:tc>
          <w:tcPr>
            <w:tcW w:w="943" w:type="dxa"/>
          </w:tcPr>
          <w:p>
            <w:pPr>
              <w:pStyle w:val="TableParagraph"/>
              <w:spacing w:before="1"/>
              <w:ind w:left="200"/>
              <w:rPr>
                <w:b/>
                <w:sz w:val="21"/>
              </w:rPr>
            </w:pPr>
            <w:r>
              <w:rPr>
                <w:b/>
                <w:sz w:val="21"/>
              </w:rPr>
              <w:t>3.2   </w:t>
            </w:r>
          </w:p>
        </w:tc>
        <w:tc>
          <w:tcPr>
            <w:tcW w:w="1808" w:type="dxa"/>
          </w:tcPr>
          <w:p>
            <w:pPr>
              <w:pStyle w:val="TableParagraph"/>
              <w:spacing w:before="1"/>
              <w:ind w:left="109"/>
              <w:rPr>
                <w:b/>
                <w:sz w:val="21"/>
              </w:rPr>
            </w:pPr>
            <w:bookmarkStart w:name="_bookmark5" w:id="6"/>
            <w:bookmarkEnd w:id="6"/>
            <w:r>
              <w:rPr/>
            </w:r>
            <w:r>
              <w:rPr>
                <w:b/>
                <w:sz w:val="21"/>
              </w:rPr>
              <w:t>宽限期</w:t>
            </w:r>
            <w:r>
              <w:rPr>
                <w:b/>
                <w:w w:val="99"/>
                <w:sz w:val="21"/>
              </w:rPr>
              <w:t> </w:t>
            </w:r>
          </w:p>
        </w:tc>
        <w:tc>
          <w:tcPr>
            <w:tcW w:w="6685" w:type="dxa"/>
          </w:tcPr>
          <w:p>
            <w:pPr>
              <w:pStyle w:val="TableParagraph"/>
              <w:spacing w:line="273" w:lineRule="auto" w:before="1"/>
              <w:ind w:right="-15"/>
              <w:jc w:val="both"/>
              <w:rPr>
                <w:sz w:val="21"/>
              </w:rPr>
            </w:pPr>
            <w:r>
              <w:rPr>
                <w:spacing w:val="-7"/>
                <w:sz w:val="21"/>
              </w:rPr>
              <w:t>分期支付保险费的，在支付首期保险费后，除另有约定外，如果您到期未</w:t>
            </w:r>
            <w:r>
              <w:rPr>
                <w:spacing w:val="-5"/>
                <w:sz w:val="21"/>
              </w:rPr>
              <w:t>支付续期保险费，自保险费约定支付日的次日零时起 </w:t>
            </w:r>
            <w:r>
              <w:rPr>
                <w:sz w:val="21"/>
              </w:rPr>
              <w:t>60</w:t>
            </w:r>
            <w:r>
              <w:rPr>
                <w:spacing w:val="-3"/>
                <w:sz w:val="21"/>
              </w:rPr>
              <w:t> 日为宽限期。宽</w:t>
            </w:r>
            <w:r>
              <w:rPr>
                <w:spacing w:val="-6"/>
                <w:sz w:val="21"/>
              </w:rPr>
              <w:t>限期内发生的保险事故，我们仍会承担保险责任，但在给付保险金时会扣</w:t>
            </w:r>
            <w:r>
              <w:rPr>
                <w:spacing w:val="-4"/>
                <w:sz w:val="21"/>
              </w:rPr>
              <w:t>减您欠交的保险费。</w:t>
            </w:r>
            <w:r>
              <w:rPr>
                <w:sz w:val="21"/>
              </w:rPr>
              <w:t> </w:t>
            </w:r>
          </w:p>
          <w:p>
            <w:pPr>
              <w:pStyle w:val="TableParagraph"/>
              <w:spacing w:before="7"/>
              <w:rPr>
                <w:sz w:val="21"/>
              </w:rPr>
            </w:pPr>
            <w:r>
              <w:rPr>
                <w:w w:val="100"/>
                <w:sz w:val="21"/>
              </w:rPr>
              <w:t> </w:t>
            </w:r>
          </w:p>
          <w:p>
            <w:pPr>
              <w:pStyle w:val="TableParagraph"/>
              <w:spacing w:line="273" w:lineRule="auto" w:before="36"/>
              <w:ind w:right="-15"/>
              <w:jc w:val="both"/>
              <w:rPr>
                <w:sz w:val="21"/>
              </w:rPr>
            </w:pPr>
            <w:r>
              <w:rPr>
                <w:spacing w:val="-5"/>
                <w:sz w:val="21"/>
              </w:rPr>
              <w:t>如果您截止宽限期届满之日仍未支付保险费，则本附加合同效力自宽限期</w:t>
            </w:r>
            <w:r>
              <w:rPr>
                <w:spacing w:val="-4"/>
                <w:sz w:val="21"/>
              </w:rPr>
              <w:t>满的次日零时起中止。</w:t>
            </w:r>
            <w:r>
              <w:rPr>
                <w:sz w:val="21"/>
              </w:rPr>
              <w:t> </w:t>
            </w:r>
          </w:p>
        </w:tc>
      </w:tr>
      <w:tr>
        <w:trPr>
          <w:trHeight w:val="326" w:hRule="atLeast"/>
        </w:trPr>
        <w:tc>
          <w:tcPr>
            <w:tcW w:w="943" w:type="dxa"/>
          </w:tcPr>
          <w:p>
            <w:pPr>
              <w:pStyle w:val="TableParagraph"/>
              <w:spacing w:line="261" w:lineRule="exact"/>
              <w:ind w:left="200"/>
              <w:rPr>
                <w:sz w:val="21"/>
              </w:rPr>
            </w:pPr>
            <w:r>
              <w:rPr>
                <w:w w:val="100"/>
                <w:sz w:val="21"/>
              </w:rPr>
              <w:t> </w:t>
            </w:r>
          </w:p>
        </w:tc>
        <w:tc>
          <w:tcPr>
            <w:tcW w:w="1808" w:type="dxa"/>
          </w:tcPr>
          <w:p>
            <w:pPr>
              <w:pStyle w:val="TableParagraph"/>
              <w:spacing w:line="261" w:lineRule="exact"/>
              <w:ind w:left="109"/>
              <w:rPr>
                <w:sz w:val="21"/>
              </w:rPr>
            </w:pPr>
            <w:r>
              <w:rPr>
                <w:w w:val="100"/>
                <w:sz w:val="21"/>
              </w:rPr>
              <w:t> </w:t>
            </w:r>
          </w:p>
        </w:tc>
        <w:tc>
          <w:tcPr>
            <w:tcW w:w="6685" w:type="dxa"/>
          </w:tcPr>
          <w:p>
            <w:pPr>
              <w:pStyle w:val="TableParagraph"/>
              <w:spacing w:line="261" w:lineRule="exact"/>
              <w:rPr>
                <w:sz w:val="21"/>
              </w:rPr>
            </w:pPr>
            <w:r>
              <w:rPr>
                <w:w w:val="100"/>
                <w:sz w:val="21"/>
              </w:rPr>
              <w:t> </w:t>
            </w:r>
          </w:p>
        </w:tc>
      </w:tr>
      <w:tr>
        <w:trPr>
          <w:trHeight w:val="326" w:hRule="atLeast"/>
        </w:trPr>
        <w:tc>
          <w:tcPr>
            <w:tcW w:w="943" w:type="dxa"/>
          </w:tcPr>
          <w:p>
            <w:pPr>
              <w:pStyle w:val="TableParagraph"/>
              <w:spacing w:before="1"/>
              <w:ind w:left="200"/>
              <w:rPr>
                <w:b/>
                <w:sz w:val="21"/>
              </w:rPr>
            </w:pPr>
            <w:r>
              <w:rPr>
                <w:b/>
                <w:sz w:val="21"/>
              </w:rPr>
              <w:t>3.3   </w:t>
            </w:r>
          </w:p>
        </w:tc>
        <w:tc>
          <w:tcPr>
            <w:tcW w:w="1808" w:type="dxa"/>
          </w:tcPr>
          <w:p>
            <w:pPr>
              <w:pStyle w:val="TableParagraph"/>
              <w:spacing w:before="1"/>
              <w:ind w:left="109"/>
              <w:rPr>
                <w:b/>
                <w:sz w:val="21"/>
              </w:rPr>
            </w:pPr>
            <w:bookmarkStart w:name="_bookmark6" w:id="7"/>
            <w:bookmarkEnd w:id="7"/>
            <w:r>
              <w:rPr/>
            </w:r>
            <w:r>
              <w:rPr>
                <w:b/>
                <w:sz w:val="21"/>
              </w:rPr>
              <w:t>效力中止</w:t>
            </w:r>
            <w:r>
              <w:rPr>
                <w:b/>
                <w:w w:val="99"/>
                <w:sz w:val="21"/>
              </w:rPr>
              <w:t> </w:t>
            </w:r>
          </w:p>
        </w:tc>
        <w:tc>
          <w:tcPr>
            <w:tcW w:w="6685" w:type="dxa"/>
          </w:tcPr>
          <w:p>
            <w:pPr>
              <w:pStyle w:val="TableParagraph"/>
              <w:spacing w:before="1"/>
              <w:rPr>
                <w:rFonts w:ascii="黑体" w:eastAsia="黑体" w:hint="eastAsia"/>
                <w:sz w:val="21"/>
              </w:rPr>
            </w:pPr>
            <w:r>
              <w:rPr>
                <w:rFonts w:ascii="黑体" w:eastAsia="黑体" w:hint="eastAsia"/>
                <w:sz w:val="21"/>
                <w:shd w:fill="D9D9D9" w:color="auto" w:val="clear"/>
              </w:rPr>
              <w:t>本附加合同效力中止期间如果发Th保险事故，我们不承担保险责任。</w:t>
            </w:r>
          </w:p>
        </w:tc>
      </w:tr>
      <w:tr>
        <w:trPr>
          <w:trHeight w:val="325" w:hRule="atLeast"/>
        </w:trPr>
        <w:tc>
          <w:tcPr>
            <w:tcW w:w="943" w:type="dxa"/>
          </w:tcPr>
          <w:p>
            <w:pPr>
              <w:pStyle w:val="TableParagraph"/>
              <w:spacing w:line="261" w:lineRule="exact"/>
              <w:ind w:left="200"/>
              <w:rPr>
                <w:sz w:val="21"/>
              </w:rPr>
            </w:pPr>
            <w:r>
              <w:rPr>
                <w:w w:val="100"/>
                <w:sz w:val="21"/>
              </w:rPr>
              <w:t> </w:t>
            </w:r>
          </w:p>
        </w:tc>
        <w:tc>
          <w:tcPr>
            <w:tcW w:w="1808" w:type="dxa"/>
          </w:tcPr>
          <w:p>
            <w:pPr>
              <w:pStyle w:val="TableParagraph"/>
              <w:spacing w:line="261" w:lineRule="exact"/>
              <w:ind w:left="109"/>
              <w:rPr>
                <w:sz w:val="21"/>
              </w:rPr>
            </w:pPr>
            <w:r>
              <w:rPr>
                <w:w w:val="100"/>
                <w:sz w:val="21"/>
              </w:rPr>
              <w:t> </w:t>
            </w:r>
          </w:p>
        </w:tc>
        <w:tc>
          <w:tcPr>
            <w:tcW w:w="6685" w:type="dxa"/>
          </w:tcPr>
          <w:p>
            <w:pPr>
              <w:pStyle w:val="TableParagraph"/>
              <w:spacing w:line="261" w:lineRule="exact"/>
              <w:rPr>
                <w:sz w:val="21"/>
              </w:rPr>
            </w:pPr>
            <w:r>
              <w:rPr>
                <w:w w:val="100"/>
                <w:sz w:val="21"/>
              </w:rPr>
              <w:t> </w:t>
            </w:r>
          </w:p>
        </w:tc>
      </w:tr>
      <w:tr>
        <w:trPr>
          <w:trHeight w:val="274" w:hRule="atLeast"/>
        </w:trPr>
        <w:tc>
          <w:tcPr>
            <w:tcW w:w="943" w:type="dxa"/>
          </w:tcPr>
          <w:p>
            <w:pPr>
              <w:pStyle w:val="TableParagraph"/>
              <w:spacing w:line="255" w:lineRule="exact"/>
              <w:ind w:left="200"/>
              <w:rPr>
                <w:b/>
                <w:sz w:val="21"/>
              </w:rPr>
            </w:pPr>
            <w:r>
              <w:rPr>
                <w:b/>
                <w:sz w:val="21"/>
              </w:rPr>
              <w:t>3.4 </w:t>
            </w:r>
          </w:p>
        </w:tc>
        <w:tc>
          <w:tcPr>
            <w:tcW w:w="1808" w:type="dxa"/>
          </w:tcPr>
          <w:p>
            <w:pPr>
              <w:pStyle w:val="TableParagraph"/>
              <w:spacing w:line="255" w:lineRule="exact"/>
              <w:ind w:left="109"/>
              <w:rPr>
                <w:b/>
                <w:sz w:val="21"/>
              </w:rPr>
            </w:pPr>
            <w:bookmarkStart w:name="_bookmark7" w:id="8"/>
            <w:bookmarkEnd w:id="8"/>
            <w:r>
              <w:rPr/>
            </w:r>
            <w:r>
              <w:rPr>
                <w:b/>
                <w:sz w:val="21"/>
              </w:rPr>
              <w:t>效力恢复</w:t>
            </w:r>
            <w:r>
              <w:rPr>
                <w:b/>
                <w:w w:val="99"/>
                <w:sz w:val="21"/>
              </w:rPr>
              <w:t> </w:t>
            </w:r>
          </w:p>
        </w:tc>
        <w:tc>
          <w:tcPr>
            <w:tcW w:w="6685" w:type="dxa"/>
          </w:tcPr>
          <w:p>
            <w:pPr>
              <w:pStyle w:val="TableParagraph"/>
              <w:spacing w:line="255" w:lineRule="exact"/>
              <w:ind w:right="-15"/>
              <w:rPr>
                <w:sz w:val="21"/>
              </w:rPr>
            </w:pPr>
            <w:r>
              <w:rPr>
                <w:spacing w:val="-6"/>
                <w:sz w:val="21"/>
              </w:rPr>
              <w:t>本附加合同效力中止后 </w:t>
            </w:r>
            <w:r>
              <w:rPr>
                <w:sz w:val="21"/>
              </w:rPr>
              <w:t>2</w:t>
            </w:r>
            <w:r>
              <w:rPr>
                <w:spacing w:val="-10"/>
                <w:sz w:val="21"/>
              </w:rPr>
              <w:t> 年内，您可以申请恢复合同效力。我们将在收到</w:t>
            </w:r>
          </w:p>
        </w:tc>
      </w:tr>
    </w:tbl>
    <w:p>
      <w:pPr>
        <w:pStyle w:val="BodyText"/>
        <w:spacing w:before="11"/>
        <w:rPr>
          <w:sz w:val="12"/>
        </w:rPr>
      </w:pPr>
      <w:r>
        <w:rPr/>
        <w:pict>
          <v:line style="position:absolute;mso-position-horizontal-relative:page;mso-position-vertical-relative:paragraph;z-index:2248;mso-wrap-distance-left:0;mso-wrap-distance-right:0" from="54pt,10.63501pt" to="198.05pt,10.63501pt" stroked="true" strokeweight=".47998pt" strokecolor="#000000">
            <v:stroke dashstyle="solid"/>
            <w10:wrap type="topAndBottom"/>
          </v:line>
        </w:pict>
      </w:r>
      <w:r>
        <w:rPr/>
        <w:pict>
          <v:shape style="position:absolute;margin-left:181.580002pt;margin-top:72.955948pt;width:334.15pt;height:29.35pt;mso-position-horizontal-relative:page;mso-position-vertical-relative:page;z-index:-61000" coordorigin="3632,1459" coordsize="6683,587" path="m5641,1459l4263,1459,4263,1733,5641,1733,5641,1459m10315,1772l3632,1772,3632,2045,10315,2045,10315,1772e" filled="true" fillcolor="#d9d9d9" stroked="false">
            <v:path arrowok="t"/>
            <v:fill type="solid"/>
            <w10:wrap type="none"/>
          </v:shape>
        </w:pict>
      </w:r>
      <w:r>
        <w:rPr/>
        <w:pict>
          <v:rect style="position:absolute;margin-left:181.580002pt;margin-top:119.779984pt;width:264.31pt;height:13.68pt;mso-position-horizontal-relative:page;mso-position-vertical-relative:page;z-index:-60976" filled="true" fillcolor="#d9d9d9" stroked="false">
            <v:fill type="solid"/>
            <w10:wrap type="none"/>
          </v:rect>
        </w:pict>
      </w:r>
      <w:r>
        <w:rPr/>
        <w:pict>
          <v:shape style="position:absolute;margin-left:181.580002pt;margin-top:213.379959pt;width:334.15pt;height:29.3pt;mso-position-horizontal-relative:page;mso-position-vertical-relative:page;z-index:-60952" coordorigin="3632,4268" coordsize="6683,586" path="m9727,4580l3632,4580,3632,4853,9727,4853,9727,4580m10315,4268l3632,4268,3632,4541,10315,4541,10315,4268e" filled="true" fillcolor="#d9d9d9" stroked="false">
            <v:path arrowok="t"/>
            <v:fill type="solid"/>
            <w10:wrap type="none"/>
          </v:shape>
        </w:pict>
      </w:r>
    </w:p>
    <w:p>
      <w:pPr>
        <w:spacing w:before="92"/>
        <w:ind w:left="300" w:right="0" w:firstLine="0"/>
        <w:jc w:val="left"/>
        <w:rPr>
          <w:sz w:val="18"/>
        </w:rPr>
      </w:pPr>
      <w:r>
        <w:rPr>
          <w:rFonts w:ascii="Times New Roman" w:eastAsia="Times New Roman"/>
          <w:position w:val="6"/>
          <w:sz w:val="12"/>
        </w:rPr>
        <w:t>8</w:t>
      </w:r>
      <w:r>
        <w:rPr>
          <w:rFonts w:ascii="Times New Roman" w:eastAsia="Times New Roman"/>
          <w:sz w:val="12"/>
        </w:rPr>
        <w:t>   </w:t>
      </w:r>
      <w:r>
        <w:rPr>
          <w:b/>
          <w:sz w:val="18"/>
        </w:rPr>
        <w:t>无有效行驶证</w:t>
      </w:r>
      <w:r>
        <w:rPr>
          <w:sz w:val="18"/>
        </w:rPr>
        <w:t>指下列情形之一： </w:t>
      </w:r>
    </w:p>
    <w:p>
      <w:pPr>
        <w:pStyle w:val="BodyText"/>
        <w:spacing w:before="64"/>
        <w:ind w:left="463"/>
      </w:pPr>
      <w:r>
        <w:rPr/>
        <w:t>（1） 机动车被依法注销登记的； </w:t>
      </w:r>
    </w:p>
    <w:p>
      <w:pPr>
        <w:pStyle w:val="BodyText"/>
        <w:spacing w:before="64"/>
        <w:ind w:left="463"/>
      </w:pPr>
      <w:r>
        <w:rPr/>
        <w:t>（2） 未依法按时进行或通过机动车安全技术检验。 </w:t>
      </w:r>
    </w:p>
    <w:p>
      <w:pPr>
        <w:pStyle w:val="BodyText"/>
        <w:spacing w:before="64"/>
        <w:ind w:left="300"/>
      </w:pPr>
      <w:r>
        <w:rPr>
          <w:rFonts w:ascii="Times New Roman" w:eastAsia="Times New Roman"/>
          <w:position w:val="6"/>
          <w:sz w:val="12"/>
        </w:rPr>
        <w:t>9</w:t>
      </w:r>
      <w:r>
        <w:rPr>
          <w:rFonts w:ascii="Times New Roman" w:eastAsia="Times New Roman"/>
          <w:sz w:val="12"/>
        </w:rPr>
        <w:t>   </w:t>
      </w:r>
      <w:r>
        <w:rPr>
          <w:b/>
        </w:rPr>
        <w:t>机动车</w:t>
      </w:r>
      <w:r>
        <w:rPr/>
        <w:t>指以动力装置驱动或者牵引，上道路行驶的供人员乘用或者用于运送物品以及进行工程专项作业的轮式车辆。</w:t>
      </w:r>
    </w:p>
    <w:p>
      <w:pPr>
        <w:spacing w:line="304" w:lineRule="auto" w:before="64"/>
        <w:ind w:left="516" w:right="100" w:hanging="217"/>
        <w:jc w:val="left"/>
        <w:rPr>
          <w:sz w:val="18"/>
        </w:rPr>
      </w:pPr>
      <w:r>
        <w:rPr>
          <w:rFonts w:ascii="Times New Roman" w:eastAsia="Times New Roman"/>
          <w:position w:val="6"/>
          <w:sz w:val="12"/>
        </w:rPr>
        <w:t>10</w:t>
      </w:r>
      <w:r>
        <w:rPr>
          <w:rFonts w:ascii="Times New Roman" w:eastAsia="Times New Roman"/>
          <w:sz w:val="12"/>
        </w:rPr>
        <w:t> </w:t>
      </w:r>
      <w:r>
        <w:rPr>
          <w:b/>
          <w:spacing w:val="-2"/>
          <w:sz w:val="18"/>
        </w:rPr>
        <w:t>感染艾滋病病毒或患艾滋病：</w:t>
      </w:r>
      <w:r>
        <w:rPr>
          <w:spacing w:val="-5"/>
          <w:sz w:val="18"/>
        </w:rPr>
        <w:t>艾滋病病毒指人类免疫缺陷病毒，英文缩写为 </w:t>
      </w:r>
      <w:r>
        <w:rPr>
          <w:sz w:val="18"/>
        </w:rPr>
        <w:t>HIV</w:t>
      </w:r>
      <w:r>
        <w:rPr>
          <w:spacing w:val="-5"/>
          <w:sz w:val="18"/>
        </w:rPr>
        <w:t>。艾滋病指人类免疫缺陷病毒引起的获得</w:t>
      </w:r>
      <w:r>
        <w:rPr>
          <w:spacing w:val="-8"/>
          <w:sz w:val="18"/>
        </w:rPr>
        <w:t>性免疫缺陷综合征，英文缩写为 </w:t>
      </w:r>
      <w:r>
        <w:rPr>
          <w:sz w:val="18"/>
        </w:rPr>
        <w:t>AIDS</w:t>
      </w:r>
      <w:r>
        <w:rPr>
          <w:spacing w:val="-3"/>
          <w:sz w:val="18"/>
        </w:rPr>
        <w:t>。</w:t>
      </w:r>
      <w:r>
        <w:rPr>
          <w:sz w:val="18"/>
        </w:rPr>
        <w:t> </w:t>
      </w:r>
    </w:p>
    <w:p>
      <w:pPr>
        <w:pStyle w:val="BodyText"/>
        <w:spacing w:line="304" w:lineRule="auto" w:before="15"/>
        <w:ind w:left="516" w:right="110"/>
      </w:pPr>
      <w:r>
        <w:rPr/>
        <w:t>在人体血液或其它样本中检测到艾滋病病毒或其抗体呈阳性，没有出现临床症状或体征的，为感染艾滋病病毒；如果同时出现了明显临床症状或体征的，为患艾滋病。 </w:t>
      </w:r>
    </w:p>
    <w:p>
      <w:pPr>
        <w:spacing w:before="15"/>
        <w:ind w:left="300" w:right="0" w:firstLine="0"/>
        <w:jc w:val="left"/>
        <w:rPr>
          <w:sz w:val="18"/>
        </w:rPr>
      </w:pPr>
      <w:r>
        <w:rPr>
          <w:rFonts w:ascii="Times New Roman" w:eastAsia="Times New Roman"/>
          <w:position w:val="6"/>
          <w:sz w:val="12"/>
        </w:rPr>
        <w:t>11</w:t>
      </w:r>
      <w:r>
        <w:rPr>
          <w:rFonts w:ascii="Times New Roman" w:eastAsia="Times New Roman"/>
          <w:sz w:val="12"/>
        </w:rPr>
        <w:t>     </w:t>
      </w:r>
      <w:r>
        <w:rPr>
          <w:b/>
          <w:sz w:val="18"/>
        </w:rPr>
        <w:t>遗传性疾病</w:t>
      </w:r>
      <w:r>
        <w:rPr>
          <w:sz w:val="18"/>
        </w:rPr>
        <w:t>指生殖细胞或受精卵的遗传物质（染色体和基因）发生突变或畸变所引起的疾病，通常具有由亲代传至后代</w:t>
      </w:r>
    </w:p>
    <w:p>
      <w:pPr>
        <w:pStyle w:val="BodyText"/>
        <w:spacing w:before="64"/>
        <w:ind w:left="533"/>
      </w:pPr>
      <w:r>
        <w:rPr/>
        <w:t>的垂直传递的特征。 </w:t>
      </w:r>
    </w:p>
    <w:p>
      <w:pPr>
        <w:spacing w:before="64"/>
        <w:ind w:left="300" w:right="0" w:firstLine="0"/>
        <w:jc w:val="left"/>
        <w:rPr>
          <w:sz w:val="18"/>
        </w:rPr>
      </w:pPr>
      <w:r>
        <w:rPr>
          <w:rFonts w:ascii="Times New Roman" w:eastAsia="Times New Roman"/>
          <w:position w:val="6"/>
          <w:sz w:val="12"/>
        </w:rPr>
        <w:t>12</w:t>
      </w:r>
      <w:r>
        <w:rPr>
          <w:rFonts w:ascii="Times New Roman" w:eastAsia="Times New Roman"/>
          <w:sz w:val="12"/>
        </w:rPr>
        <w:t>     </w:t>
      </w:r>
      <w:r>
        <w:rPr>
          <w:b/>
          <w:sz w:val="18"/>
        </w:rPr>
        <w:t>先天性畸形、变形或染色体异常</w:t>
      </w:r>
      <w:r>
        <w:rPr>
          <w:sz w:val="18"/>
        </w:rPr>
        <w:t>指被保险人出生时就具有的畸形、变形或染色体异常。先天性畸形、变形和染色体异常</w:t>
      </w:r>
    </w:p>
    <w:p>
      <w:pPr>
        <w:pStyle w:val="BodyText"/>
        <w:spacing w:before="64"/>
        <w:ind w:left="533"/>
      </w:pPr>
      <w:r>
        <w:rPr/>
        <w:t>依照世界卫生组织《疾病和有关健康问题的国际统计分类》（ICD-10）确定。 </w:t>
      </w:r>
    </w:p>
    <w:p>
      <w:pPr>
        <w:spacing w:before="64"/>
        <w:ind w:left="300" w:right="0" w:firstLine="0"/>
        <w:jc w:val="left"/>
        <w:rPr>
          <w:sz w:val="18"/>
        </w:rPr>
      </w:pPr>
      <w:r>
        <w:rPr>
          <w:rFonts w:ascii="Times New Roman" w:eastAsia="Times New Roman"/>
          <w:position w:val="6"/>
          <w:sz w:val="12"/>
        </w:rPr>
        <w:t>13</w:t>
      </w:r>
      <w:r>
        <w:rPr>
          <w:rFonts w:ascii="Times New Roman" w:eastAsia="Times New Roman"/>
          <w:sz w:val="12"/>
        </w:rPr>
        <w:t>     </w:t>
      </w:r>
      <w:r>
        <w:rPr>
          <w:b/>
          <w:sz w:val="18"/>
        </w:rPr>
        <w:t>保险费支付日</w:t>
      </w:r>
      <w:r>
        <w:rPr>
          <w:sz w:val="18"/>
        </w:rPr>
        <w:t>指保险合同生效日在每月、每季、每半年或每年（根据交费方式确定）的对应日。如果当月无对应的同一</w:t>
      </w:r>
    </w:p>
    <w:p>
      <w:pPr>
        <w:pStyle w:val="BodyText"/>
        <w:spacing w:before="64"/>
        <w:ind w:left="533"/>
      </w:pPr>
      <w:r>
        <w:rPr/>
        <w:t>日，则以该月最后一日为对应日。 </w:t>
      </w:r>
    </w:p>
    <w:p>
      <w:pPr>
        <w:spacing w:after="0"/>
        <w:sectPr>
          <w:pgSz w:w="11910" w:h="16840"/>
          <w:pgMar w:top="1440" w:bottom="280" w:left="780" w:right="1060"/>
        </w:sectPr>
      </w:pPr>
    </w:p>
    <w:p>
      <w:pPr>
        <w:spacing w:line="273" w:lineRule="auto" w:before="9"/>
        <w:ind w:left="2711" w:right="211" w:firstLine="0"/>
        <w:jc w:val="left"/>
        <w:rPr>
          <w:sz w:val="21"/>
        </w:rPr>
      </w:pPr>
      <w:r>
        <w:rPr>
          <w:sz w:val="21"/>
        </w:rPr>
        <w:t>您的恢复效力申请后的 30 日内给予您明确答复。我们同意恢复效力的， 您补交保险费之后，本附加合同效力恢复。 </w:t>
      </w:r>
    </w:p>
    <w:p>
      <w:pPr>
        <w:pStyle w:val="BodyText"/>
        <w:spacing w:before="8"/>
        <w:rPr>
          <w:sz w:val="22"/>
        </w:rPr>
      </w:pPr>
    </w:p>
    <w:p>
      <w:pPr>
        <w:tabs>
          <w:tab w:pos="1012" w:val="left" w:leader="none"/>
        </w:tabs>
        <w:spacing w:line="611" w:lineRule="exact" w:before="0"/>
        <w:ind w:left="160" w:right="0" w:firstLine="0"/>
        <w:jc w:val="left"/>
        <w:rPr>
          <w:sz w:val="21"/>
        </w:rPr>
      </w:pPr>
      <w:r>
        <w:rPr/>
        <w:pict>
          <v:shape style="position:absolute;margin-left:51.5pt;margin-top:36.997562pt;width:472.05pt;height:516.8pt;mso-position-horizontal-relative:page;mso-position-vertical-relative:paragraph;z-index:23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698"/>
                    <w:gridCol w:w="6949"/>
                  </w:tblGrid>
                  <w:tr>
                    <w:trPr>
                      <w:trHeight w:val="600" w:hRule="atLeast"/>
                    </w:trPr>
                    <w:tc>
                      <w:tcPr>
                        <w:tcW w:w="793" w:type="dxa"/>
                      </w:tcPr>
                      <w:p>
                        <w:pPr>
                          <w:pStyle w:val="TableParagraph"/>
                          <w:spacing w:line="211" w:lineRule="exact"/>
                          <w:ind w:left="50"/>
                          <w:rPr>
                            <w:b/>
                            <w:sz w:val="21"/>
                          </w:rPr>
                        </w:pPr>
                        <w:r>
                          <w:rPr>
                            <w:b/>
                            <w:w w:val="99"/>
                            <w:sz w:val="21"/>
                          </w:rPr>
                          <w:t> </w:t>
                        </w:r>
                      </w:p>
                      <w:p>
                        <w:pPr>
                          <w:pStyle w:val="TableParagraph"/>
                          <w:spacing w:before="63"/>
                          <w:ind w:left="50"/>
                          <w:rPr>
                            <w:b/>
                            <w:sz w:val="21"/>
                          </w:rPr>
                        </w:pPr>
                        <w:r>
                          <w:rPr>
                            <w:b/>
                            <w:sz w:val="21"/>
                          </w:rPr>
                          <w:t>4.1   </w:t>
                        </w:r>
                      </w:p>
                    </w:tc>
                    <w:tc>
                      <w:tcPr>
                        <w:tcW w:w="1698" w:type="dxa"/>
                      </w:tcPr>
                      <w:p>
                        <w:pPr>
                          <w:pStyle w:val="TableParagraph"/>
                          <w:spacing w:line="211" w:lineRule="exact"/>
                          <w:ind w:left="109"/>
                          <w:rPr>
                            <w:b/>
                            <w:sz w:val="21"/>
                          </w:rPr>
                        </w:pPr>
                        <w:r>
                          <w:rPr>
                            <w:b/>
                            <w:w w:val="99"/>
                            <w:sz w:val="21"/>
                          </w:rPr>
                          <w:t> </w:t>
                        </w:r>
                      </w:p>
                      <w:p>
                        <w:pPr>
                          <w:pStyle w:val="TableParagraph"/>
                          <w:spacing w:before="63"/>
                          <w:ind w:left="109"/>
                          <w:rPr>
                            <w:b/>
                            <w:sz w:val="21"/>
                          </w:rPr>
                        </w:pPr>
                        <w:r>
                          <w:rPr>
                            <w:b/>
                            <w:sz w:val="21"/>
                          </w:rPr>
                          <w:t>受益人</w:t>
                        </w:r>
                        <w:r>
                          <w:rPr>
                            <w:b/>
                            <w:w w:val="99"/>
                            <w:sz w:val="21"/>
                          </w:rPr>
                          <w:t> </w:t>
                        </w:r>
                      </w:p>
                    </w:tc>
                    <w:tc>
                      <w:tcPr>
                        <w:tcW w:w="6949" w:type="dxa"/>
                      </w:tcPr>
                      <w:p>
                        <w:pPr>
                          <w:pStyle w:val="TableParagraph"/>
                          <w:spacing w:line="211" w:lineRule="exact"/>
                          <w:ind w:left="110"/>
                          <w:rPr>
                            <w:sz w:val="21"/>
                          </w:rPr>
                        </w:pPr>
                        <w:r>
                          <w:rPr>
                            <w:w w:val="100"/>
                            <w:sz w:val="21"/>
                          </w:rPr>
                          <w:t> </w:t>
                        </w:r>
                      </w:p>
                      <w:p>
                        <w:pPr>
                          <w:pStyle w:val="TableParagraph"/>
                          <w:spacing w:before="63"/>
                          <w:ind w:left="110"/>
                          <w:rPr>
                            <w:sz w:val="21"/>
                          </w:rPr>
                        </w:pPr>
                        <w:r>
                          <w:rPr>
                            <w:sz w:val="21"/>
                          </w:rPr>
                          <w:t>除另有指定外，重大疾病保险金受益人为被保险人本人。 </w:t>
                        </w:r>
                      </w:p>
                    </w:tc>
                  </w:tr>
                  <w:tr>
                    <w:trPr>
                      <w:trHeight w:val="326" w:hRule="atLeast"/>
                    </w:trPr>
                    <w:tc>
                      <w:tcPr>
                        <w:tcW w:w="793" w:type="dxa"/>
                      </w:tcPr>
                      <w:p>
                        <w:pPr>
                          <w:pStyle w:val="TableParagraph"/>
                          <w:spacing w:line="261" w:lineRule="exact"/>
                          <w:ind w:left="50"/>
                          <w:rPr>
                            <w:sz w:val="21"/>
                          </w:rPr>
                        </w:pPr>
                        <w:r>
                          <w:rPr>
                            <w:w w:val="100"/>
                            <w:sz w:val="21"/>
                          </w:rPr>
                          <w:t> </w:t>
                        </w:r>
                      </w:p>
                    </w:tc>
                    <w:tc>
                      <w:tcPr>
                        <w:tcW w:w="1698" w:type="dxa"/>
                      </w:tcPr>
                      <w:p>
                        <w:pPr>
                          <w:pStyle w:val="TableParagraph"/>
                          <w:spacing w:line="261" w:lineRule="exact"/>
                          <w:ind w:left="109"/>
                          <w:rPr>
                            <w:sz w:val="21"/>
                          </w:rPr>
                        </w:pPr>
                        <w:r>
                          <w:rPr>
                            <w:w w:val="100"/>
                            <w:sz w:val="21"/>
                          </w:rPr>
                          <w:t> </w:t>
                        </w:r>
                      </w:p>
                    </w:tc>
                    <w:tc>
                      <w:tcPr>
                        <w:tcW w:w="6949" w:type="dxa"/>
                      </w:tcPr>
                      <w:p>
                        <w:pPr>
                          <w:pStyle w:val="TableParagraph"/>
                          <w:spacing w:line="261" w:lineRule="exact"/>
                          <w:ind w:left="110"/>
                          <w:rPr>
                            <w:sz w:val="21"/>
                          </w:rPr>
                        </w:pPr>
                        <w:r>
                          <w:rPr>
                            <w:w w:val="100"/>
                            <w:sz w:val="21"/>
                          </w:rPr>
                          <w:t> </w:t>
                        </w:r>
                      </w:p>
                    </w:tc>
                  </w:tr>
                  <w:tr>
                    <w:trPr>
                      <w:trHeight w:val="326" w:hRule="atLeast"/>
                    </w:trPr>
                    <w:tc>
                      <w:tcPr>
                        <w:tcW w:w="793" w:type="dxa"/>
                      </w:tcPr>
                      <w:p>
                        <w:pPr>
                          <w:pStyle w:val="TableParagraph"/>
                          <w:spacing w:before="1"/>
                          <w:ind w:left="50"/>
                          <w:rPr>
                            <w:b/>
                            <w:sz w:val="21"/>
                          </w:rPr>
                        </w:pPr>
                        <w:r>
                          <w:rPr>
                            <w:b/>
                            <w:sz w:val="21"/>
                          </w:rPr>
                          <w:t>4.2 </w:t>
                        </w:r>
                      </w:p>
                    </w:tc>
                    <w:tc>
                      <w:tcPr>
                        <w:tcW w:w="1698" w:type="dxa"/>
                      </w:tcPr>
                      <w:p>
                        <w:pPr>
                          <w:pStyle w:val="TableParagraph"/>
                          <w:spacing w:before="1"/>
                          <w:ind w:left="109"/>
                          <w:rPr>
                            <w:sz w:val="21"/>
                          </w:rPr>
                        </w:pPr>
                        <w:r>
                          <w:rPr>
                            <w:b/>
                            <w:sz w:val="21"/>
                          </w:rPr>
                          <w:t>保险事故通知</w:t>
                        </w:r>
                        <w:r>
                          <w:rPr>
                            <w:w w:val="100"/>
                            <w:sz w:val="21"/>
                          </w:rPr>
                          <w:t> </w:t>
                        </w:r>
                      </w:p>
                    </w:tc>
                    <w:tc>
                      <w:tcPr>
                        <w:tcW w:w="6949" w:type="dxa"/>
                      </w:tcPr>
                      <w:p>
                        <w:pPr>
                          <w:pStyle w:val="TableParagraph"/>
                          <w:spacing w:before="1"/>
                          <w:ind w:left="110"/>
                          <w:rPr>
                            <w:sz w:val="21"/>
                          </w:rPr>
                        </w:pPr>
                        <w:r>
                          <w:rPr>
                            <w:sz w:val="21"/>
                          </w:rPr>
                          <w:t>我们及时了解保险事故的性质、发生原因、损失情况，对于给付保险金至</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关重要。您、被保险人或受益人应在知道保险事故发生之日起 10 日内通</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知我们。 </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2" w:lineRule="exact"/>
                          <w:ind w:left="110"/>
                          <w:rPr>
                            <w:sz w:val="21"/>
                          </w:rPr>
                        </w:pPr>
                        <w:r>
                          <w:rPr>
                            <w:w w:val="100"/>
                            <w:sz w:val="21"/>
                          </w:rPr>
                          <w:t> </w:t>
                        </w:r>
                      </w:p>
                    </w:tc>
                  </w:tr>
                  <w:tr>
                    <w:trPr>
                      <w:trHeight w:val="311"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rFonts w:ascii="黑体" w:eastAsia="黑体" w:hint="eastAsia"/>
                            <w:sz w:val="21"/>
                          </w:rPr>
                        </w:pPr>
                        <w:r>
                          <w:rPr>
                            <w:rFonts w:ascii="黑体" w:eastAsia="黑体" w:hint="eastAsia"/>
                            <w:sz w:val="21"/>
                            <w:shd w:fill="D9D9D9" w:color="auto" w:val="clear"/>
                          </w:rPr>
                          <w:t>如果您、被保险人或受益人故意或者因重大过失未及时通知，致使保险事</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rFonts w:ascii="黑体" w:eastAsia="黑体" w:hint="eastAsia"/>
                            <w:sz w:val="21"/>
                          </w:rPr>
                        </w:pPr>
                        <w:r>
                          <w:rPr>
                            <w:rFonts w:ascii="黑体" w:eastAsia="黑体" w:hint="eastAsia"/>
                            <w:sz w:val="21"/>
                            <w:shd w:fill="D9D9D9" w:color="auto" w:val="clear"/>
                          </w:rPr>
                          <w:t>故的性质、原因、损失程度等难以确定的，我们对无法确定的部分，不承</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rFonts w:ascii="黑体" w:eastAsia="黑体" w:hint="eastAsia"/>
                            <w:sz w:val="21"/>
                            <w:shd w:fill="D9D9D9" w:color="auto" w:val="clear"/>
                          </w:rPr>
                          <w:t>担给付保险金的责任。</w:t>
                        </w:r>
                        <w:r>
                          <w:rPr>
                            <w:sz w:val="21"/>
                          </w:rPr>
                          <w:t> </w:t>
                        </w:r>
                      </w:p>
                    </w:tc>
                  </w:tr>
                  <w:tr>
                    <w:trPr>
                      <w:trHeight w:val="326" w:hRule="atLeast"/>
                    </w:trPr>
                    <w:tc>
                      <w:tcPr>
                        <w:tcW w:w="793" w:type="dxa"/>
                      </w:tcPr>
                      <w:p>
                        <w:pPr>
                          <w:pStyle w:val="TableParagraph"/>
                          <w:spacing w:line="261" w:lineRule="exact"/>
                          <w:ind w:left="50"/>
                          <w:rPr>
                            <w:b/>
                            <w:sz w:val="21"/>
                          </w:rPr>
                        </w:pPr>
                        <w:r>
                          <w:rPr>
                            <w:b/>
                            <w:w w:val="99"/>
                            <w:sz w:val="21"/>
                          </w:rPr>
                          <w:t> </w:t>
                        </w:r>
                      </w:p>
                    </w:tc>
                    <w:tc>
                      <w:tcPr>
                        <w:tcW w:w="1698" w:type="dxa"/>
                      </w:tcPr>
                      <w:p>
                        <w:pPr>
                          <w:pStyle w:val="TableParagraph"/>
                          <w:spacing w:line="261" w:lineRule="exact"/>
                          <w:ind w:left="109"/>
                          <w:rPr>
                            <w:b/>
                            <w:sz w:val="21"/>
                          </w:rPr>
                        </w:pPr>
                        <w:r>
                          <w:rPr>
                            <w:b/>
                            <w:w w:val="99"/>
                            <w:sz w:val="21"/>
                          </w:rPr>
                          <w:t> </w:t>
                        </w:r>
                      </w:p>
                    </w:tc>
                    <w:tc>
                      <w:tcPr>
                        <w:tcW w:w="6949" w:type="dxa"/>
                      </w:tcPr>
                      <w:p>
                        <w:pPr>
                          <w:pStyle w:val="TableParagraph"/>
                          <w:spacing w:line="261" w:lineRule="exact"/>
                          <w:ind w:left="110"/>
                          <w:rPr>
                            <w:sz w:val="21"/>
                          </w:rPr>
                        </w:pPr>
                        <w:r>
                          <w:rPr>
                            <w:w w:val="100"/>
                            <w:sz w:val="21"/>
                          </w:rPr>
                          <w:t> </w:t>
                        </w:r>
                      </w:p>
                    </w:tc>
                  </w:tr>
                  <w:tr>
                    <w:trPr>
                      <w:trHeight w:val="326" w:hRule="atLeast"/>
                    </w:trPr>
                    <w:tc>
                      <w:tcPr>
                        <w:tcW w:w="793" w:type="dxa"/>
                      </w:tcPr>
                      <w:p>
                        <w:pPr>
                          <w:pStyle w:val="TableParagraph"/>
                          <w:spacing w:before="1"/>
                          <w:ind w:left="50"/>
                          <w:rPr>
                            <w:b/>
                            <w:sz w:val="21"/>
                          </w:rPr>
                        </w:pPr>
                        <w:r>
                          <w:rPr>
                            <w:b/>
                            <w:sz w:val="21"/>
                          </w:rPr>
                          <w:t>4.3 </w:t>
                        </w:r>
                      </w:p>
                    </w:tc>
                    <w:tc>
                      <w:tcPr>
                        <w:tcW w:w="1698" w:type="dxa"/>
                      </w:tcPr>
                      <w:p>
                        <w:pPr>
                          <w:pStyle w:val="TableParagraph"/>
                          <w:spacing w:before="1"/>
                          <w:ind w:left="109"/>
                          <w:rPr>
                            <w:sz w:val="21"/>
                          </w:rPr>
                        </w:pPr>
                        <w:r>
                          <w:rPr>
                            <w:b/>
                            <w:sz w:val="21"/>
                          </w:rPr>
                          <w:t>保险金申请</w:t>
                        </w:r>
                        <w:r>
                          <w:rPr>
                            <w:w w:val="100"/>
                            <w:sz w:val="21"/>
                          </w:rPr>
                          <w:t> </w:t>
                        </w:r>
                      </w:p>
                    </w:tc>
                    <w:tc>
                      <w:tcPr>
                        <w:tcW w:w="6949" w:type="dxa"/>
                      </w:tcPr>
                      <w:p>
                        <w:pPr>
                          <w:pStyle w:val="TableParagraph"/>
                          <w:spacing w:before="1"/>
                          <w:ind w:left="110"/>
                          <w:rPr>
                            <w:sz w:val="21"/>
                          </w:rPr>
                        </w:pPr>
                        <w:r>
                          <w:rPr>
                            <w:sz w:val="21"/>
                          </w:rPr>
                          <w:t>申请保险金时，请按照下列方式办理： </w:t>
                        </w:r>
                      </w:p>
                    </w:tc>
                  </w:tr>
                  <w:tr>
                    <w:trPr>
                      <w:trHeight w:val="325" w:hRule="atLeast"/>
                    </w:trPr>
                    <w:tc>
                      <w:tcPr>
                        <w:tcW w:w="793" w:type="dxa"/>
                      </w:tcPr>
                      <w:p>
                        <w:pPr>
                          <w:pStyle w:val="TableParagraph"/>
                          <w:spacing w:line="261" w:lineRule="exact"/>
                          <w:ind w:left="50"/>
                          <w:rPr>
                            <w:sz w:val="21"/>
                          </w:rPr>
                        </w:pPr>
                        <w:r>
                          <w:rPr>
                            <w:w w:val="100"/>
                            <w:sz w:val="21"/>
                          </w:rPr>
                          <w:t> </w:t>
                        </w:r>
                      </w:p>
                    </w:tc>
                    <w:tc>
                      <w:tcPr>
                        <w:tcW w:w="1698" w:type="dxa"/>
                      </w:tcPr>
                      <w:p>
                        <w:pPr>
                          <w:pStyle w:val="TableParagraph"/>
                          <w:spacing w:line="261" w:lineRule="exact"/>
                          <w:ind w:left="109"/>
                          <w:rPr>
                            <w:sz w:val="21"/>
                          </w:rPr>
                        </w:pPr>
                        <w:r>
                          <w:rPr>
                            <w:w w:val="100"/>
                            <w:sz w:val="21"/>
                          </w:rPr>
                          <w:t> </w:t>
                        </w:r>
                      </w:p>
                    </w:tc>
                    <w:tc>
                      <w:tcPr>
                        <w:tcW w:w="6949" w:type="dxa"/>
                      </w:tcPr>
                      <w:p>
                        <w:pPr>
                          <w:pStyle w:val="TableParagraph"/>
                          <w:spacing w:line="261" w:lineRule="exact"/>
                          <w:ind w:left="110"/>
                          <w:rPr>
                            <w:sz w:val="21"/>
                          </w:rPr>
                        </w:pPr>
                        <w:r>
                          <w:rPr>
                            <w:w w:val="100"/>
                            <w:sz w:val="21"/>
                          </w:rPr>
                          <w:t> </w:t>
                        </w:r>
                      </w:p>
                    </w:tc>
                  </w:tr>
                  <w:tr>
                    <w:trPr>
                      <w:trHeight w:val="325" w:hRule="atLeast"/>
                    </w:trPr>
                    <w:tc>
                      <w:tcPr>
                        <w:tcW w:w="793" w:type="dxa"/>
                      </w:tcPr>
                      <w:p>
                        <w:pPr>
                          <w:pStyle w:val="TableParagraph"/>
                          <w:ind w:left="50"/>
                          <w:rPr>
                            <w:sz w:val="21"/>
                          </w:rPr>
                        </w:pPr>
                        <w:r>
                          <w:rPr>
                            <w:w w:val="100"/>
                            <w:sz w:val="21"/>
                          </w:rPr>
                          <w:t> </w:t>
                        </w:r>
                      </w:p>
                    </w:tc>
                    <w:tc>
                      <w:tcPr>
                        <w:tcW w:w="1698" w:type="dxa"/>
                      </w:tcPr>
                      <w:p>
                        <w:pPr>
                          <w:pStyle w:val="TableParagraph"/>
                          <w:ind w:left="109"/>
                          <w:rPr>
                            <w:b/>
                            <w:sz w:val="21"/>
                          </w:rPr>
                        </w:pPr>
                        <w:r>
                          <w:rPr>
                            <w:b/>
                            <w:sz w:val="21"/>
                          </w:rPr>
                          <w:t>重大疾病保险金</w:t>
                        </w:r>
                      </w:p>
                    </w:tc>
                    <w:tc>
                      <w:tcPr>
                        <w:tcW w:w="6949" w:type="dxa"/>
                      </w:tcPr>
                      <w:p>
                        <w:pPr>
                          <w:pStyle w:val="TableParagraph"/>
                          <w:ind w:left="110"/>
                          <w:rPr>
                            <w:sz w:val="21"/>
                          </w:rPr>
                        </w:pPr>
                        <w:r>
                          <w:rPr>
                            <w:sz w:val="21"/>
                          </w:rPr>
                          <w:t>由受益人填写理赔申请书，并提供下列证明和资料： </w:t>
                        </w:r>
                      </w:p>
                    </w:tc>
                  </w:tr>
                  <w:tr>
                    <w:trPr>
                      <w:trHeight w:val="624" w:hRule="atLeast"/>
                    </w:trPr>
                    <w:tc>
                      <w:tcPr>
                        <w:tcW w:w="793" w:type="dxa"/>
                      </w:tcPr>
                      <w:p>
                        <w:pPr>
                          <w:pStyle w:val="TableParagraph"/>
                          <w:rPr>
                            <w:rFonts w:ascii="Times New Roman"/>
                            <w:sz w:val="20"/>
                          </w:rPr>
                        </w:pPr>
                      </w:p>
                    </w:tc>
                    <w:tc>
                      <w:tcPr>
                        <w:tcW w:w="1698" w:type="dxa"/>
                      </w:tcPr>
                      <w:p>
                        <w:pPr>
                          <w:pStyle w:val="TableParagraph"/>
                          <w:spacing w:line="261" w:lineRule="exact"/>
                          <w:ind w:left="109"/>
                          <w:rPr>
                            <w:sz w:val="21"/>
                          </w:rPr>
                        </w:pPr>
                        <w:r>
                          <w:rPr>
                            <w:b/>
                            <w:sz w:val="21"/>
                          </w:rPr>
                          <w:t>申请</w:t>
                        </w:r>
                        <w:r>
                          <w:rPr>
                            <w:w w:val="100"/>
                            <w:sz w:val="21"/>
                          </w:rPr>
                          <w:t> </w:t>
                        </w:r>
                      </w:p>
                    </w:tc>
                    <w:tc>
                      <w:tcPr>
                        <w:tcW w:w="6949" w:type="dxa"/>
                      </w:tcPr>
                      <w:p>
                        <w:pPr>
                          <w:pStyle w:val="TableParagraph"/>
                          <w:spacing w:line="261" w:lineRule="exact"/>
                          <w:ind w:left="110"/>
                          <w:rPr>
                            <w:sz w:val="21"/>
                          </w:rPr>
                        </w:pPr>
                        <w:r>
                          <w:rPr>
                            <w:sz w:val="21"/>
                          </w:rPr>
                          <w:t>（1） 附加合同； </w:t>
                        </w:r>
                      </w:p>
                      <w:p>
                        <w:pPr>
                          <w:pStyle w:val="TableParagraph"/>
                          <w:spacing w:before="37"/>
                          <w:ind w:left="110"/>
                          <w:rPr>
                            <w:sz w:val="21"/>
                          </w:rPr>
                        </w:pPr>
                        <w:r>
                          <w:rPr>
                            <w:sz w:val="21"/>
                          </w:rPr>
                          <w:t>（2） 重大疾病保险金受益人的</w:t>
                        </w:r>
                        <w:r>
                          <w:rPr>
                            <w:b/>
                            <w:sz w:val="21"/>
                          </w:rPr>
                          <w:t>有效身份证件</w:t>
                        </w:r>
                        <w:r>
                          <w:rPr>
                            <w:b/>
                            <w:position w:val="11"/>
                            <w:sz w:val="11"/>
                          </w:rPr>
                          <w:t>14</w:t>
                        </w:r>
                        <w:r>
                          <w:rPr>
                            <w:sz w:val="21"/>
                          </w:rPr>
                          <w:t>； </w:t>
                        </w:r>
                      </w:p>
                    </w:tc>
                  </w:tr>
                  <w:tr>
                    <w:trPr>
                      <w:trHeight w:val="261" w:hRule="atLeast"/>
                    </w:trPr>
                    <w:tc>
                      <w:tcPr>
                        <w:tcW w:w="793" w:type="dxa"/>
                      </w:tcPr>
                      <w:p>
                        <w:pPr>
                          <w:pStyle w:val="TableParagraph"/>
                          <w:rPr>
                            <w:rFonts w:ascii="Times New Roman"/>
                            <w:sz w:val="18"/>
                          </w:rPr>
                        </w:pPr>
                      </w:p>
                    </w:tc>
                    <w:tc>
                      <w:tcPr>
                        <w:tcW w:w="1698" w:type="dxa"/>
                      </w:tcPr>
                      <w:p>
                        <w:pPr>
                          <w:pStyle w:val="TableParagraph"/>
                          <w:rPr>
                            <w:rFonts w:ascii="Times New Roman"/>
                            <w:sz w:val="18"/>
                          </w:rPr>
                        </w:pPr>
                      </w:p>
                    </w:tc>
                    <w:tc>
                      <w:tcPr>
                        <w:tcW w:w="6949" w:type="dxa"/>
                      </w:tcPr>
                      <w:p>
                        <w:pPr>
                          <w:pStyle w:val="TableParagraph"/>
                          <w:spacing w:line="242" w:lineRule="exact"/>
                          <w:ind w:left="110"/>
                          <w:rPr>
                            <w:sz w:val="21"/>
                          </w:rPr>
                        </w:pPr>
                        <w:r>
                          <w:rPr>
                            <w:sz w:val="21"/>
                          </w:rPr>
                          <w:t>（3） 医院出具的附有病理显微镜检查、血液检验及其他科学方法检验报</w:t>
                        </w:r>
                      </w:p>
                    </w:tc>
                  </w:tr>
                  <w:tr>
                    <w:trPr>
                      <w:trHeight w:val="36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before="37"/>
                          <w:ind w:left="742"/>
                          <w:rPr>
                            <w:sz w:val="21"/>
                          </w:rPr>
                        </w:pPr>
                        <w:r>
                          <w:rPr>
                            <w:sz w:val="21"/>
                          </w:rPr>
                          <w:t>告的疾病诊断证明书； </w:t>
                        </w:r>
                      </w:p>
                    </w:tc>
                  </w:tr>
                  <w:tr>
                    <w:trPr>
                      <w:trHeight w:val="311"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（4） 所能提供的与确认保险事故性质、原因等有关的其他证明和资料。 </w:t>
                        </w:r>
                      </w:p>
                    </w:tc>
                  </w:tr>
                  <w:tr>
                    <w:trPr>
                      <w:trHeight w:val="311"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w w:val="100"/>
                            <w:sz w:val="21"/>
                          </w:rPr>
                          <w:t> </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以上证明和资料不完整的，我们将一次性通知受益人补充提供有关证明和</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资料。 </w:t>
                        </w:r>
                      </w:p>
                    </w:tc>
                  </w:tr>
                  <w:tr>
                    <w:trPr>
                      <w:trHeight w:val="326" w:hRule="atLeast"/>
                    </w:trPr>
                    <w:tc>
                      <w:tcPr>
                        <w:tcW w:w="793" w:type="dxa"/>
                      </w:tcPr>
                      <w:p>
                        <w:pPr>
                          <w:pStyle w:val="TableParagraph"/>
                          <w:spacing w:line="261" w:lineRule="exact"/>
                          <w:ind w:left="50"/>
                          <w:rPr>
                            <w:sz w:val="21"/>
                          </w:rPr>
                        </w:pPr>
                        <w:r>
                          <w:rPr>
                            <w:w w:val="100"/>
                            <w:sz w:val="21"/>
                          </w:rPr>
                          <w:t> </w:t>
                        </w:r>
                      </w:p>
                    </w:tc>
                    <w:tc>
                      <w:tcPr>
                        <w:tcW w:w="1698" w:type="dxa"/>
                      </w:tcPr>
                      <w:p>
                        <w:pPr>
                          <w:pStyle w:val="TableParagraph"/>
                          <w:spacing w:line="261" w:lineRule="exact"/>
                          <w:ind w:left="109"/>
                          <w:rPr>
                            <w:sz w:val="21"/>
                          </w:rPr>
                        </w:pPr>
                        <w:r>
                          <w:rPr>
                            <w:w w:val="100"/>
                            <w:sz w:val="21"/>
                          </w:rPr>
                          <w:t> </w:t>
                        </w:r>
                      </w:p>
                    </w:tc>
                    <w:tc>
                      <w:tcPr>
                        <w:tcW w:w="6949" w:type="dxa"/>
                      </w:tcPr>
                      <w:p>
                        <w:pPr>
                          <w:pStyle w:val="TableParagraph"/>
                          <w:spacing w:line="261" w:lineRule="exact"/>
                          <w:ind w:left="110"/>
                          <w:rPr>
                            <w:sz w:val="21"/>
                          </w:rPr>
                        </w:pPr>
                        <w:r>
                          <w:rPr>
                            <w:w w:val="100"/>
                            <w:sz w:val="21"/>
                          </w:rPr>
                          <w:t> </w:t>
                        </w:r>
                      </w:p>
                    </w:tc>
                  </w:tr>
                  <w:tr>
                    <w:trPr>
                      <w:trHeight w:val="326" w:hRule="atLeast"/>
                    </w:trPr>
                    <w:tc>
                      <w:tcPr>
                        <w:tcW w:w="793" w:type="dxa"/>
                      </w:tcPr>
                      <w:p>
                        <w:pPr>
                          <w:pStyle w:val="TableParagraph"/>
                          <w:spacing w:before="1"/>
                          <w:ind w:left="50"/>
                          <w:rPr>
                            <w:b/>
                            <w:sz w:val="21"/>
                          </w:rPr>
                        </w:pPr>
                        <w:r>
                          <w:rPr>
                            <w:b/>
                            <w:sz w:val="21"/>
                          </w:rPr>
                          <w:t>4.4 </w:t>
                        </w:r>
                      </w:p>
                    </w:tc>
                    <w:tc>
                      <w:tcPr>
                        <w:tcW w:w="1698" w:type="dxa"/>
                      </w:tcPr>
                      <w:p>
                        <w:pPr>
                          <w:pStyle w:val="TableParagraph"/>
                          <w:spacing w:before="1"/>
                          <w:ind w:left="109"/>
                          <w:rPr>
                            <w:sz w:val="21"/>
                          </w:rPr>
                        </w:pPr>
                        <w:r>
                          <w:rPr>
                            <w:b/>
                            <w:sz w:val="21"/>
                          </w:rPr>
                          <w:t>保险金给付</w:t>
                        </w:r>
                        <w:r>
                          <w:rPr>
                            <w:w w:val="100"/>
                            <w:sz w:val="21"/>
                          </w:rPr>
                          <w:t> </w:t>
                        </w:r>
                      </w:p>
                    </w:tc>
                    <w:tc>
                      <w:tcPr>
                        <w:tcW w:w="6949" w:type="dxa"/>
                      </w:tcPr>
                      <w:p>
                        <w:pPr>
                          <w:pStyle w:val="TableParagraph"/>
                          <w:spacing w:before="1"/>
                          <w:ind w:left="110"/>
                          <w:rPr>
                            <w:sz w:val="21"/>
                          </w:rPr>
                        </w:pPr>
                        <w:r>
                          <w:rPr>
                            <w:sz w:val="21"/>
                          </w:rPr>
                          <w:t>我们在收到被保险人或受益人的理赔申请书及有关证明和资料后，将在 5</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日内作出核定；情形复杂的，在 30 日内作出核定。被保险人或者受益人</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补充提供有关证明和资料所经历的期间不包括在上述期间内。 </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2" w:lineRule="exact"/>
                          <w:ind w:left="110"/>
                          <w:rPr>
                            <w:sz w:val="21"/>
                          </w:rPr>
                        </w:pPr>
                        <w:r>
                          <w:rPr>
                            <w:w w:val="100"/>
                            <w:sz w:val="21"/>
                          </w:rPr>
                          <w:t> </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我们同意给付的，在与被保险人或受益人达成给付保险金的协议后 10 日</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内履行给付保险金义务。 </w:t>
                        </w:r>
                      </w:p>
                    </w:tc>
                  </w:tr>
                  <w:tr>
                    <w:trPr>
                      <w:trHeight w:val="311"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w w:val="100"/>
                            <w:sz w:val="21"/>
                          </w:rPr>
                          <w:t> </w:t>
                        </w:r>
                      </w:p>
                    </w:tc>
                  </w:tr>
                  <w:tr>
                    <w:trPr>
                      <w:trHeight w:val="312"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我们拒绝给付的，自作出核定之日起 3 日内向被保险人或受益人发出拒绝</w:t>
                        </w:r>
                      </w:p>
                    </w:tc>
                  </w:tr>
                  <w:tr>
                    <w:trPr>
                      <w:trHeight w:val="311" w:hRule="atLeast"/>
                    </w:trPr>
                    <w:tc>
                      <w:tcPr>
                        <w:tcW w:w="793" w:type="dxa"/>
                      </w:tcPr>
                      <w:p>
                        <w:pPr>
                          <w:pStyle w:val="TableParagraph"/>
                          <w:rPr>
                            <w:rFonts w:ascii="Times New Roman"/>
                            <w:sz w:val="20"/>
                          </w:rPr>
                        </w:pPr>
                      </w:p>
                    </w:tc>
                    <w:tc>
                      <w:tcPr>
                        <w:tcW w:w="1698" w:type="dxa"/>
                      </w:tcPr>
                      <w:p>
                        <w:pPr>
                          <w:pStyle w:val="TableParagraph"/>
                          <w:rPr>
                            <w:rFonts w:ascii="Times New Roman"/>
                            <w:sz w:val="20"/>
                          </w:rPr>
                        </w:pPr>
                      </w:p>
                    </w:tc>
                    <w:tc>
                      <w:tcPr>
                        <w:tcW w:w="6949" w:type="dxa"/>
                      </w:tcPr>
                      <w:p>
                        <w:pPr>
                          <w:pStyle w:val="TableParagraph"/>
                          <w:spacing w:line="261" w:lineRule="exact"/>
                          <w:ind w:left="110"/>
                          <w:rPr>
                            <w:sz w:val="21"/>
                          </w:rPr>
                        </w:pPr>
                        <w:r>
                          <w:rPr>
                            <w:sz w:val="21"/>
                          </w:rPr>
                          <w:t>给付保险金通知书并说明理由。 </w:t>
                        </w:r>
                      </w:p>
                    </w:tc>
                  </w:tr>
                  <w:tr>
                    <w:trPr>
                      <w:trHeight w:val="261" w:hRule="atLeast"/>
                    </w:trPr>
                    <w:tc>
                      <w:tcPr>
                        <w:tcW w:w="793" w:type="dxa"/>
                      </w:tcPr>
                      <w:p>
                        <w:pPr>
                          <w:pStyle w:val="TableParagraph"/>
                          <w:spacing w:line="242" w:lineRule="exact"/>
                          <w:ind w:left="50"/>
                          <w:rPr>
                            <w:sz w:val="21"/>
                          </w:rPr>
                        </w:pPr>
                        <w:r>
                          <w:rPr>
                            <w:w w:val="100"/>
                            <w:sz w:val="21"/>
                          </w:rPr>
                          <w:t> </w:t>
                        </w:r>
                      </w:p>
                    </w:tc>
                    <w:tc>
                      <w:tcPr>
                        <w:tcW w:w="1698" w:type="dxa"/>
                      </w:tcPr>
                      <w:p>
                        <w:pPr>
                          <w:pStyle w:val="TableParagraph"/>
                          <w:spacing w:line="242" w:lineRule="exact"/>
                          <w:ind w:left="109"/>
                          <w:rPr>
                            <w:sz w:val="21"/>
                          </w:rPr>
                        </w:pPr>
                        <w:r>
                          <w:rPr>
                            <w:w w:val="100"/>
                            <w:sz w:val="21"/>
                          </w:rPr>
                          <w:t> </w:t>
                        </w:r>
                      </w:p>
                    </w:tc>
                    <w:tc>
                      <w:tcPr>
                        <w:tcW w:w="6949" w:type="dxa"/>
                      </w:tcPr>
                      <w:p>
                        <w:pPr>
                          <w:pStyle w:val="TableParagraph"/>
                          <w:spacing w:line="242" w:lineRule="exact"/>
                          <w:ind w:left="110"/>
                          <w:rPr>
                            <w:sz w:val="21"/>
                          </w:rPr>
                        </w:pPr>
                        <w:r>
                          <w:rPr>
                            <w:w w:val="100"/>
                            <w:sz w:val="21"/>
                          </w:rPr>
                          <w:t> </w:t>
                        </w:r>
                      </w:p>
                    </w:tc>
                  </w:tr>
                </w:tbl>
                <w:p>
                  <w:pPr>
                    <w:pStyle w:val="BodyText"/>
                  </w:pPr>
                </w:p>
              </w:txbxContent>
            </v:textbox>
            <w10:wrap type="none"/>
          </v:shape>
        </w:pict>
      </w:r>
      <w:r>
        <w:rPr>
          <w:rFonts w:ascii="MS UI Gothic" w:hAnsi="MS UI Gothic" w:eastAsia="MS UI Gothic" w:hint="eastAsia"/>
          <w:position w:val="-5"/>
          <w:sz w:val="52"/>
        </w:rPr>
        <w:t></w:t>
        <w:tab/>
      </w:r>
      <w:r>
        <w:rPr>
          <w:b/>
          <w:spacing w:val="1"/>
          <w:sz w:val="28"/>
        </w:rPr>
        <w:t>如何领取保险金 </w:t>
      </w:r>
      <w:r>
        <w:rPr>
          <w:spacing w:val="-3"/>
          <w:sz w:val="21"/>
        </w:rPr>
        <w:t>这部分讲的是谁有权领取，如何领取保险金。</w:t>
      </w: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rPr>
          <w:sz w:val="54"/>
        </w:rPr>
      </w:pPr>
    </w:p>
    <w:p>
      <w:pPr>
        <w:pStyle w:val="BodyText"/>
        <w:spacing w:before="5"/>
        <w:rPr>
          <w:sz w:val="39"/>
        </w:rPr>
      </w:pPr>
    </w:p>
    <w:p>
      <w:pPr>
        <w:tabs>
          <w:tab w:pos="1012" w:val="left" w:leader="none"/>
        </w:tabs>
        <w:spacing w:before="1"/>
        <w:ind w:left="160" w:right="0" w:firstLine="0"/>
        <w:jc w:val="left"/>
        <w:rPr>
          <w:sz w:val="21"/>
        </w:rPr>
      </w:pPr>
      <w:r>
        <w:rPr>
          <w:rFonts w:ascii="MS UI Gothic" w:hAnsi="MS UI Gothic" w:eastAsia="MS UI Gothic" w:hint="eastAsia"/>
          <w:position w:val="-5"/>
          <w:sz w:val="52"/>
        </w:rPr>
        <w:t></w:t>
        <w:tab/>
      </w:r>
      <w:bookmarkStart w:name="_bookmark8" w:id="9"/>
      <w:bookmarkEnd w:id="9"/>
      <w:r>
        <w:rPr>
          <w:rFonts w:ascii="MS UI Gothic" w:hAnsi="MS UI Gothic" w:eastAsia="MS UI Gothic" w:hint="eastAsia"/>
          <w:position w:val="-5"/>
          <w:sz w:val="52"/>
        </w:rPr>
      </w:r>
      <w:r>
        <w:rPr>
          <w:b/>
          <w:spacing w:val="2"/>
          <w:sz w:val="28"/>
        </w:rPr>
        <w:t>如何退保    </w:t>
      </w:r>
      <w:r>
        <w:rPr>
          <w:spacing w:val="-3"/>
          <w:sz w:val="21"/>
        </w:rPr>
        <w:t>这部分讲的是您在犹豫期内退保没有损失，犹豫期后退保会有损失。 </w:t>
      </w:r>
    </w:p>
    <w:p>
      <w:pPr>
        <w:tabs>
          <w:tab w:pos="1012" w:val="left" w:leader="none"/>
          <w:tab w:pos="2711" w:val="left" w:leader="none"/>
        </w:tabs>
        <w:spacing w:before="65"/>
        <w:ind w:left="160" w:right="0" w:firstLine="0"/>
        <w:jc w:val="left"/>
        <w:rPr>
          <w:sz w:val="21"/>
        </w:rPr>
      </w:pPr>
      <w:r>
        <w:rPr>
          <w:b/>
          <w:w w:val="99"/>
          <w:sz w:val="21"/>
        </w:rPr>
        <w:t> </w:t>
      </w:r>
      <w:r>
        <w:rPr>
          <w:b/>
          <w:sz w:val="21"/>
        </w:rPr>
        <w:tab/>
      </w:r>
      <w:r>
        <w:rPr>
          <w:b/>
          <w:w w:val="99"/>
          <w:sz w:val="21"/>
        </w:rPr>
        <w:t> </w:t>
      </w:r>
      <w:r>
        <w:rPr>
          <w:b/>
          <w:sz w:val="21"/>
        </w:rPr>
        <w:tab/>
      </w:r>
      <w:r>
        <w:rPr>
          <w:w w:val="100"/>
          <w:sz w:val="21"/>
        </w:rPr>
        <w:t> </w:t>
      </w:r>
    </w:p>
    <w:p>
      <w:pPr>
        <w:tabs>
          <w:tab w:pos="1012" w:val="left" w:leader="none"/>
          <w:tab w:pos="2711" w:val="left" w:leader="none"/>
        </w:tabs>
        <w:spacing w:before="63"/>
        <w:ind w:left="160" w:right="0" w:firstLine="0"/>
        <w:jc w:val="left"/>
        <w:rPr>
          <w:sz w:val="21"/>
        </w:rPr>
      </w:pPr>
      <w:r>
        <w:rPr>
          <w:b/>
          <w:sz w:val="21"/>
        </w:rPr>
        <w:t>5.1</w:t>
        <w:tab/>
      </w:r>
      <w:bookmarkStart w:name="_bookmark12" w:id="10"/>
      <w:bookmarkEnd w:id="10"/>
      <w:r>
        <w:rPr>
          <w:b/>
          <w:sz w:val="21"/>
        </w:rPr>
        <w:t>犹</w:t>
      </w:r>
      <w:r>
        <w:rPr>
          <w:b/>
          <w:sz w:val="21"/>
        </w:rPr>
        <w:t>豫期内退</w:t>
      </w:r>
      <w:r>
        <w:rPr>
          <w:b/>
          <w:spacing w:val="-3"/>
          <w:sz w:val="21"/>
        </w:rPr>
        <w:t>保</w:t>
        <w:tab/>
      </w:r>
      <w:r>
        <w:rPr>
          <w:spacing w:val="-1"/>
          <w:sz w:val="21"/>
        </w:rPr>
        <w:t>自您</w:t>
      </w:r>
      <w:r>
        <w:rPr>
          <w:spacing w:val="-3"/>
          <w:sz w:val="21"/>
        </w:rPr>
        <w:t>签</w:t>
      </w:r>
      <w:r>
        <w:rPr>
          <w:sz w:val="21"/>
        </w:rPr>
        <w:t>收</w:t>
      </w:r>
      <w:r>
        <w:rPr>
          <w:spacing w:val="-3"/>
          <w:sz w:val="21"/>
        </w:rPr>
        <w:t>本</w:t>
      </w:r>
      <w:r>
        <w:rPr>
          <w:sz w:val="21"/>
        </w:rPr>
        <w:t>附</w:t>
      </w:r>
      <w:r>
        <w:rPr>
          <w:spacing w:val="-3"/>
          <w:sz w:val="21"/>
        </w:rPr>
        <w:t>加</w:t>
      </w:r>
      <w:r>
        <w:rPr>
          <w:sz w:val="21"/>
        </w:rPr>
        <w:t>合</w:t>
      </w:r>
      <w:r>
        <w:rPr>
          <w:spacing w:val="-3"/>
          <w:sz w:val="21"/>
        </w:rPr>
        <w:t>同</w:t>
      </w:r>
      <w:r>
        <w:rPr>
          <w:sz w:val="21"/>
        </w:rPr>
        <w:t>之</w:t>
      </w:r>
      <w:r>
        <w:rPr>
          <w:spacing w:val="-3"/>
          <w:sz w:val="21"/>
        </w:rPr>
        <w:t>日</w:t>
      </w:r>
      <w:r>
        <w:rPr>
          <w:sz w:val="21"/>
        </w:rPr>
        <w:t>起</w:t>
      </w:r>
      <w:r>
        <w:rPr>
          <w:spacing w:val="-20"/>
          <w:sz w:val="21"/>
        </w:rPr>
        <w:t>，</w:t>
      </w:r>
      <w:r>
        <w:rPr>
          <w:sz w:val="21"/>
        </w:rPr>
        <w:t>有15</w:t>
      </w:r>
      <w:r>
        <w:rPr>
          <w:spacing w:val="-3"/>
          <w:sz w:val="21"/>
        </w:rPr>
        <w:t>日</w:t>
      </w:r>
      <w:r>
        <w:rPr>
          <w:sz w:val="21"/>
        </w:rPr>
        <w:t>的</w:t>
      </w:r>
      <w:r>
        <w:rPr>
          <w:spacing w:val="-3"/>
          <w:sz w:val="21"/>
        </w:rPr>
        <w:t>犹</w:t>
      </w:r>
      <w:r>
        <w:rPr>
          <w:sz w:val="21"/>
        </w:rPr>
        <w:t>豫</w:t>
      </w:r>
      <w:r>
        <w:rPr>
          <w:spacing w:val="-3"/>
          <w:sz w:val="21"/>
        </w:rPr>
        <w:t>期</w:t>
      </w:r>
      <w:r>
        <w:rPr>
          <w:spacing w:val="-20"/>
          <w:sz w:val="21"/>
        </w:rPr>
        <w:t>。</w:t>
      </w:r>
      <w:r>
        <w:rPr>
          <w:spacing w:val="-3"/>
          <w:sz w:val="21"/>
        </w:rPr>
        <w:t>在</w:t>
      </w:r>
      <w:r>
        <w:rPr>
          <w:sz w:val="21"/>
        </w:rPr>
        <w:t>此期</w:t>
      </w:r>
      <w:r>
        <w:rPr>
          <w:spacing w:val="-3"/>
          <w:sz w:val="21"/>
        </w:rPr>
        <w:t>间</w:t>
      </w:r>
      <w:r>
        <w:rPr>
          <w:sz w:val="21"/>
        </w:rPr>
        <w:t>请</w:t>
      </w:r>
      <w:r>
        <w:rPr>
          <w:spacing w:val="-3"/>
          <w:sz w:val="21"/>
        </w:rPr>
        <w:t>您</w:t>
      </w:r>
      <w:r>
        <w:rPr>
          <w:sz w:val="21"/>
        </w:rPr>
        <w:t>认</w:t>
      </w:r>
      <w:r>
        <w:rPr>
          <w:spacing w:val="-3"/>
          <w:sz w:val="21"/>
        </w:rPr>
        <w:t>真</w:t>
      </w:r>
      <w:r>
        <w:rPr>
          <w:sz w:val="21"/>
        </w:rPr>
        <w:t>审</w:t>
      </w:r>
      <w:r>
        <w:rPr>
          <w:spacing w:val="-3"/>
          <w:sz w:val="21"/>
        </w:rPr>
        <w:t>视</w:t>
      </w:r>
      <w:r>
        <w:rPr>
          <w:sz w:val="21"/>
        </w:rPr>
        <w:t>本</w:t>
      </w:r>
    </w:p>
    <w:p>
      <w:pPr>
        <w:pStyle w:val="BodyText"/>
        <w:spacing w:before="5"/>
      </w:pPr>
      <w:r>
        <w:rPr/>
        <w:pict>
          <v:line style="position:absolute;mso-position-horizontal-relative:page;mso-position-vertical-relative:paragraph;z-index:2344;mso-wrap-distance-left:0;mso-wrap-distance-right:0" from="54pt,14.273184pt" to="198.05pt,14.273184pt" stroked="true" strokeweight=".47998pt" strokecolor="#000000">
            <v:stroke dashstyle="solid"/>
            <w10:wrap type="topAndBottom"/>
          </v:line>
        </w:pict>
      </w:r>
    </w:p>
    <w:p>
      <w:pPr>
        <w:pStyle w:val="BodyText"/>
        <w:spacing w:before="91"/>
        <w:ind w:left="160"/>
      </w:pPr>
      <w:r>
        <w:rPr>
          <w:rFonts w:ascii="Times New Roman" w:eastAsia="Times New Roman"/>
          <w:position w:val="6"/>
          <w:sz w:val="12"/>
        </w:rPr>
        <w:t>14</w:t>
      </w:r>
      <w:r>
        <w:rPr>
          <w:rFonts w:ascii="Times New Roman" w:eastAsia="Times New Roman"/>
          <w:sz w:val="12"/>
        </w:rPr>
        <w:t>   </w:t>
      </w:r>
      <w:r>
        <w:rPr>
          <w:b/>
        </w:rPr>
        <w:t>有效身份证件</w:t>
      </w:r>
      <w:r>
        <w:rPr/>
        <w:t>指由政府主管部门规定的证明个人身份的证件，如：居民身份证、按规定可使用的有效护照等证件。 </w:t>
      </w:r>
    </w:p>
    <w:p>
      <w:pPr>
        <w:spacing w:after="0"/>
        <w:sectPr>
          <w:pgSz w:w="11910" w:h="16840"/>
          <w:pgMar w:top="1400" w:bottom="280" w:left="92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782"/>
        <w:gridCol w:w="7035"/>
      </w:tblGrid>
      <w:tr>
        <w:trPr>
          <w:trHeight w:val="3069" w:hRule="atLeast"/>
        </w:trPr>
        <w:tc>
          <w:tcPr>
            <w:tcW w:w="858" w:type="dxa"/>
          </w:tcPr>
          <w:p>
            <w:pPr>
              <w:pStyle w:val="TableParagraph"/>
              <w:rPr>
                <w:rFonts w:ascii="Times New Roman"/>
                <w:sz w:val="20"/>
              </w:rPr>
            </w:pPr>
          </w:p>
        </w:tc>
        <w:tc>
          <w:tcPr>
            <w:tcW w:w="1782" w:type="dxa"/>
          </w:tcPr>
          <w:p>
            <w:pPr>
              <w:pStyle w:val="TableParagraph"/>
              <w:rPr>
                <w:rFonts w:ascii="Times New Roman"/>
                <w:sz w:val="20"/>
              </w:rPr>
            </w:pPr>
          </w:p>
        </w:tc>
        <w:tc>
          <w:tcPr>
            <w:tcW w:w="7035" w:type="dxa"/>
          </w:tcPr>
          <w:p>
            <w:pPr>
              <w:pStyle w:val="TableParagraph"/>
              <w:spacing w:line="204" w:lineRule="exact"/>
              <w:ind w:left="111"/>
              <w:rPr>
                <w:sz w:val="21"/>
              </w:rPr>
            </w:pPr>
            <w:r>
              <w:rPr>
                <w:sz w:val="21"/>
              </w:rPr>
              <w:t>附加合同，如果您认为本附加合同与您的需求不相符，您可以在此期间提</w:t>
            </w:r>
          </w:p>
          <w:p>
            <w:pPr>
              <w:pStyle w:val="TableParagraph"/>
              <w:spacing w:line="273" w:lineRule="auto" w:before="37"/>
              <w:ind w:left="111" w:right="186"/>
              <w:rPr>
                <w:sz w:val="21"/>
              </w:rPr>
            </w:pPr>
            <w:r>
              <w:rPr>
                <w:sz w:val="21"/>
              </w:rPr>
              <w:t>出解除本附加合同，我们扣除不超过10元的合同工本费后无息退还您已交的保险费。 </w:t>
            </w:r>
          </w:p>
          <w:p>
            <w:pPr>
              <w:pStyle w:val="TableParagraph"/>
              <w:spacing w:before="7"/>
              <w:ind w:left="111"/>
              <w:rPr>
                <w:sz w:val="21"/>
              </w:rPr>
            </w:pPr>
            <w:r>
              <w:rPr>
                <w:w w:val="100"/>
                <w:sz w:val="21"/>
              </w:rPr>
              <w:t> </w:t>
            </w:r>
          </w:p>
          <w:p>
            <w:pPr>
              <w:pStyle w:val="TableParagraph"/>
              <w:spacing w:before="36"/>
              <w:ind w:left="111"/>
              <w:rPr>
                <w:sz w:val="21"/>
              </w:rPr>
            </w:pPr>
            <w:r>
              <w:rPr>
                <w:sz w:val="21"/>
              </w:rPr>
              <w:t>解除本附加合同时，您需要填写保险合同终止申请书并提供下列资料： </w:t>
            </w:r>
          </w:p>
          <w:p>
            <w:pPr>
              <w:pStyle w:val="TableParagraph"/>
              <w:numPr>
                <w:ilvl w:val="0"/>
                <w:numId w:val="4"/>
              </w:numPr>
              <w:tabs>
                <w:tab w:pos="744" w:val="left" w:leader="none"/>
              </w:tabs>
              <w:spacing w:line="240" w:lineRule="auto" w:before="36" w:after="0"/>
              <w:ind w:left="743" w:right="0" w:hanging="632"/>
              <w:jc w:val="left"/>
              <w:rPr>
                <w:sz w:val="21"/>
              </w:rPr>
            </w:pPr>
            <w:r>
              <w:rPr>
                <w:spacing w:val="-3"/>
                <w:sz w:val="21"/>
              </w:rPr>
              <w:t>附加合同；</w:t>
            </w:r>
          </w:p>
          <w:p>
            <w:pPr>
              <w:pStyle w:val="TableParagraph"/>
              <w:numPr>
                <w:ilvl w:val="0"/>
                <w:numId w:val="4"/>
              </w:numPr>
              <w:tabs>
                <w:tab w:pos="744" w:val="left" w:leader="none"/>
              </w:tabs>
              <w:spacing w:line="240" w:lineRule="auto" w:before="20" w:after="0"/>
              <w:ind w:left="743" w:right="0" w:hanging="632"/>
              <w:jc w:val="left"/>
              <w:rPr>
                <w:sz w:val="21"/>
              </w:rPr>
            </w:pPr>
            <w:r>
              <w:rPr>
                <w:spacing w:val="-3"/>
                <w:sz w:val="21"/>
              </w:rPr>
              <w:t>您的有效身份证件。</w:t>
            </w:r>
          </w:p>
          <w:p>
            <w:pPr>
              <w:pStyle w:val="TableParagraph"/>
              <w:spacing w:before="20"/>
              <w:ind w:left="111"/>
              <w:rPr>
                <w:sz w:val="21"/>
              </w:rPr>
            </w:pPr>
            <w:r>
              <w:rPr>
                <w:w w:val="100"/>
                <w:sz w:val="21"/>
              </w:rPr>
              <w:t> </w:t>
            </w:r>
          </w:p>
          <w:p>
            <w:pPr>
              <w:pStyle w:val="TableParagraph"/>
              <w:spacing w:line="273" w:lineRule="auto" w:before="36"/>
              <w:ind w:left="111" w:right="196"/>
              <w:rPr>
                <w:sz w:val="21"/>
              </w:rPr>
            </w:pPr>
            <w:r>
              <w:rPr>
                <w:sz w:val="21"/>
              </w:rPr>
              <w:t>自我们收到您解除合同的书面申请时起，本附加合同即被解除，合同解除前发生的保险事故我们不承担给付保险金的责任。 </w:t>
            </w:r>
          </w:p>
        </w:tc>
      </w:tr>
      <w:tr>
        <w:trPr>
          <w:trHeight w:val="326" w:hRule="atLeast"/>
        </w:trPr>
        <w:tc>
          <w:tcPr>
            <w:tcW w:w="858" w:type="dxa"/>
          </w:tcPr>
          <w:p>
            <w:pPr>
              <w:pStyle w:val="TableParagraph"/>
              <w:spacing w:line="255" w:lineRule="exact"/>
              <w:ind w:left="200"/>
              <w:rPr>
                <w:sz w:val="21"/>
              </w:rPr>
            </w:pPr>
            <w:r>
              <w:rPr>
                <w:w w:val="100"/>
                <w:sz w:val="21"/>
              </w:rPr>
              <w:t> </w:t>
            </w:r>
          </w:p>
        </w:tc>
        <w:tc>
          <w:tcPr>
            <w:tcW w:w="1782" w:type="dxa"/>
          </w:tcPr>
          <w:p>
            <w:pPr>
              <w:pStyle w:val="TableParagraph"/>
              <w:spacing w:line="255" w:lineRule="exact"/>
              <w:ind w:left="194"/>
              <w:rPr>
                <w:sz w:val="21"/>
              </w:rPr>
            </w:pPr>
            <w:r>
              <w:rPr>
                <w:w w:val="100"/>
                <w:sz w:val="21"/>
              </w:rPr>
              <w:t> </w:t>
            </w:r>
          </w:p>
        </w:tc>
        <w:tc>
          <w:tcPr>
            <w:tcW w:w="7035" w:type="dxa"/>
          </w:tcPr>
          <w:p>
            <w:pPr>
              <w:pStyle w:val="TableParagraph"/>
              <w:spacing w:line="255" w:lineRule="exact"/>
              <w:ind w:left="111"/>
              <w:rPr>
                <w:sz w:val="21"/>
              </w:rPr>
            </w:pPr>
            <w:r>
              <w:rPr>
                <w:w w:val="100"/>
                <w:sz w:val="21"/>
              </w:rPr>
              <w:t> </w:t>
            </w:r>
          </w:p>
        </w:tc>
      </w:tr>
      <w:tr>
        <w:trPr>
          <w:trHeight w:val="2822" w:hRule="atLeast"/>
        </w:trPr>
        <w:tc>
          <w:tcPr>
            <w:tcW w:w="858" w:type="dxa"/>
          </w:tcPr>
          <w:p>
            <w:pPr>
              <w:pStyle w:val="TableParagraph"/>
              <w:spacing w:line="269" w:lineRule="exact"/>
              <w:ind w:left="200"/>
              <w:rPr>
                <w:b/>
                <w:sz w:val="21"/>
              </w:rPr>
            </w:pPr>
            <w:r>
              <w:rPr>
                <w:b/>
                <w:sz w:val="21"/>
              </w:rPr>
              <w:t>5.2 </w:t>
            </w:r>
          </w:p>
        </w:tc>
        <w:tc>
          <w:tcPr>
            <w:tcW w:w="1782" w:type="dxa"/>
          </w:tcPr>
          <w:p>
            <w:pPr>
              <w:pStyle w:val="TableParagraph"/>
              <w:spacing w:line="273" w:lineRule="auto"/>
              <w:ind w:left="194" w:right="107"/>
              <w:rPr>
                <w:sz w:val="21"/>
              </w:rPr>
            </w:pPr>
            <w:bookmarkStart w:name="_bookmark13" w:id="11"/>
            <w:bookmarkEnd w:id="11"/>
            <w:r>
              <w:rPr/>
            </w:r>
            <w:r>
              <w:rPr>
                <w:b/>
                <w:sz w:val="21"/>
              </w:rPr>
              <w:t>犹豫期后退保的手续及风险</w:t>
            </w:r>
            <w:r>
              <w:rPr>
                <w:w w:val="100"/>
                <w:sz w:val="21"/>
              </w:rPr>
              <w:t> </w:t>
            </w:r>
          </w:p>
        </w:tc>
        <w:tc>
          <w:tcPr>
            <w:tcW w:w="7035" w:type="dxa"/>
          </w:tcPr>
          <w:p>
            <w:pPr>
              <w:pStyle w:val="TableParagraph"/>
              <w:spacing w:line="273" w:lineRule="auto"/>
              <w:ind w:left="111" w:right="195"/>
              <w:rPr>
                <w:sz w:val="21"/>
              </w:rPr>
            </w:pPr>
            <w:r>
              <w:rPr>
                <w:sz w:val="21"/>
              </w:rPr>
              <w:t>您在犹豫期后可以申请解除本附加合同，请填写保险合同终止申请书并向我们提供下列资料：</w:t>
            </w:r>
          </w:p>
          <w:p>
            <w:pPr>
              <w:pStyle w:val="TableParagraph"/>
              <w:numPr>
                <w:ilvl w:val="0"/>
                <w:numId w:val="5"/>
              </w:numPr>
              <w:tabs>
                <w:tab w:pos="744" w:val="left" w:leader="none"/>
              </w:tabs>
              <w:spacing w:line="240" w:lineRule="auto" w:before="13" w:after="0"/>
              <w:ind w:left="743" w:right="0" w:hanging="632"/>
              <w:jc w:val="left"/>
              <w:rPr>
                <w:sz w:val="21"/>
              </w:rPr>
            </w:pPr>
            <w:r>
              <w:rPr>
                <w:spacing w:val="-3"/>
                <w:sz w:val="21"/>
              </w:rPr>
              <w:t>附加合同；</w:t>
            </w:r>
          </w:p>
          <w:p>
            <w:pPr>
              <w:pStyle w:val="TableParagraph"/>
              <w:numPr>
                <w:ilvl w:val="0"/>
                <w:numId w:val="5"/>
              </w:numPr>
              <w:tabs>
                <w:tab w:pos="744" w:val="left" w:leader="none"/>
              </w:tabs>
              <w:spacing w:line="240" w:lineRule="auto" w:before="21" w:after="0"/>
              <w:ind w:left="743" w:right="0" w:hanging="632"/>
              <w:jc w:val="left"/>
              <w:rPr>
                <w:sz w:val="21"/>
              </w:rPr>
            </w:pPr>
            <w:r>
              <w:rPr>
                <w:spacing w:val="-3"/>
                <w:sz w:val="21"/>
              </w:rPr>
              <w:t>您的有效身份证件。</w:t>
            </w:r>
          </w:p>
          <w:p>
            <w:pPr>
              <w:pStyle w:val="TableParagraph"/>
              <w:spacing w:before="6"/>
              <w:rPr>
                <w:sz w:val="25"/>
              </w:rPr>
            </w:pPr>
          </w:p>
          <w:p>
            <w:pPr>
              <w:pStyle w:val="TableParagraph"/>
              <w:spacing w:line="273" w:lineRule="auto"/>
              <w:ind w:left="111" w:right="198"/>
              <w:rPr>
                <w:sz w:val="21"/>
              </w:rPr>
            </w:pPr>
            <w:r>
              <w:rPr>
                <w:sz w:val="21"/>
              </w:rPr>
              <w:t>自我们收到保险合同终止申请书时，本附加合同终止。我们在收到上述证明和资料之日起 </w:t>
            </w:r>
            <w:r>
              <w:rPr>
                <w:rFonts w:ascii="Times New Roman" w:eastAsia="Times New Roman"/>
                <w:sz w:val="21"/>
              </w:rPr>
              <w:t>30 </w:t>
            </w:r>
            <w:r>
              <w:rPr>
                <w:sz w:val="21"/>
              </w:rPr>
              <w:t>日内向您退还本附加合同的现金价值。</w:t>
            </w:r>
          </w:p>
          <w:p>
            <w:pPr>
              <w:pStyle w:val="TableParagraph"/>
              <w:spacing w:line="264" w:lineRule="exact"/>
              <w:ind w:left="111"/>
              <w:rPr>
                <w:sz w:val="21"/>
              </w:rPr>
            </w:pPr>
            <w:r>
              <w:rPr>
                <w:w w:val="100"/>
                <w:sz w:val="21"/>
              </w:rPr>
              <w:t> </w:t>
            </w:r>
          </w:p>
          <w:p>
            <w:pPr>
              <w:pStyle w:val="TableParagraph"/>
              <w:spacing w:before="37"/>
              <w:ind w:left="111"/>
              <w:rPr>
                <w:sz w:val="21"/>
              </w:rPr>
            </w:pPr>
            <w:r>
              <w:rPr>
                <w:sz w:val="21"/>
              </w:rPr>
              <w:t>您犹豫期后解除合同可能会遭受一定损失。</w:t>
            </w:r>
          </w:p>
        </w:tc>
      </w:tr>
      <w:tr>
        <w:trPr>
          <w:trHeight w:val="317" w:hRule="atLeast"/>
        </w:trPr>
        <w:tc>
          <w:tcPr>
            <w:tcW w:w="858" w:type="dxa"/>
          </w:tcPr>
          <w:p>
            <w:pPr>
              <w:pStyle w:val="TableParagraph"/>
              <w:spacing w:line="255" w:lineRule="exact"/>
              <w:ind w:left="200"/>
              <w:rPr>
                <w:b/>
                <w:sz w:val="21"/>
              </w:rPr>
            </w:pPr>
            <w:r>
              <w:rPr>
                <w:b/>
                <w:w w:val="99"/>
                <w:sz w:val="21"/>
              </w:rPr>
              <w:t> </w:t>
            </w:r>
          </w:p>
        </w:tc>
        <w:tc>
          <w:tcPr>
            <w:tcW w:w="1782" w:type="dxa"/>
          </w:tcPr>
          <w:p>
            <w:pPr>
              <w:pStyle w:val="TableParagraph"/>
              <w:spacing w:line="255" w:lineRule="exact"/>
              <w:ind w:left="194"/>
              <w:rPr>
                <w:b/>
                <w:sz w:val="21"/>
              </w:rPr>
            </w:pPr>
            <w:r>
              <w:rPr>
                <w:b/>
                <w:w w:val="99"/>
                <w:sz w:val="21"/>
              </w:rPr>
              <w:t> </w:t>
            </w:r>
          </w:p>
        </w:tc>
        <w:tc>
          <w:tcPr>
            <w:tcW w:w="7035" w:type="dxa"/>
          </w:tcPr>
          <w:p>
            <w:pPr>
              <w:pStyle w:val="TableParagraph"/>
              <w:spacing w:line="255" w:lineRule="exact"/>
              <w:ind w:left="111"/>
              <w:rPr>
                <w:sz w:val="21"/>
              </w:rPr>
            </w:pPr>
            <w:r>
              <w:rPr>
                <w:w w:val="100"/>
                <w:sz w:val="21"/>
              </w:rPr>
              <w:t> </w:t>
            </w:r>
          </w:p>
        </w:tc>
      </w:tr>
      <w:tr>
        <w:trPr>
          <w:trHeight w:val="650" w:hRule="atLeast"/>
        </w:trPr>
        <w:tc>
          <w:tcPr>
            <w:tcW w:w="858" w:type="dxa"/>
          </w:tcPr>
          <w:p>
            <w:pPr>
              <w:pStyle w:val="TableParagraph"/>
              <w:spacing w:line="562" w:lineRule="exact"/>
              <w:ind w:left="200"/>
              <w:rPr>
                <w:rFonts w:ascii="MS UI Gothic" w:hAnsi="MS UI Gothic"/>
                <w:sz w:val="52"/>
              </w:rPr>
            </w:pPr>
            <w:r>
              <w:rPr>
                <w:rFonts w:ascii="MS UI Gothic" w:hAnsi="MS UI Gothic"/>
                <w:w w:val="89"/>
                <w:sz w:val="52"/>
              </w:rPr>
              <w:t></w:t>
            </w:r>
          </w:p>
        </w:tc>
        <w:tc>
          <w:tcPr>
            <w:tcW w:w="8817" w:type="dxa"/>
            <w:gridSpan w:val="2"/>
          </w:tcPr>
          <w:p>
            <w:pPr>
              <w:pStyle w:val="TableParagraph"/>
              <w:spacing w:before="99"/>
              <w:ind w:left="194"/>
              <w:rPr>
                <w:sz w:val="21"/>
              </w:rPr>
            </w:pPr>
            <w:r>
              <w:rPr>
                <w:b/>
                <w:w w:val="95"/>
                <w:sz w:val="28"/>
              </w:rPr>
              <w:t>需要关注的其他内容</w:t>
            </w:r>
            <w:r>
              <w:rPr>
                <w:w w:val="100"/>
                <w:sz w:val="21"/>
              </w:rPr>
              <w:t> </w:t>
            </w:r>
          </w:p>
        </w:tc>
      </w:tr>
      <w:tr>
        <w:trPr>
          <w:trHeight w:val="321" w:hRule="atLeast"/>
        </w:trPr>
        <w:tc>
          <w:tcPr>
            <w:tcW w:w="858" w:type="dxa"/>
          </w:tcPr>
          <w:p>
            <w:pPr>
              <w:pStyle w:val="TableParagraph"/>
              <w:spacing w:line="249" w:lineRule="exact"/>
              <w:ind w:left="200"/>
              <w:rPr>
                <w:b/>
                <w:sz w:val="21"/>
              </w:rPr>
            </w:pPr>
            <w:r>
              <w:rPr>
                <w:b/>
                <w:w w:val="99"/>
                <w:sz w:val="21"/>
              </w:rPr>
              <w:t> </w:t>
            </w:r>
          </w:p>
        </w:tc>
        <w:tc>
          <w:tcPr>
            <w:tcW w:w="1782" w:type="dxa"/>
          </w:tcPr>
          <w:p>
            <w:pPr>
              <w:pStyle w:val="TableParagraph"/>
              <w:spacing w:line="249" w:lineRule="exact"/>
              <w:ind w:left="194"/>
              <w:rPr>
                <w:b/>
                <w:sz w:val="21"/>
              </w:rPr>
            </w:pPr>
            <w:r>
              <w:rPr>
                <w:b/>
                <w:w w:val="99"/>
                <w:sz w:val="21"/>
              </w:rPr>
              <w:t> </w:t>
            </w:r>
          </w:p>
        </w:tc>
        <w:tc>
          <w:tcPr>
            <w:tcW w:w="7035" w:type="dxa"/>
          </w:tcPr>
          <w:p>
            <w:pPr>
              <w:pStyle w:val="TableParagraph"/>
              <w:spacing w:line="249" w:lineRule="exact"/>
              <w:ind w:left="111"/>
              <w:rPr>
                <w:sz w:val="21"/>
              </w:rPr>
            </w:pPr>
            <w:r>
              <w:rPr>
                <w:w w:val="100"/>
                <w:sz w:val="21"/>
              </w:rPr>
              <w:t> </w:t>
            </w:r>
          </w:p>
        </w:tc>
      </w:tr>
      <w:tr>
        <w:trPr>
          <w:trHeight w:val="950" w:hRule="atLeast"/>
        </w:trPr>
        <w:tc>
          <w:tcPr>
            <w:tcW w:w="858" w:type="dxa"/>
          </w:tcPr>
          <w:p>
            <w:pPr>
              <w:pStyle w:val="TableParagraph"/>
              <w:spacing w:line="269" w:lineRule="exact"/>
              <w:ind w:left="200"/>
              <w:rPr>
                <w:b/>
                <w:sz w:val="21"/>
              </w:rPr>
            </w:pPr>
            <w:r>
              <w:rPr>
                <w:b/>
                <w:sz w:val="21"/>
              </w:rPr>
              <w:t>6.1 </w:t>
            </w:r>
          </w:p>
        </w:tc>
        <w:tc>
          <w:tcPr>
            <w:tcW w:w="1782" w:type="dxa"/>
          </w:tcPr>
          <w:p>
            <w:pPr>
              <w:pStyle w:val="TableParagraph"/>
              <w:spacing w:line="269" w:lineRule="exact"/>
              <w:ind w:left="194"/>
              <w:rPr>
                <w:b/>
                <w:sz w:val="21"/>
              </w:rPr>
            </w:pPr>
            <w:bookmarkStart w:name="_bookmark14" w:id="12"/>
            <w:bookmarkEnd w:id="12"/>
            <w:r>
              <w:rPr/>
            </w:r>
            <w:r>
              <w:rPr>
                <w:b/>
                <w:sz w:val="21"/>
              </w:rPr>
              <w:t>合同构成</w:t>
            </w:r>
            <w:r>
              <w:rPr>
                <w:b/>
                <w:w w:val="99"/>
                <w:sz w:val="21"/>
              </w:rPr>
              <w:t> </w:t>
            </w:r>
          </w:p>
        </w:tc>
        <w:tc>
          <w:tcPr>
            <w:tcW w:w="7035" w:type="dxa"/>
          </w:tcPr>
          <w:p>
            <w:pPr>
              <w:pStyle w:val="TableParagraph"/>
              <w:spacing w:line="273" w:lineRule="auto"/>
              <w:ind w:left="111" w:right="233"/>
              <w:jc w:val="both"/>
              <w:rPr>
                <w:sz w:val="21"/>
              </w:rPr>
            </w:pPr>
            <w:r>
              <w:rPr>
                <w:spacing w:val="-6"/>
                <w:sz w:val="21"/>
              </w:rPr>
              <w:t>本附加合同由投保单、与本附加合同有关的投保文件、保险单或其他保险</w:t>
            </w:r>
            <w:r>
              <w:rPr>
                <w:spacing w:val="-9"/>
                <w:sz w:val="21"/>
              </w:rPr>
              <w:t>凭证、本附加险条款、合法有效的声明、批注、批单和其他书面协议共同</w:t>
            </w:r>
            <w:r>
              <w:rPr>
                <w:spacing w:val="-1"/>
                <w:sz w:val="21"/>
              </w:rPr>
              <w:t>构成。 </w:t>
            </w:r>
          </w:p>
        </w:tc>
      </w:tr>
      <w:tr>
        <w:trPr>
          <w:trHeight w:val="326" w:hRule="atLeast"/>
        </w:trPr>
        <w:tc>
          <w:tcPr>
            <w:tcW w:w="858" w:type="dxa"/>
          </w:tcPr>
          <w:p>
            <w:pPr>
              <w:pStyle w:val="TableParagraph"/>
              <w:spacing w:line="255" w:lineRule="exact"/>
              <w:ind w:left="200"/>
              <w:rPr>
                <w:sz w:val="21"/>
              </w:rPr>
            </w:pPr>
            <w:r>
              <w:rPr>
                <w:w w:val="100"/>
                <w:sz w:val="21"/>
              </w:rPr>
              <w:t> </w:t>
            </w:r>
          </w:p>
        </w:tc>
        <w:tc>
          <w:tcPr>
            <w:tcW w:w="1782" w:type="dxa"/>
          </w:tcPr>
          <w:p>
            <w:pPr>
              <w:pStyle w:val="TableParagraph"/>
              <w:spacing w:line="255" w:lineRule="exact"/>
              <w:ind w:left="194"/>
              <w:rPr>
                <w:sz w:val="21"/>
              </w:rPr>
            </w:pPr>
            <w:r>
              <w:rPr>
                <w:w w:val="100"/>
                <w:sz w:val="21"/>
              </w:rPr>
              <w:t> </w:t>
            </w:r>
          </w:p>
        </w:tc>
        <w:tc>
          <w:tcPr>
            <w:tcW w:w="7035" w:type="dxa"/>
          </w:tcPr>
          <w:p>
            <w:pPr>
              <w:pStyle w:val="TableParagraph"/>
              <w:spacing w:line="255" w:lineRule="exact"/>
              <w:ind w:left="111"/>
              <w:rPr>
                <w:sz w:val="21"/>
              </w:rPr>
            </w:pPr>
            <w:r>
              <w:rPr>
                <w:w w:val="100"/>
                <w:sz w:val="21"/>
              </w:rPr>
              <w:t> </w:t>
            </w:r>
          </w:p>
        </w:tc>
      </w:tr>
      <w:tr>
        <w:trPr>
          <w:trHeight w:val="2511" w:hRule="atLeast"/>
        </w:trPr>
        <w:tc>
          <w:tcPr>
            <w:tcW w:w="858" w:type="dxa"/>
          </w:tcPr>
          <w:p>
            <w:pPr>
              <w:pStyle w:val="TableParagraph"/>
              <w:spacing w:line="269" w:lineRule="exact"/>
              <w:ind w:left="200"/>
              <w:rPr>
                <w:b/>
                <w:sz w:val="21"/>
              </w:rPr>
            </w:pPr>
            <w:r>
              <w:rPr>
                <w:b/>
                <w:sz w:val="21"/>
              </w:rPr>
              <w:t>6.2 </w:t>
            </w:r>
          </w:p>
        </w:tc>
        <w:tc>
          <w:tcPr>
            <w:tcW w:w="1782" w:type="dxa"/>
          </w:tcPr>
          <w:p>
            <w:pPr>
              <w:pStyle w:val="TableParagraph"/>
              <w:spacing w:line="273" w:lineRule="auto"/>
              <w:ind w:left="194" w:right="107"/>
              <w:rPr>
                <w:b/>
                <w:sz w:val="21"/>
              </w:rPr>
            </w:pPr>
            <w:bookmarkStart w:name="_bookmark15" w:id="13"/>
            <w:bookmarkEnd w:id="13"/>
            <w:r>
              <w:rPr/>
            </w:r>
            <w:r>
              <w:rPr>
                <w:b/>
                <w:sz w:val="21"/>
              </w:rPr>
              <w:t>合同的成立与生效</w:t>
            </w:r>
            <w:r>
              <w:rPr>
                <w:b/>
                <w:w w:val="99"/>
                <w:sz w:val="21"/>
              </w:rPr>
              <w:t> </w:t>
            </w:r>
          </w:p>
        </w:tc>
        <w:tc>
          <w:tcPr>
            <w:tcW w:w="7035" w:type="dxa"/>
          </w:tcPr>
          <w:p>
            <w:pPr>
              <w:pStyle w:val="TableParagraph"/>
              <w:spacing w:line="273" w:lineRule="auto"/>
              <w:ind w:left="111" w:right="236"/>
              <w:rPr>
                <w:sz w:val="21"/>
              </w:rPr>
            </w:pPr>
            <w:r>
              <w:rPr>
                <w:spacing w:val="-7"/>
                <w:sz w:val="21"/>
              </w:rPr>
              <w:t>您提出保险申请、我们同意承保，本附加合同成立。我们收取保险费后签</w:t>
            </w:r>
            <w:r>
              <w:rPr>
                <w:spacing w:val="-5"/>
                <w:sz w:val="21"/>
              </w:rPr>
              <w:t>发保险单，具体生效日以保险单所载的日期为准。</w:t>
            </w:r>
            <w:r>
              <w:rPr>
                <w:sz w:val="21"/>
              </w:rPr>
              <w:t> </w:t>
            </w:r>
          </w:p>
          <w:p>
            <w:pPr>
              <w:pStyle w:val="TableParagraph"/>
              <w:spacing w:before="13"/>
              <w:ind w:left="111"/>
              <w:rPr>
                <w:sz w:val="21"/>
              </w:rPr>
            </w:pPr>
            <w:r>
              <w:rPr>
                <w:w w:val="100"/>
                <w:sz w:val="21"/>
              </w:rPr>
              <w:t> </w:t>
            </w:r>
          </w:p>
          <w:p>
            <w:pPr>
              <w:pStyle w:val="TableParagraph"/>
              <w:spacing w:line="273" w:lineRule="auto" w:before="37"/>
              <w:ind w:left="111" w:right="195"/>
              <w:jc w:val="both"/>
              <w:rPr>
                <w:sz w:val="21"/>
              </w:rPr>
            </w:pPr>
            <w:r>
              <w:rPr>
                <w:sz w:val="21"/>
              </w:rPr>
              <w:t>本附加合同生效日以后每年的对应日是保单周年日。保险单年度、保险单月份和保险费支付日均以该日期为基础计算。如果当月无对应的同一日， 则以该月最后一日作为对应日。 </w:t>
            </w:r>
          </w:p>
          <w:p>
            <w:pPr>
              <w:pStyle w:val="TableParagraph"/>
              <w:spacing w:before="7"/>
              <w:ind w:left="111"/>
              <w:jc w:val="both"/>
              <w:rPr>
                <w:sz w:val="21"/>
              </w:rPr>
            </w:pPr>
            <w:r>
              <w:rPr>
                <w:w w:val="100"/>
                <w:sz w:val="21"/>
              </w:rPr>
              <w:t> </w:t>
            </w:r>
          </w:p>
          <w:p>
            <w:pPr>
              <w:pStyle w:val="TableParagraph"/>
              <w:spacing w:before="36"/>
              <w:ind w:left="111"/>
              <w:jc w:val="both"/>
              <w:rPr>
                <w:sz w:val="21"/>
              </w:rPr>
            </w:pPr>
            <w:r>
              <w:rPr>
                <w:sz w:val="21"/>
              </w:rPr>
              <w:t>本附加合同的保单周年日同主合同的保单周年日。 </w:t>
            </w:r>
          </w:p>
        </w:tc>
      </w:tr>
      <w:tr>
        <w:trPr>
          <w:trHeight w:val="313" w:hRule="atLeast"/>
        </w:trPr>
        <w:tc>
          <w:tcPr>
            <w:tcW w:w="858" w:type="dxa"/>
          </w:tcPr>
          <w:p>
            <w:pPr>
              <w:pStyle w:val="TableParagraph"/>
              <w:spacing w:line="255" w:lineRule="exact"/>
              <w:ind w:left="200"/>
              <w:rPr>
                <w:b/>
                <w:sz w:val="21"/>
              </w:rPr>
            </w:pPr>
            <w:r>
              <w:rPr>
                <w:b/>
                <w:w w:val="99"/>
                <w:sz w:val="21"/>
              </w:rPr>
              <w:t> </w:t>
            </w:r>
          </w:p>
        </w:tc>
        <w:tc>
          <w:tcPr>
            <w:tcW w:w="1782" w:type="dxa"/>
          </w:tcPr>
          <w:p>
            <w:pPr>
              <w:pStyle w:val="TableParagraph"/>
              <w:spacing w:line="255" w:lineRule="exact"/>
              <w:ind w:left="194"/>
              <w:rPr>
                <w:b/>
                <w:sz w:val="21"/>
              </w:rPr>
            </w:pPr>
            <w:r>
              <w:rPr>
                <w:b/>
                <w:w w:val="99"/>
                <w:sz w:val="21"/>
              </w:rPr>
              <w:t> </w:t>
            </w:r>
          </w:p>
        </w:tc>
        <w:tc>
          <w:tcPr>
            <w:tcW w:w="7035" w:type="dxa"/>
          </w:tcPr>
          <w:p>
            <w:pPr>
              <w:pStyle w:val="TableParagraph"/>
              <w:spacing w:line="255" w:lineRule="exact"/>
              <w:ind w:left="111"/>
              <w:rPr>
                <w:sz w:val="21"/>
              </w:rPr>
            </w:pPr>
            <w:r>
              <w:rPr>
                <w:w w:val="100"/>
                <w:sz w:val="21"/>
              </w:rPr>
              <w:t> </w:t>
            </w:r>
          </w:p>
        </w:tc>
      </w:tr>
      <w:tr>
        <w:trPr>
          <w:trHeight w:val="1534" w:hRule="atLeast"/>
        </w:trPr>
        <w:tc>
          <w:tcPr>
            <w:tcW w:w="858" w:type="dxa"/>
          </w:tcPr>
          <w:p>
            <w:pPr>
              <w:pStyle w:val="TableParagraph"/>
              <w:spacing w:before="5"/>
              <w:ind w:left="200"/>
              <w:rPr>
                <w:b/>
                <w:sz w:val="21"/>
              </w:rPr>
            </w:pPr>
            <w:r>
              <w:rPr>
                <w:b/>
                <w:sz w:val="21"/>
              </w:rPr>
              <w:t>6.3 </w:t>
            </w:r>
          </w:p>
        </w:tc>
        <w:tc>
          <w:tcPr>
            <w:tcW w:w="1782" w:type="dxa"/>
          </w:tcPr>
          <w:p>
            <w:pPr>
              <w:pStyle w:val="TableParagraph"/>
              <w:spacing w:before="5"/>
              <w:ind w:left="194"/>
              <w:rPr>
                <w:sz w:val="21"/>
              </w:rPr>
            </w:pPr>
            <w:bookmarkStart w:name="_bookmark16" w:id="14"/>
            <w:bookmarkEnd w:id="14"/>
            <w:r>
              <w:rPr/>
            </w:r>
            <w:r>
              <w:rPr>
                <w:b/>
                <w:sz w:val="21"/>
              </w:rPr>
              <w:t>投保年龄</w:t>
            </w:r>
            <w:r>
              <w:rPr>
                <w:w w:val="100"/>
                <w:sz w:val="21"/>
              </w:rPr>
              <w:t> </w:t>
            </w:r>
          </w:p>
        </w:tc>
        <w:tc>
          <w:tcPr>
            <w:tcW w:w="7035" w:type="dxa"/>
          </w:tcPr>
          <w:p>
            <w:pPr>
              <w:pStyle w:val="TableParagraph"/>
              <w:spacing w:line="273" w:lineRule="auto" w:before="5"/>
              <w:ind w:left="111" w:right="234"/>
              <w:rPr>
                <w:sz w:val="21"/>
              </w:rPr>
            </w:pPr>
            <w:r>
              <w:rPr>
                <w:sz w:val="21"/>
              </w:rPr>
              <w:t>指投保时被保险人的年龄，投保年龄以</w:t>
            </w:r>
            <w:r>
              <w:rPr>
                <w:b/>
                <w:sz w:val="21"/>
              </w:rPr>
              <w:t>周岁</w:t>
            </w:r>
            <w:r>
              <w:rPr>
                <w:b/>
                <w:position w:val="11"/>
                <w:sz w:val="11"/>
              </w:rPr>
              <w:t>15</w:t>
            </w:r>
            <w:r>
              <w:rPr>
                <w:sz w:val="21"/>
              </w:rPr>
              <w:t>计算，本附加合同接受的投</w:t>
            </w:r>
            <w:r>
              <w:rPr>
                <w:spacing w:val="-9"/>
                <w:sz w:val="21"/>
              </w:rPr>
              <w:t>保年龄为满 </w:t>
            </w:r>
            <w:r>
              <w:rPr>
                <w:sz w:val="21"/>
              </w:rPr>
              <w:t>18</w:t>
            </w:r>
            <w:r>
              <w:rPr>
                <w:spacing w:val="-22"/>
                <w:sz w:val="21"/>
              </w:rPr>
              <w:t> 周岁至 </w:t>
            </w:r>
            <w:r>
              <w:rPr>
                <w:sz w:val="21"/>
              </w:rPr>
              <w:t>55</w:t>
            </w:r>
            <w:r>
              <w:rPr>
                <w:spacing w:val="-18"/>
                <w:sz w:val="21"/>
              </w:rPr>
              <w:t> 周岁</w:t>
            </w:r>
            <w:r>
              <w:rPr>
                <w:spacing w:val="-3"/>
                <w:sz w:val="21"/>
              </w:rPr>
              <w:t>（</w:t>
            </w:r>
            <w:r>
              <w:rPr>
                <w:sz w:val="21"/>
              </w:rPr>
              <w:t>含</w:t>
            </w:r>
            <w:r>
              <w:rPr>
                <w:spacing w:val="-108"/>
                <w:sz w:val="21"/>
              </w:rPr>
              <w:t>）</w:t>
            </w:r>
            <w:r>
              <w:rPr>
                <w:spacing w:val="-3"/>
                <w:sz w:val="21"/>
              </w:rPr>
              <w:t>。</w:t>
            </w:r>
            <w:r>
              <w:rPr>
                <w:sz w:val="21"/>
              </w:rPr>
              <w:t> </w:t>
            </w:r>
          </w:p>
          <w:p>
            <w:pPr>
              <w:pStyle w:val="TableParagraph"/>
              <w:spacing w:before="7"/>
              <w:ind w:left="111"/>
              <w:rPr>
                <w:sz w:val="21"/>
              </w:rPr>
            </w:pPr>
            <w:r>
              <w:rPr>
                <w:w w:val="100"/>
                <w:sz w:val="21"/>
              </w:rPr>
              <w:t> </w:t>
            </w:r>
          </w:p>
          <w:p>
            <w:pPr>
              <w:pStyle w:val="TableParagraph"/>
              <w:spacing w:line="310" w:lineRule="atLeast" w:before="1"/>
              <w:ind w:left="111" w:right="197"/>
              <w:rPr>
                <w:sz w:val="21"/>
              </w:rPr>
            </w:pPr>
            <w:r>
              <w:rPr>
                <w:sz w:val="21"/>
              </w:rPr>
              <w:t>您申报的被保险人年龄是否准确、真实，将会对您、被保险人及受益人的权益产生重大影响。请您在申请投保时，务必将与有效身份证件相符的被</w:t>
            </w:r>
          </w:p>
        </w:tc>
      </w:tr>
    </w:tbl>
    <w:p>
      <w:pPr>
        <w:pStyle w:val="BodyText"/>
        <w:spacing w:before="4"/>
        <w:rPr>
          <w:sz w:val="24"/>
        </w:rPr>
      </w:pPr>
      <w:r>
        <w:rPr/>
        <w:pict>
          <v:line style="position:absolute;mso-position-horizontal-relative:page;mso-position-vertical-relative:paragraph;z-index:2392;mso-wrap-distance-left:0;mso-wrap-distance-right:0" from="54pt,18.12001pt" to="198.05pt,18.12001pt" stroked="true" strokeweight=".47998pt" strokecolor="#000000">
            <v:stroke dashstyle="solid"/>
            <w10:wrap type="topAndBottom"/>
          </v:line>
        </w:pict>
      </w:r>
    </w:p>
    <w:p>
      <w:pPr>
        <w:pStyle w:val="BodyText"/>
        <w:spacing w:before="91"/>
        <w:ind w:left="300"/>
      </w:pPr>
      <w:r>
        <w:rPr>
          <w:rFonts w:ascii="Times New Roman" w:eastAsia="Times New Roman"/>
          <w:position w:val="6"/>
          <w:sz w:val="12"/>
        </w:rPr>
        <w:t>15</w:t>
      </w:r>
      <w:r>
        <w:rPr>
          <w:rFonts w:ascii="Times New Roman" w:eastAsia="Times New Roman"/>
          <w:sz w:val="12"/>
        </w:rPr>
        <w:t>   </w:t>
      </w:r>
      <w:r>
        <w:rPr>
          <w:b/>
        </w:rPr>
        <w:t>周岁</w:t>
      </w:r>
      <w:r>
        <w:rPr/>
        <w:t>指按有效身份证件中记载的出生日期计算的年龄，自出生之日起为零周岁，每经过一年增加一岁，不足一年的不计。 </w:t>
      </w:r>
    </w:p>
    <w:p>
      <w:pPr>
        <w:spacing w:after="0"/>
        <w:sectPr>
          <w:pgSz w:w="11910" w:h="16840"/>
          <w:pgMar w:top="1480" w:bottom="280" w:left="780" w:right="9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539"/>
        <w:gridCol w:w="7215"/>
      </w:tblGrid>
      <w:tr>
        <w:trPr>
          <w:trHeight w:val="588" w:hRule="atLeast"/>
        </w:trPr>
        <w:tc>
          <w:tcPr>
            <w:tcW w:w="688" w:type="dxa"/>
          </w:tcPr>
          <w:p>
            <w:pPr>
              <w:pStyle w:val="TableParagraph"/>
              <w:spacing w:before="5"/>
              <w:rPr>
                <w:sz w:val="18"/>
              </w:rPr>
            </w:pPr>
          </w:p>
          <w:p>
            <w:pPr>
              <w:pStyle w:val="TableParagraph"/>
              <w:spacing w:before="1"/>
              <w:ind w:left="50"/>
              <w:rPr>
                <w:b/>
                <w:sz w:val="21"/>
              </w:rPr>
            </w:pPr>
            <w:r>
              <w:rPr>
                <w:b/>
                <w:w w:val="99"/>
                <w:sz w:val="21"/>
              </w:rPr>
              <w:t> </w:t>
            </w:r>
          </w:p>
        </w:tc>
        <w:tc>
          <w:tcPr>
            <w:tcW w:w="1539" w:type="dxa"/>
          </w:tcPr>
          <w:p>
            <w:pPr>
              <w:pStyle w:val="TableParagraph"/>
              <w:spacing w:before="5"/>
              <w:rPr>
                <w:sz w:val="18"/>
              </w:rPr>
            </w:pPr>
          </w:p>
          <w:p>
            <w:pPr>
              <w:pStyle w:val="TableParagraph"/>
              <w:spacing w:before="1"/>
              <w:ind w:left="214"/>
              <w:rPr>
                <w:b/>
                <w:sz w:val="21"/>
              </w:rPr>
            </w:pPr>
            <w:r>
              <w:rPr>
                <w:b/>
                <w:w w:val="99"/>
                <w:sz w:val="21"/>
              </w:rPr>
              <w:t> </w:t>
            </w:r>
          </w:p>
        </w:tc>
        <w:tc>
          <w:tcPr>
            <w:tcW w:w="7215" w:type="dxa"/>
          </w:tcPr>
          <w:p>
            <w:pPr>
              <w:pStyle w:val="TableParagraph"/>
              <w:spacing w:line="204" w:lineRule="exact"/>
              <w:ind w:left="374"/>
              <w:rPr>
                <w:sz w:val="21"/>
              </w:rPr>
            </w:pPr>
            <w:r>
              <w:rPr>
                <w:sz w:val="21"/>
              </w:rPr>
              <w:t>保险人的出生日期在投保书上正确填明。 </w:t>
            </w:r>
          </w:p>
          <w:p>
            <w:pPr>
              <w:pStyle w:val="TableParagraph"/>
              <w:spacing w:before="37"/>
              <w:ind w:left="374"/>
              <w:rPr>
                <w:sz w:val="21"/>
              </w:rPr>
            </w:pPr>
            <w:r>
              <w:rPr>
                <w:w w:val="100"/>
                <w:sz w:val="21"/>
              </w:rPr>
              <w:t> </w:t>
            </w:r>
          </w:p>
        </w:tc>
      </w:tr>
      <w:tr>
        <w:trPr>
          <w:trHeight w:val="1587" w:hRule="atLeast"/>
        </w:trPr>
        <w:tc>
          <w:tcPr>
            <w:tcW w:w="688" w:type="dxa"/>
          </w:tcPr>
          <w:p>
            <w:pPr>
              <w:pStyle w:val="TableParagraph"/>
              <w:spacing w:line="269" w:lineRule="exact"/>
              <w:ind w:left="50"/>
              <w:rPr>
                <w:b/>
                <w:sz w:val="21"/>
              </w:rPr>
            </w:pPr>
            <w:r>
              <w:rPr>
                <w:b/>
                <w:sz w:val="21"/>
              </w:rPr>
              <w:t>6.4 </w:t>
            </w:r>
          </w:p>
          <w:p>
            <w:pPr>
              <w:pStyle w:val="TableParagraph"/>
              <w:rPr>
                <w:sz w:val="20"/>
              </w:rPr>
            </w:pPr>
          </w:p>
          <w:p>
            <w:pPr>
              <w:pStyle w:val="TableParagraph"/>
              <w:rPr>
                <w:sz w:val="20"/>
              </w:rPr>
            </w:pPr>
          </w:p>
          <w:p>
            <w:pPr>
              <w:pStyle w:val="TableParagraph"/>
              <w:rPr>
                <w:sz w:val="20"/>
              </w:rPr>
            </w:pPr>
          </w:p>
          <w:p>
            <w:pPr>
              <w:pStyle w:val="TableParagraph"/>
              <w:spacing w:before="4"/>
              <w:rPr>
                <w:sz w:val="14"/>
              </w:rPr>
            </w:pPr>
          </w:p>
          <w:p>
            <w:pPr>
              <w:pStyle w:val="TableParagraph"/>
              <w:spacing w:before="1"/>
              <w:ind w:left="50"/>
              <w:rPr>
                <w:sz w:val="21"/>
              </w:rPr>
            </w:pPr>
            <w:r>
              <w:rPr>
                <w:w w:val="100"/>
                <w:sz w:val="21"/>
              </w:rPr>
              <w:t> </w:t>
            </w:r>
          </w:p>
        </w:tc>
        <w:tc>
          <w:tcPr>
            <w:tcW w:w="1539" w:type="dxa"/>
          </w:tcPr>
          <w:p>
            <w:pPr>
              <w:pStyle w:val="TableParagraph"/>
              <w:spacing w:line="269" w:lineRule="exact"/>
              <w:ind w:left="214"/>
              <w:rPr>
                <w:b/>
                <w:sz w:val="21"/>
              </w:rPr>
            </w:pPr>
            <w:bookmarkStart w:name="_bookmark17" w:id="15"/>
            <w:bookmarkEnd w:id="15"/>
            <w:r>
              <w:rPr/>
            </w:r>
            <w:r>
              <w:rPr>
                <w:b/>
                <w:sz w:val="21"/>
              </w:rPr>
              <w:t>效力终止</w:t>
            </w:r>
            <w:r>
              <w:rPr>
                <w:b/>
                <w:w w:val="99"/>
                <w:sz w:val="21"/>
              </w:rPr>
              <w:t> </w:t>
            </w:r>
          </w:p>
          <w:p>
            <w:pPr>
              <w:pStyle w:val="TableParagraph"/>
              <w:rPr>
                <w:sz w:val="20"/>
              </w:rPr>
            </w:pPr>
          </w:p>
          <w:p>
            <w:pPr>
              <w:pStyle w:val="TableParagraph"/>
              <w:rPr>
                <w:sz w:val="20"/>
              </w:rPr>
            </w:pPr>
          </w:p>
          <w:p>
            <w:pPr>
              <w:pStyle w:val="TableParagraph"/>
              <w:rPr>
                <w:sz w:val="20"/>
              </w:rPr>
            </w:pPr>
          </w:p>
          <w:p>
            <w:pPr>
              <w:pStyle w:val="TableParagraph"/>
              <w:spacing w:before="4"/>
              <w:rPr>
                <w:sz w:val="14"/>
              </w:rPr>
            </w:pPr>
          </w:p>
          <w:p>
            <w:pPr>
              <w:pStyle w:val="TableParagraph"/>
              <w:spacing w:before="1"/>
              <w:ind w:left="214"/>
              <w:rPr>
                <w:sz w:val="21"/>
              </w:rPr>
            </w:pPr>
            <w:r>
              <w:rPr>
                <w:w w:val="100"/>
                <w:sz w:val="21"/>
              </w:rPr>
              <w:t> </w:t>
            </w:r>
          </w:p>
        </w:tc>
        <w:tc>
          <w:tcPr>
            <w:tcW w:w="7215" w:type="dxa"/>
          </w:tcPr>
          <w:p>
            <w:pPr>
              <w:pStyle w:val="TableParagraph"/>
              <w:spacing w:line="269" w:lineRule="exact"/>
              <w:ind w:left="374"/>
              <w:rPr>
                <w:sz w:val="21"/>
              </w:rPr>
            </w:pPr>
            <w:r>
              <w:rPr>
                <w:sz w:val="21"/>
              </w:rPr>
              <w:t>当发生下列情形之一时，本附加合同效力终止： </w:t>
            </w:r>
          </w:p>
          <w:p>
            <w:pPr>
              <w:pStyle w:val="TableParagraph"/>
              <w:spacing w:before="37"/>
              <w:ind w:left="374"/>
              <w:rPr>
                <w:sz w:val="21"/>
              </w:rPr>
            </w:pPr>
            <w:r>
              <w:rPr>
                <w:sz w:val="21"/>
              </w:rPr>
              <w:t>（1） 主合同效力终止； </w:t>
            </w:r>
          </w:p>
          <w:p>
            <w:pPr>
              <w:pStyle w:val="TableParagraph"/>
              <w:spacing w:before="37"/>
              <w:ind w:left="374"/>
              <w:rPr>
                <w:sz w:val="21"/>
              </w:rPr>
            </w:pPr>
            <w:r>
              <w:rPr>
                <w:sz w:val="21"/>
              </w:rPr>
              <w:t>（2） 您申请解除本附加合同； </w:t>
            </w:r>
          </w:p>
          <w:p>
            <w:pPr>
              <w:pStyle w:val="TableParagraph"/>
              <w:spacing w:before="37"/>
              <w:ind w:left="374"/>
              <w:rPr>
                <w:sz w:val="21"/>
              </w:rPr>
            </w:pPr>
            <w:r>
              <w:rPr>
                <w:sz w:val="21"/>
              </w:rPr>
              <w:t>（3） 因主合同条款或本附加合同其他条款所列情况而效力终止。 </w:t>
            </w:r>
          </w:p>
          <w:p>
            <w:pPr>
              <w:pStyle w:val="TableParagraph"/>
              <w:spacing w:before="37"/>
              <w:ind w:left="374"/>
              <w:rPr>
                <w:sz w:val="21"/>
              </w:rPr>
            </w:pPr>
            <w:r>
              <w:rPr>
                <w:w w:val="100"/>
                <w:sz w:val="21"/>
              </w:rPr>
              <w:t> </w:t>
            </w:r>
          </w:p>
        </w:tc>
      </w:tr>
      <w:tr>
        <w:trPr>
          <w:trHeight w:val="1275" w:hRule="atLeast"/>
        </w:trPr>
        <w:tc>
          <w:tcPr>
            <w:tcW w:w="688" w:type="dxa"/>
          </w:tcPr>
          <w:p>
            <w:pPr>
              <w:pStyle w:val="TableParagraph"/>
              <w:spacing w:line="268" w:lineRule="exact"/>
              <w:ind w:left="50"/>
              <w:rPr>
                <w:b/>
                <w:sz w:val="21"/>
              </w:rPr>
            </w:pPr>
            <w:bookmarkStart w:name="_bookmark18" w:id="16"/>
            <w:bookmarkEnd w:id="16"/>
            <w:r>
              <w:rPr/>
            </w:r>
            <w:r>
              <w:rPr>
                <w:b/>
                <w:sz w:val="21"/>
              </w:rPr>
              <w:t>6.5 </w:t>
            </w:r>
          </w:p>
          <w:p>
            <w:pPr>
              <w:pStyle w:val="TableParagraph"/>
              <w:rPr>
                <w:sz w:val="20"/>
              </w:rPr>
            </w:pPr>
          </w:p>
          <w:p>
            <w:pPr>
              <w:pStyle w:val="TableParagraph"/>
              <w:rPr>
                <w:sz w:val="20"/>
              </w:rPr>
            </w:pPr>
          </w:p>
          <w:p>
            <w:pPr>
              <w:pStyle w:val="TableParagraph"/>
              <w:spacing w:before="137"/>
              <w:ind w:left="50"/>
              <w:rPr>
                <w:b/>
                <w:sz w:val="21"/>
              </w:rPr>
            </w:pPr>
            <w:r>
              <w:rPr>
                <w:b/>
                <w:w w:val="99"/>
                <w:sz w:val="21"/>
              </w:rPr>
              <w:t> </w:t>
            </w:r>
          </w:p>
        </w:tc>
        <w:tc>
          <w:tcPr>
            <w:tcW w:w="1539" w:type="dxa"/>
          </w:tcPr>
          <w:p>
            <w:pPr>
              <w:pStyle w:val="TableParagraph"/>
              <w:spacing w:line="268" w:lineRule="exact"/>
              <w:ind w:left="214"/>
              <w:rPr>
                <w:sz w:val="21"/>
              </w:rPr>
            </w:pPr>
            <w:r>
              <w:rPr>
                <w:b/>
                <w:sz w:val="21"/>
              </w:rPr>
              <w:t>合同变更</w:t>
            </w:r>
            <w:r>
              <w:rPr>
                <w:w w:val="100"/>
                <w:sz w:val="21"/>
              </w:rPr>
              <w:t> </w:t>
            </w:r>
          </w:p>
          <w:p>
            <w:pPr>
              <w:pStyle w:val="TableParagraph"/>
              <w:rPr>
                <w:sz w:val="20"/>
              </w:rPr>
            </w:pPr>
          </w:p>
          <w:p>
            <w:pPr>
              <w:pStyle w:val="TableParagraph"/>
              <w:rPr>
                <w:sz w:val="20"/>
              </w:rPr>
            </w:pPr>
          </w:p>
          <w:p>
            <w:pPr>
              <w:pStyle w:val="TableParagraph"/>
              <w:spacing w:before="137"/>
              <w:ind w:left="214"/>
              <w:rPr>
                <w:b/>
                <w:sz w:val="21"/>
              </w:rPr>
            </w:pPr>
            <w:r>
              <w:rPr>
                <w:b/>
                <w:w w:val="99"/>
                <w:sz w:val="21"/>
              </w:rPr>
              <w:t> </w:t>
            </w:r>
          </w:p>
        </w:tc>
        <w:tc>
          <w:tcPr>
            <w:tcW w:w="7215" w:type="dxa"/>
          </w:tcPr>
          <w:p>
            <w:pPr>
              <w:pStyle w:val="TableParagraph"/>
              <w:spacing w:line="273" w:lineRule="auto"/>
              <w:ind w:left="374" w:right="150"/>
              <w:jc w:val="both"/>
              <w:rPr>
                <w:sz w:val="21"/>
              </w:rPr>
            </w:pPr>
            <w:r>
              <w:rPr>
                <w:spacing w:val="-6"/>
                <w:sz w:val="21"/>
              </w:rPr>
              <w:t>在本附加合同有效期内，经您与我们协商一致，可以变更本附加合同的有</w:t>
            </w:r>
            <w:r>
              <w:rPr>
                <w:spacing w:val="-8"/>
                <w:sz w:val="21"/>
              </w:rPr>
              <w:t>关内容。合同变更可以通过对附加合同批注或者附贴批单，或者双方订立</w:t>
            </w:r>
            <w:r>
              <w:rPr>
                <w:spacing w:val="-5"/>
                <w:sz w:val="21"/>
              </w:rPr>
              <w:t>书面变更协议来实现。</w:t>
            </w:r>
            <w:r>
              <w:rPr>
                <w:sz w:val="21"/>
              </w:rPr>
              <w:t> </w:t>
            </w:r>
          </w:p>
          <w:p>
            <w:pPr>
              <w:pStyle w:val="TableParagraph"/>
              <w:spacing w:before="14"/>
              <w:ind w:left="374"/>
              <w:jc w:val="both"/>
              <w:rPr>
                <w:sz w:val="21"/>
              </w:rPr>
            </w:pPr>
            <w:r>
              <w:rPr>
                <w:w w:val="100"/>
                <w:sz w:val="21"/>
              </w:rPr>
              <w:t> </w:t>
            </w:r>
          </w:p>
        </w:tc>
      </w:tr>
      <w:tr>
        <w:trPr>
          <w:trHeight w:val="1901" w:hRule="atLeast"/>
        </w:trPr>
        <w:tc>
          <w:tcPr>
            <w:tcW w:w="688" w:type="dxa"/>
          </w:tcPr>
          <w:p>
            <w:pPr>
              <w:pStyle w:val="TableParagraph"/>
              <w:spacing w:line="269" w:lineRule="exact"/>
              <w:ind w:left="50"/>
              <w:rPr>
                <w:b/>
                <w:sz w:val="21"/>
              </w:rPr>
            </w:pPr>
            <w:r>
              <w:rPr>
                <w:b/>
                <w:sz w:val="21"/>
              </w:rPr>
              <w:t>6.6 </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8"/>
              </w:rPr>
            </w:pPr>
          </w:p>
          <w:p>
            <w:pPr>
              <w:pStyle w:val="TableParagraph"/>
              <w:ind w:left="50"/>
              <w:rPr>
                <w:sz w:val="21"/>
              </w:rPr>
            </w:pPr>
            <w:r>
              <w:rPr>
                <w:w w:val="100"/>
                <w:sz w:val="21"/>
              </w:rPr>
              <w:t> </w:t>
            </w:r>
          </w:p>
        </w:tc>
        <w:tc>
          <w:tcPr>
            <w:tcW w:w="1539" w:type="dxa"/>
          </w:tcPr>
          <w:p>
            <w:pPr>
              <w:pStyle w:val="TableParagraph"/>
              <w:spacing w:line="269" w:lineRule="exact"/>
              <w:ind w:left="214"/>
              <w:rPr>
                <w:sz w:val="21"/>
              </w:rPr>
            </w:pPr>
            <w:bookmarkStart w:name="_bookmark19" w:id="17"/>
            <w:bookmarkEnd w:id="17"/>
            <w:r>
              <w:rPr/>
            </w:r>
            <w:r>
              <w:rPr>
                <w:b/>
                <w:sz w:val="21"/>
              </w:rPr>
              <w:t>通知送达</w:t>
            </w:r>
            <w:r>
              <w:rPr>
                <w:w w:val="100"/>
                <w:sz w:val="21"/>
              </w:rPr>
              <w:t> </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8"/>
              </w:rPr>
            </w:pPr>
          </w:p>
          <w:p>
            <w:pPr>
              <w:pStyle w:val="TableParagraph"/>
              <w:ind w:left="214"/>
              <w:rPr>
                <w:sz w:val="21"/>
              </w:rPr>
            </w:pPr>
            <w:r>
              <w:rPr>
                <w:w w:val="100"/>
                <w:sz w:val="21"/>
              </w:rPr>
              <w:t> </w:t>
            </w:r>
          </w:p>
        </w:tc>
        <w:tc>
          <w:tcPr>
            <w:tcW w:w="7215" w:type="dxa"/>
          </w:tcPr>
          <w:p>
            <w:pPr>
              <w:pStyle w:val="TableParagraph"/>
              <w:spacing w:line="273" w:lineRule="auto"/>
              <w:ind w:left="374" w:right="150"/>
              <w:jc w:val="both"/>
              <w:rPr>
                <w:sz w:val="21"/>
              </w:rPr>
            </w:pPr>
            <w:r>
              <w:rPr>
                <w:spacing w:val="-6"/>
                <w:sz w:val="21"/>
              </w:rPr>
              <w:t>为了确保我们的通知能有效送达，请您务必正确填写您、被保险人及受益</w:t>
            </w:r>
            <w:r>
              <w:rPr>
                <w:spacing w:val="-8"/>
                <w:sz w:val="21"/>
              </w:rPr>
              <w:t>人的住所、通讯地址或电话等联系方式。当这些住所、通讯地址或电话变更时，请及时以书面形式或双方认可的其他形式通知我们。若未能通知我们，我们按本附加合同载明的最后住所或联系地址发送的有关通知，均视</w:t>
            </w:r>
            <w:r>
              <w:rPr>
                <w:spacing w:val="-3"/>
                <w:sz w:val="21"/>
              </w:rPr>
              <w:t>为已送达给您、被保险人及受益人。 </w:t>
            </w:r>
          </w:p>
          <w:p>
            <w:pPr>
              <w:pStyle w:val="TableParagraph"/>
              <w:spacing w:before="13"/>
              <w:ind w:left="374"/>
              <w:jc w:val="both"/>
              <w:rPr>
                <w:sz w:val="21"/>
              </w:rPr>
            </w:pPr>
            <w:r>
              <w:rPr>
                <w:w w:val="100"/>
                <w:sz w:val="21"/>
              </w:rPr>
              <w:t> </w:t>
            </w:r>
          </w:p>
        </w:tc>
      </w:tr>
      <w:tr>
        <w:trPr>
          <w:trHeight w:val="326" w:hRule="atLeast"/>
        </w:trPr>
        <w:tc>
          <w:tcPr>
            <w:tcW w:w="688" w:type="dxa"/>
          </w:tcPr>
          <w:p>
            <w:pPr>
              <w:pStyle w:val="TableParagraph"/>
              <w:spacing w:line="269" w:lineRule="exact"/>
              <w:ind w:left="50"/>
              <w:rPr>
                <w:b/>
                <w:sz w:val="21"/>
              </w:rPr>
            </w:pPr>
            <w:r>
              <w:rPr>
                <w:b/>
                <w:sz w:val="21"/>
              </w:rPr>
              <w:t>6.7 </w:t>
            </w:r>
          </w:p>
        </w:tc>
        <w:tc>
          <w:tcPr>
            <w:tcW w:w="1539" w:type="dxa"/>
          </w:tcPr>
          <w:p>
            <w:pPr>
              <w:pStyle w:val="TableParagraph"/>
              <w:spacing w:line="269" w:lineRule="exact"/>
              <w:ind w:left="214"/>
              <w:rPr>
                <w:b/>
                <w:sz w:val="21"/>
              </w:rPr>
            </w:pPr>
            <w:bookmarkStart w:name="_bookmark20" w:id="18"/>
            <w:bookmarkEnd w:id="18"/>
            <w:r>
              <w:rPr/>
            </w:r>
            <w:r>
              <w:rPr>
                <w:b/>
                <w:sz w:val="21"/>
              </w:rPr>
              <w:t>争议处理</w:t>
            </w:r>
            <w:r>
              <w:rPr>
                <w:b/>
                <w:w w:val="99"/>
                <w:sz w:val="21"/>
              </w:rPr>
              <w:t> </w:t>
            </w:r>
          </w:p>
        </w:tc>
        <w:tc>
          <w:tcPr>
            <w:tcW w:w="7215" w:type="dxa"/>
          </w:tcPr>
          <w:p>
            <w:pPr>
              <w:pStyle w:val="TableParagraph"/>
              <w:spacing w:line="269" w:lineRule="exact"/>
              <w:ind w:left="374"/>
              <w:rPr>
                <w:sz w:val="21"/>
              </w:rPr>
            </w:pPr>
            <w:r>
              <w:rPr>
                <w:sz w:val="21"/>
              </w:rPr>
              <w:t>本附加合同履行过程中双方发生争议，诉讼管辖为被告住所地人民法院。 </w:t>
            </w:r>
          </w:p>
        </w:tc>
      </w:tr>
      <w:tr>
        <w:trPr>
          <w:trHeight w:val="261" w:hRule="atLeast"/>
        </w:trPr>
        <w:tc>
          <w:tcPr>
            <w:tcW w:w="688" w:type="dxa"/>
          </w:tcPr>
          <w:p>
            <w:pPr>
              <w:pStyle w:val="TableParagraph"/>
              <w:spacing w:line="242" w:lineRule="exact"/>
              <w:ind w:left="50"/>
              <w:rPr>
                <w:b/>
                <w:sz w:val="21"/>
              </w:rPr>
            </w:pPr>
            <w:r>
              <w:rPr>
                <w:b/>
                <w:w w:val="99"/>
                <w:sz w:val="21"/>
              </w:rPr>
              <w:t> </w:t>
            </w:r>
          </w:p>
        </w:tc>
        <w:tc>
          <w:tcPr>
            <w:tcW w:w="1539" w:type="dxa"/>
          </w:tcPr>
          <w:p>
            <w:pPr>
              <w:pStyle w:val="TableParagraph"/>
              <w:spacing w:line="242" w:lineRule="exact"/>
              <w:ind w:left="214"/>
              <w:rPr>
                <w:b/>
                <w:sz w:val="21"/>
              </w:rPr>
            </w:pPr>
            <w:r>
              <w:rPr>
                <w:b/>
                <w:w w:val="99"/>
                <w:sz w:val="21"/>
              </w:rPr>
              <w:t> </w:t>
            </w:r>
          </w:p>
        </w:tc>
        <w:tc>
          <w:tcPr>
            <w:tcW w:w="7215" w:type="dxa"/>
          </w:tcPr>
          <w:p>
            <w:pPr>
              <w:pStyle w:val="TableParagraph"/>
              <w:spacing w:line="242" w:lineRule="exact"/>
              <w:ind w:left="374"/>
              <w:rPr>
                <w:sz w:val="21"/>
              </w:rPr>
            </w:pPr>
            <w:r>
              <w:rPr>
                <w:w w:val="100"/>
                <w:sz w:val="21"/>
              </w:rPr>
              <w:t> </w:t>
            </w:r>
          </w:p>
        </w:tc>
      </w:tr>
    </w:tbl>
    <w:p>
      <w:pPr>
        <w:tabs>
          <w:tab w:pos="1012" w:val="left" w:leader="none"/>
        </w:tabs>
        <w:spacing w:line="244" w:lineRule="auto" w:before="94"/>
        <w:ind w:left="2838" w:right="264" w:hanging="2679"/>
        <w:jc w:val="left"/>
        <w:rPr>
          <w:sz w:val="21"/>
        </w:rPr>
      </w:pPr>
      <w:r>
        <w:rPr>
          <w:rFonts w:ascii="Wingdings" w:hAnsi="Wingdings" w:eastAsia="Wingdings"/>
          <w:position w:val="-7"/>
          <w:sz w:val="52"/>
        </w:rPr>
        <w:t></w:t>
      </w:r>
      <w:r>
        <w:rPr>
          <w:rFonts w:ascii="Wingdings" w:hAnsi="Wingdings" w:eastAsia="Wingdings"/>
          <w:sz w:val="52"/>
        </w:rPr>
        <w:t></w:t>
      </w:r>
      <w:r>
        <w:rPr>
          <w:b/>
          <w:spacing w:val="2"/>
          <w:sz w:val="28"/>
        </w:rPr>
        <w:t>重大疾病释义 </w:t>
      </w:r>
      <w:r>
        <w:rPr>
          <w:spacing w:val="-7"/>
          <w:sz w:val="21"/>
        </w:rPr>
        <w:t>这部分讲的是我们提供保障的 </w:t>
      </w:r>
      <w:r>
        <w:rPr>
          <w:sz w:val="21"/>
        </w:rPr>
        <w:t>25</w:t>
      </w:r>
      <w:r>
        <w:rPr>
          <w:spacing w:val="-12"/>
          <w:sz w:val="21"/>
        </w:rPr>
        <w:t> 种重大疾病的定义，其中包含一些不予</w:t>
      </w:r>
      <w:r>
        <w:rPr>
          <w:spacing w:val="-3"/>
          <w:sz w:val="21"/>
        </w:rPr>
        <w:t>赔付的情形，请您特别留意。 </w:t>
      </w:r>
    </w:p>
    <w:p>
      <w:pPr>
        <w:tabs>
          <w:tab w:pos="1012" w:val="left" w:leader="none"/>
          <w:tab w:pos="2711" w:val="left" w:leader="none"/>
        </w:tabs>
        <w:spacing w:before="32"/>
        <w:ind w:left="160" w:right="0" w:firstLine="0"/>
        <w:jc w:val="left"/>
        <w:rPr>
          <w:b/>
          <w:sz w:val="21"/>
        </w:rPr>
      </w:pPr>
      <w:r>
        <w:rPr>
          <w:b/>
          <w:w w:val="99"/>
          <w:sz w:val="21"/>
        </w:rPr>
        <w:t> </w:t>
      </w:r>
      <w:r>
        <w:rPr>
          <w:b/>
          <w:sz w:val="21"/>
        </w:rPr>
        <w:tab/>
      </w:r>
      <w:r>
        <w:rPr>
          <w:b/>
          <w:w w:val="99"/>
          <w:sz w:val="21"/>
        </w:rPr>
        <w:t> </w:t>
      </w:r>
      <w:r>
        <w:rPr>
          <w:b/>
          <w:sz w:val="21"/>
        </w:rPr>
        <w:tab/>
      </w:r>
      <w:r>
        <w:rPr>
          <w:b/>
          <w:w w:val="99"/>
          <w:sz w:val="21"/>
        </w:rPr>
        <w:t> </w:t>
      </w:r>
    </w:p>
    <w:p>
      <w:pPr>
        <w:pStyle w:val="ListParagraph"/>
        <w:numPr>
          <w:ilvl w:val="1"/>
          <w:numId w:val="6"/>
        </w:numPr>
        <w:tabs>
          <w:tab w:pos="478" w:val="left" w:leader="none"/>
          <w:tab w:pos="1012" w:val="left" w:leader="none"/>
        </w:tabs>
        <w:spacing w:line="240" w:lineRule="auto" w:before="10" w:after="0"/>
        <w:ind w:left="477" w:right="0" w:hanging="317"/>
        <w:jc w:val="left"/>
        <w:rPr>
          <w:rFonts w:ascii="宋体" w:eastAsia="宋体" w:hint="eastAsia"/>
          <w:b/>
          <w:sz w:val="21"/>
        </w:rPr>
      </w:pPr>
      <w:bookmarkStart w:name="_bookmark21" w:id="19"/>
      <w:bookmarkEnd w:id="19"/>
      <w:r>
        <w:rPr>
          <w:rFonts w:ascii="宋体" w:eastAsia="宋体" w:hint="eastAsia"/>
          <w:b/>
          <w:spacing w:val="-2"/>
          <w:sz w:val="21"/>
        </w:rPr>
        <w:t>与恶性肿瘤相关的疾病</w:t>
      </w:r>
      <w:r>
        <w:rPr>
          <w:rFonts w:ascii="宋体" w:eastAsia="宋体" w:hint="eastAsia"/>
          <w:b/>
          <w:spacing w:val="-2"/>
          <w:w w:val="99"/>
          <w:sz w:val="21"/>
        </w:rPr>
        <w:t> </w:t>
      </w:r>
    </w:p>
    <w:p>
      <w:pPr>
        <w:tabs>
          <w:tab w:pos="1012" w:val="left" w:leader="none"/>
          <w:tab w:pos="2711" w:val="left" w:leader="none"/>
        </w:tabs>
        <w:spacing w:before="37"/>
        <w:ind w:left="160" w:right="0" w:firstLine="0"/>
        <w:jc w:val="left"/>
        <w:rPr>
          <w:sz w:val="21"/>
        </w:rPr>
      </w:pPr>
      <w:r>
        <w:rPr>
          <w:b/>
          <w:w w:val="99"/>
          <w:sz w:val="21"/>
        </w:rPr>
        <w:t> </w:t>
      </w:r>
      <w:r>
        <w:rPr>
          <w:b/>
          <w:sz w:val="21"/>
        </w:rPr>
        <w:tab/>
      </w:r>
      <w:r>
        <w:rPr>
          <w:b/>
          <w:w w:val="99"/>
          <w:sz w:val="21"/>
        </w:rPr>
        <w:t> </w:t>
      </w:r>
      <w:r>
        <w:rPr>
          <w:b/>
          <w:sz w:val="21"/>
        </w:rPr>
        <w:tab/>
      </w:r>
      <w:r>
        <w:rPr>
          <w:w w:val="100"/>
          <w:sz w:val="21"/>
        </w:rPr>
        <w:t> </w:t>
      </w:r>
    </w:p>
    <w:p>
      <w:pPr>
        <w:spacing w:line="273" w:lineRule="auto" w:before="8"/>
        <w:ind w:left="2711" w:right="265" w:hanging="2552"/>
        <w:jc w:val="both"/>
        <w:rPr>
          <w:rFonts w:ascii="黑体" w:eastAsia="黑体" w:hint="eastAsia"/>
          <w:sz w:val="21"/>
        </w:rPr>
      </w:pPr>
      <w:r>
        <w:rPr>
          <w:b/>
          <w:w w:val="99"/>
          <w:sz w:val="21"/>
        </w:rPr>
        <w:t> </w:t>
      </w:r>
      <w:r>
        <w:rPr>
          <w:b/>
          <w:sz w:val="21"/>
        </w:rPr>
        <w:t>       </w:t>
      </w:r>
      <w:r>
        <w:rPr>
          <w:b/>
          <w:spacing w:val="2"/>
          <w:sz w:val="21"/>
        </w:rPr>
        <w:t>恶性肿瘤       </w:t>
      </w:r>
      <w:r>
        <w:rPr>
          <w:spacing w:val="-5"/>
          <w:sz w:val="21"/>
        </w:rPr>
        <w:t>指恶性细胞不受控制的进行性增长和扩散，浸润和破坏周围正常组织，可</w:t>
      </w:r>
      <w:r>
        <w:rPr>
          <w:spacing w:val="-8"/>
          <w:sz w:val="21"/>
        </w:rPr>
        <w:t>以经血管、淋巴管和体腔扩散转移到身体其它部位的疾病。经病理学检查结果明确诊断，临床诊断属于世界卫生组织《疾病和有关健康问题的国际</w:t>
      </w:r>
      <w:r>
        <w:rPr>
          <w:spacing w:val="-24"/>
          <w:sz w:val="21"/>
        </w:rPr>
        <w:t>统计分类》</w:t>
      </w:r>
      <w:r>
        <w:rPr>
          <w:spacing w:val="-1"/>
          <w:sz w:val="21"/>
        </w:rPr>
        <w:t>（ICD-10）</w:t>
      </w:r>
      <w:r>
        <w:rPr>
          <w:spacing w:val="-3"/>
          <w:sz w:val="21"/>
        </w:rPr>
        <w:t>的恶性肿瘤范畴。</w:t>
      </w:r>
      <w:r>
        <w:rPr>
          <w:rFonts w:ascii="黑体" w:eastAsia="黑体" w:hint="eastAsia"/>
          <w:spacing w:val="-3"/>
          <w:sz w:val="21"/>
          <w:shd w:fill="D9D9D9" w:color="auto" w:val="clear"/>
        </w:rPr>
        <w:t>下列疾病不在保障范围内：</w:t>
      </w:r>
    </w:p>
    <w:p>
      <w:pPr>
        <w:pStyle w:val="ListParagraph"/>
        <w:numPr>
          <w:ilvl w:val="2"/>
          <w:numId w:val="6"/>
        </w:numPr>
        <w:tabs>
          <w:tab w:pos="3344" w:val="left" w:leader="none"/>
        </w:tabs>
        <w:spacing w:line="240" w:lineRule="auto" w:before="7" w:after="0"/>
        <w:ind w:left="3343" w:right="0" w:hanging="632"/>
        <w:jc w:val="left"/>
        <w:rPr>
          <w:sz w:val="21"/>
        </w:rPr>
      </w:pPr>
      <w:r>
        <w:rPr>
          <w:spacing w:val="-2"/>
          <w:sz w:val="21"/>
          <w:shd w:fill="D9D9D9" w:color="auto" w:val="clear"/>
        </w:rPr>
        <w:t>原位癌；</w:t>
      </w:r>
    </w:p>
    <w:p>
      <w:pPr>
        <w:pStyle w:val="ListParagraph"/>
        <w:numPr>
          <w:ilvl w:val="2"/>
          <w:numId w:val="6"/>
        </w:numPr>
        <w:tabs>
          <w:tab w:pos="3344" w:val="left" w:leader="none"/>
        </w:tabs>
        <w:spacing w:line="240" w:lineRule="auto" w:before="37" w:after="0"/>
        <w:ind w:left="3343" w:right="0" w:hanging="632"/>
        <w:jc w:val="left"/>
        <w:rPr>
          <w:sz w:val="21"/>
        </w:rPr>
      </w:pPr>
      <w:r>
        <w:rPr>
          <w:spacing w:val="-14"/>
          <w:sz w:val="21"/>
          <w:shd w:fill="D9D9D9" w:color="auto" w:val="clear"/>
        </w:rPr>
        <w:t>相当于 </w:t>
      </w:r>
      <w:r>
        <w:rPr>
          <w:sz w:val="21"/>
          <w:shd w:fill="D9D9D9" w:color="auto" w:val="clear"/>
        </w:rPr>
        <w:t>Binet</w:t>
      </w:r>
      <w:r>
        <w:rPr>
          <w:spacing w:val="-18"/>
          <w:sz w:val="21"/>
          <w:shd w:fill="D9D9D9" w:color="auto" w:val="clear"/>
        </w:rPr>
        <w:t> 分期方案 </w:t>
      </w:r>
      <w:r>
        <w:rPr>
          <w:sz w:val="21"/>
          <w:shd w:fill="D9D9D9" w:color="auto" w:val="clear"/>
        </w:rPr>
        <w:t>A</w:t>
      </w:r>
      <w:r>
        <w:rPr>
          <w:spacing w:val="-8"/>
          <w:sz w:val="21"/>
          <w:shd w:fill="D9D9D9" w:color="auto" w:val="clear"/>
        </w:rPr>
        <w:t> 期程度的慢性淋巴细胞白血病；</w:t>
      </w:r>
    </w:p>
    <w:p>
      <w:pPr>
        <w:pStyle w:val="ListParagraph"/>
        <w:numPr>
          <w:ilvl w:val="2"/>
          <w:numId w:val="6"/>
        </w:numPr>
        <w:tabs>
          <w:tab w:pos="3344" w:val="left" w:leader="none"/>
        </w:tabs>
        <w:spacing w:line="240" w:lineRule="auto" w:before="37" w:after="0"/>
        <w:ind w:left="3343" w:right="0" w:hanging="632"/>
        <w:jc w:val="left"/>
        <w:rPr>
          <w:sz w:val="21"/>
        </w:rPr>
      </w:pPr>
      <w:r>
        <w:rPr>
          <w:spacing w:val="-14"/>
          <w:sz w:val="21"/>
          <w:shd w:fill="D9D9D9" w:color="auto" w:val="clear"/>
        </w:rPr>
        <w:t>相当于 </w:t>
      </w:r>
      <w:r>
        <w:rPr>
          <w:sz w:val="21"/>
          <w:shd w:fill="D9D9D9" w:color="auto" w:val="clear"/>
        </w:rPr>
        <w:t>Ann</w:t>
      </w:r>
      <w:r>
        <w:rPr>
          <w:spacing w:val="5"/>
          <w:sz w:val="21"/>
          <w:shd w:fill="D9D9D9" w:color="auto" w:val="clear"/>
        </w:rPr>
        <w:t> </w:t>
      </w:r>
      <w:r>
        <w:rPr>
          <w:sz w:val="21"/>
          <w:shd w:fill="D9D9D9" w:color="auto" w:val="clear"/>
        </w:rPr>
        <w:t>Arbor</w:t>
      </w:r>
      <w:r>
        <w:rPr>
          <w:spacing w:val="-19"/>
          <w:sz w:val="21"/>
          <w:shd w:fill="D9D9D9" w:color="auto" w:val="clear"/>
        </w:rPr>
        <w:t> 分期方案 </w:t>
      </w:r>
      <w:r>
        <w:rPr>
          <w:sz w:val="21"/>
          <w:shd w:fill="D9D9D9" w:color="auto" w:val="clear"/>
        </w:rPr>
        <w:t>I</w:t>
      </w:r>
      <w:r>
        <w:rPr>
          <w:spacing w:val="-8"/>
          <w:sz w:val="21"/>
          <w:shd w:fill="D9D9D9" w:color="auto" w:val="clear"/>
        </w:rPr>
        <w:t> 期程度的何杰金氏病；</w:t>
      </w:r>
    </w:p>
    <w:p>
      <w:pPr>
        <w:pStyle w:val="ListParagraph"/>
        <w:numPr>
          <w:ilvl w:val="2"/>
          <w:numId w:val="6"/>
        </w:numPr>
        <w:tabs>
          <w:tab w:pos="3344" w:val="left" w:leader="none"/>
        </w:tabs>
        <w:spacing w:line="240" w:lineRule="auto" w:before="37" w:after="0"/>
        <w:ind w:left="3343" w:right="0" w:hanging="632"/>
        <w:jc w:val="left"/>
        <w:rPr>
          <w:rFonts w:ascii="宋体" w:eastAsia="宋体" w:hint="eastAsia"/>
          <w:sz w:val="21"/>
        </w:rPr>
      </w:pPr>
      <w:r>
        <w:rPr>
          <w:spacing w:val="-2"/>
          <w:w w:val="100"/>
          <w:sz w:val="21"/>
          <w:shd w:fill="D9D9D9" w:color="auto" w:val="clear"/>
        </w:rPr>
        <w:t>皮肤癌</w:t>
      </w:r>
      <w:r>
        <w:rPr>
          <w:rFonts w:ascii="宋体" w:eastAsia="宋体" w:hint="eastAsia"/>
          <w:spacing w:val="-3"/>
          <w:w w:val="100"/>
          <w:sz w:val="21"/>
        </w:rPr>
        <w:t>（不包括恶性黑色素瘤及已发生转移的皮肤癌</w:t>
      </w:r>
      <w:r>
        <w:rPr>
          <w:rFonts w:ascii="宋体" w:eastAsia="宋体" w:hint="eastAsia"/>
          <w:spacing w:val="-108"/>
          <w:w w:val="100"/>
          <w:sz w:val="21"/>
        </w:rPr>
        <w:t>）</w:t>
      </w:r>
      <w:r>
        <w:rPr>
          <w:rFonts w:ascii="宋体" w:eastAsia="宋体" w:hint="eastAsia"/>
          <w:spacing w:val="-3"/>
          <w:w w:val="100"/>
          <w:sz w:val="21"/>
        </w:rPr>
        <w:t>；</w:t>
      </w:r>
      <w:r>
        <w:rPr>
          <w:rFonts w:ascii="宋体" w:eastAsia="宋体" w:hint="eastAsia"/>
          <w:w w:val="100"/>
          <w:sz w:val="21"/>
        </w:rPr>
        <w:t> </w:t>
      </w:r>
    </w:p>
    <w:p>
      <w:pPr>
        <w:pStyle w:val="ListParagraph"/>
        <w:numPr>
          <w:ilvl w:val="2"/>
          <w:numId w:val="6"/>
        </w:numPr>
        <w:tabs>
          <w:tab w:pos="3344" w:val="left" w:leader="none"/>
        </w:tabs>
        <w:spacing w:line="240" w:lineRule="auto" w:before="36" w:after="0"/>
        <w:ind w:left="3343" w:right="0" w:hanging="632"/>
        <w:jc w:val="left"/>
        <w:rPr>
          <w:sz w:val="21"/>
        </w:rPr>
      </w:pPr>
      <w:r>
        <w:rPr>
          <w:sz w:val="21"/>
          <w:shd w:fill="D9D9D9" w:color="auto" w:val="clear"/>
        </w:rPr>
        <w:t>TNM</w:t>
      </w:r>
      <w:r>
        <w:rPr>
          <w:spacing w:val="-21"/>
          <w:sz w:val="21"/>
          <w:shd w:fill="D9D9D9" w:color="auto" w:val="clear"/>
        </w:rPr>
        <w:t> 分期为 </w:t>
      </w:r>
      <w:r>
        <w:rPr>
          <w:sz w:val="21"/>
          <w:shd w:fill="D9D9D9" w:color="auto" w:val="clear"/>
        </w:rPr>
        <w:t>T1N0M0</w:t>
      </w:r>
      <w:r>
        <w:rPr>
          <w:spacing w:val="-9"/>
          <w:sz w:val="21"/>
          <w:shd w:fill="D9D9D9" w:color="auto" w:val="clear"/>
        </w:rPr>
        <w:t> 期或更轻分期的前列腺癌；</w:t>
      </w:r>
    </w:p>
    <w:p>
      <w:pPr>
        <w:pStyle w:val="ListParagraph"/>
        <w:numPr>
          <w:ilvl w:val="2"/>
          <w:numId w:val="6"/>
        </w:numPr>
        <w:tabs>
          <w:tab w:pos="3344" w:val="left" w:leader="none"/>
        </w:tabs>
        <w:spacing w:line="240" w:lineRule="auto" w:before="36" w:after="0"/>
        <w:ind w:left="3343" w:right="0" w:hanging="632"/>
        <w:jc w:val="left"/>
        <w:rPr>
          <w:rFonts w:ascii="宋体" w:eastAsia="宋体" w:hint="eastAsia"/>
          <w:sz w:val="21"/>
        </w:rPr>
      </w:pPr>
      <w:r>
        <w:rPr>
          <w:spacing w:val="-3"/>
          <w:sz w:val="21"/>
          <w:shd w:fill="D9D9D9" w:color="auto" w:val="clear"/>
        </w:rPr>
        <w:t>感染艾滋病病毒或患艾滋病期间所患恶性肿瘤。</w:t>
      </w:r>
      <w:r>
        <w:rPr>
          <w:rFonts w:ascii="宋体" w:eastAsia="宋体" w:hint="eastAsia"/>
          <w:sz w:val="21"/>
        </w:rPr>
        <w:t> </w:t>
      </w:r>
    </w:p>
    <w:p>
      <w:pPr>
        <w:tabs>
          <w:tab w:pos="1012" w:val="left" w:leader="none"/>
          <w:tab w:pos="2711" w:val="left" w:leader="none"/>
        </w:tabs>
        <w:spacing w:before="36"/>
        <w:ind w:left="160" w:right="0" w:firstLine="0"/>
        <w:jc w:val="left"/>
        <w:rPr>
          <w:b/>
          <w:sz w:val="21"/>
        </w:rPr>
      </w:pPr>
      <w:r>
        <w:rPr>
          <w:b/>
          <w:w w:val="99"/>
          <w:sz w:val="21"/>
        </w:rPr>
        <w:t> </w:t>
      </w:r>
      <w:r>
        <w:rPr>
          <w:b/>
          <w:sz w:val="21"/>
        </w:rPr>
        <w:tab/>
      </w:r>
      <w:r>
        <w:rPr>
          <w:b/>
          <w:w w:val="99"/>
          <w:sz w:val="21"/>
        </w:rPr>
        <w:t> </w:t>
      </w:r>
      <w:r>
        <w:rPr>
          <w:b/>
          <w:sz w:val="21"/>
        </w:rPr>
        <w:tab/>
      </w:r>
      <w:r>
        <w:rPr>
          <w:b/>
          <w:w w:val="99"/>
          <w:sz w:val="21"/>
        </w:rPr>
        <w:t> </w:t>
      </w:r>
    </w:p>
    <w:p>
      <w:pPr>
        <w:pStyle w:val="ListParagraph"/>
        <w:numPr>
          <w:ilvl w:val="1"/>
          <w:numId w:val="6"/>
        </w:numPr>
        <w:tabs>
          <w:tab w:pos="478" w:val="left" w:leader="none"/>
          <w:tab w:pos="1012" w:val="left" w:leader="none"/>
        </w:tabs>
        <w:spacing w:line="240" w:lineRule="auto" w:before="7" w:after="0"/>
        <w:ind w:left="477" w:right="0" w:hanging="317"/>
        <w:jc w:val="left"/>
        <w:rPr>
          <w:rFonts w:ascii="宋体" w:eastAsia="宋体" w:hint="eastAsia"/>
          <w:b/>
          <w:sz w:val="21"/>
        </w:rPr>
      </w:pPr>
      <w:bookmarkStart w:name="_bookmark22" w:id="20"/>
      <w:bookmarkEnd w:id="20"/>
      <w:r>
        <w:rPr>
          <w:rFonts w:ascii="宋体" w:eastAsia="宋体" w:hint="eastAsia"/>
          <w:b/>
          <w:spacing w:val="-2"/>
          <w:sz w:val="21"/>
        </w:rPr>
        <w:t>与心脏或脑血管相关的疾病</w:t>
      </w:r>
      <w:r>
        <w:rPr>
          <w:rFonts w:ascii="宋体" w:eastAsia="宋体" w:hint="eastAsia"/>
          <w:b/>
          <w:spacing w:val="-2"/>
          <w:w w:val="99"/>
          <w:sz w:val="21"/>
        </w:rPr>
        <w:t> </w:t>
      </w:r>
    </w:p>
    <w:p>
      <w:pPr>
        <w:tabs>
          <w:tab w:pos="1012" w:val="left" w:leader="none"/>
          <w:tab w:pos="2711" w:val="left" w:leader="none"/>
        </w:tabs>
        <w:spacing w:before="36"/>
        <w:ind w:left="160" w:right="0" w:firstLine="0"/>
        <w:jc w:val="left"/>
        <w:rPr>
          <w:sz w:val="21"/>
        </w:rPr>
      </w:pPr>
      <w:r>
        <w:rPr>
          <w:b/>
          <w:w w:val="99"/>
          <w:sz w:val="21"/>
        </w:rPr>
        <w:t> </w:t>
      </w:r>
      <w:r>
        <w:rPr>
          <w:b/>
          <w:sz w:val="21"/>
        </w:rPr>
        <w:tab/>
      </w:r>
      <w:r>
        <w:rPr>
          <w:b/>
          <w:w w:val="99"/>
          <w:sz w:val="21"/>
        </w:rPr>
        <w:t> </w:t>
      </w:r>
      <w:r>
        <w:rPr>
          <w:b/>
          <w:sz w:val="21"/>
        </w:rPr>
        <w:tab/>
      </w:r>
      <w:r>
        <w:rPr>
          <w:w w:val="100"/>
          <w:sz w:val="21"/>
        </w:rPr>
        <w:t> </w:t>
      </w:r>
    </w:p>
    <w:p>
      <w:pPr>
        <w:tabs>
          <w:tab w:pos="1012" w:val="left" w:leader="none"/>
          <w:tab w:pos="2711" w:val="left" w:leader="none"/>
        </w:tabs>
        <w:spacing w:line="273" w:lineRule="auto" w:before="10"/>
        <w:ind w:left="2711" w:right="963" w:hanging="2552"/>
        <w:jc w:val="left"/>
        <w:rPr>
          <w:sz w:val="21"/>
        </w:rPr>
      </w:pPr>
      <w:r>
        <w:rPr>
          <w:b/>
          <w:w w:val="99"/>
          <w:sz w:val="21"/>
        </w:rPr>
        <w:t> </w:t>
      </w:r>
      <w:r>
        <w:rPr>
          <w:b/>
          <w:sz w:val="21"/>
        </w:rPr>
        <w:tab/>
        <w:t>急性心肌梗</w:t>
      </w:r>
      <w:r>
        <w:rPr>
          <w:b/>
          <w:spacing w:val="-3"/>
          <w:sz w:val="21"/>
        </w:rPr>
        <w:t>塞</w:t>
        <w:tab/>
      </w:r>
      <w:r>
        <w:rPr>
          <w:spacing w:val="-1"/>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z w:val="21"/>
        </w:rPr>
        <w:t>。 须满</w:t>
      </w:r>
      <w:r>
        <w:rPr>
          <w:spacing w:val="-3"/>
          <w:sz w:val="21"/>
        </w:rPr>
        <w:t>足</w:t>
      </w:r>
      <w:r>
        <w:rPr>
          <w:sz w:val="21"/>
        </w:rPr>
        <w:t>下</w:t>
      </w:r>
      <w:r>
        <w:rPr>
          <w:spacing w:val="-3"/>
          <w:sz w:val="21"/>
        </w:rPr>
        <w:t>列</w:t>
      </w:r>
      <w:r>
        <w:rPr>
          <w:sz w:val="21"/>
        </w:rPr>
        <w:t>至</w:t>
      </w:r>
      <w:r>
        <w:rPr>
          <w:spacing w:val="-3"/>
          <w:sz w:val="21"/>
        </w:rPr>
        <w:t>少</w:t>
      </w:r>
      <w:r>
        <w:rPr>
          <w:sz w:val="21"/>
        </w:rPr>
        <w:t>三</w:t>
      </w:r>
      <w:r>
        <w:rPr>
          <w:spacing w:val="-3"/>
          <w:sz w:val="21"/>
        </w:rPr>
        <w:t>项</w:t>
      </w:r>
      <w:r>
        <w:rPr>
          <w:sz w:val="21"/>
        </w:rPr>
        <w:t>条</w:t>
      </w:r>
      <w:r>
        <w:rPr>
          <w:spacing w:val="-3"/>
          <w:sz w:val="21"/>
        </w:rPr>
        <w:t>件</w:t>
      </w:r>
      <w:r>
        <w:rPr>
          <w:sz w:val="21"/>
        </w:rPr>
        <w:t>：</w:t>
      </w:r>
      <w:r>
        <w:rPr>
          <w:spacing w:val="-3"/>
          <w:sz w:val="21"/>
        </w:rPr>
        <w:t> </w:t>
      </w:r>
      <w:r>
        <w:rPr>
          <w:sz w:val="21"/>
        </w:rPr>
        <w:t> </w:t>
      </w:r>
    </w:p>
    <w:p>
      <w:pPr>
        <w:spacing w:before="7"/>
        <w:ind w:left="2711" w:right="0" w:firstLine="0"/>
        <w:jc w:val="left"/>
        <w:rPr>
          <w:sz w:val="21"/>
        </w:rPr>
      </w:pPr>
      <w:r>
        <w:rPr>
          <w:sz w:val="21"/>
        </w:rPr>
        <w:t>（1） 典型临床表现，例如急性胸痛等； </w:t>
      </w:r>
    </w:p>
    <w:p>
      <w:pPr>
        <w:spacing w:before="36"/>
        <w:ind w:left="2711" w:right="0" w:firstLine="0"/>
        <w:jc w:val="left"/>
        <w:rPr>
          <w:sz w:val="21"/>
        </w:rPr>
      </w:pPr>
      <w:r>
        <w:rPr>
          <w:sz w:val="21"/>
        </w:rPr>
        <w:t>（2） 新近的心电图改变提示急性心肌梗塞；  </w:t>
      </w:r>
    </w:p>
    <w:p>
      <w:pPr>
        <w:spacing w:line="273" w:lineRule="auto" w:before="37"/>
        <w:ind w:left="3343" w:right="220" w:hanging="632"/>
        <w:jc w:val="left"/>
        <w:rPr>
          <w:sz w:val="21"/>
        </w:rPr>
      </w:pPr>
      <w:r>
        <w:rPr>
          <w:sz w:val="21"/>
        </w:rPr>
        <w:t>（3） 心肌酶或肌钙蛋白有诊断意义的升高，或呈符合急性心肌梗塞的动态性变化；  </w:t>
      </w:r>
    </w:p>
    <w:p>
      <w:pPr>
        <w:spacing w:after="0" w:line="273" w:lineRule="auto"/>
        <w:jc w:val="left"/>
        <w:rPr>
          <w:sz w:val="21"/>
        </w:rPr>
        <w:sectPr>
          <w:pgSz w:w="11910" w:h="16840"/>
          <w:pgMar w:top="1480" w:bottom="280" w:left="920" w:right="1320"/>
        </w:sectPr>
      </w:pPr>
    </w:p>
    <w:p>
      <w:pPr>
        <w:spacing w:line="273" w:lineRule="auto" w:before="9"/>
        <w:ind w:left="3343" w:right="592" w:hanging="632"/>
        <w:jc w:val="left"/>
        <w:rPr>
          <w:sz w:val="21"/>
        </w:rPr>
      </w:pPr>
      <w:r>
        <w:rPr>
          <w:sz w:val="21"/>
        </w:rPr>
        <w:t>（4）</w:t>
      </w:r>
      <w:r>
        <w:rPr>
          <w:spacing w:val="-10"/>
          <w:sz w:val="21"/>
        </w:rPr>
        <w:t> 发病 </w:t>
      </w:r>
      <w:r>
        <w:rPr>
          <w:sz w:val="21"/>
        </w:rPr>
        <w:t>90</w:t>
      </w:r>
      <w:r>
        <w:rPr>
          <w:spacing w:val="-8"/>
          <w:sz w:val="21"/>
        </w:rPr>
        <w:t> 日后，经检查证实左心室功能降低，如左心室射血分数低</w:t>
      </w:r>
      <w:r>
        <w:rPr>
          <w:spacing w:val="-30"/>
          <w:sz w:val="21"/>
        </w:rPr>
        <w:t>于 </w:t>
      </w:r>
      <w:r>
        <w:rPr>
          <w:sz w:val="21"/>
        </w:rPr>
        <w:t>50</w:t>
      </w:r>
      <w:r>
        <w:rPr>
          <w:spacing w:val="-2"/>
          <w:sz w:val="21"/>
        </w:rPr>
        <w:t>%。</w:t>
      </w:r>
      <w:r>
        <w:rPr>
          <w:sz w:val="21"/>
        </w:rPr>
        <w:t> </w:t>
      </w:r>
    </w:p>
    <w:p>
      <w:pPr>
        <w:pStyle w:val="BodyText"/>
        <w:spacing w:before="5"/>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962"/>
        <w:gridCol w:w="6848"/>
      </w:tblGrid>
      <w:tr>
        <w:trPr>
          <w:trHeight w:val="1168" w:hRule="atLeast"/>
        </w:trPr>
        <w:tc>
          <w:tcPr>
            <w:tcW w:w="529" w:type="dxa"/>
          </w:tcPr>
          <w:p>
            <w:pPr>
              <w:pStyle w:val="TableParagraph"/>
              <w:spacing w:line="211" w:lineRule="exact"/>
              <w:ind w:left="50"/>
              <w:rPr>
                <w:b/>
                <w:sz w:val="21"/>
              </w:rPr>
            </w:pPr>
            <w:r>
              <w:rPr>
                <w:b/>
                <w:w w:val="99"/>
                <w:sz w:val="21"/>
              </w:rPr>
              <w:t> </w:t>
            </w:r>
          </w:p>
          <w:p>
            <w:pPr>
              <w:pStyle w:val="TableParagraph"/>
              <w:spacing w:before="8"/>
              <w:ind w:left="50"/>
              <w:rPr>
                <w:b/>
                <w:sz w:val="21"/>
              </w:rPr>
            </w:pPr>
            <w:r>
              <w:rPr>
                <w:b/>
                <w:w w:val="99"/>
                <w:sz w:val="21"/>
              </w:rPr>
              <w:t> </w:t>
            </w:r>
          </w:p>
        </w:tc>
        <w:tc>
          <w:tcPr>
            <w:tcW w:w="1962" w:type="dxa"/>
          </w:tcPr>
          <w:p>
            <w:pPr>
              <w:pStyle w:val="TableParagraph"/>
              <w:spacing w:line="211" w:lineRule="exact"/>
              <w:ind w:left="373"/>
              <w:rPr>
                <w:b/>
                <w:sz w:val="21"/>
              </w:rPr>
            </w:pPr>
            <w:r>
              <w:rPr>
                <w:b/>
                <w:w w:val="99"/>
                <w:sz w:val="21"/>
              </w:rPr>
              <w:t> </w:t>
            </w:r>
          </w:p>
          <w:p>
            <w:pPr>
              <w:pStyle w:val="TableParagraph"/>
              <w:spacing w:line="273" w:lineRule="auto" w:before="8"/>
              <w:ind w:left="373" w:right="108"/>
              <w:rPr>
                <w:b/>
                <w:sz w:val="21"/>
              </w:rPr>
            </w:pPr>
            <w:r>
              <w:rPr>
                <w:b/>
                <w:sz w:val="21"/>
              </w:rPr>
              <w:t>严重原发性肺动脉高压</w:t>
            </w:r>
            <w:r>
              <w:rPr>
                <w:b/>
                <w:w w:val="99"/>
                <w:sz w:val="21"/>
              </w:rPr>
              <w:t> </w:t>
            </w:r>
          </w:p>
        </w:tc>
        <w:tc>
          <w:tcPr>
            <w:tcW w:w="6848" w:type="dxa"/>
          </w:tcPr>
          <w:p>
            <w:pPr>
              <w:pStyle w:val="TableParagraph"/>
              <w:spacing w:line="211" w:lineRule="exact"/>
              <w:ind w:left="110"/>
              <w:rPr>
                <w:sz w:val="21"/>
              </w:rPr>
            </w:pPr>
            <w:r>
              <w:rPr>
                <w:w w:val="100"/>
                <w:sz w:val="21"/>
              </w:rPr>
              <w:t> </w:t>
            </w:r>
          </w:p>
          <w:p>
            <w:pPr>
              <w:pStyle w:val="TableParagraph"/>
              <w:spacing w:line="312" w:lineRule="exact" w:before="4"/>
              <w:ind w:left="110" w:right="47"/>
              <w:jc w:val="both"/>
              <w:rPr>
                <w:sz w:val="21"/>
              </w:rPr>
            </w:pPr>
            <w:r>
              <w:rPr>
                <w:spacing w:val="-5"/>
                <w:sz w:val="21"/>
              </w:rPr>
              <w:t>指不明原因的肺动脉压力持续性增高，进行性发展而导致的慢性疾病，已经造成</w:t>
            </w:r>
            <w:r>
              <w:rPr>
                <w:b/>
                <w:spacing w:val="-5"/>
                <w:sz w:val="21"/>
              </w:rPr>
              <w:t>永久不可逆</w:t>
            </w:r>
            <w:r>
              <w:rPr>
                <w:b/>
                <w:position w:val="11"/>
                <w:sz w:val="11"/>
              </w:rPr>
              <w:t>16</w:t>
            </w:r>
            <w:r>
              <w:rPr>
                <w:spacing w:val="-3"/>
                <w:sz w:val="21"/>
              </w:rPr>
              <w:t>性的体力活动能力受限，达到美国纽约心脏病学会</w:t>
            </w:r>
            <w:r>
              <w:rPr>
                <w:b/>
                <w:sz w:val="21"/>
              </w:rPr>
              <w:t>心功能状态分级</w:t>
            </w:r>
            <w:r>
              <w:rPr>
                <w:b/>
                <w:position w:val="11"/>
                <w:sz w:val="11"/>
              </w:rPr>
              <w:t>17</w:t>
            </w:r>
            <w:r>
              <w:rPr>
                <w:sz w:val="21"/>
              </w:rPr>
              <w:t>IV</w:t>
            </w:r>
            <w:r>
              <w:rPr>
                <w:spacing w:val="-10"/>
                <w:sz w:val="21"/>
              </w:rPr>
              <w:t> 级，且静息状态下肺动脉平均压超过 </w:t>
            </w:r>
            <w:r>
              <w:rPr>
                <w:sz w:val="21"/>
              </w:rPr>
              <w:t>30mmHg</w:t>
            </w:r>
            <w:r>
              <w:rPr>
                <w:spacing w:val="-3"/>
                <w:sz w:val="21"/>
              </w:rPr>
              <w:t>。</w:t>
            </w:r>
            <w:r>
              <w:rPr>
                <w:sz w:val="21"/>
              </w:rPr>
              <w:t> </w:t>
            </w:r>
          </w:p>
        </w:tc>
      </w:tr>
      <w:tr>
        <w:trPr>
          <w:trHeight w:val="298"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848" w:type="dxa"/>
          </w:tcPr>
          <w:p>
            <w:pPr>
              <w:pStyle w:val="TableParagraph"/>
              <w:spacing w:line="261" w:lineRule="exact"/>
              <w:ind w:left="110"/>
              <w:rPr>
                <w:sz w:val="21"/>
              </w:rPr>
            </w:pPr>
            <w:r>
              <w:rPr>
                <w:w w:val="100"/>
                <w:sz w:val="21"/>
              </w:rPr>
              <w:t> </w:t>
            </w:r>
          </w:p>
        </w:tc>
      </w:tr>
      <w:tr>
        <w:trPr>
          <w:trHeight w:val="298" w:hRule="atLeast"/>
        </w:trPr>
        <w:tc>
          <w:tcPr>
            <w:tcW w:w="529" w:type="dxa"/>
          </w:tcPr>
          <w:p>
            <w:pPr>
              <w:pStyle w:val="TableParagraph"/>
              <w:spacing w:line="248" w:lineRule="exact"/>
              <w:ind w:left="50"/>
              <w:rPr>
                <w:b/>
                <w:sz w:val="21"/>
              </w:rPr>
            </w:pPr>
            <w:r>
              <w:rPr>
                <w:b/>
                <w:w w:val="99"/>
                <w:sz w:val="21"/>
              </w:rPr>
              <w:t> </w:t>
            </w:r>
          </w:p>
        </w:tc>
        <w:tc>
          <w:tcPr>
            <w:tcW w:w="1962" w:type="dxa"/>
          </w:tcPr>
          <w:p>
            <w:pPr>
              <w:pStyle w:val="TableParagraph"/>
              <w:spacing w:line="248" w:lineRule="exact"/>
              <w:ind w:left="373"/>
              <w:rPr>
                <w:b/>
                <w:sz w:val="21"/>
              </w:rPr>
            </w:pPr>
            <w:r>
              <w:rPr>
                <w:b/>
                <w:sz w:val="21"/>
              </w:rPr>
              <w:t>心脏瓣膜手术</w:t>
            </w:r>
            <w:r>
              <w:rPr>
                <w:b/>
                <w:w w:val="99"/>
                <w:sz w:val="21"/>
              </w:rPr>
              <w:t> </w:t>
            </w:r>
          </w:p>
        </w:tc>
        <w:tc>
          <w:tcPr>
            <w:tcW w:w="6848" w:type="dxa"/>
          </w:tcPr>
          <w:p>
            <w:pPr>
              <w:pStyle w:val="TableParagraph"/>
              <w:spacing w:line="248" w:lineRule="exact"/>
              <w:ind w:left="110"/>
              <w:rPr>
                <w:sz w:val="21"/>
              </w:rPr>
            </w:pPr>
            <w:r>
              <w:rPr>
                <w:sz w:val="21"/>
              </w:rPr>
              <w:t>指为治疗心脏瓣膜疾病，实际实施了开胸进行的心脏瓣膜置换或修复的手</w:t>
            </w:r>
          </w:p>
        </w:tc>
      </w:tr>
      <w:tr>
        <w:trPr>
          <w:trHeight w:val="312"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61" w:lineRule="exact"/>
              <w:ind w:left="110"/>
              <w:rPr>
                <w:sz w:val="21"/>
              </w:rPr>
            </w:pPr>
            <w:r>
              <w:rPr>
                <w:sz w:val="21"/>
              </w:rPr>
              <w:t>术。 </w:t>
            </w:r>
          </w:p>
        </w:tc>
      </w:tr>
      <w:tr>
        <w:trPr>
          <w:trHeight w:val="297"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848" w:type="dxa"/>
          </w:tcPr>
          <w:p>
            <w:pPr>
              <w:pStyle w:val="TableParagraph"/>
              <w:spacing w:line="261" w:lineRule="exact"/>
              <w:ind w:left="110"/>
              <w:rPr>
                <w:sz w:val="21"/>
              </w:rPr>
            </w:pPr>
            <w:r>
              <w:rPr>
                <w:w w:val="100"/>
                <w:sz w:val="21"/>
              </w:rPr>
              <w:t> </w:t>
            </w:r>
          </w:p>
        </w:tc>
      </w:tr>
      <w:tr>
        <w:trPr>
          <w:trHeight w:val="297" w:hRule="atLeast"/>
        </w:trPr>
        <w:tc>
          <w:tcPr>
            <w:tcW w:w="529" w:type="dxa"/>
          </w:tcPr>
          <w:p>
            <w:pPr>
              <w:pStyle w:val="TableParagraph"/>
              <w:spacing w:line="247" w:lineRule="exact"/>
              <w:ind w:left="50"/>
              <w:rPr>
                <w:b/>
                <w:sz w:val="21"/>
              </w:rPr>
            </w:pPr>
            <w:r>
              <w:rPr>
                <w:b/>
                <w:w w:val="99"/>
                <w:sz w:val="21"/>
              </w:rPr>
              <w:t> </w:t>
            </w:r>
          </w:p>
        </w:tc>
        <w:tc>
          <w:tcPr>
            <w:tcW w:w="1962" w:type="dxa"/>
          </w:tcPr>
          <w:p>
            <w:pPr>
              <w:pStyle w:val="TableParagraph"/>
              <w:spacing w:line="247" w:lineRule="exact"/>
              <w:ind w:left="373"/>
              <w:rPr>
                <w:b/>
                <w:sz w:val="21"/>
              </w:rPr>
            </w:pPr>
            <w:r>
              <w:rPr>
                <w:b/>
                <w:sz w:val="21"/>
              </w:rPr>
              <w:t>主动脉手术</w:t>
            </w:r>
            <w:r>
              <w:rPr>
                <w:b/>
                <w:w w:val="99"/>
                <w:sz w:val="21"/>
              </w:rPr>
              <w:t> </w:t>
            </w:r>
          </w:p>
        </w:tc>
        <w:tc>
          <w:tcPr>
            <w:tcW w:w="6848" w:type="dxa"/>
          </w:tcPr>
          <w:p>
            <w:pPr>
              <w:pStyle w:val="TableParagraph"/>
              <w:spacing w:line="247" w:lineRule="exact"/>
              <w:ind w:left="110"/>
              <w:rPr>
                <w:sz w:val="21"/>
              </w:rPr>
            </w:pPr>
            <w:r>
              <w:rPr>
                <w:sz w:val="21"/>
              </w:rPr>
              <w:t>指为治疗主动脉疾病，实际实施了开胸或开腹进行的切除、置换、修补病</w:t>
            </w:r>
          </w:p>
        </w:tc>
      </w:tr>
      <w:tr>
        <w:trPr>
          <w:trHeight w:val="299"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62" w:lineRule="exact"/>
              <w:ind w:left="110"/>
              <w:rPr>
                <w:rFonts w:ascii="黑体" w:eastAsia="黑体" w:hint="eastAsia"/>
                <w:sz w:val="21"/>
              </w:rPr>
            </w:pPr>
            <w:r>
              <w:rPr>
                <w:sz w:val="21"/>
              </w:rPr>
              <w:t>损主动脉血管的手术。主动脉指胸主动脉和腹主动脉，</w:t>
            </w:r>
            <w:r>
              <w:rPr>
                <w:rFonts w:ascii="黑体" w:eastAsia="黑体" w:hint="eastAsia"/>
                <w:sz w:val="21"/>
                <w:shd w:fill="D9D9D9" w:color="auto" w:val="clear"/>
              </w:rPr>
              <w:t>不包括胸主动脉和</w:t>
            </w:r>
          </w:p>
        </w:tc>
      </w:tr>
      <w:tr>
        <w:trPr>
          <w:trHeight w:val="326"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74" w:lineRule="exact"/>
              <w:ind w:left="110"/>
              <w:rPr>
                <w:sz w:val="24"/>
              </w:rPr>
            </w:pPr>
            <w:r>
              <w:rPr>
                <w:rFonts w:ascii="黑体" w:eastAsia="黑体" w:hint="eastAsia"/>
                <w:sz w:val="21"/>
                <w:shd w:fill="D9D9D9" w:color="auto" w:val="clear"/>
              </w:rPr>
              <w:t>腹主动脉的分支血管。动脉内血管成形术不在保障范围内。</w:t>
            </w:r>
            <w:r>
              <w:rPr>
                <w:sz w:val="24"/>
              </w:rPr>
              <w:t> </w:t>
            </w:r>
          </w:p>
        </w:tc>
      </w:tr>
      <w:tr>
        <w:trPr>
          <w:trHeight w:val="295" w:hRule="atLeast"/>
        </w:trPr>
        <w:tc>
          <w:tcPr>
            <w:tcW w:w="529" w:type="dxa"/>
          </w:tcPr>
          <w:p>
            <w:pPr>
              <w:pStyle w:val="TableParagraph"/>
              <w:spacing w:line="259" w:lineRule="exact"/>
              <w:ind w:left="50"/>
              <w:rPr>
                <w:b/>
                <w:sz w:val="21"/>
              </w:rPr>
            </w:pPr>
            <w:r>
              <w:rPr>
                <w:b/>
                <w:w w:val="99"/>
                <w:sz w:val="21"/>
              </w:rPr>
              <w:t> </w:t>
            </w:r>
          </w:p>
        </w:tc>
        <w:tc>
          <w:tcPr>
            <w:tcW w:w="1962" w:type="dxa"/>
          </w:tcPr>
          <w:p>
            <w:pPr>
              <w:pStyle w:val="TableParagraph"/>
              <w:spacing w:line="259" w:lineRule="exact"/>
              <w:ind w:left="373"/>
              <w:rPr>
                <w:b/>
                <w:sz w:val="21"/>
              </w:rPr>
            </w:pPr>
            <w:r>
              <w:rPr>
                <w:b/>
                <w:w w:val="99"/>
                <w:sz w:val="21"/>
              </w:rPr>
              <w:t> </w:t>
            </w:r>
          </w:p>
        </w:tc>
        <w:tc>
          <w:tcPr>
            <w:tcW w:w="6848" w:type="dxa"/>
          </w:tcPr>
          <w:p>
            <w:pPr>
              <w:pStyle w:val="TableParagraph"/>
              <w:spacing w:line="259" w:lineRule="exact"/>
              <w:ind w:left="110"/>
              <w:rPr>
                <w:sz w:val="21"/>
              </w:rPr>
            </w:pPr>
            <w:r>
              <w:rPr>
                <w:w w:val="100"/>
                <w:sz w:val="21"/>
              </w:rPr>
              <w:t> </w:t>
            </w:r>
          </w:p>
        </w:tc>
      </w:tr>
      <w:tr>
        <w:trPr>
          <w:trHeight w:val="297" w:hRule="atLeast"/>
        </w:trPr>
        <w:tc>
          <w:tcPr>
            <w:tcW w:w="529" w:type="dxa"/>
          </w:tcPr>
          <w:p>
            <w:pPr>
              <w:pStyle w:val="TableParagraph"/>
              <w:spacing w:line="247" w:lineRule="exact"/>
              <w:ind w:left="50"/>
              <w:rPr>
                <w:b/>
                <w:sz w:val="21"/>
              </w:rPr>
            </w:pPr>
            <w:r>
              <w:rPr>
                <w:b/>
                <w:w w:val="99"/>
                <w:sz w:val="21"/>
              </w:rPr>
              <w:t> </w:t>
            </w:r>
          </w:p>
        </w:tc>
        <w:tc>
          <w:tcPr>
            <w:tcW w:w="1962" w:type="dxa"/>
          </w:tcPr>
          <w:p>
            <w:pPr>
              <w:pStyle w:val="TableParagraph"/>
              <w:spacing w:line="247" w:lineRule="exact"/>
              <w:ind w:left="373"/>
              <w:rPr>
                <w:b/>
                <w:sz w:val="21"/>
              </w:rPr>
            </w:pPr>
            <w:r>
              <w:rPr>
                <w:b/>
                <w:sz w:val="21"/>
              </w:rPr>
              <w:t>冠状动脉搭桥术</w:t>
            </w:r>
          </w:p>
        </w:tc>
        <w:tc>
          <w:tcPr>
            <w:tcW w:w="6848" w:type="dxa"/>
          </w:tcPr>
          <w:p>
            <w:pPr>
              <w:pStyle w:val="TableParagraph"/>
              <w:spacing w:line="247" w:lineRule="exact"/>
              <w:ind w:left="110"/>
              <w:rPr>
                <w:sz w:val="21"/>
              </w:rPr>
            </w:pPr>
            <w:r>
              <w:rPr>
                <w:sz w:val="21"/>
              </w:rPr>
              <w:t>指为治疗严重的冠心病，实际实施了开胸进行的冠状动脉血管旁路移植的</w:t>
            </w:r>
          </w:p>
        </w:tc>
      </w:tr>
      <w:tr>
        <w:trPr>
          <w:trHeight w:val="312" w:hRule="atLeast"/>
        </w:trPr>
        <w:tc>
          <w:tcPr>
            <w:tcW w:w="529" w:type="dxa"/>
          </w:tcPr>
          <w:p>
            <w:pPr>
              <w:pStyle w:val="TableParagraph"/>
              <w:rPr>
                <w:rFonts w:ascii="Times New Roman"/>
                <w:sz w:val="18"/>
              </w:rPr>
            </w:pPr>
          </w:p>
        </w:tc>
        <w:tc>
          <w:tcPr>
            <w:tcW w:w="1962" w:type="dxa"/>
          </w:tcPr>
          <w:p>
            <w:pPr>
              <w:pStyle w:val="TableParagraph"/>
              <w:spacing w:line="261" w:lineRule="exact"/>
              <w:ind w:left="373"/>
              <w:rPr>
                <w:b/>
                <w:sz w:val="21"/>
              </w:rPr>
            </w:pPr>
            <w:r>
              <w:rPr>
                <w:b/>
                <w:sz w:val="21"/>
              </w:rPr>
              <w:t>（或称冠状动脉</w:t>
            </w:r>
          </w:p>
        </w:tc>
        <w:tc>
          <w:tcPr>
            <w:tcW w:w="6848" w:type="dxa"/>
          </w:tcPr>
          <w:p>
            <w:pPr>
              <w:pStyle w:val="TableParagraph"/>
              <w:spacing w:line="261" w:lineRule="exact"/>
              <w:ind w:left="110"/>
              <w:rPr>
                <w:sz w:val="21"/>
              </w:rPr>
            </w:pPr>
            <w:r>
              <w:rPr>
                <w:sz w:val="21"/>
              </w:rPr>
              <w:t>手术。 </w:t>
            </w:r>
          </w:p>
        </w:tc>
      </w:tr>
      <w:tr>
        <w:trPr>
          <w:trHeight w:val="312" w:hRule="atLeast"/>
        </w:trPr>
        <w:tc>
          <w:tcPr>
            <w:tcW w:w="529" w:type="dxa"/>
          </w:tcPr>
          <w:p>
            <w:pPr>
              <w:pStyle w:val="TableParagraph"/>
              <w:rPr>
                <w:rFonts w:ascii="Times New Roman"/>
                <w:sz w:val="18"/>
              </w:rPr>
            </w:pPr>
          </w:p>
        </w:tc>
        <w:tc>
          <w:tcPr>
            <w:tcW w:w="1962" w:type="dxa"/>
          </w:tcPr>
          <w:p>
            <w:pPr>
              <w:pStyle w:val="TableParagraph"/>
              <w:spacing w:line="261" w:lineRule="exact"/>
              <w:ind w:left="373"/>
              <w:rPr>
                <w:b/>
                <w:sz w:val="21"/>
              </w:rPr>
            </w:pPr>
            <w:r>
              <w:rPr>
                <w:b/>
                <w:sz w:val="21"/>
              </w:rPr>
              <w:t>旁路移植术）</w:t>
            </w:r>
            <w:r>
              <w:rPr>
                <w:b/>
                <w:w w:val="99"/>
                <w:sz w:val="21"/>
              </w:rPr>
              <w:t> </w:t>
            </w:r>
          </w:p>
        </w:tc>
        <w:tc>
          <w:tcPr>
            <w:tcW w:w="6848" w:type="dxa"/>
          </w:tcPr>
          <w:p>
            <w:pPr>
              <w:pStyle w:val="TableParagraph"/>
              <w:rPr>
                <w:rFonts w:ascii="Times New Roman"/>
                <w:sz w:val="18"/>
              </w:rPr>
            </w:pPr>
          </w:p>
        </w:tc>
      </w:tr>
      <w:tr>
        <w:trPr>
          <w:trHeight w:val="312"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61" w:lineRule="exact"/>
              <w:ind w:left="110"/>
              <w:rPr>
                <w:rFonts w:ascii="黑体" w:eastAsia="黑体" w:hint="eastAsia"/>
                <w:sz w:val="21"/>
              </w:rPr>
            </w:pPr>
            <w:r>
              <w:rPr>
                <w:rFonts w:ascii="黑体" w:eastAsia="黑体" w:hint="eastAsia"/>
                <w:sz w:val="21"/>
                <w:shd w:fill="D9D9D9" w:color="auto" w:val="clear"/>
              </w:rPr>
              <w:t>冠状动脉支架植入术、心导管球囊扩张术、激光射频技术及其它非开胸的</w:t>
            </w:r>
          </w:p>
        </w:tc>
      </w:tr>
      <w:tr>
        <w:trPr>
          <w:trHeight w:val="311"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61" w:lineRule="exact"/>
              <w:ind w:left="110"/>
              <w:rPr>
                <w:sz w:val="21"/>
              </w:rPr>
            </w:pPr>
            <w:r>
              <w:rPr>
                <w:rFonts w:ascii="黑体" w:eastAsia="黑体" w:hint="eastAsia"/>
                <w:sz w:val="21"/>
                <w:shd w:fill="D9D9D9" w:color="auto" w:val="clear"/>
              </w:rPr>
              <w:t>介入手术、腔镜手术不在保障范围内。</w:t>
            </w:r>
            <w:r>
              <w:rPr>
                <w:sz w:val="21"/>
              </w:rPr>
              <w:t> </w:t>
            </w:r>
          </w:p>
        </w:tc>
      </w:tr>
      <w:tr>
        <w:trPr>
          <w:trHeight w:val="298"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848" w:type="dxa"/>
          </w:tcPr>
          <w:p>
            <w:pPr>
              <w:pStyle w:val="TableParagraph"/>
              <w:spacing w:line="261" w:lineRule="exact"/>
              <w:ind w:left="110"/>
              <w:rPr>
                <w:sz w:val="21"/>
              </w:rPr>
            </w:pPr>
            <w:r>
              <w:rPr>
                <w:w w:val="100"/>
                <w:sz w:val="21"/>
              </w:rPr>
              <w:t> </w:t>
            </w:r>
          </w:p>
        </w:tc>
      </w:tr>
      <w:tr>
        <w:trPr>
          <w:trHeight w:val="298" w:hRule="atLeast"/>
        </w:trPr>
        <w:tc>
          <w:tcPr>
            <w:tcW w:w="529" w:type="dxa"/>
          </w:tcPr>
          <w:p>
            <w:pPr>
              <w:pStyle w:val="TableParagraph"/>
              <w:spacing w:line="248" w:lineRule="exact"/>
              <w:ind w:left="50"/>
              <w:rPr>
                <w:b/>
                <w:sz w:val="21"/>
              </w:rPr>
            </w:pPr>
            <w:r>
              <w:rPr>
                <w:b/>
                <w:w w:val="99"/>
                <w:sz w:val="21"/>
              </w:rPr>
              <w:t> </w:t>
            </w:r>
          </w:p>
        </w:tc>
        <w:tc>
          <w:tcPr>
            <w:tcW w:w="1962" w:type="dxa"/>
          </w:tcPr>
          <w:p>
            <w:pPr>
              <w:pStyle w:val="TableParagraph"/>
              <w:spacing w:line="248" w:lineRule="exact"/>
              <w:ind w:left="373"/>
              <w:rPr>
                <w:b/>
                <w:sz w:val="21"/>
              </w:rPr>
            </w:pPr>
            <w:r>
              <w:rPr>
                <w:b/>
                <w:sz w:val="21"/>
              </w:rPr>
              <w:t>脑中风后遗症</w:t>
            </w:r>
            <w:r>
              <w:rPr>
                <w:b/>
                <w:w w:val="99"/>
                <w:sz w:val="21"/>
              </w:rPr>
              <w:t> </w:t>
            </w:r>
          </w:p>
        </w:tc>
        <w:tc>
          <w:tcPr>
            <w:tcW w:w="6848" w:type="dxa"/>
          </w:tcPr>
          <w:p>
            <w:pPr>
              <w:pStyle w:val="TableParagraph"/>
              <w:spacing w:line="248" w:lineRule="exact"/>
              <w:ind w:left="110"/>
              <w:rPr>
                <w:sz w:val="21"/>
              </w:rPr>
            </w:pPr>
            <w:r>
              <w:rPr>
                <w:sz w:val="21"/>
              </w:rPr>
              <w:t>指因脑血管的突发病变引起脑血管出血、栓塞或梗塞，并导致神经系统永</w:t>
            </w:r>
          </w:p>
        </w:tc>
      </w:tr>
      <w:tr>
        <w:trPr>
          <w:trHeight w:val="312"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61" w:lineRule="exact"/>
              <w:ind w:left="110"/>
              <w:rPr>
                <w:sz w:val="21"/>
              </w:rPr>
            </w:pPr>
            <w:r>
              <w:rPr>
                <w:sz w:val="21"/>
              </w:rPr>
              <w:t>久性的功能障碍。神经系统永久性的功能障碍，指疾病确诊180日后，仍</w:t>
            </w:r>
          </w:p>
        </w:tc>
      </w:tr>
      <w:tr>
        <w:trPr>
          <w:trHeight w:val="300"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62" w:lineRule="exact"/>
              <w:ind w:left="110"/>
              <w:rPr>
                <w:sz w:val="21"/>
              </w:rPr>
            </w:pPr>
            <w:r>
              <w:rPr>
                <w:sz w:val="21"/>
              </w:rPr>
              <w:t>遗留下列一种或一种以上障碍： </w:t>
            </w:r>
          </w:p>
        </w:tc>
      </w:tr>
      <w:tr>
        <w:trPr>
          <w:trHeight w:val="311"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73" w:lineRule="exact"/>
              <w:ind w:left="110"/>
              <w:rPr>
                <w:sz w:val="21"/>
              </w:rPr>
            </w:pPr>
            <w:r>
              <w:rPr>
                <w:sz w:val="21"/>
              </w:rPr>
              <w:t>（1） 一肢或一肢以上</w:t>
            </w:r>
            <w:r>
              <w:rPr>
                <w:b/>
                <w:sz w:val="21"/>
              </w:rPr>
              <w:t>肢体机能完全丧失</w:t>
            </w:r>
            <w:r>
              <w:rPr>
                <w:b/>
                <w:position w:val="11"/>
                <w:sz w:val="11"/>
              </w:rPr>
              <w:t>18</w:t>
            </w:r>
            <w:r>
              <w:rPr>
                <w:sz w:val="21"/>
              </w:rPr>
              <w:t>； </w:t>
            </w:r>
          </w:p>
        </w:tc>
      </w:tr>
      <w:tr>
        <w:trPr>
          <w:trHeight w:val="312"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73" w:lineRule="exact"/>
              <w:ind w:left="110"/>
              <w:rPr>
                <w:sz w:val="21"/>
              </w:rPr>
            </w:pPr>
            <w:r>
              <w:rPr>
                <w:sz w:val="21"/>
              </w:rPr>
              <w:t>（2） </w:t>
            </w:r>
            <w:r>
              <w:rPr>
                <w:b/>
                <w:sz w:val="21"/>
              </w:rPr>
              <w:t>语言能力或咀嚼吞咽能力完全丧失</w:t>
            </w:r>
            <w:r>
              <w:rPr>
                <w:b/>
                <w:position w:val="11"/>
                <w:sz w:val="11"/>
              </w:rPr>
              <w:t>19</w:t>
            </w:r>
            <w:r>
              <w:rPr>
                <w:sz w:val="21"/>
              </w:rPr>
              <w:t>； </w:t>
            </w:r>
          </w:p>
        </w:tc>
      </w:tr>
      <w:tr>
        <w:trPr>
          <w:trHeight w:val="273"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848" w:type="dxa"/>
          </w:tcPr>
          <w:p>
            <w:pPr>
              <w:pStyle w:val="TableParagraph"/>
              <w:spacing w:line="253" w:lineRule="exact"/>
              <w:ind w:left="110"/>
              <w:rPr>
                <w:sz w:val="21"/>
              </w:rPr>
            </w:pPr>
            <w:r>
              <w:rPr>
                <w:sz w:val="21"/>
              </w:rPr>
              <w:t>（3） 自主生活能力完全丧失，无法独立完成</w:t>
            </w:r>
            <w:r>
              <w:rPr>
                <w:b/>
                <w:sz w:val="21"/>
              </w:rPr>
              <w:t>六项基本日常生活活动</w:t>
            </w:r>
            <w:r>
              <w:rPr>
                <w:b/>
                <w:position w:val="11"/>
                <w:sz w:val="11"/>
              </w:rPr>
              <w:t>20</w:t>
            </w:r>
            <w:r>
              <w:rPr>
                <w:sz w:val="21"/>
              </w:rPr>
              <w:t>中</w:t>
            </w:r>
          </w:p>
        </w:tc>
      </w:tr>
    </w:tbl>
    <w:p>
      <w:pPr>
        <w:pStyle w:val="BodyText"/>
        <w:spacing w:before="12"/>
        <w:rPr>
          <w:sz w:val="14"/>
        </w:rPr>
      </w:pPr>
      <w:r>
        <w:rPr/>
        <w:pict>
          <v:line style="position:absolute;mso-position-horizontal-relative:page;mso-position-vertical-relative:paragraph;z-index:2416;mso-wrap-distance-left:0;mso-wrap-distance-right:0" from="54pt,11.985603pt" to="198.05pt,11.985603pt" stroked="true" strokeweight=".48001pt" strokecolor="#000000">
            <v:stroke dashstyle="solid"/>
            <w10:wrap type="topAndBottom"/>
          </v:line>
        </w:pict>
      </w:r>
    </w:p>
    <w:p>
      <w:pPr>
        <w:pStyle w:val="BodyText"/>
        <w:spacing w:before="91"/>
        <w:ind w:left="160"/>
      </w:pPr>
      <w:r>
        <w:rPr>
          <w:rFonts w:ascii="Times New Roman" w:eastAsia="Times New Roman"/>
          <w:position w:val="6"/>
          <w:sz w:val="12"/>
        </w:rPr>
        <w:t>16</w:t>
      </w:r>
      <w:r>
        <w:rPr>
          <w:rFonts w:ascii="Times New Roman" w:eastAsia="Times New Roman"/>
          <w:sz w:val="12"/>
        </w:rPr>
        <w:t>   </w:t>
      </w:r>
      <w:r>
        <w:rPr>
          <w:b/>
        </w:rPr>
        <w:t>永久不可逆</w:t>
      </w:r>
      <w:r>
        <w:rPr/>
        <w:t>指自疾病确诊或意外伤害发生之日起，经过积极治疗 180 日后，仍无法通过现有医疗手段恢复。 </w:t>
      </w:r>
    </w:p>
    <w:p>
      <w:pPr>
        <w:spacing w:before="63"/>
        <w:ind w:left="160" w:right="0" w:firstLine="0"/>
        <w:jc w:val="left"/>
        <w:rPr>
          <w:sz w:val="18"/>
        </w:rPr>
      </w:pPr>
      <w:r>
        <w:rPr>
          <w:rFonts w:ascii="Times New Roman" w:eastAsia="Times New Roman"/>
          <w:position w:val="6"/>
          <w:sz w:val="12"/>
        </w:rPr>
        <w:t>17</w:t>
      </w:r>
      <w:r>
        <w:rPr>
          <w:rFonts w:ascii="Times New Roman" w:eastAsia="Times New Roman"/>
          <w:sz w:val="12"/>
        </w:rPr>
        <w:t>   </w:t>
      </w:r>
      <w:r>
        <w:rPr>
          <w:b/>
          <w:sz w:val="18"/>
        </w:rPr>
        <w:t>心功能状态分级</w:t>
      </w:r>
      <w:r>
        <w:rPr>
          <w:sz w:val="18"/>
        </w:rPr>
        <w:t>指美国纽约心脏病学会心功能状态的分级标准： </w:t>
      </w:r>
    </w:p>
    <w:p>
      <w:pPr>
        <w:pStyle w:val="BodyText"/>
        <w:spacing w:line="304" w:lineRule="auto" w:before="63"/>
        <w:ind w:left="393" w:right="1339"/>
      </w:pPr>
      <w:r>
        <w:rPr/>
        <w:t>Ⅰ级：体力活动不受限制，日常活动不引起乏力、心悸、呼吸困难或心绞痛等症状；                Ⅱ级：体力活动轻度受限，休息时无症状，日常活动即可引起乏力、心悸、呼吸困难或心绞痛等症状； Ⅲ级：体力活动明显受限，休息时无症状，轻于日常的活动即可引起上述症状；                    Ⅳ级：不能从事任何体力活动，休息时亦有症状，体力活动后加重。 </w:t>
      </w:r>
    </w:p>
    <w:p>
      <w:pPr>
        <w:spacing w:before="15"/>
        <w:ind w:left="160" w:right="0" w:firstLine="0"/>
        <w:jc w:val="left"/>
        <w:rPr>
          <w:sz w:val="18"/>
        </w:rPr>
      </w:pPr>
      <w:r>
        <w:rPr>
          <w:rFonts w:ascii="Times New Roman" w:eastAsia="Times New Roman"/>
          <w:position w:val="6"/>
          <w:sz w:val="12"/>
        </w:rPr>
        <w:t>18</w:t>
      </w:r>
      <w:r>
        <w:rPr>
          <w:rFonts w:ascii="Times New Roman" w:eastAsia="Times New Roman"/>
          <w:sz w:val="12"/>
        </w:rPr>
        <w:t>     </w:t>
      </w:r>
      <w:r>
        <w:rPr>
          <w:b/>
          <w:sz w:val="18"/>
        </w:rPr>
        <w:t>肢体机能完全丧失</w:t>
      </w:r>
      <w:r>
        <w:rPr>
          <w:sz w:val="18"/>
        </w:rPr>
        <w:t>指肢体的三大关节中的两大关节僵硬，或不能随意识活动。肢体是指包括肩关节的整个上肢或包括髋</w:t>
      </w:r>
    </w:p>
    <w:p>
      <w:pPr>
        <w:pStyle w:val="BodyText"/>
        <w:spacing w:before="64"/>
        <w:ind w:left="393"/>
      </w:pPr>
      <w:r>
        <w:rPr/>
        <w:t>关节的整个下肢。 </w:t>
      </w:r>
    </w:p>
    <w:p>
      <w:pPr>
        <w:spacing w:before="64"/>
        <w:ind w:left="160" w:right="0" w:firstLine="0"/>
        <w:jc w:val="left"/>
        <w:rPr>
          <w:sz w:val="18"/>
        </w:rPr>
      </w:pPr>
      <w:r>
        <w:rPr>
          <w:rFonts w:ascii="Times New Roman" w:eastAsia="Times New Roman"/>
          <w:position w:val="6"/>
          <w:sz w:val="12"/>
        </w:rPr>
        <w:t>19</w:t>
      </w:r>
      <w:r>
        <w:rPr>
          <w:rFonts w:ascii="Times New Roman" w:eastAsia="Times New Roman"/>
          <w:sz w:val="12"/>
        </w:rPr>
        <w:t>  </w:t>
      </w:r>
      <w:r>
        <w:rPr>
          <w:b/>
          <w:sz w:val="18"/>
        </w:rPr>
        <w:t>语言能力或咀嚼吞咽能力完全丧失：</w:t>
      </w:r>
      <w:r>
        <w:rPr>
          <w:sz w:val="18"/>
        </w:rPr>
        <w:t>语言能力完全丧失，指无法发出四种语音（包括口唇音、齿舌音、口盖音和喉头音）</w:t>
      </w:r>
    </w:p>
    <w:p>
      <w:pPr>
        <w:pStyle w:val="BodyText"/>
        <w:spacing w:before="64"/>
        <w:ind w:left="393"/>
      </w:pPr>
      <w:r>
        <w:rPr/>
        <w:t>中的任何三种、或声带全部切除，或因大脑语言中枢受伤害而患失语症。 </w:t>
      </w:r>
    </w:p>
    <w:p>
      <w:pPr>
        <w:pStyle w:val="BodyText"/>
        <w:spacing w:line="304" w:lineRule="auto" w:before="64"/>
        <w:ind w:left="393" w:right="108"/>
      </w:pPr>
      <w:r>
        <w:rPr/>
        <w:t>咀嚼吞咽能力完全丧失，指因牙齿以外的原因导致器质障碍或机能障碍，以致不能作咀嚼吞咽运动，除流质食物外不能摄取或吞咽的状态。 </w:t>
      </w:r>
    </w:p>
    <w:p>
      <w:pPr>
        <w:spacing w:before="15"/>
        <w:ind w:left="160" w:right="0" w:firstLine="0"/>
        <w:jc w:val="left"/>
        <w:rPr>
          <w:sz w:val="18"/>
        </w:rPr>
      </w:pPr>
      <w:r>
        <w:rPr>
          <w:rFonts w:ascii="Times New Roman" w:eastAsia="Times New Roman"/>
          <w:position w:val="6"/>
          <w:sz w:val="12"/>
        </w:rPr>
        <w:t>20   </w:t>
      </w:r>
      <w:r>
        <w:rPr>
          <w:b/>
          <w:sz w:val="18"/>
        </w:rPr>
        <w:t>六项基本日常生活活动：</w:t>
      </w:r>
      <w:r>
        <w:rPr>
          <w:sz w:val="18"/>
        </w:rPr>
        <w:t>六项基本日常生活活动是指： </w:t>
      </w:r>
    </w:p>
    <w:p>
      <w:pPr>
        <w:pStyle w:val="BodyText"/>
        <w:spacing w:before="63"/>
        <w:ind w:left="393"/>
      </w:pPr>
      <w:r>
        <w:rPr/>
        <w:t>（1）穿衣：自己能够穿衣及脱衣； </w:t>
      </w:r>
    </w:p>
    <w:p>
      <w:pPr>
        <w:pStyle w:val="BodyText"/>
        <w:spacing w:before="63"/>
        <w:ind w:left="393"/>
      </w:pPr>
      <w:r>
        <w:rPr/>
        <w:t>（2）移动：自己从一个房间到另一个房间； </w:t>
      </w:r>
    </w:p>
    <w:p>
      <w:pPr>
        <w:pStyle w:val="BodyText"/>
        <w:spacing w:before="63"/>
        <w:ind w:left="393"/>
      </w:pPr>
      <w:r>
        <w:rPr/>
        <w:t>（3）行动：自己上下床或上下轮椅； </w:t>
      </w:r>
    </w:p>
    <w:p>
      <w:pPr>
        <w:pStyle w:val="BodyText"/>
        <w:spacing w:before="64"/>
        <w:ind w:left="393"/>
      </w:pPr>
      <w:r>
        <w:rPr/>
        <w:t>（4）如厕：自己控制进行大小便； </w:t>
      </w:r>
    </w:p>
    <w:p>
      <w:pPr>
        <w:pStyle w:val="BodyText"/>
        <w:spacing w:before="64"/>
        <w:ind w:left="393"/>
      </w:pPr>
      <w:r>
        <w:rPr/>
        <w:t>（5）进食：自己从已准备好的碗或碟中取食物放入口中； </w:t>
      </w:r>
    </w:p>
    <w:p>
      <w:pPr>
        <w:pStyle w:val="BodyText"/>
        <w:spacing w:before="64"/>
        <w:ind w:left="393"/>
      </w:pPr>
      <w:r>
        <w:rPr/>
        <w:t>（6）洗澡：自己进行淋浴或盆浴。 </w:t>
      </w:r>
    </w:p>
    <w:p>
      <w:pPr>
        <w:spacing w:after="0"/>
        <w:sectPr>
          <w:pgSz w:w="11910" w:h="16840"/>
          <w:pgMar w:top="1400" w:bottom="280" w:left="920" w:right="1060"/>
        </w:sectPr>
      </w:pPr>
    </w:p>
    <w:p>
      <w:pPr>
        <w:spacing w:before="49"/>
        <w:ind w:left="3387" w:right="4353" w:firstLine="0"/>
        <w:jc w:val="center"/>
        <w:rPr>
          <w:sz w:val="24"/>
        </w:rPr>
      </w:pPr>
      <w:r>
        <w:rPr>
          <w:sz w:val="21"/>
        </w:rPr>
        <w:t>的三项或三项以上。</w:t>
      </w:r>
      <w:r>
        <w:rPr>
          <w:sz w:val="24"/>
        </w:rPr>
        <w:t> </w:t>
      </w:r>
    </w:p>
    <w:p>
      <w:pPr>
        <w:pStyle w:val="BodyText"/>
        <w:spacing w:before="8"/>
        <w:rPr>
          <w:sz w:val="21"/>
        </w:rPr>
      </w:pPr>
    </w:p>
    <w:p>
      <w:pPr>
        <w:pStyle w:val="ListParagraph"/>
        <w:numPr>
          <w:ilvl w:val="1"/>
          <w:numId w:val="6"/>
        </w:numPr>
        <w:tabs>
          <w:tab w:pos="478" w:val="left" w:leader="none"/>
          <w:tab w:pos="1012" w:val="left" w:leader="none"/>
        </w:tabs>
        <w:spacing w:line="240" w:lineRule="auto" w:before="37" w:after="0"/>
        <w:ind w:left="477" w:right="0" w:hanging="317"/>
        <w:jc w:val="left"/>
        <w:rPr>
          <w:rFonts w:ascii="宋体" w:eastAsia="宋体" w:hint="eastAsia"/>
          <w:b/>
          <w:sz w:val="21"/>
        </w:rPr>
      </w:pPr>
      <w:bookmarkStart w:name="_bookmark23" w:id="21"/>
      <w:bookmarkEnd w:id="21"/>
      <w:r>
        <w:rPr>
          <w:rFonts w:ascii="宋体" w:eastAsia="宋体" w:hint="eastAsia"/>
          <w:b/>
          <w:spacing w:val="-2"/>
          <w:sz w:val="21"/>
        </w:rPr>
        <w:t>与器官功能严重受损相关的疾病</w:t>
      </w:r>
      <w:r>
        <w:rPr>
          <w:rFonts w:ascii="宋体" w:eastAsia="宋体" w:hint="eastAsia"/>
          <w:b/>
          <w:spacing w:val="-2"/>
          <w:w w:val="99"/>
          <w:sz w:val="21"/>
        </w:rPr>
        <w:t> </w:t>
      </w:r>
    </w:p>
    <w:p>
      <w:pPr>
        <w:tabs>
          <w:tab w:pos="1012" w:val="left" w:leader="none"/>
          <w:tab w:pos="2711" w:val="left" w:leader="none"/>
        </w:tabs>
        <w:spacing w:before="37"/>
        <w:ind w:left="160" w:right="0" w:firstLine="0"/>
        <w:jc w:val="left"/>
        <w:rPr>
          <w:sz w:val="21"/>
        </w:rPr>
      </w:pPr>
      <w:r>
        <w:rPr>
          <w:b/>
          <w:w w:val="99"/>
          <w:sz w:val="21"/>
        </w:rPr>
        <w:t> </w:t>
      </w:r>
      <w:r>
        <w:rPr>
          <w:b/>
          <w:sz w:val="21"/>
        </w:rPr>
        <w:tab/>
      </w:r>
      <w:r>
        <w:rPr>
          <w:b/>
          <w:w w:val="99"/>
          <w:sz w:val="21"/>
        </w:rPr>
        <w:t> </w:t>
      </w:r>
      <w:r>
        <w:rPr>
          <w:b/>
          <w:sz w:val="21"/>
        </w:rPr>
        <w:tab/>
      </w:r>
      <w:r>
        <w:rPr>
          <w:w w:val="100"/>
          <w:sz w:val="21"/>
        </w:rPr>
        <w:t> </w:t>
      </w:r>
    </w:p>
    <w:p>
      <w:pPr>
        <w:spacing w:after="0"/>
        <w:jc w:val="left"/>
        <w:rPr>
          <w:sz w:val="21"/>
        </w:rPr>
        <w:sectPr>
          <w:pgSz w:w="11910" w:h="16840"/>
          <w:pgMar w:top="1360" w:bottom="280" w:left="920" w:right="1320"/>
        </w:sectPr>
      </w:pPr>
    </w:p>
    <w:p>
      <w:pPr>
        <w:tabs>
          <w:tab w:pos="1012" w:val="left" w:leader="none"/>
        </w:tabs>
        <w:spacing w:line="273" w:lineRule="auto" w:before="10"/>
        <w:ind w:left="1012" w:right="0" w:hanging="853"/>
        <w:jc w:val="left"/>
        <w:rPr>
          <w:b/>
          <w:sz w:val="21"/>
        </w:rPr>
      </w:pPr>
      <w:r>
        <w:rPr>
          <w:b/>
          <w:w w:val="99"/>
          <w:sz w:val="21"/>
        </w:rPr>
        <w:t> </w:t>
      </w:r>
      <w:r>
        <w:rPr>
          <w:b/>
          <w:sz w:val="21"/>
        </w:rPr>
        <w:tab/>
        <w:t>重型再生障碍性 </w:t>
      </w:r>
      <w:r>
        <w:rPr>
          <w:b/>
          <w:spacing w:val="-1"/>
          <w:sz w:val="21"/>
        </w:rPr>
        <w:t>贫血</w:t>
      </w:r>
      <w:r>
        <w:rPr>
          <w:b/>
          <w:spacing w:val="-1"/>
          <w:w w:val="99"/>
          <w:sz w:val="21"/>
        </w:rPr>
        <w:t> </w:t>
      </w:r>
    </w:p>
    <w:p>
      <w:pPr>
        <w:spacing w:line="273" w:lineRule="auto" w:before="10"/>
        <w:ind w:left="160" w:right="215" w:firstLine="0"/>
        <w:jc w:val="left"/>
        <w:rPr>
          <w:sz w:val="21"/>
        </w:rPr>
      </w:pPr>
      <w:r>
        <w:rPr/>
        <w:br w:type="column"/>
      </w:r>
      <w:r>
        <w:rPr>
          <w:sz w:val="21"/>
        </w:rPr>
        <w:t>指因骨髓造血功能慢性持续性衰竭导致的贫血、中性粒细胞减少及血小板减少。须满足下列全部条件： </w:t>
      </w:r>
    </w:p>
    <w:p>
      <w:pPr>
        <w:spacing w:before="7"/>
        <w:ind w:left="160" w:right="0" w:firstLine="0"/>
        <w:jc w:val="left"/>
        <w:rPr>
          <w:sz w:val="21"/>
        </w:rPr>
      </w:pPr>
      <w:r>
        <w:rPr>
          <w:sz w:val="21"/>
        </w:rPr>
        <w:t>（1） 骨髓穿刺检查或骨髓活检结果支持诊断； </w:t>
      </w:r>
    </w:p>
    <w:p>
      <w:pPr>
        <w:spacing w:before="37"/>
        <w:ind w:left="160" w:right="0" w:firstLine="0"/>
        <w:jc w:val="left"/>
        <w:rPr>
          <w:sz w:val="21"/>
        </w:rPr>
      </w:pPr>
      <w:r>
        <w:rPr>
          <w:sz w:val="21"/>
        </w:rPr>
        <w:t>（2） 外周血象须具备以下三项条件： </w:t>
      </w:r>
    </w:p>
    <w:p>
      <w:pPr>
        <w:spacing w:before="32"/>
        <w:ind w:left="265" w:right="0" w:firstLine="0"/>
        <w:jc w:val="left"/>
        <w:rPr>
          <w:sz w:val="21"/>
        </w:rPr>
      </w:pPr>
      <w:r>
        <w:rPr>
          <w:sz w:val="21"/>
        </w:rPr>
        <w:t>①  中性粒细胞绝对值≤0.5×10</w:t>
      </w:r>
      <w:r>
        <w:rPr>
          <w:position w:val="12"/>
          <w:sz w:val="12"/>
        </w:rPr>
        <w:t>9</w:t>
      </w:r>
      <w:r>
        <w:rPr>
          <w:sz w:val="21"/>
        </w:rPr>
        <w:t>/L ；  </w:t>
      </w:r>
    </w:p>
    <w:p>
      <w:pPr>
        <w:spacing w:before="27"/>
        <w:ind w:left="265" w:right="0" w:firstLine="0"/>
        <w:jc w:val="left"/>
        <w:rPr>
          <w:sz w:val="21"/>
        </w:rPr>
      </w:pPr>
      <w:r>
        <w:rPr>
          <w:sz w:val="21"/>
        </w:rPr>
        <w:t>②  网织红细胞＜1%；  </w:t>
      </w:r>
    </w:p>
    <w:p>
      <w:pPr>
        <w:spacing w:before="31"/>
        <w:ind w:left="265" w:right="0" w:firstLine="0"/>
        <w:jc w:val="left"/>
        <w:rPr>
          <w:sz w:val="21"/>
        </w:rPr>
      </w:pPr>
      <w:r>
        <w:rPr>
          <w:sz w:val="21"/>
        </w:rPr>
        <w:t>③  血小板绝对值≤20×10</w:t>
      </w:r>
      <w:r>
        <w:rPr>
          <w:position w:val="12"/>
          <w:sz w:val="12"/>
        </w:rPr>
        <w:t>9</w:t>
      </w:r>
      <w:r>
        <w:rPr>
          <w:sz w:val="21"/>
        </w:rPr>
        <w:t>/L。 </w:t>
      </w:r>
    </w:p>
    <w:p>
      <w:pPr>
        <w:spacing w:after="0"/>
        <w:jc w:val="left"/>
        <w:rPr>
          <w:sz w:val="21"/>
        </w:rPr>
        <w:sectPr>
          <w:type w:val="continuous"/>
          <w:pgSz w:w="11910" w:h="16840"/>
          <w:pgMar w:top="980" w:bottom="280" w:left="920" w:right="1320"/>
          <w:cols w:num="2" w:equalWidth="0">
            <w:col w:w="2491" w:space="60"/>
            <w:col w:w="7119"/>
          </w:cols>
        </w:sectPr>
      </w:pPr>
    </w:p>
    <w:p>
      <w:pPr>
        <w:pStyle w:val="BodyText"/>
        <w:rPr>
          <w:sz w:val="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962"/>
        <w:gridCol w:w="6953"/>
      </w:tblGrid>
      <w:tr>
        <w:trPr>
          <w:trHeight w:val="247" w:hRule="atLeast"/>
        </w:trPr>
        <w:tc>
          <w:tcPr>
            <w:tcW w:w="529" w:type="dxa"/>
          </w:tcPr>
          <w:p>
            <w:pPr>
              <w:pStyle w:val="TableParagraph"/>
              <w:spacing w:line="211" w:lineRule="exact"/>
              <w:ind w:left="50"/>
              <w:rPr>
                <w:b/>
                <w:sz w:val="21"/>
              </w:rPr>
            </w:pPr>
            <w:r>
              <w:rPr>
                <w:b/>
                <w:w w:val="99"/>
                <w:sz w:val="21"/>
              </w:rPr>
              <w:t> </w:t>
            </w:r>
          </w:p>
        </w:tc>
        <w:tc>
          <w:tcPr>
            <w:tcW w:w="1962" w:type="dxa"/>
          </w:tcPr>
          <w:p>
            <w:pPr>
              <w:pStyle w:val="TableParagraph"/>
              <w:spacing w:line="211" w:lineRule="exact"/>
              <w:ind w:left="373"/>
              <w:rPr>
                <w:b/>
                <w:sz w:val="21"/>
              </w:rPr>
            </w:pPr>
            <w:r>
              <w:rPr>
                <w:b/>
                <w:w w:val="99"/>
                <w:sz w:val="21"/>
              </w:rPr>
              <w:t> </w:t>
            </w:r>
          </w:p>
        </w:tc>
        <w:tc>
          <w:tcPr>
            <w:tcW w:w="6953" w:type="dxa"/>
          </w:tcPr>
          <w:p>
            <w:pPr>
              <w:pStyle w:val="TableParagraph"/>
              <w:spacing w:line="211" w:lineRule="exact"/>
              <w:ind w:left="110"/>
              <w:rPr>
                <w:sz w:val="21"/>
              </w:rPr>
            </w:pPr>
            <w:r>
              <w:rPr>
                <w:w w:val="100"/>
                <w:sz w:val="21"/>
              </w:rPr>
              <w:t> </w:t>
            </w:r>
          </w:p>
        </w:tc>
      </w:tr>
      <w:tr>
        <w:trPr>
          <w:trHeight w:val="297" w:hRule="atLeast"/>
        </w:trPr>
        <w:tc>
          <w:tcPr>
            <w:tcW w:w="529" w:type="dxa"/>
          </w:tcPr>
          <w:p>
            <w:pPr>
              <w:pStyle w:val="TableParagraph"/>
              <w:spacing w:line="247" w:lineRule="exact"/>
              <w:ind w:left="50"/>
              <w:rPr>
                <w:b/>
                <w:sz w:val="21"/>
              </w:rPr>
            </w:pPr>
            <w:r>
              <w:rPr>
                <w:b/>
                <w:w w:val="99"/>
                <w:sz w:val="21"/>
              </w:rPr>
              <w:t> </w:t>
            </w:r>
          </w:p>
        </w:tc>
        <w:tc>
          <w:tcPr>
            <w:tcW w:w="1962" w:type="dxa"/>
          </w:tcPr>
          <w:p>
            <w:pPr>
              <w:pStyle w:val="TableParagraph"/>
              <w:spacing w:line="247" w:lineRule="exact"/>
              <w:ind w:left="373"/>
              <w:rPr>
                <w:b/>
                <w:sz w:val="21"/>
              </w:rPr>
            </w:pPr>
            <w:r>
              <w:rPr>
                <w:b/>
                <w:sz w:val="21"/>
              </w:rPr>
              <w:t>重大器官移植术</w:t>
            </w:r>
          </w:p>
        </w:tc>
        <w:tc>
          <w:tcPr>
            <w:tcW w:w="6953" w:type="dxa"/>
          </w:tcPr>
          <w:p>
            <w:pPr>
              <w:pStyle w:val="TableParagraph"/>
              <w:spacing w:line="247" w:lineRule="exact"/>
              <w:ind w:left="110"/>
              <w:rPr>
                <w:sz w:val="21"/>
              </w:rPr>
            </w:pPr>
            <w:r>
              <w:rPr>
                <w:sz w:val="21"/>
              </w:rPr>
              <w:t>重大器官移植术，指因相应器官功能衰竭，已经实施了肾脏、肝脏、心脏</w:t>
            </w:r>
          </w:p>
        </w:tc>
      </w:tr>
      <w:tr>
        <w:trPr>
          <w:trHeight w:val="312" w:hRule="atLeast"/>
        </w:trPr>
        <w:tc>
          <w:tcPr>
            <w:tcW w:w="529" w:type="dxa"/>
          </w:tcPr>
          <w:p>
            <w:pPr>
              <w:pStyle w:val="TableParagraph"/>
              <w:rPr>
                <w:rFonts w:ascii="Times New Roman"/>
                <w:sz w:val="20"/>
              </w:rPr>
            </w:pPr>
          </w:p>
        </w:tc>
        <w:tc>
          <w:tcPr>
            <w:tcW w:w="1962" w:type="dxa"/>
          </w:tcPr>
          <w:p>
            <w:pPr>
              <w:pStyle w:val="TableParagraph"/>
              <w:spacing w:line="261" w:lineRule="exact"/>
              <w:ind w:left="373"/>
              <w:rPr>
                <w:b/>
                <w:sz w:val="21"/>
              </w:rPr>
            </w:pPr>
            <w:r>
              <w:rPr>
                <w:b/>
                <w:sz w:val="21"/>
              </w:rPr>
              <w:t>或造血干细胞移</w:t>
            </w:r>
          </w:p>
        </w:tc>
        <w:tc>
          <w:tcPr>
            <w:tcW w:w="6953" w:type="dxa"/>
          </w:tcPr>
          <w:p>
            <w:pPr>
              <w:pStyle w:val="TableParagraph"/>
              <w:spacing w:line="261" w:lineRule="exact"/>
              <w:ind w:left="110"/>
              <w:rPr>
                <w:sz w:val="21"/>
              </w:rPr>
            </w:pPr>
            <w:r>
              <w:rPr>
                <w:sz w:val="21"/>
              </w:rPr>
              <w:t>或肺脏的异体移植手术。 </w:t>
            </w:r>
          </w:p>
        </w:tc>
      </w:tr>
      <w:tr>
        <w:trPr>
          <w:trHeight w:val="312" w:hRule="atLeast"/>
        </w:trPr>
        <w:tc>
          <w:tcPr>
            <w:tcW w:w="529" w:type="dxa"/>
          </w:tcPr>
          <w:p>
            <w:pPr>
              <w:pStyle w:val="TableParagraph"/>
              <w:rPr>
                <w:rFonts w:ascii="Times New Roman"/>
                <w:sz w:val="20"/>
              </w:rPr>
            </w:pPr>
          </w:p>
        </w:tc>
        <w:tc>
          <w:tcPr>
            <w:tcW w:w="1962" w:type="dxa"/>
          </w:tcPr>
          <w:p>
            <w:pPr>
              <w:pStyle w:val="TableParagraph"/>
              <w:spacing w:line="261" w:lineRule="exact"/>
              <w:ind w:left="373"/>
              <w:rPr>
                <w:b/>
                <w:sz w:val="21"/>
              </w:rPr>
            </w:pPr>
            <w:r>
              <w:rPr>
                <w:b/>
                <w:sz w:val="21"/>
              </w:rPr>
              <w:t>植术</w:t>
            </w:r>
            <w:r>
              <w:rPr>
                <w:b/>
                <w:w w:val="99"/>
                <w:sz w:val="21"/>
              </w:rPr>
              <w:t> </w:t>
            </w:r>
          </w:p>
        </w:tc>
        <w:tc>
          <w:tcPr>
            <w:tcW w:w="6953" w:type="dxa"/>
          </w:tcPr>
          <w:p>
            <w:pPr>
              <w:pStyle w:val="TableParagraph"/>
              <w:spacing w:line="261" w:lineRule="exact"/>
              <w:ind w:left="110"/>
              <w:rPr>
                <w:sz w:val="21"/>
              </w:rPr>
            </w:pPr>
            <w:r>
              <w:rPr>
                <w:w w:val="100"/>
                <w:sz w:val="21"/>
              </w:rPr>
              <w:t>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造血干细胞移植术，指因造血功能损害或造血系统恶性肿瘤，已经实施了</w:t>
            </w:r>
          </w:p>
        </w:tc>
      </w:tr>
      <w:tr>
        <w:trPr>
          <w:trHeight w:val="311"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pacing w:val="-16"/>
                <w:sz w:val="21"/>
              </w:rPr>
              <w:t>造血干细胞</w:t>
            </w:r>
            <w:r>
              <w:rPr>
                <w:sz w:val="21"/>
              </w:rPr>
              <w:t>（</w:t>
            </w:r>
            <w:r>
              <w:rPr>
                <w:spacing w:val="-10"/>
                <w:sz w:val="21"/>
              </w:rPr>
              <w:t>包括骨髓造血干细胞、外周血造血干细胞和脐血造血干细胞</w:t>
            </w:r>
            <w:r>
              <w:rPr>
                <w:sz w:val="21"/>
              </w:rPr>
              <w:t>）</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的异体移植手术。 </w:t>
            </w:r>
          </w:p>
        </w:tc>
      </w:tr>
      <w:tr>
        <w:trPr>
          <w:trHeight w:val="294"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953" w:type="dxa"/>
          </w:tcPr>
          <w:p>
            <w:pPr>
              <w:pStyle w:val="TableParagraph"/>
              <w:spacing w:line="261" w:lineRule="exact"/>
              <w:ind w:left="110"/>
              <w:rPr>
                <w:sz w:val="21"/>
              </w:rPr>
            </w:pPr>
            <w:r>
              <w:rPr>
                <w:w w:val="100"/>
                <w:sz w:val="21"/>
              </w:rPr>
              <w:t> </w:t>
            </w:r>
          </w:p>
        </w:tc>
      </w:tr>
      <w:tr>
        <w:trPr>
          <w:trHeight w:val="305" w:hRule="atLeast"/>
        </w:trPr>
        <w:tc>
          <w:tcPr>
            <w:tcW w:w="529" w:type="dxa"/>
          </w:tcPr>
          <w:p>
            <w:pPr>
              <w:pStyle w:val="TableParagraph"/>
              <w:spacing w:line="250" w:lineRule="exact"/>
              <w:ind w:left="50"/>
              <w:rPr>
                <w:b/>
                <w:sz w:val="21"/>
              </w:rPr>
            </w:pPr>
            <w:r>
              <w:rPr>
                <w:b/>
                <w:w w:val="99"/>
                <w:sz w:val="21"/>
              </w:rPr>
              <w:t> </w:t>
            </w:r>
          </w:p>
        </w:tc>
        <w:tc>
          <w:tcPr>
            <w:tcW w:w="1962" w:type="dxa"/>
          </w:tcPr>
          <w:p>
            <w:pPr>
              <w:pStyle w:val="TableParagraph"/>
              <w:spacing w:line="250" w:lineRule="exact"/>
              <w:ind w:left="373"/>
              <w:rPr>
                <w:b/>
                <w:sz w:val="21"/>
              </w:rPr>
            </w:pPr>
            <w:r>
              <w:rPr>
                <w:b/>
                <w:sz w:val="21"/>
              </w:rPr>
              <w:t>双耳失聪</w:t>
            </w:r>
            <w:r>
              <w:rPr>
                <w:b/>
                <w:w w:val="99"/>
                <w:sz w:val="21"/>
              </w:rPr>
              <w:t> </w:t>
            </w:r>
          </w:p>
        </w:tc>
        <w:tc>
          <w:tcPr>
            <w:tcW w:w="6953" w:type="dxa"/>
          </w:tcPr>
          <w:p>
            <w:pPr>
              <w:pStyle w:val="TableParagraph"/>
              <w:spacing w:line="266" w:lineRule="exact"/>
              <w:ind w:left="110"/>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tc>
      </w:tr>
      <w:tr>
        <w:trPr>
          <w:trHeight w:val="315"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73" w:lineRule="exact"/>
              <w:ind w:left="110"/>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p>
        </w:tc>
      </w:tr>
      <w:tr>
        <w:trPr>
          <w:trHeight w:val="460"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53" w:lineRule="exact"/>
              <w:ind w:left="110"/>
              <w:rPr>
                <w:sz w:val="21"/>
              </w:rPr>
            </w:pPr>
            <w:r>
              <w:rPr>
                <w:sz w:val="21"/>
              </w:rPr>
              <w:t>声导抗检测或听觉诱发电位检测等证实。</w:t>
            </w:r>
          </w:p>
        </w:tc>
      </w:tr>
      <w:tr>
        <w:trPr>
          <w:trHeight w:val="468"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before="143"/>
              <w:ind w:left="110"/>
              <w:rPr>
                <w:rFonts w:ascii="黑体" w:eastAsia="黑体" w:hint="eastAsia"/>
                <w:sz w:val="21"/>
              </w:rPr>
            </w:pPr>
            <w:r>
              <w:rPr>
                <w:rFonts w:ascii="黑体" w:eastAsia="黑体" w:hint="eastAsia"/>
                <w:spacing w:val="-8"/>
                <w:sz w:val="21"/>
                <w:shd w:fill="D9D9D9" w:color="auto" w:val="clear"/>
              </w:rPr>
              <w:t>若被保险人在 </w:t>
            </w:r>
            <w:r>
              <w:rPr>
                <w:rFonts w:ascii="黑体" w:eastAsia="黑体" w:hint="eastAsia"/>
                <w:sz w:val="21"/>
                <w:shd w:fill="D9D9D9" w:color="auto" w:val="clear"/>
              </w:rPr>
              <w:t>0</w:t>
            </w:r>
            <w:r>
              <w:rPr>
                <w:rFonts w:ascii="黑体" w:eastAsia="黑体" w:hint="eastAsia"/>
                <w:spacing w:val="-31"/>
                <w:sz w:val="21"/>
                <w:shd w:fill="D9D9D9" w:color="auto" w:val="clear"/>
              </w:rPr>
              <w:t> 至 </w:t>
            </w:r>
            <w:r>
              <w:rPr>
                <w:rFonts w:ascii="黑体" w:eastAsia="黑体" w:hint="eastAsia"/>
                <w:sz w:val="21"/>
                <w:shd w:fill="D9D9D9" w:color="auto" w:val="clear"/>
              </w:rPr>
              <w:t>3</w:t>
            </w:r>
            <w:r>
              <w:rPr>
                <w:rFonts w:ascii="黑体" w:eastAsia="黑体" w:hint="eastAsia"/>
                <w:spacing w:val="-11"/>
                <w:sz w:val="21"/>
                <w:shd w:fill="D9D9D9" w:color="auto" w:val="clear"/>
              </w:rPr>
              <w:t> 周岁保单周年日期间双耳失聪，在本附加合同保险期</w:t>
            </w:r>
          </w:p>
        </w:tc>
      </w:tr>
      <w:tr>
        <w:trPr>
          <w:trHeight w:val="311"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rFonts w:ascii="黑体" w:eastAsia="黑体" w:hint="eastAsia"/>
                <w:sz w:val="21"/>
              </w:rPr>
            </w:pPr>
            <w:r>
              <w:rPr>
                <w:rFonts w:ascii="黑体" w:eastAsia="黑体" w:hint="eastAsia"/>
                <w:sz w:val="21"/>
                <w:shd w:fill="D9D9D9" w:color="auto" w:val="clear"/>
              </w:rPr>
              <w:t>间内我们对双耳失聪不承担保险责任。</w:t>
            </w:r>
          </w:p>
        </w:tc>
      </w:tr>
      <w:tr>
        <w:trPr>
          <w:trHeight w:val="298"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953" w:type="dxa"/>
          </w:tcPr>
          <w:p>
            <w:pPr>
              <w:pStyle w:val="TableParagraph"/>
              <w:spacing w:line="261" w:lineRule="exact"/>
              <w:ind w:left="110"/>
              <w:rPr>
                <w:sz w:val="21"/>
              </w:rPr>
            </w:pPr>
            <w:r>
              <w:rPr>
                <w:w w:val="100"/>
                <w:sz w:val="21"/>
              </w:rPr>
              <w:t> </w:t>
            </w:r>
          </w:p>
        </w:tc>
      </w:tr>
      <w:tr>
        <w:trPr>
          <w:trHeight w:val="298" w:hRule="atLeast"/>
        </w:trPr>
        <w:tc>
          <w:tcPr>
            <w:tcW w:w="529" w:type="dxa"/>
          </w:tcPr>
          <w:p>
            <w:pPr>
              <w:pStyle w:val="TableParagraph"/>
              <w:spacing w:line="248" w:lineRule="exact"/>
              <w:ind w:left="50"/>
              <w:rPr>
                <w:b/>
                <w:sz w:val="21"/>
              </w:rPr>
            </w:pPr>
            <w:r>
              <w:rPr>
                <w:b/>
                <w:w w:val="99"/>
                <w:sz w:val="21"/>
              </w:rPr>
              <w:t> </w:t>
            </w:r>
          </w:p>
        </w:tc>
        <w:tc>
          <w:tcPr>
            <w:tcW w:w="1962" w:type="dxa"/>
          </w:tcPr>
          <w:p>
            <w:pPr>
              <w:pStyle w:val="TableParagraph"/>
              <w:spacing w:line="248" w:lineRule="exact"/>
              <w:ind w:left="373"/>
              <w:rPr>
                <w:b/>
                <w:sz w:val="21"/>
              </w:rPr>
            </w:pPr>
            <w:r>
              <w:rPr>
                <w:b/>
                <w:sz w:val="21"/>
              </w:rPr>
              <w:t>慢性肝功能衰竭</w:t>
            </w:r>
          </w:p>
        </w:tc>
        <w:tc>
          <w:tcPr>
            <w:tcW w:w="6953" w:type="dxa"/>
          </w:tcPr>
          <w:p>
            <w:pPr>
              <w:pStyle w:val="TableParagraph"/>
              <w:spacing w:line="248" w:lineRule="exact"/>
              <w:ind w:left="110"/>
              <w:rPr>
                <w:sz w:val="21"/>
              </w:rPr>
            </w:pPr>
            <w:r>
              <w:rPr>
                <w:sz w:val="21"/>
              </w:rPr>
              <w:t>指因慢性肝脏疾病导致肝功能衰竭。须满足下列全部条件： </w:t>
            </w:r>
          </w:p>
        </w:tc>
      </w:tr>
      <w:tr>
        <w:trPr>
          <w:trHeight w:val="311" w:hRule="atLeast"/>
        </w:trPr>
        <w:tc>
          <w:tcPr>
            <w:tcW w:w="529" w:type="dxa"/>
          </w:tcPr>
          <w:p>
            <w:pPr>
              <w:pStyle w:val="TableParagraph"/>
              <w:rPr>
                <w:rFonts w:ascii="Times New Roman"/>
                <w:sz w:val="20"/>
              </w:rPr>
            </w:pPr>
          </w:p>
        </w:tc>
        <w:tc>
          <w:tcPr>
            <w:tcW w:w="1962" w:type="dxa"/>
          </w:tcPr>
          <w:p>
            <w:pPr>
              <w:pStyle w:val="TableParagraph"/>
              <w:spacing w:line="261" w:lineRule="exact"/>
              <w:ind w:left="373"/>
              <w:rPr>
                <w:b/>
                <w:sz w:val="21"/>
              </w:rPr>
            </w:pPr>
            <w:r>
              <w:rPr>
                <w:b/>
                <w:sz w:val="21"/>
              </w:rPr>
              <w:t>失代偿期</w:t>
            </w:r>
            <w:r>
              <w:rPr>
                <w:b/>
                <w:w w:val="99"/>
                <w:sz w:val="21"/>
              </w:rPr>
              <w:t> </w:t>
            </w:r>
          </w:p>
        </w:tc>
        <w:tc>
          <w:tcPr>
            <w:tcW w:w="6953" w:type="dxa"/>
          </w:tcPr>
          <w:p>
            <w:pPr>
              <w:pStyle w:val="TableParagraph"/>
              <w:spacing w:line="261" w:lineRule="exact"/>
              <w:ind w:left="110"/>
              <w:rPr>
                <w:sz w:val="21"/>
              </w:rPr>
            </w:pPr>
            <w:r>
              <w:rPr>
                <w:sz w:val="21"/>
              </w:rPr>
              <w:t>（1） 持续性黄疸；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（2） 腹水；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（3） 肝性脑病；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（4） 充血性脾肿大伴脾功能亢进或食管胃底静脉曲张。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w w:val="100"/>
                <w:sz w:val="21"/>
              </w:rPr>
              <w:t>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2" w:lineRule="exact"/>
              <w:ind w:left="110"/>
              <w:rPr>
                <w:rFonts w:ascii="黑体" w:eastAsia="黑体" w:hint="eastAsia"/>
                <w:sz w:val="21"/>
              </w:rPr>
            </w:pPr>
            <w:r>
              <w:rPr>
                <w:rFonts w:ascii="黑体" w:eastAsia="黑体" w:hint="eastAsia"/>
                <w:sz w:val="21"/>
                <w:shd w:fill="D9D9D9" w:color="auto" w:val="clear"/>
              </w:rPr>
              <w:t>因酗酒或药物滥用导致的肝功能衰竭不在保障范围内。</w:t>
            </w:r>
          </w:p>
        </w:tc>
      </w:tr>
      <w:tr>
        <w:trPr>
          <w:trHeight w:val="297"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953" w:type="dxa"/>
          </w:tcPr>
          <w:p>
            <w:pPr>
              <w:pStyle w:val="TableParagraph"/>
              <w:spacing w:line="261" w:lineRule="exact"/>
              <w:ind w:left="110"/>
              <w:rPr>
                <w:sz w:val="21"/>
              </w:rPr>
            </w:pPr>
            <w:r>
              <w:rPr>
                <w:w w:val="100"/>
                <w:sz w:val="21"/>
              </w:rPr>
              <w:t> </w:t>
            </w:r>
          </w:p>
        </w:tc>
      </w:tr>
      <w:tr>
        <w:trPr>
          <w:trHeight w:val="297" w:hRule="atLeast"/>
        </w:trPr>
        <w:tc>
          <w:tcPr>
            <w:tcW w:w="529" w:type="dxa"/>
          </w:tcPr>
          <w:p>
            <w:pPr>
              <w:pStyle w:val="TableParagraph"/>
              <w:spacing w:line="247" w:lineRule="exact"/>
              <w:ind w:left="50"/>
              <w:rPr>
                <w:b/>
                <w:sz w:val="21"/>
              </w:rPr>
            </w:pPr>
            <w:r>
              <w:rPr>
                <w:b/>
                <w:w w:val="99"/>
                <w:sz w:val="21"/>
              </w:rPr>
              <w:t> </w:t>
            </w:r>
          </w:p>
        </w:tc>
        <w:tc>
          <w:tcPr>
            <w:tcW w:w="1962" w:type="dxa"/>
          </w:tcPr>
          <w:p>
            <w:pPr>
              <w:pStyle w:val="TableParagraph"/>
              <w:spacing w:line="247" w:lineRule="exact"/>
              <w:ind w:left="373"/>
              <w:rPr>
                <w:b/>
                <w:sz w:val="21"/>
              </w:rPr>
            </w:pPr>
            <w:r>
              <w:rPr>
                <w:b/>
                <w:sz w:val="21"/>
              </w:rPr>
              <w:t>双目失明</w:t>
            </w:r>
            <w:r>
              <w:rPr>
                <w:b/>
                <w:w w:val="99"/>
                <w:sz w:val="21"/>
              </w:rPr>
              <w:t> </w:t>
            </w:r>
          </w:p>
        </w:tc>
        <w:tc>
          <w:tcPr>
            <w:tcW w:w="6953" w:type="dxa"/>
          </w:tcPr>
          <w:p>
            <w:pPr>
              <w:pStyle w:val="TableParagraph"/>
              <w:spacing w:line="247" w:lineRule="exact"/>
              <w:ind w:left="110"/>
              <w:rPr>
                <w:sz w:val="21"/>
              </w:rPr>
            </w:pPr>
            <w:r>
              <w:rPr>
                <w:sz w:val="21"/>
              </w:rPr>
              <w:t>指因疾病或意外伤害导致双眼视力永久不可逆性丧失，双眼中较好眼须满</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足下列至少一项条件：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（1） 眼球缺失或摘除； </w:t>
            </w:r>
          </w:p>
        </w:tc>
      </w:tr>
      <w:tr>
        <w:trPr>
          <w:trHeight w:val="261" w:hRule="atLeast"/>
        </w:trPr>
        <w:tc>
          <w:tcPr>
            <w:tcW w:w="529" w:type="dxa"/>
          </w:tcPr>
          <w:p>
            <w:pPr>
              <w:pStyle w:val="TableParagraph"/>
              <w:rPr>
                <w:rFonts w:ascii="Times New Roman"/>
                <w:sz w:val="18"/>
              </w:rPr>
            </w:pPr>
          </w:p>
        </w:tc>
        <w:tc>
          <w:tcPr>
            <w:tcW w:w="1962" w:type="dxa"/>
          </w:tcPr>
          <w:p>
            <w:pPr>
              <w:pStyle w:val="TableParagraph"/>
              <w:rPr>
                <w:rFonts w:ascii="Times New Roman"/>
                <w:sz w:val="18"/>
              </w:rPr>
            </w:pPr>
          </w:p>
        </w:tc>
        <w:tc>
          <w:tcPr>
            <w:tcW w:w="6953" w:type="dxa"/>
          </w:tcPr>
          <w:p>
            <w:pPr>
              <w:pStyle w:val="TableParagraph"/>
              <w:spacing w:line="242" w:lineRule="exact"/>
              <w:ind w:left="110"/>
              <w:rPr>
                <w:sz w:val="21"/>
              </w:rPr>
            </w:pPr>
            <w:r>
              <w:rPr>
                <w:sz w:val="21"/>
              </w:rPr>
              <w:t>（2） 矫正视力低于 0.02（采用国际标准视力表，如果使用其它视力表应</w:t>
            </w:r>
          </w:p>
        </w:tc>
      </w:tr>
      <w:tr>
        <w:trPr>
          <w:trHeight w:val="36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before="37"/>
              <w:ind w:left="742"/>
              <w:rPr>
                <w:sz w:val="21"/>
              </w:rPr>
            </w:pPr>
            <w:r>
              <w:rPr>
                <w:spacing w:val="-1"/>
                <w:w w:val="100"/>
                <w:sz w:val="21"/>
              </w:rPr>
              <w:t>进行换算</w:t>
            </w:r>
            <w:r>
              <w:rPr>
                <w:spacing w:val="-108"/>
                <w:w w:val="100"/>
                <w:sz w:val="21"/>
              </w:rPr>
              <w:t>）</w:t>
            </w:r>
            <w:r>
              <w:rPr>
                <w:spacing w:val="-3"/>
                <w:w w:val="100"/>
                <w:sz w:val="21"/>
              </w:rPr>
              <w:t>；</w:t>
            </w:r>
            <w:r>
              <w:rPr>
                <w:w w:val="100"/>
                <w:sz w:val="21"/>
              </w:rPr>
              <w:t> </w:t>
            </w:r>
          </w:p>
        </w:tc>
      </w:tr>
      <w:tr>
        <w:trPr>
          <w:trHeight w:val="311"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sz w:val="21"/>
              </w:rPr>
              <w:t>（3） 视野半径小于 5 度。 </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w w:val="100"/>
                <w:sz w:val="21"/>
              </w:rPr>
              <w:t> </w:t>
            </w:r>
          </w:p>
        </w:tc>
      </w:tr>
      <w:tr>
        <w:trPr>
          <w:trHeight w:val="311" w:hRule="atLeast"/>
        </w:trPr>
        <w:tc>
          <w:tcPr>
            <w:tcW w:w="529" w:type="dxa"/>
          </w:tcPr>
          <w:p>
            <w:pPr>
              <w:pStyle w:val="TableParagraph"/>
              <w:spacing w:line="261" w:lineRule="exact"/>
              <w:ind w:left="50"/>
              <w:rPr>
                <w:b/>
                <w:sz w:val="21"/>
              </w:rPr>
            </w:pPr>
            <w:r>
              <w:rPr>
                <w:b/>
                <w:w w:val="99"/>
                <w:sz w:val="21"/>
              </w:rPr>
              <w:t> </w:t>
            </w:r>
          </w:p>
        </w:tc>
        <w:tc>
          <w:tcPr>
            <w:tcW w:w="1962" w:type="dxa"/>
          </w:tcPr>
          <w:p>
            <w:pPr>
              <w:pStyle w:val="TableParagraph"/>
              <w:spacing w:line="261" w:lineRule="exact"/>
              <w:ind w:left="373"/>
              <w:rPr>
                <w:b/>
                <w:sz w:val="21"/>
              </w:rPr>
            </w:pPr>
            <w:r>
              <w:rPr>
                <w:b/>
                <w:w w:val="99"/>
                <w:sz w:val="21"/>
              </w:rPr>
              <w:t> </w:t>
            </w:r>
          </w:p>
        </w:tc>
        <w:tc>
          <w:tcPr>
            <w:tcW w:w="6953" w:type="dxa"/>
          </w:tcPr>
          <w:p>
            <w:pPr>
              <w:pStyle w:val="TableParagraph"/>
              <w:spacing w:line="261" w:lineRule="exact"/>
              <w:ind w:left="110"/>
              <w:rPr>
                <w:rFonts w:ascii="黑体" w:eastAsia="黑体" w:hint="eastAsia"/>
                <w:sz w:val="21"/>
              </w:rPr>
            </w:pPr>
            <w:r>
              <w:rPr>
                <w:rFonts w:ascii="黑体" w:eastAsia="黑体" w:hint="eastAsia"/>
                <w:spacing w:val="-8"/>
                <w:sz w:val="21"/>
                <w:shd w:fill="D9D9D9" w:color="auto" w:val="clear"/>
              </w:rPr>
              <w:t>若被保险人在 </w:t>
            </w:r>
            <w:r>
              <w:rPr>
                <w:rFonts w:ascii="黑体" w:eastAsia="黑体" w:hint="eastAsia"/>
                <w:sz w:val="21"/>
                <w:shd w:fill="D9D9D9" w:color="auto" w:val="clear"/>
              </w:rPr>
              <w:t>0</w:t>
            </w:r>
            <w:r>
              <w:rPr>
                <w:rFonts w:ascii="黑体" w:eastAsia="黑体" w:hint="eastAsia"/>
                <w:spacing w:val="-31"/>
                <w:sz w:val="21"/>
                <w:shd w:fill="D9D9D9" w:color="auto" w:val="clear"/>
              </w:rPr>
              <w:t> 至 </w:t>
            </w:r>
            <w:r>
              <w:rPr>
                <w:rFonts w:ascii="黑体" w:eastAsia="黑体" w:hint="eastAsia"/>
                <w:sz w:val="21"/>
                <w:shd w:fill="D9D9D9" w:color="auto" w:val="clear"/>
              </w:rPr>
              <w:t>3</w:t>
            </w:r>
            <w:r>
              <w:rPr>
                <w:rFonts w:ascii="黑体" w:eastAsia="黑体" w:hint="eastAsia"/>
                <w:spacing w:val="-11"/>
                <w:sz w:val="21"/>
                <w:shd w:fill="D9D9D9" w:color="auto" w:val="clear"/>
              </w:rPr>
              <w:t> 周岁保单周年日期间双目失明，在本附加合同保险期</w:t>
            </w:r>
          </w:p>
        </w:tc>
      </w:tr>
      <w:tr>
        <w:trPr>
          <w:trHeight w:val="312" w:hRule="atLeast"/>
        </w:trPr>
        <w:tc>
          <w:tcPr>
            <w:tcW w:w="529" w:type="dxa"/>
          </w:tcPr>
          <w:p>
            <w:pPr>
              <w:pStyle w:val="TableParagraph"/>
              <w:rPr>
                <w:rFonts w:ascii="Times New Roman"/>
                <w:sz w:val="20"/>
              </w:rPr>
            </w:pPr>
          </w:p>
        </w:tc>
        <w:tc>
          <w:tcPr>
            <w:tcW w:w="1962" w:type="dxa"/>
          </w:tcPr>
          <w:p>
            <w:pPr>
              <w:pStyle w:val="TableParagraph"/>
              <w:rPr>
                <w:rFonts w:ascii="Times New Roman"/>
                <w:sz w:val="20"/>
              </w:rPr>
            </w:pPr>
          </w:p>
        </w:tc>
        <w:tc>
          <w:tcPr>
            <w:tcW w:w="6953" w:type="dxa"/>
          </w:tcPr>
          <w:p>
            <w:pPr>
              <w:pStyle w:val="TableParagraph"/>
              <w:spacing w:line="261" w:lineRule="exact"/>
              <w:ind w:left="110"/>
              <w:rPr>
                <w:sz w:val="21"/>
              </w:rPr>
            </w:pPr>
            <w:r>
              <w:rPr>
                <w:rFonts w:ascii="黑体" w:eastAsia="黑体" w:hint="eastAsia"/>
                <w:sz w:val="21"/>
                <w:shd w:fill="D9D9D9" w:color="auto" w:val="clear"/>
              </w:rPr>
              <w:t>间内我们对双目失明不承担保险责任。</w:t>
            </w:r>
            <w:r>
              <w:rPr>
                <w:sz w:val="21"/>
              </w:rPr>
              <w:t> </w:t>
            </w:r>
          </w:p>
        </w:tc>
      </w:tr>
      <w:tr>
        <w:trPr>
          <w:trHeight w:val="297" w:hRule="atLeast"/>
        </w:trPr>
        <w:tc>
          <w:tcPr>
            <w:tcW w:w="529" w:type="dxa"/>
          </w:tcPr>
          <w:p>
            <w:pPr>
              <w:pStyle w:val="TableParagraph"/>
              <w:spacing w:line="262" w:lineRule="exact"/>
              <w:ind w:left="50"/>
              <w:rPr>
                <w:b/>
                <w:sz w:val="21"/>
              </w:rPr>
            </w:pPr>
            <w:r>
              <w:rPr>
                <w:b/>
                <w:w w:val="99"/>
                <w:sz w:val="21"/>
              </w:rPr>
              <w:t> </w:t>
            </w:r>
          </w:p>
        </w:tc>
        <w:tc>
          <w:tcPr>
            <w:tcW w:w="1962" w:type="dxa"/>
          </w:tcPr>
          <w:p>
            <w:pPr>
              <w:pStyle w:val="TableParagraph"/>
              <w:spacing w:line="262" w:lineRule="exact"/>
              <w:ind w:left="373"/>
              <w:rPr>
                <w:b/>
                <w:sz w:val="21"/>
              </w:rPr>
            </w:pPr>
            <w:r>
              <w:rPr>
                <w:b/>
                <w:w w:val="99"/>
                <w:sz w:val="21"/>
              </w:rPr>
              <w:t> </w:t>
            </w:r>
          </w:p>
        </w:tc>
        <w:tc>
          <w:tcPr>
            <w:tcW w:w="6953" w:type="dxa"/>
          </w:tcPr>
          <w:p>
            <w:pPr>
              <w:pStyle w:val="TableParagraph"/>
              <w:spacing w:line="262" w:lineRule="exact"/>
              <w:ind w:left="110"/>
              <w:rPr>
                <w:sz w:val="21"/>
              </w:rPr>
            </w:pPr>
            <w:r>
              <w:rPr>
                <w:w w:val="100"/>
                <w:sz w:val="21"/>
              </w:rPr>
              <w:t> </w:t>
            </w:r>
          </w:p>
        </w:tc>
      </w:tr>
      <w:tr>
        <w:trPr>
          <w:trHeight w:val="247" w:hRule="atLeast"/>
        </w:trPr>
        <w:tc>
          <w:tcPr>
            <w:tcW w:w="529" w:type="dxa"/>
          </w:tcPr>
          <w:p>
            <w:pPr>
              <w:pStyle w:val="TableParagraph"/>
              <w:spacing w:line="227" w:lineRule="exact"/>
              <w:ind w:left="50"/>
              <w:rPr>
                <w:b/>
                <w:sz w:val="21"/>
              </w:rPr>
            </w:pPr>
            <w:r>
              <w:rPr>
                <w:b/>
                <w:w w:val="99"/>
                <w:sz w:val="21"/>
              </w:rPr>
              <w:t> </w:t>
            </w:r>
          </w:p>
        </w:tc>
        <w:tc>
          <w:tcPr>
            <w:tcW w:w="1962" w:type="dxa"/>
          </w:tcPr>
          <w:p>
            <w:pPr>
              <w:pStyle w:val="TableParagraph"/>
              <w:spacing w:line="227" w:lineRule="exact"/>
              <w:ind w:left="373"/>
              <w:rPr>
                <w:b/>
                <w:sz w:val="21"/>
              </w:rPr>
            </w:pPr>
            <w:r>
              <w:rPr>
                <w:b/>
                <w:w w:val="99"/>
                <w:sz w:val="21"/>
              </w:rPr>
              <w:t> </w:t>
            </w:r>
          </w:p>
        </w:tc>
        <w:tc>
          <w:tcPr>
            <w:tcW w:w="6953" w:type="dxa"/>
          </w:tcPr>
          <w:p>
            <w:pPr>
              <w:pStyle w:val="TableParagraph"/>
              <w:spacing w:line="227" w:lineRule="exact"/>
              <w:ind w:left="110"/>
              <w:rPr>
                <w:sz w:val="21"/>
              </w:rPr>
            </w:pPr>
            <w:r>
              <w:rPr>
                <w:w w:val="100"/>
                <w:sz w:val="21"/>
              </w:rPr>
              <w:t> </w:t>
            </w:r>
          </w:p>
        </w:tc>
      </w:tr>
    </w:tbl>
    <w:p>
      <w:pPr>
        <w:spacing w:after="0" w:line="227" w:lineRule="exact"/>
        <w:rPr>
          <w:sz w:val="21"/>
        </w:rPr>
        <w:sectPr>
          <w:type w:val="continuous"/>
          <w:pgSz w:w="11910" w:h="16840"/>
          <w:pgMar w:top="980" w:bottom="280" w:left="92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808"/>
        <w:gridCol w:w="7030"/>
      </w:tblGrid>
      <w:tr>
        <w:trPr>
          <w:trHeight w:val="885" w:hRule="atLeast"/>
        </w:trPr>
        <w:tc>
          <w:tcPr>
            <w:tcW w:w="838" w:type="dxa"/>
          </w:tcPr>
          <w:p>
            <w:pPr>
              <w:pStyle w:val="TableParagraph"/>
              <w:spacing w:line="204" w:lineRule="exact"/>
              <w:ind w:left="200"/>
              <w:rPr>
                <w:b/>
                <w:sz w:val="21"/>
              </w:rPr>
            </w:pPr>
            <w:r>
              <w:rPr>
                <w:b/>
                <w:w w:val="99"/>
                <w:sz w:val="21"/>
              </w:rPr>
              <w:t> </w:t>
            </w:r>
          </w:p>
        </w:tc>
        <w:tc>
          <w:tcPr>
            <w:tcW w:w="1808" w:type="dxa"/>
          </w:tcPr>
          <w:p>
            <w:pPr>
              <w:pStyle w:val="TableParagraph"/>
              <w:spacing w:line="204" w:lineRule="exact"/>
              <w:ind w:left="214"/>
              <w:rPr>
                <w:b/>
                <w:sz w:val="21"/>
              </w:rPr>
            </w:pPr>
            <w:r>
              <w:rPr>
                <w:b/>
                <w:sz w:val="21"/>
              </w:rPr>
              <w:t>终末期肾病（或</w:t>
            </w:r>
          </w:p>
          <w:p>
            <w:pPr>
              <w:pStyle w:val="TableParagraph"/>
              <w:spacing w:line="273" w:lineRule="auto" w:before="37"/>
              <w:ind w:left="214" w:right="113"/>
              <w:rPr>
                <w:b/>
                <w:sz w:val="21"/>
              </w:rPr>
            </w:pPr>
            <w:r>
              <w:rPr>
                <w:b/>
                <w:sz w:val="21"/>
              </w:rPr>
              <w:t>称慢性肾功能衰竭尿毒症期）</w:t>
            </w:r>
            <w:r>
              <w:rPr>
                <w:b/>
                <w:w w:val="99"/>
                <w:sz w:val="21"/>
              </w:rPr>
              <w:t> </w:t>
            </w:r>
          </w:p>
        </w:tc>
        <w:tc>
          <w:tcPr>
            <w:tcW w:w="7030" w:type="dxa"/>
          </w:tcPr>
          <w:p>
            <w:pPr>
              <w:pStyle w:val="TableParagraph"/>
              <w:spacing w:line="204" w:lineRule="exact"/>
              <w:ind w:left="105"/>
              <w:rPr>
                <w:sz w:val="21"/>
              </w:rPr>
            </w:pPr>
            <w:r>
              <w:rPr>
                <w:sz w:val="21"/>
              </w:rPr>
              <w:t>指双肾功能慢性不可逆性衰竭，达到尿毒症期，经诊断后已经进行了至少</w:t>
            </w:r>
          </w:p>
          <w:p>
            <w:pPr>
              <w:pStyle w:val="TableParagraph"/>
              <w:spacing w:before="37"/>
              <w:ind w:left="105"/>
              <w:rPr>
                <w:sz w:val="21"/>
              </w:rPr>
            </w:pPr>
            <w:r>
              <w:rPr>
                <w:sz w:val="21"/>
              </w:rPr>
              <w:t>90 日的规律性透析治疗或实施了肾脏移植手术。 </w:t>
            </w:r>
          </w:p>
        </w:tc>
      </w:tr>
      <w:tr>
        <w:trPr>
          <w:trHeight w:val="297"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2169" w:hRule="atLeast"/>
        </w:trPr>
        <w:tc>
          <w:tcPr>
            <w:tcW w:w="838" w:type="dxa"/>
          </w:tcPr>
          <w:p>
            <w:pPr>
              <w:pStyle w:val="TableParagraph"/>
              <w:spacing w:line="240" w:lineRule="exact"/>
              <w:ind w:left="200"/>
              <w:rPr>
                <w:b/>
                <w:sz w:val="21"/>
              </w:rPr>
            </w:pPr>
            <w:r>
              <w:rPr>
                <w:b/>
                <w:w w:val="99"/>
                <w:sz w:val="21"/>
              </w:rPr>
              <w:t> </w:t>
            </w:r>
          </w:p>
        </w:tc>
        <w:tc>
          <w:tcPr>
            <w:tcW w:w="1808" w:type="dxa"/>
          </w:tcPr>
          <w:p>
            <w:pPr>
              <w:pStyle w:val="TableParagraph"/>
              <w:spacing w:line="240" w:lineRule="exact"/>
              <w:ind w:left="214"/>
              <w:rPr>
                <w:b/>
                <w:sz w:val="21"/>
              </w:rPr>
            </w:pPr>
            <w:r>
              <w:rPr>
                <w:b/>
                <w:sz w:val="21"/>
              </w:rPr>
              <w:t>语言能力丧失</w:t>
            </w:r>
            <w:r>
              <w:rPr>
                <w:b/>
                <w:w w:val="99"/>
                <w:sz w:val="21"/>
              </w:rPr>
              <w:t> </w:t>
            </w:r>
          </w:p>
        </w:tc>
        <w:tc>
          <w:tcPr>
            <w:tcW w:w="7030" w:type="dxa"/>
          </w:tcPr>
          <w:p>
            <w:pPr>
              <w:pStyle w:val="TableParagraph"/>
              <w:spacing w:line="240" w:lineRule="exact"/>
              <w:ind w:left="105"/>
              <w:rPr>
                <w:sz w:val="21"/>
              </w:rPr>
            </w:pPr>
            <w:r>
              <w:rPr>
                <w:sz w:val="21"/>
              </w:rPr>
              <w:t>指因疾病或意外伤害导致完全丧失语言能力，经过积极治疗至少 12 个月</w:t>
            </w:r>
          </w:p>
          <w:p>
            <w:pPr>
              <w:pStyle w:val="TableParagraph"/>
              <w:spacing w:before="37"/>
              <w:ind w:left="105"/>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p>
            <w:pPr>
              <w:pStyle w:val="TableParagraph"/>
              <w:spacing w:before="37"/>
              <w:ind w:left="105"/>
              <w:rPr>
                <w:sz w:val="21"/>
              </w:rPr>
            </w:pPr>
            <w:r>
              <w:rPr>
                <w:w w:val="100"/>
                <w:sz w:val="21"/>
              </w:rPr>
              <w:t> </w:t>
            </w:r>
          </w:p>
          <w:p>
            <w:pPr>
              <w:pStyle w:val="TableParagraph"/>
              <w:spacing w:before="37"/>
              <w:ind w:left="105"/>
              <w:rPr>
                <w:rFonts w:ascii="黑体" w:eastAsia="黑体" w:hint="eastAsia"/>
                <w:sz w:val="21"/>
              </w:rPr>
            </w:pPr>
            <w:r>
              <w:rPr>
                <w:rFonts w:ascii="黑体" w:eastAsia="黑体" w:hint="eastAsia"/>
                <w:sz w:val="21"/>
                <w:shd w:fill="D9D9D9" w:color="auto" w:val="clear"/>
              </w:rPr>
              <w:t>精神心理因素所致的语言能力丧失不在保障范围内。</w:t>
            </w:r>
          </w:p>
          <w:p>
            <w:pPr>
              <w:pStyle w:val="TableParagraph"/>
              <w:spacing w:before="8"/>
              <w:rPr>
                <w:sz w:val="26"/>
              </w:rPr>
            </w:pPr>
          </w:p>
          <w:p>
            <w:pPr>
              <w:pStyle w:val="TableParagraph"/>
              <w:spacing w:line="273" w:lineRule="auto"/>
              <w:ind w:left="105" w:right="234"/>
              <w:rPr>
                <w:sz w:val="21"/>
              </w:rPr>
            </w:pPr>
            <w:r>
              <w:rPr>
                <w:rFonts w:ascii="黑体" w:eastAsia="黑体" w:hint="eastAsia"/>
                <w:spacing w:val="-8"/>
                <w:sz w:val="21"/>
                <w:shd w:fill="D9D9D9" w:color="auto" w:val="clear"/>
              </w:rPr>
              <w:t>若被保险人在 </w:t>
            </w:r>
            <w:r>
              <w:rPr>
                <w:rFonts w:ascii="黑体" w:eastAsia="黑体" w:hint="eastAsia"/>
                <w:sz w:val="21"/>
                <w:shd w:fill="D9D9D9" w:color="auto" w:val="clear"/>
              </w:rPr>
              <w:t>0</w:t>
            </w:r>
            <w:r>
              <w:rPr>
                <w:rFonts w:ascii="黑体" w:eastAsia="黑体" w:hint="eastAsia"/>
                <w:spacing w:val="-31"/>
                <w:sz w:val="21"/>
                <w:shd w:fill="D9D9D9" w:color="auto" w:val="clear"/>
              </w:rPr>
              <w:t> 至 </w:t>
            </w:r>
            <w:r>
              <w:rPr>
                <w:rFonts w:ascii="黑体" w:eastAsia="黑体" w:hint="eastAsia"/>
                <w:sz w:val="21"/>
                <w:shd w:fill="D9D9D9" w:color="auto" w:val="clear"/>
              </w:rPr>
              <w:t>3</w:t>
            </w:r>
            <w:r>
              <w:rPr>
                <w:rFonts w:ascii="黑体" w:eastAsia="黑体" w:hint="eastAsia"/>
                <w:spacing w:val="-10"/>
                <w:sz w:val="21"/>
                <w:shd w:fill="D9D9D9" w:color="auto" w:val="clear"/>
              </w:rPr>
              <w:t> 周岁保单周年日期间语言能力丧失，在本附加合同保险期</w:t>
            </w:r>
            <w:r>
              <w:rPr>
                <w:rFonts w:ascii="黑体" w:eastAsia="黑体" w:hint="eastAsia"/>
                <w:spacing w:val="-17"/>
                <w:sz w:val="21"/>
                <w:shd w:fill="D9D9D9" w:color="auto" w:val="clear"/>
              </w:rPr>
              <w:t>间内我们对语言能力丧失不承担保险责任。</w:t>
            </w:r>
            <w:r>
              <w:rPr>
                <w:sz w:val="21"/>
              </w:rPr>
              <w:t> </w:t>
            </w:r>
          </w:p>
        </w:tc>
      </w:tr>
      <w:tr>
        <w:trPr>
          <w:trHeight w:val="299"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1858" w:hRule="atLeast"/>
        </w:trPr>
        <w:tc>
          <w:tcPr>
            <w:tcW w:w="838" w:type="dxa"/>
          </w:tcPr>
          <w:p>
            <w:pPr>
              <w:pStyle w:val="TableParagraph"/>
              <w:spacing w:line="242" w:lineRule="exact"/>
              <w:ind w:left="200"/>
              <w:rPr>
                <w:b/>
                <w:sz w:val="21"/>
              </w:rPr>
            </w:pPr>
            <w:r>
              <w:rPr>
                <w:b/>
                <w:w w:val="99"/>
                <w:sz w:val="21"/>
              </w:rPr>
              <w:t> </w:t>
            </w:r>
          </w:p>
        </w:tc>
        <w:tc>
          <w:tcPr>
            <w:tcW w:w="1808" w:type="dxa"/>
          </w:tcPr>
          <w:p>
            <w:pPr>
              <w:pStyle w:val="TableParagraph"/>
              <w:spacing w:line="242" w:lineRule="exact"/>
              <w:ind w:left="214"/>
              <w:rPr>
                <w:b/>
                <w:sz w:val="21"/>
              </w:rPr>
            </w:pPr>
            <w:r>
              <w:rPr>
                <w:b/>
                <w:sz w:val="21"/>
              </w:rPr>
              <w:t>急性或亚急性重</w:t>
            </w:r>
          </w:p>
          <w:p>
            <w:pPr>
              <w:pStyle w:val="TableParagraph"/>
              <w:spacing w:before="37"/>
              <w:ind w:left="214"/>
              <w:rPr>
                <w:b/>
                <w:sz w:val="21"/>
              </w:rPr>
            </w:pPr>
            <w:r>
              <w:rPr>
                <w:b/>
                <w:sz w:val="21"/>
              </w:rPr>
              <w:t>症肝炎</w:t>
            </w:r>
            <w:r>
              <w:rPr>
                <w:b/>
                <w:w w:val="99"/>
                <w:sz w:val="21"/>
              </w:rPr>
              <w:t> </w:t>
            </w:r>
          </w:p>
        </w:tc>
        <w:tc>
          <w:tcPr>
            <w:tcW w:w="7030" w:type="dxa"/>
          </w:tcPr>
          <w:p>
            <w:pPr>
              <w:pStyle w:val="TableParagraph"/>
              <w:spacing w:line="242" w:lineRule="exact"/>
              <w:ind w:left="105"/>
              <w:rPr>
                <w:sz w:val="21"/>
              </w:rPr>
            </w:pPr>
            <w:r>
              <w:rPr>
                <w:sz w:val="21"/>
              </w:rPr>
              <w:t>指因肝炎病毒感染引起肝脏组织弥漫性坏死，导致急性肝功能衰竭，且经</w:t>
            </w:r>
          </w:p>
          <w:p>
            <w:pPr>
              <w:pStyle w:val="TableParagraph"/>
              <w:spacing w:before="37"/>
              <w:ind w:left="105"/>
              <w:rPr>
                <w:sz w:val="21"/>
              </w:rPr>
            </w:pPr>
            <w:r>
              <w:rPr>
                <w:sz w:val="21"/>
              </w:rPr>
              <w:t>血清学或病毒学检查证实，并须满足下列全部条件： </w:t>
            </w:r>
          </w:p>
          <w:p>
            <w:pPr>
              <w:pStyle w:val="TableParagraph"/>
              <w:spacing w:before="37"/>
              <w:ind w:left="105"/>
              <w:rPr>
                <w:sz w:val="21"/>
              </w:rPr>
            </w:pPr>
            <w:r>
              <w:rPr>
                <w:sz w:val="21"/>
              </w:rPr>
              <w:t>（1） 重度黄疸或黄疸迅速加重； </w:t>
            </w:r>
          </w:p>
          <w:p>
            <w:pPr>
              <w:pStyle w:val="TableParagraph"/>
              <w:spacing w:before="37"/>
              <w:ind w:left="105"/>
              <w:rPr>
                <w:sz w:val="21"/>
              </w:rPr>
            </w:pPr>
            <w:r>
              <w:rPr>
                <w:sz w:val="21"/>
              </w:rPr>
              <w:t>（2） 肝性脑病；  </w:t>
            </w:r>
          </w:p>
          <w:p>
            <w:pPr>
              <w:pStyle w:val="TableParagraph"/>
              <w:spacing w:before="37"/>
              <w:ind w:left="105"/>
              <w:rPr>
                <w:sz w:val="21"/>
              </w:rPr>
            </w:pPr>
            <w:r>
              <w:rPr>
                <w:sz w:val="21"/>
              </w:rPr>
              <w:t>（3） B 超或其它影像学检查显示肝脏体积急速萎缩；  </w:t>
            </w:r>
          </w:p>
          <w:p>
            <w:pPr>
              <w:pStyle w:val="TableParagraph"/>
              <w:spacing w:before="37"/>
              <w:ind w:left="105"/>
              <w:rPr>
                <w:sz w:val="21"/>
              </w:rPr>
            </w:pPr>
            <w:r>
              <w:rPr>
                <w:sz w:val="21"/>
              </w:rPr>
              <w:t>（4） 肝功能指标进行性恶化。 </w:t>
            </w:r>
          </w:p>
        </w:tc>
      </w:tr>
      <w:tr>
        <w:trPr>
          <w:trHeight w:val="297"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297" w:hRule="atLeast"/>
        </w:trPr>
        <w:tc>
          <w:tcPr>
            <w:tcW w:w="838" w:type="dxa"/>
          </w:tcPr>
          <w:p>
            <w:pPr>
              <w:pStyle w:val="TableParagraph"/>
              <w:spacing w:line="240" w:lineRule="exact"/>
              <w:ind w:left="200"/>
              <w:rPr>
                <w:b/>
                <w:sz w:val="21"/>
              </w:rPr>
            </w:pPr>
            <w:r>
              <w:rPr>
                <w:b/>
                <w:sz w:val="21"/>
              </w:rPr>
              <w:t>7.4 </w:t>
            </w:r>
          </w:p>
        </w:tc>
        <w:tc>
          <w:tcPr>
            <w:tcW w:w="8838" w:type="dxa"/>
            <w:gridSpan w:val="2"/>
          </w:tcPr>
          <w:p>
            <w:pPr>
              <w:pStyle w:val="TableParagraph"/>
              <w:spacing w:line="240" w:lineRule="exact"/>
              <w:ind w:left="214"/>
              <w:rPr>
                <w:b/>
                <w:sz w:val="21"/>
              </w:rPr>
            </w:pPr>
            <w:bookmarkStart w:name="_bookmark24" w:id="22"/>
            <w:bookmarkEnd w:id="22"/>
            <w:r>
              <w:rPr/>
            </w:r>
            <w:r>
              <w:rPr>
                <w:b/>
                <w:sz w:val="21"/>
              </w:rPr>
              <w:t>与神经系统相关的疾病</w:t>
            </w:r>
            <w:r>
              <w:rPr>
                <w:b/>
                <w:w w:val="99"/>
                <w:sz w:val="21"/>
              </w:rPr>
              <w:t> </w:t>
            </w:r>
          </w:p>
        </w:tc>
      </w:tr>
      <w:tr>
        <w:trPr>
          <w:trHeight w:val="297"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2482" w:hRule="atLeast"/>
        </w:trPr>
        <w:tc>
          <w:tcPr>
            <w:tcW w:w="838" w:type="dxa"/>
          </w:tcPr>
          <w:p>
            <w:pPr>
              <w:pStyle w:val="TableParagraph"/>
              <w:spacing w:line="240" w:lineRule="exact"/>
              <w:ind w:left="200"/>
              <w:rPr>
                <w:b/>
                <w:sz w:val="21"/>
              </w:rPr>
            </w:pPr>
            <w:r>
              <w:rPr>
                <w:b/>
                <w:w w:val="99"/>
                <w:sz w:val="21"/>
              </w:rPr>
              <w:t> </w:t>
            </w:r>
          </w:p>
        </w:tc>
        <w:tc>
          <w:tcPr>
            <w:tcW w:w="1808" w:type="dxa"/>
          </w:tcPr>
          <w:p>
            <w:pPr>
              <w:pStyle w:val="TableParagraph"/>
              <w:spacing w:line="240" w:lineRule="exact"/>
              <w:ind w:left="214"/>
              <w:rPr>
                <w:b/>
                <w:sz w:val="21"/>
              </w:rPr>
            </w:pPr>
            <w:r>
              <w:rPr>
                <w:b/>
                <w:sz w:val="21"/>
              </w:rPr>
              <w:t>良性脑肿瘤</w:t>
            </w:r>
            <w:r>
              <w:rPr>
                <w:b/>
                <w:w w:val="99"/>
                <w:sz w:val="21"/>
              </w:rPr>
              <w:t> </w:t>
            </w:r>
          </w:p>
        </w:tc>
        <w:tc>
          <w:tcPr>
            <w:tcW w:w="7030" w:type="dxa"/>
          </w:tcPr>
          <w:p>
            <w:pPr>
              <w:pStyle w:val="TableParagraph"/>
              <w:spacing w:line="240" w:lineRule="exact"/>
              <w:ind w:left="105"/>
              <w:rPr>
                <w:sz w:val="21"/>
              </w:rPr>
            </w:pPr>
            <w:r>
              <w:rPr>
                <w:sz w:val="21"/>
              </w:rPr>
              <w:t>指脑的良性肿瘤，已经引起颅内压增高，临床表现为视神经乳头水肿、精</w:t>
            </w:r>
          </w:p>
          <w:p>
            <w:pPr>
              <w:pStyle w:val="TableParagraph"/>
              <w:spacing w:line="273" w:lineRule="auto" w:before="37"/>
              <w:ind w:left="105" w:right="198"/>
              <w:jc w:val="both"/>
              <w:rPr>
                <w:sz w:val="21"/>
              </w:rPr>
            </w:pPr>
            <w:r>
              <w:rPr>
                <w:spacing w:val="-7"/>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 </w:t>
            </w:r>
          </w:p>
          <w:p>
            <w:pPr>
              <w:pStyle w:val="TableParagraph"/>
              <w:spacing w:before="7"/>
              <w:ind w:left="105"/>
              <w:jc w:val="both"/>
              <w:rPr>
                <w:sz w:val="21"/>
              </w:rPr>
            </w:pPr>
            <w:r>
              <w:rPr>
                <w:sz w:val="21"/>
              </w:rPr>
              <w:t>（1） 实际实施了开颅进行的脑肿瘤完全切除或部分切除的手术； </w:t>
            </w:r>
          </w:p>
          <w:p>
            <w:pPr>
              <w:pStyle w:val="TableParagraph"/>
              <w:spacing w:before="37"/>
              <w:ind w:left="105"/>
              <w:jc w:val="both"/>
              <w:rPr>
                <w:sz w:val="21"/>
              </w:rPr>
            </w:pPr>
            <w:r>
              <w:rPr>
                <w:sz w:val="21"/>
              </w:rPr>
              <w:t>（2） 实际实施了对脑肿瘤进行的放射治疗。 </w:t>
            </w:r>
          </w:p>
          <w:p>
            <w:pPr>
              <w:pStyle w:val="TableParagraph"/>
              <w:spacing w:before="37"/>
              <w:ind w:left="105"/>
              <w:jc w:val="both"/>
              <w:rPr>
                <w:sz w:val="21"/>
              </w:rPr>
            </w:pPr>
            <w:r>
              <w:rPr>
                <w:w w:val="100"/>
                <w:sz w:val="21"/>
              </w:rPr>
              <w:t> </w:t>
            </w:r>
          </w:p>
          <w:p>
            <w:pPr>
              <w:pStyle w:val="TableParagraph"/>
              <w:spacing w:before="37"/>
              <w:ind w:left="105"/>
              <w:jc w:val="both"/>
              <w:rPr>
                <w:rFonts w:ascii="黑体" w:eastAsia="黑体" w:hint="eastAsia"/>
                <w:sz w:val="21"/>
              </w:rPr>
            </w:pPr>
            <w:r>
              <w:rPr>
                <w:rFonts w:ascii="黑体" w:eastAsia="黑体" w:hint="eastAsia"/>
                <w:sz w:val="21"/>
                <w:shd w:fill="D9D9D9" w:color="auto" w:val="clear"/>
              </w:rPr>
              <w:t>脑垂体瘤、脑囊肿、脑血管性疾病不在保障范围内。</w:t>
            </w:r>
          </w:p>
        </w:tc>
      </w:tr>
      <w:tr>
        <w:trPr>
          <w:trHeight w:val="298"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1859" w:hRule="atLeast"/>
        </w:trPr>
        <w:tc>
          <w:tcPr>
            <w:tcW w:w="838" w:type="dxa"/>
          </w:tcPr>
          <w:p>
            <w:pPr>
              <w:pStyle w:val="TableParagraph"/>
              <w:spacing w:line="242" w:lineRule="exact"/>
              <w:ind w:left="200"/>
              <w:rPr>
                <w:b/>
                <w:sz w:val="21"/>
              </w:rPr>
            </w:pPr>
            <w:r>
              <w:rPr>
                <w:b/>
                <w:w w:val="99"/>
                <w:sz w:val="21"/>
              </w:rPr>
              <w:t> </w:t>
            </w:r>
          </w:p>
        </w:tc>
        <w:tc>
          <w:tcPr>
            <w:tcW w:w="1808" w:type="dxa"/>
          </w:tcPr>
          <w:p>
            <w:pPr>
              <w:pStyle w:val="TableParagraph"/>
              <w:spacing w:line="242" w:lineRule="exact"/>
              <w:ind w:left="214"/>
              <w:rPr>
                <w:b/>
                <w:sz w:val="21"/>
              </w:rPr>
            </w:pPr>
            <w:r>
              <w:rPr>
                <w:b/>
                <w:sz w:val="21"/>
              </w:rPr>
              <w:t>脑炎后遗症或脑</w:t>
            </w:r>
          </w:p>
          <w:p>
            <w:pPr>
              <w:pStyle w:val="TableParagraph"/>
              <w:spacing w:before="37"/>
              <w:ind w:left="214"/>
              <w:rPr>
                <w:b/>
                <w:sz w:val="21"/>
              </w:rPr>
            </w:pPr>
            <w:r>
              <w:rPr>
                <w:b/>
                <w:sz w:val="21"/>
              </w:rPr>
              <w:t>膜炎后遗症</w:t>
            </w:r>
            <w:r>
              <w:rPr>
                <w:b/>
                <w:w w:val="99"/>
                <w:sz w:val="21"/>
              </w:rPr>
              <w:t> </w:t>
            </w:r>
          </w:p>
        </w:tc>
        <w:tc>
          <w:tcPr>
            <w:tcW w:w="7030" w:type="dxa"/>
          </w:tcPr>
          <w:p>
            <w:pPr>
              <w:pStyle w:val="TableParagraph"/>
              <w:spacing w:line="242" w:lineRule="exact"/>
              <w:ind w:left="105"/>
              <w:rPr>
                <w:sz w:val="21"/>
              </w:rPr>
            </w:pPr>
            <w:r>
              <w:rPr>
                <w:sz w:val="21"/>
              </w:rPr>
              <w:t>指因患脑炎或脑膜炎导致的神经系统永久性的功能障碍。神经系统永久性</w:t>
            </w:r>
          </w:p>
          <w:p>
            <w:pPr>
              <w:pStyle w:val="TableParagraph"/>
              <w:spacing w:before="37"/>
              <w:ind w:left="105"/>
              <w:rPr>
                <w:sz w:val="21"/>
              </w:rPr>
            </w:pPr>
            <w:r>
              <w:rPr>
                <w:sz w:val="21"/>
              </w:rPr>
              <w:t>的功能障碍，指疾病确诊180日后，仍遗留下列一种或一种以上障碍： </w:t>
            </w:r>
          </w:p>
          <w:p>
            <w:pPr>
              <w:pStyle w:val="TableParagraph"/>
              <w:spacing w:before="37"/>
              <w:ind w:left="105"/>
              <w:rPr>
                <w:sz w:val="21"/>
              </w:rPr>
            </w:pPr>
            <w:r>
              <w:rPr>
                <w:sz w:val="21"/>
              </w:rPr>
              <w:t>（1） 一肢或一肢以上肢体机能完全丧失； </w:t>
            </w:r>
          </w:p>
          <w:p>
            <w:pPr>
              <w:pStyle w:val="TableParagraph"/>
              <w:spacing w:before="36"/>
              <w:ind w:left="105"/>
              <w:rPr>
                <w:sz w:val="21"/>
              </w:rPr>
            </w:pPr>
            <w:r>
              <w:rPr>
                <w:sz w:val="21"/>
              </w:rPr>
              <w:t>（2） 语言能力或咀嚼吞咽能力完全丧失；  </w:t>
            </w:r>
          </w:p>
          <w:p>
            <w:pPr>
              <w:pStyle w:val="TableParagraph"/>
              <w:spacing w:line="273" w:lineRule="auto" w:before="36"/>
              <w:ind w:left="737" w:right="179" w:hanging="632"/>
              <w:rPr>
                <w:sz w:val="21"/>
              </w:rPr>
            </w:pPr>
            <w:r>
              <w:rPr>
                <w:sz w:val="21"/>
              </w:rPr>
              <w:t>（3） 自主生活能力完全丧失，无法独立完成六项基本日常生活活动中的三项或三项以上。 </w:t>
            </w:r>
          </w:p>
        </w:tc>
      </w:tr>
      <w:tr>
        <w:trPr>
          <w:trHeight w:val="297"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1545" w:hRule="atLeast"/>
        </w:trPr>
        <w:tc>
          <w:tcPr>
            <w:tcW w:w="838" w:type="dxa"/>
          </w:tcPr>
          <w:p>
            <w:pPr>
              <w:pStyle w:val="TableParagraph"/>
              <w:spacing w:line="240" w:lineRule="exact"/>
              <w:ind w:left="200"/>
              <w:rPr>
                <w:b/>
                <w:sz w:val="21"/>
              </w:rPr>
            </w:pPr>
            <w:r>
              <w:rPr>
                <w:b/>
                <w:w w:val="99"/>
                <w:sz w:val="21"/>
              </w:rPr>
              <w:t> </w:t>
            </w:r>
          </w:p>
        </w:tc>
        <w:tc>
          <w:tcPr>
            <w:tcW w:w="1808" w:type="dxa"/>
          </w:tcPr>
          <w:p>
            <w:pPr>
              <w:pStyle w:val="TableParagraph"/>
              <w:spacing w:line="240" w:lineRule="exact"/>
              <w:ind w:left="214"/>
              <w:rPr>
                <w:b/>
                <w:sz w:val="21"/>
              </w:rPr>
            </w:pPr>
            <w:r>
              <w:rPr>
                <w:b/>
                <w:sz w:val="21"/>
              </w:rPr>
              <w:t>深度昏迷</w:t>
            </w:r>
            <w:r>
              <w:rPr>
                <w:b/>
                <w:w w:val="99"/>
                <w:sz w:val="21"/>
              </w:rPr>
              <w:t> </w:t>
            </w:r>
          </w:p>
        </w:tc>
        <w:tc>
          <w:tcPr>
            <w:tcW w:w="7030" w:type="dxa"/>
          </w:tcPr>
          <w:p>
            <w:pPr>
              <w:pStyle w:val="TableParagraph"/>
              <w:spacing w:line="240" w:lineRule="exact"/>
              <w:ind w:left="105"/>
              <w:rPr>
                <w:sz w:val="21"/>
              </w:rPr>
            </w:pPr>
            <w:r>
              <w:rPr>
                <w:sz w:val="21"/>
              </w:rPr>
              <w:t>指因疾病或意外伤害导致意识丧失,对外界刺激和体内需求均无反应,昏</w:t>
            </w:r>
          </w:p>
          <w:p>
            <w:pPr>
              <w:pStyle w:val="TableParagraph"/>
              <w:spacing w:before="37"/>
              <w:ind w:left="105"/>
              <w:rPr>
                <w:sz w:val="21"/>
              </w:rPr>
            </w:pPr>
            <w:r>
              <w:rPr>
                <w:spacing w:val="-3"/>
                <w:sz w:val="21"/>
              </w:rPr>
              <w:t>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27"/>
                <w:sz w:val="21"/>
              </w:rPr>
              <w:t> 分</w:t>
            </w:r>
          </w:p>
          <w:p>
            <w:pPr>
              <w:pStyle w:val="TableParagraph"/>
              <w:spacing w:before="37"/>
              <w:ind w:left="105"/>
              <w:rPr>
                <w:sz w:val="21"/>
              </w:rPr>
            </w:pPr>
            <w:r>
              <w:rPr>
                <w:sz w:val="21"/>
              </w:rPr>
              <w:t>以下，且已经持续使用呼吸机及其它生命维持系统 96 小时以上。 </w:t>
            </w:r>
          </w:p>
          <w:p>
            <w:pPr>
              <w:pStyle w:val="TableParagraph"/>
              <w:spacing w:before="37"/>
              <w:ind w:left="105"/>
              <w:rPr>
                <w:sz w:val="21"/>
              </w:rPr>
            </w:pPr>
            <w:r>
              <w:rPr>
                <w:w w:val="100"/>
                <w:sz w:val="21"/>
              </w:rPr>
              <w:t> </w:t>
            </w:r>
          </w:p>
          <w:p>
            <w:pPr>
              <w:pStyle w:val="TableParagraph"/>
              <w:spacing w:before="37"/>
              <w:ind w:left="105"/>
              <w:rPr>
                <w:rFonts w:ascii="黑体" w:eastAsia="黑体" w:hint="eastAsia"/>
                <w:sz w:val="21"/>
              </w:rPr>
            </w:pPr>
            <w:r>
              <w:rPr>
                <w:rFonts w:ascii="黑体" w:eastAsia="黑体" w:hint="eastAsia"/>
                <w:sz w:val="21"/>
                <w:shd w:fill="D9D9D9" w:color="auto" w:val="clear"/>
              </w:rPr>
              <w:t>因酗酒或药物滥用导致的深度昏迷不在保障范围内。</w:t>
            </w:r>
          </w:p>
        </w:tc>
      </w:tr>
      <w:tr>
        <w:trPr>
          <w:trHeight w:val="297" w:hRule="atLeast"/>
        </w:trPr>
        <w:tc>
          <w:tcPr>
            <w:tcW w:w="838" w:type="dxa"/>
          </w:tcPr>
          <w:p>
            <w:pPr>
              <w:pStyle w:val="TableParagraph"/>
              <w:spacing w:line="255" w:lineRule="exact"/>
              <w:ind w:left="200"/>
              <w:rPr>
                <w:b/>
                <w:sz w:val="21"/>
              </w:rPr>
            </w:pPr>
            <w:r>
              <w:rPr>
                <w:b/>
                <w:w w:val="99"/>
                <w:sz w:val="21"/>
              </w:rPr>
              <w:t> </w:t>
            </w:r>
          </w:p>
        </w:tc>
        <w:tc>
          <w:tcPr>
            <w:tcW w:w="1808" w:type="dxa"/>
          </w:tcPr>
          <w:p>
            <w:pPr>
              <w:pStyle w:val="TableParagraph"/>
              <w:spacing w:line="255" w:lineRule="exact"/>
              <w:ind w:left="214"/>
              <w:rPr>
                <w:b/>
                <w:sz w:val="21"/>
              </w:rPr>
            </w:pPr>
            <w:r>
              <w:rPr>
                <w:b/>
                <w:w w:val="99"/>
                <w:sz w:val="21"/>
              </w:rPr>
              <w:t> </w:t>
            </w:r>
          </w:p>
        </w:tc>
        <w:tc>
          <w:tcPr>
            <w:tcW w:w="7030" w:type="dxa"/>
          </w:tcPr>
          <w:p>
            <w:pPr>
              <w:pStyle w:val="TableParagraph"/>
              <w:spacing w:line="255" w:lineRule="exact"/>
              <w:ind w:left="105"/>
              <w:rPr>
                <w:sz w:val="21"/>
              </w:rPr>
            </w:pPr>
            <w:r>
              <w:rPr>
                <w:w w:val="100"/>
                <w:sz w:val="21"/>
              </w:rPr>
              <w:t> </w:t>
            </w:r>
          </w:p>
        </w:tc>
      </w:tr>
      <w:tr>
        <w:trPr>
          <w:trHeight w:val="559" w:hRule="atLeast"/>
        </w:trPr>
        <w:tc>
          <w:tcPr>
            <w:tcW w:w="838" w:type="dxa"/>
          </w:tcPr>
          <w:p>
            <w:pPr>
              <w:pStyle w:val="TableParagraph"/>
              <w:spacing w:line="241" w:lineRule="exact"/>
              <w:ind w:left="200"/>
              <w:rPr>
                <w:b/>
                <w:sz w:val="21"/>
              </w:rPr>
            </w:pPr>
            <w:r>
              <w:rPr>
                <w:b/>
                <w:w w:val="99"/>
                <w:sz w:val="21"/>
              </w:rPr>
              <w:t> </w:t>
            </w:r>
          </w:p>
        </w:tc>
        <w:tc>
          <w:tcPr>
            <w:tcW w:w="1808" w:type="dxa"/>
          </w:tcPr>
          <w:p>
            <w:pPr>
              <w:pStyle w:val="TableParagraph"/>
              <w:spacing w:line="241" w:lineRule="exact"/>
              <w:ind w:left="214"/>
              <w:rPr>
                <w:b/>
                <w:sz w:val="21"/>
              </w:rPr>
            </w:pPr>
            <w:r>
              <w:rPr>
                <w:b/>
                <w:sz w:val="21"/>
              </w:rPr>
              <w:t>严重阿尔茨海默</w:t>
            </w:r>
          </w:p>
          <w:p>
            <w:pPr>
              <w:pStyle w:val="TableParagraph"/>
              <w:spacing w:line="262" w:lineRule="exact" w:before="37"/>
              <w:ind w:left="214"/>
              <w:rPr>
                <w:b/>
                <w:sz w:val="21"/>
              </w:rPr>
            </w:pPr>
            <w:r>
              <w:rPr>
                <w:b/>
                <w:sz w:val="21"/>
              </w:rPr>
              <w:t>病</w:t>
            </w:r>
            <w:r>
              <w:rPr>
                <w:b/>
                <w:w w:val="99"/>
                <w:sz w:val="21"/>
              </w:rPr>
              <w:t> </w:t>
            </w:r>
          </w:p>
        </w:tc>
        <w:tc>
          <w:tcPr>
            <w:tcW w:w="7030" w:type="dxa"/>
          </w:tcPr>
          <w:p>
            <w:pPr>
              <w:pStyle w:val="TableParagraph"/>
              <w:spacing w:line="241" w:lineRule="exact"/>
              <w:ind w:left="105"/>
              <w:rPr>
                <w:sz w:val="21"/>
              </w:rPr>
            </w:pPr>
            <w:r>
              <w:rPr>
                <w:sz w:val="21"/>
              </w:rPr>
              <w:t>指因大脑进行性、不可逆性改变导致智能严重衰退或丧失，临床表现为明</w:t>
            </w:r>
          </w:p>
          <w:p>
            <w:pPr>
              <w:pStyle w:val="TableParagraph"/>
              <w:spacing w:line="262" w:lineRule="exact" w:before="37"/>
              <w:ind w:left="105"/>
              <w:rPr>
                <w:sz w:val="21"/>
              </w:rPr>
            </w:pPr>
            <w:r>
              <w:rPr>
                <w:sz w:val="21"/>
              </w:rPr>
              <w:t>显的认知能力障碍、行为异常和社交能力减退，其日常生活必须持续受到</w:t>
            </w:r>
          </w:p>
        </w:tc>
      </w:tr>
    </w:tbl>
    <w:p>
      <w:pPr>
        <w:spacing w:after="0" w:line="262" w:lineRule="exact"/>
        <w:rPr>
          <w:sz w:val="21"/>
        </w:rPr>
        <w:sectPr>
          <w:pgSz w:w="11910" w:h="16840"/>
          <w:pgMar w:top="1480" w:bottom="280" w:left="780" w:right="12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804"/>
        <w:gridCol w:w="7037"/>
      </w:tblGrid>
      <w:tr>
        <w:trPr>
          <w:trHeight w:val="1516" w:hRule="atLeast"/>
        </w:trPr>
        <w:tc>
          <w:tcPr>
            <w:tcW w:w="838" w:type="dxa"/>
          </w:tcPr>
          <w:p>
            <w:pPr>
              <w:pStyle w:val="TableParagraph"/>
              <w:rPr>
                <w:rFonts w:ascii="Times New Roman"/>
                <w:sz w:val="20"/>
              </w:rPr>
            </w:pPr>
          </w:p>
        </w:tc>
        <w:tc>
          <w:tcPr>
            <w:tcW w:w="1804" w:type="dxa"/>
          </w:tcPr>
          <w:p>
            <w:pPr>
              <w:pStyle w:val="TableParagraph"/>
              <w:rPr>
                <w:rFonts w:ascii="Times New Roman"/>
                <w:sz w:val="20"/>
              </w:rPr>
            </w:pPr>
          </w:p>
        </w:tc>
        <w:tc>
          <w:tcPr>
            <w:tcW w:w="7037" w:type="dxa"/>
          </w:tcPr>
          <w:p>
            <w:pPr>
              <w:pStyle w:val="TableParagraph"/>
              <w:spacing w:line="234" w:lineRule="exact"/>
              <w:ind w:left="109"/>
              <w:rPr>
                <w:sz w:val="21"/>
              </w:rPr>
            </w:pPr>
            <w:r>
              <w:rPr>
                <w:spacing w:val="-3"/>
                <w:w w:val="100"/>
                <w:sz w:val="21"/>
              </w:rPr>
              <w:t>他人监护。须由头颅断层扫描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w:t>
            </w:r>
          </w:p>
          <w:p>
            <w:pPr>
              <w:pStyle w:val="TableParagraph"/>
              <w:spacing w:line="256" w:lineRule="auto" w:before="21"/>
              <w:ind w:left="109" w:right="247"/>
              <w:rPr>
                <w:sz w:val="21"/>
              </w:rPr>
            </w:pPr>
            <w:r>
              <w:rPr>
                <w:sz w:val="21"/>
              </w:rPr>
              <w:t>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7"/>
              <w:rPr>
                <w:sz w:val="25"/>
              </w:rPr>
            </w:pPr>
          </w:p>
          <w:p>
            <w:pPr>
              <w:pStyle w:val="TableParagraph"/>
              <w:ind w:left="109"/>
              <w:rPr>
                <w:rFonts w:ascii="黑体" w:eastAsia="黑体" w:hint="eastAsia"/>
                <w:sz w:val="21"/>
              </w:rPr>
            </w:pPr>
            <w:r>
              <w:rPr>
                <w:rFonts w:ascii="黑体" w:eastAsia="黑体" w:hint="eastAsia"/>
                <w:sz w:val="21"/>
                <w:shd w:fill="D9D9D9" w:color="auto" w:val="clear"/>
              </w:rPr>
              <w:t>神经官能症和精神疾病不在保障范围内。</w:t>
            </w:r>
          </w:p>
        </w:tc>
      </w:tr>
      <w:tr>
        <w:trPr>
          <w:trHeight w:val="297"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rPr>
                <w:rFonts w:ascii="Times New Roman"/>
                <w:sz w:val="20"/>
              </w:rPr>
            </w:pPr>
          </w:p>
        </w:tc>
      </w:tr>
      <w:tr>
        <w:trPr>
          <w:trHeight w:val="921" w:hRule="atLeast"/>
        </w:trPr>
        <w:tc>
          <w:tcPr>
            <w:tcW w:w="838" w:type="dxa"/>
          </w:tcPr>
          <w:p>
            <w:pPr>
              <w:pStyle w:val="TableParagraph"/>
              <w:spacing w:line="247" w:lineRule="exact"/>
              <w:ind w:left="200"/>
              <w:rPr>
                <w:b/>
                <w:sz w:val="21"/>
              </w:rPr>
            </w:pPr>
            <w:r>
              <w:rPr>
                <w:b/>
                <w:w w:val="99"/>
                <w:sz w:val="21"/>
              </w:rPr>
              <w:t> </w:t>
            </w:r>
          </w:p>
        </w:tc>
        <w:tc>
          <w:tcPr>
            <w:tcW w:w="1804" w:type="dxa"/>
          </w:tcPr>
          <w:p>
            <w:pPr>
              <w:pStyle w:val="TableParagraph"/>
              <w:spacing w:line="247" w:lineRule="exact"/>
              <w:ind w:left="214"/>
              <w:rPr>
                <w:b/>
                <w:sz w:val="21"/>
              </w:rPr>
            </w:pPr>
            <w:r>
              <w:rPr>
                <w:b/>
                <w:sz w:val="21"/>
              </w:rPr>
              <w:t>瘫痪</w:t>
            </w:r>
            <w:r>
              <w:rPr>
                <w:b/>
                <w:w w:val="99"/>
                <w:sz w:val="21"/>
              </w:rPr>
              <w:t> </w:t>
            </w:r>
          </w:p>
        </w:tc>
        <w:tc>
          <w:tcPr>
            <w:tcW w:w="7037" w:type="dxa"/>
          </w:tcPr>
          <w:p>
            <w:pPr>
              <w:pStyle w:val="TableParagraph"/>
              <w:spacing w:line="247" w:lineRule="exact"/>
              <w:ind w:left="109"/>
              <w:rPr>
                <w:sz w:val="21"/>
              </w:rPr>
            </w:pPr>
            <w:r>
              <w:rPr>
                <w:sz w:val="21"/>
              </w:rPr>
              <w:t>指因疾病或意外伤害导致两肢或两肢以上肢体机能永久完全丧失。肢体机</w:t>
            </w:r>
          </w:p>
          <w:p>
            <w:pPr>
              <w:pStyle w:val="TableParagraph"/>
              <w:spacing w:line="256" w:lineRule="auto" w:before="37"/>
              <w:ind w:left="109" w:right="237"/>
              <w:rPr>
                <w:sz w:val="21"/>
              </w:rPr>
            </w:pPr>
            <w:r>
              <w:rPr>
                <w:spacing w:val="-9"/>
                <w:sz w:val="21"/>
              </w:rPr>
              <w:t>能永久完全丧失，指疾病确诊 </w:t>
            </w:r>
            <w:r>
              <w:rPr>
                <w:rFonts w:ascii="Times New Roman" w:eastAsia="Times New Roman"/>
                <w:sz w:val="21"/>
              </w:rPr>
              <w:t>180 </w:t>
            </w:r>
            <w:r>
              <w:rPr>
                <w:spacing w:val="-8"/>
                <w:sz w:val="21"/>
              </w:rPr>
              <w:t>日后或意外伤害发生 </w:t>
            </w:r>
            <w:r>
              <w:rPr>
                <w:rFonts w:ascii="Times New Roman" w:eastAsia="Times New Roman"/>
                <w:sz w:val="21"/>
              </w:rPr>
              <w:t>180 </w:t>
            </w:r>
            <w:r>
              <w:rPr>
                <w:spacing w:val="-6"/>
                <w:sz w:val="21"/>
              </w:rPr>
              <w:t>日后，每肢三</w:t>
            </w:r>
            <w:r>
              <w:rPr>
                <w:spacing w:val="-4"/>
                <w:sz w:val="21"/>
              </w:rPr>
              <w:t>大关节中的两大关节仍然完全僵硬，或不能随意识活动。</w:t>
            </w:r>
          </w:p>
        </w:tc>
      </w:tr>
      <w:tr>
        <w:trPr>
          <w:trHeight w:val="298"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2171" w:hRule="atLeast"/>
        </w:trPr>
        <w:tc>
          <w:tcPr>
            <w:tcW w:w="838" w:type="dxa"/>
          </w:tcPr>
          <w:p>
            <w:pPr>
              <w:pStyle w:val="TableParagraph"/>
              <w:spacing w:line="248" w:lineRule="exact"/>
              <w:ind w:left="200"/>
              <w:rPr>
                <w:b/>
                <w:sz w:val="21"/>
              </w:rPr>
            </w:pPr>
            <w:r>
              <w:rPr>
                <w:b/>
                <w:w w:val="99"/>
                <w:sz w:val="21"/>
              </w:rPr>
              <w:t> </w:t>
            </w:r>
          </w:p>
        </w:tc>
        <w:tc>
          <w:tcPr>
            <w:tcW w:w="1804" w:type="dxa"/>
          </w:tcPr>
          <w:p>
            <w:pPr>
              <w:pStyle w:val="TableParagraph"/>
              <w:spacing w:line="248" w:lineRule="exact"/>
              <w:ind w:left="214"/>
              <w:rPr>
                <w:b/>
                <w:sz w:val="21"/>
              </w:rPr>
            </w:pPr>
            <w:r>
              <w:rPr>
                <w:b/>
                <w:sz w:val="21"/>
              </w:rPr>
              <w:t>严重帕金森病</w:t>
            </w:r>
            <w:r>
              <w:rPr>
                <w:b/>
                <w:w w:val="99"/>
                <w:sz w:val="21"/>
              </w:rPr>
              <w:t> </w:t>
            </w:r>
          </w:p>
        </w:tc>
        <w:tc>
          <w:tcPr>
            <w:tcW w:w="7037" w:type="dxa"/>
          </w:tcPr>
          <w:p>
            <w:pPr>
              <w:pStyle w:val="TableParagraph"/>
              <w:spacing w:line="248" w:lineRule="exact"/>
              <w:ind w:left="109"/>
              <w:rPr>
                <w:sz w:val="21"/>
              </w:rPr>
            </w:pPr>
            <w:r>
              <w:rPr>
                <w:sz w:val="21"/>
              </w:rPr>
              <w:t>是一种中枢神经系统的退行性疾病，临床表现为震颤麻痹、共济失调等。</w:t>
            </w:r>
          </w:p>
          <w:p>
            <w:pPr>
              <w:pStyle w:val="TableParagraph"/>
              <w:spacing w:before="37"/>
              <w:ind w:left="109"/>
              <w:rPr>
                <w:sz w:val="21"/>
              </w:rPr>
            </w:pPr>
            <w:r>
              <w:rPr>
                <w:sz w:val="21"/>
              </w:rPr>
              <w:t>须满足下列全部条件： </w:t>
            </w:r>
          </w:p>
          <w:p>
            <w:pPr>
              <w:pStyle w:val="TableParagraph"/>
              <w:spacing w:before="36"/>
              <w:ind w:left="109"/>
              <w:rPr>
                <w:sz w:val="21"/>
              </w:rPr>
            </w:pPr>
            <w:r>
              <w:rPr>
                <w:sz w:val="21"/>
              </w:rPr>
              <w:t>（1） 药物治疗无法控制病情；  </w:t>
            </w:r>
          </w:p>
          <w:p>
            <w:pPr>
              <w:pStyle w:val="TableParagraph"/>
              <w:spacing w:line="273" w:lineRule="auto" w:before="36"/>
              <w:ind w:left="741" w:right="182" w:hanging="632"/>
              <w:rPr>
                <w:sz w:val="21"/>
              </w:rPr>
            </w:pPr>
            <w:r>
              <w:rPr>
                <w:sz w:val="21"/>
              </w:rPr>
              <w:t>（2） 自主生活能力完全丧失，无法独立完成六项基本日常生活活动中的三项或三项以上。 </w:t>
            </w:r>
          </w:p>
          <w:p>
            <w:pPr>
              <w:pStyle w:val="TableParagraph"/>
              <w:spacing w:before="7"/>
              <w:ind w:left="109"/>
              <w:rPr>
                <w:sz w:val="21"/>
              </w:rPr>
            </w:pPr>
            <w:r>
              <w:rPr>
                <w:w w:val="100"/>
                <w:sz w:val="21"/>
              </w:rPr>
              <w:t> </w:t>
            </w:r>
          </w:p>
          <w:p>
            <w:pPr>
              <w:pStyle w:val="TableParagraph"/>
              <w:spacing w:before="37"/>
              <w:ind w:left="109"/>
              <w:rPr>
                <w:rFonts w:ascii="黑体" w:eastAsia="黑体" w:hint="eastAsia"/>
                <w:sz w:val="21"/>
              </w:rPr>
            </w:pPr>
            <w:r>
              <w:rPr>
                <w:rFonts w:ascii="黑体" w:eastAsia="黑体" w:hint="eastAsia"/>
                <w:sz w:val="21"/>
                <w:shd w:fill="D9D9D9" w:color="auto" w:val="clear"/>
              </w:rPr>
              <w:t>继发性帕金森综合征不在保障范围内。</w:t>
            </w:r>
          </w:p>
        </w:tc>
      </w:tr>
      <w:tr>
        <w:trPr>
          <w:trHeight w:val="297"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2482" w:hRule="atLeast"/>
        </w:trPr>
        <w:tc>
          <w:tcPr>
            <w:tcW w:w="838" w:type="dxa"/>
          </w:tcPr>
          <w:p>
            <w:pPr>
              <w:pStyle w:val="TableParagraph"/>
              <w:spacing w:line="247" w:lineRule="exact"/>
              <w:ind w:left="200"/>
              <w:rPr>
                <w:b/>
                <w:sz w:val="21"/>
              </w:rPr>
            </w:pPr>
            <w:r>
              <w:rPr>
                <w:b/>
                <w:w w:val="99"/>
                <w:sz w:val="21"/>
              </w:rPr>
              <w:t> </w:t>
            </w:r>
          </w:p>
        </w:tc>
        <w:tc>
          <w:tcPr>
            <w:tcW w:w="1804" w:type="dxa"/>
          </w:tcPr>
          <w:p>
            <w:pPr>
              <w:pStyle w:val="TableParagraph"/>
              <w:spacing w:line="247" w:lineRule="exact"/>
              <w:ind w:left="214"/>
              <w:rPr>
                <w:b/>
                <w:sz w:val="21"/>
              </w:rPr>
            </w:pPr>
            <w:r>
              <w:rPr>
                <w:b/>
                <w:sz w:val="21"/>
              </w:rPr>
              <w:t>严重脑损伤</w:t>
            </w:r>
            <w:r>
              <w:rPr>
                <w:b/>
                <w:w w:val="99"/>
                <w:sz w:val="21"/>
              </w:rPr>
              <w:t> </w:t>
            </w:r>
          </w:p>
        </w:tc>
        <w:tc>
          <w:tcPr>
            <w:tcW w:w="7037" w:type="dxa"/>
          </w:tcPr>
          <w:p>
            <w:pPr>
              <w:pStyle w:val="TableParagraph"/>
              <w:spacing w:line="247" w:lineRule="exact"/>
              <w:ind w:left="109"/>
              <w:rPr>
                <w:sz w:val="21"/>
              </w:rPr>
            </w:pPr>
            <w:r>
              <w:rPr>
                <w:sz w:val="21"/>
              </w:rPr>
              <w:t>指因头部遭受机械性外力，引起脑重要部位损伤，导致神经系统永久性的</w:t>
            </w:r>
          </w:p>
          <w:p>
            <w:pPr>
              <w:pStyle w:val="TableParagraph"/>
              <w:spacing w:line="273" w:lineRule="auto" w:before="37"/>
              <w:ind w:left="109" w:right="240"/>
              <w:jc w:val="both"/>
              <w:rPr>
                <w:sz w:val="21"/>
              </w:rPr>
            </w:pPr>
            <w:r>
              <w:rPr>
                <w:spacing w:val="-5"/>
                <w:w w:val="100"/>
                <w:sz w:val="21"/>
              </w:rPr>
              <w:t>功能障碍。须由头颅断层扫描</w:t>
            </w:r>
            <w:r>
              <w:rPr>
                <w:w w:val="100"/>
                <w:sz w:val="21"/>
              </w:rPr>
              <w:t>（CT</w:t>
            </w:r>
            <w:r>
              <w:rPr>
                <w:spacing w:val="-108"/>
                <w:w w:val="100"/>
                <w:sz w:val="21"/>
              </w:rPr>
              <w:t>）</w:t>
            </w:r>
            <w:r>
              <w:rPr>
                <w:spacing w:val="-5"/>
                <w:w w:val="100"/>
                <w:sz w:val="21"/>
              </w:rPr>
              <w:t>、核磁共振检查</w:t>
            </w:r>
            <w:r>
              <w:rPr>
                <w:spacing w:val="-1"/>
                <w:w w:val="100"/>
                <w:sz w:val="21"/>
              </w:rPr>
              <w:t>（</w:t>
            </w:r>
            <w:r>
              <w:rPr>
                <w:w w:val="100"/>
                <w:sz w:val="21"/>
              </w:rPr>
              <w:t>MR</w:t>
            </w:r>
            <w:r>
              <w:rPr>
                <w:spacing w:val="-3"/>
                <w:w w:val="100"/>
                <w:sz w:val="21"/>
              </w:rPr>
              <w:t>I</w:t>
            </w:r>
            <w:r>
              <w:rPr>
                <w:spacing w:val="-10"/>
                <w:w w:val="100"/>
                <w:sz w:val="21"/>
              </w:rPr>
              <w:t>）</w:t>
            </w:r>
            <w:r>
              <w:rPr>
                <w:spacing w:val="-3"/>
                <w:w w:val="100"/>
                <w:sz w:val="21"/>
              </w:rPr>
              <w:t>或正电子发射</w:t>
            </w:r>
            <w:r>
              <w:rPr>
                <w:spacing w:val="-3"/>
                <w:sz w:val="21"/>
              </w:rPr>
              <w:t>断层扫描</w:t>
            </w:r>
            <w:r>
              <w:rPr>
                <w:sz w:val="21"/>
              </w:rPr>
              <w:t>（PET）</w:t>
            </w:r>
            <w:r>
              <w:rPr>
                <w:spacing w:val="-3"/>
                <w:sz w:val="21"/>
              </w:rPr>
              <w:t>等影像学检查证实。神经系统永久性的功能障碍，指脑</w:t>
            </w:r>
            <w:r>
              <w:rPr>
                <w:spacing w:val="-16"/>
                <w:sz w:val="21"/>
              </w:rPr>
              <w:t>损伤 </w:t>
            </w:r>
            <w:r>
              <w:rPr>
                <w:sz w:val="21"/>
              </w:rPr>
              <w:t>180</w:t>
            </w:r>
            <w:r>
              <w:rPr>
                <w:spacing w:val="-8"/>
                <w:sz w:val="21"/>
              </w:rPr>
              <w:t> 日后，仍遗留下列一种或一种以上障碍：</w:t>
            </w:r>
            <w:r>
              <w:rPr>
                <w:sz w:val="21"/>
              </w:rPr>
              <w:t> </w:t>
            </w:r>
          </w:p>
          <w:p>
            <w:pPr>
              <w:pStyle w:val="TableParagraph"/>
              <w:spacing w:before="8"/>
              <w:ind w:left="109"/>
              <w:rPr>
                <w:sz w:val="21"/>
              </w:rPr>
            </w:pPr>
            <w:r>
              <w:rPr>
                <w:sz w:val="21"/>
              </w:rPr>
              <w:t>（1） 一肢或一肢以上肢体机能完全丧失；  </w:t>
            </w:r>
          </w:p>
          <w:p>
            <w:pPr>
              <w:pStyle w:val="TableParagraph"/>
              <w:spacing w:before="37"/>
              <w:ind w:left="109"/>
              <w:rPr>
                <w:sz w:val="21"/>
              </w:rPr>
            </w:pPr>
            <w:r>
              <w:rPr>
                <w:sz w:val="21"/>
              </w:rPr>
              <w:t>（2） 语言能力或咀嚼吞咽能力完全丧失； </w:t>
            </w:r>
          </w:p>
          <w:p>
            <w:pPr>
              <w:pStyle w:val="TableParagraph"/>
              <w:spacing w:line="273" w:lineRule="auto" w:before="37"/>
              <w:ind w:left="741" w:right="182" w:hanging="632"/>
              <w:rPr>
                <w:sz w:val="21"/>
              </w:rPr>
            </w:pPr>
            <w:r>
              <w:rPr>
                <w:sz w:val="21"/>
              </w:rPr>
              <w:t>（3） 自主生活能力完全丧失，无法独立完成六项基本日常生活活动中的三项或三项以上。 </w:t>
            </w:r>
          </w:p>
        </w:tc>
      </w:tr>
      <w:tr>
        <w:trPr>
          <w:trHeight w:val="297"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1233" w:hRule="atLeast"/>
        </w:trPr>
        <w:tc>
          <w:tcPr>
            <w:tcW w:w="838" w:type="dxa"/>
          </w:tcPr>
          <w:p>
            <w:pPr>
              <w:pStyle w:val="TableParagraph"/>
              <w:spacing w:line="247" w:lineRule="exact"/>
              <w:ind w:left="200"/>
              <w:rPr>
                <w:b/>
                <w:sz w:val="21"/>
              </w:rPr>
            </w:pPr>
            <w:r>
              <w:rPr>
                <w:b/>
                <w:w w:val="99"/>
                <w:sz w:val="21"/>
              </w:rPr>
              <w:t> </w:t>
            </w:r>
          </w:p>
        </w:tc>
        <w:tc>
          <w:tcPr>
            <w:tcW w:w="1804" w:type="dxa"/>
          </w:tcPr>
          <w:p>
            <w:pPr>
              <w:pStyle w:val="TableParagraph"/>
              <w:spacing w:line="247" w:lineRule="exact"/>
              <w:ind w:left="214"/>
              <w:rPr>
                <w:b/>
                <w:sz w:val="21"/>
              </w:rPr>
            </w:pPr>
            <w:r>
              <w:rPr>
                <w:b/>
                <w:sz w:val="21"/>
              </w:rPr>
              <w:t>严重运动神经元</w:t>
            </w:r>
          </w:p>
          <w:p>
            <w:pPr>
              <w:pStyle w:val="TableParagraph"/>
              <w:spacing w:before="37"/>
              <w:ind w:left="214"/>
              <w:rPr>
                <w:b/>
                <w:sz w:val="21"/>
              </w:rPr>
            </w:pPr>
            <w:r>
              <w:rPr>
                <w:b/>
                <w:sz w:val="21"/>
              </w:rPr>
              <w:t>病</w:t>
            </w:r>
            <w:r>
              <w:rPr>
                <w:b/>
                <w:w w:val="99"/>
                <w:sz w:val="21"/>
              </w:rPr>
              <w:t> </w:t>
            </w:r>
          </w:p>
        </w:tc>
        <w:tc>
          <w:tcPr>
            <w:tcW w:w="7037" w:type="dxa"/>
          </w:tcPr>
          <w:p>
            <w:pPr>
              <w:pStyle w:val="TableParagraph"/>
              <w:spacing w:line="247" w:lineRule="exact"/>
              <w:ind w:left="109"/>
              <w:rPr>
                <w:sz w:val="21"/>
              </w:rPr>
            </w:pPr>
            <w:r>
              <w:rPr>
                <w:sz w:val="21"/>
              </w:rPr>
              <w:t>是一组中枢神经系统运动神经元的进行性变性疾病，包括进行性脊肌萎缩</w:t>
            </w:r>
          </w:p>
          <w:p>
            <w:pPr>
              <w:pStyle w:val="TableParagraph"/>
              <w:spacing w:line="273" w:lineRule="auto" w:before="37"/>
              <w:ind w:left="109" w:right="237"/>
              <w:jc w:val="both"/>
              <w:rPr>
                <w:sz w:val="21"/>
              </w:rPr>
            </w:pPr>
            <w:r>
              <w:rPr>
                <w:spacing w:val="-7"/>
                <w:sz w:val="21"/>
              </w:rPr>
              <w:t>症、进行性延髓麻痹症、原发性侧索硬化症、肌萎缩性侧索硬化症。须满</w:t>
            </w:r>
            <w:r>
              <w:rPr>
                <w:spacing w:val="-8"/>
                <w:sz w:val="21"/>
              </w:rPr>
              <w:t>足自主生活能力完全丧失，无法独立完成六项基本日常生活活动中的三项</w:t>
            </w:r>
            <w:r>
              <w:rPr>
                <w:spacing w:val="-5"/>
                <w:sz w:val="21"/>
              </w:rPr>
              <w:t>或三项以上的条件。</w:t>
            </w:r>
            <w:r>
              <w:rPr>
                <w:sz w:val="21"/>
              </w:rPr>
              <w:t> </w:t>
            </w:r>
          </w:p>
        </w:tc>
      </w:tr>
      <w:tr>
        <w:trPr>
          <w:trHeight w:val="299"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299" w:hRule="atLeast"/>
        </w:trPr>
        <w:tc>
          <w:tcPr>
            <w:tcW w:w="838" w:type="dxa"/>
          </w:tcPr>
          <w:p>
            <w:pPr>
              <w:pStyle w:val="TableParagraph"/>
              <w:spacing w:line="249" w:lineRule="exact"/>
              <w:ind w:left="200"/>
              <w:rPr>
                <w:b/>
                <w:sz w:val="21"/>
              </w:rPr>
            </w:pPr>
            <w:r>
              <w:rPr>
                <w:b/>
                <w:sz w:val="21"/>
              </w:rPr>
              <w:t>7.5 </w:t>
            </w:r>
          </w:p>
        </w:tc>
        <w:tc>
          <w:tcPr>
            <w:tcW w:w="1804" w:type="dxa"/>
          </w:tcPr>
          <w:p>
            <w:pPr>
              <w:pStyle w:val="TableParagraph"/>
              <w:spacing w:line="249" w:lineRule="exact"/>
              <w:ind w:left="214"/>
              <w:rPr>
                <w:b/>
                <w:sz w:val="21"/>
              </w:rPr>
            </w:pPr>
            <w:bookmarkStart w:name="_bookmark25" w:id="23"/>
            <w:bookmarkEnd w:id="23"/>
            <w:r>
              <w:rPr/>
            </w:r>
            <w:r>
              <w:rPr>
                <w:b/>
                <w:sz w:val="21"/>
              </w:rPr>
              <w:t>其他重大疾病</w:t>
            </w:r>
            <w:r>
              <w:rPr>
                <w:b/>
                <w:w w:val="99"/>
                <w:sz w:val="21"/>
              </w:rPr>
              <w:t> </w:t>
            </w:r>
          </w:p>
        </w:tc>
        <w:tc>
          <w:tcPr>
            <w:tcW w:w="7037" w:type="dxa"/>
          </w:tcPr>
          <w:p>
            <w:pPr>
              <w:pStyle w:val="TableParagraph"/>
              <w:rPr>
                <w:rFonts w:ascii="Times New Roman"/>
                <w:sz w:val="20"/>
              </w:rPr>
            </w:pPr>
          </w:p>
        </w:tc>
      </w:tr>
      <w:tr>
        <w:trPr>
          <w:trHeight w:val="297"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609" w:hRule="atLeast"/>
        </w:trPr>
        <w:tc>
          <w:tcPr>
            <w:tcW w:w="838" w:type="dxa"/>
          </w:tcPr>
          <w:p>
            <w:pPr>
              <w:pStyle w:val="TableParagraph"/>
              <w:spacing w:line="247" w:lineRule="exact"/>
              <w:ind w:left="200"/>
              <w:rPr>
                <w:b/>
                <w:sz w:val="21"/>
              </w:rPr>
            </w:pPr>
            <w:r>
              <w:rPr>
                <w:b/>
                <w:w w:val="99"/>
                <w:sz w:val="21"/>
              </w:rPr>
              <w:t> </w:t>
            </w:r>
          </w:p>
        </w:tc>
        <w:tc>
          <w:tcPr>
            <w:tcW w:w="1804" w:type="dxa"/>
          </w:tcPr>
          <w:p>
            <w:pPr>
              <w:pStyle w:val="TableParagraph"/>
              <w:spacing w:line="247" w:lineRule="exact"/>
              <w:ind w:left="214"/>
              <w:rPr>
                <w:b/>
                <w:sz w:val="21"/>
              </w:rPr>
            </w:pPr>
            <w:r>
              <w:rPr>
                <w:b/>
                <w:sz w:val="21"/>
              </w:rPr>
              <w:t>多个肢体缺失</w:t>
            </w:r>
            <w:r>
              <w:rPr>
                <w:b/>
                <w:w w:val="99"/>
                <w:sz w:val="21"/>
              </w:rPr>
              <w:t> </w:t>
            </w:r>
          </w:p>
        </w:tc>
        <w:tc>
          <w:tcPr>
            <w:tcW w:w="7037" w:type="dxa"/>
          </w:tcPr>
          <w:p>
            <w:pPr>
              <w:pStyle w:val="TableParagraph"/>
              <w:spacing w:line="247" w:lineRule="exact"/>
              <w:ind w:left="109"/>
              <w:rPr>
                <w:sz w:val="21"/>
              </w:rPr>
            </w:pPr>
            <w:r>
              <w:rPr>
                <w:sz w:val="21"/>
              </w:rPr>
              <w:t>指因疾病或意外伤害导致两个或两个以上肢体自腕关节或踝关节近端（靠</w:t>
            </w:r>
          </w:p>
          <w:p>
            <w:pPr>
              <w:pStyle w:val="TableParagraph"/>
              <w:spacing w:before="37"/>
              <w:ind w:left="109"/>
              <w:rPr>
                <w:sz w:val="21"/>
              </w:rPr>
            </w:pPr>
            <w:r>
              <w:rPr>
                <w:sz w:val="21"/>
              </w:rPr>
              <w:t>近躯干端）以上完全性断离。 </w:t>
            </w:r>
          </w:p>
        </w:tc>
      </w:tr>
      <w:tr>
        <w:trPr>
          <w:trHeight w:val="297"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609" w:hRule="atLeast"/>
        </w:trPr>
        <w:tc>
          <w:tcPr>
            <w:tcW w:w="838" w:type="dxa"/>
          </w:tcPr>
          <w:p>
            <w:pPr>
              <w:pStyle w:val="TableParagraph"/>
              <w:spacing w:line="247" w:lineRule="exact"/>
              <w:ind w:left="200"/>
              <w:rPr>
                <w:b/>
                <w:sz w:val="21"/>
              </w:rPr>
            </w:pPr>
            <w:r>
              <w:rPr>
                <w:b/>
                <w:w w:val="99"/>
                <w:sz w:val="21"/>
              </w:rPr>
              <w:t> </w:t>
            </w:r>
          </w:p>
        </w:tc>
        <w:tc>
          <w:tcPr>
            <w:tcW w:w="1804" w:type="dxa"/>
          </w:tcPr>
          <w:p>
            <w:pPr>
              <w:pStyle w:val="TableParagraph"/>
              <w:spacing w:line="247" w:lineRule="exact"/>
              <w:ind w:left="214"/>
              <w:rPr>
                <w:b/>
                <w:sz w:val="21"/>
              </w:rPr>
            </w:pPr>
            <w:r>
              <w:rPr>
                <w:b/>
                <w:sz w:val="21"/>
              </w:rPr>
              <w:t>严重Ⅲ度烧伤</w:t>
            </w:r>
            <w:r>
              <w:rPr>
                <w:b/>
                <w:w w:val="99"/>
                <w:sz w:val="21"/>
              </w:rPr>
              <w:t> </w:t>
            </w:r>
          </w:p>
        </w:tc>
        <w:tc>
          <w:tcPr>
            <w:tcW w:w="7037" w:type="dxa"/>
          </w:tcPr>
          <w:p>
            <w:pPr>
              <w:pStyle w:val="TableParagraph"/>
              <w:spacing w:line="247" w:lineRule="exact"/>
              <w:ind w:left="109"/>
              <w:rPr>
                <w:sz w:val="21"/>
              </w:rPr>
            </w:pPr>
            <w:r>
              <w:rPr>
                <w:sz w:val="21"/>
              </w:rPr>
              <w:t>指烧伤程度为Ⅲ度，且Ⅲ度烧伤的面积达到全身体表面积的 20％或 20％</w:t>
            </w:r>
          </w:p>
          <w:p>
            <w:pPr>
              <w:pStyle w:val="TableParagraph"/>
              <w:spacing w:before="37"/>
              <w:ind w:left="109"/>
              <w:rPr>
                <w:sz w:val="21"/>
              </w:rPr>
            </w:pPr>
            <w:r>
              <w:rPr>
                <w:sz w:val="21"/>
              </w:rPr>
              <w:t>以上。体表面积根据《中国新九分法》计算。 </w:t>
            </w:r>
          </w:p>
        </w:tc>
      </w:tr>
      <w:tr>
        <w:trPr>
          <w:trHeight w:val="355" w:hRule="atLeast"/>
        </w:trPr>
        <w:tc>
          <w:tcPr>
            <w:tcW w:w="838" w:type="dxa"/>
          </w:tcPr>
          <w:p>
            <w:pPr>
              <w:pStyle w:val="TableParagraph"/>
              <w:spacing w:line="261" w:lineRule="exact"/>
              <w:ind w:left="200"/>
              <w:rPr>
                <w:b/>
                <w:sz w:val="21"/>
              </w:rPr>
            </w:pPr>
            <w:r>
              <w:rPr>
                <w:b/>
                <w:w w:val="99"/>
                <w:sz w:val="21"/>
              </w:rPr>
              <w:t> </w:t>
            </w:r>
          </w:p>
        </w:tc>
        <w:tc>
          <w:tcPr>
            <w:tcW w:w="1804" w:type="dxa"/>
          </w:tcPr>
          <w:p>
            <w:pPr>
              <w:pStyle w:val="TableParagraph"/>
              <w:spacing w:line="261" w:lineRule="exact"/>
              <w:ind w:left="214"/>
              <w:rPr>
                <w:b/>
                <w:sz w:val="21"/>
              </w:rPr>
            </w:pPr>
            <w:r>
              <w:rPr>
                <w:b/>
                <w:w w:val="99"/>
                <w:sz w:val="21"/>
              </w:rPr>
              <w:t> </w:t>
            </w:r>
          </w:p>
        </w:tc>
        <w:tc>
          <w:tcPr>
            <w:tcW w:w="7037" w:type="dxa"/>
          </w:tcPr>
          <w:p>
            <w:pPr>
              <w:pStyle w:val="TableParagraph"/>
              <w:spacing w:line="261" w:lineRule="exact"/>
              <w:ind w:left="109"/>
              <w:rPr>
                <w:sz w:val="21"/>
              </w:rPr>
            </w:pPr>
            <w:r>
              <w:rPr>
                <w:w w:val="100"/>
                <w:sz w:val="21"/>
              </w:rPr>
              <w:t> </w:t>
            </w:r>
          </w:p>
        </w:tc>
      </w:tr>
      <w:tr>
        <w:trPr>
          <w:trHeight w:val="397" w:hRule="atLeast"/>
        </w:trPr>
        <w:tc>
          <w:tcPr>
            <w:tcW w:w="838" w:type="dxa"/>
          </w:tcPr>
          <w:p>
            <w:pPr>
              <w:pStyle w:val="TableParagraph"/>
              <w:spacing w:before="30"/>
              <w:ind w:left="200"/>
              <w:rPr>
                <w:b/>
                <w:sz w:val="21"/>
              </w:rPr>
            </w:pPr>
            <w:r>
              <w:rPr>
                <w:b/>
                <w:w w:val="99"/>
                <w:sz w:val="21"/>
              </w:rPr>
              <w:t> </w:t>
            </w:r>
          </w:p>
        </w:tc>
        <w:tc>
          <w:tcPr>
            <w:tcW w:w="1804" w:type="dxa"/>
          </w:tcPr>
          <w:p>
            <w:pPr>
              <w:pStyle w:val="TableParagraph"/>
              <w:spacing w:before="30"/>
              <w:ind w:left="214"/>
              <w:rPr>
                <w:b/>
                <w:sz w:val="21"/>
              </w:rPr>
            </w:pPr>
            <w:r>
              <w:rPr>
                <w:b/>
                <w:w w:val="99"/>
                <w:sz w:val="21"/>
              </w:rPr>
              <w:t> </w:t>
            </w:r>
          </w:p>
        </w:tc>
        <w:tc>
          <w:tcPr>
            <w:tcW w:w="7037" w:type="dxa"/>
          </w:tcPr>
          <w:p>
            <w:pPr>
              <w:pStyle w:val="TableParagraph"/>
              <w:spacing w:before="30"/>
              <w:ind w:left="109"/>
              <w:rPr>
                <w:sz w:val="21"/>
              </w:rPr>
            </w:pPr>
            <w:r>
              <w:rPr>
                <w:w w:val="100"/>
                <w:sz w:val="21"/>
              </w:rPr>
              <w:t> </w:t>
            </w:r>
          </w:p>
        </w:tc>
      </w:tr>
      <w:tr>
        <w:trPr>
          <w:trHeight w:val="397" w:hRule="atLeast"/>
        </w:trPr>
        <w:tc>
          <w:tcPr>
            <w:tcW w:w="838" w:type="dxa"/>
          </w:tcPr>
          <w:p>
            <w:pPr>
              <w:pStyle w:val="TableParagraph"/>
              <w:spacing w:before="28"/>
              <w:ind w:left="200"/>
              <w:rPr>
                <w:b/>
                <w:sz w:val="21"/>
              </w:rPr>
            </w:pPr>
            <w:r>
              <w:rPr>
                <w:b/>
                <w:w w:val="99"/>
                <w:sz w:val="21"/>
              </w:rPr>
              <w:t> </w:t>
            </w:r>
          </w:p>
        </w:tc>
        <w:tc>
          <w:tcPr>
            <w:tcW w:w="1804" w:type="dxa"/>
          </w:tcPr>
          <w:p>
            <w:pPr>
              <w:pStyle w:val="TableParagraph"/>
              <w:spacing w:before="28"/>
              <w:ind w:left="214"/>
              <w:rPr>
                <w:b/>
                <w:sz w:val="21"/>
              </w:rPr>
            </w:pPr>
            <w:r>
              <w:rPr>
                <w:b/>
                <w:w w:val="99"/>
                <w:sz w:val="21"/>
              </w:rPr>
              <w:t> </w:t>
            </w:r>
          </w:p>
        </w:tc>
        <w:tc>
          <w:tcPr>
            <w:tcW w:w="7037" w:type="dxa"/>
          </w:tcPr>
          <w:p>
            <w:pPr>
              <w:pStyle w:val="TableParagraph"/>
              <w:spacing w:before="28"/>
              <w:ind w:left="109"/>
              <w:rPr>
                <w:sz w:val="21"/>
              </w:rPr>
            </w:pPr>
            <w:r>
              <w:rPr>
                <w:w w:val="100"/>
                <w:sz w:val="21"/>
              </w:rPr>
              <w:t> </w:t>
            </w:r>
          </w:p>
        </w:tc>
      </w:tr>
      <w:tr>
        <w:trPr>
          <w:trHeight w:val="397" w:hRule="atLeast"/>
        </w:trPr>
        <w:tc>
          <w:tcPr>
            <w:tcW w:w="838" w:type="dxa"/>
          </w:tcPr>
          <w:p>
            <w:pPr>
              <w:pStyle w:val="TableParagraph"/>
              <w:spacing w:before="30"/>
              <w:ind w:left="200"/>
              <w:rPr>
                <w:b/>
                <w:sz w:val="21"/>
              </w:rPr>
            </w:pPr>
            <w:r>
              <w:rPr>
                <w:b/>
                <w:w w:val="99"/>
                <w:sz w:val="21"/>
              </w:rPr>
              <w:t> </w:t>
            </w:r>
          </w:p>
        </w:tc>
        <w:tc>
          <w:tcPr>
            <w:tcW w:w="1804" w:type="dxa"/>
          </w:tcPr>
          <w:p>
            <w:pPr>
              <w:pStyle w:val="TableParagraph"/>
              <w:spacing w:before="30"/>
              <w:ind w:left="214"/>
              <w:rPr>
                <w:b/>
                <w:sz w:val="21"/>
              </w:rPr>
            </w:pPr>
            <w:r>
              <w:rPr>
                <w:b/>
                <w:w w:val="99"/>
                <w:sz w:val="21"/>
              </w:rPr>
              <w:t> </w:t>
            </w:r>
          </w:p>
        </w:tc>
        <w:tc>
          <w:tcPr>
            <w:tcW w:w="7037" w:type="dxa"/>
          </w:tcPr>
          <w:p>
            <w:pPr>
              <w:pStyle w:val="TableParagraph"/>
              <w:spacing w:before="30"/>
              <w:ind w:left="109"/>
              <w:rPr>
                <w:sz w:val="21"/>
              </w:rPr>
            </w:pPr>
            <w:r>
              <w:rPr>
                <w:w w:val="100"/>
                <w:sz w:val="21"/>
              </w:rPr>
              <w:t> </w:t>
            </w:r>
          </w:p>
        </w:tc>
      </w:tr>
      <w:tr>
        <w:trPr>
          <w:trHeight w:val="303" w:hRule="atLeast"/>
        </w:trPr>
        <w:tc>
          <w:tcPr>
            <w:tcW w:w="838" w:type="dxa"/>
          </w:tcPr>
          <w:p>
            <w:pPr>
              <w:pStyle w:val="TableParagraph"/>
              <w:spacing w:line="255" w:lineRule="exact" w:before="28"/>
              <w:ind w:left="200"/>
              <w:rPr>
                <w:b/>
                <w:sz w:val="21"/>
              </w:rPr>
            </w:pPr>
            <w:r>
              <w:rPr>
                <w:b/>
                <w:w w:val="99"/>
                <w:sz w:val="21"/>
              </w:rPr>
              <w:t> </w:t>
            </w:r>
          </w:p>
        </w:tc>
        <w:tc>
          <w:tcPr>
            <w:tcW w:w="1804" w:type="dxa"/>
          </w:tcPr>
          <w:p>
            <w:pPr>
              <w:pStyle w:val="TableParagraph"/>
              <w:spacing w:line="255" w:lineRule="exact" w:before="28"/>
              <w:ind w:left="214"/>
              <w:rPr>
                <w:b/>
                <w:sz w:val="21"/>
              </w:rPr>
            </w:pPr>
            <w:r>
              <w:rPr>
                <w:b/>
                <w:w w:val="99"/>
                <w:sz w:val="21"/>
              </w:rPr>
              <w:t> </w:t>
            </w:r>
          </w:p>
        </w:tc>
        <w:tc>
          <w:tcPr>
            <w:tcW w:w="7037" w:type="dxa"/>
          </w:tcPr>
          <w:p>
            <w:pPr>
              <w:pStyle w:val="TableParagraph"/>
              <w:spacing w:line="255" w:lineRule="exact" w:before="28"/>
              <w:ind w:left="109"/>
              <w:rPr>
                <w:sz w:val="21"/>
              </w:rPr>
            </w:pPr>
            <w:r>
              <w:rPr>
                <w:w w:val="100"/>
                <w:sz w:val="21"/>
              </w:rPr>
              <w:t> </w:t>
            </w:r>
          </w:p>
        </w:tc>
      </w:tr>
    </w:tbl>
    <w:p>
      <w:pPr>
        <w:spacing w:after="0" w:line="255" w:lineRule="exact"/>
        <w:rPr>
          <w:sz w:val="21"/>
        </w:rPr>
        <w:sectPr>
          <w:pgSz w:w="11910" w:h="16840"/>
          <w:pgMar w:top="1460" w:bottom="280" w:left="780" w:right="12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91"/>
        <w:gridCol w:w="7054"/>
      </w:tblGrid>
      <w:tr>
        <w:trPr>
          <w:trHeight w:val="1273" w:hRule="atLeast"/>
        </w:trPr>
        <w:tc>
          <w:tcPr>
            <w:tcW w:w="693" w:type="dxa"/>
          </w:tcPr>
          <w:p>
            <w:pPr>
              <w:pStyle w:val="TableParagraph"/>
              <w:spacing w:line="244" w:lineRule="exact"/>
              <w:ind w:left="200"/>
              <w:rPr>
                <w:b/>
                <w:sz w:val="21"/>
              </w:rPr>
            </w:pPr>
            <w:r>
              <w:rPr>
                <w:b/>
                <w:w w:val="99"/>
                <w:sz w:val="21"/>
              </w:rPr>
              <w:t> </w:t>
            </w:r>
          </w:p>
        </w:tc>
        <w:tc>
          <w:tcPr>
            <w:tcW w:w="1891"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65"/>
              <w:jc w:val="right"/>
              <w:rPr>
                <w:b/>
                <w:sz w:val="21"/>
              </w:rPr>
            </w:pPr>
            <w:r>
              <w:rPr>
                <w:b/>
                <w:w w:val="99"/>
                <w:sz w:val="21"/>
              </w:rPr>
              <w:t> </w:t>
            </w:r>
          </w:p>
        </w:tc>
        <w:tc>
          <w:tcPr>
            <w:tcW w:w="7054" w:type="dxa"/>
          </w:tcPr>
          <w:p>
            <w:pPr>
              <w:pStyle w:val="TableParagraph"/>
              <w:spacing w:line="244" w:lineRule="exact"/>
              <w:ind w:left="167"/>
              <w:rPr>
                <w:sz w:val="21"/>
              </w:rPr>
            </w:pPr>
            <w:r>
              <w:rPr>
                <w:sz w:val="21"/>
              </w:rPr>
              <w:t>关于您履行如实告知义务、我们对条款的说明义务、被保险人或者受益人</w:t>
            </w:r>
          </w:p>
          <w:p>
            <w:pPr>
              <w:pStyle w:val="TableParagraph"/>
              <w:spacing w:line="273" w:lineRule="auto" w:before="37"/>
              <w:ind w:left="167" w:right="196"/>
              <w:jc w:val="both"/>
              <w:rPr>
                <w:sz w:val="21"/>
              </w:rPr>
            </w:pPr>
            <w:r>
              <w:rPr>
                <w:spacing w:val="-6"/>
                <w:sz w:val="21"/>
              </w:rPr>
              <w:t>请求给付保险金的诉讼时效、被保险人年龄申报错误的法律后果、受益人</w:t>
            </w:r>
            <w:r>
              <w:rPr>
                <w:spacing w:val="-8"/>
                <w:sz w:val="21"/>
              </w:rPr>
              <w:t>为数人时的受益顺序和受益份额、以及没有受益人时保险金如何给付，这</w:t>
            </w:r>
            <w:r>
              <w:rPr>
                <w:spacing w:val="-3"/>
                <w:sz w:val="21"/>
              </w:rPr>
              <w:t>些保险法中的相关规定，您可以通过扫描二维码来加以了解。 </w:t>
            </w:r>
          </w:p>
        </w:tc>
      </w:tr>
      <w:tr>
        <w:trPr>
          <w:trHeight w:val="277" w:hRule="atLeast"/>
        </w:trPr>
        <w:tc>
          <w:tcPr>
            <w:tcW w:w="693" w:type="dxa"/>
          </w:tcPr>
          <w:p>
            <w:pPr>
              <w:pStyle w:val="TableParagraph"/>
              <w:rPr>
                <w:rFonts w:ascii="Times New Roman"/>
                <w:sz w:val="20"/>
              </w:rPr>
            </w:pPr>
          </w:p>
        </w:tc>
        <w:tc>
          <w:tcPr>
            <w:tcW w:w="1891" w:type="dxa"/>
          </w:tcPr>
          <w:p>
            <w:pPr>
              <w:pStyle w:val="TableParagraph"/>
              <w:spacing w:line="219" w:lineRule="exact"/>
              <w:ind w:left="359"/>
              <w:rPr>
                <w:b/>
                <w:sz w:val="21"/>
              </w:rPr>
            </w:pPr>
            <w:r>
              <w:rPr>
                <w:b/>
                <w:w w:val="99"/>
                <w:sz w:val="21"/>
              </w:rPr>
              <w:t> </w:t>
            </w:r>
          </w:p>
        </w:tc>
        <w:tc>
          <w:tcPr>
            <w:tcW w:w="7054" w:type="dxa"/>
          </w:tcPr>
          <w:p>
            <w:pPr>
              <w:pStyle w:val="TableParagraph"/>
              <w:rPr>
                <w:rFonts w:ascii="Times New Roman"/>
                <w:sz w:val="20"/>
              </w:rPr>
            </w:pPr>
          </w:p>
        </w:tc>
      </w:tr>
      <w:tr>
        <w:trPr>
          <w:trHeight w:val="261" w:hRule="atLeast"/>
        </w:trPr>
        <w:tc>
          <w:tcPr>
            <w:tcW w:w="693" w:type="dxa"/>
          </w:tcPr>
          <w:p>
            <w:pPr>
              <w:pStyle w:val="TableParagraph"/>
              <w:rPr>
                <w:rFonts w:ascii="Times New Roman"/>
                <w:sz w:val="18"/>
              </w:rPr>
            </w:pPr>
          </w:p>
        </w:tc>
        <w:tc>
          <w:tcPr>
            <w:tcW w:w="1891" w:type="dxa"/>
          </w:tcPr>
          <w:p>
            <w:pPr>
              <w:pStyle w:val="TableParagraph"/>
              <w:spacing w:line="242" w:lineRule="exact"/>
              <w:ind w:left="359"/>
              <w:rPr>
                <w:b/>
                <w:sz w:val="21"/>
              </w:rPr>
            </w:pPr>
            <w:r>
              <w:rPr>
                <w:b/>
                <w:sz w:val="21"/>
              </w:rPr>
              <w:t>结 束</w:t>
            </w:r>
            <w:r>
              <w:rPr>
                <w:b/>
                <w:w w:val="99"/>
                <w:sz w:val="21"/>
              </w:rPr>
              <w:t> </w:t>
            </w:r>
          </w:p>
        </w:tc>
        <w:tc>
          <w:tcPr>
            <w:tcW w:w="7054" w:type="dxa"/>
          </w:tcPr>
          <w:p>
            <w:pPr>
              <w:pStyle w:val="TableParagraph"/>
              <w:rPr>
                <w:rFonts w:ascii="Times New Roman"/>
                <w:sz w:val="18"/>
              </w:rPr>
            </w:pPr>
          </w:p>
        </w:tc>
      </w:tr>
    </w:tbl>
    <w:p>
      <w:pPr>
        <w:spacing w:before="70"/>
        <w:ind w:left="300" w:right="0" w:firstLine="0"/>
        <w:jc w:val="left"/>
        <w:rPr>
          <w:sz w:val="21"/>
        </w:rPr>
      </w:pPr>
      <w:r>
        <w:rPr/>
        <w:drawing>
          <wp:anchor distT="0" distB="0" distL="0" distR="0" allowOverlap="1" layoutInCell="1" locked="0" behindDoc="1" simplePos="0" relativeHeight="268374623">
            <wp:simplePos x="0" y="0"/>
            <wp:positionH relativeFrom="page">
              <wp:posOffset>1245235</wp:posOffset>
            </wp:positionH>
            <wp:positionV relativeFrom="paragraph">
              <wp:posOffset>-1155907</wp:posOffset>
            </wp:positionV>
            <wp:extent cx="783716" cy="783717"/>
            <wp:effectExtent l="0" t="0" r="0" b="0"/>
            <wp:wrapNone/>
            <wp:docPr id="9" name="image14.png" descr=""/>
            <wp:cNvGraphicFramePr>
              <a:graphicFrameLocks noChangeAspect="1"/>
            </wp:cNvGraphicFramePr>
            <a:graphic>
              <a:graphicData uri="http://schemas.openxmlformats.org/drawingml/2006/picture">
                <pic:pic>
                  <pic:nvPicPr>
                    <pic:cNvPr id="10" name="image14.png"/>
                    <pic:cNvPicPr/>
                  </pic:nvPicPr>
                  <pic:blipFill>
                    <a:blip r:embed="rId18" cstate="print"/>
                    <a:stretch>
                      <a:fillRect/>
                    </a:stretch>
                  </pic:blipFill>
                  <pic:spPr>
                    <a:xfrm>
                      <a:off x="0" y="0"/>
                      <a:ext cx="783716" cy="783717"/>
                    </a:xfrm>
                    <a:prstGeom prst="rect">
                      <a:avLst/>
                    </a:prstGeom>
                  </pic:spPr>
                </pic:pic>
              </a:graphicData>
            </a:graphic>
          </wp:anchor>
        </w:drawing>
      </w:r>
      <w:r>
        <w:rPr>
          <w:w w:val="100"/>
          <w:sz w:val="21"/>
        </w:rPr>
        <w:t> </w:t>
      </w:r>
    </w:p>
    <w:sectPr>
      <w:pgSz w:w="11910" w:h="16840"/>
      <w:pgMar w:top="1440" w:bottom="280" w:left="7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黑体">
    <w:altName w:val="黑体"/>
    <w:charset w:val="86"/>
    <w:family w:val="modern"/>
    <w:pitch w:val="fixed"/>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 w:name="Calibri">
    <w:altName w:val="Calibri"/>
    <w:charset w:val="0"/>
    <w:family w:val="swiss"/>
    <w:pitch w:val="variable"/>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477" w:hanging="318"/>
        <w:jc w:val="left"/>
      </w:pPr>
      <w:rPr>
        <w:rFonts w:hint="default"/>
      </w:rPr>
    </w:lvl>
    <w:lvl w:ilvl="1">
      <w:start w:val="1"/>
      <w:numFmt w:val="decimal"/>
      <w:lvlText w:val="%1.%2"/>
      <w:lvlJc w:val="left"/>
      <w:pPr>
        <w:ind w:left="477" w:hanging="318"/>
        <w:jc w:val="left"/>
      </w:pPr>
      <w:rPr>
        <w:rFonts w:hint="default" w:ascii="宋体" w:hAnsi="宋体" w:eastAsia="宋体" w:cs="宋体"/>
        <w:b/>
        <w:bCs/>
        <w:w w:val="99"/>
        <w:sz w:val="19"/>
        <w:szCs w:val="19"/>
      </w:rPr>
    </w:lvl>
    <w:lvl w:ilvl="2">
      <w:start w:val="1"/>
      <w:numFmt w:val="decimal"/>
      <w:lvlText w:val="（%3）"/>
      <w:lvlJc w:val="left"/>
      <w:pPr>
        <w:ind w:left="3343" w:hanging="632"/>
        <w:jc w:val="left"/>
      </w:pPr>
      <w:rPr>
        <w:rFonts w:hint="default"/>
        <w:w w:val="100"/>
        <w:highlight w:val="lightGray"/>
      </w:rPr>
    </w:lvl>
    <w:lvl w:ilvl="3">
      <w:start w:val="0"/>
      <w:numFmt w:val="bullet"/>
      <w:lvlText w:val="•"/>
      <w:lvlJc w:val="left"/>
      <w:pPr>
        <w:ind w:left="4745" w:hanging="632"/>
      </w:pPr>
      <w:rPr>
        <w:rFonts w:hint="default"/>
      </w:rPr>
    </w:lvl>
    <w:lvl w:ilvl="4">
      <w:start w:val="0"/>
      <w:numFmt w:val="bullet"/>
      <w:lvlText w:val="•"/>
      <w:lvlJc w:val="left"/>
      <w:pPr>
        <w:ind w:left="5448" w:hanging="632"/>
      </w:pPr>
      <w:rPr>
        <w:rFonts w:hint="default"/>
      </w:rPr>
    </w:lvl>
    <w:lvl w:ilvl="5">
      <w:start w:val="0"/>
      <w:numFmt w:val="bullet"/>
      <w:lvlText w:val="•"/>
      <w:lvlJc w:val="left"/>
      <w:pPr>
        <w:ind w:left="6151" w:hanging="632"/>
      </w:pPr>
      <w:rPr>
        <w:rFonts w:hint="default"/>
      </w:rPr>
    </w:lvl>
    <w:lvl w:ilvl="6">
      <w:start w:val="0"/>
      <w:numFmt w:val="bullet"/>
      <w:lvlText w:val="•"/>
      <w:lvlJc w:val="left"/>
      <w:pPr>
        <w:ind w:left="6854" w:hanging="632"/>
      </w:pPr>
      <w:rPr>
        <w:rFonts w:hint="default"/>
      </w:rPr>
    </w:lvl>
    <w:lvl w:ilvl="7">
      <w:start w:val="0"/>
      <w:numFmt w:val="bullet"/>
      <w:lvlText w:val="•"/>
      <w:lvlJc w:val="left"/>
      <w:pPr>
        <w:ind w:left="7557" w:hanging="632"/>
      </w:pPr>
      <w:rPr>
        <w:rFonts w:hint="default"/>
      </w:rPr>
    </w:lvl>
    <w:lvl w:ilvl="8">
      <w:start w:val="0"/>
      <w:numFmt w:val="bullet"/>
      <w:lvlText w:val="•"/>
      <w:lvlJc w:val="left"/>
      <w:pPr>
        <w:ind w:left="8260" w:hanging="632"/>
      </w:pPr>
      <w:rPr>
        <w:rFonts w:hint="default"/>
      </w:rPr>
    </w:lvl>
  </w:abstractNum>
  <w:abstractNum w:abstractNumId="4">
    <w:multiLevelType w:val="hybridMultilevel"/>
    <w:lvl w:ilvl="0">
      <w:start w:val="1"/>
      <w:numFmt w:val="decimal"/>
      <w:lvlText w:val="（%1）"/>
      <w:lvlJc w:val="left"/>
      <w:pPr>
        <w:ind w:left="743"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9"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87" w:hanging="632"/>
      </w:pPr>
      <w:rPr>
        <w:rFonts w:hint="default"/>
      </w:rPr>
    </w:lvl>
    <w:lvl w:ilvl="6">
      <w:start w:val="0"/>
      <w:numFmt w:val="bullet"/>
      <w:lvlText w:val="•"/>
      <w:lvlJc w:val="left"/>
      <w:pPr>
        <w:ind w:left="4517" w:hanging="632"/>
      </w:pPr>
      <w:rPr>
        <w:rFonts w:hint="default"/>
      </w:rPr>
    </w:lvl>
    <w:lvl w:ilvl="7">
      <w:start w:val="0"/>
      <w:numFmt w:val="bullet"/>
      <w:lvlText w:val="•"/>
      <w:lvlJc w:val="left"/>
      <w:pPr>
        <w:ind w:left="5146" w:hanging="632"/>
      </w:pPr>
      <w:rPr>
        <w:rFonts w:hint="default"/>
      </w:rPr>
    </w:lvl>
    <w:lvl w:ilvl="8">
      <w:start w:val="0"/>
      <w:numFmt w:val="bullet"/>
      <w:lvlText w:val="•"/>
      <w:lvlJc w:val="left"/>
      <w:pPr>
        <w:ind w:left="5776" w:hanging="632"/>
      </w:pPr>
      <w:rPr>
        <w:rFonts w:hint="default"/>
      </w:rPr>
    </w:lvl>
  </w:abstractNum>
  <w:abstractNum w:abstractNumId="3">
    <w:multiLevelType w:val="hybridMultilevel"/>
    <w:lvl w:ilvl="0">
      <w:start w:val="1"/>
      <w:numFmt w:val="decimal"/>
      <w:lvlText w:val="（%1）"/>
      <w:lvlJc w:val="left"/>
      <w:pPr>
        <w:ind w:left="743"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9"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87" w:hanging="632"/>
      </w:pPr>
      <w:rPr>
        <w:rFonts w:hint="default"/>
      </w:rPr>
    </w:lvl>
    <w:lvl w:ilvl="6">
      <w:start w:val="0"/>
      <w:numFmt w:val="bullet"/>
      <w:lvlText w:val="•"/>
      <w:lvlJc w:val="left"/>
      <w:pPr>
        <w:ind w:left="4517" w:hanging="632"/>
      </w:pPr>
      <w:rPr>
        <w:rFonts w:hint="default"/>
      </w:rPr>
    </w:lvl>
    <w:lvl w:ilvl="7">
      <w:start w:val="0"/>
      <w:numFmt w:val="bullet"/>
      <w:lvlText w:val="•"/>
      <w:lvlJc w:val="left"/>
      <w:pPr>
        <w:ind w:left="5146" w:hanging="632"/>
      </w:pPr>
      <w:rPr>
        <w:rFonts w:hint="default"/>
      </w:rPr>
    </w:lvl>
    <w:lvl w:ilvl="8">
      <w:start w:val="0"/>
      <w:numFmt w:val="bullet"/>
      <w:lvlText w:val="•"/>
      <w:lvlJc w:val="left"/>
      <w:pPr>
        <w:ind w:left="5776" w:hanging="632"/>
      </w:pPr>
      <w:rPr>
        <w:rFonts w:hint="default"/>
      </w:rPr>
    </w:lvl>
  </w:abstractNum>
  <w:abstractNum w:abstractNumId="2">
    <w:multiLevelType w:val="hybridMultilevel"/>
    <w:lvl w:ilvl="0">
      <w:start w:val="5"/>
      <w:numFmt w:val="decimal"/>
      <w:lvlText w:val="（%1）"/>
      <w:lvlJc w:val="left"/>
      <w:pPr>
        <w:ind w:left="632" w:hanging="637"/>
        <w:jc w:val="left"/>
      </w:pPr>
      <w:rPr>
        <w:rFonts w:hint="default" w:ascii="黑体" w:hAnsi="黑体" w:eastAsia="黑体" w:cs="黑体"/>
        <w:spacing w:val="0"/>
        <w:w w:val="100"/>
        <w:sz w:val="21"/>
        <w:szCs w:val="21"/>
      </w:rPr>
    </w:lvl>
    <w:lvl w:ilvl="1">
      <w:start w:val="0"/>
      <w:numFmt w:val="bullet"/>
      <w:lvlText w:val="•"/>
      <w:lvlJc w:val="left"/>
      <w:pPr>
        <w:ind w:left="1244" w:hanging="637"/>
      </w:pPr>
      <w:rPr>
        <w:rFonts w:hint="default"/>
      </w:rPr>
    </w:lvl>
    <w:lvl w:ilvl="2">
      <w:start w:val="0"/>
      <w:numFmt w:val="bullet"/>
      <w:lvlText w:val="•"/>
      <w:lvlJc w:val="left"/>
      <w:pPr>
        <w:ind w:left="1849" w:hanging="637"/>
      </w:pPr>
      <w:rPr>
        <w:rFonts w:hint="default"/>
      </w:rPr>
    </w:lvl>
    <w:lvl w:ilvl="3">
      <w:start w:val="0"/>
      <w:numFmt w:val="bullet"/>
      <w:lvlText w:val="•"/>
      <w:lvlJc w:val="left"/>
      <w:pPr>
        <w:ind w:left="2453" w:hanging="637"/>
      </w:pPr>
      <w:rPr>
        <w:rFonts w:hint="default"/>
      </w:rPr>
    </w:lvl>
    <w:lvl w:ilvl="4">
      <w:start w:val="0"/>
      <w:numFmt w:val="bullet"/>
      <w:lvlText w:val="•"/>
      <w:lvlJc w:val="left"/>
      <w:pPr>
        <w:ind w:left="3058" w:hanging="637"/>
      </w:pPr>
      <w:rPr>
        <w:rFonts w:hint="default"/>
      </w:rPr>
    </w:lvl>
    <w:lvl w:ilvl="5">
      <w:start w:val="0"/>
      <w:numFmt w:val="bullet"/>
      <w:lvlText w:val="•"/>
      <w:lvlJc w:val="left"/>
      <w:pPr>
        <w:ind w:left="3662" w:hanging="637"/>
      </w:pPr>
      <w:rPr>
        <w:rFonts w:hint="default"/>
      </w:rPr>
    </w:lvl>
    <w:lvl w:ilvl="6">
      <w:start w:val="0"/>
      <w:numFmt w:val="bullet"/>
      <w:lvlText w:val="•"/>
      <w:lvlJc w:val="left"/>
      <w:pPr>
        <w:ind w:left="4267" w:hanging="637"/>
      </w:pPr>
      <w:rPr>
        <w:rFonts w:hint="default"/>
      </w:rPr>
    </w:lvl>
    <w:lvl w:ilvl="7">
      <w:start w:val="0"/>
      <w:numFmt w:val="bullet"/>
      <w:lvlText w:val="•"/>
      <w:lvlJc w:val="left"/>
      <w:pPr>
        <w:ind w:left="4871" w:hanging="637"/>
      </w:pPr>
      <w:rPr>
        <w:rFonts w:hint="default"/>
      </w:rPr>
    </w:lvl>
    <w:lvl w:ilvl="8">
      <w:start w:val="0"/>
      <w:numFmt w:val="bullet"/>
      <w:lvlText w:val="•"/>
      <w:lvlJc w:val="left"/>
      <w:pPr>
        <w:ind w:left="5476" w:hanging="637"/>
      </w:pPr>
      <w:rPr>
        <w:rFonts w:hint="default"/>
      </w:rPr>
    </w:lvl>
  </w:abstractNum>
  <w:abstractNum w:abstractNumId="1">
    <w:multiLevelType w:val="hybridMultilevel"/>
    <w:lvl w:ilvl="0">
      <w:start w:val="1"/>
      <w:numFmt w:val="decimal"/>
      <w:lvlText w:val="（%1）"/>
      <w:lvlJc w:val="left"/>
      <w:pPr>
        <w:ind w:left="632" w:hanging="632"/>
        <w:jc w:val="left"/>
      </w:pPr>
      <w:rPr>
        <w:rFonts w:hint="default"/>
        <w:w w:val="100"/>
        <w:highlight w:val="lightGray"/>
      </w:rPr>
    </w:lvl>
    <w:lvl w:ilvl="1">
      <w:start w:val="0"/>
      <w:numFmt w:val="bullet"/>
      <w:lvlText w:val="•"/>
      <w:lvlJc w:val="left"/>
      <w:pPr>
        <w:ind w:left="1272" w:hanging="632"/>
      </w:pPr>
      <w:rPr>
        <w:rFonts w:hint="default"/>
      </w:rPr>
    </w:lvl>
    <w:lvl w:ilvl="2">
      <w:start w:val="0"/>
      <w:numFmt w:val="bullet"/>
      <w:lvlText w:val="•"/>
      <w:lvlJc w:val="left"/>
      <w:pPr>
        <w:ind w:left="1904" w:hanging="632"/>
      </w:pPr>
      <w:rPr>
        <w:rFonts w:hint="default"/>
      </w:rPr>
    </w:lvl>
    <w:lvl w:ilvl="3">
      <w:start w:val="0"/>
      <w:numFmt w:val="bullet"/>
      <w:lvlText w:val="•"/>
      <w:lvlJc w:val="left"/>
      <w:pPr>
        <w:ind w:left="2536" w:hanging="632"/>
      </w:pPr>
      <w:rPr>
        <w:rFonts w:hint="default"/>
      </w:rPr>
    </w:lvl>
    <w:lvl w:ilvl="4">
      <w:start w:val="0"/>
      <w:numFmt w:val="bullet"/>
      <w:lvlText w:val="•"/>
      <w:lvlJc w:val="left"/>
      <w:pPr>
        <w:ind w:left="3168" w:hanging="632"/>
      </w:pPr>
      <w:rPr>
        <w:rFonts w:hint="default"/>
      </w:rPr>
    </w:lvl>
    <w:lvl w:ilvl="5">
      <w:start w:val="0"/>
      <w:numFmt w:val="bullet"/>
      <w:lvlText w:val="•"/>
      <w:lvlJc w:val="left"/>
      <w:pPr>
        <w:ind w:left="3801" w:hanging="632"/>
      </w:pPr>
      <w:rPr>
        <w:rFonts w:hint="default"/>
      </w:rPr>
    </w:lvl>
    <w:lvl w:ilvl="6">
      <w:start w:val="0"/>
      <w:numFmt w:val="bullet"/>
      <w:lvlText w:val="•"/>
      <w:lvlJc w:val="left"/>
      <w:pPr>
        <w:ind w:left="4433" w:hanging="632"/>
      </w:pPr>
      <w:rPr>
        <w:rFonts w:hint="default"/>
      </w:rPr>
    </w:lvl>
    <w:lvl w:ilvl="7">
      <w:start w:val="0"/>
      <w:numFmt w:val="bullet"/>
      <w:lvlText w:val="•"/>
      <w:lvlJc w:val="left"/>
      <w:pPr>
        <w:ind w:left="5065" w:hanging="632"/>
      </w:pPr>
      <w:rPr>
        <w:rFonts w:hint="default"/>
      </w:rPr>
    </w:lvl>
    <w:lvl w:ilvl="8">
      <w:start w:val="0"/>
      <w:numFmt w:val="bullet"/>
      <w:lvlText w:val="•"/>
      <w:lvlJc w:val="left"/>
      <w:pPr>
        <w:ind w:left="5697" w:hanging="632"/>
      </w:pPr>
      <w:rPr>
        <w:rFonts w:hint="default"/>
      </w:rPr>
    </w:lvl>
  </w:abstractNum>
  <w:abstractNum w:abstractNumId="0">
    <w:multiLevelType w:val="hybridMultilevel"/>
    <w:lvl w:ilvl="0">
      <w:start w:val="1"/>
      <w:numFmt w:val="decimal"/>
      <w:lvlText w:val="（%1）"/>
      <w:lvlJc w:val="left"/>
      <w:pPr>
        <w:ind w:left="1151" w:hanging="632"/>
        <w:jc w:val="left"/>
      </w:pPr>
      <w:rPr>
        <w:rFonts w:hint="default"/>
        <w:w w:val="100"/>
        <w:highlight w:val="lightGray"/>
      </w:rPr>
    </w:lvl>
    <w:lvl w:ilvl="1">
      <w:start w:val="0"/>
      <w:numFmt w:val="bullet"/>
      <w:lvlText w:val="•"/>
      <w:lvlJc w:val="left"/>
      <w:pPr>
        <w:ind w:left="1160" w:hanging="632"/>
      </w:pPr>
      <w:rPr>
        <w:rFonts w:hint="default"/>
      </w:rPr>
    </w:lvl>
    <w:lvl w:ilvl="2">
      <w:start w:val="0"/>
      <w:numFmt w:val="bullet"/>
      <w:lvlText w:val="•"/>
      <w:lvlJc w:val="left"/>
      <w:pPr>
        <w:ind w:left="1823" w:hanging="632"/>
      </w:pPr>
      <w:rPr>
        <w:rFonts w:hint="default"/>
      </w:rPr>
    </w:lvl>
    <w:lvl w:ilvl="3">
      <w:start w:val="0"/>
      <w:numFmt w:val="bullet"/>
      <w:lvlText w:val="•"/>
      <w:lvlJc w:val="left"/>
      <w:pPr>
        <w:ind w:left="2486" w:hanging="632"/>
      </w:pPr>
      <w:rPr>
        <w:rFonts w:hint="default"/>
      </w:rPr>
    </w:lvl>
    <w:lvl w:ilvl="4">
      <w:start w:val="0"/>
      <w:numFmt w:val="bullet"/>
      <w:lvlText w:val="•"/>
      <w:lvlJc w:val="left"/>
      <w:pPr>
        <w:ind w:left="3149" w:hanging="632"/>
      </w:pPr>
      <w:rPr>
        <w:rFonts w:hint="default"/>
      </w:rPr>
    </w:lvl>
    <w:lvl w:ilvl="5">
      <w:start w:val="0"/>
      <w:numFmt w:val="bullet"/>
      <w:lvlText w:val="•"/>
      <w:lvlJc w:val="left"/>
      <w:pPr>
        <w:ind w:left="3812" w:hanging="632"/>
      </w:pPr>
      <w:rPr>
        <w:rFonts w:hint="default"/>
      </w:rPr>
    </w:lvl>
    <w:lvl w:ilvl="6">
      <w:start w:val="0"/>
      <w:numFmt w:val="bullet"/>
      <w:lvlText w:val="•"/>
      <w:lvlJc w:val="left"/>
      <w:pPr>
        <w:ind w:left="4475" w:hanging="632"/>
      </w:pPr>
      <w:rPr>
        <w:rFonts w:hint="default"/>
      </w:rPr>
    </w:lvl>
    <w:lvl w:ilvl="7">
      <w:start w:val="0"/>
      <w:numFmt w:val="bullet"/>
      <w:lvlText w:val="•"/>
      <w:lvlJc w:val="left"/>
      <w:pPr>
        <w:ind w:left="5138" w:hanging="632"/>
      </w:pPr>
      <w:rPr>
        <w:rFonts w:hint="default"/>
      </w:rPr>
    </w:lvl>
    <w:lvl w:ilvl="8">
      <w:start w:val="0"/>
      <w:numFmt w:val="bullet"/>
      <w:lvlText w:val="•"/>
      <w:lvlJc w:val="left"/>
      <w:pPr>
        <w:ind w:left="5801" w:hanging="63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220"/>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578"/>
      <w:jc w:val="center"/>
      <w:outlineLvl w:val="2"/>
    </w:pPr>
    <w:rPr>
      <w:rFonts w:ascii="宋体" w:hAnsi="宋体" w:eastAsia="宋体" w:cs="宋体"/>
      <w:b/>
      <w:bCs/>
      <w:sz w:val="24"/>
      <w:szCs w:val="24"/>
    </w:rPr>
  </w:style>
  <w:style w:styleId="Heading3" w:type="paragraph">
    <w:name w:val="Heading 3"/>
    <w:basedOn w:val="Normal"/>
    <w:uiPriority w:val="1"/>
    <w:qFormat/>
    <w:pPr>
      <w:spacing w:before="37"/>
      <w:ind w:left="160"/>
      <w:outlineLvl w:val="3"/>
    </w:pPr>
    <w:rPr>
      <w:rFonts w:ascii="宋体" w:hAnsi="宋体" w:eastAsia="宋体" w:cs="宋体"/>
      <w:b/>
      <w:bCs/>
      <w:sz w:val="21"/>
      <w:szCs w:val="21"/>
    </w:rPr>
  </w:style>
  <w:style w:styleId="ListParagraph" w:type="paragraph">
    <w:name w:val="List Paragraph"/>
    <w:basedOn w:val="Normal"/>
    <w:uiPriority w:val="1"/>
    <w:qFormat/>
    <w:pPr>
      <w:spacing w:before="37"/>
      <w:ind w:left="3343" w:hanging="632"/>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abic123</dc:creator>
  <dcterms:created xsi:type="dcterms:W3CDTF">2018-10-19T22:21:47Z</dcterms:created>
  <dcterms:modified xsi:type="dcterms:W3CDTF">2018-10-19T22:21:47Z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2017-07-18T00:00:00Z</vt:filetime>
  </property>
  <property fmtid="{D5CDD505-2E9C-101B-9397-08002B2CF9AE}" pid="3" name="Creator">
    <vt:lpwstr>Microsoft® Word 2016</vt:lpwstr>
  </property>
  <property fmtid="{D5CDD505-2E9C-101B-9397-08002B2CF9AE}" pid="4" name="LastSaved">
    <vt:filetime>2018-10-19T00:00:00Z</vt:filetime>
  </property>
</Properties>
</file>