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49" w:firstLine="0"/>
        <w:jc w:val="right"/>
        <w:rPr>
          <w:sz w:val="16"/>
        </w:rPr>
      </w:pPr>
      <w:r>
        <w:rPr/>
        <w:drawing>
          <wp:anchor distT="0" distB="0" distL="0" distR="0" allowOverlap="1" layoutInCell="1" locked="0" behindDoc="0" simplePos="0" relativeHeight="0">
            <wp:simplePos x="0" y="0"/>
            <wp:positionH relativeFrom="page">
              <wp:posOffset>6205854</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君康人寿[2016]疾病保险 002 号</w:t>
      </w:r>
    </w:p>
    <w:p>
      <w:pPr>
        <w:pStyle w:val="BodyText"/>
        <w:rPr>
          <w:sz w:val="20"/>
        </w:rPr>
      </w:pPr>
    </w:p>
    <w:p>
      <w:pPr>
        <w:pStyle w:val="BodyText"/>
        <w:rPr>
          <w:sz w:val="16"/>
        </w:rPr>
      </w:pPr>
    </w:p>
    <w:p>
      <w:pPr>
        <w:spacing w:after="0"/>
        <w:rPr>
          <w:sz w:val="16"/>
        </w:rPr>
        <w:sectPr>
          <w:type w:val="continuous"/>
          <w:pgSz w:w="11910" w:h="16840"/>
          <w:pgMar w:top="620" w:bottom="280" w:left="780" w:right="660"/>
        </w:sectPr>
      </w:pPr>
    </w:p>
    <w:p>
      <w:pPr>
        <w:spacing w:line="357" w:lineRule="auto" w:before="1"/>
        <w:ind w:left="4289" w:right="0" w:hanging="2010"/>
        <w:jc w:val="left"/>
        <w:rPr>
          <w:b/>
          <w:sz w:val="32"/>
        </w:rPr>
      </w:pPr>
      <w:r>
        <w:rPr>
          <w:b/>
          <w:sz w:val="32"/>
        </w:rPr>
        <w:t>君康附加六福提前给付重大疾病保险条款阅 读 指 引</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spacing w:before="7"/>
        <w:rPr>
          <w:b/>
          <w:sz w:val="11"/>
        </w:rPr>
      </w:pPr>
    </w:p>
    <w:p>
      <w:pPr>
        <w:spacing w:before="0"/>
        <w:ind w:left="639" w:right="0" w:firstLine="0"/>
        <w:jc w:val="left"/>
        <w:rPr>
          <w:sz w:val="15"/>
        </w:rPr>
      </w:pPr>
      <w:r>
        <w:rPr>
          <w:sz w:val="15"/>
        </w:rPr>
        <w:t>请扫描以查询验证条款</w:t>
      </w:r>
    </w:p>
    <w:p>
      <w:pPr>
        <w:spacing w:after="0"/>
        <w:jc w:val="left"/>
        <w:rPr>
          <w:sz w:val="15"/>
        </w:rPr>
        <w:sectPr>
          <w:type w:val="continuous"/>
          <w:pgSz w:w="11910" w:h="16840"/>
          <w:pgMar w:top="620" w:bottom="280" w:left="780" w:right="660"/>
          <w:cols w:num="2" w:equalWidth="0">
            <w:col w:w="8066" w:space="40"/>
            <w:col w:w="2364"/>
          </w:cols>
        </w:sectPr>
      </w:pPr>
    </w:p>
    <w:p>
      <w:pPr>
        <w:pStyle w:val="BodyText"/>
        <w:spacing w:line="342" w:lineRule="exact"/>
        <w:ind w:left="864"/>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51"/>
          <w:w w:val="100"/>
        </w:rPr>
        <w:t>，</w:t>
      </w:r>
      <w:r>
        <w:rPr>
          <w:rFonts w:ascii="宋体" w:eastAsia="宋体" w:hint="eastAsia"/>
          <w:spacing w:val="-63"/>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2"/>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对</w:t>
      </w:r>
      <w:r>
        <w:rPr>
          <w:rFonts w:ascii="宋体" w:eastAsia="宋体" w:hint="eastAsia"/>
          <w:spacing w:val="-63"/>
          <w:w w:val="100"/>
          <w:position w:val="-7"/>
        </w:rPr>
        <w:t>．</w: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52"/>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52"/>
          <w:w w:val="100"/>
        </w:rPr>
        <w:t>内</w:t>
      </w:r>
      <w:r>
        <w:rPr>
          <w:rFonts w:ascii="宋体" w:eastAsia="宋体" w:hint="eastAsia"/>
          <w:spacing w:val="-63"/>
          <w:w w:val="100"/>
          <w:position w:val="-7"/>
        </w:rPr>
        <w:t>．</w:t>
      </w:r>
      <w:r>
        <w:rPr>
          <w:rFonts w:ascii="宋体" w:eastAsia="宋体" w:hint="eastAsia"/>
          <w:spacing w:val="-149"/>
          <w:w w:val="100"/>
        </w:rPr>
        <w:t>容</w:t>
      </w:r>
      <w:r>
        <w:rPr>
          <w:rFonts w:ascii="宋体" w:eastAsia="宋体" w:hint="eastAsia"/>
          <w:spacing w:val="-63"/>
          <w:w w:val="100"/>
          <w:position w:val="-7"/>
        </w:rPr>
        <w:t>．</w:t>
      </w:r>
      <w:r>
        <w:rPr>
          <w:rFonts w:ascii="宋体" w:eastAsia="宋体" w:hint="eastAsia"/>
          <w:spacing w:val="-152"/>
          <w:w w:val="100"/>
        </w:rPr>
        <w:t>的</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3"/>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tabs>
          <w:tab w:pos="1250" w:val="left" w:leader="none"/>
        </w:tabs>
        <w:spacing w:before="170"/>
        <w:ind w:left="240" w:right="0" w:firstLine="0"/>
        <w:jc w:val="left"/>
        <w:rPr>
          <w:rFonts w:ascii="宋体" w:hAnsi="宋体" w:eastAsia="宋体" w:hint="eastAsia"/>
          <w:b/>
          <w:sz w:val="21"/>
        </w:rPr>
      </w:pPr>
      <w:r>
        <w:rPr/>
        <w:pict>
          <v:group style="position:absolute;margin-left:44.040001pt;margin-top:6.138683pt;width:512.65pt;height:626.85pt;mso-position-horizontal-relative:page;mso-position-vertical-relative:paragraph;z-index:-48136" coordorigin="881,123" coordsize="10253,12537">
            <v:shape style="position:absolute;left:880;top:122;width:10253;height:12537" type="#_x0000_t75" stroked="false">
              <v:imagedata r:id="rId6" o:title=""/>
            </v:shape>
            <v:rect style="position:absolute;left:1332;top:5271;width:9565;height:7185" filled="false" stroked="true" strokeweight=".75pt" strokecolor="#000000">
              <v:stroke dashstyle="dot"/>
            </v:rect>
            <w10:wrap type="none"/>
          </v:group>
        </w:pict>
      </w: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632" w:val="left" w:leader="none"/>
          <w:tab w:pos="1633" w:val="left" w:leader="none"/>
          <w:tab w:pos="10144" w:val="right" w:leader="dot"/>
        </w:tabs>
        <w:spacing w:line="240" w:lineRule="auto" w:before="25" w:after="0"/>
        <w:ind w:left="1632" w:right="0" w:hanging="420"/>
        <w:jc w:val="left"/>
        <w:rPr>
          <w:sz w:val="21"/>
        </w:rPr>
      </w:pPr>
      <w:r>
        <w:rPr>
          <w:sz w:val="21"/>
        </w:rPr>
        <w:t>签收</w:t>
      </w:r>
      <w:r>
        <w:rPr>
          <w:spacing w:val="-3"/>
          <w:sz w:val="21"/>
        </w:rPr>
        <w:t>本</w:t>
      </w:r>
      <w:r>
        <w:rPr>
          <w:sz w:val="21"/>
        </w:rPr>
        <w:t>合</w:t>
      </w:r>
      <w:r>
        <w:rPr>
          <w:spacing w:val="-3"/>
          <w:sz w:val="21"/>
        </w:rPr>
        <w:t>同</w:t>
      </w:r>
      <w:r>
        <w:rPr>
          <w:sz w:val="21"/>
        </w:rPr>
        <w:t>次</w:t>
      </w:r>
      <w:r>
        <w:rPr>
          <w:spacing w:val="-3"/>
          <w:sz w:val="21"/>
        </w:rPr>
        <w:t>日</w:t>
      </w:r>
      <w:r>
        <w:rPr>
          <w:sz w:val="21"/>
        </w:rPr>
        <w:t>起</w:t>
      </w:r>
      <w:r>
        <w:rPr>
          <w:spacing w:val="-49"/>
          <w:sz w:val="21"/>
        </w:rPr>
        <w:t> </w:t>
      </w:r>
      <w:r>
        <w:rPr>
          <w:sz w:val="21"/>
        </w:rPr>
        <w:t>10</w:t>
      </w:r>
      <w:r>
        <w:rPr>
          <w:spacing w:val="-5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扣</w:t>
      </w:r>
      <w:r>
        <w:rPr>
          <w:sz w:val="21"/>
        </w:rPr>
        <w:t>除</w:t>
      </w:r>
      <w:r>
        <w:rPr>
          <w:spacing w:val="-3"/>
          <w:sz w:val="21"/>
        </w:rPr>
        <w:t>工</w:t>
      </w:r>
      <w:r>
        <w:rPr>
          <w:sz w:val="21"/>
        </w:rPr>
        <w:t>本</w:t>
      </w:r>
      <w:r>
        <w:rPr>
          <w:spacing w:val="-3"/>
          <w:sz w:val="21"/>
        </w:rPr>
        <w:t>费</w:t>
      </w:r>
      <w:r>
        <w:rPr>
          <w:sz w:val="21"/>
        </w:rPr>
        <w:t>外</w:t>
      </w:r>
      <w:r>
        <w:rPr>
          <w:spacing w:val="-3"/>
          <w:sz w:val="21"/>
        </w:rPr>
        <w:t>的</w:t>
      </w:r>
      <w:r>
        <w:rPr>
          <w:sz w:val="21"/>
        </w:rPr>
        <w:t>全</w:t>
      </w:r>
      <w:r>
        <w:rPr>
          <w:spacing w:val="-3"/>
          <w:sz w:val="21"/>
        </w:rPr>
        <w:t>部</w:t>
      </w:r>
      <w:r>
        <w:rPr>
          <w:sz w:val="21"/>
        </w:rPr>
        <w:t>保险费</w:t>
        <w:tab/>
        <w:t>1.4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8.1</w:t>
      </w:r>
    </w:p>
    <w:p>
      <w:pPr>
        <w:tabs>
          <w:tab w:pos="1250" w:val="left" w:leader="none"/>
        </w:tabs>
        <w:spacing w:before="22"/>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9.1</w:t>
      </w:r>
    </w:p>
    <w:p>
      <w:pPr>
        <w:pStyle w:val="ListParagraph"/>
        <w:numPr>
          <w:ilvl w:val="0"/>
          <w:numId w:val="1"/>
        </w:numPr>
        <w:tabs>
          <w:tab w:pos="1632" w:val="left" w:leader="none"/>
          <w:tab w:pos="1633" w:val="left" w:leader="none"/>
          <w:tab w:pos="10038"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10</w:t>
      </w:r>
    </w:p>
    <w:p>
      <w:pPr>
        <w:tabs>
          <w:tab w:pos="1250" w:val="left" w:leader="none"/>
        </w:tabs>
        <w:spacing w:before="21"/>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0" w:val="left" w:leader="none"/>
        </w:tabs>
        <w:spacing w:before="25"/>
        <w:ind w:left="240"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jc w:val="left"/>
        <w:rPr>
          <w:rFonts w:ascii="宋体" w:hAnsi="宋体" w:eastAsia="宋体" w:hint="eastAsia"/>
          <w:sz w:val="21"/>
        </w:rPr>
        <w:sectPr>
          <w:type w:val="continuous"/>
          <w:pgSz w:w="11910" w:h="16840"/>
          <w:pgMar w:top="620" w:bottom="280" w:left="780" w:right="660"/>
        </w:sectPr>
      </w:pPr>
    </w:p>
    <w:p>
      <w:pPr>
        <w:spacing w:line="268" w:lineRule="exact" w:before="170"/>
        <w:ind w:left="1224" w:right="0" w:firstLine="0"/>
        <w:jc w:val="left"/>
        <w:rPr>
          <w:b/>
          <w:sz w:val="21"/>
        </w:rPr>
      </w:pPr>
      <w:r>
        <w:rPr>
          <w:b/>
          <w:sz w:val="21"/>
        </w:rPr>
        <w:t>1．投保人与本公司的合同</w:t>
      </w:r>
    </w:p>
    <w:p>
      <w:pPr>
        <w:pStyle w:val="ListParagraph"/>
        <w:numPr>
          <w:ilvl w:val="1"/>
          <w:numId w:val="2"/>
        </w:numPr>
        <w:tabs>
          <w:tab w:pos="1858" w:val="left" w:leader="none"/>
        </w:tabs>
        <w:spacing w:line="260" w:lineRule="exact" w:before="0" w:after="0"/>
        <w:ind w:left="1858" w:right="0" w:hanging="423"/>
        <w:jc w:val="left"/>
        <w:rPr>
          <w:sz w:val="21"/>
        </w:rPr>
      </w:pPr>
      <w:r>
        <w:rPr>
          <w:spacing w:val="-3"/>
          <w:sz w:val="21"/>
        </w:rPr>
        <w:t>合同构成</w:t>
      </w:r>
    </w:p>
    <w:p>
      <w:pPr>
        <w:pStyle w:val="ListParagraph"/>
        <w:numPr>
          <w:ilvl w:val="1"/>
          <w:numId w:val="2"/>
        </w:numPr>
        <w:tabs>
          <w:tab w:pos="1858" w:val="left" w:leader="none"/>
        </w:tabs>
        <w:spacing w:line="259" w:lineRule="exact" w:before="0" w:after="0"/>
        <w:ind w:left="1858" w:right="0" w:hanging="423"/>
        <w:jc w:val="left"/>
        <w:rPr>
          <w:sz w:val="21"/>
        </w:rPr>
      </w:pPr>
      <w:r>
        <w:rPr>
          <w:spacing w:val="-3"/>
          <w:sz w:val="21"/>
        </w:rPr>
        <w:t>合同成立与生效</w:t>
      </w:r>
    </w:p>
    <w:p>
      <w:pPr>
        <w:pStyle w:val="ListParagraph"/>
        <w:numPr>
          <w:ilvl w:val="1"/>
          <w:numId w:val="2"/>
        </w:numPr>
        <w:tabs>
          <w:tab w:pos="1858" w:val="left" w:leader="none"/>
        </w:tabs>
        <w:spacing w:line="260" w:lineRule="exact" w:before="0" w:after="0"/>
        <w:ind w:left="1858" w:right="0" w:hanging="423"/>
        <w:jc w:val="left"/>
        <w:rPr>
          <w:sz w:val="21"/>
        </w:rPr>
      </w:pPr>
      <w:r>
        <w:rPr>
          <w:spacing w:val="-3"/>
          <w:sz w:val="21"/>
        </w:rPr>
        <w:t>投保范围</w:t>
      </w:r>
    </w:p>
    <w:p>
      <w:pPr>
        <w:pStyle w:val="ListParagraph"/>
        <w:numPr>
          <w:ilvl w:val="1"/>
          <w:numId w:val="2"/>
        </w:numPr>
        <w:tabs>
          <w:tab w:pos="1858" w:val="left" w:leader="none"/>
        </w:tabs>
        <w:spacing w:line="268" w:lineRule="exact" w:before="0" w:after="0"/>
        <w:ind w:left="1858" w:right="0" w:hanging="423"/>
        <w:jc w:val="left"/>
        <w:rPr>
          <w:sz w:val="21"/>
        </w:rPr>
      </w:pPr>
      <w:r>
        <w:rPr>
          <w:spacing w:val="-2"/>
          <w:sz w:val="21"/>
        </w:rPr>
        <w:t>犹豫期</w:t>
      </w:r>
    </w:p>
    <w:p>
      <w:pPr>
        <w:pStyle w:val="BodyText"/>
        <w:spacing w:before="7"/>
        <w:rPr>
          <w:sz w:val="18"/>
        </w:rPr>
      </w:pPr>
    </w:p>
    <w:p>
      <w:pPr>
        <w:spacing w:line="268" w:lineRule="exact" w:before="1"/>
        <w:ind w:left="1224" w:right="0" w:firstLine="0"/>
        <w:jc w:val="left"/>
        <w:rPr>
          <w:b/>
          <w:sz w:val="21"/>
        </w:rPr>
      </w:pPr>
      <w:r>
        <w:rPr>
          <w:b/>
          <w:sz w:val="21"/>
        </w:rPr>
        <w:t>2．本公司提供的保障</w:t>
      </w:r>
    </w:p>
    <w:p>
      <w:pPr>
        <w:pStyle w:val="ListParagraph"/>
        <w:numPr>
          <w:ilvl w:val="1"/>
          <w:numId w:val="3"/>
        </w:numPr>
        <w:tabs>
          <w:tab w:pos="1858" w:val="left" w:leader="none"/>
        </w:tabs>
        <w:spacing w:line="260" w:lineRule="exact" w:before="0" w:after="0"/>
        <w:ind w:left="1858" w:right="0" w:hanging="423"/>
        <w:jc w:val="left"/>
        <w:rPr>
          <w:sz w:val="21"/>
        </w:rPr>
      </w:pPr>
      <w:r>
        <w:rPr>
          <w:spacing w:val="-3"/>
          <w:sz w:val="21"/>
        </w:rPr>
        <w:t>保险责任</w:t>
      </w:r>
    </w:p>
    <w:p>
      <w:pPr>
        <w:pStyle w:val="ListParagraph"/>
        <w:numPr>
          <w:ilvl w:val="1"/>
          <w:numId w:val="3"/>
        </w:numPr>
        <w:tabs>
          <w:tab w:pos="1858" w:val="left" w:leader="none"/>
        </w:tabs>
        <w:spacing w:line="259" w:lineRule="exact" w:before="0" w:after="0"/>
        <w:ind w:left="1858" w:right="0" w:hanging="423"/>
        <w:jc w:val="left"/>
        <w:rPr>
          <w:sz w:val="21"/>
        </w:rPr>
      </w:pPr>
      <w:r>
        <w:rPr>
          <w:spacing w:val="-3"/>
          <w:sz w:val="21"/>
        </w:rPr>
        <w:t>责任免除</w:t>
      </w:r>
    </w:p>
    <w:p>
      <w:pPr>
        <w:pStyle w:val="ListParagraph"/>
        <w:numPr>
          <w:ilvl w:val="1"/>
          <w:numId w:val="3"/>
        </w:numPr>
        <w:tabs>
          <w:tab w:pos="1858" w:val="left" w:leader="none"/>
        </w:tabs>
        <w:spacing w:line="260" w:lineRule="exact" w:before="0" w:after="0"/>
        <w:ind w:left="1858" w:right="0" w:hanging="423"/>
        <w:jc w:val="left"/>
        <w:rPr>
          <w:sz w:val="21"/>
        </w:rPr>
      </w:pPr>
      <w:r>
        <w:rPr>
          <w:spacing w:val="-3"/>
          <w:sz w:val="21"/>
        </w:rPr>
        <w:t>基本保险金额</w:t>
      </w:r>
    </w:p>
    <w:p>
      <w:pPr>
        <w:pStyle w:val="ListParagraph"/>
        <w:numPr>
          <w:ilvl w:val="1"/>
          <w:numId w:val="3"/>
        </w:numPr>
        <w:tabs>
          <w:tab w:pos="1858" w:val="left" w:leader="none"/>
        </w:tabs>
        <w:spacing w:line="268" w:lineRule="exact" w:before="0" w:after="0"/>
        <w:ind w:left="1858" w:right="0" w:hanging="423"/>
        <w:jc w:val="left"/>
        <w:rPr>
          <w:sz w:val="21"/>
        </w:rPr>
      </w:pPr>
      <w:r>
        <w:rPr>
          <w:spacing w:val="-3"/>
          <w:sz w:val="21"/>
        </w:rPr>
        <w:t>保险期间</w:t>
      </w:r>
    </w:p>
    <w:p>
      <w:pPr>
        <w:pStyle w:val="BodyText"/>
        <w:spacing w:before="8"/>
        <w:rPr>
          <w:sz w:val="18"/>
        </w:rPr>
      </w:pPr>
    </w:p>
    <w:p>
      <w:pPr>
        <w:spacing w:line="268" w:lineRule="exact" w:before="1"/>
        <w:ind w:left="1224" w:right="0" w:firstLine="0"/>
        <w:jc w:val="left"/>
        <w:rPr>
          <w:b/>
          <w:sz w:val="21"/>
        </w:rPr>
      </w:pPr>
      <w:r>
        <w:rPr>
          <w:b/>
          <w:sz w:val="21"/>
        </w:rPr>
        <w:t>3．如何申请领取保险金</w:t>
      </w:r>
    </w:p>
    <w:p>
      <w:pPr>
        <w:pStyle w:val="ListParagraph"/>
        <w:numPr>
          <w:ilvl w:val="1"/>
          <w:numId w:val="4"/>
        </w:numPr>
        <w:tabs>
          <w:tab w:pos="1858" w:val="left" w:leader="none"/>
        </w:tabs>
        <w:spacing w:line="260" w:lineRule="exact" w:before="0" w:after="0"/>
        <w:ind w:left="1858" w:right="0" w:hanging="423"/>
        <w:jc w:val="left"/>
        <w:rPr>
          <w:sz w:val="21"/>
        </w:rPr>
      </w:pPr>
      <w:r>
        <w:rPr>
          <w:spacing w:val="-2"/>
          <w:sz w:val="21"/>
        </w:rPr>
        <w:t>受益人</w:t>
      </w:r>
    </w:p>
    <w:p>
      <w:pPr>
        <w:pStyle w:val="ListParagraph"/>
        <w:numPr>
          <w:ilvl w:val="1"/>
          <w:numId w:val="4"/>
        </w:numPr>
        <w:tabs>
          <w:tab w:pos="1858" w:val="left" w:leader="none"/>
        </w:tabs>
        <w:spacing w:line="259" w:lineRule="exact" w:before="0" w:after="0"/>
        <w:ind w:left="1858" w:right="0" w:hanging="423"/>
        <w:jc w:val="left"/>
        <w:rPr>
          <w:sz w:val="21"/>
        </w:rPr>
      </w:pPr>
      <w:r>
        <w:rPr>
          <w:spacing w:val="-3"/>
          <w:sz w:val="21"/>
        </w:rPr>
        <w:t>保险事故通知</w:t>
      </w:r>
    </w:p>
    <w:p>
      <w:pPr>
        <w:pStyle w:val="ListParagraph"/>
        <w:numPr>
          <w:ilvl w:val="1"/>
          <w:numId w:val="4"/>
        </w:numPr>
        <w:tabs>
          <w:tab w:pos="1858" w:val="left" w:leader="none"/>
        </w:tabs>
        <w:spacing w:line="260" w:lineRule="exact" w:before="0" w:after="0"/>
        <w:ind w:left="1858" w:right="0" w:hanging="423"/>
        <w:jc w:val="left"/>
        <w:rPr>
          <w:sz w:val="21"/>
        </w:rPr>
      </w:pPr>
      <w:r>
        <w:rPr>
          <w:spacing w:val="-3"/>
          <w:sz w:val="21"/>
        </w:rPr>
        <w:t>保险金申请</w:t>
      </w:r>
    </w:p>
    <w:p>
      <w:pPr>
        <w:pStyle w:val="ListParagraph"/>
        <w:numPr>
          <w:ilvl w:val="1"/>
          <w:numId w:val="4"/>
        </w:numPr>
        <w:tabs>
          <w:tab w:pos="1858" w:val="left" w:leader="none"/>
        </w:tabs>
        <w:spacing w:line="260" w:lineRule="exact" w:before="0" w:after="0"/>
        <w:ind w:left="1858" w:right="0" w:hanging="423"/>
        <w:jc w:val="left"/>
        <w:rPr>
          <w:sz w:val="21"/>
        </w:rPr>
      </w:pPr>
      <w:r>
        <w:rPr>
          <w:spacing w:val="-3"/>
          <w:sz w:val="21"/>
        </w:rPr>
        <w:t>保险金给付</w:t>
      </w:r>
    </w:p>
    <w:p>
      <w:pPr>
        <w:pStyle w:val="ListParagraph"/>
        <w:numPr>
          <w:ilvl w:val="1"/>
          <w:numId w:val="4"/>
        </w:numPr>
        <w:tabs>
          <w:tab w:pos="1858" w:val="left" w:leader="none"/>
        </w:tabs>
        <w:spacing w:line="267" w:lineRule="exact" w:before="0" w:after="0"/>
        <w:ind w:left="1858" w:right="0" w:hanging="423"/>
        <w:jc w:val="left"/>
        <w:rPr>
          <w:sz w:val="21"/>
        </w:rPr>
      </w:pPr>
      <w:r>
        <w:rPr>
          <w:spacing w:val="-3"/>
          <w:sz w:val="21"/>
        </w:rPr>
        <w:t>保险金申请时效</w:t>
      </w:r>
    </w:p>
    <w:p>
      <w:pPr>
        <w:pStyle w:val="BodyText"/>
        <w:spacing w:before="10"/>
        <w:rPr>
          <w:sz w:val="18"/>
        </w:rPr>
      </w:pPr>
    </w:p>
    <w:p>
      <w:pPr>
        <w:spacing w:line="267" w:lineRule="exact" w:before="0"/>
        <w:ind w:left="1224" w:right="0" w:firstLine="0"/>
        <w:jc w:val="left"/>
        <w:rPr>
          <w:b/>
          <w:sz w:val="21"/>
        </w:rPr>
      </w:pPr>
      <w:r>
        <w:rPr>
          <w:b/>
          <w:sz w:val="21"/>
        </w:rPr>
        <w:t>4．如何交纳保险费</w:t>
      </w:r>
    </w:p>
    <w:p>
      <w:pPr>
        <w:pStyle w:val="ListParagraph"/>
        <w:numPr>
          <w:ilvl w:val="1"/>
          <w:numId w:val="5"/>
        </w:numPr>
        <w:tabs>
          <w:tab w:pos="1858" w:val="left" w:leader="none"/>
        </w:tabs>
        <w:spacing w:line="259" w:lineRule="exact" w:before="0" w:after="0"/>
        <w:ind w:left="1858" w:right="0" w:hanging="423"/>
        <w:jc w:val="left"/>
        <w:rPr>
          <w:sz w:val="21"/>
        </w:rPr>
      </w:pPr>
      <w:r>
        <w:rPr>
          <w:spacing w:val="-3"/>
          <w:sz w:val="21"/>
        </w:rPr>
        <w:t>保险费的交纳</w:t>
      </w:r>
    </w:p>
    <w:p>
      <w:pPr>
        <w:pStyle w:val="ListParagraph"/>
        <w:numPr>
          <w:ilvl w:val="1"/>
          <w:numId w:val="5"/>
        </w:numPr>
        <w:tabs>
          <w:tab w:pos="1858" w:val="left" w:leader="none"/>
        </w:tabs>
        <w:spacing w:line="267" w:lineRule="exact" w:before="0" w:after="0"/>
        <w:ind w:left="1858" w:right="0" w:hanging="423"/>
        <w:jc w:val="left"/>
        <w:rPr>
          <w:sz w:val="21"/>
        </w:rPr>
      </w:pPr>
      <w:r>
        <w:rPr>
          <w:spacing w:val="-2"/>
          <w:sz w:val="21"/>
        </w:rPr>
        <w:t>宽限期</w:t>
      </w:r>
    </w:p>
    <w:p>
      <w:pPr>
        <w:spacing w:line="268" w:lineRule="exact" w:before="170"/>
        <w:ind w:left="685" w:right="0" w:firstLine="0"/>
        <w:jc w:val="left"/>
        <w:rPr>
          <w:b/>
          <w:sz w:val="21"/>
        </w:rPr>
      </w:pPr>
      <w:r>
        <w:rPr/>
        <w:br w:type="column"/>
      </w:r>
      <w:r>
        <w:rPr>
          <w:b/>
          <w:sz w:val="21"/>
        </w:rPr>
        <w:t>6．合同效力的中止及恢复</w:t>
      </w:r>
    </w:p>
    <w:p>
      <w:pPr>
        <w:pStyle w:val="ListParagraph"/>
        <w:numPr>
          <w:ilvl w:val="1"/>
          <w:numId w:val="6"/>
        </w:numPr>
        <w:tabs>
          <w:tab w:pos="1319" w:val="left" w:leader="none"/>
        </w:tabs>
        <w:spacing w:line="260" w:lineRule="exact" w:before="0" w:after="0"/>
        <w:ind w:left="1318" w:right="0" w:hanging="422"/>
        <w:jc w:val="left"/>
        <w:rPr>
          <w:sz w:val="21"/>
        </w:rPr>
      </w:pPr>
      <w:r>
        <w:rPr>
          <w:spacing w:val="-3"/>
          <w:sz w:val="21"/>
        </w:rPr>
        <w:t>效力中止</w:t>
      </w:r>
    </w:p>
    <w:p>
      <w:pPr>
        <w:pStyle w:val="ListParagraph"/>
        <w:numPr>
          <w:ilvl w:val="1"/>
          <w:numId w:val="6"/>
        </w:numPr>
        <w:tabs>
          <w:tab w:pos="1319" w:val="left" w:leader="none"/>
        </w:tabs>
        <w:spacing w:line="267" w:lineRule="exact" w:before="0" w:after="0"/>
        <w:ind w:left="1318" w:right="0" w:hanging="422"/>
        <w:jc w:val="left"/>
        <w:rPr>
          <w:sz w:val="21"/>
        </w:rPr>
      </w:pPr>
      <w:r>
        <w:rPr>
          <w:spacing w:val="-3"/>
          <w:sz w:val="21"/>
        </w:rPr>
        <w:t>效力恢复</w:t>
      </w:r>
    </w:p>
    <w:p>
      <w:pPr>
        <w:pStyle w:val="BodyText"/>
        <w:spacing w:before="10"/>
        <w:rPr>
          <w:sz w:val="18"/>
        </w:rPr>
      </w:pPr>
    </w:p>
    <w:p>
      <w:pPr>
        <w:spacing w:line="267" w:lineRule="exact" w:before="0"/>
        <w:ind w:left="685" w:right="0" w:firstLine="0"/>
        <w:jc w:val="left"/>
        <w:rPr>
          <w:b/>
          <w:sz w:val="21"/>
        </w:rPr>
      </w:pPr>
      <w:r>
        <w:rPr>
          <w:b/>
          <w:sz w:val="21"/>
        </w:rPr>
        <w:t>7．合同效力的终止</w:t>
      </w:r>
    </w:p>
    <w:p>
      <w:pPr>
        <w:pStyle w:val="BodyText"/>
        <w:spacing w:line="267" w:lineRule="exact"/>
        <w:ind w:left="896"/>
      </w:pPr>
      <w:r>
        <w:rPr/>
        <w:t>7.1 效力终止</w:t>
      </w:r>
    </w:p>
    <w:p>
      <w:pPr>
        <w:pStyle w:val="BodyText"/>
        <w:spacing w:before="10"/>
        <w:rPr>
          <w:sz w:val="18"/>
        </w:rPr>
      </w:pPr>
    </w:p>
    <w:p>
      <w:pPr>
        <w:spacing w:line="267" w:lineRule="exact" w:before="0"/>
        <w:ind w:left="685" w:right="0" w:firstLine="0"/>
        <w:jc w:val="left"/>
        <w:rPr>
          <w:b/>
          <w:sz w:val="21"/>
        </w:rPr>
      </w:pPr>
      <w:r>
        <w:rPr>
          <w:b/>
          <w:sz w:val="21"/>
        </w:rPr>
        <w:t>8．如何解除保险合同</w:t>
      </w:r>
    </w:p>
    <w:p>
      <w:pPr>
        <w:pStyle w:val="BodyText"/>
        <w:spacing w:line="267" w:lineRule="exact"/>
        <w:ind w:left="896"/>
      </w:pPr>
      <w:r>
        <w:rPr/>
        <w:t>8.1 合同解除</w:t>
      </w:r>
    </w:p>
    <w:p>
      <w:pPr>
        <w:pStyle w:val="BodyText"/>
        <w:spacing w:before="11"/>
        <w:rPr>
          <w:sz w:val="18"/>
        </w:rPr>
      </w:pPr>
    </w:p>
    <w:p>
      <w:pPr>
        <w:spacing w:line="267" w:lineRule="exact" w:before="0"/>
        <w:ind w:left="685" w:right="0" w:firstLine="0"/>
        <w:jc w:val="left"/>
        <w:rPr>
          <w:b/>
          <w:sz w:val="21"/>
        </w:rPr>
      </w:pPr>
      <w:r>
        <w:rPr>
          <w:b/>
          <w:sz w:val="21"/>
        </w:rPr>
        <w:t>9．其他需要关注的事项</w:t>
      </w:r>
    </w:p>
    <w:p>
      <w:pPr>
        <w:pStyle w:val="ListParagraph"/>
        <w:numPr>
          <w:ilvl w:val="1"/>
          <w:numId w:val="7"/>
        </w:numPr>
        <w:tabs>
          <w:tab w:pos="1319" w:val="left" w:leader="none"/>
        </w:tabs>
        <w:spacing w:line="259" w:lineRule="exact" w:before="0" w:after="0"/>
        <w:ind w:left="1318" w:right="0" w:hanging="422"/>
        <w:jc w:val="left"/>
        <w:rPr>
          <w:sz w:val="21"/>
        </w:rPr>
      </w:pPr>
      <w:r>
        <w:rPr>
          <w:spacing w:val="-3"/>
          <w:sz w:val="21"/>
        </w:rPr>
        <w:t>如实告知</w:t>
      </w:r>
    </w:p>
    <w:p>
      <w:pPr>
        <w:pStyle w:val="ListParagraph"/>
        <w:numPr>
          <w:ilvl w:val="1"/>
          <w:numId w:val="7"/>
        </w:numPr>
        <w:tabs>
          <w:tab w:pos="1319" w:val="left" w:leader="none"/>
        </w:tabs>
        <w:spacing w:line="260" w:lineRule="exact" w:before="0" w:after="0"/>
        <w:ind w:left="1318" w:right="0" w:hanging="422"/>
        <w:jc w:val="left"/>
        <w:rPr>
          <w:sz w:val="21"/>
        </w:rPr>
      </w:pPr>
      <w:r>
        <w:rPr>
          <w:spacing w:val="-3"/>
          <w:sz w:val="21"/>
        </w:rPr>
        <w:t>年龄确定与错误处理</w:t>
      </w:r>
    </w:p>
    <w:p>
      <w:pPr>
        <w:pStyle w:val="ListParagraph"/>
        <w:numPr>
          <w:ilvl w:val="1"/>
          <w:numId w:val="7"/>
        </w:numPr>
        <w:tabs>
          <w:tab w:pos="1319" w:val="left" w:leader="none"/>
        </w:tabs>
        <w:spacing w:line="260" w:lineRule="exact" w:before="0" w:after="0"/>
        <w:ind w:left="1318" w:right="0" w:hanging="422"/>
        <w:jc w:val="left"/>
        <w:rPr>
          <w:sz w:val="21"/>
        </w:rPr>
      </w:pPr>
      <w:r>
        <w:rPr>
          <w:spacing w:val="-3"/>
          <w:sz w:val="21"/>
        </w:rPr>
        <w:t>未还款项</w:t>
      </w:r>
    </w:p>
    <w:p>
      <w:pPr>
        <w:pStyle w:val="ListParagraph"/>
        <w:numPr>
          <w:ilvl w:val="1"/>
          <w:numId w:val="7"/>
        </w:numPr>
        <w:tabs>
          <w:tab w:pos="1319" w:val="left" w:leader="none"/>
        </w:tabs>
        <w:spacing w:line="259" w:lineRule="exact" w:before="0" w:after="0"/>
        <w:ind w:left="1318" w:right="0" w:hanging="422"/>
        <w:jc w:val="left"/>
        <w:rPr>
          <w:sz w:val="21"/>
        </w:rPr>
      </w:pPr>
      <w:r>
        <w:rPr>
          <w:spacing w:val="-3"/>
          <w:sz w:val="21"/>
        </w:rPr>
        <w:t>合同内容变更</w:t>
      </w:r>
    </w:p>
    <w:p>
      <w:pPr>
        <w:pStyle w:val="ListParagraph"/>
        <w:numPr>
          <w:ilvl w:val="1"/>
          <w:numId w:val="7"/>
        </w:numPr>
        <w:tabs>
          <w:tab w:pos="1319" w:val="left" w:leader="none"/>
        </w:tabs>
        <w:spacing w:line="260" w:lineRule="exact" w:before="0" w:after="0"/>
        <w:ind w:left="1318" w:right="0" w:hanging="422"/>
        <w:jc w:val="left"/>
        <w:rPr>
          <w:sz w:val="21"/>
        </w:rPr>
      </w:pPr>
      <w:r>
        <w:rPr>
          <w:spacing w:val="-3"/>
          <w:sz w:val="21"/>
        </w:rPr>
        <w:t>联系方式变更</w:t>
      </w:r>
    </w:p>
    <w:p>
      <w:pPr>
        <w:pStyle w:val="ListParagraph"/>
        <w:numPr>
          <w:ilvl w:val="1"/>
          <w:numId w:val="7"/>
        </w:numPr>
        <w:tabs>
          <w:tab w:pos="1319" w:val="left" w:leader="none"/>
        </w:tabs>
        <w:spacing w:line="268" w:lineRule="exact" w:before="0" w:after="0"/>
        <w:ind w:left="1318" w:right="0" w:hanging="422"/>
        <w:jc w:val="left"/>
        <w:rPr>
          <w:sz w:val="21"/>
        </w:rPr>
      </w:pPr>
      <w:r>
        <w:rPr>
          <w:spacing w:val="-3"/>
          <w:sz w:val="21"/>
        </w:rPr>
        <w:t>争议处理</w:t>
      </w:r>
    </w:p>
    <w:p>
      <w:pPr>
        <w:pStyle w:val="BodyText"/>
        <w:spacing w:before="7"/>
        <w:rPr>
          <w:sz w:val="18"/>
        </w:rPr>
      </w:pPr>
    </w:p>
    <w:p>
      <w:pPr>
        <w:spacing w:line="268" w:lineRule="exact" w:before="1"/>
        <w:ind w:left="685" w:right="0" w:firstLine="0"/>
        <w:jc w:val="left"/>
        <w:rPr>
          <w:b/>
          <w:sz w:val="21"/>
        </w:rPr>
      </w:pPr>
      <w:r>
        <w:rPr>
          <w:b/>
          <w:sz w:val="21"/>
        </w:rPr>
        <w:t>10．释义</w:t>
      </w:r>
    </w:p>
    <w:p>
      <w:pPr>
        <w:pStyle w:val="ListParagraph"/>
        <w:numPr>
          <w:ilvl w:val="1"/>
          <w:numId w:val="8"/>
        </w:numPr>
        <w:tabs>
          <w:tab w:pos="1423" w:val="left" w:leader="none"/>
        </w:tabs>
        <w:spacing w:line="260" w:lineRule="exact" w:before="0" w:after="0"/>
        <w:ind w:left="1422" w:right="0" w:hanging="526"/>
        <w:jc w:val="left"/>
        <w:rPr>
          <w:sz w:val="21"/>
        </w:rPr>
      </w:pPr>
      <w:r>
        <w:rPr>
          <w:spacing w:val="-2"/>
          <w:sz w:val="21"/>
        </w:rPr>
        <w:t>本公司</w:t>
      </w:r>
    </w:p>
    <w:p>
      <w:pPr>
        <w:pStyle w:val="ListParagraph"/>
        <w:numPr>
          <w:ilvl w:val="1"/>
          <w:numId w:val="8"/>
        </w:numPr>
        <w:tabs>
          <w:tab w:pos="1423" w:val="left" w:leader="none"/>
        </w:tabs>
        <w:spacing w:line="259" w:lineRule="exact" w:before="0" w:after="0"/>
        <w:ind w:left="1422" w:right="0" w:hanging="526"/>
        <w:jc w:val="left"/>
        <w:rPr>
          <w:sz w:val="21"/>
        </w:rPr>
      </w:pPr>
      <w:r>
        <w:rPr>
          <w:spacing w:val="-2"/>
          <w:sz w:val="21"/>
        </w:rPr>
        <w:t>保单年度</w:t>
      </w:r>
    </w:p>
    <w:p>
      <w:pPr>
        <w:pStyle w:val="ListParagraph"/>
        <w:numPr>
          <w:ilvl w:val="1"/>
          <w:numId w:val="8"/>
        </w:numPr>
        <w:tabs>
          <w:tab w:pos="1423" w:val="left" w:leader="none"/>
        </w:tabs>
        <w:spacing w:line="267" w:lineRule="exact" w:before="0" w:after="0"/>
        <w:ind w:left="1422" w:right="0" w:hanging="526"/>
        <w:jc w:val="left"/>
        <w:rPr>
          <w:sz w:val="21"/>
        </w:rPr>
      </w:pPr>
      <w:r>
        <w:rPr>
          <w:spacing w:val="-3"/>
          <w:sz w:val="21"/>
        </w:rPr>
        <w:t>保险费应交日</w:t>
      </w:r>
    </w:p>
    <w:p>
      <w:pPr>
        <w:pStyle w:val="ListParagraph"/>
        <w:numPr>
          <w:ilvl w:val="1"/>
          <w:numId w:val="9"/>
        </w:numPr>
        <w:tabs>
          <w:tab w:pos="1323" w:val="left" w:leader="none"/>
          <w:tab w:pos="1324" w:val="left" w:leader="none"/>
        </w:tabs>
        <w:spacing w:line="268" w:lineRule="exact" w:before="170" w:after="0"/>
        <w:ind w:left="1321" w:right="0" w:hanging="629"/>
        <w:jc w:val="left"/>
        <w:rPr>
          <w:sz w:val="21"/>
        </w:rPr>
      </w:pPr>
      <w:r>
        <w:rPr>
          <w:w w:val="100"/>
          <w:sz w:val="21"/>
        </w:rPr>
        <w:br w:type="column"/>
      </w:r>
      <w:r>
        <w:rPr>
          <w:spacing w:val="-3"/>
          <w:sz w:val="21"/>
        </w:rPr>
        <w:t>特定恶性肿瘤</w:t>
      </w:r>
    </w:p>
    <w:p>
      <w:pPr>
        <w:pStyle w:val="ListParagraph"/>
        <w:numPr>
          <w:ilvl w:val="1"/>
          <w:numId w:val="9"/>
        </w:numPr>
        <w:tabs>
          <w:tab w:pos="1323" w:val="left" w:leader="none"/>
          <w:tab w:pos="1324" w:val="left" w:leader="none"/>
        </w:tabs>
        <w:spacing w:line="260" w:lineRule="exact" w:before="0" w:after="0"/>
        <w:ind w:left="1321" w:right="0" w:hanging="629"/>
        <w:jc w:val="left"/>
        <w:rPr>
          <w:sz w:val="21"/>
        </w:rPr>
      </w:pPr>
      <w:r>
        <w:rPr>
          <w:sz w:val="21"/>
        </w:rPr>
        <w:t>医院</w:t>
      </w:r>
    </w:p>
    <w:p>
      <w:pPr>
        <w:pStyle w:val="ListParagraph"/>
        <w:numPr>
          <w:ilvl w:val="1"/>
          <w:numId w:val="9"/>
        </w:numPr>
        <w:tabs>
          <w:tab w:pos="1324" w:val="left" w:leader="none"/>
        </w:tabs>
        <w:spacing w:line="259" w:lineRule="exact" w:before="0" w:after="0"/>
        <w:ind w:left="1321" w:right="0" w:hanging="629"/>
        <w:jc w:val="left"/>
        <w:rPr>
          <w:sz w:val="21"/>
        </w:rPr>
      </w:pPr>
      <w:r>
        <w:rPr>
          <w:spacing w:val="-2"/>
          <w:sz w:val="21"/>
        </w:rPr>
        <w:t>专科医生</w:t>
      </w:r>
    </w:p>
    <w:p>
      <w:pPr>
        <w:pStyle w:val="ListParagraph"/>
        <w:numPr>
          <w:ilvl w:val="1"/>
          <w:numId w:val="9"/>
        </w:numPr>
        <w:tabs>
          <w:tab w:pos="1324" w:val="left" w:leader="none"/>
        </w:tabs>
        <w:spacing w:line="260" w:lineRule="exact" w:before="0" w:after="0"/>
        <w:ind w:left="1321" w:right="0" w:hanging="629"/>
        <w:jc w:val="left"/>
        <w:rPr>
          <w:sz w:val="21"/>
        </w:rPr>
      </w:pPr>
      <w:r>
        <w:rPr>
          <w:spacing w:val="-2"/>
          <w:sz w:val="21"/>
        </w:rPr>
        <w:t>初次罹患</w:t>
      </w:r>
    </w:p>
    <w:p>
      <w:pPr>
        <w:pStyle w:val="ListParagraph"/>
        <w:numPr>
          <w:ilvl w:val="1"/>
          <w:numId w:val="9"/>
        </w:numPr>
        <w:tabs>
          <w:tab w:pos="1324" w:val="left" w:leader="none"/>
        </w:tabs>
        <w:spacing w:line="268" w:lineRule="exact" w:before="0" w:after="0"/>
        <w:ind w:left="1321" w:right="0" w:hanging="629"/>
        <w:jc w:val="left"/>
        <w:rPr>
          <w:sz w:val="21"/>
        </w:rPr>
      </w:pPr>
      <w:r>
        <w:rPr>
          <w:spacing w:val="-2"/>
          <w:sz w:val="21"/>
        </w:rPr>
        <w:t>保险事故</w:t>
      </w:r>
    </w:p>
    <w:p>
      <w:pPr>
        <w:pStyle w:val="ListParagraph"/>
        <w:numPr>
          <w:ilvl w:val="1"/>
          <w:numId w:val="9"/>
        </w:numPr>
        <w:tabs>
          <w:tab w:pos="1324" w:val="left" w:leader="none"/>
        </w:tabs>
        <w:spacing w:line="274" w:lineRule="exact" w:before="0" w:after="0"/>
        <w:ind w:left="1321" w:right="0" w:hanging="629"/>
        <w:jc w:val="left"/>
        <w:rPr>
          <w:sz w:val="21"/>
        </w:rPr>
      </w:pPr>
      <w:r>
        <w:rPr>
          <w:sz w:val="21"/>
        </w:rPr>
        <w:t>毒品</w:t>
      </w:r>
    </w:p>
    <w:p>
      <w:pPr>
        <w:pStyle w:val="ListParagraph"/>
        <w:numPr>
          <w:ilvl w:val="1"/>
          <w:numId w:val="9"/>
        </w:numPr>
        <w:tabs>
          <w:tab w:pos="1324" w:val="left" w:leader="none"/>
        </w:tabs>
        <w:spacing w:line="240" w:lineRule="auto" w:before="6" w:after="0"/>
        <w:ind w:left="1321" w:right="0" w:hanging="629"/>
        <w:jc w:val="left"/>
        <w:rPr>
          <w:sz w:val="21"/>
        </w:rPr>
      </w:pPr>
      <w:r>
        <w:rPr>
          <w:spacing w:val="-2"/>
          <w:sz w:val="21"/>
        </w:rPr>
        <w:t>酒后驾驶</w:t>
      </w:r>
    </w:p>
    <w:p>
      <w:pPr>
        <w:pStyle w:val="ListParagraph"/>
        <w:numPr>
          <w:ilvl w:val="1"/>
          <w:numId w:val="9"/>
        </w:numPr>
        <w:tabs>
          <w:tab w:pos="1327" w:val="left" w:leader="none"/>
        </w:tabs>
        <w:spacing w:line="244" w:lineRule="auto" w:before="3" w:after="0"/>
        <w:ind w:left="1321" w:right="486" w:hanging="629"/>
        <w:jc w:val="left"/>
        <w:rPr>
          <w:sz w:val="21"/>
        </w:rPr>
      </w:pPr>
      <w:r>
        <w:rPr>
          <w:sz w:val="21"/>
        </w:rPr>
        <w:t>无合法有效驾驶证驾驶</w:t>
      </w:r>
    </w:p>
    <w:p>
      <w:pPr>
        <w:pStyle w:val="ListParagraph"/>
        <w:numPr>
          <w:ilvl w:val="1"/>
          <w:numId w:val="9"/>
        </w:numPr>
        <w:tabs>
          <w:tab w:pos="1324" w:val="left" w:leader="none"/>
        </w:tabs>
        <w:spacing w:line="240" w:lineRule="auto" w:before="1" w:after="0"/>
        <w:ind w:left="1321" w:right="0" w:hanging="629"/>
        <w:jc w:val="left"/>
        <w:rPr>
          <w:sz w:val="21"/>
        </w:rPr>
      </w:pPr>
      <w:r>
        <w:rPr>
          <w:spacing w:val="-3"/>
          <w:sz w:val="21"/>
        </w:rPr>
        <w:t>无有效行驶证</w:t>
      </w:r>
    </w:p>
    <w:p>
      <w:pPr>
        <w:pStyle w:val="ListParagraph"/>
        <w:numPr>
          <w:ilvl w:val="1"/>
          <w:numId w:val="9"/>
        </w:numPr>
        <w:tabs>
          <w:tab w:pos="1324" w:val="left" w:leader="none"/>
        </w:tabs>
        <w:spacing w:line="240" w:lineRule="auto" w:before="3" w:after="0"/>
        <w:ind w:left="1321" w:right="0" w:hanging="629"/>
        <w:jc w:val="left"/>
        <w:rPr>
          <w:sz w:val="21"/>
        </w:rPr>
      </w:pPr>
      <w:r>
        <w:rPr>
          <w:spacing w:val="-2"/>
          <w:sz w:val="21"/>
        </w:rPr>
        <w:t>机动车</w:t>
      </w:r>
    </w:p>
    <w:p>
      <w:pPr>
        <w:pStyle w:val="ListParagraph"/>
        <w:numPr>
          <w:ilvl w:val="1"/>
          <w:numId w:val="9"/>
        </w:numPr>
        <w:tabs>
          <w:tab w:pos="1324" w:val="left" w:leader="none"/>
        </w:tabs>
        <w:spacing w:line="244" w:lineRule="auto" w:before="6" w:after="0"/>
        <w:ind w:left="1321" w:right="516" w:hanging="629"/>
        <w:jc w:val="left"/>
        <w:rPr>
          <w:sz w:val="21"/>
        </w:rPr>
      </w:pPr>
      <w:r>
        <w:rPr>
          <w:spacing w:val="-3"/>
          <w:sz w:val="21"/>
        </w:rPr>
        <w:t>感染艾滋病病毒或患艾滋病</w:t>
      </w:r>
    </w:p>
    <w:p>
      <w:pPr>
        <w:pStyle w:val="ListParagraph"/>
        <w:numPr>
          <w:ilvl w:val="1"/>
          <w:numId w:val="9"/>
        </w:numPr>
        <w:tabs>
          <w:tab w:pos="1324" w:val="left" w:leader="none"/>
        </w:tabs>
        <w:spacing w:line="253" w:lineRule="exact" w:before="0" w:after="0"/>
        <w:ind w:left="1321" w:right="0" w:hanging="629"/>
        <w:jc w:val="left"/>
        <w:rPr>
          <w:sz w:val="21"/>
        </w:rPr>
      </w:pPr>
      <w:r>
        <w:rPr>
          <w:spacing w:val="-3"/>
          <w:sz w:val="21"/>
        </w:rPr>
        <w:t>遗传性疾病</w:t>
      </w:r>
    </w:p>
    <w:p>
      <w:pPr>
        <w:pStyle w:val="ListParagraph"/>
        <w:numPr>
          <w:ilvl w:val="1"/>
          <w:numId w:val="9"/>
        </w:numPr>
        <w:tabs>
          <w:tab w:pos="1324" w:val="left" w:leader="none"/>
        </w:tabs>
        <w:spacing w:line="225" w:lineRule="auto" w:before="10" w:after="0"/>
        <w:ind w:left="1321" w:right="516" w:hanging="629"/>
        <w:jc w:val="left"/>
        <w:rPr>
          <w:sz w:val="21"/>
        </w:rPr>
      </w:pPr>
      <w:r>
        <w:rPr>
          <w:spacing w:val="-3"/>
          <w:sz w:val="21"/>
        </w:rPr>
        <w:t>先天性畸形、变形或染色体异常</w:t>
      </w:r>
    </w:p>
    <w:p>
      <w:pPr>
        <w:pStyle w:val="ListParagraph"/>
        <w:numPr>
          <w:ilvl w:val="1"/>
          <w:numId w:val="9"/>
        </w:numPr>
        <w:tabs>
          <w:tab w:pos="1324" w:val="left" w:leader="none"/>
        </w:tabs>
        <w:spacing w:line="253" w:lineRule="exact" w:before="0" w:after="0"/>
        <w:ind w:left="1321" w:right="0" w:hanging="629"/>
        <w:jc w:val="left"/>
        <w:rPr>
          <w:sz w:val="21"/>
        </w:rPr>
      </w:pPr>
      <w:r>
        <w:rPr>
          <w:spacing w:val="-2"/>
          <w:sz w:val="21"/>
        </w:rPr>
        <w:t>不可抗力</w:t>
      </w:r>
    </w:p>
    <w:p>
      <w:pPr>
        <w:pStyle w:val="ListParagraph"/>
        <w:numPr>
          <w:ilvl w:val="1"/>
          <w:numId w:val="9"/>
        </w:numPr>
        <w:tabs>
          <w:tab w:pos="1324" w:val="left" w:leader="none"/>
        </w:tabs>
        <w:spacing w:line="260" w:lineRule="exact" w:before="0" w:after="0"/>
        <w:ind w:left="1321" w:right="0" w:hanging="629"/>
        <w:jc w:val="left"/>
        <w:rPr>
          <w:sz w:val="21"/>
        </w:rPr>
      </w:pPr>
      <w:r>
        <w:rPr>
          <w:spacing w:val="-3"/>
          <w:sz w:val="21"/>
        </w:rPr>
        <w:t>法定身份证明</w:t>
      </w:r>
    </w:p>
    <w:p>
      <w:pPr>
        <w:pStyle w:val="ListParagraph"/>
        <w:numPr>
          <w:ilvl w:val="1"/>
          <w:numId w:val="9"/>
        </w:numPr>
        <w:tabs>
          <w:tab w:pos="1322" w:val="left" w:leader="none"/>
        </w:tabs>
        <w:spacing w:line="259" w:lineRule="exact" w:before="0" w:after="0"/>
        <w:ind w:left="1321" w:right="0" w:hanging="629"/>
        <w:jc w:val="left"/>
        <w:rPr>
          <w:sz w:val="21"/>
        </w:rPr>
      </w:pPr>
      <w:r>
        <w:rPr>
          <w:spacing w:val="-2"/>
          <w:sz w:val="21"/>
        </w:rPr>
        <w:t>现金价值净额</w:t>
      </w:r>
    </w:p>
    <w:p>
      <w:pPr>
        <w:pStyle w:val="ListParagraph"/>
        <w:numPr>
          <w:ilvl w:val="1"/>
          <w:numId w:val="9"/>
        </w:numPr>
        <w:tabs>
          <w:tab w:pos="1324" w:val="left" w:leader="none"/>
        </w:tabs>
        <w:spacing w:line="260" w:lineRule="exact" w:before="0" w:after="0"/>
        <w:ind w:left="1321" w:right="0" w:hanging="629"/>
        <w:jc w:val="left"/>
        <w:rPr>
          <w:sz w:val="21"/>
        </w:rPr>
      </w:pPr>
      <w:r>
        <w:rPr>
          <w:spacing w:val="-2"/>
          <w:sz w:val="21"/>
        </w:rPr>
        <w:t>约定利率</w:t>
      </w:r>
    </w:p>
    <w:p>
      <w:pPr>
        <w:pStyle w:val="ListParagraph"/>
        <w:numPr>
          <w:ilvl w:val="1"/>
          <w:numId w:val="9"/>
        </w:numPr>
        <w:tabs>
          <w:tab w:pos="1324" w:val="left" w:leader="none"/>
        </w:tabs>
        <w:spacing w:line="268" w:lineRule="exact" w:before="0" w:after="0"/>
        <w:ind w:left="1321" w:right="0" w:hanging="629"/>
        <w:jc w:val="left"/>
        <w:rPr>
          <w:sz w:val="21"/>
        </w:rPr>
      </w:pPr>
      <w:r>
        <w:rPr>
          <w:sz w:val="21"/>
        </w:rPr>
        <w:t>周岁</w:t>
      </w:r>
    </w:p>
    <w:p>
      <w:pPr>
        <w:spacing w:after="0" w:line="268" w:lineRule="exact"/>
        <w:jc w:val="left"/>
        <w:rPr>
          <w:sz w:val="21"/>
        </w:rPr>
        <w:sectPr>
          <w:type w:val="continuous"/>
          <w:pgSz w:w="11910" w:h="16840"/>
          <w:pgMar w:top="620" w:bottom="280" w:left="780" w:right="660"/>
          <w:cols w:num="3" w:equalWidth="0">
            <w:col w:w="3651" w:space="40"/>
            <w:col w:w="3211" w:space="39"/>
            <w:col w:w="3529"/>
          </w:cols>
        </w:sectPr>
      </w:pPr>
    </w:p>
    <w:p>
      <w:pPr>
        <w:pStyle w:val="BodyText"/>
        <w:spacing w:before="11"/>
        <w:rPr>
          <w:sz w:val="3"/>
        </w:rPr>
      </w:pPr>
    </w:p>
    <w:tbl>
      <w:tblPr>
        <w:tblW w:w="0" w:type="auto"/>
        <w:jc w:val="left"/>
        <w:tblInd w:w="1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1364"/>
        <w:gridCol w:w="945"/>
      </w:tblGrid>
      <w:tr>
        <w:trPr>
          <w:trHeight w:val="235" w:hRule="atLeast"/>
        </w:trPr>
        <w:tc>
          <w:tcPr>
            <w:tcW w:w="2524" w:type="dxa"/>
          </w:tcPr>
          <w:p>
            <w:pPr>
              <w:pStyle w:val="TableParagraph"/>
              <w:spacing w:before="0"/>
              <w:ind w:left="0"/>
              <w:rPr>
                <w:rFonts w:ascii="Times New Roman"/>
                <w:sz w:val="16"/>
              </w:rPr>
            </w:pPr>
          </w:p>
        </w:tc>
        <w:tc>
          <w:tcPr>
            <w:tcW w:w="1364" w:type="dxa"/>
          </w:tcPr>
          <w:p>
            <w:pPr>
              <w:pStyle w:val="TableParagraph"/>
              <w:spacing w:line="211" w:lineRule="exact" w:before="0"/>
              <w:ind w:left="0" w:right="50"/>
              <w:jc w:val="right"/>
              <w:rPr>
                <w:sz w:val="21"/>
              </w:rPr>
            </w:pPr>
            <w:r>
              <w:rPr>
                <w:sz w:val="21"/>
              </w:rPr>
              <w:t>10.4</w:t>
            </w:r>
          </w:p>
        </w:tc>
        <w:tc>
          <w:tcPr>
            <w:tcW w:w="945" w:type="dxa"/>
          </w:tcPr>
          <w:p>
            <w:pPr>
              <w:pStyle w:val="TableParagraph"/>
              <w:spacing w:line="211" w:lineRule="exact" w:before="0"/>
              <w:ind w:left="32" w:right="33"/>
              <w:jc w:val="center"/>
              <w:rPr>
                <w:sz w:val="21"/>
              </w:rPr>
            </w:pPr>
            <w:r>
              <w:rPr>
                <w:sz w:val="21"/>
              </w:rPr>
              <w:t>特殊群体</w:t>
            </w:r>
          </w:p>
        </w:tc>
      </w:tr>
      <w:tr>
        <w:trPr>
          <w:trHeight w:val="259" w:hRule="atLeast"/>
        </w:trPr>
        <w:tc>
          <w:tcPr>
            <w:tcW w:w="2524" w:type="dxa"/>
          </w:tcPr>
          <w:p>
            <w:pPr>
              <w:pStyle w:val="TableParagraph"/>
              <w:spacing w:line="235" w:lineRule="exact" w:before="0"/>
              <w:ind w:left="50"/>
              <w:rPr>
                <w:b/>
                <w:sz w:val="21"/>
              </w:rPr>
            </w:pPr>
            <w:r>
              <w:rPr>
                <w:b/>
                <w:sz w:val="21"/>
              </w:rPr>
              <w:t>5．现金价值权益</w:t>
            </w:r>
          </w:p>
        </w:tc>
        <w:tc>
          <w:tcPr>
            <w:tcW w:w="1364" w:type="dxa"/>
          </w:tcPr>
          <w:p>
            <w:pPr>
              <w:pStyle w:val="TableParagraph"/>
              <w:spacing w:line="235" w:lineRule="exact" w:before="0"/>
              <w:ind w:left="0" w:right="50"/>
              <w:jc w:val="right"/>
              <w:rPr>
                <w:sz w:val="21"/>
              </w:rPr>
            </w:pPr>
            <w:r>
              <w:rPr>
                <w:sz w:val="21"/>
              </w:rPr>
              <w:t>10.5</w:t>
            </w:r>
          </w:p>
        </w:tc>
        <w:tc>
          <w:tcPr>
            <w:tcW w:w="945" w:type="dxa"/>
          </w:tcPr>
          <w:p>
            <w:pPr>
              <w:pStyle w:val="TableParagraph"/>
              <w:spacing w:line="235" w:lineRule="exact" w:before="0"/>
              <w:ind w:left="32" w:right="33"/>
              <w:jc w:val="center"/>
              <w:rPr>
                <w:sz w:val="21"/>
              </w:rPr>
            </w:pPr>
            <w:r>
              <w:rPr>
                <w:sz w:val="21"/>
              </w:rPr>
              <w:t>意外伤害</w:t>
            </w:r>
          </w:p>
        </w:tc>
      </w:tr>
      <w:tr>
        <w:trPr>
          <w:trHeight w:val="267" w:hRule="atLeast"/>
        </w:trPr>
        <w:tc>
          <w:tcPr>
            <w:tcW w:w="2524" w:type="dxa"/>
          </w:tcPr>
          <w:p>
            <w:pPr>
              <w:pStyle w:val="TableParagraph"/>
              <w:spacing w:line="235" w:lineRule="exact" w:before="0"/>
              <w:ind w:left="261"/>
              <w:rPr>
                <w:sz w:val="21"/>
              </w:rPr>
            </w:pPr>
            <w:r>
              <w:rPr>
                <w:sz w:val="21"/>
              </w:rPr>
              <w:t>5.1 现金价值</w:t>
            </w:r>
          </w:p>
        </w:tc>
        <w:tc>
          <w:tcPr>
            <w:tcW w:w="1364" w:type="dxa"/>
          </w:tcPr>
          <w:p>
            <w:pPr>
              <w:pStyle w:val="TableParagraph"/>
              <w:spacing w:line="235" w:lineRule="exact" w:before="0"/>
              <w:ind w:left="0" w:right="50"/>
              <w:jc w:val="right"/>
              <w:rPr>
                <w:sz w:val="21"/>
              </w:rPr>
            </w:pPr>
            <w:r>
              <w:rPr>
                <w:sz w:val="21"/>
              </w:rPr>
              <w:t>10.6</w:t>
            </w:r>
          </w:p>
        </w:tc>
        <w:tc>
          <w:tcPr>
            <w:tcW w:w="945" w:type="dxa"/>
          </w:tcPr>
          <w:p>
            <w:pPr>
              <w:pStyle w:val="TableParagraph"/>
              <w:spacing w:line="235" w:lineRule="exact" w:before="0"/>
              <w:ind w:left="32" w:right="33"/>
              <w:jc w:val="center"/>
              <w:rPr>
                <w:sz w:val="21"/>
              </w:rPr>
            </w:pPr>
            <w:r>
              <w:rPr>
                <w:sz w:val="21"/>
              </w:rPr>
              <w:t>重大疾病</w:t>
            </w:r>
          </w:p>
        </w:tc>
      </w:tr>
      <w:tr>
        <w:trPr>
          <w:trHeight w:val="243" w:hRule="atLeast"/>
        </w:trPr>
        <w:tc>
          <w:tcPr>
            <w:tcW w:w="2524" w:type="dxa"/>
          </w:tcPr>
          <w:p>
            <w:pPr>
              <w:pStyle w:val="TableParagraph"/>
              <w:spacing w:line="224" w:lineRule="exact" w:before="0"/>
              <w:ind w:left="261"/>
              <w:rPr>
                <w:sz w:val="21"/>
              </w:rPr>
            </w:pPr>
            <w:r>
              <w:rPr>
                <w:sz w:val="21"/>
              </w:rPr>
              <w:t>5.2 保单贷款</w:t>
            </w:r>
          </w:p>
        </w:tc>
        <w:tc>
          <w:tcPr>
            <w:tcW w:w="1364" w:type="dxa"/>
          </w:tcPr>
          <w:p>
            <w:pPr>
              <w:pStyle w:val="TableParagraph"/>
              <w:spacing w:line="224" w:lineRule="exact" w:before="0"/>
              <w:ind w:left="0" w:right="50"/>
              <w:jc w:val="right"/>
              <w:rPr>
                <w:sz w:val="21"/>
              </w:rPr>
            </w:pPr>
            <w:r>
              <w:rPr>
                <w:sz w:val="21"/>
              </w:rPr>
              <w:t>10.7</w:t>
            </w:r>
          </w:p>
        </w:tc>
        <w:tc>
          <w:tcPr>
            <w:tcW w:w="945" w:type="dxa"/>
          </w:tcPr>
          <w:p>
            <w:pPr>
              <w:pStyle w:val="TableParagraph"/>
              <w:spacing w:line="224" w:lineRule="exact" w:before="0"/>
              <w:ind w:left="32" w:right="33"/>
              <w:jc w:val="center"/>
              <w:rPr>
                <w:sz w:val="21"/>
              </w:rPr>
            </w:pPr>
            <w:r>
              <w:rPr>
                <w:sz w:val="21"/>
              </w:rPr>
              <w:t>轻症疾病</w:t>
            </w:r>
          </w:p>
        </w:tc>
      </w:tr>
    </w:tbl>
    <w:p>
      <w:pPr>
        <w:spacing w:after="0" w:line="224" w:lineRule="exact"/>
        <w:jc w:val="center"/>
        <w:rPr>
          <w:sz w:val="21"/>
        </w:rPr>
        <w:sectPr>
          <w:type w:val="continuous"/>
          <w:pgSz w:w="11910" w:h="16840"/>
          <w:pgMar w:top="620" w:bottom="280" w:left="780" w:right="660"/>
        </w:sectPr>
      </w:pPr>
    </w:p>
    <w:p>
      <w:pPr>
        <w:spacing w:line="393" w:lineRule="exact" w:before="0"/>
        <w:ind w:left="2287" w:right="2288" w:firstLine="0"/>
        <w:jc w:val="center"/>
        <w:rPr>
          <w:b/>
          <w:sz w:val="32"/>
        </w:rPr>
      </w:pPr>
      <w:r>
        <w:rPr>
          <w:b/>
          <w:w w:val="95"/>
          <w:sz w:val="32"/>
        </w:rPr>
        <w:t>君康人寿保险股份有限公司</w:t>
      </w:r>
    </w:p>
    <w:p>
      <w:pPr>
        <w:spacing w:before="205"/>
        <w:ind w:left="2288" w:right="2288" w:firstLine="0"/>
        <w:jc w:val="center"/>
        <w:rPr>
          <w:b/>
          <w:sz w:val="32"/>
        </w:rPr>
      </w:pPr>
      <w:r>
        <w:rPr>
          <w:b/>
          <w:w w:val="95"/>
          <w:sz w:val="32"/>
        </w:rPr>
        <w:t>君康附加六福提前给付重大疾病保险条款</w:t>
      </w:r>
    </w:p>
    <w:p>
      <w:pPr>
        <w:pStyle w:val="BodyText"/>
        <w:rPr>
          <w:b/>
          <w:sz w:val="20"/>
        </w:rPr>
      </w:pPr>
    </w:p>
    <w:p>
      <w:pPr>
        <w:pStyle w:val="BodyText"/>
        <w:rPr>
          <w:b/>
          <w:sz w:val="20"/>
        </w:rPr>
      </w:pPr>
    </w:p>
    <w:p>
      <w:pPr>
        <w:pStyle w:val="BodyText"/>
        <w:spacing w:before="11"/>
        <w:rPr>
          <w:b/>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00"/>
        <w:gridCol w:w="7697"/>
      </w:tblGrid>
      <w:tr>
        <w:trPr>
          <w:trHeight w:val="473" w:hRule="atLeast"/>
        </w:trPr>
        <w:tc>
          <w:tcPr>
            <w:tcW w:w="677" w:type="dxa"/>
            <w:tcBorders>
              <w:bottom w:val="single" w:sz="4" w:space="0" w:color="000000"/>
            </w:tcBorders>
          </w:tcPr>
          <w:p>
            <w:pPr>
              <w:pStyle w:val="TableParagraph"/>
              <w:spacing w:line="319" w:lineRule="exact" w:before="0"/>
              <w:ind w:left="0" w:right="116"/>
              <w:jc w:val="center"/>
              <w:rPr>
                <w:b/>
                <w:sz w:val="32"/>
              </w:rPr>
            </w:pPr>
            <w:r>
              <w:rPr>
                <w:b/>
                <w:w w:val="98"/>
                <w:sz w:val="32"/>
              </w:rPr>
              <w:t>1</w:t>
            </w:r>
          </w:p>
        </w:tc>
        <w:tc>
          <w:tcPr>
            <w:tcW w:w="9197" w:type="dxa"/>
            <w:gridSpan w:val="2"/>
            <w:tcBorders>
              <w:bottom w:val="single" w:sz="4" w:space="0" w:color="000000"/>
            </w:tcBorders>
          </w:tcPr>
          <w:p>
            <w:pPr>
              <w:pStyle w:val="TableParagraph"/>
              <w:spacing w:line="282" w:lineRule="exact" w:before="0"/>
              <w:ind w:left="249"/>
              <w:rPr>
                <w:b/>
                <w:sz w:val="24"/>
              </w:rPr>
            </w:pPr>
            <w:r>
              <w:rPr>
                <w:b/>
                <w:w w:val="95"/>
                <w:sz w:val="24"/>
              </w:rPr>
              <w:t>投保人与本公司的合同</w:t>
            </w:r>
          </w:p>
        </w:tc>
      </w:tr>
      <w:tr>
        <w:trPr>
          <w:trHeight w:val="1602" w:hRule="atLeast"/>
        </w:trPr>
        <w:tc>
          <w:tcPr>
            <w:tcW w:w="677" w:type="dxa"/>
            <w:tcBorders>
              <w:top w:val="single" w:sz="4" w:space="0" w:color="000000"/>
            </w:tcBorders>
          </w:tcPr>
          <w:p>
            <w:pPr>
              <w:pStyle w:val="TableParagraph"/>
              <w:spacing w:before="167"/>
              <w:ind w:left="91" w:right="228"/>
              <w:jc w:val="center"/>
              <w:rPr>
                <w:b/>
                <w:sz w:val="21"/>
              </w:rPr>
            </w:pPr>
            <w:r>
              <w:rPr>
                <w:b/>
                <w:sz w:val="21"/>
              </w:rPr>
              <w:t>1.1</w:t>
            </w:r>
          </w:p>
        </w:tc>
        <w:tc>
          <w:tcPr>
            <w:tcW w:w="1500" w:type="dxa"/>
            <w:tcBorders>
              <w:top w:val="single" w:sz="4" w:space="0" w:color="000000"/>
            </w:tcBorders>
          </w:tcPr>
          <w:p>
            <w:pPr>
              <w:pStyle w:val="TableParagraph"/>
              <w:spacing w:before="167"/>
              <w:ind w:left="249"/>
              <w:rPr>
                <w:b/>
                <w:sz w:val="21"/>
              </w:rPr>
            </w:pPr>
            <w:r>
              <w:rPr>
                <w:b/>
                <w:sz w:val="21"/>
              </w:rPr>
              <w:t>合同构成</w:t>
            </w:r>
          </w:p>
        </w:tc>
        <w:tc>
          <w:tcPr>
            <w:tcW w:w="7697" w:type="dxa"/>
            <w:tcBorders>
              <w:top w:val="single" w:sz="4" w:space="0" w:color="000000"/>
            </w:tcBorders>
          </w:tcPr>
          <w:p>
            <w:pPr>
              <w:pStyle w:val="TableParagraph"/>
              <w:spacing w:line="300" w:lineRule="auto" w:before="150"/>
              <w:ind w:left="194" w:right="100"/>
              <w:jc w:val="both"/>
              <w:rPr>
                <w:sz w:val="21"/>
              </w:rPr>
            </w:pPr>
            <w:r>
              <w:rPr>
                <w:spacing w:val="-5"/>
                <w:w w:val="100"/>
                <w:sz w:val="21"/>
              </w:rPr>
              <w:t>君康附加六福提前给付重大疾病保险合同</w:t>
            </w:r>
            <w:r>
              <w:rPr>
                <w:spacing w:val="-3"/>
                <w:w w:val="100"/>
                <w:sz w:val="21"/>
              </w:rPr>
              <w:t>（</w:t>
            </w:r>
            <w:r>
              <w:rPr>
                <w:spacing w:val="-16"/>
                <w:w w:val="100"/>
                <w:sz w:val="21"/>
              </w:rPr>
              <w:t>以下简称“本附加合同”</w:t>
            </w:r>
            <w:r>
              <w:rPr>
                <w:spacing w:val="-22"/>
                <w:w w:val="100"/>
                <w:sz w:val="21"/>
              </w:rPr>
              <w:t>）</w:t>
            </w:r>
            <w:r>
              <w:rPr>
                <w:spacing w:val="-3"/>
                <w:w w:val="100"/>
                <w:sz w:val="21"/>
              </w:rPr>
              <w:t>是主保险合</w:t>
            </w:r>
            <w:r>
              <w:rPr>
                <w:spacing w:val="-15"/>
                <w:w w:val="100"/>
                <w:sz w:val="21"/>
              </w:rPr>
              <w:t>同</w:t>
            </w:r>
            <w:r>
              <w:rPr>
                <w:spacing w:val="-3"/>
                <w:w w:val="100"/>
                <w:sz w:val="21"/>
              </w:rPr>
              <w:t>（</w:t>
            </w:r>
            <w:r>
              <w:rPr>
                <w:spacing w:val="-17"/>
                <w:w w:val="100"/>
                <w:sz w:val="21"/>
              </w:rPr>
              <w:t>以下简称“主合同”）</w:t>
            </w:r>
            <w:r>
              <w:rPr>
                <w:spacing w:val="-5"/>
                <w:w w:val="100"/>
                <w:sz w:val="21"/>
              </w:rPr>
              <w:t>的附加合同。本附加合同由保险单或其它保险凭证及其</w:t>
            </w:r>
            <w:r>
              <w:rPr>
                <w:spacing w:val="-5"/>
                <w:sz w:val="21"/>
              </w:rPr>
              <w:t>所附条款、投保单、与本附加合同有关的投保文件、合法有效的声明、批注、附</w:t>
            </w:r>
            <w:r>
              <w:rPr>
                <w:spacing w:val="-4"/>
                <w:sz w:val="21"/>
              </w:rPr>
              <w:t>贴批单、变更申请书及其它书面协议构成。</w:t>
            </w:r>
          </w:p>
        </w:tc>
      </w:tr>
      <w:tr>
        <w:trPr>
          <w:trHeight w:val="1190" w:hRule="atLeast"/>
        </w:trPr>
        <w:tc>
          <w:tcPr>
            <w:tcW w:w="677" w:type="dxa"/>
          </w:tcPr>
          <w:p>
            <w:pPr>
              <w:pStyle w:val="TableParagraph"/>
              <w:spacing w:before="99"/>
              <w:ind w:left="91" w:right="228"/>
              <w:jc w:val="center"/>
              <w:rPr>
                <w:b/>
                <w:sz w:val="21"/>
              </w:rPr>
            </w:pPr>
            <w:r>
              <w:rPr>
                <w:b/>
                <w:sz w:val="21"/>
              </w:rPr>
              <w:t>1.2</w:t>
            </w:r>
          </w:p>
        </w:tc>
        <w:tc>
          <w:tcPr>
            <w:tcW w:w="1500" w:type="dxa"/>
          </w:tcPr>
          <w:p>
            <w:pPr>
              <w:pStyle w:val="TableParagraph"/>
              <w:spacing w:line="326" w:lineRule="auto" w:before="99"/>
              <w:ind w:left="249" w:right="192"/>
              <w:rPr>
                <w:b/>
                <w:sz w:val="21"/>
              </w:rPr>
            </w:pPr>
            <w:r>
              <w:rPr>
                <w:b/>
                <w:sz w:val="21"/>
              </w:rPr>
              <w:t>合同成立与生效</w:t>
            </w:r>
          </w:p>
        </w:tc>
        <w:tc>
          <w:tcPr>
            <w:tcW w:w="7697" w:type="dxa"/>
          </w:tcPr>
          <w:p>
            <w:pPr>
              <w:pStyle w:val="TableParagraph"/>
              <w:spacing w:before="82"/>
              <w:ind w:left="194"/>
              <w:rPr>
                <w:sz w:val="21"/>
              </w:rPr>
            </w:pPr>
            <w:r>
              <w:rPr>
                <w:sz w:val="21"/>
              </w:rPr>
              <w:t>投保人提出保险申请，</w:t>
            </w:r>
            <w:r>
              <w:rPr>
                <w:b/>
                <w:sz w:val="21"/>
              </w:rPr>
              <w:t>本公司</w:t>
            </w:r>
            <w:r>
              <w:rPr>
                <w:sz w:val="21"/>
              </w:rPr>
              <w:t>（见 10.1）同意承保，本附加合同成立。</w:t>
            </w:r>
          </w:p>
          <w:p>
            <w:pPr>
              <w:pStyle w:val="TableParagraph"/>
              <w:spacing w:line="300" w:lineRule="auto" w:before="67"/>
              <w:ind w:left="194" w:right="101"/>
              <w:rPr>
                <w:sz w:val="21"/>
              </w:rPr>
            </w:pPr>
            <w:r>
              <w:rPr>
                <w:spacing w:val="-5"/>
                <w:sz w:val="21"/>
              </w:rPr>
              <w:t>本附加合同的生效日、</w:t>
            </w:r>
            <w:r>
              <w:rPr>
                <w:b/>
                <w:spacing w:val="-4"/>
                <w:sz w:val="21"/>
              </w:rPr>
              <w:t>保单年度</w:t>
            </w:r>
            <w:r>
              <w:rPr>
                <w:sz w:val="21"/>
              </w:rPr>
              <w:t>（</w:t>
            </w:r>
            <w:r>
              <w:rPr>
                <w:spacing w:val="-20"/>
                <w:sz w:val="21"/>
              </w:rPr>
              <w:t>见 </w:t>
            </w:r>
            <w:r>
              <w:rPr>
                <w:spacing w:val="-4"/>
                <w:sz w:val="21"/>
              </w:rPr>
              <w:t>10.2）</w:t>
            </w:r>
            <w:r>
              <w:rPr>
                <w:spacing w:val="-3"/>
                <w:sz w:val="21"/>
              </w:rPr>
              <w:t>和</w:t>
            </w:r>
            <w:r>
              <w:rPr>
                <w:b/>
                <w:spacing w:val="-3"/>
                <w:sz w:val="21"/>
              </w:rPr>
              <w:t>保险费应交日</w:t>
            </w:r>
            <w:r>
              <w:rPr>
                <w:sz w:val="21"/>
              </w:rPr>
              <w:t>（</w:t>
            </w:r>
            <w:r>
              <w:rPr>
                <w:spacing w:val="-20"/>
                <w:sz w:val="21"/>
              </w:rPr>
              <w:t>见 </w:t>
            </w:r>
            <w:r>
              <w:rPr>
                <w:spacing w:val="-4"/>
                <w:sz w:val="21"/>
              </w:rPr>
              <w:t>10.3）</w:t>
            </w:r>
            <w:r>
              <w:rPr>
                <w:spacing w:val="-2"/>
                <w:sz w:val="21"/>
              </w:rPr>
              <w:t>与主合同一致。</w:t>
            </w:r>
          </w:p>
        </w:tc>
      </w:tr>
      <w:tr>
        <w:trPr>
          <w:trHeight w:val="526" w:hRule="atLeast"/>
        </w:trPr>
        <w:tc>
          <w:tcPr>
            <w:tcW w:w="677" w:type="dxa"/>
          </w:tcPr>
          <w:p>
            <w:pPr>
              <w:pStyle w:val="TableParagraph"/>
              <w:spacing w:before="99"/>
              <w:ind w:left="91" w:right="228"/>
              <w:jc w:val="center"/>
              <w:rPr>
                <w:b/>
                <w:sz w:val="21"/>
              </w:rPr>
            </w:pPr>
            <w:r>
              <w:rPr>
                <w:b/>
                <w:sz w:val="21"/>
              </w:rPr>
              <w:t>1.3</w:t>
            </w:r>
          </w:p>
        </w:tc>
        <w:tc>
          <w:tcPr>
            <w:tcW w:w="1500" w:type="dxa"/>
          </w:tcPr>
          <w:p>
            <w:pPr>
              <w:pStyle w:val="TableParagraph"/>
              <w:spacing w:before="99"/>
              <w:ind w:left="249"/>
              <w:rPr>
                <w:b/>
                <w:sz w:val="21"/>
              </w:rPr>
            </w:pPr>
            <w:r>
              <w:rPr>
                <w:b/>
                <w:sz w:val="21"/>
              </w:rPr>
              <w:t>投保范围</w:t>
            </w:r>
          </w:p>
        </w:tc>
        <w:tc>
          <w:tcPr>
            <w:tcW w:w="7697" w:type="dxa"/>
          </w:tcPr>
          <w:p>
            <w:pPr>
              <w:pStyle w:val="TableParagraph"/>
              <w:spacing w:before="82"/>
              <w:ind w:left="194"/>
              <w:rPr>
                <w:sz w:val="21"/>
              </w:rPr>
            </w:pPr>
            <w:r>
              <w:rPr>
                <w:sz w:val="21"/>
              </w:rPr>
              <w:t>本附加合同的投保人、被保险人与主合同一致。</w:t>
            </w:r>
          </w:p>
        </w:tc>
      </w:tr>
      <w:tr>
        <w:trPr>
          <w:trHeight w:val="2611" w:hRule="atLeast"/>
        </w:trPr>
        <w:tc>
          <w:tcPr>
            <w:tcW w:w="677" w:type="dxa"/>
          </w:tcPr>
          <w:p>
            <w:pPr>
              <w:pStyle w:val="TableParagraph"/>
              <w:spacing w:before="105"/>
              <w:ind w:left="91" w:right="228"/>
              <w:jc w:val="center"/>
              <w:rPr>
                <w:b/>
                <w:sz w:val="21"/>
              </w:rPr>
            </w:pPr>
            <w:r>
              <w:rPr>
                <w:b/>
                <w:sz w:val="21"/>
              </w:rPr>
              <w:t>1.4</w:t>
            </w:r>
          </w:p>
        </w:tc>
        <w:tc>
          <w:tcPr>
            <w:tcW w:w="1500" w:type="dxa"/>
          </w:tcPr>
          <w:p>
            <w:pPr>
              <w:pStyle w:val="TableParagraph"/>
              <w:spacing w:before="105"/>
              <w:ind w:left="249"/>
              <w:rPr>
                <w:b/>
                <w:sz w:val="21"/>
              </w:rPr>
            </w:pPr>
            <w:r>
              <w:rPr>
                <w:b/>
                <w:sz w:val="21"/>
              </w:rPr>
              <w:t>犹豫期</w:t>
            </w:r>
          </w:p>
        </w:tc>
        <w:tc>
          <w:tcPr>
            <w:tcW w:w="7697" w:type="dxa"/>
          </w:tcPr>
          <w:p>
            <w:pPr>
              <w:pStyle w:val="TableParagraph"/>
              <w:spacing w:line="300" w:lineRule="auto" w:before="88"/>
              <w:ind w:left="194" w:right="1"/>
              <w:jc w:val="both"/>
              <w:rPr>
                <w:sz w:val="21"/>
              </w:rPr>
            </w:pPr>
            <w:r>
              <w:rPr>
                <w:spacing w:val="-8"/>
                <w:sz w:val="21"/>
              </w:rPr>
              <w:t>自投保人签收本附加合同的次日起，有 </w:t>
            </w:r>
            <w:r>
              <w:rPr>
                <w:sz w:val="21"/>
              </w:rPr>
              <w:t>10</w:t>
            </w:r>
            <w:r>
              <w:rPr>
                <w:spacing w:val="-11"/>
                <w:sz w:val="21"/>
              </w:rPr>
              <w:t> 日的犹豫期。在此期间，如投保人认为本附加合同与投保人的需求不相符，可以解除本附加合同，本公司将无息退还保</w:t>
            </w:r>
            <w:r>
              <w:rPr>
                <w:spacing w:val="-10"/>
                <w:sz w:val="21"/>
              </w:rPr>
              <w:t>险费并可扣除不超过 </w:t>
            </w:r>
            <w:r>
              <w:rPr>
                <w:sz w:val="21"/>
              </w:rPr>
              <w:t>10</w:t>
            </w:r>
            <w:r>
              <w:rPr>
                <w:spacing w:val="-10"/>
                <w:sz w:val="21"/>
              </w:rPr>
              <w:t> 元的工本费</w:t>
            </w:r>
            <w:r>
              <w:rPr>
                <w:spacing w:val="-147"/>
                <w:sz w:val="21"/>
              </w:rPr>
              <w:t>。</w:t>
            </w:r>
            <w:r>
              <w:rPr>
                <w:spacing w:val="-3"/>
                <w:sz w:val="21"/>
              </w:rPr>
              <w:t>（</w:t>
            </w:r>
            <w:r>
              <w:rPr>
                <w:b/>
                <w:spacing w:val="-10"/>
                <w:sz w:val="21"/>
              </w:rPr>
              <w:t>特殊群体</w:t>
            </w:r>
            <w:r>
              <w:rPr>
                <w:spacing w:val="-3"/>
                <w:sz w:val="21"/>
              </w:rPr>
              <w:t>（</w:t>
            </w:r>
            <w:r>
              <w:rPr>
                <w:spacing w:val="-21"/>
                <w:sz w:val="21"/>
              </w:rPr>
              <w:t>见 </w:t>
            </w:r>
            <w:r>
              <w:rPr>
                <w:spacing w:val="-9"/>
                <w:sz w:val="21"/>
              </w:rPr>
              <w:t>10.4）</w:t>
            </w:r>
            <w:r>
              <w:rPr>
                <w:spacing w:val="-3"/>
                <w:sz w:val="21"/>
              </w:rPr>
              <w:t>客户另有约定的除外</w:t>
            </w:r>
            <w:r>
              <w:rPr>
                <w:sz w:val="21"/>
              </w:rPr>
              <w:t>）</w:t>
            </w:r>
          </w:p>
          <w:p>
            <w:pPr>
              <w:pStyle w:val="TableParagraph"/>
              <w:spacing w:before="5"/>
              <w:ind w:left="0"/>
              <w:rPr>
                <w:b/>
                <w:sz w:val="27"/>
              </w:rPr>
            </w:pPr>
          </w:p>
          <w:p>
            <w:pPr>
              <w:pStyle w:val="TableParagraph"/>
              <w:spacing w:line="300" w:lineRule="auto" w:before="0"/>
              <w:ind w:left="194" w:right="99"/>
              <w:jc w:val="both"/>
              <w:rPr>
                <w:rFonts w:ascii="黑体" w:eastAsia="黑体" w:hint="eastAsia"/>
                <w:sz w:val="21"/>
              </w:rPr>
            </w:pPr>
            <w:r>
              <w:rPr>
                <w:rFonts w:ascii="黑体" w:eastAsia="黑体" w:hint="eastAsia"/>
                <w:sz w:val="21"/>
              </w:rPr>
              <w:t>犹豫期内解除合同时，投保人需要填写申请书，并提供本附加合同及本公司要求的相关资料。自本公司收到投保人申请解除合同的书面申请之日起，本附加合同即被解除，本公司自本附加合同Th效日起自始不承担保险责任。</w:t>
            </w:r>
          </w:p>
        </w:tc>
      </w:tr>
      <w:tr>
        <w:trPr>
          <w:trHeight w:val="662" w:hRule="atLeast"/>
        </w:trPr>
        <w:tc>
          <w:tcPr>
            <w:tcW w:w="677" w:type="dxa"/>
            <w:tcBorders>
              <w:bottom w:val="single" w:sz="4" w:space="0" w:color="000000"/>
            </w:tcBorders>
          </w:tcPr>
          <w:p>
            <w:pPr>
              <w:pStyle w:val="TableParagraph"/>
              <w:spacing w:before="89"/>
              <w:ind w:left="0" w:right="116"/>
              <w:jc w:val="center"/>
              <w:rPr>
                <w:b/>
                <w:sz w:val="32"/>
              </w:rPr>
            </w:pPr>
            <w:r>
              <w:rPr>
                <w:b/>
                <w:w w:val="98"/>
                <w:sz w:val="32"/>
              </w:rPr>
              <w:t>2</w:t>
            </w:r>
          </w:p>
        </w:tc>
        <w:tc>
          <w:tcPr>
            <w:tcW w:w="9197" w:type="dxa"/>
            <w:gridSpan w:val="2"/>
            <w:tcBorders>
              <w:bottom w:val="single" w:sz="4" w:space="0" w:color="000000"/>
            </w:tcBorders>
          </w:tcPr>
          <w:p>
            <w:pPr>
              <w:pStyle w:val="TableParagraph"/>
              <w:spacing w:before="154"/>
              <w:ind w:left="249"/>
              <w:rPr>
                <w:b/>
                <w:sz w:val="24"/>
              </w:rPr>
            </w:pPr>
            <w:r>
              <w:rPr>
                <w:b/>
                <w:w w:val="95"/>
                <w:sz w:val="24"/>
              </w:rPr>
              <w:t>本公司提供的保障</w:t>
            </w:r>
          </w:p>
        </w:tc>
      </w:tr>
      <w:tr>
        <w:trPr>
          <w:trHeight w:val="5406" w:hRule="atLeast"/>
        </w:trPr>
        <w:tc>
          <w:tcPr>
            <w:tcW w:w="677" w:type="dxa"/>
            <w:tcBorders>
              <w:top w:val="single" w:sz="4" w:space="0" w:color="000000"/>
            </w:tcBorders>
          </w:tcPr>
          <w:p>
            <w:pPr>
              <w:pStyle w:val="TableParagraph"/>
              <w:spacing w:before="169"/>
              <w:ind w:left="91" w:right="228"/>
              <w:jc w:val="center"/>
              <w:rPr>
                <w:b/>
                <w:sz w:val="21"/>
              </w:rPr>
            </w:pPr>
            <w:r>
              <w:rPr>
                <w:b/>
                <w:sz w:val="21"/>
              </w:rPr>
              <w:t>2.1</w:t>
            </w:r>
          </w:p>
        </w:tc>
        <w:tc>
          <w:tcPr>
            <w:tcW w:w="1500" w:type="dxa"/>
            <w:tcBorders>
              <w:top w:val="single" w:sz="4" w:space="0" w:color="000000"/>
            </w:tcBorders>
          </w:tcPr>
          <w:p>
            <w:pPr>
              <w:pStyle w:val="TableParagraph"/>
              <w:spacing w:before="169"/>
              <w:ind w:left="249"/>
              <w:rPr>
                <w:b/>
                <w:sz w:val="21"/>
              </w:rPr>
            </w:pPr>
            <w:r>
              <w:rPr>
                <w:b/>
                <w:sz w:val="21"/>
              </w:rPr>
              <w:t>保险责任</w:t>
            </w:r>
          </w:p>
        </w:tc>
        <w:tc>
          <w:tcPr>
            <w:tcW w:w="7697" w:type="dxa"/>
            <w:tcBorders>
              <w:top w:val="single" w:sz="4" w:space="0" w:color="000000"/>
            </w:tcBorders>
          </w:tcPr>
          <w:p>
            <w:pPr>
              <w:pStyle w:val="TableParagraph"/>
              <w:spacing w:before="153"/>
              <w:ind w:left="194"/>
              <w:rPr>
                <w:sz w:val="21"/>
              </w:rPr>
            </w:pPr>
            <w:r>
              <w:rPr>
                <w:sz w:val="21"/>
              </w:rPr>
              <w:t>在本附加合同有效期内，本公司对被保险人负下列保险责任：</w:t>
            </w:r>
          </w:p>
          <w:p>
            <w:pPr>
              <w:pStyle w:val="TableParagraph"/>
              <w:spacing w:before="68"/>
              <w:ind w:left="194"/>
              <w:rPr>
                <w:rFonts w:ascii="黑体" w:eastAsia="黑体" w:hint="eastAsia"/>
                <w:sz w:val="21"/>
              </w:rPr>
            </w:pPr>
            <w:r>
              <w:rPr>
                <w:rFonts w:ascii="黑体" w:eastAsia="黑体" w:hint="eastAsia"/>
                <w:sz w:val="21"/>
              </w:rPr>
              <w:t>一、等待期</w:t>
            </w:r>
          </w:p>
          <w:p>
            <w:pPr>
              <w:pStyle w:val="TableParagraph"/>
              <w:spacing w:before="68"/>
              <w:ind w:left="615"/>
              <w:rPr>
                <w:rFonts w:ascii="黑体" w:eastAsia="黑体" w:hint="eastAsia"/>
                <w:b/>
                <w:sz w:val="21"/>
              </w:rPr>
            </w:pPr>
            <w:r>
              <w:rPr>
                <w:rFonts w:ascii="黑体" w:eastAsia="黑体" w:hint="eastAsia"/>
                <w:spacing w:val="-3"/>
                <w:sz w:val="21"/>
              </w:rPr>
              <w:t>被保险人在本附加合同</w:t>
            </w:r>
            <w:r>
              <w:rPr>
                <w:rFonts w:ascii="黑体" w:eastAsia="黑体" w:hint="eastAsia"/>
                <w:sz w:val="21"/>
              </w:rPr>
              <w:t>Th</w:t>
            </w:r>
            <w:r>
              <w:rPr>
                <w:rFonts w:ascii="黑体" w:eastAsia="黑体" w:hint="eastAsia"/>
                <w:spacing w:val="-6"/>
                <w:sz w:val="21"/>
              </w:rPr>
              <w:t>效日或最后一个复效日起 </w:t>
            </w:r>
            <w:r>
              <w:rPr>
                <w:rFonts w:ascii="黑体" w:eastAsia="黑体" w:hint="eastAsia"/>
                <w:sz w:val="21"/>
              </w:rPr>
              <w:t>90</w:t>
            </w:r>
            <w:r>
              <w:rPr>
                <w:rFonts w:ascii="黑体" w:eastAsia="黑体" w:hint="eastAsia"/>
                <w:spacing w:val="-35"/>
                <w:sz w:val="21"/>
              </w:rPr>
              <w:t> 日</w:t>
            </w:r>
            <w:r>
              <w:rPr>
                <w:rFonts w:ascii="黑体" w:eastAsia="黑体" w:hint="eastAsia"/>
                <w:sz w:val="21"/>
              </w:rPr>
              <w:t>（</w:t>
            </w:r>
            <w:r>
              <w:rPr>
                <w:rFonts w:ascii="黑体" w:eastAsia="黑体" w:hint="eastAsia"/>
                <w:spacing w:val="-3"/>
                <w:sz w:val="21"/>
              </w:rPr>
              <w:t>含</w:t>
            </w:r>
            <w:r>
              <w:rPr>
                <w:rFonts w:ascii="黑体" w:eastAsia="黑体" w:hint="eastAsia"/>
                <w:spacing w:val="-34"/>
                <w:sz w:val="21"/>
              </w:rPr>
              <w:t>）</w:t>
            </w:r>
            <w:r>
              <w:rPr>
                <w:rFonts w:ascii="黑体" w:eastAsia="黑体" w:hint="eastAsia"/>
                <w:spacing w:val="-2"/>
                <w:sz w:val="21"/>
              </w:rPr>
              <w:t>内因</w:t>
            </w:r>
            <w:r>
              <w:rPr>
                <w:rFonts w:ascii="黑体" w:eastAsia="黑体" w:hint="eastAsia"/>
                <w:b/>
                <w:sz w:val="21"/>
              </w:rPr>
              <w:t>意外伤害</w:t>
            </w:r>
          </w:p>
          <w:p>
            <w:pPr>
              <w:pStyle w:val="TableParagraph"/>
              <w:spacing w:before="69"/>
              <w:ind w:left="194"/>
              <w:rPr>
                <w:rFonts w:ascii="黑体" w:eastAsia="黑体" w:hint="eastAsia"/>
                <w:sz w:val="21"/>
              </w:rPr>
            </w:pPr>
            <w:r>
              <w:rPr>
                <w:rFonts w:ascii="黑体" w:eastAsia="黑体" w:hint="eastAsia"/>
                <w:w w:val="100"/>
                <w:sz w:val="21"/>
              </w:rPr>
              <w:t>（见</w:t>
            </w:r>
            <w:r>
              <w:rPr>
                <w:rFonts w:ascii="黑体" w:eastAsia="黑体" w:hint="eastAsia"/>
                <w:spacing w:val="0"/>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5</w:t>
            </w:r>
            <w:r>
              <w:rPr>
                <w:rFonts w:ascii="黑体" w:eastAsia="黑体" w:hint="eastAsia"/>
                <w:spacing w:val="-58"/>
                <w:w w:val="100"/>
                <w:sz w:val="21"/>
              </w:rPr>
              <w:t>）</w:t>
            </w:r>
            <w:r>
              <w:rPr>
                <w:rFonts w:ascii="黑体" w:eastAsia="黑体" w:hint="eastAsia"/>
                <w:spacing w:val="-3"/>
                <w:w w:val="100"/>
                <w:sz w:val="21"/>
              </w:rPr>
              <w:t>以外的原因发</w:t>
            </w:r>
            <w:r>
              <w:rPr>
                <w:rFonts w:ascii="黑体" w:eastAsia="黑体" w:hint="eastAsia"/>
                <w:spacing w:val="-2"/>
                <w:w w:val="100"/>
                <w:sz w:val="21"/>
              </w:rPr>
              <w:t>T</w:t>
            </w:r>
            <w:r>
              <w:rPr>
                <w:rFonts w:ascii="黑体" w:eastAsia="黑体" w:hint="eastAsia"/>
                <w:spacing w:val="0"/>
                <w:w w:val="100"/>
                <w:sz w:val="21"/>
              </w:rPr>
              <w:t>h</w:t>
            </w:r>
            <w:r>
              <w:rPr>
                <w:rFonts w:ascii="黑体" w:eastAsia="黑体" w:hint="eastAsia"/>
                <w:spacing w:val="-3"/>
                <w:w w:val="100"/>
                <w:sz w:val="21"/>
              </w:rPr>
              <w:t>本附加合同约定的</w:t>
            </w:r>
            <w:r>
              <w:rPr>
                <w:rFonts w:ascii="黑体" w:eastAsia="黑体" w:hint="eastAsia"/>
                <w:b/>
                <w:spacing w:val="-16"/>
                <w:w w:val="100"/>
                <w:sz w:val="21"/>
              </w:rPr>
              <w:t>重大疾病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.6</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5"/>
                <w:w w:val="100"/>
                <w:sz w:val="21"/>
              </w:rPr>
              <w:t>轻症疾病</w:t>
            </w:r>
            <w:r>
              <w:rPr>
                <w:rFonts w:ascii="黑体" w:eastAsia="黑体" w:hint="eastAsia"/>
                <w:w w:val="100"/>
                <w:sz w:val="21"/>
              </w:rPr>
              <w:t>（见</w:t>
            </w:r>
          </w:p>
          <w:p>
            <w:pPr>
              <w:pStyle w:val="TableParagraph"/>
              <w:spacing w:line="300" w:lineRule="auto" w:before="68"/>
              <w:ind w:left="194" w:right="-15"/>
              <w:rPr>
                <w:rFonts w:ascii="黑体" w:eastAsia="黑体" w:hint="eastAsia"/>
                <w:sz w:val="21"/>
              </w:rPr>
            </w:pPr>
            <w:r>
              <w:rPr>
                <w:rFonts w:ascii="黑体" w:eastAsia="黑体" w:hint="eastAsia"/>
                <w:sz w:val="21"/>
              </w:rPr>
              <w:t>10.7）</w:t>
            </w:r>
            <w:r>
              <w:rPr>
                <w:rFonts w:ascii="黑体" w:eastAsia="黑体" w:hint="eastAsia"/>
                <w:spacing w:val="-3"/>
                <w:sz w:val="21"/>
              </w:rPr>
              <w:t>或</w:t>
            </w:r>
            <w:r>
              <w:rPr>
                <w:rFonts w:ascii="黑体" w:eastAsia="黑体" w:hint="eastAsia"/>
                <w:b/>
                <w:spacing w:val="-1"/>
                <w:sz w:val="21"/>
              </w:rPr>
              <w:t>特定恶性肿瘤</w:t>
            </w:r>
            <w:r>
              <w:rPr>
                <w:rFonts w:ascii="黑体" w:eastAsia="黑体" w:hint="eastAsia"/>
                <w:spacing w:val="-5"/>
                <w:sz w:val="21"/>
              </w:rPr>
              <w:t>（</w:t>
            </w:r>
            <w:r>
              <w:rPr>
                <w:rFonts w:ascii="黑体" w:eastAsia="黑体" w:hint="eastAsia"/>
                <w:spacing w:val="-23"/>
                <w:sz w:val="21"/>
              </w:rPr>
              <w:t>见 </w:t>
            </w:r>
            <w:r>
              <w:rPr>
                <w:rFonts w:ascii="黑体" w:eastAsia="黑体" w:hint="eastAsia"/>
                <w:sz w:val="21"/>
              </w:rPr>
              <w:t>10.8）</w:t>
            </w:r>
            <w:r>
              <w:rPr>
                <w:rFonts w:ascii="黑体" w:eastAsia="黑体" w:hint="eastAsia"/>
                <w:spacing w:val="-3"/>
                <w:sz w:val="21"/>
              </w:rPr>
              <w:t>的，本公司将无息退还本附加合同和主合同的</w:t>
            </w:r>
            <w:r>
              <w:rPr>
                <w:rFonts w:ascii="黑体" w:eastAsia="黑体" w:hint="eastAsia"/>
                <w:spacing w:val="-8"/>
                <w:sz w:val="21"/>
              </w:rPr>
              <w:t>已交保险费，本附加合同和本附加合同的主合同《君康六福两全保险》随之终止。</w:t>
            </w:r>
            <w:r>
              <w:rPr>
                <w:rFonts w:ascii="黑体" w:eastAsia="黑体" w:hint="eastAsia"/>
                <w:spacing w:val="-27"/>
                <w:sz w:val="21"/>
              </w:rPr>
              <w:t>这 </w:t>
            </w:r>
            <w:r>
              <w:rPr>
                <w:rFonts w:ascii="黑体" w:eastAsia="黑体" w:hint="eastAsia"/>
                <w:sz w:val="21"/>
              </w:rPr>
              <w:t>90</w:t>
            </w:r>
            <w:r>
              <w:rPr>
                <w:rFonts w:ascii="黑体" w:eastAsia="黑体" w:hint="eastAsia"/>
                <w:spacing w:val="-12"/>
                <w:sz w:val="21"/>
              </w:rPr>
              <w:t> 日的时间称为等待期。若被保险人因意外伤害发</w:t>
            </w:r>
            <w:r>
              <w:rPr>
                <w:rFonts w:ascii="黑体" w:eastAsia="黑体" w:hint="eastAsia"/>
                <w:sz w:val="21"/>
              </w:rPr>
              <w:t>Th</w:t>
            </w:r>
            <w:r>
              <w:rPr>
                <w:rFonts w:ascii="黑体" w:eastAsia="黑体" w:hint="eastAsia"/>
                <w:spacing w:val="-3"/>
                <w:sz w:val="21"/>
              </w:rPr>
              <w:t>本附加合同约定的重大疾病、轻症疾病或特定恶性肿瘤的，则无等待期。</w:t>
            </w:r>
          </w:p>
          <w:p>
            <w:pPr>
              <w:pStyle w:val="TableParagraph"/>
              <w:spacing w:line="292" w:lineRule="auto" w:before="15"/>
              <w:ind w:left="194" w:right="103" w:firstLine="420"/>
              <w:rPr>
                <w:sz w:val="21"/>
              </w:rPr>
            </w:pPr>
            <w:r>
              <w:rPr>
                <w:rFonts w:ascii="黑体" w:eastAsia="黑体" w:hint="eastAsia"/>
                <w:sz w:val="21"/>
              </w:rPr>
              <w:t>上述已交保险费是指被保险人发Th本附加合同约定的重大疾病、轻症疾病或</w:t>
            </w:r>
            <w:r>
              <w:rPr>
                <w:rFonts w:ascii="黑体" w:eastAsia="黑体" w:hint="eastAsia"/>
                <w:spacing w:val="-3"/>
                <w:sz w:val="21"/>
              </w:rPr>
              <w:t>特定恶性肿瘤时基本保险金额对应的保险费（以投保时被保险人的年龄计算</w:t>
            </w:r>
            <w:r>
              <w:rPr>
                <w:rFonts w:ascii="黑体" w:eastAsia="黑体" w:hint="eastAsia"/>
                <w:spacing w:val="-108"/>
                <w:sz w:val="21"/>
              </w:rPr>
              <w:t>）</w:t>
            </w:r>
            <w:r>
              <w:rPr>
                <w:rFonts w:ascii="黑体" w:eastAsia="黑体" w:hint="eastAsia"/>
                <w:sz w:val="21"/>
              </w:rPr>
              <w:t>。</w:t>
            </w:r>
            <w:r>
              <w:rPr>
                <w:spacing w:val="-3"/>
                <w:sz w:val="21"/>
              </w:rPr>
              <w:t>二、重大疾病保险金给付</w:t>
            </w:r>
          </w:p>
          <w:p>
            <w:pPr>
              <w:pStyle w:val="TableParagraph"/>
              <w:spacing w:line="273" w:lineRule="auto" w:before="0"/>
              <w:ind w:left="194" w:right="139" w:firstLine="420"/>
              <w:jc w:val="both"/>
              <w:rPr>
                <w:sz w:val="21"/>
              </w:rPr>
            </w:pPr>
            <w:r>
              <w:rPr>
                <w:spacing w:val="-3"/>
                <w:sz w:val="21"/>
              </w:rPr>
              <w:t>若被保险人在等待期后经</w:t>
            </w:r>
            <w:r>
              <w:rPr>
                <w:b/>
                <w:sz w:val="21"/>
              </w:rPr>
              <w:t>医院</w:t>
            </w:r>
            <w:r>
              <w:rPr>
                <w:sz w:val="21"/>
              </w:rPr>
              <w:t>（</w:t>
            </w:r>
            <w:r>
              <w:rPr>
                <w:spacing w:val="-24"/>
                <w:sz w:val="21"/>
              </w:rPr>
              <w:t>见 </w:t>
            </w:r>
            <w:r>
              <w:rPr>
                <w:sz w:val="21"/>
              </w:rPr>
              <w:t>10.9）</w:t>
            </w:r>
            <w:r>
              <w:rPr>
                <w:b/>
                <w:sz w:val="21"/>
              </w:rPr>
              <w:t>专科医生</w:t>
            </w:r>
            <w:r>
              <w:rPr>
                <w:sz w:val="21"/>
              </w:rPr>
              <w:t>（</w:t>
            </w:r>
            <w:r>
              <w:rPr>
                <w:spacing w:val="-22"/>
                <w:sz w:val="21"/>
              </w:rPr>
              <w:t>见 </w:t>
            </w:r>
            <w:r>
              <w:rPr>
                <w:sz w:val="21"/>
              </w:rPr>
              <w:t>10.10）</w:t>
            </w:r>
            <w:r>
              <w:rPr>
                <w:spacing w:val="-3"/>
                <w:sz w:val="21"/>
              </w:rPr>
              <w:t>确诊</w:t>
            </w:r>
            <w:r>
              <w:rPr>
                <w:b/>
                <w:sz w:val="21"/>
              </w:rPr>
              <w:t>初次罹患</w:t>
            </w:r>
            <w:r>
              <w:rPr>
                <w:sz w:val="21"/>
              </w:rPr>
              <w:t>（</w:t>
            </w:r>
            <w:r>
              <w:rPr>
                <w:spacing w:val="-20"/>
                <w:sz w:val="21"/>
              </w:rPr>
              <w:t>见 </w:t>
            </w:r>
            <w:r>
              <w:rPr>
                <w:sz w:val="21"/>
              </w:rPr>
              <w:t>10.11）</w:t>
            </w:r>
            <w:r>
              <w:rPr>
                <w:spacing w:val="-3"/>
                <w:sz w:val="21"/>
              </w:rPr>
              <w:t>本附加合同约定的重大疾病中的一种或多种，本公司将按基本保险金额给付重大疾病保险金，本附加合同和本附加合同的主合同《君康六福两全保险》随之终止。</w:t>
            </w:r>
          </w:p>
          <w:p>
            <w:pPr>
              <w:pStyle w:val="TableParagraph"/>
              <w:spacing w:line="255" w:lineRule="exact" w:before="17"/>
              <w:ind w:left="194"/>
              <w:rPr>
                <w:sz w:val="21"/>
              </w:rPr>
            </w:pPr>
            <w:r>
              <w:rPr>
                <w:sz w:val="21"/>
              </w:rPr>
              <w:t>三、轻症疾病保险金给付</w:t>
            </w:r>
          </w:p>
        </w:tc>
      </w:tr>
    </w:tbl>
    <w:p>
      <w:pPr>
        <w:spacing w:after="0" w:line="255" w:lineRule="exact"/>
        <w:rPr>
          <w:sz w:val="21"/>
        </w:rPr>
        <w:sectPr>
          <w:footerReference w:type="default" r:id="rId7"/>
          <w:pgSz w:w="11910" w:h="16840"/>
          <w:pgMar w:footer="377" w:header="0" w:top="1360" w:bottom="560" w:left="900" w:right="900"/>
          <w:pgNumType w:start="1"/>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00"/>
        <w:gridCol w:w="7700"/>
      </w:tblGrid>
      <w:tr>
        <w:trPr>
          <w:trHeight w:val="3461" w:hRule="atLeast"/>
        </w:trPr>
        <w:tc>
          <w:tcPr>
            <w:tcW w:w="677" w:type="dxa"/>
          </w:tcPr>
          <w:p>
            <w:pPr>
              <w:pStyle w:val="TableParagraph"/>
              <w:spacing w:before="0"/>
              <w:ind w:left="0"/>
              <w:rPr>
                <w:rFonts w:ascii="Times New Roman"/>
                <w:sz w:val="20"/>
              </w:rPr>
            </w:pPr>
          </w:p>
        </w:tc>
        <w:tc>
          <w:tcPr>
            <w:tcW w:w="1500" w:type="dxa"/>
          </w:tcPr>
          <w:p>
            <w:pPr>
              <w:pStyle w:val="TableParagraph"/>
              <w:spacing w:before="0"/>
              <w:ind w:left="0"/>
              <w:rPr>
                <w:rFonts w:ascii="Times New Roman"/>
                <w:sz w:val="20"/>
              </w:rPr>
            </w:pPr>
          </w:p>
        </w:tc>
        <w:tc>
          <w:tcPr>
            <w:tcW w:w="7700" w:type="dxa"/>
          </w:tcPr>
          <w:p>
            <w:pPr>
              <w:pStyle w:val="TableParagraph"/>
              <w:spacing w:line="205" w:lineRule="exact" w:before="0"/>
              <w:ind w:left="615"/>
              <w:rPr>
                <w:sz w:val="21"/>
              </w:rPr>
            </w:pPr>
            <w:r>
              <w:rPr>
                <w:sz w:val="21"/>
              </w:rPr>
              <w:t>若被保险人在等待期后经医院专科医生确诊初次罹患本附加合同约定的轻症</w:t>
            </w:r>
          </w:p>
          <w:p>
            <w:pPr>
              <w:pStyle w:val="TableParagraph"/>
              <w:spacing w:line="273" w:lineRule="auto" w:before="37"/>
              <w:ind w:left="194" w:right="145"/>
              <w:jc w:val="both"/>
              <w:rPr>
                <w:sz w:val="21"/>
              </w:rPr>
            </w:pPr>
            <w:r>
              <w:rPr>
                <w:sz w:val="21"/>
              </w:rPr>
              <w:t>疾病中的一种或多种，本公司将按基本保险金额的 20%给付轻症疾病保险金，同时将豁免本附加合同自轻症疾病确诊之日以后的本附加合同和主合同《君康六福两全保险》各期保险费。</w:t>
            </w:r>
          </w:p>
          <w:p>
            <w:pPr>
              <w:pStyle w:val="TableParagraph"/>
              <w:spacing w:line="273" w:lineRule="auto" w:before="7"/>
              <w:ind w:left="194" w:right="122" w:firstLine="423"/>
              <w:jc w:val="both"/>
              <w:rPr>
                <w:b/>
                <w:sz w:val="21"/>
              </w:rPr>
            </w:pPr>
            <w:r>
              <w:rPr>
                <w:b/>
                <w:sz w:val="21"/>
              </w:rPr>
              <w:t>每种轻症疾病只给付一次轻症疾病保险金，给付后该种轻症保险金保险责任终止，本附加合同的轻症疾病保险金累计给付以三次为限。</w:t>
            </w:r>
          </w:p>
          <w:p>
            <w:pPr>
              <w:pStyle w:val="TableParagraph"/>
              <w:spacing w:before="7"/>
              <w:ind w:left="194"/>
              <w:rPr>
                <w:sz w:val="21"/>
              </w:rPr>
            </w:pPr>
            <w:r>
              <w:rPr>
                <w:sz w:val="21"/>
              </w:rPr>
              <w:t>四、特定恶性肿瘤保险金给付</w:t>
            </w:r>
          </w:p>
          <w:p>
            <w:pPr>
              <w:pStyle w:val="TableParagraph"/>
              <w:spacing w:line="273" w:lineRule="auto" w:before="37"/>
              <w:ind w:left="194" w:right="145" w:firstLine="420"/>
              <w:jc w:val="both"/>
              <w:rPr>
                <w:sz w:val="21"/>
              </w:rPr>
            </w:pPr>
            <w:r>
              <w:rPr>
                <w:sz w:val="21"/>
              </w:rPr>
              <w:t>若被保险人在等待期后经医院专科医生确诊初次罹患本附加合同约定的特定恶性肿瘤中的一种或多种，本公司将在上述重大疾病保险金给付的基础上还将按基本保险金额的 50%给付特定恶性肿瘤保险金，本附加合同和本附加合同的主合同《君康六福两全保险》随之终止。</w:t>
            </w:r>
          </w:p>
        </w:tc>
      </w:tr>
      <w:tr>
        <w:trPr>
          <w:trHeight w:val="6712" w:hRule="atLeast"/>
        </w:trPr>
        <w:tc>
          <w:tcPr>
            <w:tcW w:w="677" w:type="dxa"/>
          </w:tcPr>
          <w:p>
            <w:pPr>
              <w:pStyle w:val="TableParagraph"/>
              <w:spacing w:before="91"/>
              <w:ind w:left="91" w:right="228"/>
              <w:jc w:val="center"/>
              <w:rPr>
                <w:b/>
                <w:sz w:val="21"/>
              </w:rPr>
            </w:pPr>
            <w:r>
              <w:rPr>
                <w:b/>
                <w:sz w:val="21"/>
              </w:rPr>
              <w:t>2.2</w:t>
            </w:r>
          </w:p>
        </w:tc>
        <w:tc>
          <w:tcPr>
            <w:tcW w:w="1500" w:type="dxa"/>
          </w:tcPr>
          <w:p>
            <w:pPr>
              <w:pStyle w:val="TableParagraph"/>
              <w:spacing w:before="91"/>
              <w:ind w:left="249"/>
              <w:rPr>
                <w:b/>
                <w:sz w:val="21"/>
              </w:rPr>
            </w:pPr>
            <w:r>
              <w:rPr>
                <w:b/>
                <w:sz w:val="21"/>
              </w:rPr>
              <w:t>责任免除</w:t>
            </w:r>
          </w:p>
        </w:tc>
        <w:tc>
          <w:tcPr>
            <w:tcW w:w="7700" w:type="dxa"/>
          </w:tcPr>
          <w:p>
            <w:pPr>
              <w:pStyle w:val="TableParagraph"/>
              <w:spacing w:line="273" w:lineRule="auto" w:before="60"/>
              <w:ind w:left="194" w:right="105"/>
              <w:rPr>
                <w:rFonts w:ascii="黑体" w:eastAsia="黑体" w:hint="eastAsia"/>
                <w:sz w:val="21"/>
              </w:rPr>
            </w:pPr>
            <w:r>
              <w:rPr>
                <w:rFonts w:ascii="黑体" w:eastAsia="黑体" w:hint="eastAsia"/>
                <w:sz w:val="21"/>
              </w:rPr>
              <w:t>因下列情形之一，造成被保险人发Th</w:t>
            </w:r>
            <w:r>
              <w:rPr>
                <w:rFonts w:ascii="黑体" w:eastAsia="黑体" w:hint="eastAsia"/>
                <w:b/>
                <w:sz w:val="21"/>
              </w:rPr>
              <w:t>保险事故</w:t>
            </w:r>
            <w:r>
              <w:rPr>
                <w:rFonts w:ascii="黑体" w:eastAsia="黑体" w:hint="eastAsia"/>
                <w:sz w:val="21"/>
              </w:rPr>
              <w:t>（见 10.12）的，本公司不承担给付保险金的责任：</w:t>
            </w:r>
          </w:p>
          <w:p>
            <w:pPr>
              <w:pStyle w:val="TableParagraph"/>
              <w:spacing w:before="7"/>
              <w:ind w:left="194"/>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194"/>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194"/>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701" w:right="131" w:hanging="503"/>
              <w:rPr>
                <w:rFonts w:ascii="黑体" w:eastAsia="黑体" w:hint="eastAsia"/>
                <w:sz w:val="21"/>
              </w:rPr>
            </w:pPr>
            <w:r>
              <w:rPr>
                <w:rFonts w:ascii="黑体" w:eastAsia="黑体" w:hint="eastAsia"/>
                <w:w w:val="100"/>
                <w:sz w:val="21"/>
              </w:rPr>
              <w:t>（4</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2"/>
                <w:w w:val="100"/>
                <w:sz w:val="21"/>
              </w:rPr>
              <w:t>1</w:t>
            </w:r>
            <w:r>
              <w:rPr>
                <w:rFonts w:ascii="黑体" w:eastAsia="黑体" w:hint="eastAsia"/>
                <w:w w:val="100"/>
                <w:sz w:val="21"/>
              </w:rPr>
              <w:t>6）</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.17</w:t>
            </w:r>
            <w:r>
              <w:rPr>
                <w:rFonts w:ascii="黑体" w:eastAsia="黑体" w:hint="eastAsia"/>
                <w:spacing w:val="-108"/>
                <w:w w:val="100"/>
                <w:sz w:val="21"/>
              </w:rPr>
              <w:t>）</w:t>
            </w:r>
            <w:r>
              <w:rPr>
                <w:rFonts w:ascii="黑体" w:eastAsia="黑体" w:hint="eastAsia"/>
                <w:w w:val="100"/>
                <w:sz w:val="21"/>
              </w:rPr>
              <w:t>；</w:t>
            </w:r>
          </w:p>
          <w:p>
            <w:pPr>
              <w:pStyle w:val="TableParagraph"/>
              <w:spacing w:before="7"/>
              <w:ind w:left="194"/>
              <w:rPr>
                <w:rFonts w:ascii="黑体" w:eastAsia="黑体" w:hint="eastAsia"/>
                <w:sz w:val="21"/>
              </w:rPr>
            </w:pPr>
            <w:r>
              <w:rPr>
                <w:rFonts w:ascii="黑体" w:eastAsia="黑体" w:hint="eastAsia"/>
                <w:w w:val="100"/>
                <w:sz w:val="21"/>
              </w:rPr>
              <w:t>（5</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spacing w:before="37"/>
              <w:ind w:left="194"/>
              <w:rPr>
                <w:rFonts w:ascii="黑体" w:eastAsia="黑体" w:hint="eastAsia"/>
                <w:sz w:val="21"/>
              </w:rPr>
            </w:pPr>
            <w:r>
              <w:rPr>
                <w:rFonts w:ascii="黑体" w:eastAsia="黑体" w:hint="eastAsia"/>
                <w:w w:val="100"/>
                <w:sz w:val="21"/>
              </w:rPr>
              <w:t>（6</w:t>
            </w:r>
            <w:r>
              <w:rPr>
                <w:rFonts w:ascii="黑体" w:eastAsia="黑体" w:hint="eastAsia"/>
                <w:spacing w:val="-3"/>
                <w:w w:val="100"/>
                <w:sz w:val="21"/>
              </w:rPr>
              <w:t>）战争、军事冲突、暴乱或武装叛乱（以上行为以政府宣告或认定为准</w:t>
            </w:r>
            <w:r>
              <w:rPr>
                <w:rFonts w:ascii="黑体" w:eastAsia="黑体" w:hint="eastAsia"/>
                <w:spacing w:val="-108"/>
                <w:w w:val="100"/>
                <w:sz w:val="21"/>
              </w:rPr>
              <w:t>）</w:t>
            </w:r>
            <w:r>
              <w:rPr>
                <w:rFonts w:ascii="黑体" w:eastAsia="黑体" w:hint="eastAsia"/>
                <w:w w:val="100"/>
                <w:sz w:val="21"/>
              </w:rPr>
              <w:t>；</w:t>
            </w:r>
          </w:p>
          <w:p>
            <w:pPr>
              <w:pStyle w:val="TableParagraph"/>
              <w:spacing w:before="37"/>
              <w:ind w:left="194"/>
              <w:rPr>
                <w:rFonts w:ascii="黑体" w:eastAsia="黑体" w:hint="eastAsia"/>
                <w:sz w:val="21"/>
              </w:rPr>
            </w:pPr>
            <w:r>
              <w:rPr>
                <w:rFonts w:ascii="黑体" w:eastAsia="黑体" w:hint="eastAsia"/>
                <w:sz w:val="21"/>
              </w:rPr>
              <w:t>（7）核爆炸、核辐射或核污染；</w:t>
            </w:r>
          </w:p>
          <w:p>
            <w:pPr>
              <w:pStyle w:val="TableParagraph"/>
              <w:spacing w:before="37"/>
              <w:ind w:left="194"/>
              <w:rPr>
                <w:rFonts w:ascii="黑体" w:eastAsia="黑体" w:hint="eastAsia"/>
                <w:sz w:val="21"/>
              </w:rPr>
            </w:pPr>
            <w:r>
              <w:rPr>
                <w:rFonts w:ascii="黑体" w:eastAsia="黑体" w:hint="eastAsia"/>
                <w:w w:val="100"/>
                <w:sz w:val="21"/>
              </w:rPr>
              <w:t>（8</w:t>
            </w:r>
            <w:r>
              <w:rPr>
                <w:rFonts w:ascii="黑体" w:eastAsia="黑体" w:hint="eastAsia"/>
                <w:spacing w:val="-2"/>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w:t>
            </w:r>
            <w:r>
              <w:rPr>
                <w:rFonts w:ascii="黑体" w:eastAsia="黑体" w:hint="eastAsia"/>
                <w:w w:val="100"/>
                <w:sz w:val="21"/>
              </w:rPr>
              <w:t>19</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.20</w:t>
            </w:r>
            <w:r>
              <w:rPr>
                <w:rFonts w:ascii="黑体" w:eastAsia="黑体" w:hint="eastAsia"/>
                <w:spacing w:val="-108"/>
                <w:w w:val="100"/>
                <w:sz w:val="21"/>
              </w:rPr>
              <w:t>）</w:t>
            </w:r>
            <w:r>
              <w:rPr>
                <w:rFonts w:ascii="黑体" w:eastAsia="黑体" w:hint="eastAsia"/>
                <w:w w:val="100"/>
                <w:sz w:val="21"/>
              </w:rPr>
              <w:t>。</w:t>
            </w:r>
          </w:p>
          <w:p>
            <w:pPr>
              <w:pStyle w:val="TableParagraph"/>
              <w:spacing w:before="9"/>
              <w:ind w:left="0"/>
              <w:rPr>
                <w:b/>
                <w:sz w:val="14"/>
              </w:rPr>
            </w:pPr>
          </w:p>
          <w:p>
            <w:pPr>
              <w:pStyle w:val="TableParagraph"/>
              <w:spacing w:line="273" w:lineRule="auto" w:before="0"/>
              <w:ind w:left="194" w:right="-15"/>
              <w:rPr>
                <w:rFonts w:ascii="黑体" w:eastAsia="黑体" w:hint="eastAsia"/>
                <w:sz w:val="21"/>
              </w:rPr>
            </w:pPr>
            <w:r>
              <w:rPr>
                <w:rFonts w:ascii="黑体" w:eastAsia="黑体" w:hint="eastAsia"/>
                <w:sz w:val="21"/>
              </w:rPr>
              <w:t>发Th</w:t>
            </w:r>
            <w:r>
              <w:rPr>
                <w:rFonts w:ascii="黑体" w:eastAsia="黑体" w:hint="eastAsia"/>
                <w:spacing w:val="-21"/>
                <w:sz w:val="21"/>
              </w:rPr>
              <w:t>上述第</w:t>
            </w:r>
            <w:r>
              <w:rPr>
                <w:rFonts w:ascii="黑体" w:eastAsia="黑体" w:hint="eastAsia"/>
                <w:spacing w:val="-20"/>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0"/>
                <w:sz w:val="21"/>
              </w:rPr>
              <w:t>保险事故的，本附加合同效力即行终止， 本附加合同的主合同《君康六福两全保险》同时终止，如果投保人选择的是趸交的交费方式，本公司向除投保人以外的相应保险金受益人退还本附加合同和主合同《君康六福两全保险》的现金价值。如果投保人选择的是期交的交费方式，且投保人已交足两年以上保险费的，本公司向除投保人以外的相应保险金受益人退</w:t>
            </w:r>
            <w:r>
              <w:rPr>
                <w:rFonts w:ascii="黑体" w:eastAsia="黑体" w:hint="eastAsia"/>
                <w:spacing w:val="-5"/>
                <w:sz w:val="21"/>
              </w:rPr>
              <w:t>还本附加合同和主合同《君康六福两全保险》的现金价值。</w:t>
            </w:r>
          </w:p>
          <w:p>
            <w:pPr>
              <w:pStyle w:val="TableParagraph"/>
              <w:spacing w:line="273" w:lineRule="auto" w:before="163"/>
              <w:ind w:left="194" w:right="102"/>
              <w:jc w:val="both"/>
              <w:rPr>
                <w:rFonts w:ascii="黑体" w:eastAsia="黑体" w:hint="eastAsia"/>
                <w:sz w:val="21"/>
              </w:rPr>
            </w:pPr>
            <w:r>
              <w:rPr>
                <w:rFonts w:ascii="黑体" w:eastAsia="黑体" w:hint="eastAsia"/>
                <w:sz w:val="21"/>
              </w:rPr>
              <w:t>发Th上述其他情形导致被保险人发Th保险事故的，本附加合同效力即行终止，本附加合同的主合同《君康六福两全保险》同时终止，本公司向投保人退还本附加合同和主合同《君康六福两全保险》的现金价值。</w:t>
            </w:r>
          </w:p>
        </w:tc>
      </w:tr>
      <w:tr>
        <w:trPr>
          <w:trHeight w:val="1058" w:hRule="atLeast"/>
        </w:trPr>
        <w:tc>
          <w:tcPr>
            <w:tcW w:w="677" w:type="dxa"/>
          </w:tcPr>
          <w:p>
            <w:pPr>
              <w:pStyle w:val="TableParagraph"/>
              <w:spacing w:before="61"/>
              <w:ind w:left="91" w:right="228"/>
              <w:jc w:val="center"/>
              <w:rPr>
                <w:b/>
                <w:sz w:val="21"/>
              </w:rPr>
            </w:pPr>
            <w:r>
              <w:rPr>
                <w:b/>
                <w:sz w:val="21"/>
              </w:rPr>
              <w:t>2.3</w:t>
            </w:r>
          </w:p>
        </w:tc>
        <w:tc>
          <w:tcPr>
            <w:tcW w:w="1500" w:type="dxa"/>
          </w:tcPr>
          <w:p>
            <w:pPr>
              <w:pStyle w:val="TableParagraph"/>
              <w:spacing w:line="273" w:lineRule="auto" w:before="61"/>
              <w:ind w:left="249" w:right="192"/>
              <w:rPr>
                <w:b/>
                <w:sz w:val="21"/>
              </w:rPr>
            </w:pPr>
            <w:r>
              <w:rPr>
                <w:b/>
                <w:sz w:val="21"/>
              </w:rPr>
              <w:t>基本保险金额</w:t>
            </w:r>
          </w:p>
        </w:tc>
        <w:tc>
          <w:tcPr>
            <w:tcW w:w="7700" w:type="dxa"/>
          </w:tcPr>
          <w:p>
            <w:pPr>
              <w:pStyle w:val="TableParagraph"/>
              <w:spacing w:line="273" w:lineRule="auto" w:before="61"/>
              <w:ind w:left="194" w:right="102"/>
              <w:jc w:val="both"/>
              <w:rPr>
                <w:sz w:val="21"/>
              </w:rPr>
            </w:pPr>
            <w:r>
              <w:rPr>
                <w:sz w:val="21"/>
              </w:rPr>
              <w:t>指投保人与本公司约定的用以计算保险金数额的基数。本附加合同的基本保险金额由投保人在投保时与本公司约定并在保险单上载明。若该金额发生变更，则以变更后的金额为基本保险金额。</w:t>
            </w:r>
          </w:p>
        </w:tc>
      </w:tr>
      <w:tr>
        <w:trPr>
          <w:trHeight w:val="793" w:hRule="atLeast"/>
        </w:trPr>
        <w:tc>
          <w:tcPr>
            <w:tcW w:w="677" w:type="dxa"/>
          </w:tcPr>
          <w:p>
            <w:pPr>
              <w:pStyle w:val="TableParagraph"/>
              <w:spacing w:before="22"/>
              <w:ind w:left="91" w:right="228"/>
              <w:jc w:val="center"/>
              <w:rPr>
                <w:b/>
                <w:sz w:val="21"/>
              </w:rPr>
            </w:pPr>
            <w:r>
              <w:rPr>
                <w:b/>
                <w:sz w:val="21"/>
              </w:rPr>
              <w:t>2.4</w:t>
            </w:r>
          </w:p>
        </w:tc>
        <w:tc>
          <w:tcPr>
            <w:tcW w:w="1500" w:type="dxa"/>
          </w:tcPr>
          <w:p>
            <w:pPr>
              <w:pStyle w:val="TableParagraph"/>
              <w:spacing w:before="22"/>
              <w:ind w:left="249"/>
              <w:rPr>
                <w:b/>
                <w:sz w:val="21"/>
              </w:rPr>
            </w:pPr>
            <w:r>
              <w:rPr>
                <w:b/>
                <w:sz w:val="21"/>
              </w:rPr>
              <w:t>保险期间</w:t>
            </w:r>
          </w:p>
        </w:tc>
        <w:tc>
          <w:tcPr>
            <w:tcW w:w="7700" w:type="dxa"/>
          </w:tcPr>
          <w:p>
            <w:pPr>
              <w:pStyle w:val="TableParagraph"/>
              <w:spacing w:line="273" w:lineRule="auto" w:before="22"/>
              <w:ind w:left="194" w:right="-15"/>
              <w:rPr>
                <w:sz w:val="21"/>
              </w:rPr>
            </w:pPr>
            <w:r>
              <w:rPr>
                <w:spacing w:val="-8"/>
                <w:sz w:val="21"/>
              </w:rPr>
              <w:t>本附加合同的保险期间为终身，自本附加合同生效日零时起至被保险人身故时止， </w:t>
            </w:r>
            <w:r>
              <w:rPr>
                <w:spacing w:val="-5"/>
                <w:sz w:val="21"/>
              </w:rPr>
              <w:t>并在保险单上载明。</w:t>
            </w:r>
          </w:p>
        </w:tc>
      </w:tr>
      <w:tr>
        <w:trPr>
          <w:trHeight w:val="651" w:hRule="atLeast"/>
        </w:trPr>
        <w:tc>
          <w:tcPr>
            <w:tcW w:w="677" w:type="dxa"/>
            <w:tcBorders>
              <w:bottom w:val="single" w:sz="4" w:space="0" w:color="000000"/>
            </w:tcBorders>
          </w:tcPr>
          <w:p>
            <w:pPr>
              <w:pStyle w:val="TableParagraph"/>
              <w:spacing w:before="72"/>
              <w:ind w:left="0" w:right="116"/>
              <w:jc w:val="center"/>
              <w:rPr>
                <w:b/>
                <w:sz w:val="32"/>
              </w:rPr>
            </w:pPr>
            <w:r>
              <w:rPr>
                <w:b/>
                <w:w w:val="98"/>
                <w:sz w:val="32"/>
              </w:rPr>
              <w:t>3</w:t>
            </w:r>
          </w:p>
        </w:tc>
        <w:tc>
          <w:tcPr>
            <w:tcW w:w="9200" w:type="dxa"/>
            <w:gridSpan w:val="2"/>
            <w:tcBorders>
              <w:bottom w:val="single" w:sz="4" w:space="0" w:color="000000"/>
            </w:tcBorders>
          </w:tcPr>
          <w:p>
            <w:pPr>
              <w:pStyle w:val="TableParagraph"/>
              <w:spacing w:before="137"/>
              <w:ind w:left="249"/>
              <w:rPr>
                <w:b/>
                <w:sz w:val="24"/>
              </w:rPr>
            </w:pPr>
            <w:r>
              <w:rPr>
                <w:b/>
                <w:w w:val="95"/>
                <w:sz w:val="24"/>
              </w:rPr>
              <w:t>如何申请领取保险金</w:t>
            </w:r>
          </w:p>
        </w:tc>
      </w:tr>
      <w:tr>
        <w:trPr>
          <w:trHeight w:val="649" w:hRule="atLeast"/>
        </w:trPr>
        <w:tc>
          <w:tcPr>
            <w:tcW w:w="677" w:type="dxa"/>
            <w:tcBorders>
              <w:top w:val="single" w:sz="4" w:space="0" w:color="000000"/>
            </w:tcBorders>
          </w:tcPr>
          <w:p>
            <w:pPr>
              <w:pStyle w:val="TableParagraph"/>
              <w:spacing w:before="56"/>
              <w:ind w:left="91" w:right="228"/>
              <w:jc w:val="center"/>
              <w:rPr>
                <w:b/>
                <w:sz w:val="21"/>
              </w:rPr>
            </w:pPr>
            <w:r>
              <w:rPr>
                <w:b/>
                <w:sz w:val="21"/>
              </w:rPr>
              <w:t>3.1</w:t>
            </w:r>
          </w:p>
        </w:tc>
        <w:tc>
          <w:tcPr>
            <w:tcW w:w="1500" w:type="dxa"/>
            <w:tcBorders>
              <w:top w:val="single" w:sz="4" w:space="0" w:color="000000"/>
            </w:tcBorders>
          </w:tcPr>
          <w:p>
            <w:pPr>
              <w:pStyle w:val="TableParagraph"/>
              <w:spacing w:before="56"/>
              <w:ind w:left="249"/>
              <w:rPr>
                <w:b/>
                <w:sz w:val="21"/>
              </w:rPr>
            </w:pPr>
            <w:r>
              <w:rPr>
                <w:b/>
                <w:sz w:val="21"/>
              </w:rPr>
              <w:t>受益人</w:t>
            </w:r>
          </w:p>
        </w:tc>
        <w:tc>
          <w:tcPr>
            <w:tcW w:w="7700" w:type="dxa"/>
            <w:tcBorders>
              <w:top w:val="single" w:sz="4" w:space="0" w:color="000000"/>
            </w:tcBorders>
          </w:tcPr>
          <w:p>
            <w:pPr>
              <w:pStyle w:val="TableParagraph"/>
              <w:spacing w:line="310" w:lineRule="atLeast" w:before="20"/>
              <w:ind w:left="194" w:right="102"/>
              <w:rPr>
                <w:sz w:val="21"/>
              </w:rPr>
            </w:pPr>
            <w:r>
              <w:rPr>
                <w:sz w:val="21"/>
              </w:rPr>
              <w:t>除另有约定外，重大疾病保险金、轻症疾病保险金和特定恶性肿瘤保险金的受益人均为被保险人本人。</w:t>
            </w:r>
          </w:p>
        </w:tc>
      </w:tr>
    </w:tbl>
    <w:p>
      <w:pPr>
        <w:spacing w:after="0" w:line="310" w:lineRule="atLeast"/>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608"/>
        <w:gridCol w:w="7592"/>
      </w:tblGrid>
      <w:tr>
        <w:trPr>
          <w:trHeight w:val="2368" w:hRule="atLeast"/>
        </w:trPr>
        <w:tc>
          <w:tcPr>
            <w:tcW w:w="677" w:type="dxa"/>
          </w:tcPr>
          <w:p>
            <w:pPr>
              <w:pStyle w:val="TableParagraph"/>
              <w:spacing w:line="205" w:lineRule="exact" w:before="0"/>
              <w:ind w:left="91" w:right="228"/>
              <w:jc w:val="center"/>
              <w:rPr>
                <w:b/>
                <w:sz w:val="21"/>
              </w:rPr>
            </w:pPr>
            <w:r>
              <w:rPr>
                <w:b/>
                <w:sz w:val="21"/>
              </w:rPr>
              <w:t>3.2</w:t>
            </w:r>
          </w:p>
        </w:tc>
        <w:tc>
          <w:tcPr>
            <w:tcW w:w="1608" w:type="dxa"/>
          </w:tcPr>
          <w:p>
            <w:pPr>
              <w:pStyle w:val="TableParagraph"/>
              <w:spacing w:line="205" w:lineRule="exact" w:before="0"/>
              <w:ind w:left="249"/>
              <w:rPr>
                <w:b/>
                <w:sz w:val="21"/>
              </w:rPr>
            </w:pPr>
            <w:r>
              <w:rPr>
                <w:b/>
                <w:sz w:val="21"/>
              </w:rPr>
              <w:t>保险事故通</w:t>
            </w:r>
          </w:p>
          <w:p>
            <w:pPr>
              <w:pStyle w:val="TableParagraph"/>
              <w:spacing w:before="37"/>
              <w:ind w:left="249"/>
              <w:rPr>
                <w:b/>
                <w:sz w:val="21"/>
              </w:rPr>
            </w:pPr>
            <w:r>
              <w:rPr>
                <w:b/>
                <w:w w:val="100"/>
                <w:sz w:val="21"/>
              </w:rPr>
              <w:t>知</w:t>
            </w:r>
          </w:p>
        </w:tc>
        <w:tc>
          <w:tcPr>
            <w:tcW w:w="7592" w:type="dxa"/>
          </w:tcPr>
          <w:p>
            <w:pPr>
              <w:pStyle w:val="TableParagraph"/>
              <w:spacing w:line="205" w:lineRule="exact" w:before="0"/>
              <w:rPr>
                <w:sz w:val="21"/>
              </w:rPr>
            </w:pPr>
            <w:r>
              <w:rPr>
                <w:sz w:val="21"/>
              </w:rPr>
              <w:t>投保人、被保险人或受益人应于自其知道或应当知道保险事故发生之日起 7 日内</w:t>
            </w:r>
          </w:p>
          <w:p>
            <w:pPr>
              <w:pStyle w:val="TableParagraph"/>
              <w:spacing w:line="273" w:lineRule="auto" w:before="37"/>
              <w:ind w:right="105"/>
              <w:jc w:val="both"/>
              <w:rPr>
                <w:sz w:val="21"/>
              </w:rPr>
            </w:pPr>
            <w:r>
              <w:rPr>
                <w:sz w:val="21"/>
              </w:rPr>
              <w:t>通知本公司。否则投保人、被保险人或受益人应承担由于通知迟延致使本公司增加的勘查、检验等各项费用，但因</w:t>
            </w:r>
            <w:r>
              <w:rPr>
                <w:b/>
                <w:sz w:val="21"/>
              </w:rPr>
              <w:t>不可抗力</w:t>
            </w:r>
            <w:r>
              <w:rPr>
                <w:sz w:val="21"/>
              </w:rPr>
              <w:t>（见 10.21）导致的迟延除外。通知内容包括：事故情况、原因、伤亡情况以及本公司需要了解的其他情况。</w:t>
            </w:r>
          </w:p>
          <w:p>
            <w:pPr>
              <w:pStyle w:val="TableParagraph"/>
              <w:spacing w:line="273" w:lineRule="auto" w:before="163"/>
              <w:ind w:right="-15"/>
              <w:rPr>
                <w:rFonts w:ascii="黑体" w:eastAsia="黑体" w:hint="eastAsia"/>
                <w:sz w:val="21"/>
              </w:rPr>
            </w:pPr>
            <w:r>
              <w:rPr>
                <w:rFonts w:ascii="黑体" w:eastAsia="黑体" w:hint="eastAsia"/>
                <w:spacing w:val="-8"/>
                <w:sz w:val="21"/>
              </w:rPr>
              <w:t>投保人、被保险人或受益人故意或因重大过失未及时通知，致使保险事故的性质、原因等难以确定的，本公司对无法确定的部分，不承担给付保险金的责任，但本</w:t>
            </w:r>
            <w:r>
              <w:rPr>
                <w:rFonts w:ascii="黑体" w:eastAsia="黑体" w:hint="eastAsia"/>
                <w:spacing w:val="-3"/>
                <w:sz w:val="21"/>
              </w:rPr>
              <w:t>公司通过其他途径已经及时知道或应当及时知道保险事故发</w:t>
            </w:r>
            <w:r>
              <w:rPr>
                <w:rFonts w:ascii="黑体" w:eastAsia="黑体" w:hint="eastAsia"/>
                <w:sz w:val="21"/>
              </w:rPr>
              <w:t>Th</w:t>
            </w:r>
            <w:r>
              <w:rPr>
                <w:rFonts w:ascii="黑体" w:eastAsia="黑体" w:hint="eastAsia"/>
                <w:spacing w:val="-2"/>
                <w:sz w:val="21"/>
              </w:rPr>
              <w:t>的除外。</w:t>
            </w:r>
          </w:p>
        </w:tc>
      </w:tr>
      <w:tr>
        <w:trPr>
          <w:trHeight w:val="471" w:hRule="atLeast"/>
        </w:trPr>
        <w:tc>
          <w:tcPr>
            <w:tcW w:w="677" w:type="dxa"/>
          </w:tcPr>
          <w:p>
            <w:pPr>
              <w:pStyle w:val="TableParagraph"/>
              <w:spacing w:before="60"/>
              <w:ind w:left="91" w:right="228"/>
              <w:jc w:val="center"/>
              <w:rPr>
                <w:b/>
                <w:sz w:val="21"/>
              </w:rPr>
            </w:pPr>
            <w:r>
              <w:rPr>
                <w:b/>
                <w:sz w:val="21"/>
              </w:rPr>
              <w:t>3.3</w:t>
            </w:r>
          </w:p>
        </w:tc>
        <w:tc>
          <w:tcPr>
            <w:tcW w:w="1608" w:type="dxa"/>
          </w:tcPr>
          <w:p>
            <w:pPr>
              <w:pStyle w:val="TableParagraph"/>
              <w:spacing w:before="60"/>
              <w:ind w:left="249"/>
              <w:rPr>
                <w:b/>
                <w:sz w:val="21"/>
              </w:rPr>
            </w:pPr>
            <w:r>
              <w:rPr>
                <w:b/>
                <w:sz w:val="21"/>
              </w:rPr>
              <w:t>保险金申请</w:t>
            </w:r>
          </w:p>
        </w:tc>
        <w:tc>
          <w:tcPr>
            <w:tcW w:w="7592" w:type="dxa"/>
          </w:tcPr>
          <w:p>
            <w:pPr>
              <w:pStyle w:val="TableParagraph"/>
              <w:spacing w:before="60"/>
              <w:rPr>
                <w:sz w:val="21"/>
              </w:rPr>
            </w:pPr>
            <w:r>
              <w:rPr>
                <w:sz w:val="21"/>
              </w:rPr>
              <w:t>在申请保险金时，请按照下列方式办理：</w:t>
            </w:r>
          </w:p>
        </w:tc>
      </w:tr>
      <w:tr>
        <w:trPr>
          <w:trHeight w:val="2342" w:hRule="atLeast"/>
        </w:trPr>
        <w:tc>
          <w:tcPr>
            <w:tcW w:w="677" w:type="dxa"/>
          </w:tcPr>
          <w:p>
            <w:pPr>
              <w:pStyle w:val="TableParagraph"/>
              <w:spacing w:before="0"/>
              <w:ind w:left="0"/>
              <w:rPr>
                <w:rFonts w:ascii="Times New Roman"/>
                <w:sz w:val="20"/>
              </w:rPr>
            </w:pPr>
          </w:p>
        </w:tc>
        <w:tc>
          <w:tcPr>
            <w:tcW w:w="1608" w:type="dxa"/>
          </w:tcPr>
          <w:p>
            <w:pPr>
              <w:pStyle w:val="TableParagraph"/>
              <w:spacing w:line="273" w:lineRule="auto" w:before="61"/>
              <w:ind w:left="249" w:right="124"/>
              <w:rPr>
                <w:b/>
                <w:sz w:val="21"/>
              </w:rPr>
            </w:pPr>
            <w:r>
              <w:rPr>
                <w:b/>
                <w:sz w:val="21"/>
              </w:rPr>
              <w:t>重大疾病保</w:t>
            </w:r>
            <w:r>
              <w:rPr>
                <w:b/>
                <w:spacing w:val="-7"/>
                <w:sz w:val="21"/>
              </w:rPr>
              <w:t>险金、轻症疾</w:t>
            </w:r>
            <w:r>
              <w:rPr>
                <w:b/>
                <w:spacing w:val="-11"/>
                <w:sz w:val="21"/>
              </w:rPr>
              <w:t>病保险金、特定恶性肿瘤</w:t>
            </w:r>
            <w:r>
              <w:rPr>
                <w:b/>
                <w:spacing w:val="-1"/>
                <w:sz w:val="21"/>
              </w:rPr>
              <w:t>保险金申请</w:t>
            </w:r>
          </w:p>
        </w:tc>
        <w:tc>
          <w:tcPr>
            <w:tcW w:w="7592" w:type="dxa"/>
          </w:tcPr>
          <w:p>
            <w:pPr>
              <w:pStyle w:val="TableParagraph"/>
              <w:spacing w:line="273" w:lineRule="auto" w:before="61"/>
              <w:ind w:right="104"/>
              <w:rPr>
                <w:sz w:val="21"/>
              </w:rPr>
            </w:pPr>
            <w:r>
              <w:rPr>
                <w:sz w:val="21"/>
              </w:rPr>
              <w:t>由相应保险金受益人作为申请人填写保险金给付申请书，并须提供下列证明和资料：</w:t>
            </w:r>
          </w:p>
          <w:p>
            <w:pPr>
              <w:pStyle w:val="TableParagraph"/>
              <w:numPr>
                <w:ilvl w:val="0"/>
                <w:numId w:val="10"/>
              </w:numPr>
              <w:tabs>
                <w:tab w:pos="719" w:val="left" w:leader="none"/>
              </w:tabs>
              <w:spacing w:line="240" w:lineRule="auto" w:before="7" w:after="0"/>
              <w:ind w:left="699" w:right="0" w:hanging="613"/>
              <w:jc w:val="left"/>
              <w:rPr>
                <w:sz w:val="21"/>
              </w:rPr>
            </w:pPr>
            <w:r>
              <w:rPr>
                <w:spacing w:val="-3"/>
                <w:sz w:val="21"/>
              </w:rPr>
              <w:t>保险合同；</w:t>
            </w:r>
          </w:p>
          <w:p>
            <w:pPr>
              <w:pStyle w:val="TableParagraph"/>
              <w:numPr>
                <w:ilvl w:val="0"/>
                <w:numId w:val="10"/>
              </w:numPr>
              <w:tabs>
                <w:tab w:pos="719" w:val="left" w:leader="none"/>
              </w:tabs>
              <w:spacing w:line="240" w:lineRule="auto" w:before="36" w:after="0"/>
              <w:ind w:left="699" w:right="0" w:hanging="613"/>
              <w:jc w:val="left"/>
              <w:rPr>
                <w:sz w:val="21"/>
              </w:rPr>
            </w:pPr>
            <w:r>
              <w:rPr>
                <w:spacing w:val="-3"/>
                <w:w w:val="100"/>
                <w:sz w:val="21"/>
              </w:rPr>
              <w:t>受益人的</w:t>
            </w:r>
            <w:r>
              <w:rPr>
                <w:b/>
                <w:spacing w:val="-1"/>
                <w:w w:val="100"/>
                <w:sz w:val="21"/>
              </w:rPr>
              <w:t>法定身份证明</w:t>
            </w:r>
            <w:r>
              <w:rPr>
                <w:w w:val="100"/>
                <w:sz w:val="21"/>
              </w:rPr>
              <w:t>（见</w:t>
            </w:r>
            <w:r>
              <w:rPr>
                <w:spacing w:val="-55"/>
                <w:sz w:val="21"/>
              </w:rPr>
              <w:t> </w:t>
            </w:r>
            <w:r>
              <w:rPr>
                <w:w w:val="100"/>
                <w:sz w:val="21"/>
              </w:rPr>
              <w:t>10.</w:t>
            </w:r>
            <w:r>
              <w:rPr>
                <w:spacing w:val="-3"/>
                <w:w w:val="100"/>
                <w:sz w:val="21"/>
              </w:rPr>
              <w:t>2</w:t>
            </w:r>
            <w:r>
              <w:rPr>
                <w:w w:val="100"/>
                <w:sz w:val="21"/>
              </w:rPr>
              <w:t>2</w:t>
            </w:r>
            <w:r>
              <w:rPr>
                <w:spacing w:val="-106"/>
                <w:w w:val="100"/>
                <w:sz w:val="21"/>
              </w:rPr>
              <w:t>）</w:t>
            </w:r>
            <w:r>
              <w:rPr>
                <w:w w:val="100"/>
                <w:sz w:val="21"/>
              </w:rPr>
              <w:t>；</w:t>
            </w:r>
          </w:p>
          <w:p>
            <w:pPr>
              <w:pStyle w:val="TableParagraph"/>
              <w:numPr>
                <w:ilvl w:val="0"/>
                <w:numId w:val="10"/>
              </w:numPr>
              <w:tabs>
                <w:tab w:pos="719" w:val="left" w:leader="none"/>
              </w:tabs>
              <w:spacing w:line="273" w:lineRule="auto" w:before="36" w:after="0"/>
              <w:ind w:left="699" w:right="145" w:hanging="613"/>
              <w:jc w:val="left"/>
              <w:rPr>
                <w:sz w:val="21"/>
              </w:rPr>
            </w:pPr>
            <w:r>
              <w:rPr>
                <w:spacing w:val="-3"/>
                <w:sz w:val="21"/>
              </w:rPr>
              <w:t>由医院出具的附有病历、必要病理检验、血液检验及其它科学方法检验报告的疾病诊断书；</w:t>
            </w:r>
          </w:p>
          <w:p>
            <w:pPr>
              <w:pStyle w:val="TableParagraph"/>
              <w:numPr>
                <w:ilvl w:val="0"/>
                <w:numId w:val="10"/>
              </w:numPr>
              <w:tabs>
                <w:tab w:pos="719" w:val="left" w:leader="none"/>
              </w:tabs>
              <w:spacing w:line="240" w:lineRule="auto" w:before="7" w:after="0"/>
              <w:ind w:left="699" w:right="0" w:hanging="613"/>
              <w:jc w:val="left"/>
              <w:rPr>
                <w:sz w:val="21"/>
              </w:rPr>
            </w:pPr>
            <w:r>
              <w:rPr>
                <w:spacing w:val="-3"/>
                <w:sz w:val="21"/>
              </w:rPr>
              <w:t>与确认保险事故的性质、原因、经过等有关的其它证明和资料。</w:t>
            </w:r>
          </w:p>
        </w:tc>
      </w:tr>
      <w:tr>
        <w:trPr>
          <w:trHeight w:val="1716" w:hRule="atLeast"/>
        </w:trPr>
        <w:tc>
          <w:tcPr>
            <w:tcW w:w="677" w:type="dxa"/>
          </w:tcPr>
          <w:p>
            <w:pPr>
              <w:pStyle w:val="TableParagraph"/>
              <w:spacing w:before="0"/>
              <w:ind w:left="0"/>
              <w:rPr>
                <w:rFonts w:ascii="Times New Roman"/>
                <w:sz w:val="20"/>
              </w:rPr>
            </w:pPr>
          </w:p>
        </w:tc>
        <w:tc>
          <w:tcPr>
            <w:tcW w:w="1608" w:type="dxa"/>
          </w:tcPr>
          <w:p>
            <w:pPr>
              <w:pStyle w:val="TableParagraph"/>
              <w:spacing w:line="273" w:lineRule="auto"/>
              <w:ind w:left="249" w:right="300"/>
              <w:jc w:val="both"/>
              <w:rPr>
                <w:b/>
                <w:sz w:val="21"/>
              </w:rPr>
            </w:pPr>
            <w:r>
              <w:rPr>
                <w:b/>
                <w:sz w:val="21"/>
              </w:rPr>
              <w:t>委托他人代为申请保险金</w:t>
            </w:r>
          </w:p>
        </w:tc>
        <w:tc>
          <w:tcPr>
            <w:tcW w:w="7592" w:type="dxa"/>
          </w:tcPr>
          <w:p>
            <w:pPr>
              <w:pStyle w:val="TableParagraph"/>
              <w:spacing w:line="273" w:lineRule="auto"/>
              <w:ind w:right="102"/>
              <w:jc w:val="both"/>
              <w:rPr>
                <w:sz w:val="21"/>
              </w:rPr>
            </w:pPr>
            <w:r>
              <w:rPr>
                <w:sz w:val="21"/>
              </w:rPr>
              <w:t>如果委托他人代为申请，除上述证明和资料外，还须提供相关保险金受益人的授权委托书、受托人有效身份证件等相关证明文件。受益人或继承人为限制民事行为能力人或无民事行为能力人时，由其合法监护人代其申请领取保险金，其合法监护人还必须提供受益人或继承人为限制民事行为能力人或无民事行为能力人的证明和监护人具有合法监护权的证明。</w:t>
            </w:r>
          </w:p>
        </w:tc>
      </w:tr>
      <w:tr>
        <w:trPr>
          <w:trHeight w:val="780" w:hRule="atLeast"/>
        </w:trPr>
        <w:tc>
          <w:tcPr>
            <w:tcW w:w="677" w:type="dxa"/>
          </w:tcPr>
          <w:p>
            <w:pPr>
              <w:pStyle w:val="TableParagraph"/>
              <w:spacing w:before="0"/>
              <w:ind w:left="0"/>
              <w:rPr>
                <w:rFonts w:ascii="Times New Roman"/>
                <w:sz w:val="20"/>
              </w:rPr>
            </w:pPr>
          </w:p>
        </w:tc>
        <w:tc>
          <w:tcPr>
            <w:tcW w:w="1608" w:type="dxa"/>
          </w:tcPr>
          <w:p>
            <w:pPr>
              <w:pStyle w:val="TableParagraph"/>
              <w:ind w:left="249"/>
              <w:rPr>
                <w:b/>
                <w:sz w:val="21"/>
              </w:rPr>
            </w:pPr>
            <w:r>
              <w:rPr>
                <w:b/>
                <w:sz w:val="21"/>
              </w:rPr>
              <w:t>补充通知</w:t>
            </w:r>
          </w:p>
        </w:tc>
        <w:tc>
          <w:tcPr>
            <w:tcW w:w="7592" w:type="dxa"/>
          </w:tcPr>
          <w:p>
            <w:pPr>
              <w:pStyle w:val="TableParagraph"/>
              <w:spacing w:line="273" w:lineRule="auto"/>
              <w:ind w:right="105"/>
              <w:rPr>
                <w:sz w:val="21"/>
              </w:rPr>
            </w:pPr>
            <w:r>
              <w:rPr>
                <w:sz w:val="21"/>
              </w:rPr>
              <w:t>以上证明和资料不完整的，本公司将及时一次性通知申请人补充提供有关的证明和资料。</w:t>
            </w:r>
          </w:p>
        </w:tc>
      </w:tr>
      <w:tr>
        <w:trPr>
          <w:trHeight w:val="1560" w:hRule="atLeast"/>
        </w:trPr>
        <w:tc>
          <w:tcPr>
            <w:tcW w:w="677" w:type="dxa"/>
          </w:tcPr>
          <w:p>
            <w:pPr>
              <w:pStyle w:val="TableParagraph"/>
              <w:spacing w:before="0"/>
              <w:ind w:left="0"/>
              <w:rPr>
                <w:rFonts w:ascii="Times New Roman"/>
                <w:sz w:val="20"/>
              </w:rPr>
            </w:pPr>
          </w:p>
        </w:tc>
        <w:tc>
          <w:tcPr>
            <w:tcW w:w="1608" w:type="dxa"/>
          </w:tcPr>
          <w:p>
            <w:pPr>
              <w:pStyle w:val="TableParagraph"/>
              <w:spacing w:line="273" w:lineRule="auto"/>
              <w:ind w:left="249" w:right="84"/>
              <w:rPr>
                <w:b/>
                <w:sz w:val="21"/>
              </w:rPr>
            </w:pPr>
            <w:r>
              <w:rPr>
                <w:b/>
                <w:sz w:val="21"/>
              </w:rPr>
              <w:t>特别注意事项</w:t>
            </w:r>
          </w:p>
        </w:tc>
        <w:tc>
          <w:tcPr>
            <w:tcW w:w="7592" w:type="dxa"/>
          </w:tcPr>
          <w:p>
            <w:pPr>
              <w:pStyle w:val="TableParagraph"/>
              <w:spacing w:line="273" w:lineRule="auto"/>
              <w:ind w:right="105"/>
              <w:rPr>
                <w:sz w:val="21"/>
              </w:rPr>
            </w:pPr>
            <w:r>
              <w:rPr>
                <w:sz w:val="21"/>
              </w:rPr>
              <w:t>除上述相关证明和资料外，本公司如认为必要，在保险事故发生后可以对被保险人的身体状况进行检查或鉴定。</w:t>
            </w:r>
          </w:p>
          <w:p>
            <w:pPr>
              <w:pStyle w:val="TableParagraph"/>
              <w:spacing w:line="273" w:lineRule="auto" w:before="163"/>
              <w:ind w:right="105"/>
              <w:rPr>
                <w:sz w:val="21"/>
              </w:rPr>
            </w:pPr>
            <w:r>
              <w:rPr>
                <w:sz w:val="21"/>
              </w:rPr>
              <w:t>保险金作为被保险人遗产时，继承人还必须提供可证明其合法继承权的相关权利文件。</w:t>
            </w:r>
          </w:p>
        </w:tc>
      </w:tr>
      <w:tr>
        <w:trPr>
          <w:trHeight w:val="2809" w:hRule="atLeast"/>
        </w:trPr>
        <w:tc>
          <w:tcPr>
            <w:tcW w:w="677" w:type="dxa"/>
          </w:tcPr>
          <w:p>
            <w:pPr>
              <w:pStyle w:val="TableParagraph"/>
              <w:ind w:left="91" w:right="228"/>
              <w:jc w:val="center"/>
              <w:rPr>
                <w:b/>
                <w:sz w:val="21"/>
              </w:rPr>
            </w:pPr>
            <w:r>
              <w:rPr>
                <w:b/>
                <w:sz w:val="21"/>
              </w:rPr>
              <w:t>3.4</w:t>
            </w:r>
          </w:p>
        </w:tc>
        <w:tc>
          <w:tcPr>
            <w:tcW w:w="1608" w:type="dxa"/>
          </w:tcPr>
          <w:p>
            <w:pPr>
              <w:pStyle w:val="TableParagraph"/>
              <w:ind w:left="249"/>
              <w:rPr>
                <w:b/>
                <w:sz w:val="21"/>
              </w:rPr>
            </w:pPr>
            <w:r>
              <w:rPr>
                <w:b/>
                <w:sz w:val="21"/>
              </w:rPr>
              <w:t>保险金给付</w:t>
            </w:r>
          </w:p>
        </w:tc>
        <w:tc>
          <w:tcPr>
            <w:tcW w:w="7592" w:type="dxa"/>
          </w:tcPr>
          <w:p>
            <w:pPr>
              <w:pStyle w:val="TableParagraph"/>
              <w:spacing w:line="273" w:lineRule="auto"/>
              <w:ind w:right="104"/>
              <w:jc w:val="both"/>
              <w:rPr>
                <w:sz w:val="21"/>
              </w:rPr>
            </w:pPr>
            <w:r>
              <w:rPr>
                <w:sz w:val="21"/>
              </w:rPr>
              <w:t>本公司在收到保险金给付申请书及上述完整齐全的有关证明和资料后，会及时做出核定，对确定属于保险责任的，在与受益人达成有关给付保险金数额的协议后十日内，履行给付保险金责任。对不属于保险责任的，自做出核定之日起三日内向受益人发出拒绝给付保险金通知书并说明理由。</w:t>
            </w:r>
          </w:p>
          <w:p>
            <w:pPr>
              <w:pStyle w:val="TableParagraph"/>
              <w:spacing w:line="273" w:lineRule="auto" w:before="163"/>
              <w:ind w:right="102"/>
              <w:jc w:val="both"/>
              <w:rPr>
                <w:sz w:val="21"/>
              </w:rPr>
            </w:pPr>
            <w:r>
              <w:rPr>
                <w:sz w:val="21"/>
              </w:rPr>
              <w:t>本公司在收到保险金给付申请书及上述完整齐全的有关证明和资料之日起六十日内，对属于保险责任而给付保险金的数额不能确定的，根据已有证明和资料，按可以确定的数额先予以支付；本公司最终确定给付保险金的数额后，给付相应的差额。</w:t>
            </w:r>
          </w:p>
        </w:tc>
      </w:tr>
      <w:tr>
        <w:trPr>
          <w:trHeight w:val="830" w:hRule="atLeast"/>
        </w:trPr>
        <w:tc>
          <w:tcPr>
            <w:tcW w:w="677" w:type="dxa"/>
          </w:tcPr>
          <w:p>
            <w:pPr>
              <w:pStyle w:val="TableParagraph"/>
              <w:spacing w:before="60"/>
              <w:ind w:left="91" w:right="228"/>
              <w:jc w:val="center"/>
              <w:rPr>
                <w:b/>
                <w:sz w:val="21"/>
              </w:rPr>
            </w:pPr>
            <w:r>
              <w:rPr>
                <w:b/>
                <w:sz w:val="21"/>
              </w:rPr>
              <w:t>3.5</w:t>
            </w:r>
          </w:p>
        </w:tc>
        <w:tc>
          <w:tcPr>
            <w:tcW w:w="1608" w:type="dxa"/>
          </w:tcPr>
          <w:p>
            <w:pPr>
              <w:pStyle w:val="TableParagraph"/>
              <w:spacing w:line="273" w:lineRule="auto" w:before="60"/>
              <w:ind w:left="249" w:right="300"/>
              <w:rPr>
                <w:b/>
                <w:sz w:val="21"/>
              </w:rPr>
            </w:pPr>
            <w:r>
              <w:rPr>
                <w:b/>
                <w:sz w:val="21"/>
              </w:rPr>
              <w:t>保险金申请时效</w:t>
            </w:r>
          </w:p>
        </w:tc>
        <w:tc>
          <w:tcPr>
            <w:tcW w:w="7592" w:type="dxa"/>
          </w:tcPr>
          <w:p>
            <w:pPr>
              <w:pStyle w:val="TableParagraph"/>
              <w:spacing w:line="273" w:lineRule="auto" w:before="60"/>
              <w:ind w:right="102"/>
              <w:rPr>
                <w:sz w:val="21"/>
              </w:rPr>
            </w:pPr>
            <w:r>
              <w:rPr>
                <w:sz w:val="21"/>
              </w:rPr>
              <w:t>受益人向本公司请求给付保险金的诉讼时效期间为二年，自其知道或者应当知道保险事故发生之日起计算。</w:t>
            </w:r>
          </w:p>
        </w:tc>
      </w:tr>
      <w:tr>
        <w:trPr>
          <w:trHeight w:val="651" w:hRule="atLeast"/>
        </w:trPr>
        <w:tc>
          <w:tcPr>
            <w:tcW w:w="677" w:type="dxa"/>
            <w:tcBorders>
              <w:bottom w:val="single" w:sz="4" w:space="0" w:color="000000"/>
            </w:tcBorders>
          </w:tcPr>
          <w:p>
            <w:pPr>
              <w:pStyle w:val="TableParagraph"/>
              <w:spacing w:before="73"/>
              <w:ind w:left="0" w:right="116"/>
              <w:jc w:val="center"/>
              <w:rPr>
                <w:b/>
                <w:sz w:val="32"/>
              </w:rPr>
            </w:pPr>
            <w:r>
              <w:rPr>
                <w:b/>
                <w:w w:val="98"/>
                <w:sz w:val="32"/>
              </w:rPr>
              <w:t>4</w:t>
            </w:r>
          </w:p>
        </w:tc>
        <w:tc>
          <w:tcPr>
            <w:tcW w:w="9200" w:type="dxa"/>
            <w:gridSpan w:val="2"/>
            <w:tcBorders>
              <w:bottom w:val="single" w:sz="4" w:space="0" w:color="000000"/>
            </w:tcBorders>
          </w:tcPr>
          <w:p>
            <w:pPr>
              <w:pStyle w:val="TableParagraph"/>
              <w:spacing w:before="140"/>
              <w:ind w:left="249"/>
              <w:rPr>
                <w:b/>
                <w:sz w:val="24"/>
              </w:rPr>
            </w:pPr>
            <w:r>
              <w:rPr>
                <w:b/>
                <w:w w:val="95"/>
                <w:sz w:val="24"/>
              </w:rPr>
              <w:t>如何交纳保险费</w:t>
            </w:r>
          </w:p>
        </w:tc>
      </w:tr>
      <w:tr>
        <w:trPr>
          <w:trHeight w:val="819" w:hRule="atLeast"/>
        </w:trPr>
        <w:tc>
          <w:tcPr>
            <w:tcW w:w="677" w:type="dxa"/>
            <w:tcBorders>
              <w:top w:val="single" w:sz="4" w:space="0" w:color="000000"/>
            </w:tcBorders>
          </w:tcPr>
          <w:p>
            <w:pPr>
              <w:pStyle w:val="TableParagraph"/>
              <w:spacing w:before="164"/>
              <w:ind w:left="91" w:right="228"/>
              <w:jc w:val="center"/>
              <w:rPr>
                <w:b/>
                <w:sz w:val="21"/>
              </w:rPr>
            </w:pPr>
            <w:r>
              <w:rPr>
                <w:b/>
                <w:sz w:val="21"/>
              </w:rPr>
              <w:t>4.1</w:t>
            </w:r>
          </w:p>
        </w:tc>
        <w:tc>
          <w:tcPr>
            <w:tcW w:w="1608" w:type="dxa"/>
            <w:tcBorders>
              <w:top w:val="single" w:sz="4" w:space="0" w:color="000000"/>
            </w:tcBorders>
          </w:tcPr>
          <w:p>
            <w:pPr>
              <w:pStyle w:val="TableParagraph"/>
              <w:spacing w:line="370" w:lineRule="atLeast" w:before="68"/>
              <w:ind w:left="249" w:right="300"/>
              <w:rPr>
                <w:b/>
                <w:sz w:val="21"/>
              </w:rPr>
            </w:pPr>
            <w:r>
              <w:rPr>
                <w:b/>
                <w:sz w:val="21"/>
              </w:rPr>
              <w:t>保险费的交纳</w:t>
            </w:r>
          </w:p>
        </w:tc>
        <w:tc>
          <w:tcPr>
            <w:tcW w:w="7592" w:type="dxa"/>
            <w:tcBorders>
              <w:top w:val="single" w:sz="4" w:space="0" w:color="000000"/>
            </w:tcBorders>
          </w:tcPr>
          <w:p>
            <w:pPr>
              <w:pStyle w:val="TableParagraph"/>
              <w:spacing w:line="273" w:lineRule="auto" w:before="132"/>
              <w:ind w:right="102"/>
              <w:rPr>
                <w:sz w:val="21"/>
              </w:rPr>
            </w:pPr>
            <w:r>
              <w:rPr>
                <w:sz w:val="21"/>
              </w:rPr>
              <w:t>本附加合同的保险费采取趸交、期交两种方式，可选择的期交交费期限为五年、十年、十五年和二十年，按照本公司的相关规定，由投保人和本公司约定并在保</w:t>
            </w:r>
          </w:p>
        </w:tc>
      </w:tr>
    </w:tbl>
    <w:p>
      <w:pPr>
        <w:spacing w:after="0" w:line="273" w:lineRule="auto"/>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395"/>
        <w:gridCol w:w="7802"/>
      </w:tblGrid>
      <w:tr>
        <w:trPr>
          <w:trHeight w:val="831" w:hRule="atLeast"/>
        </w:trPr>
        <w:tc>
          <w:tcPr>
            <w:tcW w:w="677" w:type="dxa"/>
          </w:tcPr>
          <w:p>
            <w:pPr>
              <w:pStyle w:val="TableParagraph"/>
              <w:spacing w:before="0"/>
              <w:ind w:left="0"/>
              <w:rPr>
                <w:rFonts w:ascii="Times New Roman"/>
                <w:sz w:val="20"/>
              </w:rPr>
            </w:pPr>
          </w:p>
        </w:tc>
        <w:tc>
          <w:tcPr>
            <w:tcW w:w="1395" w:type="dxa"/>
          </w:tcPr>
          <w:p>
            <w:pPr>
              <w:pStyle w:val="TableParagraph"/>
              <w:spacing w:before="0"/>
              <w:ind w:left="0"/>
              <w:rPr>
                <w:rFonts w:ascii="Times New Roman"/>
                <w:sz w:val="20"/>
              </w:rPr>
            </w:pPr>
          </w:p>
        </w:tc>
        <w:tc>
          <w:tcPr>
            <w:tcW w:w="7802" w:type="dxa"/>
          </w:tcPr>
          <w:p>
            <w:pPr>
              <w:pStyle w:val="TableParagraph"/>
              <w:spacing w:line="205" w:lineRule="exact" w:before="0"/>
              <w:ind w:left="299"/>
              <w:rPr>
                <w:sz w:val="21"/>
              </w:rPr>
            </w:pPr>
            <w:r>
              <w:rPr>
                <w:sz w:val="21"/>
              </w:rPr>
              <w:t>险单上载明。</w:t>
            </w:r>
          </w:p>
          <w:p>
            <w:pPr>
              <w:pStyle w:val="TableParagraph"/>
              <w:spacing w:before="11"/>
              <w:ind w:left="0"/>
              <w:rPr>
                <w:b/>
                <w:sz w:val="15"/>
              </w:rPr>
            </w:pPr>
          </w:p>
          <w:p>
            <w:pPr>
              <w:pStyle w:val="TableParagraph"/>
              <w:spacing w:before="0"/>
              <w:ind w:left="299"/>
              <w:rPr>
                <w:sz w:val="21"/>
              </w:rPr>
            </w:pPr>
            <w:r>
              <w:rPr>
                <w:sz w:val="21"/>
              </w:rPr>
              <w:t>在交纳首期保险费后，投保人应当在每个保险费应交日交纳其余各期的保险费。</w:t>
            </w:r>
          </w:p>
        </w:tc>
      </w:tr>
      <w:tr>
        <w:trPr>
          <w:trHeight w:val="2299" w:hRule="atLeast"/>
        </w:trPr>
        <w:tc>
          <w:tcPr>
            <w:tcW w:w="677" w:type="dxa"/>
          </w:tcPr>
          <w:p>
            <w:pPr>
              <w:pStyle w:val="TableParagraph"/>
              <w:spacing w:before="99"/>
              <w:ind w:left="91" w:right="228"/>
              <w:jc w:val="center"/>
              <w:rPr>
                <w:b/>
                <w:sz w:val="21"/>
              </w:rPr>
            </w:pPr>
            <w:r>
              <w:rPr>
                <w:b/>
                <w:sz w:val="21"/>
              </w:rPr>
              <w:t>4.2</w:t>
            </w:r>
          </w:p>
        </w:tc>
        <w:tc>
          <w:tcPr>
            <w:tcW w:w="1395" w:type="dxa"/>
          </w:tcPr>
          <w:p>
            <w:pPr>
              <w:pStyle w:val="TableParagraph"/>
              <w:spacing w:before="99"/>
              <w:ind w:left="249"/>
              <w:rPr>
                <w:b/>
                <w:sz w:val="21"/>
              </w:rPr>
            </w:pPr>
            <w:r>
              <w:rPr>
                <w:b/>
                <w:sz w:val="21"/>
              </w:rPr>
              <w:t>宽限期</w:t>
            </w:r>
          </w:p>
        </w:tc>
        <w:tc>
          <w:tcPr>
            <w:tcW w:w="7802" w:type="dxa"/>
          </w:tcPr>
          <w:p>
            <w:pPr>
              <w:pStyle w:val="TableParagraph"/>
              <w:spacing w:line="273" w:lineRule="auto" w:before="68"/>
              <w:ind w:left="299" w:right="142"/>
              <w:jc w:val="both"/>
              <w:rPr>
                <w:sz w:val="21"/>
              </w:rPr>
            </w:pPr>
            <w:r>
              <w:rPr>
                <w:sz w:val="21"/>
              </w:rPr>
              <w:t>分期支付保险费的，投保人支付首期保险费后，除本附加合同另有约定外，如果投保人到期未交纳保险费，自保险费应交日的次日起六十日为宽限期。宽限期内发生的保险事故，本公司仍会承担保险责任，但在给付保险金时会扣除投保人欠交的保险费。</w:t>
            </w:r>
          </w:p>
          <w:p>
            <w:pPr>
              <w:pStyle w:val="TableParagraph"/>
              <w:spacing w:line="300" w:lineRule="auto" w:before="178"/>
              <w:ind w:left="299" w:right="100"/>
              <w:jc w:val="both"/>
              <w:rPr>
                <w:sz w:val="21"/>
              </w:rPr>
            </w:pPr>
            <w:r>
              <w:rPr>
                <w:sz w:val="21"/>
              </w:rPr>
              <w:t>如果宽限期结束之后投保人仍未交纳保险费，则本附加合同自宽限期满的次日零时起中止，但本附加合同另有约定的除外。</w:t>
            </w:r>
          </w:p>
        </w:tc>
      </w:tr>
      <w:tr>
        <w:trPr>
          <w:trHeight w:val="662" w:hRule="atLeast"/>
        </w:trPr>
        <w:tc>
          <w:tcPr>
            <w:tcW w:w="677" w:type="dxa"/>
            <w:tcBorders>
              <w:bottom w:val="single" w:sz="4" w:space="0" w:color="000000"/>
            </w:tcBorders>
          </w:tcPr>
          <w:p>
            <w:pPr>
              <w:pStyle w:val="TableParagraph"/>
              <w:spacing w:before="83"/>
              <w:ind w:left="0" w:right="116"/>
              <w:jc w:val="center"/>
              <w:rPr>
                <w:b/>
                <w:sz w:val="32"/>
              </w:rPr>
            </w:pPr>
            <w:r>
              <w:rPr>
                <w:b/>
                <w:w w:val="98"/>
                <w:sz w:val="32"/>
              </w:rPr>
              <w:t>5</w:t>
            </w:r>
          </w:p>
        </w:tc>
        <w:tc>
          <w:tcPr>
            <w:tcW w:w="9197" w:type="dxa"/>
            <w:gridSpan w:val="2"/>
            <w:tcBorders>
              <w:bottom w:val="single" w:sz="4" w:space="0" w:color="000000"/>
            </w:tcBorders>
          </w:tcPr>
          <w:p>
            <w:pPr>
              <w:pStyle w:val="TableParagraph"/>
              <w:spacing w:before="148"/>
              <w:ind w:left="249"/>
              <w:rPr>
                <w:b/>
                <w:sz w:val="24"/>
              </w:rPr>
            </w:pPr>
            <w:r>
              <w:rPr>
                <w:b/>
                <w:w w:val="95"/>
                <w:sz w:val="24"/>
              </w:rPr>
              <w:t>现金价值权益</w:t>
            </w:r>
          </w:p>
        </w:tc>
      </w:tr>
      <w:tr>
        <w:trPr>
          <w:trHeight w:val="1477" w:hRule="atLeast"/>
        </w:trPr>
        <w:tc>
          <w:tcPr>
            <w:tcW w:w="677" w:type="dxa"/>
            <w:tcBorders>
              <w:top w:val="single" w:sz="4" w:space="0" w:color="000000"/>
            </w:tcBorders>
          </w:tcPr>
          <w:p>
            <w:pPr>
              <w:pStyle w:val="TableParagraph"/>
              <w:spacing w:before="132"/>
              <w:ind w:left="91" w:right="228"/>
              <w:jc w:val="center"/>
              <w:rPr>
                <w:b/>
                <w:sz w:val="21"/>
              </w:rPr>
            </w:pPr>
            <w:r>
              <w:rPr>
                <w:b/>
                <w:sz w:val="21"/>
              </w:rPr>
              <w:t>5.1</w:t>
            </w:r>
          </w:p>
        </w:tc>
        <w:tc>
          <w:tcPr>
            <w:tcW w:w="1395" w:type="dxa"/>
            <w:tcBorders>
              <w:top w:val="single" w:sz="4" w:space="0" w:color="000000"/>
            </w:tcBorders>
          </w:tcPr>
          <w:p>
            <w:pPr>
              <w:pStyle w:val="TableParagraph"/>
              <w:spacing w:before="132"/>
              <w:ind w:left="249"/>
              <w:rPr>
                <w:b/>
                <w:sz w:val="21"/>
              </w:rPr>
            </w:pPr>
            <w:r>
              <w:rPr>
                <w:b/>
                <w:sz w:val="21"/>
              </w:rPr>
              <w:t>现金价值</w:t>
            </w:r>
          </w:p>
        </w:tc>
        <w:tc>
          <w:tcPr>
            <w:tcW w:w="7802" w:type="dxa"/>
            <w:tcBorders>
              <w:top w:val="single" w:sz="4" w:space="0" w:color="000000"/>
            </w:tcBorders>
          </w:tcPr>
          <w:p>
            <w:pPr>
              <w:pStyle w:val="TableParagraph"/>
              <w:spacing w:line="273" w:lineRule="auto" w:before="132"/>
              <w:ind w:left="299" w:right="100"/>
              <w:jc w:val="both"/>
              <w:rPr>
                <w:sz w:val="21"/>
              </w:rPr>
            </w:pPr>
            <w:r>
              <w:rPr>
                <w:sz w:val="21"/>
              </w:rPr>
              <w:t>指保险单所具有的价值，通常体现为解除保险合同时，根据精算原理计算的，由本公司向投保人退还的那部分金额。本附加合同保单年度末基本保险金额对应的现金价值会在保险单或批注上载明。保单年度中现金价值的金额基于保单年度末现金价值的金额根据合理的方法计算而得，投保人可以向本公司咨询。</w:t>
            </w:r>
          </w:p>
        </w:tc>
      </w:tr>
      <w:tr>
        <w:trPr>
          <w:trHeight w:val="4107" w:hRule="atLeast"/>
        </w:trPr>
        <w:tc>
          <w:tcPr>
            <w:tcW w:w="677" w:type="dxa"/>
          </w:tcPr>
          <w:p>
            <w:pPr>
              <w:pStyle w:val="TableParagraph"/>
              <w:ind w:left="91" w:right="228"/>
              <w:jc w:val="center"/>
              <w:rPr>
                <w:b/>
                <w:sz w:val="21"/>
              </w:rPr>
            </w:pPr>
            <w:r>
              <w:rPr>
                <w:b/>
                <w:sz w:val="21"/>
              </w:rPr>
              <w:t>5.2</w:t>
            </w:r>
          </w:p>
        </w:tc>
        <w:tc>
          <w:tcPr>
            <w:tcW w:w="1395" w:type="dxa"/>
          </w:tcPr>
          <w:p>
            <w:pPr>
              <w:pStyle w:val="TableParagraph"/>
              <w:ind w:left="249"/>
              <w:rPr>
                <w:b/>
                <w:sz w:val="21"/>
              </w:rPr>
            </w:pPr>
            <w:r>
              <w:rPr>
                <w:b/>
                <w:sz w:val="21"/>
              </w:rPr>
              <w:t>保单贷款</w:t>
            </w:r>
          </w:p>
        </w:tc>
        <w:tc>
          <w:tcPr>
            <w:tcW w:w="7802" w:type="dxa"/>
          </w:tcPr>
          <w:p>
            <w:pPr>
              <w:pStyle w:val="TableParagraph"/>
              <w:spacing w:line="273" w:lineRule="auto"/>
              <w:ind w:left="299" w:right="99"/>
              <w:jc w:val="both"/>
              <w:rPr>
                <w:sz w:val="21"/>
              </w:rPr>
            </w:pPr>
            <w:r>
              <w:rPr>
                <w:sz w:val="21"/>
              </w:rPr>
              <w:t>在本附加合同有效期内且在犹豫期之后，如果本附加合同具有现金价值，经被保险人书面同意，投保人可以向本公司申请贷款。保单贷款的最高金额不超过本附</w:t>
            </w:r>
            <w:r>
              <w:rPr>
                <w:spacing w:val="-3"/>
                <w:sz w:val="21"/>
              </w:rPr>
              <w:t>加合同当时所具有的</w:t>
            </w:r>
            <w:r>
              <w:rPr>
                <w:b/>
                <w:spacing w:val="-2"/>
                <w:sz w:val="21"/>
              </w:rPr>
              <w:t>现金价值净额</w:t>
            </w:r>
            <w:r>
              <w:rPr>
                <w:spacing w:val="-3"/>
                <w:sz w:val="21"/>
              </w:rPr>
              <w:t>（</w:t>
            </w:r>
            <w:r>
              <w:rPr>
                <w:spacing w:val="-11"/>
                <w:sz w:val="21"/>
              </w:rPr>
              <w:t>见 </w:t>
            </w:r>
            <w:r>
              <w:rPr>
                <w:sz w:val="21"/>
              </w:rPr>
              <w:t>10.23）</w:t>
            </w:r>
            <w:r>
              <w:rPr>
                <w:spacing w:val="-13"/>
                <w:sz w:val="21"/>
              </w:rPr>
              <w:t>的 </w:t>
            </w:r>
            <w:r>
              <w:rPr>
                <w:sz w:val="21"/>
              </w:rPr>
              <w:t>90％</w:t>
            </w:r>
            <w:r>
              <w:rPr>
                <w:spacing w:val="-3"/>
                <w:sz w:val="21"/>
              </w:rPr>
              <w:t>，具体额度需经本公司审批。每次贷款期限最长不超过六个月，贷款利率按投保人申请贷款当时本公司确定的</w:t>
            </w:r>
            <w:r>
              <w:rPr>
                <w:b/>
                <w:spacing w:val="-3"/>
                <w:sz w:val="21"/>
              </w:rPr>
              <w:t>约定利率</w:t>
            </w:r>
            <w:r>
              <w:rPr>
                <w:spacing w:val="-3"/>
                <w:sz w:val="21"/>
              </w:rPr>
              <w:t>（</w:t>
            </w:r>
            <w:r>
              <w:rPr>
                <w:spacing w:val="-19"/>
                <w:sz w:val="21"/>
              </w:rPr>
              <w:t>见 </w:t>
            </w:r>
            <w:r>
              <w:rPr>
                <w:sz w:val="21"/>
              </w:rPr>
              <w:t>10.24）</w:t>
            </w:r>
            <w:r>
              <w:rPr>
                <w:spacing w:val="-3"/>
                <w:sz w:val="21"/>
              </w:rPr>
              <w:t>执行，并在贷款协议中载明。</w:t>
            </w:r>
          </w:p>
          <w:p>
            <w:pPr>
              <w:pStyle w:val="TableParagraph"/>
              <w:spacing w:line="273" w:lineRule="auto" w:before="163"/>
              <w:ind w:left="299" w:right="99"/>
              <w:jc w:val="both"/>
              <w:rPr>
                <w:sz w:val="21"/>
              </w:rPr>
            </w:pPr>
            <w:r>
              <w:rPr>
                <w:sz w:val="21"/>
              </w:rPr>
              <w:t>保单贷款期满时，如果投保人未能全部偿还贷款本金及利息，且本附加合同的现金价值净额大于零，未偿还的贷款本金及利息将构成新一期的保单贷款，贷款期限为 6 个月，并按本公司最近一次确定的约定利率计息。</w:t>
            </w:r>
          </w:p>
          <w:p>
            <w:pPr>
              <w:pStyle w:val="TableParagraph"/>
              <w:spacing w:before="163"/>
              <w:ind w:left="299"/>
              <w:rPr>
                <w:sz w:val="21"/>
              </w:rPr>
            </w:pPr>
            <w:r>
              <w:rPr>
                <w:sz w:val="21"/>
              </w:rPr>
              <w:t>当本附加合同的现金价值净额小于或等于零时，本附加合同的效力中止。</w:t>
            </w:r>
          </w:p>
          <w:p>
            <w:pPr>
              <w:pStyle w:val="TableParagraph"/>
              <w:spacing w:before="9"/>
              <w:ind w:left="0"/>
              <w:rPr>
                <w:b/>
                <w:sz w:val="14"/>
              </w:rPr>
            </w:pPr>
          </w:p>
          <w:p>
            <w:pPr>
              <w:pStyle w:val="TableParagraph"/>
              <w:spacing w:line="273" w:lineRule="auto" w:before="0"/>
              <w:ind w:left="299" w:right="99"/>
              <w:jc w:val="both"/>
              <w:rPr>
                <w:sz w:val="21"/>
              </w:rPr>
            </w:pPr>
            <w:r>
              <w:rPr>
                <w:sz w:val="21"/>
              </w:rPr>
              <w:t>保单贷款须填写保单贷款申请书及其他相关文件，并凭保险合同、最后一次交费凭证及投保人的法定身份证明办理。</w:t>
            </w:r>
          </w:p>
        </w:tc>
      </w:tr>
      <w:tr>
        <w:trPr>
          <w:trHeight w:val="653" w:hRule="atLeast"/>
        </w:trPr>
        <w:tc>
          <w:tcPr>
            <w:tcW w:w="677" w:type="dxa"/>
            <w:tcBorders>
              <w:bottom w:val="single" w:sz="4" w:space="0" w:color="000000"/>
            </w:tcBorders>
          </w:tcPr>
          <w:p>
            <w:pPr>
              <w:pStyle w:val="TableParagraph"/>
              <w:spacing w:before="74"/>
              <w:ind w:left="0" w:right="116"/>
              <w:jc w:val="center"/>
              <w:rPr>
                <w:b/>
                <w:sz w:val="32"/>
              </w:rPr>
            </w:pPr>
            <w:r>
              <w:rPr>
                <w:b/>
                <w:w w:val="98"/>
                <w:sz w:val="32"/>
              </w:rPr>
              <w:t>6</w:t>
            </w:r>
          </w:p>
        </w:tc>
        <w:tc>
          <w:tcPr>
            <w:tcW w:w="9197" w:type="dxa"/>
            <w:gridSpan w:val="2"/>
            <w:tcBorders>
              <w:bottom w:val="single" w:sz="4" w:space="0" w:color="000000"/>
            </w:tcBorders>
          </w:tcPr>
          <w:p>
            <w:pPr>
              <w:pStyle w:val="TableParagraph"/>
              <w:spacing w:before="141"/>
              <w:ind w:left="249"/>
              <w:rPr>
                <w:b/>
                <w:sz w:val="24"/>
              </w:rPr>
            </w:pPr>
            <w:r>
              <w:rPr>
                <w:b/>
                <w:w w:val="95"/>
                <w:sz w:val="24"/>
              </w:rPr>
              <w:t>合同效力的中止及恢复</w:t>
            </w:r>
          </w:p>
        </w:tc>
      </w:tr>
      <w:tr>
        <w:trPr>
          <w:trHeight w:val="544" w:hRule="atLeast"/>
        </w:trPr>
        <w:tc>
          <w:tcPr>
            <w:tcW w:w="677" w:type="dxa"/>
            <w:tcBorders>
              <w:top w:val="single" w:sz="4" w:space="0" w:color="000000"/>
            </w:tcBorders>
          </w:tcPr>
          <w:p>
            <w:pPr>
              <w:pStyle w:val="TableParagraph"/>
              <w:spacing w:before="132"/>
              <w:ind w:left="91" w:right="228"/>
              <w:jc w:val="center"/>
              <w:rPr>
                <w:b/>
                <w:sz w:val="21"/>
              </w:rPr>
            </w:pPr>
            <w:r>
              <w:rPr>
                <w:b/>
                <w:sz w:val="21"/>
              </w:rPr>
              <w:t>6.1</w:t>
            </w:r>
          </w:p>
        </w:tc>
        <w:tc>
          <w:tcPr>
            <w:tcW w:w="1395" w:type="dxa"/>
            <w:tcBorders>
              <w:top w:val="single" w:sz="4" w:space="0" w:color="000000"/>
            </w:tcBorders>
          </w:tcPr>
          <w:p>
            <w:pPr>
              <w:pStyle w:val="TableParagraph"/>
              <w:spacing w:before="132"/>
              <w:ind w:left="249"/>
              <w:rPr>
                <w:b/>
                <w:sz w:val="21"/>
              </w:rPr>
            </w:pPr>
            <w:r>
              <w:rPr>
                <w:b/>
                <w:sz w:val="21"/>
              </w:rPr>
              <w:t>效力中止</w:t>
            </w:r>
          </w:p>
        </w:tc>
        <w:tc>
          <w:tcPr>
            <w:tcW w:w="7802" w:type="dxa"/>
            <w:tcBorders>
              <w:top w:val="single" w:sz="4" w:space="0" w:color="000000"/>
            </w:tcBorders>
          </w:tcPr>
          <w:p>
            <w:pPr>
              <w:pStyle w:val="TableParagraph"/>
              <w:spacing w:before="132"/>
              <w:ind w:left="299"/>
              <w:rPr>
                <w:sz w:val="21"/>
              </w:rPr>
            </w:pPr>
            <w:r>
              <w:rPr>
                <w:sz w:val="21"/>
              </w:rPr>
              <w:t>在本附加合同效力中止期间，本公司不负保险责任。</w:t>
            </w:r>
          </w:p>
        </w:tc>
      </w:tr>
      <w:tr>
        <w:trPr>
          <w:trHeight w:val="3306" w:hRule="atLeast"/>
        </w:trPr>
        <w:tc>
          <w:tcPr>
            <w:tcW w:w="677" w:type="dxa"/>
          </w:tcPr>
          <w:p>
            <w:pPr>
              <w:pStyle w:val="TableParagraph"/>
              <w:spacing w:before="61"/>
              <w:ind w:left="91" w:right="228"/>
              <w:jc w:val="center"/>
              <w:rPr>
                <w:b/>
                <w:sz w:val="21"/>
              </w:rPr>
            </w:pPr>
            <w:r>
              <w:rPr>
                <w:b/>
                <w:sz w:val="21"/>
              </w:rPr>
              <w:t>6.2</w:t>
            </w:r>
          </w:p>
        </w:tc>
        <w:tc>
          <w:tcPr>
            <w:tcW w:w="1395" w:type="dxa"/>
          </w:tcPr>
          <w:p>
            <w:pPr>
              <w:pStyle w:val="TableParagraph"/>
              <w:spacing w:before="61"/>
              <w:ind w:left="249"/>
              <w:rPr>
                <w:b/>
                <w:sz w:val="21"/>
              </w:rPr>
            </w:pPr>
            <w:r>
              <w:rPr>
                <w:b/>
                <w:sz w:val="21"/>
              </w:rPr>
              <w:t>效力恢复</w:t>
            </w:r>
          </w:p>
        </w:tc>
        <w:tc>
          <w:tcPr>
            <w:tcW w:w="7802" w:type="dxa"/>
          </w:tcPr>
          <w:p>
            <w:pPr>
              <w:pStyle w:val="TableParagraph"/>
              <w:spacing w:before="61"/>
              <w:ind w:left="299"/>
              <w:rPr>
                <w:sz w:val="21"/>
              </w:rPr>
            </w:pPr>
            <w:r>
              <w:rPr>
                <w:sz w:val="21"/>
              </w:rPr>
              <w:t>本附加合同效力中止后二年内，投保人可以申请恢复合同效力。</w:t>
            </w:r>
          </w:p>
          <w:p>
            <w:pPr>
              <w:pStyle w:val="TableParagraph"/>
              <w:spacing w:before="9"/>
              <w:ind w:left="0"/>
              <w:rPr>
                <w:b/>
                <w:sz w:val="14"/>
              </w:rPr>
            </w:pPr>
          </w:p>
          <w:p>
            <w:pPr>
              <w:pStyle w:val="TableParagraph"/>
              <w:spacing w:line="273" w:lineRule="auto" w:before="1"/>
              <w:ind w:left="299" w:right="99"/>
              <w:jc w:val="both"/>
              <w:rPr>
                <w:sz w:val="21"/>
              </w:rPr>
            </w:pPr>
            <w:r>
              <w:rPr>
                <w:sz w:val="21"/>
              </w:rPr>
              <w:t>因欠交保险费导致本附加合同效力中止的，经本公司与投保人协商并达成协议， 在投保人补交保险费及累积利息次日零时起，本附加合同效力恢复。累积利息按本附加合同约定利率计算，但本附加合同另有约定的除外。</w:t>
            </w:r>
          </w:p>
          <w:p>
            <w:pPr>
              <w:pStyle w:val="TableParagraph"/>
              <w:spacing w:line="273" w:lineRule="auto" w:before="164"/>
              <w:ind w:left="299" w:right="99"/>
              <w:jc w:val="both"/>
              <w:rPr>
                <w:sz w:val="21"/>
              </w:rPr>
            </w:pPr>
            <w:r>
              <w:rPr>
                <w:sz w:val="21"/>
              </w:rPr>
              <w:t>因保单贷款导致本附加合同效力中止的，经本公司与投保人协商并达成协议，在投保人偿还保单贷款、累积利息及其他未还款项次日零时起，本附加合同效力恢复。累积利息按本附加合同约定利率计算，但本附加合同另有约定的除外。</w:t>
            </w:r>
          </w:p>
          <w:p>
            <w:pPr>
              <w:pStyle w:val="TableParagraph"/>
              <w:spacing w:line="310" w:lineRule="atLeast" w:before="129"/>
              <w:ind w:left="299" w:right="102"/>
              <w:jc w:val="both"/>
              <w:rPr>
                <w:sz w:val="21"/>
              </w:rPr>
            </w:pPr>
            <w:r>
              <w:rPr>
                <w:sz w:val="21"/>
              </w:rPr>
              <w:t>自合同效力中止之日起满二年双方未达成协议的，本公司有权解除合同，并向投保人退还本附加合同的现金价值。</w:t>
            </w:r>
          </w:p>
        </w:tc>
      </w:tr>
    </w:tbl>
    <w:p>
      <w:pPr>
        <w:spacing w:after="0" w:line="310" w:lineRule="atLeast"/>
        <w:jc w:val="both"/>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00"/>
        <w:gridCol w:w="7696"/>
      </w:tblGrid>
      <w:tr>
        <w:trPr>
          <w:trHeight w:val="473" w:hRule="atLeast"/>
        </w:trPr>
        <w:tc>
          <w:tcPr>
            <w:tcW w:w="677" w:type="dxa"/>
            <w:tcBorders>
              <w:bottom w:val="single" w:sz="4" w:space="0" w:color="000000"/>
            </w:tcBorders>
          </w:tcPr>
          <w:p>
            <w:pPr>
              <w:pStyle w:val="TableParagraph"/>
              <w:spacing w:line="313" w:lineRule="exact" w:before="0"/>
              <w:ind w:left="0" w:right="116"/>
              <w:jc w:val="center"/>
              <w:rPr>
                <w:b/>
                <w:sz w:val="32"/>
              </w:rPr>
            </w:pPr>
            <w:r>
              <w:rPr>
                <w:b/>
                <w:w w:val="98"/>
                <w:sz w:val="32"/>
              </w:rPr>
              <w:t>7</w:t>
            </w:r>
          </w:p>
        </w:tc>
        <w:tc>
          <w:tcPr>
            <w:tcW w:w="9196" w:type="dxa"/>
            <w:gridSpan w:val="2"/>
            <w:tcBorders>
              <w:bottom w:val="single" w:sz="4" w:space="0" w:color="000000"/>
            </w:tcBorders>
          </w:tcPr>
          <w:p>
            <w:pPr>
              <w:pStyle w:val="TableParagraph"/>
              <w:spacing w:line="273" w:lineRule="exact" w:before="0"/>
              <w:ind w:left="249"/>
              <w:rPr>
                <w:b/>
                <w:sz w:val="24"/>
              </w:rPr>
            </w:pPr>
            <w:r>
              <w:rPr>
                <w:b/>
                <w:w w:val="95"/>
                <w:sz w:val="24"/>
              </w:rPr>
              <w:t>合同效力的终止</w:t>
            </w:r>
          </w:p>
        </w:tc>
      </w:tr>
      <w:tr>
        <w:trPr>
          <w:trHeight w:val="2143" w:hRule="atLeast"/>
        </w:trPr>
        <w:tc>
          <w:tcPr>
            <w:tcW w:w="677" w:type="dxa"/>
            <w:tcBorders>
              <w:top w:val="single" w:sz="4" w:space="0" w:color="000000"/>
            </w:tcBorders>
          </w:tcPr>
          <w:p>
            <w:pPr>
              <w:pStyle w:val="TableParagraph"/>
              <w:spacing w:before="160"/>
              <w:ind w:left="91" w:right="228"/>
              <w:jc w:val="center"/>
              <w:rPr>
                <w:b/>
                <w:sz w:val="21"/>
              </w:rPr>
            </w:pPr>
            <w:r>
              <w:rPr>
                <w:b/>
                <w:sz w:val="21"/>
              </w:rPr>
              <w:t>7.1</w:t>
            </w:r>
          </w:p>
        </w:tc>
        <w:tc>
          <w:tcPr>
            <w:tcW w:w="1500" w:type="dxa"/>
            <w:tcBorders>
              <w:top w:val="single" w:sz="4" w:space="0" w:color="000000"/>
            </w:tcBorders>
          </w:tcPr>
          <w:p>
            <w:pPr>
              <w:pStyle w:val="TableParagraph"/>
              <w:spacing w:before="160"/>
              <w:ind w:left="249"/>
              <w:rPr>
                <w:b/>
                <w:sz w:val="21"/>
              </w:rPr>
            </w:pPr>
            <w:r>
              <w:rPr>
                <w:b/>
                <w:sz w:val="21"/>
              </w:rPr>
              <w:t>效力终止</w:t>
            </w:r>
          </w:p>
        </w:tc>
        <w:tc>
          <w:tcPr>
            <w:tcW w:w="7696" w:type="dxa"/>
            <w:tcBorders>
              <w:top w:val="single" w:sz="4" w:space="0" w:color="000000"/>
            </w:tcBorders>
          </w:tcPr>
          <w:p>
            <w:pPr>
              <w:pStyle w:val="TableParagraph"/>
              <w:spacing w:line="300" w:lineRule="auto" w:before="144"/>
              <w:ind w:left="194" w:right="98"/>
              <w:rPr>
                <w:sz w:val="21"/>
              </w:rPr>
            </w:pPr>
            <w:r>
              <w:rPr>
                <w:sz w:val="21"/>
              </w:rPr>
              <w:t>当发生下列情形之一时，本附加合同效力终止，本公司将退还投保人本附加合同的现金价值：</w:t>
            </w:r>
          </w:p>
          <w:p>
            <w:pPr>
              <w:pStyle w:val="TableParagraph"/>
              <w:numPr>
                <w:ilvl w:val="0"/>
                <w:numId w:val="11"/>
              </w:numPr>
              <w:tabs>
                <w:tab w:pos="762" w:val="left" w:leader="none"/>
              </w:tabs>
              <w:spacing w:line="240" w:lineRule="auto" w:before="16" w:after="0"/>
              <w:ind w:left="761" w:right="0" w:hanging="567"/>
              <w:jc w:val="left"/>
              <w:rPr>
                <w:sz w:val="21"/>
              </w:rPr>
            </w:pPr>
            <w:r>
              <w:rPr>
                <w:spacing w:val="-2"/>
                <w:sz w:val="21"/>
              </w:rPr>
              <w:t>主合同退保；</w:t>
            </w:r>
          </w:p>
          <w:p>
            <w:pPr>
              <w:pStyle w:val="TableParagraph"/>
              <w:numPr>
                <w:ilvl w:val="0"/>
                <w:numId w:val="11"/>
              </w:numPr>
              <w:tabs>
                <w:tab w:pos="762" w:val="left" w:leader="none"/>
              </w:tabs>
              <w:spacing w:line="240" w:lineRule="auto" w:before="53" w:after="0"/>
              <w:ind w:left="761" w:right="0" w:hanging="567"/>
              <w:jc w:val="left"/>
              <w:rPr>
                <w:sz w:val="21"/>
              </w:rPr>
            </w:pPr>
            <w:r>
              <w:rPr>
                <w:spacing w:val="-3"/>
                <w:sz w:val="21"/>
              </w:rPr>
              <w:t>投保人解除本附加合同。</w:t>
            </w:r>
          </w:p>
          <w:p>
            <w:pPr>
              <w:pStyle w:val="TableParagraph"/>
              <w:spacing w:before="209"/>
              <w:ind w:left="194"/>
              <w:rPr>
                <w:sz w:val="21"/>
              </w:rPr>
            </w:pPr>
            <w:r>
              <w:rPr>
                <w:sz w:val="21"/>
              </w:rPr>
              <w:t>当发生主合同效力终止时，本附加合同效力终止。</w:t>
            </w:r>
          </w:p>
        </w:tc>
      </w:tr>
      <w:tr>
        <w:trPr>
          <w:trHeight w:val="657" w:hRule="atLeast"/>
        </w:trPr>
        <w:tc>
          <w:tcPr>
            <w:tcW w:w="677" w:type="dxa"/>
            <w:tcBorders>
              <w:bottom w:val="single" w:sz="4" w:space="0" w:color="000000"/>
            </w:tcBorders>
          </w:tcPr>
          <w:p>
            <w:pPr>
              <w:pStyle w:val="TableParagraph"/>
              <w:spacing w:before="82"/>
              <w:ind w:left="0" w:right="116"/>
              <w:jc w:val="center"/>
              <w:rPr>
                <w:b/>
                <w:sz w:val="32"/>
              </w:rPr>
            </w:pPr>
            <w:r>
              <w:rPr>
                <w:b/>
                <w:w w:val="98"/>
                <w:sz w:val="32"/>
              </w:rPr>
              <w:t>8</w:t>
            </w:r>
          </w:p>
        </w:tc>
        <w:tc>
          <w:tcPr>
            <w:tcW w:w="9196" w:type="dxa"/>
            <w:gridSpan w:val="2"/>
            <w:tcBorders>
              <w:bottom w:val="single" w:sz="4" w:space="0" w:color="000000"/>
            </w:tcBorders>
          </w:tcPr>
          <w:p>
            <w:pPr>
              <w:pStyle w:val="TableParagraph"/>
              <w:spacing w:before="147"/>
              <w:ind w:left="249"/>
              <w:rPr>
                <w:b/>
                <w:sz w:val="24"/>
              </w:rPr>
            </w:pPr>
            <w:r>
              <w:rPr>
                <w:b/>
                <w:w w:val="95"/>
                <w:sz w:val="24"/>
              </w:rPr>
              <w:t>如何解除保险合同</w:t>
            </w:r>
          </w:p>
        </w:tc>
      </w:tr>
      <w:tr>
        <w:trPr>
          <w:trHeight w:val="3402" w:hRule="atLeast"/>
        </w:trPr>
        <w:tc>
          <w:tcPr>
            <w:tcW w:w="677" w:type="dxa"/>
            <w:tcBorders>
              <w:top w:val="single" w:sz="4" w:space="0" w:color="000000"/>
            </w:tcBorders>
          </w:tcPr>
          <w:p>
            <w:pPr>
              <w:pStyle w:val="TableParagraph"/>
              <w:spacing w:before="132"/>
              <w:ind w:left="91" w:right="228"/>
              <w:jc w:val="center"/>
              <w:rPr>
                <w:b/>
                <w:sz w:val="21"/>
              </w:rPr>
            </w:pPr>
            <w:r>
              <w:rPr>
                <w:b/>
                <w:sz w:val="21"/>
              </w:rPr>
              <w:t>8.1</w:t>
            </w:r>
          </w:p>
        </w:tc>
        <w:tc>
          <w:tcPr>
            <w:tcW w:w="1500" w:type="dxa"/>
            <w:tcBorders>
              <w:top w:val="single" w:sz="4" w:space="0" w:color="000000"/>
            </w:tcBorders>
          </w:tcPr>
          <w:p>
            <w:pPr>
              <w:pStyle w:val="TableParagraph"/>
              <w:spacing w:before="132"/>
              <w:ind w:left="249"/>
              <w:rPr>
                <w:b/>
                <w:sz w:val="21"/>
              </w:rPr>
            </w:pPr>
            <w:r>
              <w:rPr>
                <w:b/>
                <w:sz w:val="21"/>
              </w:rPr>
              <w:t>合同解除</w:t>
            </w:r>
          </w:p>
        </w:tc>
        <w:tc>
          <w:tcPr>
            <w:tcW w:w="7696" w:type="dxa"/>
            <w:tcBorders>
              <w:top w:val="single" w:sz="4" w:space="0" w:color="000000"/>
            </w:tcBorders>
          </w:tcPr>
          <w:p>
            <w:pPr>
              <w:pStyle w:val="TableParagraph"/>
              <w:spacing w:line="273" w:lineRule="auto" w:before="132"/>
              <w:ind w:left="194" w:right="99"/>
              <w:rPr>
                <w:sz w:val="21"/>
              </w:rPr>
            </w:pPr>
            <w:r>
              <w:rPr>
                <w:sz w:val="21"/>
              </w:rPr>
              <w:t>投保人在犹豫期后，可以书面通知要求解除本附加合同，并向本公司提供下列证明和资料：</w:t>
            </w:r>
          </w:p>
          <w:p>
            <w:pPr>
              <w:pStyle w:val="TableParagraph"/>
              <w:numPr>
                <w:ilvl w:val="0"/>
                <w:numId w:val="12"/>
              </w:numPr>
              <w:tabs>
                <w:tab w:pos="772" w:val="left" w:leader="none"/>
              </w:tabs>
              <w:spacing w:line="240" w:lineRule="auto" w:before="7" w:after="0"/>
              <w:ind w:left="771" w:right="0" w:hanging="577"/>
              <w:jc w:val="left"/>
              <w:rPr>
                <w:sz w:val="21"/>
              </w:rPr>
            </w:pPr>
            <w:r>
              <w:rPr>
                <w:spacing w:val="-1"/>
                <w:sz w:val="21"/>
              </w:rPr>
              <w:t>保险合同；</w:t>
            </w:r>
          </w:p>
          <w:p>
            <w:pPr>
              <w:pStyle w:val="TableParagraph"/>
              <w:numPr>
                <w:ilvl w:val="0"/>
                <w:numId w:val="12"/>
              </w:numPr>
              <w:tabs>
                <w:tab w:pos="772" w:val="left" w:leader="none"/>
              </w:tabs>
              <w:spacing w:line="240" w:lineRule="auto" w:before="37" w:after="0"/>
              <w:ind w:left="771" w:right="0" w:hanging="577"/>
              <w:jc w:val="left"/>
              <w:rPr>
                <w:sz w:val="21"/>
              </w:rPr>
            </w:pPr>
            <w:r>
              <w:rPr>
                <w:spacing w:val="-3"/>
                <w:sz w:val="21"/>
              </w:rPr>
              <w:t>解除合同申请书；</w:t>
            </w:r>
          </w:p>
          <w:p>
            <w:pPr>
              <w:pStyle w:val="TableParagraph"/>
              <w:numPr>
                <w:ilvl w:val="0"/>
                <w:numId w:val="12"/>
              </w:numPr>
              <w:tabs>
                <w:tab w:pos="772" w:val="left" w:leader="none"/>
              </w:tabs>
              <w:spacing w:line="240" w:lineRule="auto" w:before="37" w:after="0"/>
              <w:ind w:left="771" w:right="0" w:hanging="577"/>
              <w:jc w:val="left"/>
              <w:rPr>
                <w:sz w:val="21"/>
              </w:rPr>
            </w:pPr>
            <w:r>
              <w:rPr>
                <w:spacing w:val="-3"/>
                <w:sz w:val="21"/>
              </w:rPr>
              <w:t>投保人的法定身份证明。</w:t>
            </w:r>
          </w:p>
          <w:p>
            <w:pPr>
              <w:pStyle w:val="TableParagraph"/>
              <w:spacing w:line="273" w:lineRule="auto" w:before="37"/>
              <w:ind w:left="194" w:right="99"/>
              <w:rPr>
                <w:sz w:val="21"/>
              </w:rPr>
            </w:pPr>
            <w:r>
              <w:rPr>
                <w:sz w:val="21"/>
              </w:rPr>
              <w:t>自本公司收到解除合同申请书之日起，本附加合同终止。本公司在收到上述证明和资料之日起 30 日内退还本附加合同的现金价值。</w:t>
            </w:r>
          </w:p>
          <w:p>
            <w:pPr>
              <w:pStyle w:val="TableParagraph"/>
              <w:spacing w:line="408" w:lineRule="auto" w:before="164"/>
              <w:ind w:left="194" w:right="1402"/>
              <w:rPr>
                <w:rFonts w:ascii="黑体" w:eastAsia="黑体" w:hint="eastAsia"/>
                <w:sz w:val="21"/>
              </w:rPr>
            </w:pPr>
            <w:r>
              <w:rPr>
                <w:rFonts w:ascii="黑体" w:eastAsia="黑体" w:hint="eastAsia"/>
                <w:sz w:val="21"/>
              </w:rPr>
              <w:t>在申请解除本附加合同的同时必须申请解除本附加合同的主合同。投保人在犹豫期后解除合同会遭受一定的损失。</w:t>
            </w:r>
          </w:p>
        </w:tc>
      </w:tr>
      <w:tr>
        <w:trPr>
          <w:trHeight w:val="649" w:hRule="atLeast"/>
        </w:trPr>
        <w:tc>
          <w:tcPr>
            <w:tcW w:w="677" w:type="dxa"/>
            <w:tcBorders>
              <w:bottom w:val="single" w:sz="4" w:space="0" w:color="000000"/>
            </w:tcBorders>
          </w:tcPr>
          <w:p>
            <w:pPr>
              <w:pStyle w:val="TableParagraph"/>
              <w:spacing w:before="74"/>
              <w:ind w:left="0" w:right="116"/>
              <w:jc w:val="center"/>
              <w:rPr>
                <w:b/>
                <w:sz w:val="32"/>
              </w:rPr>
            </w:pPr>
            <w:r>
              <w:rPr>
                <w:b/>
                <w:w w:val="98"/>
                <w:sz w:val="32"/>
              </w:rPr>
              <w:t>9</w:t>
            </w:r>
          </w:p>
        </w:tc>
        <w:tc>
          <w:tcPr>
            <w:tcW w:w="9196" w:type="dxa"/>
            <w:gridSpan w:val="2"/>
            <w:tcBorders>
              <w:bottom w:val="single" w:sz="4" w:space="0" w:color="000000"/>
            </w:tcBorders>
          </w:tcPr>
          <w:p>
            <w:pPr>
              <w:pStyle w:val="TableParagraph"/>
              <w:spacing w:before="136"/>
              <w:ind w:left="249"/>
              <w:rPr>
                <w:b/>
                <w:sz w:val="24"/>
              </w:rPr>
            </w:pPr>
            <w:r>
              <w:rPr>
                <w:b/>
                <w:w w:val="95"/>
                <w:sz w:val="24"/>
              </w:rPr>
              <w:t>其他需要关注的事项</w:t>
            </w:r>
          </w:p>
        </w:tc>
      </w:tr>
      <w:tr>
        <w:trPr>
          <w:trHeight w:val="5378" w:hRule="atLeast"/>
        </w:trPr>
        <w:tc>
          <w:tcPr>
            <w:tcW w:w="677" w:type="dxa"/>
            <w:tcBorders>
              <w:top w:val="single" w:sz="4" w:space="0" w:color="000000"/>
            </w:tcBorders>
          </w:tcPr>
          <w:p>
            <w:pPr>
              <w:pStyle w:val="TableParagraph"/>
              <w:spacing w:before="132"/>
              <w:ind w:left="91" w:right="228"/>
              <w:jc w:val="center"/>
              <w:rPr>
                <w:b/>
                <w:sz w:val="21"/>
              </w:rPr>
            </w:pPr>
            <w:r>
              <w:rPr>
                <w:b/>
                <w:sz w:val="21"/>
              </w:rPr>
              <w:t>9.1</w:t>
            </w:r>
          </w:p>
        </w:tc>
        <w:tc>
          <w:tcPr>
            <w:tcW w:w="1500" w:type="dxa"/>
            <w:tcBorders>
              <w:top w:val="single" w:sz="4" w:space="0" w:color="000000"/>
            </w:tcBorders>
          </w:tcPr>
          <w:p>
            <w:pPr>
              <w:pStyle w:val="TableParagraph"/>
              <w:spacing w:before="132"/>
              <w:ind w:left="249"/>
              <w:rPr>
                <w:b/>
                <w:sz w:val="21"/>
              </w:rPr>
            </w:pPr>
            <w:r>
              <w:rPr>
                <w:b/>
                <w:sz w:val="21"/>
              </w:rPr>
              <w:t>如实告知</w:t>
            </w:r>
          </w:p>
        </w:tc>
        <w:tc>
          <w:tcPr>
            <w:tcW w:w="7696" w:type="dxa"/>
            <w:tcBorders>
              <w:top w:val="single" w:sz="4" w:space="0" w:color="000000"/>
            </w:tcBorders>
          </w:tcPr>
          <w:p>
            <w:pPr>
              <w:pStyle w:val="TableParagraph"/>
              <w:spacing w:line="273" w:lineRule="auto" w:before="132"/>
              <w:ind w:left="194" w:right="98"/>
              <w:jc w:val="both"/>
              <w:rPr>
                <w:sz w:val="21"/>
              </w:rPr>
            </w:pPr>
            <w:r>
              <w:rPr>
                <w:sz w:val="21"/>
              </w:rPr>
              <w:t>订立本附加合同或申请恢复本附加合同效力时，本公司应向投保人明确说明本附加合同的内容，并可以就投保人、被保险人的有关情况提出询问，投保人应当如实告知。</w:t>
            </w:r>
          </w:p>
          <w:p>
            <w:pPr>
              <w:pStyle w:val="TableParagraph"/>
              <w:spacing w:line="273" w:lineRule="auto" w:before="164"/>
              <w:ind w:left="194" w:right="101"/>
              <w:jc w:val="both"/>
              <w:rPr>
                <w:rFonts w:ascii="黑体" w:eastAsia="黑体" w:hint="eastAsia"/>
                <w:sz w:val="21"/>
              </w:rPr>
            </w:pPr>
            <w:r>
              <w:rPr>
                <w:rFonts w:ascii="黑体" w:eastAsia="黑体" w:hint="eastAsia"/>
                <w:sz w:val="21"/>
              </w:rPr>
              <w:t>投保人故意或者因重大过失未履行前款规定的如实告知义务，足以影响本公司决定是否同意承保或者提高保险费率的，本公司有权解除本附加合同。</w:t>
            </w:r>
          </w:p>
          <w:p>
            <w:pPr>
              <w:pStyle w:val="TableParagraph"/>
              <w:spacing w:line="273" w:lineRule="auto" w:before="164"/>
              <w:ind w:left="194" w:right="98"/>
              <w:jc w:val="both"/>
              <w:rPr>
                <w:sz w:val="21"/>
              </w:rPr>
            </w:pPr>
            <w:r>
              <w:rPr>
                <w:sz w:val="21"/>
              </w:rPr>
              <w:t>前款规定的合同解除权，自本公司知道有解除事由之日起，超过三十日不行使而消灭。自本附加合同成立之日起超过二年的，本公司不得解除本附加合同；发生保险事故的，本公司承担给付保险金的责任。</w:t>
            </w:r>
          </w:p>
          <w:p>
            <w:pPr>
              <w:pStyle w:val="TableParagraph"/>
              <w:spacing w:line="273" w:lineRule="auto" w:before="164"/>
              <w:ind w:left="194" w:right="101"/>
              <w:jc w:val="both"/>
              <w:rPr>
                <w:rFonts w:ascii="黑体" w:eastAsia="黑体" w:hint="eastAsia"/>
                <w:sz w:val="21"/>
              </w:rPr>
            </w:pPr>
            <w:r>
              <w:rPr>
                <w:rFonts w:ascii="黑体" w:eastAsia="黑体" w:hint="eastAsia"/>
                <w:sz w:val="21"/>
              </w:rPr>
              <w:t>投保人故意不履行如实告知义务的，本公司对于合同解除前发Th的保险事故，不承担给付保险金的责任，并不退还保险费。</w:t>
            </w:r>
          </w:p>
          <w:p>
            <w:pPr>
              <w:pStyle w:val="TableParagraph"/>
              <w:spacing w:line="273" w:lineRule="auto" w:before="164"/>
              <w:ind w:left="194" w:right="101"/>
              <w:jc w:val="both"/>
              <w:rPr>
                <w:rFonts w:ascii="黑体" w:eastAsia="黑体" w:hint="eastAsia"/>
                <w:sz w:val="21"/>
              </w:rPr>
            </w:pPr>
            <w:r>
              <w:rPr>
                <w:rFonts w:ascii="黑体" w:eastAsia="黑体" w:hint="eastAsia"/>
                <w:sz w:val="21"/>
              </w:rPr>
              <w:t>投保人因重大过失未履行如实告知义务，对保险事故的发Th有严重影响的，本公司对于合同解除前发Th的保险事故，不承担给付保险金的责任，但退还保险费。</w:t>
            </w:r>
          </w:p>
          <w:p>
            <w:pPr>
              <w:pStyle w:val="TableParagraph"/>
              <w:spacing w:line="273" w:lineRule="auto" w:before="164"/>
              <w:ind w:left="194" w:right="100"/>
              <w:jc w:val="both"/>
              <w:rPr>
                <w:sz w:val="21"/>
              </w:rPr>
            </w:pPr>
            <w:r>
              <w:rPr>
                <w:sz w:val="21"/>
              </w:rPr>
              <w:t>本公司在本附加合同订立时已经知道投保人未如实告知的情况的，本公司不得解除本附加合同；发生保险事故的，本公司承担给付保险金的责任。</w:t>
            </w:r>
          </w:p>
        </w:tc>
      </w:tr>
      <w:tr>
        <w:trPr>
          <w:trHeight w:val="1587" w:hRule="atLeast"/>
        </w:trPr>
        <w:tc>
          <w:tcPr>
            <w:tcW w:w="677" w:type="dxa"/>
          </w:tcPr>
          <w:p>
            <w:pPr>
              <w:pStyle w:val="TableParagraph"/>
              <w:ind w:left="91" w:right="228"/>
              <w:jc w:val="center"/>
              <w:rPr>
                <w:b/>
                <w:sz w:val="21"/>
              </w:rPr>
            </w:pPr>
            <w:r>
              <w:rPr>
                <w:b/>
                <w:sz w:val="21"/>
              </w:rPr>
              <w:t>9.2</w:t>
            </w:r>
          </w:p>
        </w:tc>
        <w:tc>
          <w:tcPr>
            <w:tcW w:w="1500" w:type="dxa"/>
          </w:tcPr>
          <w:p>
            <w:pPr>
              <w:pStyle w:val="TableParagraph"/>
              <w:spacing w:line="273" w:lineRule="auto"/>
              <w:ind w:left="249" w:right="192"/>
              <w:rPr>
                <w:b/>
                <w:sz w:val="21"/>
              </w:rPr>
            </w:pPr>
            <w:r>
              <w:rPr>
                <w:b/>
                <w:sz w:val="21"/>
              </w:rPr>
              <w:t>年龄确定与错误处理</w:t>
            </w:r>
          </w:p>
        </w:tc>
        <w:tc>
          <w:tcPr>
            <w:tcW w:w="7696" w:type="dxa"/>
          </w:tcPr>
          <w:p>
            <w:pPr>
              <w:pStyle w:val="TableParagraph"/>
              <w:spacing w:line="273" w:lineRule="auto"/>
              <w:ind w:left="194" w:right="99"/>
              <w:rPr>
                <w:sz w:val="21"/>
              </w:rPr>
            </w:pPr>
            <w:r>
              <w:rPr>
                <w:sz w:val="21"/>
              </w:rPr>
              <w:t>被保险人的投保年龄按</w:t>
            </w:r>
            <w:r>
              <w:rPr>
                <w:b/>
                <w:sz w:val="21"/>
              </w:rPr>
              <w:t>周岁</w:t>
            </w:r>
            <w:r>
              <w:rPr>
                <w:sz w:val="21"/>
              </w:rPr>
              <w:t>（见 10.25）计算。投保人应在投保本保险时将被保险人的真实年龄在投保单上填明，如果发生错误，本公司按照下列规定办理：</w:t>
            </w:r>
          </w:p>
          <w:p>
            <w:pPr>
              <w:pStyle w:val="TableParagraph"/>
              <w:spacing w:line="312" w:lineRule="exact" w:before="3"/>
              <w:ind w:left="819" w:right="102" w:hanging="625"/>
              <w:jc w:val="both"/>
              <w:rPr>
                <w:rFonts w:ascii="黑体" w:eastAsia="黑体" w:hint="eastAsia"/>
                <w:sz w:val="21"/>
              </w:rPr>
            </w:pPr>
            <w:r>
              <w:rPr>
                <w:rFonts w:ascii="黑体" w:eastAsia="黑体" w:hint="eastAsia"/>
                <w:sz w:val="21"/>
              </w:rPr>
              <w:t>（</w:t>
            </w:r>
            <w:r>
              <w:rPr>
                <w:rFonts w:ascii="Arial" w:eastAsia="Arial"/>
                <w:sz w:val="21"/>
              </w:rPr>
              <w:t>1</w:t>
            </w:r>
            <w:r>
              <w:rPr>
                <w:rFonts w:ascii="黑体" w:eastAsia="黑体" w:hint="eastAsia"/>
                <w:sz w:val="21"/>
              </w:rPr>
              <w:t>） 投保人申报的被保险人年龄不真实，并且其真实年龄不符合本附加合同约定的年龄限制的，本公司有权在知道有解除事由之日起三十日内解除本附加合同，并向投保人退还本附加合同的现金价值，但自本附加合同成立之</w:t>
            </w:r>
          </w:p>
        </w:tc>
      </w:tr>
    </w:tbl>
    <w:p>
      <w:pPr>
        <w:spacing w:after="0" w:line="312" w:lineRule="exact"/>
        <w:jc w:val="both"/>
        <w:rPr>
          <w:rFonts w:ascii="黑体" w:eastAsia="黑体" w:hint="eastAsia"/>
          <w:sz w:val="21"/>
        </w:rPr>
        <w:sectPr>
          <w:pgSz w:w="11910" w:h="16840"/>
          <w:pgMar w:header="0" w:footer="377" w:top="14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46"/>
        <w:gridCol w:w="7701"/>
      </w:tblGrid>
      <w:tr>
        <w:trPr>
          <w:trHeight w:val="1900" w:hRule="atLeast"/>
        </w:trPr>
        <w:tc>
          <w:tcPr>
            <w:tcW w:w="730" w:type="dxa"/>
          </w:tcPr>
          <w:p>
            <w:pPr>
              <w:pStyle w:val="TableParagraph"/>
              <w:spacing w:before="0"/>
              <w:ind w:left="0"/>
              <w:rPr>
                <w:rFonts w:ascii="Times New Roman"/>
                <w:sz w:val="20"/>
              </w:rPr>
            </w:pPr>
          </w:p>
        </w:tc>
        <w:tc>
          <w:tcPr>
            <w:tcW w:w="1446" w:type="dxa"/>
          </w:tcPr>
          <w:p>
            <w:pPr>
              <w:pStyle w:val="TableParagraph"/>
              <w:spacing w:before="0"/>
              <w:ind w:left="0"/>
              <w:rPr>
                <w:rFonts w:ascii="Times New Roman"/>
                <w:sz w:val="20"/>
              </w:rPr>
            </w:pPr>
          </w:p>
        </w:tc>
        <w:tc>
          <w:tcPr>
            <w:tcW w:w="7701" w:type="dxa"/>
          </w:tcPr>
          <w:p>
            <w:pPr>
              <w:pStyle w:val="TableParagraph"/>
              <w:spacing w:line="205" w:lineRule="exact" w:before="0"/>
              <w:ind w:left="820"/>
              <w:rPr>
                <w:rFonts w:ascii="黑体" w:eastAsia="黑体" w:hint="eastAsia"/>
                <w:sz w:val="21"/>
              </w:rPr>
            </w:pPr>
            <w:r>
              <w:rPr>
                <w:rFonts w:ascii="黑体" w:eastAsia="黑体" w:hint="eastAsia"/>
                <w:sz w:val="21"/>
              </w:rPr>
              <w:t>日起超过二年的除外。</w:t>
            </w:r>
          </w:p>
          <w:p>
            <w:pPr>
              <w:pStyle w:val="TableParagraph"/>
              <w:numPr>
                <w:ilvl w:val="0"/>
                <w:numId w:val="13"/>
              </w:numPr>
              <w:tabs>
                <w:tab w:pos="821" w:val="left" w:leader="none"/>
              </w:tabs>
              <w:spacing w:line="266" w:lineRule="auto" w:before="37" w:after="0"/>
              <w:ind w:left="820" w:right="107" w:hanging="625"/>
              <w:jc w:val="both"/>
              <w:rPr>
                <w:rFonts w:ascii="黑体" w:eastAsia="黑体" w:hint="eastAsia"/>
                <w:sz w:val="21"/>
              </w:rPr>
            </w:pPr>
            <w:r>
              <w:rPr>
                <w:rFonts w:ascii="黑体" w:eastAsia="黑体" w:hint="eastAsia"/>
                <w:sz w:val="21"/>
              </w:rPr>
              <w:t>投保人申报的被保险人年龄不真实，致使投保人支付的保险费少于应付保险费的，本公司有权更正并要求投保人补交保险费，或在给付保险金时按</w:t>
            </w:r>
            <w:r>
              <w:rPr>
                <w:rFonts w:ascii="黑体" w:eastAsia="黑体" w:hint="eastAsia"/>
                <w:spacing w:val="-3"/>
                <w:sz w:val="21"/>
              </w:rPr>
              <w:t>照实付保险费与应付保险费的比例支付。</w:t>
            </w:r>
          </w:p>
          <w:p>
            <w:pPr>
              <w:pStyle w:val="TableParagraph"/>
              <w:numPr>
                <w:ilvl w:val="0"/>
                <w:numId w:val="13"/>
              </w:numPr>
              <w:tabs>
                <w:tab w:pos="821" w:val="left" w:leader="none"/>
              </w:tabs>
              <w:spacing w:line="259" w:lineRule="auto" w:before="14" w:after="0"/>
              <w:ind w:left="820" w:right="107" w:hanging="625"/>
              <w:jc w:val="both"/>
              <w:rPr>
                <w:sz w:val="21"/>
              </w:rPr>
            </w:pPr>
            <w:r>
              <w:rPr>
                <w:sz w:val="21"/>
              </w:rPr>
              <w:t>投保人申报的被保险人年龄不真实，致使投保人支付的保险费多于应付保</w:t>
            </w:r>
            <w:r>
              <w:rPr>
                <w:spacing w:val="-3"/>
                <w:sz w:val="21"/>
              </w:rPr>
              <w:t>险费的，本公司应将多收的保险费无息退还投保人。</w:t>
            </w:r>
          </w:p>
        </w:tc>
      </w:tr>
      <w:tr>
        <w:trPr>
          <w:trHeight w:val="1095" w:hRule="atLeast"/>
        </w:trPr>
        <w:tc>
          <w:tcPr>
            <w:tcW w:w="730" w:type="dxa"/>
          </w:tcPr>
          <w:p>
            <w:pPr>
              <w:pStyle w:val="TableParagraph"/>
              <w:spacing w:before="60"/>
              <w:ind w:left="110"/>
              <w:rPr>
                <w:b/>
                <w:sz w:val="21"/>
              </w:rPr>
            </w:pPr>
            <w:r>
              <w:rPr>
                <w:b/>
                <w:sz w:val="21"/>
              </w:rPr>
              <w:t>9.3</w:t>
            </w:r>
          </w:p>
        </w:tc>
        <w:tc>
          <w:tcPr>
            <w:tcW w:w="1446" w:type="dxa"/>
          </w:tcPr>
          <w:p>
            <w:pPr>
              <w:pStyle w:val="TableParagraph"/>
              <w:spacing w:before="60"/>
              <w:ind w:left="196"/>
              <w:rPr>
                <w:b/>
                <w:sz w:val="21"/>
              </w:rPr>
            </w:pPr>
            <w:r>
              <w:rPr>
                <w:b/>
                <w:sz w:val="21"/>
              </w:rPr>
              <w:t>未还款项</w:t>
            </w:r>
          </w:p>
        </w:tc>
        <w:tc>
          <w:tcPr>
            <w:tcW w:w="7701" w:type="dxa"/>
          </w:tcPr>
          <w:p>
            <w:pPr>
              <w:pStyle w:val="TableParagraph"/>
              <w:spacing w:line="273" w:lineRule="auto" w:before="60"/>
              <w:ind w:left="195" w:right="105"/>
              <w:jc w:val="both"/>
              <w:rPr>
                <w:sz w:val="21"/>
              </w:rPr>
            </w:pPr>
            <w:r>
              <w:rPr>
                <w:sz w:val="21"/>
              </w:rPr>
              <w:t>本公司在给付各项保险金、退还现金价值或返还保险费时，如果投保人有欠交的保险费或其他未还清款项，本公司会在扣除上述欠款及应付利息后给付。应付利息按本条款约定利率计算，但本附加合同另有约定的除外。</w:t>
            </w:r>
          </w:p>
        </w:tc>
      </w:tr>
      <w:tr>
        <w:trPr>
          <w:trHeight w:val="1097" w:hRule="atLeast"/>
        </w:trPr>
        <w:tc>
          <w:tcPr>
            <w:tcW w:w="730" w:type="dxa"/>
          </w:tcPr>
          <w:p>
            <w:pPr>
              <w:pStyle w:val="TableParagraph"/>
              <w:spacing w:before="61"/>
              <w:ind w:left="110"/>
              <w:rPr>
                <w:b/>
                <w:sz w:val="21"/>
              </w:rPr>
            </w:pPr>
            <w:r>
              <w:rPr>
                <w:b/>
                <w:sz w:val="21"/>
              </w:rPr>
              <w:t>9.4</w:t>
            </w:r>
          </w:p>
        </w:tc>
        <w:tc>
          <w:tcPr>
            <w:tcW w:w="1446" w:type="dxa"/>
          </w:tcPr>
          <w:p>
            <w:pPr>
              <w:pStyle w:val="TableParagraph"/>
              <w:spacing w:line="273" w:lineRule="auto" w:before="61"/>
              <w:ind w:left="196" w:right="191"/>
              <w:rPr>
                <w:b/>
                <w:sz w:val="21"/>
              </w:rPr>
            </w:pPr>
            <w:r>
              <w:rPr>
                <w:b/>
                <w:sz w:val="21"/>
              </w:rPr>
              <w:t>合同内容变更</w:t>
            </w:r>
          </w:p>
        </w:tc>
        <w:tc>
          <w:tcPr>
            <w:tcW w:w="7701" w:type="dxa"/>
          </w:tcPr>
          <w:p>
            <w:pPr>
              <w:pStyle w:val="TableParagraph"/>
              <w:spacing w:line="273" w:lineRule="auto" w:before="61"/>
              <w:ind w:left="195" w:right="102"/>
              <w:jc w:val="both"/>
              <w:rPr>
                <w:sz w:val="21"/>
              </w:rPr>
            </w:pPr>
            <w:r>
              <w:rPr>
                <w:sz w:val="21"/>
              </w:rPr>
              <w:t>投保人和本公司可以协商变更本附加合同的内容。变更本附加合同的，应当由本公司在保险单或者其他保险凭证上批注或者附贴批单，或者由投保人与本公司订立书面的变更协议。</w:t>
            </w:r>
          </w:p>
        </w:tc>
      </w:tr>
      <w:tr>
        <w:trPr>
          <w:trHeight w:val="1407" w:hRule="atLeast"/>
        </w:trPr>
        <w:tc>
          <w:tcPr>
            <w:tcW w:w="730" w:type="dxa"/>
          </w:tcPr>
          <w:p>
            <w:pPr>
              <w:pStyle w:val="TableParagraph"/>
              <w:spacing w:before="61"/>
              <w:ind w:left="110"/>
              <w:rPr>
                <w:b/>
                <w:sz w:val="21"/>
              </w:rPr>
            </w:pPr>
            <w:r>
              <w:rPr>
                <w:b/>
                <w:sz w:val="21"/>
              </w:rPr>
              <w:t>9.5</w:t>
            </w:r>
          </w:p>
        </w:tc>
        <w:tc>
          <w:tcPr>
            <w:tcW w:w="1446" w:type="dxa"/>
          </w:tcPr>
          <w:p>
            <w:pPr>
              <w:pStyle w:val="TableParagraph"/>
              <w:spacing w:line="273" w:lineRule="auto" w:before="61"/>
              <w:ind w:left="196" w:right="191"/>
              <w:rPr>
                <w:b/>
                <w:sz w:val="21"/>
              </w:rPr>
            </w:pPr>
            <w:r>
              <w:rPr>
                <w:b/>
                <w:sz w:val="21"/>
              </w:rPr>
              <w:t>联系方式变更</w:t>
            </w:r>
          </w:p>
        </w:tc>
        <w:tc>
          <w:tcPr>
            <w:tcW w:w="7701" w:type="dxa"/>
          </w:tcPr>
          <w:p>
            <w:pPr>
              <w:pStyle w:val="TableParagraph"/>
              <w:spacing w:line="273" w:lineRule="auto" w:before="61"/>
              <w:ind w:left="195" w:right="104"/>
              <w:jc w:val="both"/>
              <w:rPr>
                <w:sz w:val="21"/>
              </w:rPr>
            </w:pPr>
            <w:r>
              <w:rPr>
                <w:sz w:val="21"/>
              </w:rPr>
              <w:t>投保人住所、通讯地址或电话等联系方式变更时，应及时以书面形式或双方认可的其他形式通知本公司。投保人未以书面形式或双方认可的其他形式通知的，本公司将按本附加合同载明的最后住所或通讯地址等联系方式发送有关通知，并视为已送达给投保人。</w:t>
            </w:r>
          </w:p>
        </w:tc>
      </w:tr>
      <w:tr>
        <w:trPr>
          <w:trHeight w:val="1769" w:hRule="atLeast"/>
        </w:trPr>
        <w:tc>
          <w:tcPr>
            <w:tcW w:w="730" w:type="dxa"/>
          </w:tcPr>
          <w:p>
            <w:pPr>
              <w:pStyle w:val="TableParagraph"/>
              <w:spacing w:before="60"/>
              <w:ind w:left="110"/>
              <w:rPr>
                <w:b/>
                <w:sz w:val="21"/>
              </w:rPr>
            </w:pPr>
            <w:r>
              <w:rPr>
                <w:b/>
                <w:sz w:val="21"/>
              </w:rPr>
              <w:t>9.6</w:t>
            </w:r>
          </w:p>
        </w:tc>
        <w:tc>
          <w:tcPr>
            <w:tcW w:w="1446" w:type="dxa"/>
          </w:tcPr>
          <w:p>
            <w:pPr>
              <w:pStyle w:val="TableParagraph"/>
              <w:spacing w:before="60"/>
              <w:ind w:left="196"/>
              <w:rPr>
                <w:b/>
                <w:sz w:val="21"/>
              </w:rPr>
            </w:pPr>
            <w:r>
              <w:rPr>
                <w:b/>
                <w:sz w:val="21"/>
              </w:rPr>
              <w:t>争议处理</w:t>
            </w:r>
          </w:p>
        </w:tc>
        <w:tc>
          <w:tcPr>
            <w:tcW w:w="7701" w:type="dxa"/>
          </w:tcPr>
          <w:p>
            <w:pPr>
              <w:pStyle w:val="TableParagraph"/>
              <w:spacing w:before="60"/>
              <w:ind w:left="195"/>
              <w:rPr>
                <w:sz w:val="21"/>
              </w:rPr>
            </w:pPr>
            <w:r>
              <w:rPr>
                <w:spacing w:val="-8"/>
                <w:sz w:val="21"/>
              </w:rPr>
              <w:t>本附加合同争议的解决方式，由当事人在合同中约定从下列两种方式中选择一种：</w:t>
            </w:r>
          </w:p>
          <w:p>
            <w:pPr>
              <w:pStyle w:val="TableParagraph"/>
              <w:numPr>
                <w:ilvl w:val="0"/>
                <w:numId w:val="14"/>
              </w:numPr>
              <w:tabs>
                <w:tab w:pos="821" w:val="left" w:leader="none"/>
              </w:tabs>
              <w:spacing w:line="240" w:lineRule="auto" w:before="37" w:after="0"/>
              <w:ind w:left="820" w:right="0" w:hanging="625"/>
              <w:jc w:val="left"/>
              <w:rPr>
                <w:sz w:val="21"/>
              </w:rPr>
            </w:pPr>
            <w:r>
              <w:rPr>
                <w:sz w:val="21"/>
              </w:rPr>
              <w:t>因履行本附加合同发生的争议，由当事人协商解决，协商不成的，提交＿</w:t>
            </w:r>
          </w:p>
          <w:p>
            <w:pPr>
              <w:pStyle w:val="TableParagraph"/>
              <w:spacing w:before="22"/>
              <w:ind w:left="820"/>
              <w:rPr>
                <w:sz w:val="21"/>
              </w:rPr>
            </w:pPr>
            <w:r>
              <w:rPr>
                <w:sz w:val="21"/>
              </w:rPr>
              <w:t>＿仲裁委员会仲裁；</w:t>
            </w:r>
          </w:p>
          <w:p>
            <w:pPr>
              <w:pStyle w:val="TableParagraph"/>
              <w:numPr>
                <w:ilvl w:val="0"/>
                <w:numId w:val="14"/>
              </w:numPr>
              <w:tabs>
                <w:tab w:pos="821" w:val="left" w:leader="none"/>
              </w:tabs>
              <w:spacing w:line="259" w:lineRule="auto" w:before="37" w:after="0"/>
              <w:ind w:left="820" w:right="107" w:hanging="625"/>
              <w:jc w:val="left"/>
              <w:rPr>
                <w:sz w:val="21"/>
              </w:rPr>
            </w:pPr>
            <w:r>
              <w:rPr>
                <w:sz w:val="21"/>
              </w:rPr>
              <w:t>因履行本附加合同发生的争议，由当事人协商解决，协商不成的，依法向</w:t>
            </w:r>
            <w:r>
              <w:rPr>
                <w:spacing w:val="-3"/>
                <w:sz w:val="21"/>
              </w:rPr>
              <w:t>人民法院提起诉讼。</w:t>
            </w:r>
          </w:p>
        </w:tc>
      </w:tr>
      <w:tr>
        <w:trPr>
          <w:trHeight w:val="622" w:hRule="atLeast"/>
        </w:trPr>
        <w:tc>
          <w:tcPr>
            <w:tcW w:w="730" w:type="dxa"/>
            <w:tcBorders>
              <w:bottom w:val="single" w:sz="4" w:space="0" w:color="000000"/>
            </w:tcBorders>
          </w:tcPr>
          <w:p>
            <w:pPr>
              <w:pStyle w:val="TableParagraph"/>
              <w:spacing w:before="75"/>
              <w:ind w:left="199"/>
              <w:rPr>
                <w:b/>
                <w:sz w:val="32"/>
              </w:rPr>
            </w:pPr>
            <w:r>
              <w:rPr>
                <w:b/>
                <w:sz w:val="32"/>
              </w:rPr>
              <w:t>10</w:t>
            </w:r>
          </w:p>
        </w:tc>
        <w:tc>
          <w:tcPr>
            <w:tcW w:w="1446" w:type="dxa"/>
            <w:tcBorders>
              <w:bottom w:val="single" w:sz="4" w:space="0" w:color="000000"/>
            </w:tcBorders>
          </w:tcPr>
          <w:p>
            <w:pPr>
              <w:pStyle w:val="TableParagraph"/>
              <w:spacing w:before="125"/>
              <w:ind w:left="196"/>
              <w:rPr>
                <w:b/>
                <w:sz w:val="24"/>
              </w:rPr>
            </w:pPr>
            <w:r>
              <w:rPr>
                <w:b/>
                <w:sz w:val="24"/>
              </w:rPr>
              <w:t>释义</w:t>
            </w:r>
          </w:p>
        </w:tc>
        <w:tc>
          <w:tcPr>
            <w:tcW w:w="7701" w:type="dxa"/>
            <w:tcBorders>
              <w:bottom w:val="single" w:sz="4" w:space="0" w:color="000000"/>
            </w:tcBorders>
          </w:tcPr>
          <w:p>
            <w:pPr>
              <w:pStyle w:val="TableParagraph"/>
              <w:spacing w:before="0"/>
              <w:ind w:left="0"/>
              <w:rPr>
                <w:rFonts w:ascii="Times New Roman"/>
                <w:sz w:val="20"/>
              </w:rPr>
            </w:pPr>
          </w:p>
        </w:tc>
      </w:tr>
      <w:tr>
        <w:trPr>
          <w:trHeight w:val="543" w:hRule="atLeast"/>
        </w:trPr>
        <w:tc>
          <w:tcPr>
            <w:tcW w:w="730" w:type="dxa"/>
            <w:tcBorders>
              <w:top w:val="single" w:sz="4" w:space="0" w:color="000000"/>
            </w:tcBorders>
          </w:tcPr>
          <w:p>
            <w:pPr>
              <w:pStyle w:val="TableParagraph"/>
              <w:spacing w:before="132"/>
              <w:ind w:left="110"/>
              <w:rPr>
                <w:b/>
                <w:sz w:val="21"/>
              </w:rPr>
            </w:pPr>
            <w:r>
              <w:rPr>
                <w:b/>
                <w:sz w:val="21"/>
              </w:rPr>
              <w:t>10.1</w:t>
            </w:r>
          </w:p>
        </w:tc>
        <w:tc>
          <w:tcPr>
            <w:tcW w:w="1446" w:type="dxa"/>
            <w:tcBorders>
              <w:top w:val="single" w:sz="4" w:space="0" w:color="000000"/>
            </w:tcBorders>
          </w:tcPr>
          <w:p>
            <w:pPr>
              <w:pStyle w:val="TableParagraph"/>
              <w:spacing w:before="132"/>
              <w:ind w:left="196"/>
              <w:rPr>
                <w:b/>
                <w:sz w:val="21"/>
              </w:rPr>
            </w:pPr>
            <w:r>
              <w:rPr>
                <w:b/>
                <w:sz w:val="21"/>
              </w:rPr>
              <w:t>本公司</w:t>
            </w:r>
          </w:p>
        </w:tc>
        <w:tc>
          <w:tcPr>
            <w:tcW w:w="7701" w:type="dxa"/>
            <w:tcBorders>
              <w:top w:val="single" w:sz="4" w:space="0" w:color="000000"/>
            </w:tcBorders>
          </w:tcPr>
          <w:p>
            <w:pPr>
              <w:pStyle w:val="TableParagraph"/>
              <w:spacing w:before="132"/>
              <w:ind w:left="195"/>
              <w:rPr>
                <w:sz w:val="21"/>
              </w:rPr>
            </w:pPr>
            <w:r>
              <w:rPr>
                <w:sz w:val="21"/>
              </w:rPr>
              <w:t>君康人寿保险股份有限公司。</w:t>
            </w:r>
          </w:p>
        </w:tc>
      </w:tr>
      <w:tr>
        <w:trPr>
          <w:trHeight w:val="783" w:hRule="atLeast"/>
        </w:trPr>
        <w:tc>
          <w:tcPr>
            <w:tcW w:w="730" w:type="dxa"/>
          </w:tcPr>
          <w:p>
            <w:pPr>
              <w:pStyle w:val="TableParagraph"/>
              <w:spacing w:before="60"/>
              <w:ind w:left="110"/>
              <w:rPr>
                <w:b/>
                <w:sz w:val="21"/>
              </w:rPr>
            </w:pPr>
            <w:r>
              <w:rPr>
                <w:b/>
                <w:sz w:val="21"/>
              </w:rPr>
              <w:t>10.2</w:t>
            </w:r>
          </w:p>
        </w:tc>
        <w:tc>
          <w:tcPr>
            <w:tcW w:w="1446" w:type="dxa"/>
          </w:tcPr>
          <w:p>
            <w:pPr>
              <w:pStyle w:val="TableParagraph"/>
              <w:spacing w:before="60"/>
              <w:ind w:left="196"/>
              <w:rPr>
                <w:b/>
                <w:sz w:val="21"/>
              </w:rPr>
            </w:pPr>
            <w:r>
              <w:rPr>
                <w:b/>
                <w:sz w:val="21"/>
              </w:rPr>
              <w:t>保单年度</w:t>
            </w:r>
          </w:p>
        </w:tc>
        <w:tc>
          <w:tcPr>
            <w:tcW w:w="7701" w:type="dxa"/>
          </w:tcPr>
          <w:p>
            <w:pPr>
              <w:pStyle w:val="TableParagraph"/>
              <w:spacing w:line="273" w:lineRule="auto" w:before="60"/>
              <w:ind w:left="195" w:right="105"/>
              <w:rPr>
                <w:sz w:val="21"/>
              </w:rPr>
            </w:pPr>
            <w:r>
              <w:rPr>
                <w:sz w:val="21"/>
              </w:rPr>
              <w:t>从保险合同生效日或生效对应日的零时起至下一年度保险合同生效对应日的前一日 24 时止为一个保单年度。</w:t>
            </w:r>
          </w:p>
        </w:tc>
      </w:tr>
      <w:tr>
        <w:trPr>
          <w:trHeight w:val="785" w:hRule="atLeast"/>
        </w:trPr>
        <w:tc>
          <w:tcPr>
            <w:tcW w:w="730" w:type="dxa"/>
          </w:tcPr>
          <w:p>
            <w:pPr>
              <w:pStyle w:val="TableParagraph"/>
              <w:spacing w:before="61"/>
              <w:ind w:left="110"/>
              <w:rPr>
                <w:b/>
                <w:sz w:val="21"/>
              </w:rPr>
            </w:pPr>
            <w:r>
              <w:rPr>
                <w:b/>
                <w:sz w:val="21"/>
              </w:rPr>
              <w:t>10.3</w:t>
            </w:r>
          </w:p>
        </w:tc>
        <w:tc>
          <w:tcPr>
            <w:tcW w:w="1446" w:type="dxa"/>
          </w:tcPr>
          <w:p>
            <w:pPr>
              <w:pStyle w:val="TableParagraph"/>
              <w:spacing w:line="273" w:lineRule="auto" w:before="61"/>
              <w:ind w:left="196" w:right="191"/>
              <w:rPr>
                <w:b/>
                <w:sz w:val="21"/>
              </w:rPr>
            </w:pPr>
            <w:r>
              <w:rPr>
                <w:b/>
                <w:sz w:val="21"/>
              </w:rPr>
              <w:t>保险费应交日</w:t>
            </w:r>
          </w:p>
        </w:tc>
        <w:tc>
          <w:tcPr>
            <w:tcW w:w="7701" w:type="dxa"/>
          </w:tcPr>
          <w:p>
            <w:pPr>
              <w:pStyle w:val="TableParagraph"/>
              <w:spacing w:line="273" w:lineRule="auto" w:before="61"/>
              <w:ind w:left="195" w:right="105"/>
              <w:rPr>
                <w:sz w:val="21"/>
              </w:rPr>
            </w:pPr>
            <w:r>
              <w:rPr>
                <w:sz w:val="21"/>
              </w:rPr>
              <w:t>保险合同生效日在每年的对应日的前一日。如果当月无对应的同一日，以该月最后一日为对应日。</w:t>
            </w:r>
          </w:p>
        </w:tc>
      </w:tr>
      <w:tr>
        <w:trPr>
          <w:trHeight w:val="786" w:hRule="atLeast"/>
        </w:trPr>
        <w:tc>
          <w:tcPr>
            <w:tcW w:w="730" w:type="dxa"/>
          </w:tcPr>
          <w:p>
            <w:pPr>
              <w:pStyle w:val="TableParagraph"/>
              <w:spacing w:before="92"/>
              <w:ind w:left="110"/>
              <w:rPr>
                <w:b/>
                <w:sz w:val="21"/>
              </w:rPr>
            </w:pPr>
            <w:r>
              <w:rPr>
                <w:b/>
                <w:sz w:val="21"/>
              </w:rPr>
              <w:t>10.4</w:t>
            </w:r>
          </w:p>
        </w:tc>
        <w:tc>
          <w:tcPr>
            <w:tcW w:w="1446" w:type="dxa"/>
          </w:tcPr>
          <w:p>
            <w:pPr>
              <w:pStyle w:val="TableParagraph"/>
              <w:spacing w:before="61"/>
              <w:ind w:left="196"/>
              <w:rPr>
                <w:b/>
                <w:sz w:val="21"/>
              </w:rPr>
            </w:pPr>
            <w:r>
              <w:rPr>
                <w:b/>
                <w:sz w:val="21"/>
              </w:rPr>
              <w:t>特殊群体</w:t>
            </w:r>
          </w:p>
        </w:tc>
        <w:tc>
          <w:tcPr>
            <w:tcW w:w="7701" w:type="dxa"/>
          </w:tcPr>
          <w:p>
            <w:pPr>
              <w:pStyle w:val="TableParagraph"/>
              <w:spacing w:line="273" w:lineRule="auto" w:before="61"/>
              <w:ind w:left="195" w:right="105"/>
              <w:rPr>
                <w:sz w:val="21"/>
              </w:rPr>
            </w:pPr>
            <w:r>
              <w:rPr>
                <w:sz w:val="21"/>
              </w:rPr>
              <w:t>特殊群体主要针对部分年长、残疾、低收入者设定，本公司对特殊群体的认定以各地方保险监管机构的统一规范标准为依据。</w:t>
            </w:r>
          </w:p>
        </w:tc>
      </w:tr>
      <w:tr>
        <w:trPr>
          <w:trHeight w:val="524" w:hRule="atLeast"/>
        </w:trPr>
        <w:tc>
          <w:tcPr>
            <w:tcW w:w="730" w:type="dxa"/>
          </w:tcPr>
          <w:p>
            <w:pPr>
              <w:pStyle w:val="TableParagraph"/>
              <w:spacing w:before="62"/>
              <w:ind w:left="110"/>
              <w:rPr>
                <w:b/>
                <w:sz w:val="21"/>
              </w:rPr>
            </w:pPr>
            <w:r>
              <w:rPr>
                <w:b/>
                <w:sz w:val="21"/>
              </w:rPr>
              <w:t>10.5</w:t>
            </w:r>
          </w:p>
        </w:tc>
        <w:tc>
          <w:tcPr>
            <w:tcW w:w="1446" w:type="dxa"/>
          </w:tcPr>
          <w:p>
            <w:pPr>
              <w:pStyle w:val="TableParagraph"/>
              <w:spacing w:before="62"/>
              <w:ind w:left="196"/>
              <w:rPr>
                <w:b/>
                <w:sz w:val="21"/>
              </w:rPr>
            </w:pPr>
            <w:r>
              <w:rPr>
                <w:b/>
                <w:sz w:val="21"/>
              </w:rPr>
              <w:t>意外伤害</w:t>
            </w:r>
          </w:p>
        </w:tc>
        <w:tc>
          <w:tcPr>
            <w:tcW w:w="7701" w:type="dxa"/>
          </w:tcPr>
          <w:p>
            <w:pPr>
              <w:pStyle w:val="TableParagraph"/>
              <w:spacing w:before="62"/>
              <w:ind w:left="195"/>
              <w:rPr>
                <w:sz w:val="21"/>
              </w:rPr>
            </w:pPr>
            <w:r>
              <w:rPr>
                <w:spacing w:val="-9"/>
                <w:sz w:val="21"/>
              </w:rPr>
              <w:t>指遭受外来的、突发的、非本意的、非疾病的客观事件直接致使身体受到的伤害。</w:t>
            </w:r>
          </w:p>
        </w:tc>
      </w:tr>
      <w:tr>
        <w:trPr>
          <w:trHeight w:val="1155" w:hRule="atLeast"/>
        </w:trPr>
        <w:tc>
          <w:tcPr>
            <w:tcW w:w="730" w:type="dxa"/>
          </w:tcPr>
          <w:p>
            <w:pPr>
              <w:pStyle w:val="TableParagraph"/>
              <w:spacing w:before="142"/>
              <w:ind w:left="110"/>
              <w:rPr>
                <w:b/>
                <w:sz w:val="21"/>
              </w:rPr>
            </w:pPr>
            <w:r>
              <w:rPr>
                <w:b/>
                <w:sz w:val="21"/>
              </w:rPr>
              <w:t>10.6</w:t>
            </w:r>
          </w:p>
        </w:tc>
        <w:tc>
          <w:tcPr>
            <w:tcW w:w="1446" w:type="dxa"/>
          </w:tcPr>
          <w:p>
            <w:pPr>
              <w:pStyle w:val="TableParagraph"/>
              <w:spacing w:before="111"/>
              <w:ind w:left="196"/>
              <w:rPr>
                <w:b/>
                <w:sz w:val="21"/>
              </w:rPr>
            </w:pPr>
            <w:r>
              <w:rPr>
                <w:b/>
                <w:sz w:val="21"/>
              </w:rPr>
              <w:t>重大疾病</w:t>
            </w:r>
          </w:p>
        </w:tc>
        <w:tc>
          <w:tcPr>
            <w:tcW w:w="7701" w:type="dxa"/>
          </w:tcPr>
          <w:p>
            <w:pPr>
              <w:pStyle w:val="TableParagraph"/>
              <w:spacing w:line="273" w:lineRule="auto" w:before="111"/>
              <w:ind w:left="195" w:right="102"/>
              <w:rPr>
                <w:sz w:val="21"/>
              </w:rPr>
            </w:pPr>
            <w:r>
              <w:rPr>
                <w:spacing w:val="-3"/>
                <w:sz w:val="21"/>
              </w:rPr>
              <w:t>被保险人发生符合以下疾病定义所述条件的疾病，应当由专科医生明确诊断。 其中，25</w:t>
            </w:r>
            <w:r>
              <w:rPr>
                <w:spacing w:val="-7"/>
                <w:sz w:val="21"/>
              </w:rPr>
              <w:t> 种重大疾病定义完全采用了中国保险行业协会制定的《重大疾病保险的</w:t>
            </w:r>
            <w:r>
              <w:rPr>
                <w:spacing w:val="-5"/>
                <w:sz w:val="21"/>
              </w:rPr>
              <w:t>疾病定义使用规范》中的疾病定义，其他为本公司增加的疾病。</w:t>
            </w:r>
          </w:p>
        </w:tc>
      </w:tr>
      <w:tr>
        <w:trPr>
          <w:trHeight w:val="1889" w:hRule="atLeast"/>
        </w:trPr>
        <w:tc>
          <w:tcPr>
            <w:tcW w:w="730" w:type="dxa"/>
          </w:tcPr>
          <w:p>
            <w:pPr>
              <w:pStyle w:val="TableParagraph"/>
              <w:spacing w:before="0"/>
              <w:ind w:left="0"/>
              <w:rPr>
                <w:rFonts w:ascii="Times New Roman"/>
                <w:sz w:val="20"/>
              </w:rPr>
            </w:pPr>
          </w:p>
        </w:tc>
        <w:tc>
          <w:tcPr>
            <w:tcW w:w="1446" w:type="dxa"/>
          </w:tcPr>
          <w:p>
            <w:pPr>
              <w:pStyle w:val="TableParagraph"/>
              <w:spacing w:before="69"/>
              <w:ind w:left="196"/>
              <w:rPr>
                <w:b/>
                <w:sz w:val="21"/>
              </w:rPr>
            </w:pPr>
            <w:r>
              <w:rPr>
                <w:b/>
                <w:sz w:val="21"/>
              </w:rPr>
              <w:t>1.恶性肿瘤</w:t>
            </w:r>
          </w:p>
        </w:tc>
        <w:tc>
          <w:tcPr>
            <w:tcW w:w="7701" w:type="dxa"/>
          </w:tcPr>
          <w:p>
            <w:pPr>
              <w:pStyle w:val="TableParagraph"/>
              <w:spacing w:line="273" w:lineRule="auto" w:before="69"/>
              <w:ind w:left="195" w:right="-15"/>
              <w:rPr>
                <w:sz w:val="21"/>
              </w:rPr>
            </w:pPr>
            <w:r>
              <w:rPr>
                <w:spacing w:val="-3"/>
                <w:sz w:val="21"/>
              </w:rPr>
              <w:t>指恶性细胞不受控制的进行性增长和扩散，浸润和破坏周围正常组织，可以经血 </w:t>
            </w:r>
            <w:r>
              <w:rPr>
                <w:spacing w:val="-9"/>
                <w:sz w:val="21"/>
              </w:rPr>
              <w:t>管、淋巴管和体腔扩散转移到身体其它部位的疾病。经病理学检查结果明确诊断， </w:t>
            </w:r>
            <w:r>
              <w:rPr>
                <w:spacing w:val="-7"/>
                <w:sz w:val="21"/>
              </w:rPr>
              <w:t>临床诊断属于世界卫生组织《疾病和有关健康问题的国际统计分类</w:t>
            </w:r>
            <w:r>
              <w:rPr>
                <w:spacing w:val="-128"/>
                <w:sz w:val="21"/>
              </w:rPr>
              <w:t>》</w:t>
            </w:r>
            <w:r>
              <w:rPr>
                <w:spacing w:val="-4"/>
                <w:sz w:val="21"/>
              </w:rPr>
              <w:t>（ICD-10）</w:t>
            </w:r>
            <w:r>
              <w:rPr>
                <w:spacing w:val="-20"/>
                <w:sz w:val="21"/>
              </w:rPr>
              <w:t>的</w:t>
            </w:r>
            <w:r>
              <w:rPr>
                <w:spacing w:val="-2"/>
                <w:sz w:val="21"/>
              </w:rPr>
              <w:t>恶性肿瘤范畴。</w:t>
            </w:r>
          </w:p>
          <w:p>
            <w:pPr>
              <w:pStyle w:val="TableParagraph"/>
              <w:spacing w:before="7"/>
              <w:ind w:left="195"/>
              <w:rPr>
                <w:rFonts w:ascii="黑体" w:eastAsia="黑体" w:hint="eastAsia"/>
                <w:sz w:val="21"/>
              </w:rPr>
            </w:pPr>
            <w:r>
              <w:rPr>
                <w:rFonts w:ascii="黑体" w:eastAsia="黑体" w:hint="eastAsia"/>
                <w:sz w:val="21"/>
              </w:rPr>
              <w:t>下列疾病不在保障范围内：</w:t>
            </w:r>
          </w:p>
          <w:p>
            <w:pPr>
              <w:pStyle w:val="TableParagraph"/>
              <w:spacing w:line="261" w:lineRule="exact" w:before="15"/>
              <w:ind w:left="193"/>
              <w:rPr>
                <w:rFonts w:ascii="黑体" w:eastAsia="黑体" w:hint="eastAsia"/>
                <w:sz w:val="21"/>
              </w:rPr>
            </w:pPr>
            <w:r>
              <w:rPr>
                <w:rFonts w:ascii="黑体" w:eastAsia="黑体" w:hint="eastAsia"/>
                <w:sz w:val="21"/>
              </w:rPr>
              <w:t>(1) 原位癌；</w:t>
            </w:r>
          </w:p>
        </w:tc>
      </w:tr>
    </w:tbl>
    <w:p>
      <w:pPr>
        <w:spacing w:after="0" w:line="261" w:lineRule="exact"/>
        <w:rPr>
          <w:rFonts w:ascii="黑体" w:eastAsia="黑体" w:hint="eastAsia"/>
          <w:sz w:val="21"/>
        </w:rPr>
        <w:sectPr>
          <w:pgSz w:w="11910" w:h="16840"/>
          <w:pgMar w:header="0" w:footer="377" w:top="1340" w:bottom="560" w:left="90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7812"/>
      </w:tblGrid>
      <w:tr>
        <w:trPr>
          <w:trHeight w:val="1451" w:hRule="atLeast"/>
        </w:trPr>
        <w:tc>
          <w:tcPr>
            <w:tcW w:w="1537" w:type="dxa"/>
          </w:tcPr>
          <w:p>
            <w:pPr>
              <w:pStyle w:val="TableParagraph"/>
              <w:spacing w:before="0"/>
              <w:ind w:left="0"/>
              <w:rPr>
                <w:rFonts w:ascii="Times New Roman"/>
                <w:sz w:val="20"/>
              </w:rPr>
            </w:pPr>
          </w:p>
        </w:tc>
        <w:tc>
          <w:tcPr>
            <w:tcW w:w="7812" w:type="dxa"/>
          </w:tcPr>
          <w:p>
            <w:pPr>
              <w:pStyle w:val="TableParagraph"/>
              <w:numPr>
                <w:ilvl w:val="0"/>
                <w:numId w:val="15"/>
              </w:numPr>
              <w:tabs>
                <w:tab w:pos="526" w:val="left" w:leader="none"/>
              </w:tabs>
              <w:spacing w:line="202" w:lineRule="exact" w:before="0" w:after="0"/>
              <w:ind w:left="525"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5"/>
              </w:numPr>
              <w:tabs>
                <w:tab w:pos="526" w:val="left" w:leader="none"/>
              </w:tabs>
              <w:spacing w:line="273" w:lineRule="exact" w:before="0" w:after="0"/>
              <w:ind w:left="525"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5"/>
              </w:numPr>
              <w:tabs>
                <w:tab w:pos="526" w:val="left" w:leader="none"/>
              </w:tabs>
              <w:spacing w:line="272" w:lineRule="exact" w:before="0" w:after="0"/>
              <w:ind w:left="525" w:right="0" w:hanging="42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5"/>
              </w:numPr>
              <w:tabs>
                <w:tab w:pos="526" w:val="left" w:leader="none"/>
              </w:tabs>
              <w:spacing w:line="273" w:lineRule="exact" w:before="0" w:after="0"/>
              <w:ind w:left="525" w:right="0" w:hanging="42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15"/>
              </w:numPr>
              <w:tabs>
                <w:tab w:pos="531" w:val="left" w:leader="none"/>
              </w:tabs>
              <w:spacing w:line="240" w:lineRule="auto" w:before="20" w:after="0"/>
              <w:ind w:left="530" w:right="0" w:hanging="423"/>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908" w:hRule="atLeast"/>
        </w:trPr>
        <w:tc>
          <w:tcPr>
            <w:tcW w:w="1537" w:type="dxa"/>
          </w:tcPr>
          <w:p>
            <w:pPr>
              <w:pStyle w:val="TableParagraph"/>
              <w:spacing w:line="273" w:lineRule="auto" w:before="56"/>
              <w:ind w:left="200" w:right="279"/>
              <w:rPr>
                <w:b/>
                <w:sz w:val="21"/>
              </w:rPr>
            </w:pPr>
            <w:r>
              <w:rPr>
                <w:b/>
                <w:sz w:val="21"/>
              </w:rPr>
              <w:t>2.急性心肌梗塞</w:t>
            </w:r>
          </w:p>
        </w:tc>
        <w:tc>
          <w:tcPr>
            <w:tcW w:w="7812" w:type="dxa"/>
          </w:tcPr>
          <w:p>
            <w:pPr>
              <w:pStyle w:val="TableParagraph"/>
              <w:spacing w:line="273" w:lineRule="auto" w:before="56"/>
              <w:ind w:left="107" w:right="345"/>
              <w:rPr>
                <w:sz w:val="21"/>
              </w:rPr>
            </w:pPr>
            <w:r>
              <w:rPr>
                <w:sz w:val="21"/>
              </w:rPr>
              <w:t>指因冠状动脉阻塞导致的相应区域供血不足造成部分心肌坏死。须满足下列至少三项条件：</w:t>
            </w:r>
          </w:p>
          <w:p>
            <w:pPr>
              <w:pStyle w:val="TableParagraph"/>
              <w:numPr>
                <w:ilvl w:val="0"/>
                <w:numId w:val="16"/>
              </w:numPr>
              <w:tabs>
                <w:tab w:pos="526" w:val="left" w:leader="none"/>
              </w:tabs>
              <w:spacing w:line="259" w:lineRule="exact" w:before="0" w:after="0"/>
              <w:ind w:left="525" w:right="0" w:hanging="420"/>
              <w:jc w:val="left"/>
              <w:rPr>
                <w:sz w:val="21"/>
              </w:rPr>
            </w:pPr>
            <w:r>
              <w:rPr>
                <w:spacing w:val="-3"/>
                <w:sz w:val="21"/>
              </w:rPr>
              <w:t>典型临床表现，例如急性胸痛等；</w:t>
            </w:r>
          </w:p>
          <w:p>
            <w:pPr>
              <w:pStyle w:val="TableParagraph"/>
              <w:numPr>
                <w:ilvl w:val="0"/>
                <w:numId w:val="16"/>
              </w:numPr>
              <w:tabs>
                <w:tab w:pos="526" w:val="left" w:leader="none"/>
              </w:tabs>
              <w:spacing w:line="272" w:lineRule="exact" w:before="0" w:after="0"/>
              <w:ind w:left="525" w:right="0" w:hanging="420"/>
              <w:jc w:val="left"/>
              <w:rPr>
                <w:sz w:val="21"/>
              </w:rPr>
            </w:pPr>
            <w:r>
              <w:rPr>
                <w:spacing w:val="-3"/>
                <w:sz w:val="21"/>
              </w:rPr>
              <w:t>新近的心电图改变提示急性心肌梗塞；</w:t>
            </w:r>
          </w:p>
          <w:p>
            <w:pPr>
              <w:pStyle w:val="TableParagraph"/>
              <w:numPr>
                <w:ilvl w:val="0"/>
                <w:numId w:val="16"/>
              </w:numPr>
              <w:tabs>
                <w:tab w:pos="526" w:val="left" w:leader="none"/>
              </w:tabs>
              <w:spacing w:line="274" w:lineRule="exact" w:before="0" w:after="0"/>
              <w:ind w:left="525" w:right="0" w:hanging="420"/>
              <w:jc w:val="left"/>
              <w:rPr>
                <w:sz w:val="21"/>
              </w:rPr>
            </w:pPr>
            <w:r>
              <w:rPr>
                <w:spacing w:val="-7"/>
                <w:sz w:val="21"/>
              </w:rPr>
              <w:t>心肌酶或肌钙蛋白有诊断意义的升高，或呈符合急性心肌梗塞的动态性变化；</w:t>
            </w:r>
          </w:p>
          <w:p>
            <w:pPr>
              <w:pStyle w:val="TableParagraph"/>
              <w:numPr>
                <w:ilvl w:val="0"/>
                <w:numId w:val="16"/>
              </w:numPr>
              <w:tabs>
                <w:tab w:pos="531" w:val="left" w:leader="none"/>
              </w:tabs>
              <w:spacing w:line="240" w:lineRule="auto" w:before="18" w:after="0"/>
              <w:ind w:left="530" w:right="0" w:hanging="423"/>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261" w:hRule="atLeast"/>
        </w:trPr>
        <w:tc>
          <w:tcPr>
            <w:tcW w:w="1537" w:type="dxa"/>
          </w:tcPr>
          <w:p>
            <w:pPr>
              <w:pStyle w:val="TableParagraph"/>
              <w:spacing w:line="273" w:lineRule="auto" w:before="57"/>
              <w:ind w:left="200" w:right="279"/>
              <w:rPr>
                <w:b/>
                <w:sz w:val="21"/>
              </w:rPr>
            </w:pPr>
            <w:r>
              <w:rPr>
                <w:b/>
                <w:sz w:val="21"/>
              </w:rPr>
              <w:t>3.脑中风后遗症</w:t>
            </w:r>
          </w:p>
        </w:tc>
        <w:tc>
          <w:tcPr>
            <w:tcW w:w="7812" w:type="dxa"/>
          </w:tcPr>
          <w:p>
            <w:pPr>
              <w:pStyle w:val="TableParagraph"/>
              <w:spacing w:line="273" w:lineRule="auto" w:before="57"/>
              <w:ind w:left="107" w:right="344"/>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7"/>
              </w:numPr>
              <w:tabs>
                <w:tab w:pos="526" w:val="left" w:leader="none"/>
              </w:tabs>
              <w:spacing w:line="259" w:lineRule="exact" w:before="0" w:after="0"/>
              <w:ind w:left="612" w:right="0" w:hanging="507"/>
              <w:jc w:val="left"/>
              <w:rPr>
                <w:sz w:val="21"/>
              </w:rPr>
            </w:pPr>
            <w:r>
              <w:rPr>
                <w:spacing w:val="-3"/>
                <w:sz w:val="21"/>
              </w:rPr>
              <w:t>一肢或一肢以上肢体机能完全丧失；</w:t>
            </w:r>
          </w:p>
          <w:p>
            <w:pPr>
              <w:pStyle w:val="TableParagraph"/>
              <w:numPr>
                <w:ilvl w:val="0"/>
                <w:numId w:val="17"/>
              </w:numPr>
              <w:tabs>
                <w:tab w:pos="526" w:val="left" w:leader="none"/>
              </w:tabs>
              <w:spacing w:line="273" w:lineRule="exact" w:before="0" w:after="0"/>
              <w:ind w:left="612" w:right="0" w:hanging="507"/>
              <w:jc w:val="left"/>
              <w:rPr>
                <w:sz w:val="21"/>
              </w:rPr>
            </w:pPr>
            <w:r>
              <w:rPr>
                <w:spacing w:val="-3"/>
                <w:sz w:val="21"/>
              </w:rPr>
              <w:t>语言能力或咀嚼吞咽能力完全丧失；</w:t>
            </w:r>
          </w:p>
          <w:p>
            <w:pPr>
              <w:pStyle w:val="TableParagraph"/>
              <w:numPr>
                <w:ilvl w:val="0"/>
                <w:numId w:val="17"/>
              </w:numPr>
              <w:tabs>
                <w:tab w:pos="531" w:val="left" w:leader="none"/>
              </w:tabs>
              <w:spacing w:line="273" w:lineRule="auto" w:before="20" w:after="0"/>
              <w:ind w:left="612" w:right="344" w:hanging="505"/>
              <w:jc w:val="left"/>
              <w:rPr>
                <w:sz w:val="21"/>
              </w:rPr>
            </w:pPr>
            <w:r>
              <w:rPr>
                <w:spacing w:val="-3"/>
                <w:sz w:val="21"/>
              </w:rPr>
              <w:t>自主生活能力完全丧失，无法独立完成六项基本日常生活活动中的三项或三项以上。</w:t>
            </w:r>
          </w:p>
        </w:tc>
      </w:tr>
      <w:tr>
        <w:trPr>
          <w:trHeight w:val="1716" w:hRule="atLeast"/>
        </w:trPr>
        <w:tc>
          <w:tcPr>
            <w:tcW w:w="1537" w:type="dxa"/>
          </w:tcPr>
          <w:p>
            <w:pPr>
              <w:pStyle w:val="TableParagraph"/>
              <w:spacing w:line="273" w:lineRule="auto" w:before="56"/>
              <w:ind w:left="200" w:right="280"/>
              <w:jc w:val="both"/>
              <w:rPr>
                <w:b/>
                <w:sz w:val="21"/>
              </w:rPr>
            </w:pPr>
            <w:r>
              <w:rPr>
                <w:b/>
                <w:sz w:val="21"/>
              </w:rPr>
              <w:t>4.重大器官移植术或造血干细胞移植术</w:t>
            </w:r>
          </w:p>
        </w:tc>
        <w:tc>
          <w:tcPr>
            <w:tcW w:w="7812" w:type="dxa"/>
          </w:tcPr>
          <w:p>
            <w:pPr>
              <w:pStyle w:val="TableParagraph"/>
              <w:spacing w:line="273" w:lineRule="auto" w:before="56"/>
              <w:ind w:left="107" w:right="345"/>
              <w:jc w:val="both"/>
              <w:rPr>
                <w:sz w:val="21"/>
              </w:rPr>
            </w:pPr>
            <w:r>
              <w:rPr>
                <w:sz w:val="21"/>
              </w:rPr>
              <w:t>重大器官移植术，指因相应器官功能衰竭，已经实施了肾脏、肝脏、心脏或肺脏的异体移植手术。</w:t>
            </w:r>
          </w:p>
          <w:p>
            <w:pPr>
              <w:pStyle w:val="TableParagraph"/>
              <w:spacing w:line="273" w:lineRule="auto" w:before="7"/>
              <w:ind w:left="107" w:right="34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25" w:hRule="atLeast"/>
        </w:trPr>
        <w:tc>
          <w:tcPr>
            <w:tcW w:w="1537" w:type="dxa"/>
          </w:tcPr>
          <w:p>
            <w:pPr>
              <w:pStyle w:val="TableParagraph"/>
              <w:spacing w:line="273" w:lineRule="auto" w:before="56"/>
              <w:ind w:left="200" w:right="103"/>
              <w:rPr>
                <w:b/>
                <w:sz w:val="21"/>
              </w:rPr>
            </w:pPr>
            <w:r>
              <w:rPr>
                <w:b/>
                <w:sz w:val="21"/>
              </w:rPr>
              <w:t>5.冠状动脉</w:t>
            </w:r>
            <w:r>
              <w:rPr>
                <w:b/>
                <w:spacing w:val="-12"/>
                <w:sz w:val="21"/>
              </w:rPr>
              <w:t>搭桥术</w:t>
            </w:r>
            <w:r>
              <w:rPr>
                <w:b/>
                <w:sz w:val="21"/>
              </w:rPr>
              <w:t>（或称冠状动脉旁路移植术）</w:t>
            </w:r>
          </w:p>
        </w:tc>
        <w:tc>
          <w:tcPr>
            <w:tcW w:w="7812" w:type="dxa"/>
          </w:tcPr>
          <w:p>
            <w:pPr>
              <w:pStyle w:val="TableParagraph"/>
              <w:spacing w:line="273" w:lineRule="auto" w:before="56"/>
              <w:ind w:left="107" w:right="345"/>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248" w:hRule="atLeast"/>
        </w:trPr>
        <w:tc>
          <w:tcPr>
            <w:tcW w:w="1537" w:type="dxa"/>
          </w:tcPr>
          <w:p>
            <w:pPr>
              <w:pStyle w:val="TableParagraph"/>
              <w:spacing w:line="254" w:lineRule="exact" w:before="0"/>
              <w:ind w:left="200"/>
              <w:rPr>
                <w:b/>
                <w:sz w:val="21"/>
              </w:rPr>
            </w:pPr>
            <w:r>
              <w:rPr>
                <w:b/>
                <w:sz w:val="21"/>
              </w:rPr>
              <w:t>6.终末期肾</w:t>
            </w:r>
          </w:p>
          <w:p>
            <w:pPr>
              <w:pStyle w:val="TableParagraph"/>
              <w:spacing w:line="273" w:lineRule="auto" w:before="37"/>
              <w:ind w:left="200" w:right="72"/>
              <w:rPr>
                <w:b/>
                <w:sz w:val="21"/>
              </w:rPr>
            </w:pPr>
            <w:r>
              <w:rPr>
                <w:b/>
                <w:sz w:val="21"/>
              </w:rPr>
              <w:t>病（或称慢性肾功能衰竭尿毒症期）</w:t>
            </w:r>
          </w:p>
        </w:tc>
        <w:tc>
          <w:tcPr>
            <w:tcW w:w="7812" w:type="dxa"/>
          </w:tcPr>
          <w:p>
            <w:pPr>
              <w:pStyle w:val="TableParagraph"/>
              <w:spacing w:line="254" w:lineRule="exact" w:before="0"/>
              <w:ind w:left="107"/>
              <w:rPr>
                <w:sz w:val="21"/>
              </w:rPr>
            </w:pPr>
            <w:r>
              <w:rPr>
                <w:sz w:val="21"/>
              </w:rPr>
              <w:t>指双肾功能慢性不可逆性衰竭，达到尿毒症期，经诊断后已经进行了至少 90 天的</w:t>
            </w:r>
          </w:p>
          <w:p>
            <w:pPr>
              <w:pStyle w:val="TableParagraph"/>
              <w:spacing w:before="37"/>
              <w:ind w:left="107"/>
              <w:rPr>
                <w:sz w:val="21"/>
              </w:rPr>
            </w:pPr>
            <w:r>
              <w:rPr>
                <w:sz w:val="21"/>
              </w:rPr>
              <w:t>规律性透析治疗或实施了肾脏移植手术。</w:t>
            </w:r>
          </w:p>
        </w:tc>
      </w:tr>
      <w:tr>
        <w:trPr>
          <w:trHeight w:val="702" w:hRule="atLeast"/>
        </w:trPr>
        <w:tc>
          <w:tcPr>
            <w:tcW w:w="1537" w:type="dxa"/>
          </w:tcPr>
          <w:p>
            <w:pPr>
              <w:pStyle w:val="TableParagraph"/>
              <w:spacing w:line="254" w:lineRule="exact" w:before="0"/>
              <w:ind w:left="200"/>
              <w:rPr>
                <w:b/>
                <w:sz w:val="21"/>
              </w:rPr>
            </w:pPr>
            <w:r>
              <w:rPr>
                <w:b/>
                <w:sz w:val="21"/>
              </w:rPr>
              <w:t>7.多个肢体</w:t>
            </w:r>
          </w:p>
          <w:p>
            <w:pPr>
              <w:pStyle w:val="TableParagraph"/>
              <w:spacing w:before="37"/>
              <w:ind w:left="200"/>
              <w:rPr>
                <w:b/>
                <w:sz w:val="21"/>
              </w:rPr>
            </w:pPr>
            <w:r>
              <w:rPr>
                <w:b/>
                <w:sz w:val="21"/>
              </w:rPr>
              <w:t>缺失</w:t>
            </w:r>
          </w:p>
        </w:tc>
        <w:tc>
          <w:tcPr>
            <w:tcW w:w="7812" w:type="dxa"/>
          </w:tcPr>
          <w:p>
            <w:pPr>
              <w:pStyle w:val="TableParagraph"/>
              <w:spacing w:line="254" w:lineRule="exact" w:before="0"/>
              <w:ind w:left="107"/>
              <w:rPr>
                <w:sz w:val="21"/>
              </w:rPr>
            </w:pPr>
            <w:r>
              <w:rPr>
                <w:sz w:val="21"/>
              </w:rPr>
              <w:t>指因疾病或意外伤害导致两个或两个以上肢体自腕关节或踝关节近端（靠近躯干</w:t>
            </w:r>
          </w:p>
          <w:p>
            <w:pPr>
              <w:pStyle w:val="TableParagraph"/>
              <w:spacing w:before="37"/>
              <w:ind w:left="107"/>
              <w:rPr>
                <w:sz w:val="21"/>
              </w:rPr>
            </w:pPr>
            <w:r>
              <w:rPr>
                <w:sz w:val="21"/>
              </w:rPr>
              <w:t>端）以上完全性断离。</w:t>
            </w:r>
          </w:p>
        </w:tc>
      </w:tr>
      <w:tr>
        <w:trPr>
          <w:trHeight w:val="1800" w:hRule="atLeast"/>
        </w:trPr>
        <w:tc>
          <w:tcPr>
            <w:tcW w:w="1537" w:type="dxa"/>
          </w:tcPr>
          <w:p>
            <w:pPr>
              <w:pStyle w:val="TableParagraph"/>
              <w:spacing w:line="273" w:lineRule="auto" w:before="56"/>
              <w:ind w:left="200" w:right="280"/>
              <w:jc w:val="both"/>
              <w:rPr>
                <w:b/>
                <w:sz w:val="21"/>
              </w:rPr>
            </w:pPr>
            <w:r>
              <w:rPr>
                <w:b/>
                <w:sz w:val="21"/>
              </w:rPr>
              <w:t>8.急性或亚急性重症肝炎</w:t>
            </w:r>
          </w:p>
        </w:tc>
        <w:tc>
          <w:tcPr>
            <w:tcW w:w="7812" w:type="dxa"/>
          </w:tcPr>
          <w:p>
            <w:pPr>
              <w:pStyle w:val="TableParagraph"/>
              <w:spacing w:line="273" w:lineRule="auto" w:before="56"/>
              <w:ind w:left="107" w:right="3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8"/>
              </w:numPr>
              <w:tabs>
                <w:tab w:pos="526" w:val="left" w:leader="none"/>
              </w:tabs>
              <w:spacing w:line="259" w:lineRule="exact" w:before="0" w:after="0"/>
              <w:ind w:left="525" w:right="0" w:hanging="420"/>
              <w:jc w:val="left"/>
              <w:rPr>
                <w:sz w:val="21"/>
              </w:rPr>
            </w:pPr>
            <w:r>
              <w:rPr>
                <w:spacing w:val="-3"/>
                <w:sz w:val="21"/>
              </w:rPr>
              <w:t>重度黄疸或黄疸迅速加重；</w:t>
            </w:r>
          </w:p>
          <w:p>
            <w:pPr>
              <w:pStyle w:val="TableParagraph"/>
              <w:numPr>
                <w:ilvl w:val="0"/>
                <w:numId w:val="18"/>
              </w:numPr>
              <w:tabs>
                <w:tab w:pos="526" w:val="left" w:leader="none"/>
              </w:tabs>
              <w:spacing w:line="272" w:lineRule="exact" w:before="0" w:after="0"/>
              <w:ind w:left="525" w:right="0" w:hanging="420"/>
              <w:jc w:val="left"/>
              <w:rPr>
                <w:sz w:val="21"/>
              </w:rPr>
            </w:pPr>
            <w:r>
              <w:rPr>
                <w:spacing w:val="-3"/>
                <w:sz w:val="21"/>
              </w:rPr>
              <w:t>肝性脑病；</w:t>
            </w:r>
          </w:p>
          <w:p>
            <w:pPr>
              <w:pStyle w:val="TableParagraph"/>
              <w:numPr>
                <w:ilvl w:val="0"/>
                <w:numId w:val="18"/>
              </w:numPr>
              <w:tabs>
                <w:tab w:pos="526" w:val="left" w:leader="none"/>
              </w:tabs>
              <w:spacing w:line="272" w:lineRule="exact" w:before="0" w:after="0"/>
              <w:ind w:left="525" w:right="0" w:hanging="420"/>
              <w:jc w:val="left"/>
              <w:rPr>
                <w:sz w:val="21"/>
              </w:rPr>
            </w:pPr>
            <w:r>
              <w:rPr>
                <w:sz w:val="21"/>
              </w:rPr>
              <w:t>B</w:t>
            </w:r>
            <w:r>
              <w:rPr>
                <w:spacing w:val="-7"/>
                <w:sz w:val="21"/>
              </w:rPr>
              <w:t> 超或其它影像学检查显示肝脏体积急速萎缩；</w:t>
            </w:r>
          </w:p>
          <w:p>
            <w:pPr>
              <w:pStyle w:val="TableParagraph"/>
              <w:numPr>
                <w:ilvl w:val="0"/>
                <w:numId w:val="18"/>
              </w:numPr>
              <w:tabs>
                <w:tab w:pos="526" w:val="left" w:leader="none"/>
              </w:tabs>
              <w:spacing w:line="273" w:lineRule="exact" w:before="0" w:after="0"/>
              <w:ind w:left="525" w:right="0" w:hanging="420"/>
              <w:jc w:val="left"/>
              <w:rPr>
                <w:sz w:val="21"/>
              </w:rPr>
            </w:pPr>
            <w:r>
              <w:rPr>
                <w:spacing w:val="-3"/>
                <w:sz w:val="21"/>
              </w:rPr>
              <w:t>肝功能指标进行性恶化。</w:t>
            </w:r>
          </w:p>
        </w:tc>
      </w:tr>
      <w:tr>
        <w:trPr>
          <w:trHeight w:val="1734" w:hRule="atLeast"/>
        </w:trPr>
        <w:tc>
          <w:tcPr>
            <w:tcW w:w="1537" w:type="dxa"/>
          </w:tcPr>
          <w:p>
            <w:pPr>
              <w:pStyle w:val="TableParagraph"/>
              <w:spacing w:line="245" w:lineRule="exact" w:before="0"/>
              <w:ind w:left="200"/>
              <w:rPr>
                <w:b/>
                <w:sz w:val="21"/>
              </w:rPr>
            </w:pPr>
            <w:r>
              <w:rPr>
                <w:b/>
                <w:sz w:val="21"/>
              </w:rPr>
              <w:t>9.良性脑肿</w:t>
            </w:r>
          </w:p>
          <w:p>
            <w:pPr>
              <w:pStyle w:val="TableParagraph"/>
              <w:spacing w:before="37"/>
              <w:ind w:left="200"/>
              <w:rPr>
                <w:b/>
                <w:sz w:val="21"/>
              </w:rPr>
            </w:pPr>
            <w:r>
              <w:rPr>
                <w:b/>
                <w:w w:val="100"/>
                <w:sz w:val="21"/>
              </w:rPr>
              <w:t>瘤</w:t>
            </w:r>
          </w:p>
        </w:tc>
        <w:tc>
          <w:tcPr>
            <w:tcW w:w="7812" w:type="dxa"/>
          </w:tcPr>
          <w:p>
            <w:pPr>
              <w:pStyle w:val="TableParagraph"/>
              <w:spacing w:line="245" w:lineRule="exact" w:before="0"/>
              <w:ind w:left="107"/>
              <w:rPr>
                <w:sz w:val="21"/>
              </w:rPr>
            </w:pPr>
            <w:r>
              <w:rPr>
                <w:sz w:val="21"/>
              </w:rPr>
              <w:t>指脑的良性肿瘤，已经引起颅内压增高，临床表现为视神经乳头水肿、精神症状、</w:t>
            </w:r>
          </w:p>
          <w:p>
            <w:pPr>
              <w:pStyle w:val="TableParagraph"/>
              <w:spacing w:line="273" w:lineRule="auto" w:before="37"/>
              <w:ind w:left="107" w:right="200"/>
              <w:rPr>
                <w:sz w:val="21"/>
              </w:rPr>
            </w:pPr>
            <w:r>
              <w:rPr>
                <w:spacing w:val="-21"/>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9"/>
              </w:numPr>
              <w:tabs>
                <w:tab w:pos="529" w:val="left" w:leader="none"/>
              </w:tabs>
              <w:spacing w:line="259" w:lineRule="exact" w:before="0" w:after="0"/>
              <w:ind w:left="528" w:right="0" w:hanging="421"/>
              <w:jc w:val="left"/>
              <w:rPr>
                <w:sz w:val="21"/>
              </w:rPr>
            </w:pPr>
            <w:r>
              <w:rPr>
                <w:spacing w:val="-3"/>
                <w:sz w:val="21"/>
              </w:rPr>
              <w:t>实际实施了开颅进行的脑肿瘤完全切除或部分切除的手术；</w:t>
            </w:r>
          </w:p>
          <w:p>
            <w:pPr>
              <w:pStyle w:val="TableParagraph"/>
              <w:numPr>
                <w:ilvl w:val="0"/>
                <w:numId w:val="19"/>
              </w:numPr>
              <w:tabs>
                <w:tab w:pos="529" w:val="left" w:leader="none"/>
              </w:tabs>
              <w:spacing w:line="273" w:lineRule="exact" w:before="0" w:after="0"/>
              <w:ind w:left="528" w:right="0" w:hanging="421"/>
              <w:jc w:val="left"/>
              <w:rPr>
                <w:sz w:val="21"/>
              </w:rPr>
            </w:pPr>
            <w:r>
              <w:rPr>
                <w:spacing w:val="-3"/>
                <w:sz w:val="21"/>
              </w:rPr>
              <w:t>实际实施了对脑肿瘤进行的放射治疗。</w:t>
            </w:r>
          </w:p>
          <w:p>
            <w:pPr>
              <w:pStyle w:val="TableParagraph"/>
              <w:spacing w:line="263" w:lineRule="exact" w:before="20"/>
              <w:ind w:left="107"/>
              <w:rPr>
                <w:rFonts w:ascii="黑体" w:eastAsia="黑体" w:hint="eastAsia"/>
                <w:sz w:val="21"/>
              </w:rPr>
            </w:pPr>
            <w:r>
              <w:rPr>
                <w:rFonts w:ascii="黑体" w:eastAsia="黑体" w:hint="eastAsia"/>
                <w:sz w:val="21"/>
              </w:rPr>
              <w:t>脑垂体瘤、脑囊肿、脑血管性疾病不在保障范围内。</w:t>
            </w:r>
          </w:p>
        </w:tc>
      </w:tr>
    </w:tbl>
    <w:p>
      <w:pPr>
        <w:spacing w:after="0" w:line="263" w:lineRule="exact"/>
        <w:rPr>
          <w:rFonts w:ascii="黑体" w:eastAsia="黑体" w:hint="eastAsia"/>
          <w:sz w:val="21"/>
        </w:rPr>
        <w:sectPr>
          <w:pgSz w:w="11910" w:h="16840"/>
          <w:pgMar w:header="0" w:footer="377" w:top="132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7845"/>
      </w:tblGrid>
      <w:tr>
        <w:trPr>
          <w:trHeight w:val="1741" w:hRule="atLeast"/>
        </w:trPr>
        <w:tc>
          <w:tcPr>
            <w:tcW w:w="1503" w:type="dxa"/>
          </w:tcPr>
          <w:p>
            <w:pPr>
              <w:pStyle w:val="TableParagraph"/>
              <w:spacing w:line="205" w:lineRule="exact" w:before="0"/>
              <w:ind w:left="200"/>
              <w:rPr>
                <w:b/>
                <w:sz w:val="21"/>
              </w:rPr>
            </w:pPr>
            <w:r>
              <w:rPr>
                <w:b/>
                <w:sz w:val="21"/>
              </w:rPr>
              <w:t>10.慢性肝功</w:t>
            </w:r>
          </w:p>
          <w:p>
            <w:pPr>
              <w:pStyle w:val="TableParagraph"/>
              <w:spacing w:line="273" w:lineRule="auto" w:before="37"/>
              <w:ind w:left="200" w:right="246"/>
              <w:rPr>
                <w:b/>
                <w:sz w:val="21"/>
              </w:rPr>
            </w:pPr>
            <w:r>
              <w:rPr>
                <w:b/>
                <w:sz w:val="21"/>
              </w:rPr>
              <w:t>能衰竭失代偿期</w:t>
            </w:r>
          </w:p>
        </w:tc>
        <w:tc>
          <w:tcPr>
            <w:tcW w:w="7845" w:type="dxa"/>
          </w:tcPr>
          <w:p>
            <w:pPr>
              <w:pStyle w:val="TableParagraph"/>
              <w:spacing w:line="205" w:lineRule="exact" w:before="0"/>
              <w:ind w:left="141"/>
              <w:rPr>
                <w:sz w:val="21"/>
              </w:rPr>
            </w:pPr>
            <w:r>
              <w:rPr>
                <w:sz w:val="21"/>
              </w:rPr>
              <w:t>指因慢性肝脏疾病导致肝功能衰竭。须满足下列全部条件：</w:t>
            </w:r>
          </w:p>
          <w:p>
            <w:pPr>
              <w:pStyle w:val="TableParagraph"/>
              <w:numPr>
                <w:ilvl w:val="0"/>
                <w:numId w:val="20"/>
              </w:numPr>
              <w:tabs>
                <w:tab w:pos="563" w:val="left" w:leader="none"/>
              </w:tabs>
              <w:spacing w:line="273" w:lineRule="exact" w:before="15" w:after="0"/>
              <w:ind w:left="562" w:right="0" w:hanging="421"/>
              <w:jc w:val="left"/>
              <w:rPr>
                <w:sz w:val="21"/>
              </w:rPr>
            </w:pPr>
            <w:r>
              <w:rPr>
                <w:spacing w:val="-2"/>
                <w:sz w:val="21"/>
              </w:rPr>
              <w:t>持续性黄疸；</w:t>
            </w:r>
          </w:p>
          <w:p>
            <w:pPr>
              <w:pStyle w:val="TableParagraph"/>
              <w:numPr>
                <w:ilvl w:val="0"/>
                <w:numId w:val="20"/>
              </w:numPr>
              <w:tabs>
                <w:tab w:pos="563" w:val="left" w:leader="none"/>
              </w:tabs>
              <w:spacing w:line="272" w:lineRule="exact" w:before="0" w:after="0"/>
              <w:ind w:left="562" w:right="0" w:hanging="421"/>
              <w:jc w:val="left"/>
              <w:rPr>
                <w:sz w:val="21"/>
              </w:rPr>
            </w:pPr>
            <w:r>
              <w:rPr>
                <w:sz w:val="21"/>
              </w:rPr>
              <w:t>腹水；</w:t>
            </w:r>
          </w:p>
          <w:p>
            <w:pPr>
              <w:pStyle w:val="TableParagraph"/>
              <w:numPr>
                <w:ilvl w:val="0"/>
                <w:numId w:val="20"/>
              </w:numPr>
              <w:tabs>
                <w:tab w:pos="563" w:val="left" w:leader="none"/>
              </w:tabs>
              <w:spacing w:line="272" w:lineRule="exact" w:before="0" w:after="0"/>
              <w:ind w:left="562" w:right="0" w:hanging="421"/>
              <w:jc w:val="left"/>
              <w:rPr>
                <w:sz w:val="21"/>
              </w:rPr>
            </w:pPr>
            <w:r>
              <w:rPr>
                <w:spacing w:val="-1"/>
                <w:sz w:val="21"/>
              </w:rPr>
              <w:t>肝性脑病；</w:t>
            </w:r>
          </w:p>
          <w:p>
            <w:pPr>
              <w:pStyle w:val="TableParagraph"/>
              <w:numPr>
                <w:ilvl w:val="0"/>
                <w:numId w:val="20"/>
              </w:numPr>
              <w:tabs>
                <w:tab w:pos="563" w:val="left" w:leader="none"/>
              </w:tabs>
              <w:spacing w:line="273" w:lineRule="exact" w:before="0" w:after="0"/>
              <w:ind w:left="562" w:right="0" w:hanging="421"/>
              <w:jc w:val="left"/>
              <w:rPr>
                <w:sz w:val="21"/>
              </w:rPr>
            </w:pPr>
            <w:r>
              <w:rPr>
                <w:spacing w:val="-3"/>
                <w:sz w:val="21"/>
              </w:rPr>
              <w:t>充血性脾肿大伴脾功能亢进或食管胃底静脉曲张。</w:t>
            </w:r>
          </w:p>
          <w:p>
            <w:pPr>
              <w:pStyle w:val="TableParagraph"/>
              <w:spacing w:before="21"/>
              <w:ind w:left="141"/>
              <w:rPr>
                <w:rFonts w:ascii="黑体" w:eastAsia="黑体" w:hint="eastAsia"/>
                <w:sz w:val="21"/>
              </w:rPr>
            </w:pPr>
            <w:r>
              <w:rPr>
                <w:rFonts w:ascii="黑体" w:eastAsia="黑体" w:hint="eastAsia"/>
                <w:sz w:val="21"/>
              </w:rPr>
              <w:t>因酗酒或药物滥用导致的肝功能衰竭不在保障范围内。</w:t>
            </w:r>
          </w:p>
        </w:tc>
      </w:tr>
      <w:tr>
        <w:trPr>
          <w:trHeight w:val="1877" w:hRule="atLeast"/>
        </w:trPr>
        <w:tc>
          <w:tcPr>
            <w:tcW w:w="1503" w:type="dxa"/>
          </w:tcPr>
          <w:p>
            <w:pPr>
              <w:pStyle w:val="TableParagraph"/>
              <w:spacing w:line="273" w:lineRule="auto"/>
              <w:ind w:left="200" w:right="139"/>
              <w:rPr>
                <w:b/>
                <w:sz w:val="21"/>
              </w:rPr>
            </w:pPr>
            <w:r>
              <w:rPr>
                <w:b/>
                <w:sz w:val="21"/>
              </w:rPr>
              <w:t>11.脑炎后遗症或脑膜炎后遗症</w:t>
            </w:r>
          </w:p>
        </w:tc>
        <w:tc>
          <w:tcPr>
            <w:tcW w:w="7845" w:type="dxa"/>
          </w:tcPr>
          <w:p>
            <w:pPr>
              <w:pStyle w:val="TableParagraph"/>
              <w:spacing w:line="273" w:lineRule="auto"/>
              <w:ind w:left="141" w:right="344"/>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563" w:val="left" w:leader="none"/>
              </w:tabs>
              <w:spacing w:line="259" w:lineRule="exact" w:before="0" w:after="0"/>
              <w:ind w:left="562" w:right="0" w:hanging="421"/>
              <w:jc w:val="left"/>
              <w:rPr>
                <w:sz w:val="21"/>
              </w:rPr>
            </w:pPr>
            <w:r>
              <w:rPr>
                <w:spacing w:val="-3"/>
                <w:sz w:val="21"/>
              </w:rPr>
              <w:t>一肢或一肢以上肢体机能完全丧失；</w:t>
            </w:r>
          </w:p>
          <w:p>
            <w:pPr>
              <w:pStyle w:val="TableParagraph"/>
              <w:numPr>
                <w:ilvl w:val="0"/>
                <w:numId w:val="21"/>
              </w:numPr>
              <w:tabs>
                <w:tab w:pos="563" w:val="left" w:leader="none"/>
              </w:tabs>
              <w:spacing w:line="272" w:lineRule="exact" w:before="0" w:after="0"/>
              <w:ind w:left="562" w:right="0" w:hanging="421"/>
              <w:jc w:val="left"/>
              <w:rPr>
                <w:sz w:val="21"/>
              </w:rPr>
            </w:pPr>
            <w:r>
              <w:rPr>
                <w:spacing w:val="-3"/>
                <w:sz w:val="21"/>
              </w:rPr>
              <w:t>语言能力或咀嚼吞咽能力完全丧失；</w:t>
            </w:r>
          </w:p>
          <w:p>
            <w:pPr>
              <w:pStyle w:val="TableParagraph"/>
              <w:numPr>
                <w:ilvl w:val="0"/>
                <w:numId w:val="21"/>
              </w:numPr>
              <w:tabs>
                <w:tab w:pos="563" w:val="left" w:leader="none"/>
              </w:tabs>
              <w:spacing w:line="237" w:lineRule="auto" w:before="1" w:after="0"/>
              <w:ind w:left="562" w:right="304" w:hanging="421"/>
              <w:jc w:val="left"/>
              <w:rPr>
                <w:sz w:val="21"/>
              </w:rPr>
            </w:pPr>
            <w:r>
              <w:rPr>
                <w:sz w:val="21"/>
              </w:rPr>
              <w:t>自主生活能力完全丧失，无法独立完成六项基本日常生活活动中的三项或三</w:t>
            </w:r>
            <w:r>
              <w:rPr>
                <w:spacing w:val="-1"/>
                <w:sz w:val="21"/>
              </w:rPr>
              <w:t>项以上。</w:t>
            </w:r>
          </w:p>
        </w:tc>
      </w:tr>
      <w:tr>
        <w:trPr>
          <w:trHeight w:val="1394" w:hRule="atLeast"/>
        </w:trPr>
        <w:tc>
          <w:tcPr>
            <w:tcW w:w="1503" w:type="dxa"/>
          </w:tcPr>
          <w:p>
            <w:pPr>
              <w:pStyle w:val="TableParagraph"/>
              <w:spacing w:before="49"/>
              <w:ind w:left="200"/>
              <w:rPr>
                <w:b/>
                <w:sz w:val="21"/>
              </w:rPr>
            </w:pPr>
            <w:r>
              <w:rPr>
                <w:b/>
                <w:sz w:val="21"/>
              </w:rPr>
              <w:t>12.深度昏迷</w:t>
            </w:r>
          </w:p>
        </w:tc>
        <w:tc>
          <w:tcPr>
            <w:tcW w:w="7845" w:type="dxa"/>
          </w:tcPr>
          <w:p>
            <w:pPr>
              <w:pStyle w:val="TableParagraph"/>
              <w:spacing w:line="273" w:lineRule="auto" w:before="49"/>
              <w:ind w:left="141" w:right="34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7"/>
              <w:ind w:left="141"/>
              <w:jc w:val="both"/>
              <w:rPr>
                <w:rFonts w:ascii="黑体" w:eastAsia="黑体" w:hint="eastAsia"/>
                <w:sz w:val="21"/>
              </w:rPr>
            </w:pPr>
            <w:r>
              <w:rPr>
                <w:rFonts w:ascii="黑体" w:eastAsia="黑体" w:hint="eastAsia"/>
                <w:sz w:val="21"/>
              </w:rPr>
              <w:t>因酗酒或药物滥用导致的深度昏迷不在保障范围内。</w:t>
            </w:r>
          </w:p>
        </w:tc>
      </w:tr>
      <w:tr>
        <w:trPr>
          <w:trHeight w:val="1716" w:hRule="atLeast"/>
        </w:trPr>
        <w:tc>
          <w:tcPr>
            <w:tcW w:w="1503" w:type="dxa"/>
          </w:tcPr>
          <w:p>
            <w:pPr>
              <w:pStyle w:val="TableParagraph"/>
              <w:ind w:left="200"/>
              <w:rPr>
                <w:b/>
                <w:sz w:val="21"/>
              </w:rPr>
            </w:pPr>
            <w:r>
              <w:rPr>
                <w:b/>
                <w:sz w:val="21"/>
              </w:rPr>
              <w:t>13.双耳失聪</w:t>
            </w:r>
          </w:p>
        </w:tc>
        <w:tc>
          <w:tcPr>
            <w:tcW w:w="7845" w:type="dxa"/>
          </w:tcPr>
          <w:p>
            <w:pPr>
              <w:pStyle w:val="TableParagraph"/>
              <w:ind w:left="141"/>
              <w:rPr>
                <w:sz w:val="21"/>
              </w:rPr>
            </w:pPr>
            <w:r>
              <w:rPr>
                <w:sz w:val="21"/>
              </w:rPr>
              <w:t>指因疾病或意外伤害导致双耳听力永久不可逆性丧失，在 500 赫兹、1000 赫兹和</w:t>
            </w:r>
          </w:p>
          <w:p>
            <w:pPr>
              <w:pStyle w:val="TableParagraph"/>
              <w:spacing w:line="273" w:lineRule="auto" w:before="36"/>
              <w:ind w:left="141" w:right="401"/>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141" w:right="344"/>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2340" w:hRule="atLeast"/>
        </w:trPr>
        <w:tc>
          <w:tcPr>
            <w:tcW w:w="1503" w:type="dxa"/>
          </w:tcPr>
          <w:p>
            <w:pPr>
              <w:pStyle w:val="TableParagraph"/>
              <w:spacing w:before="59"/>
              <w:ind w:left="200"/>
              <w:rPr>
                <w:b/>
                <w:sz w:val="21"/>
              </w:rPr>
            </w:pPr>
            <w:r>
              <w:rPr>
                <w:b/>
                <w:sz w:val="21"/>
              </w:rPr>
              <w:t>14.双目失明</w:t>
            </w:r>
          </w:p>
        </w:tc>
        <w:tc>
          <w:tcPr>
            <w:tcW w:w="7845" w:type="dxa"/>
          </w:tcPr>
          <w:p>
            <w:pPr>
              <w:pStyle w:val="TableParagraph"/>
              <w:spacing w:line="273" w:lineRule="auto" w:before="59"/>
              <w:ind w:left="141" w:right="344"/>
              <w:rPr>
                <w:sz w:val="21"/>
              </w:rPr>
            </w:pPr>
            <w:r>
              <w:rPr>
                <w:sz w:val="21"/>
              </w:rPr>
              <w:t>指因疾病或意外伤害导致双眼视力永久不可逆性丧失，双眼中较好眼须满足下列至少一项条件：</w:t>
            </w:r>
          </w:p>
          <w:p>
            <w:pPr>
              <w:pStyle w:val="TableParagraph"/>
              <w:numPr>
                <w:ilvl w:val="0"/>
                <w:numId w:val="22"/>
              </w:numPr>
              <w:tabs>
                <w:tab w:pos="565" w:val="left" w:leader="none"/>
              </w:tabs>
              <w:spacing w:line="240" w:lineRule="auto" w:before="8" w:after="0"/>
              <w:ind w:left="564" w:right="0" w:hanging="423"/>
              <w:jc w:val="left"/>
              <w:rPr>
                <w:sz w:val="21"/>
              </w:rPr>
            </w:pPr>
            <w:r>
              <w:rPr>
                <w:spacing w:val="-3"/>
                <w:sz w:val="21"/>
              </w:rPr>
              <w:t>眼球缺失或摘除；</w:t>
            </w:r>
          </w:p>
          <w:p>
            <w:pPr>
              <w:pStyle w:val="TableParagraph"/>
              <w:numPr>
                <w:ilvl w:val="0"/>
                <w:numId w:val="22"/>
              </w:numPr>
              <w:tabs>
                <w:tab w:pos="565" w:val="left" w:leader="none"/>
              </w:tabs>
              <w:spacing w:line="240" w:lineRule="auto" w:before="37" w:after="0"/>
              <w:ind w:left="564" w:right="0" w:hanging="423"/>
              <w:jc w:val="left"/>
              <w:rPr>
                <w:sz w:val="21"/>
              </w:rPr>
            </w:pPr>
            <w:r>
              <w:rPr>
                <w:spacing w:val="-3"/>
                <w:w w:val="100"/>
                <w:sz w:val="21"/>
              </w:rPr>
              <w:t>矫正视力低于</w:t>
            </w:r>
            <w:r>
              <w:rPr>
                <w:spacing w:val="-63"/>
                <w:sz w:val="21"/>
              </w:rPr>
              <w:t> </w:t>
            </w:r>
            <w:r>
              <w:rPr>
                <w:w w:val="100"/>
                <w:sz w:val="21"/>
              </w:rPr>
              <w:t>0.</w:t>
            </w:r>
            <w:r>
              <w:rPr>
                <w:spacing w:val="-3"/>
                <w:w w:val="100"/>
                <w:sz w:val="21"/>
              </w:rPr>
              <w:t>0</w:t>
            </w:r>
            <w:r>
              <w:rPr>
                <w:spacing w:val="-212"/>
                <w:w w:val="100"/>
                <w:sz w:val="21"/>
              </w:rPr>
              <w:t>（</w:t>
            </w:r>
            <w:r>
              <w:rPr>
                <w:w w:val="100"/>
                <w:sz w:val="21"/>
              </w:rPr>
              <w:t>2</w:t>
            </w:r>
            <w:r>
              <w:rPr>
                <w:spacing w:val="-2"/>
                <w:sz w:val="21"/>
              </w:rPr>
              <w:t> </w:t>
            </w:r>
            <w:r>
              <w:rPr>
                <w:spacing w:val="-12"/>
                <w:w w:val="100"/>
                <w:sz w:val="21"/>
              </w:rPr>
              <w:t>采用国际标准视力表，如果使用其它视力表应进行换算</w:t>
            </w:r>
            <w:r>
              <w:rPr>
                <w:spacing w:val="-106"/>
                <w:w w:val="100"/>
                <w:sz w:val="21"/>
              </w:rPr>
              <w:t>）</w:t>
            </w:r>
            <w:r>
              <w:rPr>
                <w:w w:val="100"/>
                <w:sz w:val="21"/>
              </w:rPr>
              <w:t>；</w:t>
            </w:r>
          </w:p>
          <w:p>
            <w:pPr>
              <w:pStyle w:val="TableParagraph"/>
              <w:numPr>
                <w:ilvl w:val="0"/>
                <w:numId w:val="22"/>
              </w:numPr>
              <w:tabs>
                <w:tab w:pos="565" w:val="left" w:leader="none"/>
              </w:tabs>
              <w:spacing w:line="240" w:lineRule="auto" w:before="37" w:after="0"/>
              <w:ind w:left="564" w:right="0" w:hanging="423"/>
              <w:jc w:val="left"/>
              <w:rPr>
                <w:sz w:val="21"/>
              </w:rPr>
            </w:pPr>
            <w:r>
              <w:rPr>
                <w:spacing w:val="-10"/>
                <w:sz w:val="21"/>
              </w:rPr>
              <w:t>视野半径小于 </w:t>
            </w:r>
            <w:r>
              <w:rPr>
                <w:sz w:val="21"/>
              </w:rPr>
              <w:t>5</w:t>
            </w:r>
            <w:r>
              <w:rPr>
                <w:spacing w:val="-17"/>
                <w:sz w:val="21"/>
              </w:rPr>
              <w:t> 度。</w:t>
            </w:r>
          </w:p>
          <w:p>
            <w:pPr>
              <w:pStyle w:val="TableParagraph"/>
              <w:spacing w:line="273" w:lineRule="auto" w:before="37"/>
              <w:ind w:left="141" w:right="344"/>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tc>
      </w:tr>
      <w:tr>
        <w:trPr>
          <w:trHeight w:val="1092" w:hRule="atLeast"/>
        </w:trPr>
        <w:tc>
          <w:tcPr>
            <w:tcW w:w="1503" w:type="dxa"/>
          </w:tcPr>
          <w:p>
            <w:pPr>
              <w:pStyle w:val="TableParagraph"/>
              <w:ind w:left="200"/>
              <w:rPr>
                <w:b/>
                <w:sz w:val="21"/>
              </w:rPr>
            </w:pPr>
            <w:r>
              <w:rPr>
                <w:b/>
                <w:sz w:val="21"/>
              </w:rPr>
              <w:t>15.瘫痪</w:t>
            </w:r>
          </w:p>
        </w:tc>
        <w:tc>
          <w:tcPr>
            <w:tcW w:w="7845" w:type="dxa"/>
          </w:tcPr>
          <w:p>
            <w:pPr>
              <w:pStyle w:val="TableParagraph"/>
              <w:spacing w:line="273" w:lineRule="auto"/>
              <w:ind w:left="141" w:right="343"/>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702" w:hRule="atLeast"/>
        </w:trPr>
        <w:tc>
          <w:tcPr>
            <w:tcW w:w="1503" w:type="dxa"/>
          </w:tcPr>
          <w:p>
            <w:pPr>
              <w:pStyle w:val="TableParagraph"/>
              <w:spacing w:line="273" w:lineRule="auto"/>
              <w:ind w:left="200" w:right="139"/>
              <w:rPr>
                <w:b/>
                <w:sz w:val="21"/>
              </w:rPr>
            </w:pPr>
            <w:r>
              <w:rPr>
                <w:b/>
                <w:sz w:val="21"/>
              </w:rPr>
              <w:t>16.心脏瓣膜手术</w:t>
            </w:r>
          </w:p>
        </w:tc>
        <w:tc>
          <w:tcPr>
            <w:tcW w:w="7845" w:type="dxa"/>
          </w:tcPr>
          <w:p>
            <w:pPr>
              <w:pStyle w:val="TableParagraph"/>
              <w:ind w:left="141"/>
              <w:rPr>
                <w:sz w:val="21"/>
              </w:rPr>
            </w:pPr>
            <w:r>
              <w:rPr>
                <w:sz w:val="21"/>
              </w:rPr>
              <w:t>指为治疗心脏瓣膜疾病，实际实施了开胸进行的心脏瓣膜置换或修复的手术。</w:t>
            </w:r>
          </w:p>
        </w:tc>
      </w:tr>
      <w:tr>
        <w:trPr>
          <w:trHeight w:val="1949" w:hRule="atLeast"/>
        </w:trPr>
        <w:tc>
          <w:tcPr>
            <w:tcW w:w="1503" w:type="dxa"/>
          </w:tcPr>
          <w:p>
            <w:pPr>
              <w:pStyle w:val="TableParagraph"/>
              <w:spacing w:line="256" w:lineRule="exact" w:before="0"/>
              <w:ind w:left="200"/>
              <w:rPr>
                <w:b/>
                <w:sz w:val="21"/>
              </w:rPr>
            </w:pPr>
            <w:r>
              <w:rPr>
                <w:b/>
                <w:sz w:val="21"/>
              </w:rPr>
              <w:t>17.严重阿尔</w:t>
            </w:r>
          </w:p>
          <w:p>
            <w:pPr>
              <w:pStyle w:val="TableParagraph"/>
              <w:spacing w:before="37"/>
              <w:ind w:left="200"/>
              <w:rPr>
                <w:b/>
                <w:sz w:val="21"/>
              </w:rPr>
            </w:pPr>
            <w:r>
              <w:rPr>
                <w:b/>
                <w:sz w:val="21"/>
              </w:rPr>
              <w:t>茨海默病</w:t>
            </w:r>
          </w:p>
        </w:tc>
        <w:tc>
          <w:tcPr>
            <w:tcW w:w="7845" w:type="dxa"/>
          </w:tcPr>
          <w:p>
            <w:pPr>
              <w:pStyle w:val="TableParagraph"/>
              <w:spacing w:line="256" w:lineRule="exact" w:before="0"/>
              <w:ind w:left="141"/>
              <w:rPr>
                <w:sz w:val="21"/>
              </w:rPr>
            </w:pPr>
            <w:r>
              <w:rPr>
                <w:sz w:val="21"/>
              </w:rPr>
              <w:t>指因大脑进行性、不可逆性改变导致智能严重衰退或丧失，临床表现为明显的认</w:t>
            </w:r>
          </w:p>
          <w:p>
            <w:pPr>
              <w:pStyle w:val="TableParagraph"/>
              <w:spacing w:line="273" w:lineRule="auto" w:before="37"/>
              <w:ind w:left="141" w:right="302"/>
              <w:jc w:val="both"/>
              <w:rPr>
                <w:sz w:val="21"/>
              </w:rPr>
            </w:pPr>
            <w:r>
              <w:rPr>
                <w:spacing w:val="-3"/>
                <w:sz w:val="21"/>
              </w:rPr>
              <w:t>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8"/>
                <w:w w:val="100"/>
                <w:sz w:val="21"/>
              </w:rPr>
              <w:t>）</w:t>
            </w:r>
            <w:r>
              <w:rPr>
                <w:spacing w:val="-6"/>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10"/>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spacing w:val="-10"/>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7"/>
              <w:ind w:left="141"/>
              <w:jc w:val="both"/>
              <w:rPr>
                <w:rFonts w:ascii="黑体" w:eastAsia="黑体" w:hint="eastAsia"/>
                <w:sz w:val="21"/>
              </w:rPr>
            </w:pPr>
            <w:r>
              <w:rPr>
                <w:rFonts w:ascii="黑体" w:eastAsia="黑体" w:hint="eastAsia"/>
                <w:sz w:val="21"/>
              </w:rPr>
              <w:t>神经官能症和精神疾病不在保障范围内。</w:t>
            </w:r>
          </w:p>
        </w:tc>
      </w:tr>
      <w:tr>
        <w:trPr>
          <w:trHeight w:val="1566" w:hRule="atLeast"/>
        </w:trPr>
        <w:tc>
          <w:tcPr>
            <w:tcW w:w="1503" w:type="dxa"/>
          </w:tcPr>
          <w:p>
            <w:pPr>
              <w:pStyle w:val="TableParagraph"/>
              <w:spacing w:line="273" w:lineRule="auto"/>
              <w:ind w:left="200" w:right="139"/>
              <w:rPr>
                <w:b/>
                <w:sz w:val="21"/>
              </w:rPr>
            </w:pPr>
            <w:r>
              <w:rPr>
                <w:b/>
                <w:sz w:val="21"/>
              </w:rPr>
              <w:t>18.严重脑损伤</w:t>
            </w:r>
          </w:p>
        </w:tc>
        <w:tc>
          <w:tcPr>
            <w:tcW w:w="7845" w:type="dxa"/>
          </w:tcPr>
          <w:p>
            <w:pPr>
              <w:pStyle w:val="TableParagraph"/>
              <w:spacing w:line="273" w:lineRule="auto"/>
              <w:ind w:left="141" w:right="197"/>
              <w:rPr>
                <w:sz w:val="21"/>
              </w:rPr>
            </w:pPr>
            <w:r>
              <w:rPr>
                <w:spacing w:val="-3"/>
                <w:sz w:val="21"/>
              </w:rPr>
              <w:t>指因头部遭受机械性外力，引起脑重要部位损伤，导致神经系统永久性的功能障</w:t>
            </w:r>
            <w:r>
              <w:rPr>
                <w:spacing w:val="-10"/>
                <w:w w:val="100"/>
                <w:sz w:val="21"/>
              </w:rPr>
              <w:t>碍。须由头颅断层扫描</w:t>
            </w:r>
            <w:r>
              <w:rPr>
                <w:spacing w:val="-3"/>
                <w:w w:val="100"/>
                <w:sz w:val="21"/>
              </w:rPr>
              <w:t>（C</w:t>
            </w:r>
            <w:r>
              <w:rPr>
                <w:w w:val="100"/>
                <w:sz w:val="21"/>
              </w:rPr>
              <w:t>T</w:t>
            </w:r>
            <w:r>
              <w:rPr>
                <w:spacing w:val="-106"/>
                <w:w w:val="100"/>
                <w:sz w:val="21"/>
              </w:rPr>
              <w:t>）</w:t>
            </w:r>
            <w:r>
              <w:rPr>
                <w:spacing w:val="-11"/>
                <w:w w:val="100"/>
                <w:sz w:val="21"/>
              </w:rPr>
              <w:t>、核磁共振检查</w:t>
            </w:r>
            <w:r>
              <w:rPr>
                <w:spacing w:val="-3"/>
                <w:w w:val="100"/>
                <w:sz w:val="21"/>
              </w:rPr>
              <w:t>（</w:t>
            </w:r>
            <w:r>
              <w:rPr>
                <w:w w:val="100"/>
                <w:sz w:val="21"/>
              </w:rPr>
              <w:t>MRI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spacing w:line="247" w:lineRule="exact" w:before="0"/>
              <w:ind w:left="141"/>
              <w:rPr>
                <w:sz w:val="21"/>
              </w:rPr>
            </w:pPr>
            <w:r>
              <w:rPr>
                <w:sz w:val="21"/>
              </w:rPr>
              <w:t>(1) 一肢或一肢以上肢体机能完全丧失；</w:t>
            </w:r>
          </w:p>
        </w:tc>
      </w:tr>
    </w:tbl>
    <w:p>
      <w:pPr>
        <w:spacing w:after="0" w:line="247" w:lineRule="exact"/>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746"/>
      </w:tblGrid>
      <w:tr>
        <w:trPr>
          <w:trHeight w:val="797" w:hRule="atLeast"/>
        </w:trPr>
        <w:tc>
          <w:tcPr>
            <w:tcW w:w="1558" w:type="dxa"/>
          </w:tcPr>
          <w:p>
            <w:pPr>
              <w:pStyle w:val="TableParagraph"/>
              <w:spacing w:before="0"/>
              <w:ind w:left="0"/>
              <w:rPr>
                <w:rFonts w:ascii="Times New Roman"/>
                <w:sz w:val="20"/>
              </w:rPr>
            </w:pPr>
          </w:p>
        </w:tc>
        <w:tc>
          <w:tcPr>
            <w:tcW w:w="7746" w:type="dxa"/>
          </w:tcPr>
          <w:p>
            <w:pPr>
              <w:pStyle w:val="TableParagraph"/>
              <w:numPr>
                <w:ilvl w:val="0"/>
                <w:numId w:val="23"/>
              </w:numPr>
              <w:tabs>
                <w:tab w:pos="508" w:val="left" w:leader="none"/>
              </w:tabs>
              <w:spacing w:line="202" w:lineRule="exact" w:before="0" w:after="0"/>
              <w:ind w:left="507" w:right="0" w:hanging="421"/>
              <w:jc w:val="left"/>
              <w:rPr>
                <w:sz w:val="21"/>
              </w:rPr>
            </w:pPr>
            <w:r>
              <w:rPr>
                <w:spacing w:val="-3"/>
                <w:sz w:val="21"/>
              </w:rPr>
              <w:t>语言能力或咀嚼吞咽能力完全丧失；</w:t>
            </w:r>
          </w:p>
          <w:p>
            <w:pPr>
              <w:pStyle w:val="TableParagraph"/>
              <w:numPr>
                <w:ilvl w:val="0"/>
                <w:numId w:val="23"/>
              </w:numPr>
              <w:tabs>
                <w:tab w:pos="508" w:val="left" w:leader="none"/>
              </w:tabs>
              <w:spacing w:line="240" w:lineRule="auto" w:before="0" w:after="0"/>
              <w:ind w:left="507" w:right="259" w:hanging="421"/>
              <w:jc w:val="left"/>
              <w:rPr>
                <w:sz w:val="21"/>
              </w:rPr>
            </w:pPr>
            <w:r>
              <w:rPr>
                <w:sz w:val="21"/>
              </w:rPr>
              <w:t>自主生活能力完全丧失，无法独立完成六项基本日常生活活动中的三项或三</w:t>
            </w:r>
            <w:r>
              <w:rPr>
                <w:spacing w:val="-1"/>
                <w:sz w:val="21"/>
              </w:rPr>
              <w:t>项以上。</w:t>
            </w:r>
          </w:p>
        </w:tc>
      </w:tr>
      <w:tr>
        <w:trPr>
          <w:trHeight w:val="1822" w:hRule="atLeast"/>
        </w:trPr>
        <w:tc>
          <w:tcPr>
            <w:tcW w:w="1558" w:type="dxa"/>
          </w:tcPr>
          <w:p>
            <w:pPr>
              <w:pStyle w:val="TableParagraph"/>
              <w:spacing w:line="244" w:lineRule="exact" w:before="0"/>
              <w:ind w:left="200"/>
              <w:rPr>
                <w:b/>
                <w:sz w:val="21"/>
              </w:rPr>
            </w:pPr>
            <w:r>
              <w:rPr>
                <w:b/>
                <w:sz w:val="21"/>
              </w:rPr>
              <w:t>19.严重帕金</w:t>
            </w:r>
          </w:p>
          <w:p>
            <w:pPr>
              <w:pStyle w:val="TableParagraph"/>
              <w:spacing w:before="37"/>
              <w:ind w:left="200"/>
              <w:rPr>
                <w:b/>
                <w:sz w:val="21"/>
              </w:rPr>
            </w:pPr>
            <w:r>
              <w:rPr>
                <w:b/>
                <w:sz w:val="21"/>
              </w:rPr>
              <w:t>森病</w:t>
            </w:r>
          </w:p>
        </w:tc>
        <w:tc>
          <w:tcPr>
            <w:tcW w:w="7746" w:type="dxa"/>
          </w:tcPr>
          <w:p>
            <w:pPr>
              <w:pStyle w:val="TableParagraph"/>
              <w:spacing w:line="244" w:lineRule="exact" w:before="0"/>
              <w:rPr>
                <w:sz w:val="21"/>
              </w:rPr>
            </w:pPr>
            <w:r>
              <w:rPr>
                <w:sz w:val="21"/>
              </w:rPr>
              <w:t>是一种中枢神经系统的退行性疾病，临床表现为震颤麻痹、共济失调等。须满足</w:t>
            </w:r>
          </w:p>
          <w:p>
            <w:pPr>
              <w:pStyle w:val="TableParagraph"/>
              <w:spacing w:before="37"/>
              <w:rPr>
                <w:sz w:val="21"/>
              </w:rPr>
            </w:pPr>
            <w:r>
              <w:rPr>
                <w:sz w:val="21"/>
              </w:rPr>
              <w:t>下列全部条件：</w:t>
            </w:r>
          </w:p>
          <w:p>
            <w:pPr>
              <w:pStyle w:val="TableParagraph"/>
              <w:numPr>
                <w:ilvl w:val="0"/>
                <w:numId w:val="24"/>
              </w:numPr>
              <w:tabs>
                <w:tab w:pos="508" w:val="left" w:leader="none"/>
              </w:tabs>
              <w:spacing w:line="274" w:lineRule="exact" w:before="15" w:after="0"/>
              <w:ind w:left="507" w:right="0" w:hanging="421"/>
              <w:jc w:val="left"/>
              <w:rPr>
                <w:sz w:val="21"/>
              </w:rPr>
            </w:pPr>
            <w:r>
              <w:rPr>
                <w:spacing w:val="-3"/>
                <w:sz w:val="21"/>
              </w:rPr>
              <w:t>药物治疗无法控制病情；</w:t>
            </w:r>
          </w:p>
          <w:p>
            <w:pPr>
              <w:pStyle w:val="TableParagraph"/>
              <w:numPr>
                <w:ilvl w:val="0"/>
                <w:numId w:val="24"/>
              </w:numPr>
              <w:tabs>
                <w:tab w:pos="508" w:val="left" w:leader="none"/>
              </w:tabs>
              <w:spacing w:line="237" w:lineRule="auto" w:before="1" w:after="0"/>
              <w:ind w:left="507" w:right="260" w:hanging="421"/>
              <w:jc w:val="left"/>
              <w:rPr>
                <w:sz w:val="21"/>
              </w:rPr>
            </w:pPr>
            <w:r>
              <w:rPr>
                <w:sz w:val="21"/>
              </w:rPr>
              <w:t>自主生活能力完全丧失，无法独立完成六项基本日常生活活动中的三项或三</w:t>
            </w:r>
            <w:r>
              <w:rPr>
                <w:spacing w:val="-1"/>
                <w:sz w:val="21"/>
              </w:rPr>
              <w:t>项以上。</w:t>
            </w:r>
          </w:p>
          <w:p>
            <w:pPr>
              <w:pStyle w:val="TableParagraph"/>
              <w:spacing w:before="19"/>
              <w:rPr>
                <w:rFonts w:ascii="黑体" w:eastAsia="黑体" w:hint="eastAsia"/>
                <w:sz w:val="21"/>
              </w:rPr>
            </w:pPr>
            <w:r>
              <w:rPr>
                <w:rFonts w:ascii="黑体" w:eastAsia="黑体" w:hint="eastAsia"/>
                <w:sz w:val="21"/>
              </w:rPr>
              <w:t>继发性帕金森综合征不在保障范围内。</w:t>
            </w:r>
          </w:p>
        </w:tc>
      </w:tr>
      <w:tr>
        <w:trPr>
          <w:trHeight w:val="780" w:hRule="atLeast"/>
        </w:trPr>
        <w:tc>
          <w:tcPr>
            <w:tcW w:w="1558" w:type="dxa"/>
          </w:tcPr>
          <w:p>
            <w:pPr>
              <w:pStyle w:val="TableParagraph"/>
              <w:spacing w:line="273" w:lineRule="auto" w:before="56"/>
              <w:ind w:left="200" w:right="194"/>
              <w:rPr>
                <w:b/>
                <w:sz w:val="21"/>
              </w:rPr>
            </w:pPr>
            <w:r>
              <w:rPr>
                <w:b/>
                <w:sz w:val="21"/>
              </w:rPr>
              <w:t>20.严重</w:t>
            </w:r>
            <w:r>
              <w:rPr>
                <w:rFonts w:ascii="宋体" w:hAnsi="宋体" w:eastAsia="宋体" w:hint="eastAsia"/>
                <w:b/>
                <w:sz w:val="21"/>
              </w:rPr>
              <w:t>Ⅲ</w:t>
            </w:r>
            <w:r>
              <w:rPr>
                <w:b/>
                <w:sz w:val="21"/>
              </w:rPr>
              <w:t>度烧伤</w:t>
            </w:r>
          </w:p>
        </w:tc>
        <w:tc>
          <w:tcPr>
            <w:tcW w:w="7746" w:type="dxa"/>
          </w:tcPr>
          <w:p>
            <w:pPr>
              <w:pStyle w:val="TableParagraph"/>
              <w:spacing w:line="273" w:lineRule="auto" w:before="56"/>
              <w:ind w:right="258"/>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9"/>
                <w:sz w:val="21"/>
              </w:rPr>
              <w:t>％以上。体</w:t>
            </w:r>
            <w:r>
              <w:rPr>
                <w:spacing w:val="-5"/>
                <w:sz w:val="21"/>
              </w:rPr>
              <w:t>表面积根据《中国新九分法》计算。</w:t>
            </w:r>
          </w:p>
        </w:tc>
      </w:tr>
      <w:tr>
        <w:trPr>
          <w:trHeight w:val="1092" w:hRule="atLeast"/>
        </w:trPr>
        <w:tc>
          <w:tcPr>
            <w:tcW w:w="1558" w:type="dxa"/>
          </w:tcPr>
          <w:p>
            <w:pPr>
              <w:pStyle w:val="TableParagraph"/>
              <w:spacing w:line="273" w:lineRule="auto" w:before="57"/>
              <w:ind w:left="200" w:right="194"/>
              <w:rPr>
                <w:b/>
                <w:sz w:val="21"/>
              </w:rPr>
            </w:pPr>
            <w:r>
              <w:rPr>
                <w:b/>
                <w:sz w:val="21"/>
              </w:rPr>
              <w:t>21.严重原发性肺动脉高压</w:t>
            </w:r>
          </w:p>
        </w:tc>
        <w:tc>
          <w:tcPr>
            <w:tcW w:w="7746" w:type="dxa"/>
          </w:tcPr>
          <w:p>
            <w:pPr>
              <w:pStyle w:val="TableParagraph"/>
              <w:spacing w:line="273" w:lineRule="auto" w:before="57"/>
              <w:ind w:right="256"/>
              <w:jc w:val="both"/>
              <w:rPr>
                <w:sz w:val="21"/>
              </w:rPr>
            </w:pPr>
            <w:r>
              <w:rPr>
                <w:spacing w:val="-3"/>
                <w:sz w:val="21"/>
              </w:rPr>
              <w:t>指不明原因的肺动脉压力持续性增高，进行性发展而导致的慢性疾病，已经造成</w:t>
            </w:r>
            <w:r>
              <w:rPr>
                <w:spacing w:val="-5"/>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092" w:hRule="atLeast"/>
        </w:trPr>
        <w:tc>
          <w:tcPr>
            <w:tcW w:w="1558" w:type="dxa"/>
          </w:tcPr>
          <w:p>
            <w:pPr>
              <w:pStyle w:val="TableParagraph"/>
              <w:spacing w:line="273" w:lineRule="auto" w:before="56"/>
              <w:ind w:left="200" w:right="194"/>
              <w:rPr>
                <w:b/>
                <w:sz w:val="21"/>
              </w:rPr>
            </w:pPr>
            <w:r>
              <w:rPr>
                <w:b/>
                <w:sz w:val="21"/>
              </w:rPr>
              <w:t>22.严重运动神经元病</w:t>
            </w:r>
          </w:p>
        </w:tc>
        <w:tc>
          <w:tcPr>
            <w:tcW w:w="7746" w:type="dxa"/>
          </w:tcPr>
          <w:p>
            <w:pPr>
              <w:pStyle w:val="TableParagraph"/>
              <w:spacing w:line="273" w:lineRule="auto" w:before="56"/>
              <w:ind w:right="3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16" w:hRule="atLeast"/>
        </w:trPr>
        <w:tc>
          <w:tcPr>
            <w:tcW w:w="1558" w:type="dxa"/>
          </w:tcPr>
          <w:p>
            <w:pPr>
              <w:pStyle w:val="TableParagraph"/>
              <w:spacing w:line="273" w:lineRule="auto" w:before="56"/>
              <w:ind w:left="200" w:right="194"/>
              <w:rPr>
                <w:b/>
                <w:sz w:val="21"/>
              </w:rPr>
            </w:pPr>
            <w:r>
              <w:rPr>
                <w:b/>
                <w:sz w:val="21"/>
              </w:rPr>
              <w:t>23.语言能力丧失</w:t>
            </w:r>
          </w:p>
        </w:tc>
        <w:tc>
          <w:tcPr>
            <w:tcW w:w="7746" w:type="dxa"/>
          </w:tcPr>
          <w:p>
            <w:pPr>
              <w:pStyle w:val="TableParagraph"/>
              <w:spacing w:line="273" w:lineRule="auto" w:before="56"/>
              <w:ind w:right="256"/>
              <w:rPr>
                <w:sz w:val="21"/>
              </w:rPr>
            </w:pPr>
            <w:r>
              <w:rPr>
                <w:spacing w:val="-7"/>
                <w:sz w:val="21"/>
              </w:rPr>
              <w:t>指因疾病或意外伤害导致完全丧失语言能力，经过积极治疗至少 </w:t>
            </w:r>
            <w:r>
              <w:rPr>
                <w:sz w:val="21"/>
              </w:rPr>
              <w:t>12</w:t>
            </w:r>
            <w:r>
              <w:rPr>
                <w:spacing w:val="-24"/>
                <w:sz w:val="21"/>
              </w:rPr>
              <w:t> 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73" w:lineRule="auto" w:before="37"/>
              <w:ind w:right="300"/>
              <w:rPr>
                <w:rFonts w:ascii="黑体" w:eastAsia="黑体" w:hint="eastAsia"/>
                <w:sz w:val="21"/>
              </w:rPr>
            </w:pPr>
            <w:r>
              <w:rPr>
                <w:rFonts w:ascii="黑体" w:eastAsia="黑体" w:hint="eastAsia"/>
                <w:sz w:val="21"/>
              </w:rPr>
              <w:t>被保险人申请理赔时年龄必须在三周岁以上，并且提供理赔当时的语言能力丧失诊断及检查证据。</w:t>
            </w:r>
          </w:p>
        </w:tc>
      </w:tr>
      <w:tr>
        <w:trPr>
          <w:trHeight w:val="2149" w:hRule="atLeast"/>
        </w:trPr>
        <w:tc>
          <w:tcPr>
            <w:tcW w:w="1558" w:type="dxa"/>
          </w:tcPr>
          <w:p>
            <w:pPr>
              <w:pStyle w:val="TableParagraph"/>
              <w:spacing w:line="273" w:lineRule="auto" w:before="56"/>
              <w:ind w:left="200" w:right="194"/>
              <w:rPr>
                <w:b/>
                <w:sz w:val="21"/>
              </w:rPr>
            </w:pPr>
            <w:r>
              <w:rPr>
                <w:b/>
                <w:sz w:val="21"/>
              </w:rPr>
              <w:t>24.重型再生障碍性贫血</w:t>
            </w:r>
          </w:p>
        </w:tc>
        <w:tc>
          <w:tcPr>
            <w:tcW w:w="7746" w:type="dxa"/>
          </w:tcPr>
          <w:p>
            <w:pPr>
              <w:pStyle w:val="TableParagraph"/>
              <w:spacing w:line="273" w:lineRule="auto" w:before="56"/>
              <w:ind w:right="300"/>
              <w:rPr>
                <w:sz w:val="21"/>
              </w:rPr>
            </w:pPr>
            <w:r>
              <w:rPr>
                <w:sz w:val="21"/>
              </w:rPr>
              <w:t>指因骨髓造血功能慢性持续性衰竭导致的贫血、中性粒细胞减少及血小板减少。须满足下列全部条件：</w:t>
            </w:r>
          </w:p>
          <w:p>
            <w:pPr>
              <w:pStyle w:val="TableParagraph"/>
              <w:numPr>
                <w:ilvl w:val="0"/>
                <w:numId w:val="25"/>
              </w:numPr>
              <w:tabs>
                <w:tab w:pos="508" w:val="left" w:leader="none"/>
              </w:tabs>
              <w:spacing w:line="259" w:lineRule="exact" w:before="0" w:after="0"/>
              <w:ind w:left="507" w:right="0" w:hanging="421"/>
              <w:jc w:val="left"/>
              <w:rPr>
                <w:sz w:val="21"/>
              </w:rPr>
            </w:pPr>
            <w:r>
              <w:rPr>
                <w:spacing w:val="-3"/>
                <w:sz w:val="21"/>
              </w:rPr>
              <w:t>骨髓穿刺检查或骨髓活检结果支持诊断；</w:t>
            </w:r>
          </w:p>
          <w:p>
            <w:pPr>
              <w:pStyle w:val="TableParagraph"/>
              <w:numPr>
                <w:ilvl w:val="0"/>
                <w:numId w:val="25"/>
              </w:numPr>
              <w:tabs>
                <w:tab w:pos="508" w:val="left" w:leader="none"/>
              </w:tabs>
              <w:spacing w:line="271" w:lineRule="exact" w:before="0" w:after="0"/>
              <w:ind w:left="507" w:right="0" w:hanging="421"/>
              <w:jc w:val="left"/>
              <w:rPr>
                <w:sz w:val="21"/>
              </w:rPr>
            </w:pPr>
            <w:r>
              <w:rPr>
                <w:spacing w:val="-3"/>
                <w:sz w:val="21"/>
              </w:rPr>
              <w:t>外周血象须具备以下三项条件：</w:t>
            </w:r>
          </w:p>
          <w:p>
            <w:pPr>
              <w:pStyle w:val="TableParagraph"/>
              <w:spacing w:line="272" w:lineRule="exact" w:before="0"/>
              <w:ind w:left="507"/>
              <w:rPr>
                <w:sz w:val="21"/>
              </w:rPr>
            </w:pPr>
            <w:r>
              <w:rPr>
                <w:sz w:val="21"/>
              </w:rPr>
              <w:t>① 中性粒细胞绝对值≤0.5×10</w:t>
            </w:r>
            <w:r>
              <w:rPr>
                <w:position w:val="11"/>
                <w:sz w:val="11"/>
              </w:rPr>
              <w:t>9</w:t>
            </w:r>
            <w:r>
              <w:rPr>
                <w:sz w:val="21"/>
              </w:rPr>
              <w:t>/L；</w:t>
            </w:r>
          </w:p>
          <w:p>
            <w:pPr>
              <w:pStyle w:val="TableParagraph"/>
              <w:spacing w:line="272" w:lineRule="exact" w:before="0"/>
              <w:ind w:left="507"/>
              <w:rPr>
                <w:sz w:val="21"/>
              </w:rPr>
            </w:pPr>
            <w:r>
              <w:rPr>
                <w:sz w:val="21"/>
              </w:rPr>
              <w:t>② 网织红细胞＜1%；</w:t>
            </w:r>
          </w:p>
          <w:p>
            <w:pPr>
              <w:pStyle w:val="TableParagraph"/>
              <w:spacing w:line="273" w:lineRule="exact" w:before="0"/>
              <w:ind w:left="507"/>
              <w:rPr>
                <w:sz w:val="21"/>
              </w:rPr>
            </w:pPr>
            <w:r>
              <w:rPr>
                <w:sz w:val="21"/>
              </w:rPr>
              <w:t>③ 血小板绝对值≤20×10</w:t>
            </w:r>
            <w:r>
              <w:rPr>
                <w:position w:val="11"/>
                <w:sz w:val="11"/>
              </w:rPr>
              <w:t>9</w:t>
            </w:r>
            <w:r>
              <w:rPr>
                <w:sz w:val="21"/>
              </w:rPr>
              <w:t>/L。</w:t>
            </w:r>
          </w:p>
        </w:tc>
      </w:tr>
      <w:tr>
        <w:trPr>
          <w:trHeight w:val="1396" w:hRule="atLeast"/>
        </w:trPr>
        <w:tc>
          <w:tcPr>
            <w:tcW w:w="1558" w:type="dxa"/>
          </w:tcPr>
          <w:p>
            <w:pPr>
              <w:pStyle w:val="TableParagraph"/>
              <w:spacing w:line="273" w:lineRule="auto" w:before="48"/>
              <w:ind w:left="200" w:right="194"/>
              <w:rPr>
                <w:b/>
                <w:sz w:val="21"/>
              </w:rPr>
            </w:pPr>
            <w:r>
              <w:rPr>
                <w:b/>
                <w:sz w:val="21"/>
              </w:rPr>
              <w:t>25.主动脉手术</w:t>
            </w:r>
          </w:p>
        </w:tc>
        <w:tc>
          <w:tcPr>
            <w:tcW w:w="7746" w:type="dxa"/>
          </w:tcPr>
          <w:p>
            <w:pPr>
              <w:pStyle w:val="TableParagraph"/>
              <w:spacing w:line="273" w:lineRule="auto" w:before="48"/>
              <w:ind w:right="2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rFonts w:ascii="黑体" w:eastAsia="黑体" w:hint="eastAsia"/>
                <w:sz w:val="21"/>
              </w:rPr>
            </w:pPr>
            <w:r>
              <w:rPr>
                <w:rFonts w:ascii="黑体" w:eastAsia="黑体" w:hint="eastAsia"/>
                <w:sz w:val="21"/>
              </w:rPr>
              <w:t>动脉内血管成形术不在保障范围内。</w:t>
            </w:r>
          </w:p>
        </w:tc>
      </w:tr>
      <w:tr>
        <w:trPr>
          <w:trHeight w:val="2542" w:hRule="atLeast"/>
        </w:trPr>
        <w:tc>
          <w:tcPr>
            <w:tcW w:w="1558" w:type="dxa"/>
          </w:tcPr>
          <w:p>
            <w:pPr>
              <w:pStyle w:val="TableParagraph"/>
              <w:spacing w:line="273" w:lineRule="auto" w:before="56"/>
              <w:ind w:left="200" w:right="194"/>
              <w:rPr>
                <w:b/>
                <w:sz w:val="21"/>
              </w:rPr>
            </w:pPr>
            <w:r>
              <w:rPr>
                <w:b/>
                <w:sz w:val="21"/>
              </w:rPr>
              <w:t>26.多发性硬化症</w:t>
            </w:r>
          </w:p>
        </w:tc>
        <w:tc>
          <w:tcPr>
            <w:tcW w:w="7746" w:type="dxa"/>
          </w:tcPr>
          <w:p>
            <w:pPr>
              <w:pStyle w:val="TableParagraph"/>
              <w:spacing w:line="273" w:lineRule="auto" w:before="56"/>
              <w:ind w:right="256"/>
              <w:jc w:val="both"/>
              <w:rPr>
                <w:sz w:val="21"/>
              </w:rPr>
            </w:pPr>
            <w:r>
              <w:rPr>
                <w:spacing w:val="-3"/>
                <w:sz w:val="21"/>
              </w:rPr>
              <w:t>是指一种中枢神经系统脱髓鞘疾病，造成身体部位不可逆的功能障碍。临床表现为视力受损、截瘫、平衡失调、构音障碍、大小便机能失调等症状，须经本公司</w:t>
            </w:r>
            <w:r>
              <w:rPr>
                <w:spacing w:val="-8"/>
                <w:sz w:val="21"/>
              </w:rPr>
              <w:t>认可的神经专科医师确诊，并有 </w:t>
            </w:r>
            <w:r>
              <w:rPr>
                <w:sz w:val="21"/>
              </w:rPr>
              <w:t>CT</w:t>
            </w:r>
            <w:r>
              <w:rPr>
                <w:spacing w:val="-9"/>
                <w:sz w:val="21"/>
              </w:rPr>
              <w:t> 或核磁共振检查结果诊断报告。所谓身体部位</w:t>
            </w:r>
            <w:r>
              <w:rPr>
                <w:spacing w:val="-5"/>
                <w:sz w:val="21"/>
              </w:rPr>
              <w:t>不可逆的功能障碍指初次诊断为功能障碍后需持续一百八十日以上。其诊断必须</w:t>
            </w:r>
            <w:r>
              <w:rPr>
                <w:spacing w:val="-4"/>
                <w:sz w:val="21"/>
              </w:rPr>
              <w:t>包含以下全部内容：</w:t>
            </w:r>
          </w:p>
          <w:p>
            <w:pPr>
              <w:pStyle w:val="TableParagraph"/>
              <w:numPr>
                <w:ilvl w:val="0"/>
                <w:numId w:val="26"/>
              </w:numPr>
              <w:tabs>
                <w:tab w:pos="508" w:val="left" w:leader="none"/>
              </w:tabs>
              <w:spacing w:line="259" w:lineRule="exact" w:before="0" w:after="0"/>
              <w:ind w:left="507" w:right="0" w:hanging="421"/>
              <w:jc w:val="both"/>
              <w:rPr>
                <w:sz w:val="21"/>
              </w:rPr>
            </w:pPr>
            <w:r>
              <w:rPr>
                <w:spacing w:val="-3"/>
                <w:sz w:val="21"/>
              </w:rPr>
              <w:t>由于视神经、脑干和脊髓损伤而导致的临床表现；</w:t>
            </w:r>
          </w:p>
          <w:p>
            <w:pPr>
              <w:pStyle w:val="TableParagraph"/>
              <w:numPr>
                <w:ilvl w:val="0"/>
                <w:numId w:val="26"/>
              </w:numPr>
              <w:tabs>
                <w:tab w:pos="508" w:val="left" w:leader="none"/>
              </w:tabs>
              <w:spacing w:line="273" w:lineRule="exact" w:before="0" w:after="0"/>
              <w:ind w:left="507" w:right="0" w:hanging="421"/>
              <w:jc w:val="both"/>
              <w:rPr>
                <w:sz w:val="21"/>
              </w:rPr>
            </w:pPr>
            <w:r>
              <w:rPr>
                <w:spacing w:val="-3"/>
                <w:sz w:val="21"/>
              </w:rPr>
              <w:t>散在的身体损害的多样性；</w:t>
            </w:r>
          </w:p>
          <w:p>
            <w:pPr>
              <w:pStyle w:val="TableParagraph"/>
              <w:numPr>
                <w:ilvl w:val="0"/>
                <w:numId w:val="26"/>
              </w:numPr>
              <w:tabs>
                <w:tab w:pos="508" w:val="left" w:leader="none"/>
              </w:tabs>
              <w:spacing w:line="274" w:lineRule="exact" w:before="0" w:after="0"/>
              <w:ind w:left="507" w:right="0" w:hanging="421"/>
              <w:jc w:val="both"/>
              <w:rPr>
                <w:sz w:val="21"/>
              </w:rPr>
            </w:pPr>
            <w:r>
              <w:rPr>
                <w:spacing w:val="-3"/>
                <w:sz w:val="21"/>
              </w:rPr>
              <w:t>上述症状反复发作、恶化及神经损伤的病史记录。</w:t>
            </w:r>
          </w:p>
        </w:tc>
      </w:tr>
      <w:tr>
        <w:trPr>
          <w:trHeight w:val="953" w:hRule="atLeast"/>
        </w:trPr>
        <w:tc>
          <w:tcPr>
            <w:tcW w:w="1558" w:type="dxa"/>
          </w:tcPr>
          <w:p>
            <w:pPr>
              <w:pStyle w:val="TableParagraph"/>
              <w:spacing w:line="310" w:lineRule="atLeast" w:before="12"/>
              <w:ind w:left="200" w:right="85"/>
              <w:jc w:val="both"/>
              <w:rPr>
                <w:b/>
                <w:sz w:val="21"/>
              </w:rPr>
            </w:pPr>
            <w:r>
              <w:rPr>
                <w:b/>
                <w:sz w:val="21"/>
              </w:rPr>
              <w:t>27.经输血导致的人类免疫缺陷病毒 </w:t>
            </w:r>
          </w:p>
        </w:tc>
        <w:tc>
          <w:tcPr>
            <w:tcW w:w="7746" w:type="dxa"/>
          </w:tcPr>
          <w:p>
            <w:pPr>
              <w:pStyle w:val="TableParagraph"/>
              <w:spacing w:before="47"/>
              <w:rPr>
                <w:sz w:val="21"/>
              </w:rPr>
            </w:pPr>
            <w:r>
              <w:rPr>
                <w:sz w:val="21"/>
              </w:rPr>
              <w:t>指被保险人感染上人类免疫缺陷病毒（HIV）并且满足下列全部条件：</w:t>
            </w:r>
          </w:p>
          <w:p>
            <w:pPr>
              <w:pStyle w:val="TableParagraph"/>
              <w:spacing w:before="37"/>
              <w:rPr>
                <w:sz w:val="21"/>
              </w:rPr>
            </w:pPr>
            <w:r>
              <w:rPr>
                <w:sz w:val="21"/>
              </w:rPr>
              <w:t>（1）被保险人等待期后因输血而感染 HIV；</w:t>
            </w:r>
          </w:p>
          <w:p>
            <w:pPr>
              <w:pStyle w:val="TableParagraph"/>
              <w:spacing w:line="263" w:lineRule="exact" w:before="37"/>
              <w:rPr>
                <w:sz w:val="21"/>
              </w:rPr>
            </w:pPr>
            <w:r>
              <w:rPr>
                <w:sz w:val="21"/>
              </w:rPr>
              <w:t>（2）提供输血治疗的输血中心或医院出具该项输血感染属医疗责任事故的报告，</w:t>
            </w:r>
          </w:p>
        </w:tc>
      </w:tr>
    </w:tbl>
    <w:p>
      <w:pPr>
        <w:spacing w:after="0" w:line="263" w:lineRule="exact"/>
        <w:rPr>
          <w:sz w:val="21"/>
        </w:rPr>
        <w:sectPr>
          <w:pgSz w:w="11910" w:h="16840"/>
          <w:pgMar w:header="0" w:footer="377" w:top="1320" w:bottom="560" w:left="164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792"/>
      </w:tblGrid>
      <w:tr>
        <w:trPr>
          <w:trHeight w:val="1899" w:hRule="atLeast"/>
        </w:trPr>
        <w:tc>
          <w:tcPr>
            <w:tcW w:w="1558" w:type="dxa"/>
          </w:tcPr>
          <w:p>
            <w:pPr>
              <w:pStyle w:val="TableParagraph"/>
              <w:spacing w:line="205" w:lineRule="exact" w:before="0"/>
              <w:ind w:left="200"/>
              <w:rPr>
                <w:b/>
                <w:sz w:val="21"/>
              </w:rPr>
            </w:pPr>
            <w:r>
              <w:rPr>
                <w:b/>
                <w:sz w:val="21"/>
              </w:rPr>
              <w:t>感染</w:t>
            </w:r>
          </w:p>
        </w:tc>
        <w:tc>
          <w:tcPr>
            <w:tcW w:w="7792" w:type="dxa"/>
          </w:tcPr>
          <w:p>
            <w:pPr>
              <w:pStyle w:val="TableParagraph"/>
              <w:spacing w:line="205" w:lineRule="exact" w:before="0"/>
              <w:rPr>
                <w:sz w:val="21"/>
              </w:rPr>
            </w:pPr>
            <w:r>
              <w:rPr>
                <w:sz w:val="21"/>
              </w:rPr>
              <w:t>或者法院终审裁定为医疗责任并且不准上诉；</w:t>
            </w:r>
          </w:p>
          <w:p>
            <w:pPr>
              <w:pStyle w:val="TableParagraph"/>
              <w:spacing w:before="37"/>
              <w:rPr>
                <w:sz w:val="21"/>
              </w:rPr>
            </w:pPr>
            <w:r>
              <w:rPr>
                <w:sz w:val="21"/>
              </w:rPr>
              <w:t>（3）受感染的被保险人不是血友病患者。</w:t>
            </w:r>
          </w:p>
          <w:p>
            <w:pPr>
              <w:pStyle w:val="TableParagraph"/>
              <w:spacing w:line="273" w:lineRule="auto" w:before="37"/>
              <w:ind w:right="302"/>
              <w:rPr>
                <w:rFonts w:ascii="黑体" w:eastAsia="黑体" w:hint="eastAsia"/>
                <w:sz w:val="21"/>
              </w:rPr>
            </w:pPr>
            <w:r>
              <w:rPr>
                <w:spacing w:val="-12"/>
                <w:sz w:val="21"/>
              </w:rPr>
              <w:t>在任何治愈艾滋病</w:t>
            </w:r>
            <w:r>
              <w:rPr>
                <w:spacing w:val="-14"/>
                <w:sz w:val="21"/>
              </w:rPr>
              <w:t>（AIDS）</w:t>
            </w:r>
            <w:r>
              <w:rPr>
                <w:spacing w:val="-12"/>
                <w:sz w:val="21"/>
              </w:rPr>
              <w:t>或阻止 </w:t>
            </w:r>
            <w:r>
              <w:rPr>
                <w:sz w:val="21"/>
              </w:rPr>
              <w:t>HIV</w:t>
            </w:r>
            <w:r>
              <w:rPr>
                <w:spacing w:val="-15"/>
                <w:sz w:val="21"/>
              </w:rPr>
              <w:t> 病毒作用的疗法被发现以后，或能防止 </w:t>
            </w:r>
            <w:r>
              <w:rPr>
                <w:sz w:val="21"/>
              </w:rPr>
              <w:t>AIDS 发生的医疗方法被研究出来以后，本保障将不再予以赔付。</w:t>
            </w:r>
            <w:r>
              <w:rPr>
                <w:rFonts w:ascii="黑体" w:eastAsia="黑体" w:hint="eastAsia"/>
                <w:sz w:val="21"/>
              </w:rPr>
              <w:t>任何因其他传播方式</w:t>
            </w:r>
          </w:p>
          <w:p>
            <w:pPr>
              <w:pStyle w:val="TableParagraph"/>
              <w:spacing w:line="273" w:lineRule="auto" w:before="7"/>
              <w:ind w:right="236"/>
              <w:rPr>
                <w:sz w:val="21"/>
              </w:rPr>
            </w:pPr>
            <w:r>
              <w:rPr>
                <w:rFonts w:ascii="黑体" w:eastAsia="黑体" w:hint="eastAsia"/>
                <w:sz w:val="21"/>
              </w:rPr>
              <w:t>（包括：性传播或静脉注射毒品）导致的 HIV 感染不在保障范围内。</w:t>
            </w:r>
            <w:r>
              <w:rPr>
                <w:sz w:val="21"/>
              </w:rPr>
              <w:t>本公司保留获得使用被保险人的所有血液样本的权利，并对这些样本进行独立检验。</w:t>
            </w:r>
          </w:p>
        </w:tc>
      </w:tr>
      <w:tr>
        <w:trPr>
          <w:trHeight w:val="1716" w:hRule="atLeast"/>
        </w:trPr>
        <w:tc>
          <w:tcPr>
            <w:tcW w:w="1558" w:type="dxa"/>
          </w:tcPr>
          <w:p>
            <w:pPr>
              <w:pStyle w:val="TableParagraph"/>
              <w:spacing w:line="273" w:lineRule="auto"/>
              <w:ind w:left="200" w:right="110"/>
              <w:rPr>
                <w:b/>
                <w:sz w:val="21"/>
              </w:rPr>
            </w:pPr>
            <w:r>
              <w:rPr>
                <w:b/>
                <w:sz w:val="21"/>
              </w:rPr>
              <w:t>28.严重植物人状态</w:t>
            </w:r>
          </w:p>
        </w:tc>
        <w:tc>
          <w:tcPr>
            <w:tcW w:w="7792" w:type="dxa"/>
          </w:tcPr>
          <w:p>
            <w:pPr>
              <w:pStyle w:val="TableParagraph"/>
              <w:spacing w:line="273" w:lineRule="auto"/>
              <w:ind w:right="197"/>
              <w:rPr>
                <w:sz w:val="21"/>
              </w:rPr>
            </w:pPr>
            <w:r>
              <w:rPr>
                <w:sz w:val="21"/>
              </w:rPr>
              <w:t>一种丧失生理、意识和交流功能后的临床依赖状态。可以是由脑外伤、缺氧持续</w:t>
            </w:r>
            <w:r>
              <w:rPr>
                <w:spacing w:val="-9"/>
                <w:sz w:val="21"/>
              </w:rPr>
              <w:t>状态、严重的脑炎或者某种神经毒素造成。患者无法从事主动或者有目的的活动， 而只能对疼痛刺激产生反应。被保险人需要在医院使用辅助机器维持生命。只有在因植物人状态住院六个月以后并且必须有神经科专科医生的医学诊断证明的情</w:t>
            </w:r>
            <w:r>
              <w:rPr>
                <w:spacing w:val="-5"/>
                <w:sz w:val="21"/>
              </w:rPr>
              <w:t>况下才能得到理赔。</w:t>
            </w:r>
          </w:p>
        </w:tc>
      </w:tr>
      <w:tr>
        <w:trPr>
          <w:trHeight w:val="3532" w:hRule="atLeast"/>
        </w:trPr>
        <w:tc>
          <w:tcPr>
            <w:tcW w:w="1558" w:type="dxa"/>
          </w:tcPr>
          <w:p>
            <w:pPr>
              <w:pStyle w:val="TableParagraph"/>
              <w:spacing w:line="273" w:lineRule="auto"/>
              <w:ind w:left="200" w:right="84"/>
              <w:rPr>
                <w:b/>
                <w:sz w:val="21"/>
              </w:rPr>
            </w:pPr>
            <w:r>
              <w:rPr>
                <w:b/>
                <w:sz w:val="21"/>
              </w:rPr>
              <w:t>29.系统性红斑狼疮 —— </w:t>
            </w:r>
          </w:p>
          <w:p>
            <w:pPr>
              <w:pStyle w:val="TableParagraph"/>
              <w:spacing w:line="273" w:lineRule="auto" w:before="7"/>
              <w:ind w:left="200" w:right="110"/>
              <w:rPr>
                <w:b/>
                <w:sz w:val="21"/>
              </w:rPr>
            </w:pPr>
            <w:r>
              <w:rPr>
                <w:b/>
                <w:sz w:val="21"/>
              </w:rPr>
              <w:t>III型或以上狼疮性肾炎</w:t>
            </w:r>
          </w:p>
        </w:tc>
        <w:tc>
          <w:tcPr>
            <w:tcW w:w="7792" w:type="dxa"/>
          </w:tcPr>
          <w:p>
            <w:pPr>
              <w:pStyle w:val="TableParagraph"/>
              <w:spacing w:line="237" w:lineRule="auto" w:before="102"/>
              <w:ind w:right="303"/>
              <w:jc w:val="both"/>
              <w:rPr>
                <w:sz w:val="21"/>
              </w:rPr>
            </w:pPr>
            <w:r>
              <w:rPr>
                <w:sz w:val="21"/>
              </w:rPr>
              <w:t>是由多种因素引起，累及多系统的自身免疫性疾病。多侵犯育龄女性。其特点是生成自身抗体对抗多种自身抗原。本附加合同所指的系统性红斑狼疮仅限于累及</w:t>
            </w:r>
            <w:r>
              <w:rPr>
                <w:spacing w:val="-17"/>
                <w:sz w:val="21"/>
              </w:rPr>
              <w:t>肾脏</w:t>
            </w:r>
            <w:r>
              <w:rPr>
                <w:spacing w:val="-3"/>
                <w:sz w:val="21"/>
              </w:rPr>
              <w:t>（</w:t>
            </w:r>
            <w:r>
              <w:rPr>
                <w:spacing w:val="-6"/>
                <w:sz w:val="21"/>
              </w:rPr>
              <w:t>经肾脏病理检查或临床确诊，并符合下列世界卫生组织</w:t>
            </w:r>
            <w:r>
              <w:rPr>
                <w:sz w:val="21"/>
              </w:rPr>
              <w:t>(WHO</w:t>
            </w:r>
            <w:r>
              <w:rPr>
                <w:spacing w:val="-3"/>
                <w:sz w:val="21"/>
              </w:rPr>
              <w:t>)诊断标准定义</w:t>
            </w:r>
          </w:p>
          <w:p>
            <w:pPr>
              <w:pStyle w:val="TableParagraph"/>
              <w:spacing w:line="237" w:lineRule="auto" w:before="1"/>
              <w:ind w:right="304"/>
              <w:rPr>
                <w:sz w:val="21"/>
              </w:rPr>
            </w:pPr>
            <w:r>
              <w:rPr>
                <w:sz w:val="21"/>
              </w:rPr>
              <w:t>Ⅲ型至Ⅴ型狼疮性肾炎）的系统性红斑狼疮。其他类型的红斑性狼疮，如盘状狼疮，仅累及血液及关节等其他系统的系统性红斑狼疮不在保障范围。</w:t>
            </w:r>
          </w:p>
          <w:p>
            <w:pPr>
              <w:pStyle w:val="TableParagraph"/>
              <w:spacing w:before="61"/>
              <w:ind w:left="129"/>
              <w:jc w:val="both"/>
              <w:rPr>
                <w:sz w:val="21"/>
              </w:rPr>
            </w:pPr>
            <w:r>
              <w:rPr>
                <w:sz w:val="21"/>
              </w:rPr>
              <w:t>世界卫生组织(WHO)狼疮性肾炎分型：</w:t>
            </w:r>
          </w:p>
          <w:p>
            <w:pPr>
              <w:pStyle w:val="TableParagraph"/>
              <w:spacing w:before="59"/>
              <w:ind w:left="129"/>
              <w:jc w:val="both"/>
              <w:rPr>
                <w:sz w:val="21"/>
              </w:rPr>
            </w:pPr>
            <w:r>
              <w:rPr>
                <w:sz w:val="21"/>
              </w:rPr>
              <w:t>Ⅰ型(微小病变型)镜下阴性，尿液正常；</w:t>
            </w:r>
          </w:p>
          <w:p>
            <w:pPr>
              <w:pStyle w:val="TableParagraph"/>
              <w:spacing w:before="59"/>
              <w:ind w:left="129"/>
              <w:jc w:val="both"/>
              <w:rPr>
                <w:sz w:val="21"/>
              </w:rPr>
            </w:pPr>
            <w:r>
              <w:rPr>
                <w:sz w:val="21"/>
              </w:rPr>
              <w:t>Ⅱ型(系膜病变型)中度蛋白尿，偶有尿沉渣改变；</w:t>
            </w:r>
          </w:p>
          <w:p>
            <w:pPr>
              <w:pStyle w:val="TableParagraph"/>
              <w:spacing w:before="61"/>
              <w:ind w:left="129"/>
              <w:jc w:val="both"/>
              <w:rPr>
                <w:sz w:val="21"/>
              </w:rPr>
            </w:pPr>
            <w:r>
              <w:rPr>
                <w:sz w:val="21"/>
              </w:rPr>
              <w:t>Ⅲ型(局灶及节段增生型)蛋白尿，尿沉渣改变；</w:t>
            </w:r>
          </w:p>
          <w:p>
            <w:pPr>
              <w:pStyle w:val="TableParagraph"/>
              <w:spacing w:line="273" w:lineRule="exact" w:before="59"/>
              <w:ind w:left="129"/>
              <w:jc w:val="both"/>
              <w:rPr>
                <w:sz w:val="21"/>
              </w:rPr>
            </w:pPr>
            <w:r>
              <w:rPr>
                <w:sz w:val="21"/>
              </w:rPr>
              <w:t>Ⅳ型(弥漫增生型)急性肾炎伴有尿沉渣改变及/或肾病综合征；</w:t>
            </w:r>
          </w:p>
          <w:p>
            <w:pPr>
              <w:pStyle w:val="TableParagraph"/>
              <w:spacing w:line="273" w:lineRule="exact" w:before="0"/>
              <w:ind w:left="129"/>
              <w:jc w:val="both"/>
              <w:rPr>
                <w:sz w:val="21"/>
              </w:rPr>
            </w:pPr>
            <w:r>
              <w:rPr>
                <w:sz w:val="21"/>
              </w:rPr>
              <w:t>Ⅴ型(膜型)肾病综合征或重度蛋白尿。</w:t>
            </w:r>
          </w:p>
        </w:tc>
      </w:tr>
      <w:tr>
        <w:trPr>
          <w:trHeight w:val="2019" w:hRule="atLeast"/>
        </w:trPr>
        <w:tc>
          <w:tcPr>
            <w:tcW w:w="1558" w:type="dxa"/>
          </w:tcPr>
          <w:p>
            <w:pPr>
              <w:pStyle w:val="TableParagraph"/>
              <w:spacing w:line="273" w:lineRule="auto" w:before="50"/>
              <w:ind w:left="200" w:right="194"/>
              <w:rPr>
                <w:b/>
                <w:sz w:val="21"/>
              </w:rPr>
            </w:pPr>
            <w:r>
              <w:rPr>
                <w:b/>
                <w:sz w:val="21"/>
              </w:rPr>
              <w:t>30.胰岛素依赖型糖尿病</w:t>
            </w:r>
          </w:p>
          <w:p>
            <w:pPr>
              <w:pStyle w:val="TableParagraph"/>
              <w:spacing w:line="273" w:lineRule="auto" w:before="7"/>
              <w:ind w:left="200" w:right="301"/>
              <w:rPr>
                <w:b/>
                <w:sz w:val="21"/>
              </w:rPr>
            </w:pPr>
            <w:r>
              <w:rPr>
                <w:b/>
                <w:sz w:val="21"/>
              </w:rPr>
              <w:t>（Ｉ型糖尿病）</w:t>
            </w:r>
          </w:p>
        </w:tc>
        <w:tc>
          <w:tcPr>
            <w:tcW w:w="7792" w:type="dxa"/>
          </w:tcPr>
          <w:p>
            <w:pPr>
              <w:pStyle w:val="TableParagraph"/>
              <w:spacing w:line="273" w:lineRule="auto" w:before="50"/>
              <w:ind w:right="346"/>
              <w:jc w:val="both"/>
              <w:rPr>
                <w:sz w:val="21"/>
              </w:rPr>
            </w:pPr>
            <w:r>
              <w:rPr>
                <w:sz w:val="21"/>
              </w:rPr>
              <w:t>胰岛素依赖型糖尿病是由于胰岛素分泌不足引起的慢性血糖升高，并需持续性地依赖外源性胰岛素维持一百八十天以上，须由本公司认可的有资格的内分泌医生确诊并在本附加合同保险责任有效期内，满足下述至少一个条件。</w:t>
            </w:r>
          </w:p>
          <w:p>
            <w:pPr>
              <w:pStyle w:val="TableParagraph"/>
              <w:numPr>
                <w:ilvl w:val="0"/>
                <w:numId w:val="27"/>
              </w:numPr>
              <w:tabs>
                <w:tab w:pos="508" w:val="left" w:leader="none"/>
              </w:tabs>
              <w:spacing w:line="240" w:lineRule="auto" w:before="7" w:after="0"/>
              <w:ind w:left="507" w:right="0" w:hanging="421"/>
              <w:jc w:val="both"/>
              <w:rPr>
                <w:sz w:val="21"/>
              </w:rPr>
            </w:pPr>
            <w:r>
              <w:rPr>
                <w:spacing w:val="-3"/>
                <w:sz w:val="21"/>
              </w:rPr>
              <w:t>本公司认可的内分泌医生确定已出现增殖性视网膜病变；</w:t>
            </w:r>
          </w:p>
          <w:p>
            <w:pPr>
              <w:pStyle w:val="TableParagraph"/>
              <w:numPr>
                <w:ilvl w:val="0"/>
                <w:numId w:val="27"/>
              </w:numPr>
              <w:tabs>
                <w:tab w:pos="508" w:val="left" w:leader="none"/>
              </w:tabs>
              <w:spacing w:line="240" w:lineRule="auto" w:before="36" w:after="0"/>
              <w:ind w:left="507" w:right="0" w:hanging="421"/>
              <w:jc w:val="both"/>
              <w:rPr>
                <w:sz w:val="21"/>
              </w:rPr>
            </w:pPr>
            <w:r>
              <w:rPr>
                <w:spacing w:val="-3"/>
                <w:sz w:val="21"/>
              </w:rPr>
              <w:t>须植入心脏起搏器治疗心脏病；</w:t>
            </w:r>
          </w:p>
          <w:p>
            <w:pPr>
              <w:pStyle w:val="TableParagraph"/>
              <w:numPr>
                <w:ilvl w:val="0"/>
                <w:numId w:val="27"/>
              </w:numPr>
              <w:tabs>
                <w:tab w:pos="508" w:val="left" w:leader="none"/>
              </w:tabs>
              <w:spacing w:line="240" w:lineRule="auto" w:before="36" w:after="0"/>
              <w:ind w:left="507" w:right="0" w:hanging="421"/>
              <w:jc w:val="both"/>
              <w:rPr>
                <w:sz w:val="21"/>
              </w:rPr>
            </w:pPr>
            <w:r>
              <w:rPr>
                <w:spacing w:val="-3"/>
                <w:sz w:val="21"/>
              </w:rPr>
              <w:t>因坏疽需切除一只或以上脚趾。</w:t>
            </w:r>
          </w:p>
        </w:tc>
      </w:tr>
      <w:tr>
        <w:trPr>
          <w:trHeight w:val="2652" w:hRule="atLeast"/>
        </w:trPr>
        <w:tc>
          <w:tcPr>
            <w:tcW w:w="1558" w:type="dxa"/>
          </w:tcPr>
          <w:p>
            <w:pPr>
              <w:pStyle w:val="TableParagraph"/>
              <w:spacing w:line="273" w:lineRule="auto"/>
              <w:ind w:left="200" w:right="194"/>
              <w:rPr>
                <w:b/>
                <w:sz w:val="21"/>
              </w:rPr>
            </w:pPr>
            <w:r>
              <w:rPr>
                <w:b/>
                <w:sz w:val="21"/>
              </w:rPr>
              <w:t>31.严重的原发性心肌病</w:t>
            </w:r>
          </w:p>
        </w:tc>
        <w:tc>
          <w:tcPr>
            <w:tcW w:w="7792" w:type="dxa"/>
          </w:tcPr>
          <w:p>
            <w:pPr>
              <w:pStyle w:val="TableParagraph"/>
              <w:spacing w:line="273" w:lineRule="auto"/>
              <w:ind w:right="303"/>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w:t>
            </w:r>
            <w:r>
              <w:rPr>
                <w:spacing w:val="-8"/>
                <w:sz w:val="21"/>
              </w:rPr>
              <w:t>的心功能衰竭</w:t>
            </w:r>
            <w:r>
              <w:rPr>
                <w:spacing w:val="-3"/>
                <w:sz w:val="21"/>
              </w:rPr>
              <w:t>（美国纽约心脏协会心功能分类标准心功能达四级</w:t>
            </w:r>
            <w:r>
              <w:rPr>
                <w:spacing w:val="-70"/>
                <w:sz w:val="21"/>
              </w:rPr>
              <w:t>）</w:t>
            </w:r>
            <w:r>
              <w:rPr>
                <w:spacing w:val="-12"/>
                <w:sz w:val="21"/>
              </w:rPr>
              <w:t>，且有相关住院</w:t>
            </w:r>
            <w:r>
              <w:rPr>
                <w:spacing w:val="-8"/>
                <w:sz w:val="21"/>
              </w:rPr>
              <w:t>医疗记录显示四级心功能衰竭状态持续至少 </w:t>
            </w:r>
            <w:r>
              <w:rPr>
                <w:sz w:val="21"/>
              </w:rPr>
              <w:t>180</w:t>
            </w:r>
            <w:r>
              <w:rPr>
                <w:spacing w:val="-17"/>
                <w:sz w:val="21"/>
              </w:rPr>
              <w:t> 天。</w:t>
            </w:r>
          </w:p>
          <w:p>
            <w:pPr>
              <w:pStyle w:val="TableParagraph"/>
              <w:spacing w:line="273" w:lineRule="auto" w:before="7"/>
              <w:ind w:right="345"/>
              <w:jc w:val="both"/>
              <w:rPr>
                <w:rFonts w:ascii="黑体" w:eastAsia="黑体" w:hint="eastAsia"/>
                <w:sz w:val="21"/>
              </w:rPr>
            </w:pPr>
            <w:r>
              <w:rPr>
                <w:sz w:val="21"/>
              </w:rPr>
              <w:t>本病须经专科医师明确诊断。</w:t>
            </w:r>
            <w:r>
              <w:rPr>
                <w:rFonts w:ascii="黑体" w:eastAsia="黑体" w:hint="eastAsia"/>
                <w:sz w:val="21"/>
              </w:rPr>
              <w:t>继发于全身性疾病或其它器官系统疾病造成的心肌病变除外。</w:t>
            </w:r>
          </w:p>
          <w:p>
            <w:pPr>
              <w:pStyle w:val="TableParagraph"/>
              <w:spacing w:line="273" w:lineRule="auto" w:before="7"/>
              <w:ind w:right="34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523" w:hRule="atLeast"/>
        </w:trPr>
        <w:tc>
          <w:tcPr>
            <w:tcW w:w="1558" w:type="dxa"/>
          </w:tcPr>
          <w:p>
            <w:pPr>
              <w:pStyle w:val="TableParagraph"/>
              <w:spacing w:line="273" w:lineRule="auto"/>
              <w:ind w:left="200" w:right="194"/>
              <w:rPr>
                <w:b/>
                <w:sz w:val="21"/>
              </w:rPr>
            </w:pPr>
            <w:r>
              <w:rPr>
                <w:b/>
                <w:sz w:val="21"/>
              </w:rPr>
              <w:t>32.重症肌无力</w:t>
            </w:r>
          </w:p>
        </w:tc>
        <w:tc>
          <w:tcPr>
            <w:tcW w:w="7792" w:type="dxa"/>
          </w:tcPr>
          <w:p>
            <w:pPr>
              <w:pStyle w:val="TableParagraph"/>
              <w:spacing w:line="273" w:lineRule="auto"/>
              <w:ind w:right="345"/>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numPr>
                <w:ilvl w:val="0"/>
                <w:numId w:val="28"/>
              </w:numPr>
              <w:tabs>
                <w:tab w:pos="508" w:val="left" w:leader="none"/>
              </w:tabs>
              <w:spacing w:line="240" w:lineRule="auto" w:before="7" w:after="0"/>
              <w:ind w:left="507" w:right="0" w:hanging="421"/>
              <w:jc w:val="left"/>
              <w:rPr>
                <w:sz w:val="21"/>
              </w:rPr>
            </w:pPr>
            <w:r>
              <w:rPr>
                <w:spacing w:val="-3"/>
                <w:sz w:val="21"/>
              </w:rPr>
              <w:t>经药物、胸腺手术治疗一年以上无法控制病情，丧失正常工作能力；</w:t>
            </w:r>
          </w:p>
          <w:p>
            <w:pPr>
              <w:pStyle w:val="TableParagraph"/>
              <w:numPr>
                <w:ilvl w:val="0"/>
                <w:numId w:val="28"/>
              </w:numPr>
              <w:tabs>
                <w:tab w:pos="508" w:val="left" w:leader="none"/>
              </w:tabs>
              <w:spacing w:line="273" w:lineRule="auto" w:before="36" w:after="0"/>
              <w:ind w:left="507" w:right="306" w:hanging="421"/>
              <w:jc w:val="left"/>
              <w:rPr>
                <w:sz w:val="21"/>
              </w:rPr>
            </w:pPr>
            <w:r>
              <w:rPr>
                <w:sz w:val="21"/>
              </w:rPr>
              <w:t>出现眼险下垂，或延髓肌受累引起的构音困难、进食呛咳，或由于肌无力累</w:t>
            </w:r>
            <w:r>
              <w:rPr>
                <w:spacing w:val="-3"/>
                <w:sz w:val="21"/>
              </w:rPr>
              <w:t>及延髓肌、呼吸肌而致机体呼吸功能不正常的危急状态即肌无力危象；</w:t>
            </w:r>
          </w:p>
          <w:p>
            <w:pPr>
              <w:pStyle w:val="TableParagraph"/>
              <w:numPr>
                <w:ilvl w:val="0"/>
                <w:numId w:val="28"/>
              </w:numPr>
              <w:tabs>
                <w:tab w:pos="508" w:val="left" w:leader="none"/>
              </w:tabs>
              <w:spacing w:line="261" w:lineRule="exact" w:before="7" w:after="0"/>
              <w:ind w:left="507" w:right="0" w:hanging="421"/>
              <w:jc w:val="both"/>
              <w:rPr>
                <w:sz w:val="21"/>
              </w:rPr>
            </w:pPr>
            <w:r>
              <w:rPr>
                <w:sz w:val="21"/>
              </w:rPr>
              <w:t>症状缓解、复发及恶化交替出现，临床接受新斯的明等抗胆碱酯酶药物治疗</w:t>
            </w:r>
          </w:p>
        </w:tc>
      </w:tr>
    </w:tbl>
    <w:p>
      <w:pPr>
        <w:spacing w:after="0" w:line="261" w:lineRule="exact"/>
        <w:jc w:val="both"/>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687"/>
      </w:tblGrid>
      <w:tr>
        <w:trPr>
          <w:trHeight w:val="339" w:hRule="atLeast"/>
        </w:trPr>
        <w:tc>
          <w:tcPr>
            <w:tcW w:w="1558" w:type="dxa"/>
          </w:tcPr>
          <w:p>
            <w:pPr>
              <w:pStyle w:val="TableParagraph"/>
              <w:spacing w:before="0"/>
              <w:ind w:left="0"/>
              <w:rPr>
                <w:rFonts w:ascii="Times New Roman"/>
                <w:sz w:val="20"/>
              </w:rPr>
            </w:pPr>
          </w:p>
        </w:tc>
        <w:tc>
          <w:tcPr>
            <w:tcW w:w="7687" w:type="dxa"/>
          </w:tcPr>
          <w:p>
            <w:pPr>
              <w:pStyle w:val="TableParagraph"/>
              <w:spacing w:line="205" w:lineRule="exact" w:before="0"/>
              <w:ind w:left="507"/>
              <w:rPr>
                <w:sz w:val="21"/>
              </w:rPr>
            </w:pPr>
            <w:r>
              <w:rPr>
                <w:sz w:val="21"/>
              </w:rPr>
              <w:t>的病史。</w:t>
            </w:r>
          </w:p>
        </w:tc>
      </w:tr>
      <w:tr>
        <w:trPr>
          <w:trHeight w:val="1092" w:hRule="atLeast"/>
        </w:trPr>
        <w:tc>
          <w:tcPr>
            <w:tcW w:w="1558" w:type="dxa"/>
          </w:tcPr>
          <w:p>
            <w:pPr>
              <w:pStyle w:val="TableParagraph"/>
              <w:spacing w:line="273" w:lineRule="auto"/>
              <w:ind w:left="200" w:right="110"/>
              <w:rPr>
                <w:b/>
                <w:sz w:val="21"/>
              </w:rPr>
            </w:pPr>
            <w:r>
              <w:rPr>
                <w:b/>
                <w:sz w:val="21"/>
              </w:rPr>
              <w:t>33.重症急性胰腺炎</w:t>
            </w:r>
          </w:p>
        </w:tc>
        <w:tc>
          <w:tcPr>
            <w:tcW w:w="7687" w:type="dxa"/>
          </w:tcPr>
          <w:p>
            <w:pPr>
              <w:pStyle w:val="TableParagraph"/>
              <w:spacing w:line="273" w:lineRule="auto"/>
              <w:ind w:right="198"/>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783" w:hRule="atLeast"/>
        </w:trPr>
        <w:tc>
          <w:tcPr>
            <w:tcW w:w="1558" w:type="dxa"/>
          </w:tcPr>
          <w:p>
            <w:pPr>
              <w:pStyle w:val="TableParagraph"/>
              <w:spacing w:line="273" w:lineRule="auto"/>
              <w:ind w:left="200" w:right="110"/>
              <w:rPr>
                <w:b/>
                <w:sz w:val="21"/>
              </w:rPr>
            </w:pPr>
            <w:r>
              <w:rPr>
                <w:b/>
                <w:sz w:val="21"/>
              </w:rPr>
              <w:t>34.坏死性筋膜炎</w:t>
            </w:r>
          </w:p>
        </w:tc>
        <w:tc>
          <w:tcPr>
            <w:tcW w:w="7687" w:type="dxa"/>
          </w:tcPr>
          <w:p>
            <w:pPr>
              <w:pStyle w:val="TableParagraph"/>
              <w:spacing w:before="99"/>
              <w:rPr>
                <w:sz w:val="21"/>
              </w:rPr>
            </w:pPr>
            <w:r>
              <w:rPr>
                <w:sz w:val="21"/>
              </w:rPr>
              <w:t>坏死性筋膜炎的诊断须同时符合下列要求：</w:t>
            </w:r>
          </w:p>
          <w:p>
            <w:pPr>
              <w:pStyle w:val="TableParagraph"/>
              <w:rPr>
                <w:sz w:val="21"/>
              </w:rPr>
            </w:pPr>
            <w:r>
              <w:rPr>
                <w:sz w:val="21"/>
              </w:rPr>
              <w:t>（1）符合坏死性筋膜炎的一般临床表现；</w:t>
            </w:r>
          </w:p>
          <w:p>
            <w:pPr>
              <w:pStyle w:val="TableParagraph"/>
              <w:ind w:left="89"/>
              <w:rPr>
                <w:sz w:val="21"/>
              </w:rPr>
            </w:pPr>
            <w:r>
              <w:rPr>
                <w:sz w:val="21"/>
              </w:rPr>
              <w:t>（2）细菌培养检出致病菌；</w:t>
            </w:r>
          </w:p>
          <w:p>
            <w:pPr>
              <w:pStyle w:val="TableParagraph"/>
              <w:spacing w:line="273" w:lineRule="auto" w:before="20"/>
              <w:ind w:left="555" w:right="198" w:hanging="469"/>
              <w:rPr>
                <w:rFonts w:ascii="黑体" w:eastAsia="黑体" w:hint="eastAsia"/>
                <w:sz w:val="21"/>
              </w:rPr>
            </w:pPr>
            <w:r>
              <w:rPr>
                <w:spacing w:val="-11"/>
                <w:sz w:val="21"/>
              </w:rPr>
              <w:t>（3）</w:t>
            </w:r>
            <w:r>
              <w:rPr>
                <w:spacing w:val="-6"/>
                <w:sz w:val="21"/>
              </w:rPr>
              <w:t>出现广泛性肌肉及组织坏死，并确实实施了坏死组织和筋膜以及肌肉的切除</w:t>
            </w:r>
            <w:r>
              <w:rPr>
                <w:spacing w:val="-5"/>
                <w:sz w:val="21"/>
              </w:rPr>
              <w:t>手术。</w:t>
            </w:r>
            <w:r>
              <w:rPr>
                <w:rFonts w:ascii="黑体" w:eastAsia="黑体" w:hint="eastAsia"/>
                <w:spacing w:val="-3"/>
                <w:sz w:val="21"/>
              </w:rPr>
              <w:t>清创术不属于保险责任范围。</w:t>
            </w:r>
          </w:p>
        </w:tc>
      </w:tr>
      <w:tr>
        <w:trPr>
          <w:trHeight w:val="1716" w:hRule="atLeast"/>
        </w:trPr>
        <w:tc>
          <w:tcPr>
            <w:tcW w:w="1558" w:type="dxa"/>
          </w:tcPr>
          <w:p>
            <w:pPr>
              <w:pStyle w:val="TableParagraph"/>
              <w:spacing w:line="273" w:lineRule="auto" w:before="59"/>
              <w:ind w:left="200" w:right="194"/>
              <w:rPr>
                <w:b/>
                <w:sz w:val="21"/>
              </w:rPr>
            </w:pPr>
            <w:r>
              <w:rPr>
                <w:b/>
                <w:sz w:val="21"/>
              </w:rPr>
              <w:t>35.终末期肺病</w:t>
            </w:r>
          </w:p>
        </w:tc>
        <w:tc>
          <w:tcPr>
            <w:tcW w:w="7687" w:type="dxa"/>
          </w:tcPr>
          <w:p>
            <w:pPr>
              <w:pStyle w:val="TableParagraph"/>
              <w:spacing w:line="273" w:lineRule="auto" w:before="59"/>
              <w:ind w:right="241"/>
              <w:rPr>
                <w:sz w:val="21"/>
              </w:rPr>
            </w:pPr>
            <w:r>
              <w:rPr>
                <w:sz w:val="21"/>
              </w:rPr>
              <w:t>由本公司认可的呼吸专科医生确诊被保险人患有终末期肺病而出现慢性呼吸功能衰竭，其诊断标准包括以下各项：</w:t>
            </w:r>
          </w:p>
          <w:p>
            <w:pPr>
              <w:pStyle w:val="TableParagraph"/>
              <w:numPr>
                <w:ilvl w:val="0"/>
                <w:numId w:val="29"/>
              </w:numPr>
              <w:tabs>
                <w:tab w:pos="508" w:val="left" w:leader="none"/>
              </w:tabs>
              <w:spacing w:line="240" w:lineRule="auto" w:before="7" w:after="0"/>
              <w:ind w:left="507" w:right="0" w:hanging="421"/>
              <w:jc w:val="left"/>
              <w:rPr>
                <w:sz w:val="21"/>
              </w:rPr>
            </w:pPr>
            <w:r>
              <w:rPr>
                <w:spacing w:val="-9"/>
                <w:sz w:val="21"/>
              </w:rPr>
              <w:t>肺功能测试其 </w:t>
            </w:r>
            <w:r>
              <w:rPr>
                <w:sz w:val="21"/>
              </w:rPr>
              <w:t>FEVl</w:t>
            </w:r>
            <w:r>
              <w:rPr>
                <w:spacing w:val="-19"/>
                <w:sz w:val="21"/>
              </w:rPr>
              <w:t> 持续低于 </w:t>
            </w:r>
            <w:r>
              <w:rPr>
                <w:sz w:val="21"/>
              </w:rPr>
              <w:t>0.75</w:t>
            </w:r>
            <w:r>
              <w:rPr>
                <w:spacing w:val="-19"/>
                <w:sz w:val="21"/>
              </w:rPr>
              <w:t> 升；</w:t>
            </w:r>
          </w:p>
          <w:p>
            <w:pPr>
              <w:pStyle w:val="TableParagraph"/>
              <w:numPr>
                <w:ilvl w:val="0"/>
                <w:numId w:val="29"/>
              </w:numPr>
              <w:tabs>
                <w:tab w:pos="508" w:val="left" w:leader="none"/>
              </w:tabs>
              <w:spacing w:line="240" w:lineRule="auto" w:before="36" w:after="0"/>
              <w:ind w:left="507" w:right="0" w:hanging="421"/>
              <w:jc w:val="left"/>
              <w:rPr>
                <w:sz w:val="21"/>
              </w:rPr>
            </w:pPr>
            <w:r>
              <w:rPr>
                <w:spacing w:val="-3"/>
                <w:sz w:val="21"/>
              </w:rPr>
              <w:t>病人缺氧必须广泛而持续地进行输氧治疗；</w:t>
            </w:r>
          </w:p>
          <w:p>
            <w:pPr>
              <w:pStyle w:val="TableParagraph"/>
              <w:numPr>
                <w:ilvl w:val="0"/>
                <w:numId w:val="29"/>
              </w:numPr>
              <w:tabs>
                <w:tab w:pos="508" w:val="left" w:leader="none"/>
              </w:tabs>
              <w:spacing w:line="240" w:lineRule="auto" w:before="36" w:after="0"/>
              <w:ind w:left="507" w:right="0" w:hanging="421"/>
              <w:jc w:val="left"/>
              <w:rPr>
                <w:sz w:val="21"/>
              </w:rPr>
            </w:pPr>
            <w:r>
              <w:rPr>
                <w:spacing w:val="-6"/>
                <w:sz w:val="21"/>
              </w:rPr>
              <w:t>动脉血气分析氧分压低于 </w:t>
            </w:r>
            <w:r>
              <w:rPr>
                <w:sz w:val="21"/>
              </w:rPr>
              <w:t>55mmHg。</w:t>
            </w:r>
          </w:p>
        </w:tc>
      </w:tr>
      <w:tr>
        <w:trPr>
          <w:trHeight w:val="2652" w:hRule="atLeast"/>
        </w:trPr>
        <w:tc>
          <w:tcPr>
            <w:tcW w:w="1558" w:type="dxa"/>
          </w:tcPr>
          <w:p>
            <w:pPr>
              <w:pStyle w:val="TableParagraph"/>
              <w:spacing w:line="273" w:lineRule="auto"/>
              <w:ind w:left="200" w:right="194"/>
              <w:rPr>
                <w:b/>
                <w:sz w:val="21"/>
              </w:rPr>
            </w:pPr>
            <w:r>
              <w:rPr>
                <w:b/>
                <w:sz w:val="21"/>
              </w:rPr>
              <w:t>36.严重的类风湿性关节炎</w:t>
            </w:r>
          </w:p>
        </w:tc>
        <w:tc>
          <w:tcPr>
            <w:tcW w:w="7687" w:type="dxa"/>
          </w:tcPr>
          <w:p>
            <w:pPr>
              <w:pStyle w:val="TableParagraph"/>
              <w:spacing w:line="273" w:lineRule="auto"/>
              <w:ind w:right="241"/>
              <w:rPr>
                <w:sz w:val="21"/>
              </w:rPr>
            </w:pPr>
            <w:r>
              <w:rPr>
                <w:spacing w:val="-3"/>
                <w:sz w:val="21"/>
              </w:rPr>
              <w:t>类风湿性关节炎是指以关节滑膜炎为主要病理改变的慢性全身性自身免疫性疾 病，诊断须符合国际认可的疾病诊断标准；严重的类风湿性关节炎是指符合下列三项标准的类风湿性关节炎：</w:t>
            </w:r>
          </w:p>
          <w:p>
            <w:pPr>
              <w:pStyle w:val="TableParagraph"/>
              <w:numPr>
                <w:ilvl w:val="0"/>
                <w:numId w:val="30"/>
              </w:numPr>
              <w:tabs>
                <w:tab w:pos="508" w:val="left" w:leader="none"/>
              </w:tabs>
              <w:spacing w:line="273" w:lineRule="auto" w:before="7" w:after="0"/>
              <w:ind w:left="507" w:right="201" w:hanging="421"/>
              <w:jc w:val="left"/>
              <w:rPr>
                <w:sz w:val="21"/>
              </w:rPr>
            </w:pPr>
            <w:r>
              <w:rPr>
                <w:sz w:val="21"/>
              </w:rPr>
              <w:t>至少包括下列关节中的三组或三组以上有广泛受损和畸形改变：手指关节、</w:t>
            </w:r>
            <w:r>
              <w:rPr>
                <w:spacing w:val="-3"/>
                <w:sz w:val="21"/>
              </w:rPr>
              <w:t>腕关节、肘关节、膝关节、髋关节、踝关节、脊椎或脚趾关节；</w:t>
            </w:r>
          </w:p>
          <w:p>
            <w:pPr>
              <w:pStyle w:val="TableParagraph"/>
              <w:numPr>
                <w:ilvl w:val="0"/>
                <w:numId w:val="30"/>
              </w:numPr>
              <w:tabs>
                <w:tab w:pos="508" w:val="left" w:leader="none"/>
              </w:tabs>
              <w:spacing w:line="273" w:lineRule="auto" w:before="8" w:after="0"/>
              <w:ind w:left="507" w:right="197" w:hanging="421"/>
              <w:jc w:val="left"/>
              <w:rPr>
                <w:sz w:val="21"/>
              </w:rPr>
            </w:pPr>
            <w:r>
              <w:rPr>
                <w:spacing w:val="-4"/>
                <w:sz w:val="21"/>
              </w:rPr>
              <w:t>手和腕的后前位 </w:t>
            </w:r>
            <w:r>
              <w:rPr>
                <w:sz w:val="21"/>
              </w:rPr>
              <w:t>X</w:t>
            </w:r>
            <w:r>
              <w:rPr>
                <w:spacing w:val="-5"/>
                <w:sz w:val="21"/>
              </w:rPr>
              <w:t> 线检查可见类风湿关节炎的典型变化，包括骨质侵蚀或钙</w:t>
            </w:r>
            <w:r>
              <w:rPr>
                <w:spacing w:val="-4"/>
                <w:sz w:val="21"/>
              </w:rPr>
              <w:t>流失，在受累关节及其临近部位尤其明显；</w:t>
            </w:r>
          </w:p>
          <w:p>
            <w:pPr>
              <w:pStyle w:val="TableParagraph"/>
              <w:numPr>
                <w:ilvl w:val="0"/>
                <w:numId w:val="30"/>
              </w:numPr>
              <w:tabs>
                <w:tab w:pos="508" w:val="left" w:leader="none"/>
              </w:tabs>
              <w:spacing w:line="240" w:lineRule="auto" w:before="7" w:after="0"/>
              <w:ind w:left="507" w:right="0" w:hanging="421"/>
              <w:jc w:val="left"/>
              <w:rPr>
                <w:sz w:val="21"/>
              </w:rPr>
            </w:pPr>
            <w:r>
              <w:rPr>
                <w:spacing w:val="-6"/>
                <w:sz w:val="21"/>
              </w:rPr>
              <w:t>关节的畸形改变伴功能障碍至少持续 </w:t>
            </w:r>
            <w:r>
              <w:rPr>
                <w:sz w:val="21"/>
              </w:rPr>
              <w:t>6</w:t>
            </w:r>
            <w:r>
              <w:rPr>
                <w:spacing w:val="-12"/>
                <w:sz w:val="21"/>
              </w:rPr>
              <w:t> 个月。</w:t>
            </w:r>
          </w:p>
        </w:tc>
      </w:tr>
      <w:tr>
        <w:trPr>
          <w:trHeight w:val="1891" w:hRule="atLeast"/>
        </w:trPr>
        <w:tc>
          <w:tcPr>
            <w:tcW w:w="1558" w:type="dxa"/>
          </w:tcPr>
          <w:p>
            <w:pPr>
              <w:pStyle w:val="TableParagraph"/>
              <w:spacing w:line="273" w:lineRule="auto"/>
              <w:ind w:left="200" w:right="85"/>
              <w:jc w:val="both"/>
              <w:rPr>
                <w:b/>
                <w:sz w:val="21"/>
              </w:rPr>
            </w:pPr>
            <w:r>
              <w:rPr>
                <w:b/>
                <w:sz w:val="21"/>
              </w:rPr>
              <w:t>37.非阿尔茨海默病所致严重痴呆</w:t>
            </w:r>
          </w:p>
        </w:tc>
        <w:tc>
          <w:tcPr>
            <w:tcW w:w="7687" w:type="dxa"/>
          </w:tcPr>
          <w:p>
            <w:pPr>
              <w:pStyle w:val="TableParagraph"/>
              <w:spacing w:line="237" w:lineRule="auto" w:before="102"/>
              <w:ind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20"/>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3276" w:hRule="atLeast"/>
        </w:trPr>
        <w:tc>
          <w:tcPr>
            <w:tcW w:w="1558" w:type="dxa"/>
          </w:tcPr>
          <w:p>
            <w:pPr>
              <w:pStyle w:val="TableParagraph"/>
              <w:spacing w:line="273" w:lineRule="auto"/>
              <w:ind w:left="200" w:right="110"/>
              <w:rPr>
                <w:b/>
                <w:sz w:val="21"/>
              </w:rPr>
            </w:pPr>
            <w:r>
              <w:rPr>
                <w:b/>
                <w:sz w:val="21"/>
              </w:rPr>
              <w:t>38.系统性硬皮病</w:t>
            </w:r>
          </w:p>
        </w:tc>
        <w:tc>
          <w:tcPr>
            <w:tcW w:w="7687" w:type="dxa"/>
          </w:tcPr>
          <w:p>
            <w:pPr>
              <w:pStyle w:val="TableParagraph"/>
              <w:spacing w:line="273" w:lineRule="auto"/>
              <w:ind w:right="197"/>
              <w:jc w:val="both"/>
              <w:rPr>
                <w:sz w:val="21"/>
              </w:rPr>
            </w:pPr>
            <w:r>
              <w:rPr>
                <w:spacing w:val="-6"/>
                <w:w w:val="100"/>
                <w:sz w:val="21"/>
              </w:rPr>
              <w:t>系统性硬皮病</w:t>
            </w:r>
            <w:r>
              <w:rPr>
                <w:w w:val="100"/>
                <w:sz w:val="21"/>
              </w:rPr>
              <w:t>（</w:t>
            </w:r>
            <w:r>
              <w:rPr>
                <w:spacing w:val="-3"/>
                <w:w w:val="100"/>
                <w:sz w:val="21"/>
              </w:rPr>
              <w:t>须累及内脏器官</w:t>
            </w:r>
            <w:r>
              <w:rPr>
                <w:spacing w:val="-108"/>
                <w:w w:val="100"/>
                <w:sz w:val="21"/>
              </w:rPr>
              <w:t>）</w:t>
            </w:r>
            <w:r>
              <w:rPr>
                <w:spacing w:val="-7"/>
                <w:w w:val="100"/>
                <w:sz w:val="21"/>
              </w:rPr>
              <w:t>，指一种以局限性或弥漫性皮肤增厚和皮肤、血</w:t>
            </w:r>
            <w:r>
              <w:rPr>
                <w:spacing w:val="-7"/>
                <w:sz w:val="21"/>
              </w:rPr>
              <w:t>管、内脏器官异常纤维化为特征的结缔组织病。本病须经专科医师明确诊断，并</w:t>
            </w:r>
            <w:r>
              <w:rPr>
                <w:spacing w:val="-5"/>
                <w:sz w:val="21"/>
              </w:rPr>
              <w:t>须满足下列至少一项条件：</w:t>
            </w:r>
          </w:p>
          <w:p>
            <w:pPr>
              <w:pStyle w:val="TableParagraph"/>
              <w:spacing w:before="7"/>
              <w:rPr>
                <w:sz w:val="21"/>
              </w:rPr>
            </w:pPr>
            <w:r>
              <w:rPr>
                <w:sz w:val="21"/>
              </w:rPr>
              <w:t>1.肺脏：肺部病变进而发展为肺间质纤维化和肺动脉高压；</w:t>
            </w:r>
          </w:p>
          <w:p>
            <w:pPr>
              <w:pStyle w:val="TableParagraph"/>
              <w:spacing w:before="37"/>
              <w:rPr>
                <w:sz w:val="21"/>
              </w:rPr>
            </w:pPr>
            <w:r>
              <w:rPr>
                <w:sz w:val="21"/>
              </w:rPr>
              <w:t>2.心脏：心功能受损达到美国纽约心脏病学会心功能状态分级 IV 级；</w:t>
            </w:r>
          </w:p>
          <w:p>
            <w:pPr>
              <w:pStyle w:val="TableParagraph"/>
              <w:spacing w:line="273" w:lineRule="auto" w:before="37"/>
              <w:ind w:right="1501"/>
              <w:rPr>
                <w:sz w:val="21"/>
              </w:rPr>
            </w:pPr>
            <w:r>
              <w:rPr>
                <w:sz w:val="21"/>
              </w:rPr>
              <w:t>3.肾脏：肾脏受损导致双肾功能慢性不可逆衰竭，达到尿毒症期。下列疾病不在本险种保障范围内：</w:t>
            </w:r>
          </w:p>
          <w:p>
            <w:pPr>
              <w:pStyle w:val="TableParagraph"/>
              <w:spacing w:before="7"/>
              <w:jc w:val="both"/>
              <w:rPr>
                <w:sz w:val="21"/>
              </w:rPr>
            </w:pPr>
            <w:r>
              <w:rPr>
                <w:spacing w:val="-3"/>
                <w:w w:val="100"/>
                <w:sz w:val="21"/>
              </w:rPr>
              <w:t>①局部性硬皮病</w:t>
            </w:r>
            <w:r>
              <w:rPr>
                <w:w w:val="100"/>
                <w:sz w:val="21"/>
              </w:rPr>
              <w:t>（</w:t>
            </w:r>
            <w:r>
              <w:rPr>
                <w:spacing w:val="-3"/>
                <w:w w:val="100"/>
                <w:sz w:val="21"/>
              </w:rPr>
              <w:t>如：带状硬皮病、硬斑病</w:t>
            </w:r>
            <w:r>
              <w:rPr>
                <w:spacing w:val="-108"/>
                <w:w w:val="100"/>
                <w:sz w:val="21"/>
              </w:rPr>
              <w:t>）</w:t>
            </w:r>
            <w:r>
              <w:rPr>
                <w:w w:val="100"/>
                <w:sz w:val="21"/>
              </w:rPr>
              <w:t>；</w:t>
            </w:r>
          </w:p>
          <w:p>
            <w:pPr>
              <w:pStyle w:val="TableParagraph"/>
              <w:spacing w:before="36"/>
              <w:jc w:val="both"/>
              <w:rPr>
                <w:sz w:val="21"/>
              </w:rPr>
            </w:pPr>
            <w:r>
              <w:rPr>
                <w:sz w:val="21"/>
              </w:rPr>
              <w:t>②嗜酸性粒细胞性筋膜炎；</w:t>
            </w:r>
          </w:p>
          <w:p>
            <w:pPr>
              <w:pStyle w:val="TableParagraph"/>
              <w:spacing w:before="36"/>
              <w:jc w:val="both"/>
              <w:rPr>
                <w:sz w:val="21"/>
              </w:rPr>
            </w:pPr>
            <w:r>
              <w:rPr>
                <w:sz w:val="21"/>
              </w:rPr>
              <w:t>③CREST 综合征。</w:t>
            </w:r>
          </w:p>
        </w:tc>
      </w:tr>
      <w:tr>
        <w:trPr>
          <w:trHeight w:val="1404" w:hRule="atLeast"/>
        </w:trPr>
        <w:tc>
          <w:tcPr>
            <w:tcW w:w="1558" w:type="dxa"/>
          </w:tcPr>
          <w:p>
            <w:pPr>
              <w:pStyle w:val="TableParagraph"/>
              <w:spacing w:line="273" w:lineRule="auto"/>
              <w:ind w:left="200" w:right="194"/>
              <w:rPr>
                <w:b/>
                <w:sz w:val="21"/>
              </w:rPr>
            </w:pPr>
            <w:r>
              <w:rPr>
                <w:b/>
                <w:sz w:val="21"/>
              </w:rPr>
              <w:t>39.脊髓灰质炎</w:t>
            </w:r>
          </w:p>
        </w:tc>
        <w:tc>
          <w:tcPr>
            <w:tcW w:w="7687" w:type="dxa"/>
          </w:tcPr>
          <w:p>
            <w:pPr>
              <w:pStyle w:val="TableParagraph"/>
              <w:spacing w:line="273" w:lineRule="auto"/>
              <w:ind w:right="240"/>
              <w:jc w:val="both"/>
              <w:rPr>
                <w:rFonts w:ascii="黑体" w:eastAsia="黑体" w:hint="eastAsia"/>
                <w:sz w:val="21"/>
              </w:rPr>
            </w:pPr>
            <w:r>
              <w:rPr>
                <w:sz w:val="21"/>
              </w:rPr>
              <w:t>经由本公司认可的神经专科医生确认是由于脊髓灰质炎病毒感染所导致的运动功能障碍或呼吸功能减弱麻痹性瘫痪的疾病。</w:t>
            </w:r>
            <w:r>
              <w:rPr>
                <w:rFonts w:ascii="黑体" w:eastAsia="黑体" w:hint="eastAsia"/>
                <w:sz w:val="21"/>
              </w:rPr>
              <w:t>若无因此感染而导致麻痹性瘫痪的事实结果，以及其它病因所致的麻痹，例如格林巴利综合征则不属于本附加合同所说的脊髓灰质炎。</w:t>
            </w:r>
          </w:p>
        </w:tc>
      </w:tr>
      <w:tr>
        <w:trPr>
          <w:trHeight w:val="339" w:hRule="atLeast"/>
        </w:trPr>
        <w:tc>
          <w:tcPr>
            <w:tcW w:w="1558" w:type="dxa"/>
          </w:tcPr>
          <w:p>
            <w:pPr>
              <w:pStyle w:val="TableParagraph"/>
              <w:spacing w:line="261" w:lineRule="exact"/>
              <w:ind w:left="200"/>
              <w:rPr>
                <w:b/>
                <w:sz w:val="21"/>
              </w:rPr>
            </w:pPr>
            <w:r>
              <w:rPr>
                <w:b/>
                <w:sz w:val="21"/>
              </w:rPr>
              <w:t>40.严重克隆</w:t>
            </w:r>
          </w:p>
        </w:tc>
        <w:tc>
          <w:tcPr>
            <w:tcW w:w="7687" w:type="dxa"/>
          </w:tcPr>
          <w:p>
            <w:pPr>
              <w:pStyle w:val="TableParagraph"/>
              <w:spacing w:line="261" w:lineRule="exact"/>
              <w:rPr>
                <w:sz w:val="21"/>
              </w:rPr>
            </w:pPr>
            <w:r>
              <w:rPr>
                <w:sz w:val="21"/>
              </w:rPr>
              <w:t>克隆病是一种慢性肉芽肿性肠炎，具有特征性的克隆病病理组织学变化。诊断必</w:t>
            </w:r>
          </w:p>
        </w:tc>
      </w:tr>
    </w:tbl>
    <w:p>
      <w:pPr>
        <w:spacing w:after="0" w:line="261" w:lineRule="exact"/>
        <w:rPr>
          <w:sz w:val="21"/>
        </w:rPr>
        <w:sectPr>
          <w:pgSz w:w="11910" w:h="16840"/>
          <w:pgMar w:header="0" w:footer="377" w:top="1340" w:bottom="560" w:left="164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687"/>
      </w:tblGrid>
      <w:tr>
        <w:trPr>
          <w:trHeight w:val="640" w:hRule="atLeast"/>
        </w:trPr>
        <w:tc>
          <w:tcPr>
            <w:tcW w:w="1558" w:type="dxa"/>
          </w:tcPr>
          <w:p>
            <w:pPr>
              <w:pStyle w:val="TableParagraph"/>
              <w:spacing w:line="205" w:lineRule="exact" w:before="0"/>
              <w:ind w:left="200"/>
              <w:rPr>
                <w:b/>
                <w:sz w:val="21"/>
              </w:rPr>
            </w:pPr>
            <w:r>
              <w:rPr>
                <w:b/>
                <w:w w:val="100"/>
                <w:sz w:val="21"/>
              </w:rPr>
              <w:t>症</w:t>
            </w:r>
          </w:p>
        </w:tc>
        <w:tc>
          <w:tcPr>
            <w:tcW w:w="7687" w:type="dxa"/>
          </w:tcPr>
          <w:p>
            <w:pPr>
              <w:pStyle w:val="TableParagraph"/>
              <w:spacing w:line="205" w:lineRule="exact" w:before="0"/>
              <w:rPr>
                <w:sz w:val="21"/>
              </w:rPr>
            </w:pPr>
            <w:r>
              <w:rPr>
                <w:sz w:val="21"/>
              </w:rPr>
              <w:t>须由专科医生经过病理检查结果证实。被保险人所患的克隆病必须已经造成瘘管</w:t>
            </w:r>
          </w:p>
          <w:p>
            <w:pPr>
              <w:pStyle w:val="TableParagraph"/>
              <w:spacing w:before="37"/>
              <w:rPr>
                <w:sz w:val="21"/>
              </w:rPr>
            </w:pPr>
            <w:r>
              <w:rPr>
                <w:sz w:val="21"/>
              </w:rPr>
              <w:t>形成并伴有肠梗阻或肠穿孔。</w:t>
            </w:r>
          </w:p>
        </w:tc>
      </w:tr>
      <w:tr>
        <w:trPr>
          <w:trHeight w:val="1264" w:hRule="atLeast"/>
        </w:trPr>
        <w:tc>
          <w:tcPr>
            <w:tcW w:w="1558" w:type="dxa"/>
          </w:tcPr>
          <w:p>
            <w:pPr>
              <w:pStyle w:val="TableParagraph"/>
              <w:spacing w:line="273" w:lineRule="auto" w:before="69"/>
              <w:ind w:left="200" w:right="194"/>
              <w:rPr>
                <w:b/>
                <w:sz w:val="21"/>
              </w:rPr>
            </w:pPr>
            <w:r>
              <w:rPr>
                <w:b/>
                <w:sz w:val="21"/>
              </w:rPr>
              <w:t>41.严重溃疡性结肠炎</w:t>
            </w:r>
          </w:p>
        </w:tc>
        <w:tc>
          <w:tcPr>
            <w:tcW w:w="7687" w:type="dxa"/>
          </w:tcPr>
          <w:p>
            <w:pPr>
              <w:pStyle w:val="TableParagraph"/>
              <w:spacing w:line="237" w:lineRule="auto" w:before="50"/>
              <w:ind w:right="199"/>
              <w:jc w:val="both"/>
              <w:rPr>
                <w:sz w:val="21"/>
              </w:rPr>
            </w:pPr>
            <w:r>
              <w:rPr>
                <w:sz w:val="21"/>
              </w:rPr>
              <w:t>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4516" w:hRule="atLeast"/>
        </w:trPr>
        <w:tc>
          <w:tcPr>
            <w:tcW w:w="1558" w:type="dxa"/>
          </w:tcPr>
          <w:p>
            <w:pPr>
              <w:pStyle w:val="TableParagraph"/>
              <w:spacing w:line="273" w:lineRule="auto" w:before="50"/>
              <w:ind w:left="200" w:right="85"/>
              <w:jc w:val="both"/>
              <w:rPr>
                <w:b/>
                <w:sz w:val="21"/>
              </w:rPr>
            </w:pPr>
            <w:r>
              <w:rPr>
                <w:b/>
                <w:sz w:val="21"/>
              </w:rPr>
              <w:t>42.因职业关系导致的人类免疫缺陷病毒（HIV） 感染</w:t>
            </w:r>
          </w:p>
        </w:tc>
        <w:tc>
          <w:tcPr>
            <w:tcW w:w="7687" w:type="dxa"/>
          </w:tcPr>
          <w:p>
            <w:pPr>
              <w:pStyle w:val="TableParagraph"/>
              <w:spacing w:line="273" w:lineRule="auto" w:before="50"/>
              <w:ind w:right="199"/>
              <w:jc w:val="both"/>
              <w:rPr>
                <w:sz w:val="21"/>
              </w:rPr>
            </w:pPr>
            <w:r>
              <w:rPr>
                <w:sz w:val="21"/>
              </w:rPr>
              <w:t>在本保单签发日、合同签署日或复效日（取其最晚者）之后，被保险人在从事正常职业生活中感染艾滋病病毒，并且证实满足以下所有条件者：</w:t>
            </w:r>
          </w:p>
          <w:p>
            <w:pPr>
              <w:pStyle w:val="TableParagraph"/>
              <w:spacing w:line="273" w:lineRule="auto" w:before="7"/>
              <w:ind w:right="197"/>
              <w:jc w:val="both"/>
              <w:rPr>
                <w:sz w:val="21"/>
              </w:rPr>
            </w:pPr>
            <w:r>
              <w:rPr>
                <w:spacing w:val="-8"/>
                <w:sz w:val="21"/>
              </w:rPr>
              <w:t>（1）</w:t>
            </w:r>
            <w:r>
              <w:rPr>
                <w:spacing w:val="-5"/>
                <w:sz w:val="21"/>
              </w:rPr>
              <w:t>导致感染艾滋病病毒的意外事故必须在意外发生后 </w:t>
            </w:r>
            <w:r>
              <w:rPr>
                <w:sz w:val="21"/>
              </w:rPr>
              <w:t>30</w:t>
            </w:r>
            <w:r>
              <w:rPr>
                <w:spacing w:val="-23"/>
                <w:sz w:val="21"/>
              </w:rPr>
              <w:t> 天内</w:t>
            </w:r>
            <w:r>
              <w:rPr>
                <w:sz w:val="21"/>
              </w:rPr>
              <w:t>（</w:t>
            </w:r>
            <w:r>
              <w:rPr>
                <w:spacing w:val="-16"/>
                <w:sz w:val="21"/>
              </w:rPr>
              <w:t>含第 </w:t>
            </w:r>
            <w:r>
              <w:rPr>
                <w:sz w:val="21"/>
              </w:rPr>
              <w:t>30</w:t>
            </w:r>
            <w:r>
              <w:rPr>
                <w:spacing w:val="-25"/>
                <w:sz w:val="21"/>
              </w:rPr>
              <w:t> 天</w:t>
            </w:r>
            <w:r>
              <w:rPr>
                <w:spacing w:val="-20"/>
                <w:sz w:val="21"/>
              </w:rPr>
              <w:t>）</w:t>
            </w:r>
            <w:r>
              <w:rPr>
                <w:sz w:val="21"/>
              </w:rPr>
              <w:t>向</w:t>
            </w:r>
            <w:r>
              <w:rPr>
                <w:spacing w:val="-2"/>
                <w:sz w:val="21"/>
              </w:rPr>
              <w:t>本公司报告；</w:t>
            </w:r>
          </w:p>
          <w:p>
            <w:pPr>
              <w:pStyle w:val="TableParagraph"/>
              <w:spacing w:before="8"/>
              <w:rPr>
                <w:sz w:val="21"/>
              </w:rPr>
            </w:pPr>
            <w:r>
              <w:rPr>
                <w:sz w:val="21"/>
              </w:rPr>
              <w:t>（2）导致意外事故的明确的艾滋病病毒感染的液体的证据；</w:t>
            </w:r>
          </w:p>
          <w:p>
            <w:pPr>
              <w:pStyle w:val="TableParagraph"/>
              <w:spacing w:before="37"/>
              <w:rPr>
                <w:sz w:val="21"/>
              </w:rPr>
            </w:pPr>
            <w:r>
              <w:rPr>
                <w:spacing w:val="-8"/>
                <w:sz w:val="21"/>
              </w:rPr>
              <w:t>（3）</w:t>
            </w:r>
            <w:r>
              <w:rPr>
                <w:spacing w:val="-7"/>
                <w:sz w:val="21"/>
              </w:rPr>
              <w:t>在书面报告意外发生后的 </w:t>
            </w:r>
            <w:r>
              <w:rPr>
                <w:sz w:val="21"/>
              </w:rPr>
              <w:t>180</w:t>
            </w:r>
            <w:r>
              <w:rPr>
                <w:spacing w:val="-24"/>
                <w:sz w:val="21"/>
              </w:rPr>
              <w:t> 天内</w:t>
            </w:r>
            <w:r>
              <w:rPr>
                <w:sz w:val="21"/>
              </w:rPr>
              <w:t>（</w:t>
            </w:r>
            <w:r>
              <w:rPr>
                <w:spacing w:val="-17"/>
                <w:sz w:val="21"/>
              </w:rPr>
              <w:t>含第 </w:t>
            </w:r>
            <w:r>
              <w:rPr>
                <w:sz w:val="21"/>
              </w:rPr>
              <w:t>180</w:t>
            </w:r>
            <w:r>
              <w:rPr>
                <w:spacing w:val="-25"/>
                <w:sz w:val="21"/>
              </w:rPr>
              <w:t> 天</w:t>
            </w:r>
            <w:r>
              <w:rPr>
                <w:spacing w:val="-22"/>
                <w:sz w:val="21"/>
              </w:rPr>
              <w:t>）</w:t>
            </w:r>
            <w:r>
              <w:rPr>
                <w:spacing w:val="-12"/>
                <w:sz w:val="21"/>
              </w:rPr>
              <w:t>出现血清 </w:t>
            </w:r>
            <w:r>
              <w:rPr>
                <w:sz w:val="21"/>
              </w:rPr>
              <w:t>HIV</w:t>
            </w:r>
            <w:r>
              <w:rPr>
                <w:spacing w:val="-10"/>
                <w:sz w:val="21"/>
              </w:rPr>
              <w:t> 阴性转变为</w:t>
            </w:r>
          </w:p>
          <w:p>
            <w:pPr>
              <w:pStyle w:val="TableParagraph"/>
              <w:spacing w:line="273" w:lineRule="auto" w:before="37"/>
              <w:ind w:right="197"/>
              <w:jc w:val="both"/>
              <w:rPr>
                <w:sz w:val="21"/>
              </w:rPr>
            </w:pPr>
            <w:r>
              <w:rPr>
                <w:sz w:val="21"/>
              </w:rPr>
              <w:t>HIV</w:t>
            </w:r>
            <w:r>
              <w:rPr>
                <w:spacing w:val="-10"/>
                <w:sz w:val="21"/>
              </w:rPr>
              <w:t> 阳性的证据。这个证据必须包括一个意外事故发生后 </w:t>
            </w:r>
            <w:r>
              <w:rPr>
                <w:sz w:val="21"/>
              </w:rPr>
              <w:t>5</w:t>
            </w:r>
            <w:r>
              <w:rPr>
                <w:spacing w:val="-18"/>
                <w:sz w:val="21"/>
              </w:rPr>
              <w:t> 天内</w:t>
            </w:r>
            <w:r>
              <w:rPr>
                <w:sz w:val="21"/>
              </w:rPr>
              <w:t>（</w:t>
            </w:r>
            <w:r>
              <w:rPr>
                <w:spacing w:val="-17"/>
                <w:sz w:val="21"/>
              </w:rPr>
              <w:t>含第 </w:t>
            </w:r>
            <w:r>
              <w:rPr>
                <w:sz w:val="21"/>
              </w:rPr>
              <w:t>5</w:t>
            </w:r>
            <w:r>
              <w:rPr>
                <w:spacing w:val="-26"/>
                <w:sz w:val="21"/>
              </w:rPr>
              <w:t> 天</w:t>
            </w:r>
            <w:r>
              <w:rPr>
                <w:sz w:val="21"/>
              </w:rPr>
              <w:t>）HIV </w:t>
            </w:r>
            <w:r>
              <w:rPr>
                <w:spacing w:val="-3"/>
                <w:sz w:val="21"/>
              </w:rPr>
              <w:t>抗体阴性的检查报告；</w:t>
            </w:r>
          </w:p>
          <w:p>
            <w:pPr>
              <w:pStyle w:val="TableParagraph"/>
              <w:spacing w:line="273" w:lineRule="auto" w:before="8"/>
              <w:ind w:right="199"/>
              <w:jc w:val="both"/>
              <w:rPr>
                <w:sz w:val="21"/>
              </w:rPr>
            </w:pPr>
            <w:r>
              <w:rPr>
                <w:sz w:val="21"/>
              </w:rPr>
              <w:t>由其他途径感染的艾滋病病毒，包括性行为和静脉注射毒品，不在保障范围内。意外事故后 12 个月内需要进行进一步的血液检查以确认存在艾滋病病毒抗体的存在。</w:t>
            </w:r>
          </w:p>
          <w:p>
            <w:pPr>
              <w:pStyle w:val="TableParagraph"/>
              <w:spacing w:line="273" w:lineRule="auto" w:before="8"/>
              <w:ind w:right="198"/>
              <w:jc w:val="both"/>
              <w:rPr>
                <w:sz w:val="21"/>
              </w:rPr>
            </w:pPr>
            <w:r>
              <w:rPr>
                <w:sz w:val="21"/>
              </w:rPr>
              <w:t>本公司仅在被保险人的职业为从业医生、医学院学生、国家注册护士、医学检验技师、牙医（外科医生和护士）或辅助医务工作者、医学中心或医院工作人员时承担此项保险责任。</w:t>
            </w:r>
          </w:p>
        </w:tc>
      </w:tr>
      <w:tr>
        <w:trPr>
          <w:trHeight w:val="1092" w:hRule="atLeast"/>
        </w:trPr>
        <w:tc>
          <w:tcPr>
            <w:tcW w:w="1558" w:type="dxa"/>
          </w:tcPr>
          <w:p>
            <w:pPr>
              <w:pStyle w:val="TableParagraph"/>
              <w:spacing w:line="273" w:lineRule="auto" w:before="59"/>
              <w:ind w:left="200" w:right="110"/>
              <w:rPr>
                <w:b/>
                <w:sz w:val="21"/>
              </w:rPr>
            </w:pPr>
            <w:r>
              <w:rPr>
                <w:b/>
                <w:sz w:val="21"/>
              </w:rPr>
              <w:t>43.严重川崎病</w:t>
            </w:r>
          </w:p>
        </w:tc>
        <w:tc>
          <w:tcPr>
            <w:tcW w:w="7687" w:type="dxa"/>
          </w:tcPr>
          <w:p>
            <w:pPr>
              <w:pStyle w:val="TableParagraph"/>
              <w:spacing w:before="59"/>
              <w:rPr>
                <w:sz w:val="21"/>
              </w:rPr>
            </w:pPr>
            <w:r>
              <w:rPr>
                <w:sz w:val="21"/>
              </w:rPr>
              <w:t>是指原因不明的系统性血管炎,并须满足下列全部条件:</w:t>
            </w:r>
          </w:p>
          <w:p>
            <w:pPr>
              <w:pStyle w:val="TableParagraph"/>
              <w:numPr>
                <w:ilvl w:val="0"/>
                <w:numId w:val="31"/>
              </w:numPr>
              <w:tabs>
                <w:tab w:pos="510" w:val="left" w:leader="none"/>
              </w:tabs>
              <w:spacing w:line="240" w:lineRule="auto" w:before="37" w:after="0"/>
              <w:ind w:left="509" w:right="0" w:hanging="423"/>
              <w:jc w:val="left"/>
              <w:rPr>
                <w:sz w:val="21"/>
              </w:rPr>
            </w:pPr>
            <w:r>
              <w:rPr>
                <w:spacing w:val="-3"/>
                <w:sz w:val="21"/>
              </w:rPr>
              <w:t>超声心动图显示川崎病并发冠状动脉瘤或其他心血管异常;</w:t>
            </w:r>
          </w:p>
          <w:p>
            <w:pPr>
              <w:pStyle w:val="TableParagraph"/>
              <w:numPr>
                <w:ilvl w:val="0"/>
                <w:numId w:val="31"/>
              </w:numPr>
              <w:tabs>
                <w:tab w:pos="510" w:val="left" w:leader="none"/>
              </w:tabs>
              <w:spacing w:line="240" w:lineRule="auto" w:before="37" w:after="0"/>
              <w:ind w:left="509" w:right="0" w:hanging="423"/>
              <w:jc w:val="left"/>
              <w:rPr>
                <w:sz w:val="21"/>
              </w:rPr>
            </w:pPr>
            <w:r>
              <w:rPr>
                <w:spacing w:val="-3"/>
                <w:sz w:val="21"/>
              </w:rPr>
              <w:t>已接受了针对川崎病并发冠状动脉瘤或其他心血管异常所进行的手术治疗。</w:t>
            </w:r>
          </w:p>
        </w:tc>
      </w:tr>
      <w:tr>
        <w:trPr>
          <w:trHeight w:val="2964" w:hRule="atLeast"/>
        </w:trPr>
        <w:tc>
          <w:tcPr>
            <w:tcW w:w="1558" w:type="dxa"/>
          </w:tcPr>
          <w:p>
            <w:pPr>
              <w:pStyle w:val="TableParagraph"/>
              <w:spacing w:line="273" w:lineRule="auto"/>
              <w:ind w:left="200" w:right="194"/>
              <w:rPr>
                <w:b/>
                <w:sz w:val="21"/>
              </w:rPr>
            </w:pPr>
            <w:r>
              <w:rPr>
                <w:b/>
                <w:sz w:val="21"/>
              </w:rPr>
              <w:t>44.慢性肾上腺皮质功能衰竭</w:t>
            </w:r>
          </w:p>
        </w:tc>
        <w:tc>
          <w:tcPr>
            <w:tcW w:w="7687" w:type="dxa"/>
          </w:tcPr>
          <w:p>
            <w:pPr>
              <w:pStyle w:val="TableParagraph"/>
              <w:spacing w:line="273" w:lineRule="auto"/>
              <w:ind w:right="199"/>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numPr>
                <w:ilvl w:val="0"/>
                <w:numId w:val="32"/>
              </w:numPr>
              <w:tabs>
                <w:tab w:pos="510" w:val="left" w:leader="none"/>
              </w:tabs>
              <w:spacing w:line="240" w:lineRule="auto" w:before="7" w:after="0"/>
              <w:ind w:left="509" w:right="0" w:hanging="423"/>
              <w:jc w:val="both"/>
              <w:rPr>
                <w:sz w:val="21"/>
              </w:rPr>
            </w:pPr>
            <w:r>
              <w:rPr>
                <w:spacing w:val="-3"/>
                <w:sz w:val="21"/>
              </w:rPr>
              <w:t>促肾上腺皮质激素(</w:t>
            </w:r>
            <w:r>
              <w:rPr>
                <w:spacing w:val="-1"/>
                <w:sz w:val="21"/>
              </w:rPr>
              <w:t>ACTH</w:t>
            </w:r>
            <w:r>
              <w:rPr>
                <w:spacing w:val="-3"/>
                <w:sz w:val="21"/>
              </w:rPr>
              <w:t>)刺激试验；</w:t>
            </w:r>
          </w:p>
          <w:p>
            <w:pPr>
              <w:pStyle w:val="TableParagraph"/>
              <w:numPr>
                <w:ilvl w:val="0"/>
                <w:numId w:val="32"/>
              </w:numPr>
              <w:tabs>
                <w:tab w:pos="510" w:val="left" w:leader="none"/>
              </w:tabs>
              <w:spacing w:line="240" w:lineRule="auto" w:before="37" w:after="0"/>
              <w:ind w:left="509" w:right="0" w:hanging="423"/>
              <w:jc w:val="both"/>
              <w:rPr>
                <w:sz w:val="21"/>
              </w:rPr>
            </w:pPr>
            <w:r>
              <w:rPr>
                <w:spacing w:val="-3"/>
                <w:sz w:val="21"/>
              </w:rPr>
              <w:t>胰岛素血糖减少测试；</w:t>
            </w:r>
          </w:p>
          <w:p>
            <w:pPr>
              <w:pStyle w:val="TableParagraph"/>
              <w:numPr>
                <w:ilvl w:val="0"/>
                <w:numId w:val="32"/>
              </w:numPr>
              <w:tabs>
                <w:tab w:pos="510" w:val="left" w:leader="none"/>
              </w:tabs>
              <w:spacing w:line="240" w:lineRule="auto" w:before="37" w:after="0"/>
              <w:ind w:left="509" w:right="0" w:hanging="423"/>
              <w:jc w:val="both"/>
              <w:rPr>
                <w:sz w:val="21"/>
              </w:rPr>
            </w:pPr>
            <w:r>
              <w:rPr>
                <w:spacing w:val="-3"/>
                <w:sz w:val="21"/>
              </w:rPr>
              <w:t>血浆促肾上腺皮质激素</w:t>
            </w:r>
            <w:r>
              <w:rPr>
                <w:sz w:val="21"/>
              </w:rPr>
              <w:t>(ACTH)</w:t>
            </w:r>
            <w:r>
              <w:rPr>
                <w:spacing w:val="-3"/>
                <w:sz w:val="21"/>
              </w:rPr>
              <w:t>水平测定；</w:t>
            </w:r>
          </w:p>
          <w:p>
            <w:pPr>
              <w:pStyle w:val="TableParagraph"/>
              <w:numPr>
                <w:ilvl w:val="0"/>
                <w:numId w:val="32"/>
              </w:numPr>
              <w:tabs>
                <w:tab w:pos="510" w:val="left" w:leader="none"/>
              </w:tabs>
              <w:spacing w:line="240" w:lineRule="auto" w:before="37" w:after="0"/>
              <w:ind w:left="509" w:right="0" w:hanging="423"/>
              <w:jc w:val="both"/>
              <w:rPr>
                <w:sz w:val="21"/>
              </w:rPr>
            </w:pPr>
            <w:r>
              <w:rPr>
                <w:spacing w:val="-3"/>
                <w:sz w:val="21"/>
              </w:rPr>
              <w:t>血浆肾素活性(</w:t>
            </w:r>
            <w:r>
              <w:rPr>
                <w:spacing w:val="-1"/>
                <w:sz w:val="21"/>
              </w:rPr>
              <w:t>PRA</w:t>
            </w:r>
            <w:r>
              <w:rPr>
                <w:spacing w:val="-2"/>
                <w:sz w:val="21"/>
              </w:rPr>
              <w:t>)测定。</w:t>
            </w:r>
          </w:p>
          <w:p>
            <w:pPr>
              <w:pStyle w:val="TableParagraph"/>
              <w:spacing w:line="273" w:lineRule="auto" w:before="37"/>
              <w:ind w:right="199"/>
              <w:rPr>
                <w:sz w:val="21"/>
              </w:rPr>
            </w:pPr>
            <w:r>
              <w:rPr>
                <w:sz w:val="21"/>
              </w:rPr>
              <w:t>慢性肾上腺皮质功能衰竭只对由自身免疫功能紊乱引起的承担保险责任，其他原因引起的除外。</w:t>
            </w:r>
          </w:p>
        </w:tc>
      </w:tr>
      <w:tr>
        <w:trPr>
          <w:trHeight w:val="1092" w:hRule="atLeast"/>
        </w:trPr>
        <w:tc>
          <w:tcPr>
            <w:tcW w:w="1558" w:type="dxa"/>
          </w:tcPr>
          <w:p>
            <w:pPr>
              <w:pStyle w:val="TableParagraph"/>
              <w:spacing w:line="273" w:lineRule="auto"/>
              <w:ind w:left="200" w:right="110"/>
              <w:rPr>
                <w:b/>
                <w:sz w:val="21"/>
              </w:rPr>
            </w:pPr>
            <w:r>
              <w:rPr>
                <w:b/>
                <w:sz w:val="21"/>
              </w:rPr>
              <w:t>45.埃博拉病毒感染</w:t>
            </w:r>
          </w:p>
        </w:tc>
        <w:tc>
          <w:tcPr>
            <w:tcW w:w="7687" w:type="dxa"/>
          </w:tcPr>
          <w:p>
            <w:pPr>
              <w:pStyle w:val="TableParagraph"/>
              <w:rPr>
                <w:sz w:val="21"/>
              </w:rPr>
            </w:pPr>
            <w:r>
              <w:rPr>
                <w:sz w:val="21"/>
              </w:rPr>
              <w:t>指埃博拉病毒感染导致的烈性传染病，并须满足下列全部条件：</w:t>
            </w:r>
          </w:p>
          <w:p>
            <w:pPr>
              <w:pStyle w:val="TableParagraph"/>
              <w:spacing w:before="36"/>
              <w:rPr>
                <w:sz w:val="21"/>
              </w:rPr>
            </w:pPr>
            <w:r>
              <w:rPr>
                <w:sz w:val="21"/>
              </w:rPr>
              <w:t>(1)实验室检查证实埃博拉病毒的存在；</w:t>
            </w:r>
          </w:p>
          <w:p>
            <w:pPr>
              <w:pStyle w:val="TableParagraph"/>
              <w:spacing w:before="36"/>
              <w:rPr>
                <w:sz w:val="21"/>
              </w:rPr>
            </w:pPr>
            <w:r>
              <w:rPr>
                <w:sz w:val="21"/>
              </w:rPr>
              <w:t>(2)从发病开始有超过 30 天的进行性感染症状。</w:t>
            </w:r>
          </w:p>
        </w:tc>
      </w:tr>
      <w:tr>
        <w:trPr>
          <w:trHeight w:val="1092" w:hRule="atLeast"/>
        </w:trPr>
        <w:tc>
          <w:tcPr>
            <w:tcW w:w="1558" w:type="dxa"/>
          </w:tcPr>
          <w:p>
            <w:pPr>
              <w:pStyle w:val="TableParagraph"/>
              <w:spacing w:line="273" w:lineRule="auto"/>
              <w:ind w:left="200" w:right="110"/>
              <w:rPr>
                <w:b/>
                <w:sz w:val="21"/>
              </w:rPr>
            </w:pPr>
            <w:r>
              <w:rPr>
                <w:b/>
                <w:sz w:val="21"/>
              </w:rPr>
              <w:t>46.严重象皮病</w:t>
            </w:r>
          </w:p>
        </w:tc>
        <w:tc>
          <w:tcPr>
            <w:tcW w:w="7687" w:type="dxa"/>
          </w:tcPr>
          <w:p>
            <w:pPr>
              <w:pStyle w:val="TableParagraph"/>
              <w:spacing w:line="273" w:lineRule="auto"/>
              <w:ind w:right="197"/>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92" w:hRule="atLeast"/>
        </w:trPr>
        <w:tc>
          <w:tcPr>
            <w:tcW w:w="1558" w:type="dxa"/>
          </w:tcPr>
          <w:p>
            <w:pPr>
              <w:pStyle w:val="TableParagraph"/>
              <w:spacing w:line="273" w:lineRule="auto"/>
              <w:ind w:left="200" w:right="110"/>
              <w:rPr>
                <w:b/>
                <w:sz w:val="21"/>
              </w:rPr>
            </w:pPr>
            <w:r>
              <w:rPr>
                <w:b/>
                <w:sz w:val="21"/>
              </w:rPr>
              <w:t>47.肺源性心脏病</w:t>
            </w:r>
          </w:p>
        </w:tc>
        <w:tc>
          <w:tcPr>
            <w:tcW w:w="7687" w:type="dxa"/>
          </w:tcPr>
          <w:p>
            <w:pPr>
              <w:pStyle w:val="TableParagraph"/>
              <w:spacing w:line="273" w:lineRule="auto"/>
              <w:ind w:right="197"/>
              <w:jc w:val="both"/>
              <w:rPr>
                <w:sz w:val="21"/>
              </w:rPr>
            </w:pPr>
            <w:r>
              <w:rPr>
                <w:sz w:val="21"/>
              </w:rPr>
              <w:t>指被保人因慢性肺部疾病导致慢性心功能损害造成永久不可逆性的心功能衰竭。</w:t>
            </w:r>
            <w:r>
              <w:rPr>
                <w:spacing w:val="-5"/>
                <w:sz w:val="21"/>
              </w:rPr>
              <w:t>心功能衰竭程度达到纽约心脏病学会的心功能分级标准之心功能 </w:t>
            </w:r>
            <w:r>
              <w:rPr>
                <w:sz w:val="21"/>
              </w:rPr>
              <w:t>IV</w:t>
            </w:r>
            <w:r>
              <w:rPr>
                <w:spacing w:val="-18"/>
                <w:sz w:val="21"/>
              </w:rPr>
              <w:t> 级。被保险人</w:t>
            </w:r>
            <w:r>
              <w:rPr>
                <w:spacing w:val="-7"/>
                <w:sz w:val="21"/>
              </w:rPr>
              <w:t>永久不可逆性的体力活动能力受限，不能从事任何体力活动。</w:t>
            </w:r>
          </w:p>
        </w:tc>
      </w:tr>
      <w:tr>
        <w:trPr>
          <w:trHeight w:val="651" w:hRule="atLeast"/>
        </w:trPr>
        <w:tc>
          <w:tcPr>
            <w:tcW w:w="1558" w:type="dxa"/>
          </w:tcPr>
          <w:p>
            <w:pPr>
              <w:pStyle w:val="TableParagraph"/>
              <w:spacing w:line="310" w:lineRule="atLeast" w:before="23"/>
              <w:ind w:left="200" w:right="194"/>
              <w:rPr>
                <w:b/>
                <w:sz w:val="21"/>
              </w:rPr>
            </w:pPr>
            <w:r>
              <w:rPr>
                <w:b/>
                <w:sz w:val="21"/>
              </w:rPr>
              <w:t>48.原发性硬化性胆管炎</w:t>
            </w:r>
          </w:p>
        </w:tc>
        <w:tc>
          <w:tcPr>
            <w:tcW w:w="7687" w:type="dxa"/>
          </w:tcPr>
          <w:p>
            <w:pPr>
              <w:pStyle w:val="TableParagraph"/>
              <w:spacing w:line="310" w:lineRule="atLeast" w:before="23"/>
              <w:ind w:right="199"/>
              <w:rPr>
                <w:sz w:val="21"/>
              </w:rPr>
            </w:pPr>
            <w:r>
              <w:rPr>
                <w:sz w:val="21"/>
              </w:rPr>
              <w:t>指一种胆汁淤积综合征，其特征是肝内、肝外胆道因纤维化性炎症逐渐狭窄，并最终导致完全阻塞而发展为肝硬化。本病须经内镜逆行胰胆管造影等影像学检查</w:t>
            </w:r>
          </w:p>
        </w:tc>
      </w:tr>
    </w:tbl>
    <w:p>
      <w:pPr>
        <w:spacing w:after="0" w:line="310" w:lineRule="atLeast"/>
        <w:rPr>
          <w:sz w:val="21"/>
        </w:rPr>
        <w:sectPr>
          <w:pgSz w:w="11910" w:h="16840"/>
          <w:pgMar w:header="0" w:footer="377" w:top="1340" w:bottom="560" w:left="164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7707"/>
      </w:tblGrid>
      <w:tr>
        <w:trPr>
          <w:trHeight w:val="1587" w:hRule="atLeast"/>
        </w:trPr>
        <w:tc>
          <w:tcPr>
            <w:tcW w:w="1545" w:type="dxa"/>
          </w:tcPr>
          <w:p>
            <w:pPr>
              <w:pStyle w:val="TableParagraph"/>
              <w:spacing w:before="0"/>
              <w:ind w:left="0"/>
              <w:rPr>
                <w:rFonts w:ascii="Times New Roman"/>
                <w:sz w:val="20"/>
              </w:rPr>
            </w:pPr>
          </w:p>
        </w:tc>
        <w:tc>
          <w:tcPr>
            <w:tcW w:w="7707" w:type="dxa"/>
          </w:tcPr>
          <w:p>
            <w:pPr>
              <w:pStyle w:val="TableParagraph"/>
              <w:spacing w:line="205" w:lineRule="exact" w:before="0"/>
              <w:ind w:left="99"/>
              <w:rPr>
                <w:sz w:val="21"/>
              </w:rPr>
            </w:pPr>
            <w:r>
              <w:rPr>
                <w:sz w:val="21"/>
              </w:rPr>
              <w:t>证实，并须满足下列全部条件：</w:t>
            </w:r>
          </w:p>
          <w:p>
            <w:pPr>
              <w:pStyle w:val="TableParagraph"/>
              <w:numPr>
                <w:ilvl w:val="0"/>
                <w:numId w:val="33"/>
              </w:numPr>
              <w:tabs>
                <w:tab w:pos="732" w:val="left" w:leader="none"/>
              </w:tabs>
              <w:spacing w:line="240" w:lineRule="auto" w:before="37" w:after="0"/>
              <w:ind w:left="731" w:right="0" w:hanging="632"/>
              <w:jc w:val="left"/>
              <w:rPr>
                <w:sz w:val="21"/>
              </w:rPr>
            </w:pPr>
            <w:r>
              <w:rPr>
                <w:spacing w:val="-5"/>
                <w:sz w:val="21"/>
              </w:rPr>
              <w:t>总胆红素和直接胆红素同时升高，血清 </w:t>
            </w:r>
            <w:r>
              <w:rPr>
                <w:sz w:val="21"/>
              </w:rPr>
              <w:t>ALP&gt;200U/L；</w:t>
            </w:r>
          </w:p>
          <w:p>
            <w:pPr>
              <w:pStyle w:val="TableParagraph"/>
              <w:numPr>
                <w:ilvl w:val="0"/>
                <w:numId w:val="33"/>
              </w:numPr>
              <w:tabs>
                <w:tab w:pos="732" w:val="left" w:leader="none"/>
              </w:tabs>
              <w:spacing w:line="240" w:lineRule="auto" w:before="37" w:after="0"/>
              <w:ind w:left="731" w:right="0" w:hanging="632"/>
              <w:jc w:val="left"/>
              <w:rPr>
                <w:sz w:val="21"/>
              </w:rPr>
            </w:pPr>
            <w:r>
              <w:rPr>
                <w:spacing w:val="-3"/>
                <w:sz w:val="21"/>
              </w:rPr>
              <w:t>持续性黄疸病史；</w:t>
            </w:r>
          </w:p>
          <w:p>
            <w:pPr>
              <w:pStyle w:val="TableParagraph"/>
              <w:numPr>
                <w:ilvl w:val="0"/>
                <w:numId w:val="33"/>
              </w:numPr>
              <w:tabs>
                <w:tab w:pos="732" w:val="left" w:leader="none"/>
              </w:tabs>
              <w:spacing w:line="240" w:lineRule="auto" w:before="37" w:after="0"/>
              <w:ind w:left="731" w:right="0" w:hanging="632"/>
              <w:jc w:val="left"/>
              <w:rPr>
                <w:sz w:val="21"/>
              </w:rPr>
            </w:pPr>
            <w:r>
              <w:rPr>
                <w:spacing w:val="-3"/>
                <w:sz w:val="21"/>
              </w:rPr>
              <w:t>出现胆汁性肝硬化或门脉高压。</w:t>
            </w:r>
          </w:p>
          <w:p>
            <w:pPr>
              <w:pStyle w:val="TableParagraph"/>
              <w:spacing w:before="37"/>
              <w:ind w:left="99"/>
              <w:rPr>
                <w:rFonts w:ascii="黑体" w:eastAsia="黑体" w:hint="eastAsia"/>
                <w:sz w:val="21"/>
              </w:rPr>
            </w:pPr>
            <w:r>
              <w:rPr>
                <w:rFonts w:ascii="黑体" w:eastAsia="黑体" w:hint="eastAsia"/>
                <w:sz w:val="21"/>
              </w:rPr>
              <w:t>因肿瘤或胆管损伤等继发性的硬化性胆管炎不在保障范围内。</w:t>
            </w:r>
          </w:p>
        </w:tc>
      </w:tr>
      <w:tr>
        <w:trPr>
          <w:trHeight w:val="2340" w:hRule="atLeast"/>
        </w:trPr>
        <w:tc>
          <w:tcPr>
            <w:tcW w:w="1545" w:type="dxa"/>
          </w:tcPr>
          <w:p>
            <w:pPr>
              <w:pStyle w:val="TableParagraph"/>
              <w:ind w:left="200"/>
              <w:rPr>
                <w:b/>
                <w:sz w:val="21"/>
              </w:rPr>
            </w:pPr>
            <w:r>
              <w:rPr>
                <w:b/>
                <w:sz w:val="21"/>
              </w:rPr>
              <w:t>49.疯牛病</w:t>
            </w:r>
          </w:p>
        </w:tc>
        <w:tc>
          <w:tcPr>
            <w:tcW w:w="7707" w:type="dxa"/>
          </w:tcPr>
          <w:p>
            <w:pPr>
              <w:pStyle w:val="TableParagraph"/>
              <w:ind w:left="99"/>
              <w:rPr>
                <w:sz w:val="21"/>
              </w:rPr>
            </w:pPr>
            <w:r>
              <w:rPr>
                <w:sz w:val="21"/>
              </w:rPr>
              <w:t>神经系统疾病及致命的成胶质状脑病，并有以下症状：</w:t>
            </w:r>
          </w:p>
          <w:p>
            <w:pPr>
              <w:pStyle w:val="TableParagraph"/>
              <w:numPr>
                <w:ilvl w:val="0"/>
                <w:numId w:val="34"/>
              </w:numPr>
              <w:tabs>
                <w:tab w:pos="523" w:val="left" w:leader="none"/>
              </w:tabs>
              <w:spacing w:line="240" w:lineRule="auto" w:before="36" w:after="0"/>
              <w:ind w:left="522" w:right="0" w:hanging="423"/>
              <w:jc w:val="left"/>
              <w:rPr>
                <w:sz w:val="21"/>
              </w:rPr>
            </w:pPr>
            <w:r>
              <w:rPr>
                <w:spacing w:val="-3"/>
                <w:sz w:val="21"/>
              </w:rPr>
              <w:t>不能控制的肌肉痉挛及震颤；</w:t>
            </w:r>
          </w:p>
          <w:p>
            <w:pPr>
              <w:pStyle w:val="TableParagraph"/>
              <w:numPr>
                <w:ilvl w:val="0"/>
                <w:numId w:val="34"/>
              </w:numPr>
              <w:tabs>
                <w:tab w:pos="523" w:val="left" w:leader="none"/>
              </w:tabs>
              <w:spacing w:line="240" w:lineRule="auto" w:before="36" w:after="0"/>
              <w:ind w:left="522" w:right="0" w:hanging="423"/>
              <w:jc w:val="left"/>
              <w:rPr>
                <w:sz w:val="21"/>
              </w:rPr>
            </w:pPr>
            <w:r>
              <w:rPr>
                <w:spacing w:val="-3"/>
                <w:sz w:val="21"/>
              </w:rPr>
              <w:t>逐渐痴呆；</w:t>
            </w:r>
          </w:p>
          <w:p>
            <w:pPr>
              <w:pStyle w:val="TableParagraph"/>
              <w:numPr>
                <w:ilvl w:val="0"/>
                <w:numId w:val="34"/>
              </w:numPr>
              <w:tabs>
                <w:tab w:pos="523" w:val="left" w:leader="none"/>
              </w:tabs>
              <w:spacing w:line="240" w:lineRule="auto" w:before="36" w:after="0"/>
              <w:ind w:left="522" w:right="0" w:hanging="423"/>
              <w:jc w:val="left"/>
              <w:rPr>
                <w:sz w:val="21"/>
              </w:rPr>
            </w:pPr>
            <w:r>
              <w:rPr>
                <w:spacing w:val="-3"/>
                <w:sz w:val="21"/>
              </w:rPr>
              <w:t>小脑功能不良，共济失调；</w:t>
            </w:r>
          </w:p>
          <w:p>
            <w:pPr>
              <w:pStyle w:val="TableParagraph"/>
              <w:numPr>
                <w:ilvl w:val="0"/>
                <w:numId w:val="34"/>
              </w:numPr>
              <w:tabs>
                <w:tab w:pos="523" w:val="left" w:leader="none"/>
              </w:tabs>
              <w:spacing w:line="240" w:lineRule="auto" w:before="36" w:after="0"/>
              <w:ind w:left="522" w:right="0" w:hanging="423"/>
              <w:jc w:val="left"/>
              <w:rPr>
                <w:sz w:val="21"/>
              </w:rPr>
            </w:pPr>
            <w:r>
              <w:rPr>
                <w:spacing w:val="-3"/>
                <w:sz w:val="21"/>
              </w:rPr>
              <w:t>手足徐动症。</w:t>
            </w:r>
          </w:p>
          <w:p>
            <w:pPr>
              <w:pStyle w:val="TableParagraph"/>
              <w:spacing w:line="273" w:lineRule="auto" w:before="37"/>
              <w:ind w:left="99" w:right="206"/>
              <w:rPr>
                <w:sz w:val="21"/>
              </w:rPr>
            </w:pPr>
            <w:r>
              <w:rPr>
                <w:sz w:val="21"/>
              </w:rPr>
              <w:t>诊断必须由神经科专科医生基于以下检查报告作出：脑电图、脑脊液报告、电脑断层扫描(CT)及核磁共振(MRI)。</w:t>
            </w:r>
          </w:p>
        </w:tc>
      </w:tr>
      <w:tr>
        <w:trPr>
          <w:trHeight w:val="2027" w:hRule="atLeast"/>
        </w:trPr>
        <w:tc>
          <w:tcPr>
            <w:tcW w:w="1545" w:type="dxa"/>
          </w:tcPr>
          <w:p>
            <w:pPr>
              <w:pStyle w:val="TableParagraph"/>
              <w:spacing w:line="273" w:lineRule="auto"/>
              <w:ind w:left="200" w:right="97"/>
              <w:rPr>
                <w:b/>
                <w:sz w:val="21"/>
              </w:rPr>
            </w:pPr>
            <w:r>
              <w:rPr>
                <w:b/>
                <w:sz w:val="21"/>
              </w:rPr>
              <w:t>50.严重心肌炎</w:t>
            </w:r>
          </w:p>
        </w:tc>
        <w:tc>
          <w:tcPr>
            <w:tcW w:w="7707" w:type="dxa"/>
          </w:tcPr>
          <w:p>
            <w:pPr>
              <w:pStyle w:val="TableParagraph"/>
              <w:spacing w:line="273" w:lineRule="auto"/>
              <w:ind w:left="99" w:right="204"/>
              <w:rPr>
                <w:sz w:val="21"/>
              </w:rPr>
            </w:pPr>
            <w:r>
              <w:rPr>
                <w:sz w:val="21"/>
              </w:rPr>
              <w:t>指被保人因严重心肌炎性病变导致心功能损害造成持续的永久不可逆性的心功能衰竭。必须满足所有一下条件：</w:t>
            </w:r>
          </w:p>
          <w:p>
            <w:pPr>
              <w:pStyle w:val="TableParagraph"/>
              <w:spacing w:line="273" w:lineRule="auto" w:before="7"/>
              <w:ind w:left="568" w:right="139" w:hanging="469"/>
              <w:rPr>
                <w:sz w:val="21"/>
              </w:rPr>
            </w:pPr>
            <w:r>
              <w:rPr>
                <w:sz w:val="21"/>
              </w:rPr>
              <w:t>（1）心功能衰竭程度达到纽约心脏病学会的心功能分级标准之心功能 IV 级，或左室射血分数低于 30%；</w:t>
            </w:r>
          </w:p>
          <w:p>
            <w:pPr>
              <w:pStyle w:val="TableParagraph"/>
              <w:spacing w:before="7"/>
              <w:ind w:left="99"/>
              <w:rPr>
                <w:sz w:val="21"/>
              </w:rPr>
            </w:pPr>
            <w:r>
              <w:rPr>
                <w:sz w:val="21"/>
              </w:rPr>
              <w:t>（2）持续不间断 180 天以上；</w:t>
            </w:r>
          </w:p>
          <w:p>
            <w:pPr>
              <w:pStyle w:val="TableParagraph"/>
              <w:spacing w:before="36"/>
              <w:ind w:left="99"/>
              <w:rPr>
                <w:sz w:val="21"/>
              </w:rPr>
            </w:pPr>
            <w:r>
              <w:rPr>
                <w:sz w:val="21"/>
              </w:rPr>
              <w:t>（3）被保险人永久不可逆性的体力活动能力受限，不能从事任何体力活动。</w:t>
            </w:r>
          </w:p>
        </w:tc>
      </w:tr>
      <w:tr>
        <w:trPr>
          <w:trHeight w:val="1404" w:hRule="atLeast"/>
        </w:trPr>
        <w:tc>
          <w:tcPr>
            <w:tcW w:w="1545" w:type="dxa"/>
          </w:tcPr>
          <w:p>
            <w:pPr>
              <w:pStyle w:val="TableParagraph"/>
              <w:spacing w:line="273" w:lineRule="auto"/>
              <w:ind w:left="200" w:right="97"/>
              <w:rPr>
                <w:b/>
                <w:sz w:val="21"/>
              </w:rPr>
            </w:pPr>
            <w:r>
              <w:rPr>
                <w:b/>
                <w:sz w:val="21"/>
              </w:rPr>
              <w:t>51.肾髓质囊性病</w:t>
            </w:r>
          </w:p>
        </w:tc>
        <w:tc>
          <w:tcPr>
            <w:tcW w:w="7707" w:type="dxa"/>
          </w:tcPr>
          <w:p>
            <w:pPr>
              <w:pStyle w:val="TableParagraph"/>
              <w:ind w:left="99"/>
              <w:rPr>
                <w:sz w:val="21"/>
              </w:rPr>
            </w:pPr>
            <w:r>
              <w:rPr>
                <w:sz w:val="21"/>
              </w:rPr>
              <w:t>肾髓质囊性病的诊断必须同时符合下列要求：</w:t>
            </w:r>
          </w:p>
          <w:p>
            <w:pPr>
              <w:pStyle w:val="TableParagraph"/>
              <w:spacing w:before="36"/>
              <w:ind w:left="99"/>
              <w:rPr>
                <w:sz w:val="21"/>
              </w:rPr>
            </w:pPr>
            <w:r>
              <w:rPr>
                <w:sz w:val="21"/>
              </w:rPr>
              <w:t>（1）肾髓质有囊肿、肾小管萎缩及间质纤维化等病理改变；</w:t>
            </w:r>
          </w:p>
          <w:p>
            <w:pPr>
              <w:pStyle w:val="TableParagraph"/>
              <w:spacing w:before="37"/>
              <w:ind w:left="99"/>
              <w:rPr>
                <w:sz w:val="21"/>
              </w:rPr>
            </w:pPr>
            <w:r>
              <w:rPr>
                <w:sz w:val="21"/>
              </w:rPr>
              <w:t>（2）贫血、多尿及肾功能衰竭等临床表现；</w:t>
            </w:r>
          </w:p>
          <w:p>
            <w:pPr>
              <w:pStyle w:val="TableParagraph"/>
              <w:spacing w:before="37"/>
              <w:ind w:left="99"/>
              <w:rPr>
                <w:sz w:val="21"/>
              </w:rPr>
            </w:pPr>
            <w:r>
              <w:rPr>
                <w:sz w:val="21"/>
              </w:rPr>
              <w:t>（3）诊断须由肾组织活检确定。</w:t>
            </w:r>
          </w:p>
        </w:tc>
      </w:tr>
      <w:tr>
        <w:trPr>
          <w:trHeight w:val="1403" w:hRule="atLeast"/>
        </w:trPr>
        <w:tc>
          <w:tcPr>
            <w:tcW w:w="1545" w:type="dxa"/>
          </w:tcPr>
          <w:p>
            <w:pPr>
              <w:pStyle w:val="TableParagraph"/>
              <w:spacing w:line="273" w:lineRule="auto"/>
              <w:ind w:left="200" w:right="97"/>
              <w:rPr>
                <w:b/>
                <w:sz w:val="21"/>
              </w:rPr>
            </w:pPr>
            <w:r>
              <w:rPr>
                <w:b/>
                <w:sz w:val="21"/>
              </w:rPr>
              <w:t>52.严重冠心病</w:t>
            </w:r>
          </w:p>
        </w:tc>
        <w:tc>
          <w:tcPr>
            <w:tcW w:w="7707" w:type="dxa"/>
          </w:tcPr>
          <w:p>
            <w:pPr>
              <w:pStyle w:val="TableParagraph"/>
              <w:spacing w:line="273" w:lineRule="auto"/>
              <w:ind w:left="99" w:right="204"/>
              <w:jc w:val="both"/>
              <w:rPr>
                <w:sz w:val="21"/>
              </w:rPr>
            </w:pPr>
            <w:r>
              <w:rPr>
                <w:sz w:val="21"/>
              </w:rPr>
              <w:t>指根据冠状动脉造影检查结果确诊的三支主要血管(左冠状动脉主干和右冠状动脉，或前降支、左旋支和右冠状动脉)严重狭窄性病变(至少一支血管管腔直径减</w:t>
            </w:r>
            <w:r>
              <w:rPr>
                <w:spacing w:val="-7"/>
                <w:sz w:val="21"/>
              </w:rPr>
              <w:t>少 </w:t>
            </w:r>
            <w:r>
              <w:rPr>
                <w:sz w:val="21"/>
              </w:rPr>
              <w:t>75</w:t>
            </w:r>
            <w:r>
              <w:rPr>
                <w:spacing w:val="-4"/>
                <w:sz w:val="21"/>
              </w:rPr>
              <w:t>%以上和其他两支血管管腔直径减少 </w:t>
            </w:r>
            <w:r>
              <w:rPr>
                <w:sz w:val="21"/>
              </w:rPr>
              <w:t>60</w:t>
            </w:r>
            <w:r>
              <w:rPr>
                <w:spacing w:val="-3"/>
                <w:sz w:val="21"/>
              </w:rPr>
              <w:t>%以上)。前降支、左旋支及右冠状动脉的分支血管的狭窄不作为本保障的衡量指标。</w:t>
            </w:r>
          </w:p>
        </w:tc>
      </w:tr>
      <w:tr>
        <w:trPr>
          <w:trHeight w:val="2028" w:hRule="atLeast"/>
        </w:trPr>
        <w:tc>
          <w:tcPr>
            <w:tcW w:w="1545" w:type="dxa"/>
          </w:tcPr>
          <w:p>
            <w:pPr>
              <w:pStyle w:val="TableParagraph"/>
              <w:spacing w:line="273" w:lineRule="auto"/>
              <w:ind w:left="200" w:right="97"/>
              <w:rPr>
                <w:b/>
                <w:sz w:val="21"/>
              </w:rPr>
            </w:pPr>
            <w:r>
              <w:rPr>
                <w:b/>
                <w:sz w:val="21"/>
              </w:rPr>
              <w:t>53.严重肌营养不良症</w:t>
            </w:r>
          </w:p>
        </w:tc>
        <w:tc>
          <w:tcPr>
            <w:tcW w:w="7707" w:type="dxa"/>
          </w:tcPr>
          <w:p>
            <w:pPr>
              <w:pStyle w:val="TableParagraph"/>
              <w:spacing w:line="273" w:lineRule="auto"/>
              <w:ind w:left="99" w:right="206"/>
              <w:rPr>
                <w:sz w:val="21"/>
              </w:rPr>
            </w:pPr>
            <w:r>
              <w:rPr>
                <w:sz w:val="21"/>
              </w:rPr>
              <w:t>是一组原发于肌肉的遗传性的肌肉病变。主要临床特征为受累骨骼肌肉的无力和肌肉萎缩。经本公司认可的神经专科医生确认符合以下四项诊断指标中的三项：</w:t>
            </w:r>
          </w:p>
          <w:p>
            <w:pPr>
              <w:pStyle w:val="TableParagraph"/>
              <w:spacing w:before="7"/>
              <w:ind w:left="99"/>
              <w:rPr>
                <w:sz w:val="21"/>
              </w:rPr>
            </w:pPr>
            <w:r>
              <w:rPr>
                <w:sz w:val="21"/>
              </w:rPr>
              <w:t>（1）家族史中有其他成员患相同疾病；</w:t>
            </w:r>
          </w:p>
          <w:p>
            <w:pPr>
              <w:pStyle w:val="TableParagraph"/>
              <w:spacing w:before="37"/>
              <w:ind w:left="99"/>
              <w:rPr>
                <w:sz w:val="21"/>
              </w:rPr>
            </w:pPr>
            <w:r>
              <w:rPr>
                <w:sz w:val="21"/>
              </w:rPr>
              <w:t>（2）临床表现包括：无感觉神经紊乱，正常脑脊液及轻微腱反射的减退；</w:t>
            </w:r>
          </w:p>
          <w:p>
            <w:pPr>
              <w:pStyle w:val="TableParagraph"/>
              <w:spacing w:before="36"/>
              <w:ind w:left="99"/>
              <w:rPr>
                <w:sz w:val="21"/>
              </w:rPr>
            </w:pPr>
            <w:r>
              <w:rPr>
                <w:sz w:val="21"/>
              </w:rPr>
              <w:t>（3）典型的肌电图；</w:t>
            </w:r>
          </w:p>
          <w:p>
            <w:pPr>
              <w:pStyle w:val="TableParagraph"/>
              <w:spacing w:before="36"/>
              <w:ind w:left="99"/>
              <w:rPr>
                <w:sz w:val="21"/>
              </w:rPr>
            </w:pPr>
            <w:r>
              <w:rPr>
                <w:sz w:val="21"/>
              </w:rPr>
              <w:t>（4）临床推测必须有肌肉或组织检查加以证实。</w:t>
            </w:r>
          </w:p>
        </w:tc>
      </w:tr>
      <w:tr>
        <w:trPr>
          <w:trHeight w:val="1716" w:hRule="atLeast"/>
        </w:trPr>
        <w:tc>
          <w:tcPr>
            <w:tcW w:w="1545" w:type="dxa"/>
          </w:tcPr>
          <w:p>
            <w:pPr>
              <w:pStyle w:val="TableParagraph"/>
              <w:spacing w:line="273" w:lineRule="auto"/>
              <w:ind w:left="200" w:right="97"/>
              <w:rPr>
                <w:b/>
                <w:sz w:val="21"/>
              </w:rPr>
            </w:pPr>
            <w:r>
              <w:rPr>
                <w:b/>
                <w:sz w:val="21"/>
              </w:rPr>
              <w:t>54.慢性复发性胰腺炎</w:t>
            </w:r>
          </w:p>
        </w:tc>
        <w:tc>
          <w:tcPr>
            <w:tcW w:w="7707" w:type="dxa"/>
          </w:tcPr>
          <w:p>
            <w:pPr>
              <w:pStyle w:val="TableParagraph"/>
              <w:spacing w:line="273" w:lineRule="auto"/>
              <w:ind w:left="99" w:right="197"/>
              <w:jc w:val="both"/>
              <w:rPr>
                <w:sz w:val="21"/>
              </w:rPr>
            </w:pPr>
            <w:r>
              <w:rPr>
                <w:sz w:val="21"/>
              </w:rPr>
              <w:t>指有腹痛等典型症状的胰腺炎反复发作，导致胰腺进行性破坏，并导致胰腺功能</w:t>
            </w:r>
            <w:r>
              <w:rPr>
                <w:spacing w:val="-3"/>
                <w:sz w:val="21"/>
              </w:rPr>
              <w:t>紊乱而导致严重糖尿病以及营养不良、恶液质。</w:t>
            </w:r>
            <w:r>
              <w:rPr>
                <w:sz w:val="21"/>
              </w:rPr>
              <w:t>CT</w:t>
            </w:r>
            <w:r>
              <w:rPr>
                <w:spacing w:val="-6"/>
                <w:sz w:val="21"/>
              </w:rPr>
              <w:t> 检查证实胰腺存在广泛钙化， </w:t>
            </w:r>
            <w:r>
              <w:rPr>
                <w:spacing w:val="-5"/>
                <w:sz w:val="21"/>
              </w:rPr>
              <w:t>且必须接受酶替代以及胰岛素替代治疗 </w:t>
            </w:r>
            <w:r>
              <w:rPr>
                <w:sz w:val="21"/>
              </w:rPr>
              <w:t>6</w:t>
            </w:r>
            <w:r>
              <w:rPr>
                <w:spacing w:val="-5"/>
                <w:sz w:val="21"/>
              </w:rPr>
              <w:t> 个月以上。诊断必须由消化科专科医生确诊。</w:t>
            </w:r>
          </w:p>
          <w:p>
            <w:pPr>
              <w:pStyle w:val="TableParagraph"/>
              <w:spacing w:before="7"/>
              <w:ind w:left="99"/>
              <w:jc w:val="both"/>
              <w:rPr>
                <w:rFonts w:ascii="黑体" w:eastAsia="黑体" w:hint="eastAsia"/>
                <w:sz w:val="21"/>
              </w:rPr>
            </w:pPr>
            <w:r>
              <w:rPr>
                <w:rFonts w:ascii="黑体" w:eastAsia="黑体" w:hint="eastAsia"/>
                <w:sz w:val="21"/>
              </w:rPr>
              <w:t>因酒精所致的慢性复发性胰腺炎除外。</w:t>
            </w:r>
          </w:p>
        </w:tc>
      </w:tr>
      <w:tr>
        <w:trPr>
          <w:trHeight w:val="1587" w:hRule="atLeast"/>
        </w:trPr>
        <w:tc>
          <w:tcPr>
            <w:tcW w:w="1545" w:type="dxa"/>
          </w:tcPr>
          <w:p>
            <w:pPr>
              <w:pStyle w:val="TableParagraph"/>
              <w:spacing w:line="273" w:lineRule="auto"/>
              <w:ind w:left="200" w:right="97"/>
              <w:rPr>
                <w:b/>
                <w:sz w:val="21"/>
              </w:rPr>
            </w:pPr>
            <w:r>
              <w:rPr>
                <w:b/>
                <w:sz w:val="21"/>
              </w:rPr>
              <w:t>55.进行性核上性麻痹</w:t>
            </w:r>
          </w:p>
        </w:tc>
        <w:tc>
          <w:tcPr>
            <w:tcW w:w="7707" w:type="dxa"/>
          </w:tcPr>
          <w:p>
            <w:pPr>
              <w:pStyle w:val="TableParagraph"/>
              <w:spacing w:line="273" w:lineRule="auto"/>
              <w:ind w:left="99" w:right="204"/>
              <w:jc w:val="both"/>
              <w:rPr>
                <w:sz w:val="21"/>
              </w:rPr>
            </w:pPr>
            <w:r>
              <w:rPr>
                <w:spacing w:val="-3"/>
                <w:sz w:val="21"/>
              </w:rPr>
              <w:t>进行性核上性麻痹</w:t>
            </w:r>
            <w:r>
              <w:rPr>
                <w:sz w:val="21"/>
              </w:rPr>
              <w:t>（PSP）</w:t>
            </w:r>
            <w:r>
              <w:rPr>
                <w:spacing w:val="-9"/>
                <w:sz w:val="21"/>
              </w:rPr>
              <w:t>又称 </w:t>
            </w:r>
            <w:r>
              <w:rPr>
                <w:sz w:val="21"/>
              </w:rPr>
              <w:t>Steele-Rchardson-Olszewski</w:t>
            </w:r>
            <w:r>
              <w:rPr>
                <w:spacing w:val="-7"/>
                <w:sz w:val="21"/>
              </w:rPr>
              <w:t> 综合症，是一种神经系统变性疾病，以假球麻痹、垂直性核上性眼肌麻痹、锥体外系肌僵直、步态共济失调和轻度痴呆为主要临床特征。PSP</w:t>
            </w:r>
            <w:r>
              <w:rPr>
                <w:sz w:val="21"/>
              </w:rPr>
              <w:t> 必须由三级甲等医院的神经内科专科医生确诊，并且被保险人自主生活能力完全丧失，无法独立完成六项基本日常生</w:t>
            </w:r>
          </w:p>
          <w:p>
            <w:pPr>
              <w:pStyle w:val="TableParagraph"/>
              <w:spacing w:line="261" w:lineRule="exact" w:before="7"/>
              <w:ind w:left="99"/>
              <w:jc w:val="both"/>
              <w:rPr>
                <w:sz w:val="21"/>
              </w:rPr>
            </w:pPr>
            <w:r>
              <w:rPr>
                <w:sz w:val="21"/>
              </w:rPr>
              <w:t>活活动中的三项或三项以上。</w:t>
            </w:r>
          </w:p>
        </w:tc>
      </w:tr>
    </w:tbl>
    <w:p>
      <w:pPr>
        <w:spacing w:after="0" w:line="261" w:lineRule="exact"/>
        <w:jc w:val="both"/>
        <w:rPr>
          <w:sz w:val="21"/>
        </w:rPr>
        <w:sectPr>
          <w:pgSz w:w="11910" w:h="16840"/>
          <w:pgMar w:header="0" w:footer="377" w:top="1340" w:bottom="560" w:left="164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7794"/>
      </w:tblGrid>
      <w:tr>
        <w:trPr>
          <w:trHeight w:val="651" w:hRule="atLeast"/>
        </w:trPr>
        <w:tc>
          <w:tcPr>
            <w:tcW w:w="1557" w:type="dxa"/>
          </w:tcPr>
          <w:p>
            <w:pPr>
              <w:pStyle w:val="TableParagraph"/>
              <w:spacing w:line="205" w:lineRule="exact" w:before="0"/>
              <w:ind w:left="200"/>
              <w:rPr>
                <w:b/>
                <w:sz w:val="21"/>
              </w:rPr>
            </w:pPr>
            <w:r>
              <w:rPr>
                <w:b/>
                <w:sz w:val="21"/>
              </w:rPr>
              <w:t>56.胰腺移植</w:t>
            </w:r>
          </w:p>
        </w:tc>
        <w:tc>
          <w:tcPr>
            <w:tcW w:w="7794" w:type="dxa"/>
          </w:tcPr>
          <w:p>
            <w:pPr>
              <w:pStyle w:val="TableParagraph"/>
              <w:spacing w:line="205" w:lineRule="exact" w:before="0"/>
              <w:ind w:left="87"/>
              <w:rPr>
                <w:sz w:val="21"/>
              </w:rPr>
            </w:pPr>
            <w:r>
              <w:rPr>
                <w:sz w:val="21"/>
              </w:rPr>
              <w:t>指引胰腺功能衰竭，已经实施了在全身麻醉下进行的胰腺的异体器官移植手术。</w:t>
            </w:r>
          </w:p>
          <w:p>
            <w:pPr>
              <w:pStyle w:val="TableParagraph"/>
              <w:spacing w:before="37"/>
              <w:ind w:left="87"/>
              <w:rPr>
                <w:rFonts w:ascii="黑体" w:eastAsia="黑体" w:hint="eastAsia"/>
                <w:sz w:val="21"/>
              </w:rPr>
            </w:pPr>
            <w:r>
              <w:rPr>
                <w:rFonts w:ascii="黑体" w:eastAsia="黑体" w:hint="eastAsia"/>
                <w:sz w:val="21"/>
              </w:rPr>
              <w:t>单纯胰岛移植、部分胰腺组织或细胞的移植不在本保障范围内。</w:t>
            </w:r>
          </w:p>
        </w:tc>
      </w:tr>
      <w:tr>
        <w:trPr>
          <w:trHeight w:val="2340" w:hRule="atLeast"/>
        </w:trPr>
        <w:tc>
          <w:tcPr>
            <w:tcW w:w="1557" w:type="dxa"/>
          </w:tcPr>
          <w:p>
            <w:pPr>
              <w:pStyle w:val="TableParagraph"/>
              <w:spacing w:line="273" w:lineRule="auto"/>
              <w:ind w:left="200" w:right="193"/>
              <w:rPr>
                <w:b/>
                <w:sz w:val="21"/>
              </w:rPr>
            </w:pPr>
            <w:r>
              <w:rPr>
                <w:b/>
                <w:sz w:val="21"/>
              </w:rPr>
              <w:t>57.严重雷伊氏综合症</w:t>
            </w:r>
          </w:p>
        </w:tc>
        <w:tc>
          <w:tcPr>
            <w:tcW w:w="7794" w:type="dxa"/>
          </w:tcPr>
          <w:p>
            <w:pPr>
              <w:pStyle w:val="TableParagraph"/>
              <w:spacing w:line="273" w:lineRule="auto"/>
              <w:ind w:left="87" w:right="198"/>
              <w:rPr>
                <w:sz w:val="21"/>
              </w:rPr>
            </w:pPr>
            <w:r>
              <w:rPr>
                <w:sz w:val="21"/>
              </w:rPr>
              <w:t>瑞氏综合征是线粒体功能障碍性疾病。导致脂肪代谢障碍，引起短链脂肪酸、血氨升高，造成脑水肿。主要临床表现为急性发热、反复呕吐、惊厥及意识障碍等</w:t>
            </w:r>
            <w:r>
              <w:rPr>
                <w:spacing w:val="-9"/>
                <w:sz w:val="21"/>
              </w:rPr>
              <w:t>等。肝脏活检是确诊的重要手段。瑞氏综合征需由三级医院的儿科专科医生确诊， </w:t>
            </w:r>
            <w:r>
              <w:rPr>
                <w:spacing w:val="-5"/>
                <w:sz w:val="21"/>
              </w:rPr>
              <w:t>并符合下列所有条件：</w:t>
            </w:r>
          </w:p>
          <w:p>
            <w:pPr>
              <w:pStyle w:val="TableParagraph"/>
              <w:spacing w:before="7"/>
              <w:ind w:left="87"/>
              <w:rPr>
                <w:sz w:val="21"/>
              </w:rPr>
            </w:pPr>
            <w:r>
              <w:rPr>
                <w:sz w:val="21"/>
              </w:rPr>
              <w:t>（1）有脑水肿和颅内压升高的脑脊液检查和影像学检查证据；</w:t>
            </w:r>
          </w:p>
          <w:p>
            <w:pPr>
              <w:pStyle w:val="TableParagraph"/>
              <w:spacing w:before="37"/>
              <w:ind w:left="87"/>
              <w:rPr>
                <w:sz w:val="21"/>
              </w:rPr>
            </w:pPr>
            <w:r>
              <w:rPr>
                <w:sz w:val="21"/>
              </w:rPr>
              <w:t>（2）血氨超过正常值的 3 倍；</w:t>
            </w:r>
          </w:p>
          <w:p>
            <w:pPr>
              <w:pStyle w:val="TableParagraph"/>
              <w:spacing w:before="37"/>
              <w:ind w:left="87"/>
              <w:rPr>
                <w:sz w:val="21"/>
              </w:rPr>
            </w:pPr>
            <w:r>
              <w:rPr>
                <w:sz w:val="21"/>
              </w:rPr>
              <w:t>（3）临床出现昏迷，病程至少达到疾病分期第 3 期。</w:t>
            </w:r>
          </w:p>
        </w:tc>
      </w:tr>
      <w:tr>
        <w:trPr>
          <w:trHeight w:val="2652" w:hRule="atLeast"/>
        </w:trPr>
        <w:tc>
          <w:tcPr>
            <w:tcW w:w="1557" w:type="dxa"/>
          </w:tcPr>
          <w:p>
            <w:pPr>
              <w:pStyle w:val="TableParagraph"/>
              <w:spacing w:line="273" w:lineRule="auto"/>
              <w:ind w:left="200" w:right="109"/>
              <w:rPr>
                <w:b/>
                <w:sz w:val="21"/>
              </w:rPr>
            </w:pPr>
            <w:r>
              <w:rPr>
                <w:b/>
                <w:sz w:val="21"/>
              </w:rPr>
              <w:t>58.严重自身免疫性肝炎</w:t>
            </w:r>
          </w:p>
        </w:tc>
        <w:tc>
          <w:tcPr>
            <w:tcW w:w="7794" w:type="dxa"/>
          </w:tcPr>
          <w:p>
            <w:pPr>
              <w:pStyle w:val="TableParagraph"/>
              <w:spacing w:line="273" w:lineRule="auto"/>
              <w:ind w:left="87" w:right="305"/>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87"/>
              <w:rPr>
                <w:sz w:val="21"/>
              </w:rPr>
            </w:pPr>
            <w:r>
              <w:rPr>
                <w:sz w:val="21"/>
              </w:rPr>
              <w:t>（1）高 γ 球蛋白血症；</w:t>
            </w:r>
          </w:p>
          <w:p>
            <w:pPr>
              <w:pStyle w:val="TableParagraph"/>
              <w:spacing w:line="273" w:lineRule="auto" w:before="37"/>
              <w:ind w:left="553" w:right="305" w:hanging="469"/>
              <w:rPr>
                <w:sz w:val="21"/>
              </w:rPr>
            </w:pPr>
            <w:r>
              <w:rPr>
                <w:sz w:val="21"/>
              </w:rPr>
              <w:t>（2）</w:t>
            </w:r>
            <w:r>
              <w:rPr>
                <w:spacing w:val="-6"/>
                <w:sz w:val="21"/>
              </w:rPr>
              <w:t>血液中存在高水平的自身免疫抗体，如 </w:t>
            </w:r>
            <w:r>
              <w:rPr>
                <w:sz w:val="21"/>
              </w:rPr>
              <w:t>ANA（</w:t>
            </w:r>
            <w:r>
              <w:rPr>
                <w:spacing w:val="-1"/>
                <w:sz w:val="21"/>
              </w:rPr>
              <w:t>抗核抗体</w:t>
            </w:r>
            <w:r>
              <w:rPr>
                <w:spacing w:val="-106"/>
                <w:sz w:val="21"/>
              </w:rPr>
              <w:t>）</w:t>
            </w:r>
            <w:r>
              <w:rPr>
                <w:spacing w:val="-5"/>
                <w:sz w:val="21"/>
              </w:rPr>
              <w:t>、</w:t>
            </w:r>
            <w:r>
              <w:rPr>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7"/>
              <w:ind w:left="87"/>
              <w:jc w:val="both"/>
              <w:rPr>
                <w:sz w:val="21"/>
              </w:rPr>
            </w:pPr>
            <w:r>
              <w:rPr>
                <w:sz w:val="21"/>
              </w:rPr>
              <w:t>（3）肝脏活检证实免疫性肝炎；</w:t>
            </w:r>
          </w:p>
          <w:p>
            <w:pPr>
              <w:pStyle w:val="TableParagraph"/>
              <w:spacing w:before="36"/>
              <w:ind w:left="87"/>
              <w:jc w:val="both"/>
              <w:rPr>
                <w:sz w:val="21"/>
              </w:rPr>
            </w:pPr>
            <w:r>
              <w:rPr>
                <w:sz w:val="21"/>
              </w:rPr>
              <w:t>（4）临床已经出现腹水、食道静脉曲张和脾肿大等肝硬化表现。</w:t>
            </w:r>
          </w:p>
        </w:tc>
      </w:tr>
      <w:tr>
        <w:trPr>
          <w:trHeight w:val="1716" w:hRule="atLeast"/>
        </w:trPr>
        <w:tc>
          <w:tcPr>
            <w:tcW w:w="1557" w:type="dxa"/>
          </w:tcPr>
          <w:p>
            <w:pPr>
              <w:pStyle w:val="TableParagraph"/>
              <w:ind w:left="200"/>
              <w:rPr>
                <w:b/>
                <w:sz w:val="21"/>
              </w:rPr>
            </w:pPr>
            <w:r>
              <w:rPr>
                <w:b/>
                <w:sz w:val="21"/>
              </w:rPr>
              <w:t>59.肌萎缩性</w:t>
            </w:r>
          </w:p>
          <w:p>
            <w:pPr>
              <w:pStyle w:val="TableParagraph"/>
              <w:spacing w:line="273" w:lineRule="auto" w:before="36"/>
              <w:ind w:left="200" w:right="67"/>
              <w:rPr>
                <w:b/>
                <w:sz w:val="21"/>
              </w:rPr>
            </w:pPr>
            <w:r>
              <w:rPr>
                <w:b/>
                <w:sz w:val="21"/>
              </w:rPr>
              <w:t>（脊髓）侧索硬化症</w:t>
            </w:r>
          </w:p>
        </w:tc>
        <w:tc>
          <w:tcPr>
            <w:tcW w:w="7794" w:type="dxa"/>
          </w:tcPr>
          <w:p>
            <w:pPr>
              <w:pStyle w:val="TableParagraph"/>
              <w:spacing w:line="273" w:lineRule="auto"/>
              <w:ind w:left="87" w:right="200"/>
              <w:rPr>
                <w:sz w:val="21"/>
              </w:rPr>
            </w:pPr>
            <w:r>
              <w:rPr>
                <w:sz w:val="21"/>
              </w:rPr>
              <w:t>有肌肉无力及萎缩为特征，并有以下情况作为证明：脊髓前角细胞功能失调、可见的肌肉颤动、痉挛、过度活跃之深层肌腱反射和外部足底反射、影响皮质脊髓</w:t>
            </w:r>
            <w:r>
              <w:rPr>
                <w:spacing w:val="-15"/>
                <w:sz w:val="21"/>
              </w:rPr>
              <w:t>束、构音障碍及吞咽困难。必须由专科医生以适当的神经肌肉检查如肌电图</w:t>
            </w:r>
            <w:r>
              <w:rPr>
                <w:sz w:val="21"/>
              </w:rPr>
              <w:t>（EMG） 证实。本项疾病必须导致严重的生理功能损坏（由被保人永久性无法独立完成最</w:t>
            </w:r>
            <w:r>
              <w:rPr>
                <w:spacing w:val="-22"/>
                <w:sz w:val="21"/>
              </w:rPr>
              <w:t>少 </w:t>
            </w:r>
            <w:r>
              <w:rPr>
                <w:sz w:val="21"/>
              </w:rPr>
              <w:t>3</w:t>
            </w:r>
            <w:r>
              <w:rPr>
                <w:spacing w:val="-8"/>
                <w:sz w:val="21"/>
              </w:rPr>
              <w:t> 项基本日常生活活动作为证明</w:t>
            </w:r>
            <w:r>
              <w:rPr>
                <w:spacing w:val="-108"/>
                <w:sz w:val="21"/>
              </w:rPr>
              <w:t>）</w:t>
            </w:r>
            <w:r>
              <w:rPr>
                <w:sz w:val="21"/>
              </w:rPr>
              <w:t>。</w:t>
            </w:r>
          </w:p>
        </w:tc>
      </w:tr>
      <w:tr>
        <w:trPr>
          <w:trHeight w:val="2027" w:hRule="atLeast"/>
        </w:trPr>
        <w:tc>
          <w:tcPr>
            <w:tcW w:w="1557" w:type="dxa"/>
          </w:tcPr>
          <w:p>
            <w:pPr>
              <w:pStyle w:val="TableParagraph"/>
              <w:spacing w:line="273" w:lineRule="auto"/>
              <w:ind w:left="200" w:right="109"/>
              <w:rPr>
                <w:b/>
                <w:sz w:val="21"/>
              </w:rPr>
            </w:pPr>
            <w:r>
              <w:rPr>
                <w:b/>
                <w:sz w:val="21"/>
              </w:rPr>
              <w:t>60.肝豆状核变性</w:t>
            </w:r>
          </w:p>
        </w:tc>
        <w:tc>
          <w:tcPr>
            <w:tcW w:w="7794" w:type="dxa"/>
          </w:tcPr>
          <w:p>
            <w:pPr>
              <w:pStyle w:val="TableParagraph"/>
              <w:spacing w:line="273" w:lineRule="auto"/>
              <w:ind w:left="87" w:right="305"/>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87"/>
              <w:rPr>
                <w:sz w:val="21"/>
              </w:rPr>
            </w:pPr>
            <w:r>
              <w:rPr>
                <w:sz w:val="21"/>
              </w:rPr>
              <w:t>（1）典型症状；</w:t>
            </w:r>
          </w:p>
          <w:p>
            <w:pPr>
              <w:pStyle w:val="TableParagraph"/>
              <w:spacing w:before="37"/>
              <w:ind w:left="87"/>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7"/>
              <w:ind w:left="87"/>
              <w:rPr>
                <w:sz w:val="21"/>
              </w:rPr>
            </w:pPr>
            <w:r>
              <w:rPr>
                <w:sz w:val="21"/>
              </w:rPr>
              <w:t>（3）血清铜和血清铜蓝蛋白降低，尿铜增加；</w:t>
            </w:r>
          </w:p>
          <w:p>
            <w:pPr>
              <w:pStyle w:val="TableParagraph"/>
              <w:spacing w:before="37"/>
              <w:ind w:left="87"/>
              <w:rPr>
                <w:sz w:val="21"/>
              </w:rPr>
            </w:pPr>
            <w:r>
              <w:rPr>
                <w:sz w:val="21"/>
              </w:rPr>
              <w:t>（4）经皮做肝脏活检来定量分析肝脏铜的含量。</w:t>
            </w:r>
          </w:p>
        </w:tc>
      </w:tr>
      <w:tr>
        <w:trPr>
          <w:trHeight w:val="3276" w:hRule="atLeast"/>
        </w:trPr>
        <w:tc>
          <w:tcPr>
            <w:tcW w:w="1557" w:type="dxa"/>
          </w:tcPr>
          <w:p>
            <w:pPr>
              <w:pStyle w:val="TableParagraph"/>
              <w:spacing w:line="273" w:lineRule="auto"/>
              <w:ind w:left="200" w:right="109"/>
              <w:rPr>
                <w:b/>
                <w:sz w:val="21"/>
              </w:rPr>
            </w:pPr>
            <w:r>
              <w:rPr>
                <w:b/>
                <w:sz w:val="21"/>
              </w:rPr>
              <w:t>61.严重传染性心内膜炎</w:t>
            </w:r>
          </w:p>
        </w:tc>
        <w:tc>
          <w:tcPr>
            <w:tcW w:w="7794" w:type="dxa"/>
          </w:tcPr>
          <w:p>
            <w:pPr>
              <w:pStyle w:val="TableParagraph"/>
              <w:ind w:left="87"/>
              <w:rPr>
                <w:sz w:val="21"/>
              </w:rPr>
            </w:pPr>
            <w:r>
              <w:rPr>
                <w:sz w:val="21"/>
              </w:rPr>
              <w:t>因感染性微生物造成心脏内膜发炎，并符合下列所有条件:</w:t>
            </w:r>
          </w:p>
          <w:p>
            <w:pPr>
              <w:pStyle w:val="TableParagraph"/>
              <w:numPr>
                <w:ilvl w:val="0"/>
                <w:numId w:val="35"/>
              </w:numPr>
              <w:tabs>
                <w:tab w:pos="511" w:val="left" w:leader="none"/>
              </w:tabs>
              <w:spacing w:line="240" w:lineRule="auto" w:before="37" w:after="0"/>
              <w:ind w:left="556" w:right="0" w:hanging="469"/>
              <w:jc w:val="left"/>
              <w:rPr>
                <w:sz w:val="21"/>
              </w:rPr>
            </w:pPr>
            <w:r>
              <w:rPr>
                <w:spacing w:val="-3"/>
                <w:sz w:val="21"/>
              </w:rPr>
              <w:t>血液培养测试结果为阳性，证实存在感染性微生物：</w:t>
            </w:r>
          </w:p>
          <w:p>
            <w:pPr>
              <w:pStyle w:val="TableParagraph"/>
              <w:numPr>
                <w:ilvl w:val="1"/>
                <w:numId w:val="35"/>
              </w:numPr>
              <w:tabs>
                <w:tab w:pos="511" w:val="left" w:leader="none"/>
              </w:tabs>
              <w:spacing w:line="273" w:lineRule="auto" w:before="37" w:after="0"/>
              <w:ind w:left="556" w:right="303" w:hanging="469"/>
              <w:jc w:val="left"/>
              <w:rPr>
                <w:sz w:val="21"/>
              </w:rPr>
            </w:pPr>
            <w:r>
              <w:rPr>
                <w:sz w:val="21"/>
              </w:rPr>
              <w:t>微生物：在赘生物，栓塞的赘生物或心脏内脓疡经培养或组织检查证实有微</w:t>
            </w:r>
            <w:r>
              <w:rPr>
                <w:spacing w:val="-1"/>
                <w:sz w:val="21"/>
              </w:rPr>
              <w:t>生物；或</w:t>
            </w:r>
          </w:p>
          <w:p>
            <w:pPr>
              <w:pStyle w:val="TableParagraph"/>
              <w:numPr>
                <w:ilvl w:val="1"/>
                <w:numId w:val="35"/>
              </w:numPr>
              <w:tabs>
                <w:tab w:pos="511" w:val="left" w:leader="none"/>
              </w:tabs>
              <w:spacing w:line="240" w:lineRule="auto" w:before="7" w:after="0"/>
              <w:ind w:left="556" w:right="0" w:hanging="469"/>
              <w:jc w:val="left"/>
              <w:rPr>
                <w:sz w:val="21"/>
              </w:rPr>
            </w:pPr>
            <w:r>
              <w:rPr>
                <w:spacing w:val="-3"/>
                <w:sz w:val="21"/>
              </w:rPr>
              <w:t>病理性病灶：组织检查证实赘生物或心脏内脓疡有活动性心内膜炎；或</w:t>
            </w:r>
          </w:p>
          <w:p>
            <w:pPr>
              <w:pStyle w:val="TableParagraph"/>
              <w:numPr>
                <w:ilvl w:val="1"/>
                <w:numId w:val="35"/>
              </w:numPr>
              <w:tabs>
                <w:tab w:pos="511" w:val="left" w:leader="none"/>
              </w:tabs>
              <w:spacing w:line="240" w:lineRule="auto" w:before="36" w:after="0"/>
              <w:ind w:left="556" w:right="0" w:hanging="469"/>
              <w:jc w:val="left"/>
              <w:rPr>
                <w:sz w:val="21"/>
              </w:rPr>
            </w:pPr>
            <w:r>
              <w:rPr>
                <w:spacing w:val="-3"/>
                <w:sz w:val="21"/>
              </w:rPr>
              <w:t>分别两次血液培养证实有典型之微生物且与心内膜炎符合；或</w:t>
            </w:r>
          </w:p>
          <w:p>
            <w:pPr>
              <w:pStyle w:val="TableParagraph"/>
              <w:numPr>
                <w:ilvl w:val="1"/>
                <w:numId w:val="35"/>
              </w:numPr>
              <w:tabs>
                <w:tab w:pos="511" w:val="left" w:leader="none"/>
              </w:tabs>
              <w:spacing w:line="240" w:lineRule="auto" w:before="36" w:after="0"/>
              <w:ind w:left="556" w:right="0" w:hanging="469"/>
              <w:jc w:val="left"/>
              <w:rPr>
                <w:sz w:val="21"/>
              </w:rPr>
            </w:pPr>
            <w:r>
              <w:rPr>
                <w:spacing w:val="-3"/>
                <w:sz w:val="21"/>
              </w:rPr>
              <w:t>持续血液培养证实有微生物阳性反应，且与心内膜炎符合。</w:t>
            </w:r>
          </w:p>
          <w:p>
            <w:pPr>
              <w:pStyle w:val="TableParagraph"/>
              <w:numPr>
                <w:ilvl w:val="0"/>
                <w:numId w:val="35"/>
              </w:numPr>
              <w:tabs>
                <w:tab w:pos="511" w:val="left" w:leader="none"/>
              </w:tabs>
              <w:spacing w:line="273" w:lineRule="auto" w:before="36" w:after="0"/>
              <w:ind w:left="556" w:right="306" w:hanging="469"/>
              <w:jc w:val="left"/>
              <w:rPr>
                <w:sz w:val="21"/>
              </w:rPr>
            </w:pPr>
            <w:r>
              <w:rPr>
                <w:sz w:val="21"/>
              </w:rPr>
              <w:t>心内膜炎引起中度心瓣膜闭锁不全（</w:t>
            </w:r>
            <w:r>
              <w:rPr>
                <w:spacing w:val="5"/>
                <w:sz w:val="21"/>
              </w:rPr>
              <w:t>指返流分数 </w:t>
            </w:r>
            <w:r>
              <w:rPr>
                <w:sz w:val="21"/>
              </w:rPr>
              <w:t>20%或以上）或中度心瓣膜</w:t>
            </w:r>
            <w:r>
              <w:rPr>
                <w:w w:val="100"/>
                <w:sz w:val="21"/>
              </w:rPr>
              <w:t>狭窄</w:t>
            </w:r>
            <w:r>
              <w:rPr>
                <w:spacing w:val="-3"/>
                <w:w w:val="100"/>
                <w:sz w:val="21"/>
              </w:rPr>
              <w:t>（指心瓣膜开口范围少于或等于正常的</w:t>
            </w:r>
            <w:r>
              <w:rPr>
                <w:spacing w:val="-5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numPr>
                <w:ilvl w:val="0"/>
                <w:numId w:val="35"/>
              </w:numPr>
              <w:tabs>
                <w:tab w:pos="511" w:val="left" w:leader="none"/>
              </w:tabs>
              <w:spacing w:line="240" w:lineRule="auto" w:before="7" w:after="0"/>
              <w:ind w:left="556" w:right="0" w:hanging="469"/>
              <w:jc w:val="left"/>
              <w:rPr>
                <w:sz w:val="21"/>
              </w:rPr>
            </w:pPr>
            <w:r>
              <w:rPr>
                <w:spacing w:val="-3"/>
                <w:sz w:val="21"/>
              </w:rPr>
              <w:t>心内膜炎及心瓣膜损毁程序需经由心脏专科医生确诊。</w:t>
            </w:r>
          </w:p>
        </w:tc>
      </w:tr>
      <w:tr>
        <w:trPr>
          <w:trHeight w:val="1404" w:hRule="atLeast"/>
        </w:trPr>
        <w:tc>
          <w:tcPr>
            <w:tcW w:w="1557" w:type="dxa"/>
          </w:tcPr>
          <w:p>
            <w:pPr>
              <w:pStyle w:val="TableParagraph"/>
              <w:spacing w:line="273" w:lineRule="auto"/>
              <w:ind w:left="200" w:right="84"/>
              <w:jc w:val="both"/>
              <w:rPr>
                <w:b/>
                <w:sz w:val="21"/>
              </w:rPr>
            </w:pPr>
            <w:r>
              <w:rPr>
                <w:b/>
                <w:sz w:val="21"/>
              </w:rPr>
              <w:t>62.破裂脑动脉瘤夹闭手术</w:t>
            </w:r>
          </w:p>
        </w:tc>
        <w:tc>
          <w:tcPr>
            <w:tcW w:w="7794" w:type="dxa"/>
          </w:tcPr>
          <w:p>
            <w:pPr>
              <w:pStyle w:val="TableParagraph"/>
              <w:spacing w:line="273" w:lineRule="auto"/>
              <w:ind w:left="87" w:right="305"/>
              <w:rPr>
                <w:sz w:val="21"/>
              </w:rPr>
            </w:pPr>
            <w:r>
              <w:rPr>
                <w:sz w:val="21"/>
              </w:rPr>
              <w:t>指因脑动脉瘤破裂造成蛛网膜下腔出血，被保险人实际接受了在全麻下进行的开颅动脉夹闭手术。</w:t>
            </w:r>
          </w:p>
          <w:p>
            <w:pPr>
              <w:pStyle w:val="TableParagraph"/>
              <w:spacing w:line="273" w:lineRule="auto" w:before="7"/>
              <w:ind w:left="87" w:right="305"/>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339" w:hRule="atLeast"/>
        </w:trPr>
        <w:tc>
          <w:tcPr>
            <w:tcW w:w="1557" w:type="dxa"/>
          </w:tcPr>
          <w:p>
            <w:pPr>
              <w:pStyle w:val="TableParagraph"/>
              <w:spacing w:line="261" w:lineRule="exact"/>
              <w:ind w:left="200"/>
              <w:rPr>
                <w:b/>
                <w:sz w:val="21"/>
              </w:rPr>
            </w:pPr>
            <w:r>
              <w:rPr>
                <w:b/>
                <w:sz w:val="21"/>
              </w:rPr>
              <w:t>63.主动脉夹</w:t>
            </w:r>
          </w:p>
        </w:tc>
        <w:tc>
          <w:tcPr>
            <w:tcW w:w="7794" w:type="dxa"/>
          </w:tcPr>
          <w:p>
            <w:pPr>
              <w:pStyle w:val="TableParagraph"/>
              <w:spacing w:line="261" w:lineRule="exact"/>
              <w:ind w:left="87"/>
              <w:rPr>
                <w:sz w:val="21"/>
              </w:rPr>
            </w:pPr>
            <w:r>
              <w:rPr>
                <w:sz w:val="21"/>
              </w:rPr>
              <w:t>是指主动脉壁在受到某些病理因素的破坏后，高速、高压的主动脉血流将其内膜</w:t>
            </w:r>
          </w:p>
        </w:tc>
      </w:tr>
    </w:tbl>
    <w:p>
      <w:pPr>
        <w:spacing w:after="0" w:line="261" w:lineRule="exact"/>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792"/>
      </w:tblGrid>
      <w:tr>
        <w:trPr>
          <w:trHeight w:val="963" w:hRule="atLeast"/>
        </w:trPr>
        <w:tc>
          <w:tcPr>
            <w:tcW w:w="1558" w:type="dxa"/>
          </w:tcPr>
          <w:p>
            <w:pPr>
              <w:pStyle w:val="TableParagraph"/>
              <w:spacing w:line="205" w:lineRule="exact" w:before="0"/>
              <w:ind w:left="200"/>
              <w:rPr>
                <w:b/>
                <w:sz w:val="21"/>
              </w:rPr>
            </w:pPr>
            <w:r>
              <w:rPr>
                <w:b/>
                <w:sz w:val="21"/>
              </w:rPr>
              <w:t>层充血</w:t>
            </w:r>
          </w:p>
        </w:tc>
        <w:tc>
          <w:tcPr>
            <w:tcW w:w="7792" w:type="dxa"/>
          </w:tcPr>
          <w:p>
            <w:pPr>
              <w:pStyle w:val="TableParagraph"/>
              <w:spacing w:line="205" w:lineRule="exact" w:before="0"/>
              <w:rPr>
                <w:sz w:val="21"/>
              </w:rPr>
            </w:pPr>
            <w:r>
              <w:rPr>
                <w:sz w:val="21"/>
              </w:rPr>
              <w:t>撕裂，以致主动脉腔内的血流通过主动脉内膜的破裂口进入主动脉内壁而形成血</w:t>
            </w:r>
          </w:p>
          <w:p>
            <w:pPr>
              <w:pStyle w:val="TableParagraph"/>
              <w:spacing w:before="37"/>
              <w:rPr>
                <w:sz w:val="21"/>
              </w:rPr>
            </w:pPr>
            <w:r>
              <w:rPr>
                <w:spacing w:val="-6"/>
                <w:w w:val="100"/>
                <w:sz w:val="21"/>
              </w:rPr>
              <w:t>肿。被保险人需通过电脑断层扫描</w:t>
            </w:r>
            <w:r>
              <w:rPr>
                <w:w w:val="100"/>
                <w:sz w:val="21"/>
              </w:rPr>
              <w:t>（CT</w:t>
            </w:r>
            <w:r>
              <w:rPr>
                <w:spacing w:val="-108"/>
                <w:w w:val="100"/>
                <w:sz w:val="21"/>
              </w:rPr>
              <w:t>）</w:t>
            </w:r>
            <w:r>
              <w:rPr>
                <w:spacing w:val="-8"/>
                <w:w w:val="100"/>
                <w:sz w:val="21"/>
              </w:rPr>
              <w:t>、磁共振扫描</w:t>
            </w:r>
            <w:r>
              <w:rPr>
                <w:spacing w:val="-1"/>
                <w:w w:val="100"/>
                <w:sz w:val="21"/>
              </w:rPr>
              <w:t>（</w:t>
            </w:r>
            <w:r>
              <w:rPr>
                <w:spacing w:val="-3"/>
                <w:w w:val="100"/>
                <w:sz w:val="21"/>
              </w:rPr>
              <w:t>M</w:t>
            </w:r>
            <w:r>
              <w:rPr>
                <w:w w:val="100"/>
                <w:sz w:val="21"/>
              </w:rPr>
              <w:t>RI</w:t>
            </w:r>
            <w:r>
              <w:rPr>
                <w:spacing w:val="-108"/>
                <w:w w:val="100"/>
                <w:sz w:val="21"/>
              </w:rPr>
              <w:t>）</w:t>
            </w:r>
            <w:r>
              <w:rPr>
                <w:spacing w:val="-5"/>
                <w:w w:val="100"/>
                <w:sz w:val="21"/>
              </w:rPr>
              <w:t>、磁共振血管检验法</w:t>
            </w:r>
          </w:p>
          <w:p>
            <w:pPr>
              <w:pStyle w:val="TableParagraph"/>
              <w:spacing w:before="37"/>
              <w:rPr>
                <w:sz w:val="21"/>
              </w:rPr>
            </w:pPr>
            <w:r>
              <w:rPr>
                <w:sz w:val="21"/>
              </w:rPr>
              <w:t>（MRA）或血管扫描等检查明确诊断，并且实施了胸腹切开的直视主动脉手术。</w:t>
            </w:r>
          </w:p>
        </w:tc>
      </w:tr>
      <w:tr>
        <w:trPr>
          <w:trHeight w:val="1404" w:hRule="atLeast"/>
        </w:trPr>
        <w:tc>
          <w:tcPr>
            <w:tcW w:w="1558" w:type="dxa"/>
          </w:tcPr>
          <w:p>
            <w:pPr>
              <w:pStyle w:val="TableParagraph"/>
              <w:spacing w:line="273" w:lineRule="auto"/>
              <w:ind w:left="200" w:right="110"/>
              <w:rPr>
                <w:b/>
                <w:sz w:val="21"/>
              </w:rPr>
            </w:pPr>
            <w:r>
              <w:rPr>
                <w:b/>
                <w:sz w:val="21"/>
              </w:rPr>
              <w:t>64.嗜铬细胞瘤</w:t>
            </w:r>
          </w:p>
        </w:tc>
        <w:tc>
          <w:tcPr>
            <w:tcW w:w="7792" w:type="dxa"/>
          </w:tcPr>
          <w:p>
            <w:pPr>
              <w:pStyle w:val="TableParagraph"/>
              <w:spacing w:line="273" w:lineRule="auto"/>
              <w:ind w:right="302"/>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numPr>
                <w:ilvl w:val="0"/>
                <w:numId w:val="36"/>
              </w:numPr>
              <w:tabs>
                <w:tab w:pos="719" w:val="left" w:leader="none"/>
              </w:tabs>
              <w:spacing w:line="240" w:lineRule="auto" w:before="7" w:after="0"/>
              <w:ind w:left="718" w:right="0" w:hanging="632"/>
              <w:jc w:val="left"/>
              <w:rPr>
                <w:sz w:val="21"/>
              </w:rPr>
            </w:pPr>
            <w:r>
              <w:rPr>
                <w:spacing w:val="-3"/>
                <w:sz w:val="21"/>
              </w:rPr>
              <w:t>临床有高血压症候群表现；</w:t>
            </w:r>
          </w:p>
          <w:p>
            <w:pPr>
              <w:pStyle w:val="TableParagraph"/>
              <w:numPr>
                <w:ilvl w:val="0"/>
                <w:numId w:val="36"/>
              </w:numPr>
              <w:tabs>
                <w:tab w:pos="719" w:val="left" w:leader="none"/>
              </w:tabs>
              <w:spacing w:line="240" w:lineRule="auto" w:before="37" w:after="0"/>
              <w:ind w:left="718" w:right="0" w:hanging="632"/>
              <w:jc w:val="left"/>
              <w:rPr>
                <w:sz w:val="21"/>
              </w:rPr>
            </w:pPr>
            <w:r>
              <w:rPr>
                <w:spacing w:val="-3"/>
                <w:sz w:val="21"/>
              </w:rPr>
              <w:t>已经实施了嗜铬细胞瘤切除手术。</w:t>
            </w:r>
          </w:p>
        </w:tc>
      </w:tr>
      <w:tr>
        <w:trPr>
          <w:trHeight w:val="1716" w:hRule="atLeast"/>
        </w:trPr>
        <w:tc>
          <w:tcPr>
            <w:tcW w:w="1558" w:type="dxa"/>
          </w:tcPr>
          <w:p>
            <w:pPr>
              <w:pStyle w:val="TableParagraph"/>
              <w:spacing w:line="273" w:lineRule="auto"/>
              <w:ind w:left="200" w:right="110"/>
              <w:rPr>
                <w:b/>
                <w:sz w:val="21"/>
              </w:rPr>
            </w:pPr>
            <w:r>
              <w:rPr>
                <w:b/>
                <w:sz w:val="21"/>
              </w:rPr>
              <w:t>65.完全性房室传导阻滞</w:t>
            </w:r>
          </w:p>
        </w:tc>
        <w:tc>
          <w:tcPr>
            <w:tcW w:w="7792" w:type="dxa"/>
          </w:tcPr>
          <w:p>
            <w:pPr>
              <w:pStyle w:val="TableParagraph"/>
              <w:spacing w:line="273" w:lineRule="auto"/>
              <w:ind w:right="304"/>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 次/分钟；</w:t>
            </w:r>
          </w:p>
          <w:p>
            <w:pPr>
              <w:pStyle w:val="TableParagraph"/>
              <w:spacing w:before="37"/>
              <w:rPr>
                <w:sz w:val="21"/>
              </w:rPr>
            </w:pPr>
            <w:r>
              <w:rPr>
                <w:sz w:val="21"/>
              </w:rPr>
              <w:t>(2)出现阿-斯综合征或心力衰竭的表现；</w:t>
            </w:r>
          </w:p>
          <w:p>
            <w:pPr>
              <w:pStyle w:val="TableParagraph"/>
              <w:spacing w:before="36"/>
              <w:rPr>
                <w:sz w:val="21"/>
              </w:rPr>
            </w:pPr>
            <w:r>
              <w:rPr>
                <w:sz w:val="21"/>
              </w:rPr>
              <w:t>(3)必须持续性依赖心脏起搏器维持心脏正常功能，且已经放置心脏起搏器。</w:t>
            </w:r>
          </w:p>
        </w:tc>
      </w:tr>
      <w:tr>
        <w:trPr>
          <w:trHeight w:val="1014" w:hRule="atLeast"/>
        </w:trPr>
        <w:tc>
          <w:tcPr>
            <w:tcW w:w="1558" w:type="dxa"/>
          </w:tcPr>
          <w:p>
            <w:pPr>
              <w:pStyle w:val="TableParagraph"/>
              <w:spacing w:line="273" w:lineRule="auto"/>
              <w:ind w:left="200" w:right="110"/>
              <w:jc w:val="both"/>
              <w:rPr>
                <w:b/>
                <w:sz w:val="21"/>
              </w:rPr>
            </w:pPr>
            <w:r>
              <w:rPr>
                <w:b/>
                <w:spacing w:val="5"/>
                <w:sz w:val="21"/>
              </w:rPr>
              <w:t>66</w:t>
            </w:r>
            <w:r>
              <w:rPr>
                <w:b/>
                <w:spacing w:val="10"/>
                <w:sz w:val="21"/>
              </w:rPr>
              <w:t>.侵蚀性葡</w:t>
            </w:r>
            <w:r>
              <w:rPr>
                <w:b/>
                <w:spacing w:val="-18"/>
                <w:sz w:val="21"/>
              </w:rPr>
              <w:t>萄胎</w:t>
            </w:r>
            <w:r>
              <w:rPr>
                <w:b/>
                <w:sz w:val="21"/>
              </w:rPr>
              <w:t>（或称恶性葡萄胎）</w:t>
            </w:r>
          </w:p>
        </w:tc>
        <w:tc>
          <w:tcPr>
            <w:tcW w:w="7792" w:type="dxa"/>
          </w:tcPr>
          <w:p>
            <w:pPr>
              <w:pStyle w:val="TableParagraph"/>
              <w:spacing w:line="273" w:lineRule="auto"/>
              <w:ind w:right="304"/>
              <w:rPr>
                <w:sz w:val="21"/>
              </w:rPr>
            </w:pPr>
            <w:r>
              <w:rPr>
                <w:sz w:val="21"/>
              </w:rPr>
              <w:t>该类疾病是指异常增生的绒毛组织浸润性生长侵入子宫肌层或转移至其他器官或组织的葡萄胎，并已经进行化疗或手术治疗的。</w:t>
            </w:r>
          </w:p>
        </w:tc>
      </w:tr>
      <w:tr>
        <w:trPr>
          <w:trHeight w:val="936" w:hRule="atLeast"/>
        </w:trPr>
        <w:tc>
          <w:tcPr>
            <w:tcW w:w="1558" w:type="dxa"/>
          </w:tcPr>
          <w:p>
            <w:pPr>
              <w:pStyle w:val="TableParagraph"/>
              <w:spacing w:line="256" w:lineRule="exact" w:before="0"/>
              <w:ind w:left="200"/>
              <w:rPr>
                <w:b/>
                <w:sz w:val="21"/>
              </w:rPr>
            </w:pPr>
            <w:r>
              <w:rPr>
                <w:b/>
                <w:sz w:val="21"/>
              </w:rPr>
              <w:t>67.溶血性链</w:t>
            </w:r>
          </w:p>
          <w:p>
            <w:pPr>
              <w:pStyle w:val="TableParagraph"/>
              <w:spacing w:line="273" w:lineRule="auto" w:before="37"/>
              <w:ind w:left="200" w:right="85"/>
              <w:rPr>
                <w:b/>
                <w:sz w:val="21"/>
              </w:rPr>
            </w:pPr>
            <w:r>
              <w:rPr>
                <w:b/>
                <w:sz w:val="21"/>
              </w:rPr>
              <w:t>球菌引起的坏疽</w:t>
            </w:r>
          </w:p>
        </w:tc>
        <w:tc>
          <w:tcPr>
            <w:tcW w:w="7792" w:type="dxa"/>
          </w:tcPr>
          <w:p>
            <w:pPr>
              <w:pStyle w:val="TableParagraph"/>
              <w:spacing w:line="256" w:lineRule="exact" w:before="0"/>
              <w:rPr>
                <w:sz w:val="21"/>
              </w:rPr>
            </w:pPr>
            <w:r>
              <w:rPr>
                <w:sz w:val="21"/>
              </w:rPr>
              <w:t>躯干或肢体的浅筋膜或涉及肌肉的深筋膜感染，呈暴发性进展，必须即刻手术清</w:t>
            </w:r>
          </w:p>
          <w:p>
            <w:pPr>
              <w:pStyle w:val="TableParagraph"/>
              <w:spacing w:before="37"/>
              <w:rPr>
                <w:sz w:val="21"/>
              </w:rPr>
            </w:pPr>
            <w:r>
              <w:rPr>
                <w:sz w:val="21"/>
              </w:rPr>
              <w:t>创。须在外科手术后进行组织培养证实溶血性链球菌坏疽并由专科医生确诊。</w:t>
            </w:r>
          </w:p>
        </w:tc>
      </w:tr>
      <w:tr>
        <w:trPr>
          <w:trHeight w:val="1950" w:hRule="atLeast"/>
        </w:trPr>
        <w:tc>
          <w:tcPr>
            <w:tcW w:w="1558" w:type="dxa"/>
          </w:tcPr>
          <w:p>
            <w:pPr>
              <w:pStyle w:val="TableParagraph"/>
              <w:spacing w:line="256" w:lineRule="exact" w:before="0"/>
              <w:ind w:left="200"/>
              <w:rPr>
                <w:b/>
                <w:sz w:val="21"/>
              </w:rPr>
            </w:pPr>
            <w:r>
              <w:rPr>
                <w:b/>
                <w:sz w:val="21"/>
              </w:rPr>
              <w:t>68.幼年型类</w:t>
            </w:r>
          </w:p>
          <w:p>
            <w:pPr>
              <w:pStyle w:val="TableParagraph"/>
              <w:spacing w:line="273" w:lineRule="auto" w:before="37"/>
              <w:ind w:left="200" w:right="85"/>
              <w:rPr>
                <w:b/>
                <w:sz w:val="21"/>
              </w:rPr>
            </w:pPr>
            <w:r>
              <w:rPr>
                <w:b/>
                <w:sz w:val="21"/>
              </w:rPr>
              <w:t>风湿性关节炎</w:t>
            </w:r>
          </w:p>
        </w:tc>
        <w:tc>
          <w:tcPr>
            <w:tcW w:w="7792" w:type="dxa"/>
          </w:tcPr>
          <w:p>
            <w:pPr>
              <w:pStyle w:val="TableParagraph"/>
              <w:spacing w:line="256" w:lineRule="exact" w:before="0"/>
              <w:rPr>
                <w:sz w:val="21"/>
              </w:rPr>
            </w:pPr>
            <w:r>
              <w:rPr>
                <w:sz w:val="21"/>
              </w:rPr>
              <w:t>一种少儿慢性关节炎，其特征为发热和系统性疾病体征，该体征可能于关节炎出</w:t>
            </w:r>
          </w:p>
          <w:p>
            <w:pPr>
              <w:pStyle w:val="TableParagraph"/>
              <w:spacing w:line="273" w:lineRule="auto" w:before="37"/>
              <w:ind w:right="197"/>
              <w:rPr>
                <w:sz w:val="21"/>
              </w:rPr>
            </w:pPr>
            <w:r>
              <w:rPr>
                <w:spacing w:val="-7"/>
                <w:sz w:val="21"/>
              </w:rPr>
              <w:t>现之前的数月间持续存在。主要临床症状包括每日发高热、消散性皮疹、关节炎、脾肿大、淋巴结肿大、浆膜炎、体重下降、中性白细胞增多、畸形其蛋白增加及</w:t>
            </w:r>
            <w:r>
              <w:rPr>
                <w:spacing w:val="-3"/>
                <w:sz w:val="21"/>
              </w:rPr>
              <w:t>血清抗核抗体</w:t>
            </w:r>
            <w:r>
              <w:rPr>
                <w:spacing w:val="-1"/>
                <w:sz w:val="21"/>
              </w:rPr>
              <w:t>（ANA）</w:t>
            </w:r>
            <w:r>
              <w:rPr>
                <w:spacing w:val="-3"/>
                <w:sz w:val="21"/>
              </w:rPr>
              <w:t>和类风湿因子</w:t>
            </w:r>
            <w:r>
              <w:rPr>
                <w:sz w:val="21"/>
              </w:rPr>
              <w:t>（RF）</w:t>
            </w:r>
            <w:r>
              <w:rPr>
                <w:spacing w:val="-2"/>
                <w:sz w:val="21"/>
              </w:rPr>
              <w:t>阳性。</w:t>
            </w:r>
          </w:p>
          <w:p>
            <w:pPr>
              <w:pStyle w:val="TableParagraph"/>
              <w:spacing w:line="273" w:lineRule="auto" w:before="7"/>
              <w:ind w:right="310"/>
              <w:rPr>
                <w:b/>
                <w:sz w:val="21"/>
              </w:rPr>
            </w:pPr>
            <w:r>
              <w:rPr>
                <w:b/>
                <w:sz w:val="21"/>
              </w:rPr>
              <w:t>本附加合同仅对实际接受了膝关节或髋关节置换手术治疗的严重的幼年型类风湿关节炎予以理赔。</w:t>
            </w:r>
          </w:p>
        </w:tc>
      </w:tr>
      <w:tr>
        <w:trPr>
          <w:trHeight w:val="2652" w:hRule="atLeast"/>
        </w:trPr>
        <w:tc>
          <w:tcPr>
            <w:tcW w:w="1558" w:type="dxa"/>
          </w:tcPr>
          <w:p>
            <w:pPr>
              <w:pStyle w:val="TableParagraph"/>
              <w:spacing w:line="273" w:lineRule="auto"/>
              <w:ind w:left="200" w:right="85"/>
              <w:jc w:val="both"/>
              <w:rPr>
                <w:b/>
                <w:sz w:val="21"/>
              </w:rPr>
            </w:pPr>
            <w:r>
              <w:rPr>
                <w:b/>
                <w:sz w:val="21"/>
              </w:rPr>
              <w:t>69.严重骨髓异常增生综合征</w:t>
            </w:r>
          </w:p>
        </w:tc>
        <w:tc>
          <w:tcPr>
            <w:tcW w:w="7792" w:type="dxa"/>
          </w:tcPr>
          <w:p>
            <w:pPr>
              <w:pStyle w:val="TableParagraph"/>
              <w:spacing w:line="273" w:lineRule="auto"/>
              <w:ind w:right="302"/>
              <w:jc w:val="both"/>
              <w:rPr>
                <w:sz w:val="21"/>
              </w:rPr>
            </w:pPr>
            <w:r>
              <w:rPr>
                <w:sz w:val="21"/>
              </w:rPr>
              <w:t>严重骨髓异常增生综合征是指符合世界卫生组织（WHO）2008</w:t>
            </w:r>
            <w:r>
              <w:rPr>
                <w:spacing w:val="1"/>
                <w:sz w:val="21"/>
              </w:rPr>
              <w:t> 年分型方案中的难</w:t>
            </w:r>
            <w:r>
              <w:rPr>
                <w:spacing w:val="-3"/>
                <w:w w:val="100"/>
                <w:sz w:val="21"/>
              </w:rPr>
              <w:t>治性贫血细胞减少伴原始细胞增多-</w:t>
            </w:r>
            <w:r>
              <w:rPr>
                <w:spacing w:val="-34"/>
                <w:w w:val="100"/>
                <w:sz w:val="21"/>
              </w:rPr>
              <w:t>1</w:t>
            </w:r>
            <w:r>
              <w:rPr>
                <w:w w:val="100"/>
                <w:sz w:val="21"/>
              </w:rPr>
              <w:t>（RA</w:t>
            </w:r>
            <w:r>
              <w:rPr>
                <w:spacing w:val="-3"/>
                <w:w w:val="100"/>
                <w:sz w:val="21"/>
              </w:rPr>
              <w:t>E</w:t>
            </w:r>
            <w:r>
              <w:rPr>
                <w:spacing w:val="-1"/>
                <w:w w:val="100"/>
                <w:sz w:val="21"/>
              </w:rPr>
              <w:t>B</w:t>
            </w:r>
            <w:r>
              <w:rPr>
                <w:w w:val="100"/>
                <w:sz w:val="21"/>
              </w:rPr>
              <w:t>-1</w:t>
            </w:r>
            <w:r>
              <w:rPr>
                <w:spacing w:val="-108"/>
                <w:w w:val="100"/>
                <w:sz w:val="21"/>
              </w:rPr>
              <w:t>）</w:t>
            </w:r>
            <w:r>
              <w:rPr>
                <w:spacing w:val="-7"/>
                <w:w w:val="100"/>
                <w:sz w:val="21"/>
              </w:rPr>
              <w:t>、难治性贫血细胞减少伴原始细胞增多-</w:t>
            </w:r>
            <w:r>
              <w:rPr>
                <w:spacing w:val="-3"/>
                <w:w w:val="100"/>
                <w:sz w:val="21"/>
              </w:rPr>
              <w:t>2</w:t>
            </w:r>
            <w:r>
              <w:rPr>
                <w:w w:val="100"/>
                <w:sz w:val="21"/>
              </w:rPr>
              <w:t>（R</w:t>
            </w:r>
            <w:r>
              <w:rPr>
                <w:spacing w:val="-3"/>
                <w:w w:val="100"/>
                <w:sz w:val="21"/>
              </w:rPr>
              <w:t>A</w:t>
            </w:r>
            <w:r>
              <w:rPr>
                <w:w w:val="100"/>
                <w:sz w:val="21"/>
              </w:rPr>
              <w:t>E</w:t>
            </w:r>
            <w:r>
              <w:rPr>
                <w:spacing w:val="-1"/>
                <w:w w:val="100"/>
                <w:sz w:val="21"/>
              </w:rPr>
              <w:t>B</w:t>
            </w:r>
            <w:r>
              <w:rPr>
                <w:w w:val="100"/>
                <w:sz w:val="21"/>
              </w:rPr>
              <w:t>-</w:t>
            </w:r>
            <w:r>
              <w:rPr>
                <w:spacing w:val="-3"/>
                <w:w w:val="100"/>
                <w:sz w:val="21"/>
              </w:rPr>
              <w:t>2</w:t>
            </w:r>
            <w:r>
              <w:rPr>
                <w:spacing w:val="-106"/>
                <w:w w:val="100"/>
                <w:sz w:val="21"/>
              </w:rPr>
              <w:t>）</w:t>
            </w:r>
            <w:r>
              <w:rPr>
                <w:w w:val="100"/>
                <w:sz w:val="21"/>
              </w:rPr>
              <w:t>、</w:t>
            </w:r>
            <w:r>
              <w:rPr>
                <w:spacing w:val="-3"/>
                <w:w w:val="100"/>
                <w:sz w:val="21"/>
              </w:rPr>
              <w:t>M</w:t>
            </w:r>
            <w:r>
              <w:rPr>
                <w:w w:val="100"/>
                <w:sz w:val="21"/>
              </w:rPr>
              <w:t>D</w:t>
            </w:r>
            <w:r>
              <w:rPr>
                <w:spacing w:val="-1"/>
                <w:w w:val="100"/>
                <w:sz w:val="21"/>
              </w:rPr>
              <w:t>S</w:t>
            </w:r>
            <w:r>
              <w:rPr>
                <w:spacing w:val="-2"/>
                <w:w w:val="100"/>
                <w:sz w:val="21"/>
              </w:rPr>
              <w:t>-未分类</w:t>
            </w:r>
            <w:r>
              <w:rPr>
                <w:spacing w:val="-3"/>
                <w:w w:val="100"/>
                <w:sz w:val="21"/>
              </w:rPr>
              <w:t>（</w:t>
            </w:r>
            <w:r>
              <w:rPr>
                <w:w w:val="100"/>
                <w:sz w:val="21"/>
              </w:rPr>
              <w:t>MDS</w:t>
            </w:r>
            <w:r>
              <w:rPr>
                <w:spacing w:val="-3"/>
                <w:w w:val="100"/>
                <w:sz w:val="21"/>
              </w:rPr>
              <w:t>-</w:t>
            </w:r>
            <w:r>
              <w:rPr>
                <w:w w:val="100"/>
                <w:sz w:val="21"/>
              </w:rPr>
              <w:t>U</w:t>
            </w:r>
            <w:r>
              <w:rPr>
                <w:spacing w:val="-106"/>
                <w:w w:val="100"/>
                <w:sz w:val="21"/>
              </w:rPr>
              <w:t>）</w:t>
            </w:r>
            <w:r>
              <w:rPr>
                <w:spacing w:val="-3"/>
                <w:w w:val="100"/>
                <w:sz w:val="21"/>
              </w:rPr>
              <w:t>、</w:t>
            </w:r>
            <w:r>
              <w:rPr>
                <w:w w:val="100"/>
                <w:sz w:val="21"/>
              </w:rPr>
              <w:t>MDS</w:t>
            </w:r>
            <w:r>
              <w:rPr>
                <w:sz w:val="21"/>
              </w:rPr>
              <w:t> </w:t>
            </w:r>
            <w:r>
              <w:rPr>
                <w:spacing w:val="-2"/>
                <w:w w:val="100"/>
                <w:sz w:val="21"/>
              </w:rPr>
              <w:t>伴单纯</w:t>
            </w:r>
            <w:r>
              <w:rPr>
                <w:spacing w:val="-2"/>
                <w:sz w:val="21"/>
              </w:rPr>
              <w:t> </w:t>
            </w:r>
            <w:r>
              <w:rPr>
                <w:w w:val="100"/>
                <w:sz w:val="21"/>
              </w:rPr>
              <w:t>5q</w:t>
            </w:r>
            <w:r>
              <w:rPr>
                <w:spacing w:val="-3"/>
                <w:w w:val="100"/>
                <w:sz w:val="21"/>
              </w:rPr>
              <w:t>-。且需满足下列所有条</w:t>
            </w:r>
            <w:r>
              <w:rPr>
                <w:spacing w:val="-3"/>
                <w:sz w:val="21"/>
              </w:rPr>
              <w:t>件：</w:t>
            </w:r>
          </w:p>
          <w:p>
            <w:pPr>
              <w:pStyle w:val="TableParagraph"/>
              <w:spacing w:line="273" w:lineRule="auto" w:before="7"/>
              <w:ind w:right="303"/>
              <w:jc w:val="both"/>
              <w:rPr>
                <w:sz w:val="21"/>
              </w:rPr>
            </w:pPr>
            <w:r>
              <w:rPr>
                <w:sz w:val="21"/>
              </w:rPr>
              <w:t>1</w:t>
            </w:r>
            <w:r>
              <w:rPr>
                <w:spacing w:val="-9"/>
                <w:sz w:val="21"/>
              </w:rPr>
              <w:t>、由设有专门血液病专科的公立三级甲等医院，血液病专科的主治级别以上的医</w:t>
            </w:r>
            <w:r>
              <w:rPr>
                <w:spacing w:val="-6"/>
                <w:sz w:val="21"/>
              </w:rPr>
              <w:t>师确诊；</w:t>
            </w:r>
          </w:p>
          <w:p>
            <w:pPr>
              <w:pStyle w:val="TableParagraph"/>
              <w:spacing w:before="8"/>
              <w:jc w:val="both"/>
              <w:rPr>
                <w:sz w:val="21"/>
              </w:rPr>
            </w:pPr>
            <w:r>
              <w:rPr>
                <w:sz w:val="21"/>
              </w:rPr>
              <w:t>2、骨髓穿刺或骨髓活检结果支持诊断；</w:t>
            </w:r>
          </w:p>
          <w:p>
            <w:pPr>
              <w:pStyle w:val="TableParagraph"/>
              <w:spacing w:before="37"/>
              <w:jc w:val="both"/>
              <w:rPr>
                <w:sz w:val="21"/>
              </w:rPr>
            </w:pPr>
            <w:r>
              <w:rPr>
                <w:sz w:val="21"/>
              </w:rPr>
              <w:t>3、患者已接受持续一个月以上的化疗或已接受骨髓移植治疗。</w:t>
            </w:r>
          </w:p>
        </w:tc>
      </w:tr>
      <w:tr>
        <w:trPr>
          <w:trHeight w:val="1716" w:hRule="atLeast"/>
        </w:trPr>
        <w:tc>
          <w:tcPr>
            <w:tcW w:w="1558" w:type="dxa"/>
          </w:tcPr>
          <w:p>
            <w:pPr>
              <w:pStyle w:val="TableParagraph"/>
              <w:ind w:left="200"/>
              <w:rPr>
                <w:b/>
                <w:sz w:val="21"/>
              </w:rPr>
            </w:pPr>
            <w:r>
              <w:rPr>
                <w:b/>
                <w:sz w:val="21"/>
              </w:rPr>
              <w:t>70.严重癫痫</w:t>
            </w:r>
          </w:p>
        </w:tc>
        <w:tc>
          <w:tcPr>
            <w:tcW w:w="7792" w:type="dxa"/>
          </w:tcPr>
          <w:p>
            <w:pPr>
              <w:pStyle w:val="TableParagraph"/>
              <w:rPr>
                <w:sz w:val="21"/>
              </w:rPr>
            </w:pPr>
            <w:r>
              <w:rPr>
                <w:sz w:val="21"/>
              </w:rPr>
              <w:t>本病的诊断须由神经科或儿科专科医生根据典型临床症状和脑电图及 MRI、PET、</w:t>
            </w:r>
          </w:p>
          <w:p>
            <w:pPr>
              <w:pStyle w:val="TableParagraph"/>
              <w:spacing w:line="273" w:lineRule="auto" w:before="36"/>
              <w:ind w:right="302"/>
              <w:jc w:val="both"/>
              <w:rPr>
                <w:sz w:val="21"/>
              </w:rPr>
            </w:pPr>
            <w:r>
              <w:rPr>
                <w:sz w:val="21"/>
              </w:rPr>
              <w:t>CT</w:t>
            </w:r>
            <w:r>
              <w:rPr>
                <w:spacing w:val="-11"/>
                <w:sz w:val="21"/>
              </w:rPr>
              <w:t> 等影相学检查做出。理赔时必须提供 </w:t>
            </w:r>
            <w:r>
              <w:rPr>
                <w:sz w:val="21"/>
              </w:rPr>
              <w:t>6</w:t>
            </w:r>
            <w:r>
              <w:rPr>
                <w:spacing w:val="-8"/>
                <w:sz w:val="21"/>
              </w:rPr>
              <w:t> 个月以上的相关病历记录证明被保险人存在经抗癫痫药物治疗无效而反复发作的强直阵挛性发作或癫痫大发作，或者已</w:t>
            </w:r>
            <w:r>
              <w:rPr>
                <w:spacing w:val="-5"/>
                <w:sz w:val="21"/>
              </w:rPr>
              <w:t>行神经外科手术以治疗反复发作的癫痫。</w:t>
            </w:r>
          </w:p>
          <w:p>
            <w:pPr>
              <w:pStyle w:val="TableParagraph"/>
              <w:spacing w:before="7"/>
              <w:jc w:val="both"/>
              <w:rPr>
                <w:b/>
                <w:sz w:val="21"/>
              </w:rPr>
            </w:pPr>
            <w:r>
              <w:rPr>
                <w:b/>
                <w:sz w:val="21"/>
              </w:rPr>
              <w:t>发热性惊厥以及没有全身性发作的失神发作（癫痫小发作）不在本保障范围内。</w:t>
            </w:r>
          </w:p>
        </w:tc>
      </w:tr>
      <w:tr>
        <w:trPr>
          <w:trHeight w:val="1716" w:hRule="atLeast"/>
        </w:trPr>
        <w:tc>
          <w:tcPr>
            <w:tcW w:w="1558" w:type="dxa"/>
          </w:tcPr>
          <w:p>
            <w:pPr>
              <w:pStyle w:val="TableParagraph"/>
              <w:spacing w:line="273" w:lineRule="auto"/>
              <w:ind w:left="200" w:right="110"/>
              <w:rPr>
                <w:b/>
                <w:sz w:val="21"/>
              </w:rPr>
            </w:pPr>
            <w:r>
              <w:rPr>
                <w:b/>
                <w:sz w:val="21"/>
              </w:rPr>
              <w:t>71.结核性脑膜炎</w:t>
            </w:r>
          </w:p>
        </w:tc>
        <w:tc>
          <w:tcPr>
            <w:tcW w:w="7792" w:type="dxa"/>
          </w:tcPr>
          <w:p>
            <w:pPr>
              <w:pStyle w:val="TableParagraph"/>
              <w:rPr>
                <w:sz w:val="21"/>
              </w:rPr>
            </w:pPr>
            <w:r>
              <w:rPr>
                <w:sz w:val="21"/>
              </w:rPr>
              <w:t>由结核杆菌引起的脑膜和脊膜的非化脓性炎症性疾病。 需满足以下全部条件：</w:t>
            </w:r>
          </w:p>
          <w:p>
            <w:pPr>
              <w:pStyle w:val="TableParagraph"/>
              <w:spacing w:before="36"/>
              <w:rPr>
                <w:sz w:val="21"/>
              </w:rPr>
            </w:pPr>
            <w:r>
              <w:rPr>
                <w:sz w:val="21"/>
              </w:rPr>
              <w:t>（1）出现颅内压明显增高，表现头痛、呕吐和视乳头水肿；</w:t>
            </w:r>
          </w:p>
          <w:p>
            <w:pPr>
              <w:pStyle w:val="TableParagraph"/>
              <w:spacing w:before="37"/>
              <w:rPr>
                <w:sz w:val="21"/>
              </w:rPr>
            </w:pPr>
            <w:r>
              <w:rPr>
                <w:sz w:val="21"/>
              </w:rPr>
              <w:t>（2）出现部分性、全身性癫痫发作或癫痫持续状态；</w:t>
            </w:r>
          </w:p>
          <w:p>
            <w:pPr>
              <w:pStyle w:val="TableParagraph"/>
              <w:spacing w:before="37"/>
              <w:rPr>
                <w:sz w:val="21"/>
              </w:rPr>
            </w:pPr>
            <w:r>
              <w:rPr>
                <w:sz w:val="21"/>
              </w:rPr>
              <w:t>（3）昏睡或意识模糊；</w:t>
            </w:r>
          </w:p>
          <w:p>
            <w:pPr>
              <w:pStyle w:val="TableParagraph"/>
              <w:spacing w:before="37"/>
              <w:rPr>
                <w:sz w:val="21"/>
              </w:rPr>
            </w:pPr>
            <w:r>
              <w:rPr>
                <w:sz w:val="21"/>
              </w:rPr>
              <w:t>（4）视力减退、复视和面神经麻痹。</w:t>
            </w:r>
          </w:p>
        </w:tc>
      </w:tr>
      <w:tr>
        <w:trPr>
          <w:trHeight w:val="339" w:hRule="atLeast"/>
        </w:trPr>
        <w:tc>
          <w:tcPr>
            <w:tcW w:w="1558" w:type="dxa"/>
          </w:tcPr>
          <w:p>
            <w:pPr>
              <w:pStyle w:val="TableParagraph"/>
              <w:spacing w:line="261" w:lineRule="exact"/>
              <w:ind w:left="200"/>
              <w:rPr>
                <w:b/>
                <w:sz w:val="21"/>
              </w:rPr>
            </w:pPr>
            <w:r>
              <w:rPr>
                <w:b/>
                <w:sz w:val="21"/>
              </w:rPr>
              <w:t>72.原发性骨</w:t>
            </w:r>
          </w:p>
        </w:tc>
        <w:tc>
          <w:tcPr>
            <w:tcW w:w="7792" w:type="dxa"/>
          </w:tcPr>
          <w:p>
            <w:pPr>
              <w:pStyle w:val="TableParagraph"/>
              <w:spacing w:line="261" w:lineRule="exact"/>
              <w:rPr>
                <w:sz w:val="21"/>
              </w:rPr>
            </w:pPr>
            <w:r>
              <w:rPr>
                <w:sz w:val="21"/>
              </w:rPr>
              <w:t>原发性骨髓纤维化为原因不明的骨髓中成纤维细胞增殖，伴有髓外造血，表现为</w:t>
            </w:r>
          </w:p>
        </w:tc>
      </w:tr>
    </w:tbl>
    <w:p>
      <w:pPr>
        <w:spacing w:after="0" w:line="261" w:lineRule="exact"/>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790"/>
      </w:tblGrid>
      <w:tr>
        <w:trPr>
          <w:trHeight w:val="2523" w:hRule="atLeast"/>
        </w:trPr>
        <w:tc>
          <w:tcPr>
            <w:tcW w:w="1558" w:type="dxa"/>
          </w:tcPr>
          <w:p>
            <w:pPr>
              <w:pStyle w:val="TableParagraph"/>
              <w:spacing w:line="205" w:lineRule="exact" w:before="0"/>
              <w:ind w:left="200"/>
              <w:rPr>
                <w:b/>
                <w:sz w:val="21"/>
              </w:rPr>
            </w:pPr>
            <w:r>
              <w:rPr>
                <w:b/>
                <w:sz w:val="21"/>
              </w:rPr>
              <w:t>髓纤维化</w:t>
            </w:r>
          </w:p>
        </w:tc>
        <w:tc>
          <w:tcPr>
            <w:tcW w:w="7790" w:type="dxa"/>
          </w:tcPr>
          <w:p>
            <w:pPr>
              <w:pStyle w:val="TableParagraph"/>
              <w:spacing w:line="205" w:lineRule="exact" w:before="0"/>
              <w:rPr>
                <w:sz w:val="21"/>
              </w:rPr>
            </w:pPr>
            <w:r>
              <w:rPr>
                <w:sz w:val="21"/>
              </w:rPr>
              <w:t>进行性贫血、脾肿大等症状。本病必须根据骨髓的活组织检查和周围血象检查由</w:t>
            </w:r>
          </w:p>
          <w:p>
            <w:pPr>
              <w:pStyle w:val="TableParagraph"/>
              <w:spacing w:line="273" w:lineRule="auto" w:before="37"/>
              <w:ind w:right="302"/>
              <w:rPr>
                <w:sz w:val="21"/>
              </w:rPr>
            </w:pPr>
            <w:r>
              <w:rPr>
                <w:sz w:val="21"/>
              </w:rPr>
              <w:t>血液科专科医生明确诊断，并至少符合下列条件中的三项，且符合条件的状态持续 180 天及以上，并已经实际接受了针对此症的治疗：</w:t>
            </w:r>
          </w:p>
          <w:p>
            <w:pPr>
              <w:pStyle w:val="TableParagraph"/>
              <w:spacing w:before="7"/>
              <w:rPr>
                <w:sz w:val="21"/>
              </w:rPr>
            </w:pPr>
            <w:r>
              <w:rPr>
                <w:sz w:val="21"/>
              </w:rPr>
              <w:t>（1）血红蛋白&lt;100g/L；</w:t>
            </w:r>
          </w:p>
          <w:p>
            <w:pPr>
              <w:pStyle w:val="TableParagraph"/>
              <w:spacing w:before="36"/>
              <w:rPr>
                <w:sz w:val="21"/>
              </w:rPr>
            </w:pPr>
            <w:r>
              <w:rPr>
                <w:sz w:val="21"/>
              </w:rPr>
              <w:t>（2）白细胞计数&gt;25 109/L；</w:t>
            </w:r>
          </w:p>
          <w:p>
            <w:pPr>
              <w:pStyle w:val="TableParagraph"/>
              <w:spacing w:before="36"/>
              <w:rPr>
                <w:sz w:val="21"/>
              </w:rPr>
            </w:pPr>
            <w:r>
              <w:rPr>
                <w:sz w:val="21"/>
              </w:rPr>
              <w:t>（3）外周血原始细胞 1%；</w:t>
            </w:r>
          </w:p>
          <w:p>
            <w:pPr>
              <w:pStyle w:val="TableParagraph"/>
              <w:spacing w:before="36"/>
              <w:rPr>
                <w:sz w:val="21"/>
              </w:rPr>
            </w:pPr>
            <w:r>
              <w:rPr>
                <w:sz w:val="21"/>
              </w:rPr>
              <w:t>（4）血小板计数&lt;100 109/L。</w:t>
            </w:r>
          </w:p>
          <w:p>
            <w:pPr>
              <w:pStyle w:val="TableParagraph"/>
              <w:spacing w:before="36"/>
              <w:rPr>
                <w:b/>
                <w:sz w:val="21"/>
              </w:rPr>
            </w:pPr>
            <w:r>
              <w:rPr>
                <w:b/>
                <w:sz w:val="21"/>
              </w:rPr>
              <w:t>任何其它病因导致的继发性骨髓纤维化不在保障范围内。</w:t>
            </w:r>
          </w:p>
        </w:tc>
      </w:tr>
      <w:tr>
        <w:trPr>
          <w:trHeight w:val="1092" w:hRule="atLeast"/>
        </w:trPr>
        <w:tc>
          <w:tcPr>
            <w:tcW w:w="1558" w:type="dxa"/>
          </w:tcPr>
          <w:p>
            <w:pPr>
              <w:pStyle w:val="TableParagraph"/>
              <w:spacing w:line="273" w:lineRule="auto"/>
              <w:ind w:left="200" w:right="110"/>
              <w:rPr>
                <w:b/>
                <w:sz w:val="21"/>
              </w:rPr>
            </w:pPr>
            <w:r>
              <w:rPr>
                <w:b/>
                <w:sz w:val="21"/>
              </w:rPr>
              <w:t>73.肺淋巴管肌瘤病</w:t>
            </w:r>
          </w:p>
        </w:tc>
        <w:tc>
          <w:tcPr>
            <w:tcW w:w="7790" w:type="dxa"/>
          </w:tcPr>
          <w:p>
            <w:pPr>
              <w:pStyle w:val="TableParagraph"/>
              <w:spacing w:line="273" w:lineRule="auto"/>
              <w:ind w:right="300"/>
              <w:jc w:val="both"/>
              <w:rPr>
                <w:sz w:val="21"/>
              </w:rPr>
            </w:pPr>
            <w:r>
              <w:rPr>
                <w:sz w:val="21"/>
              </w:rPr>
              <w:t>肺淋巴管肌瘤病是一种弥漫性肺部疾病，主要病理改变为肺间质、支气管、血管</w:t>
            </w:r>
            <w:r>
              <w:rPr>
                <w:spacing w:val="-5"/>
                <w:sz w:val="21"/>
              </w:rPr>
              <w:t>和淋巴管内出现未成熟的平滑肌异常增生，同时需满足下列条件：</w:t>
            </w:r>
            <w:r>
              <w:rPr>
                <w:spacing w:val="-11"/>
                <w:sz w:val="21"/>
              </w:rPr>
              <w:t>1</w:t>
            </w:r>
            <w:r>
              <w:rPr>
                <w:spacing w:val="-6"/>
                <w:sz w:val="21"/>
              </w:rPr>
              <w:t>、经组织病理</w:t>
            </w:r>
            <w:r>
              <w:rPr>
                <w:spacing w:val="-4"/>
                <w:sz w:val="21"/>
              </w:rPr>
              <w:t>学诊断；</w:t>
            </w:r>
            <w:r>
              <w:rPr>
                <w:sz w:val="21"/>
              </w:rPr>
              <w:t>2、CT</w:t>
            </w:r>
            <w:r>
              <w:rPr>
                <w:spacing w:val="-6"/>
                <w:sz w:val="21"/>
              </w:rPr>
              <w:t> 显示双肺弥漫性囊性改变；</w:t>
            </w:r>
            <w:r>
              <w:rPr>
                <w:sz w:val="21"/>
              </w:rPr>
              <w:t>3</w:t>
            </w:r>
            <w:r>
              <w:rPr>
                <w:spacing w:val="-3"/>
                <w:sz w:val="21"/>
              </w:rPr>
              <w:t>、血气提示低氧血症。</w:t>
            </w:r>
          </w:p>
        </w:tc>
      </w:tr>
      <w:tr>
        <w:trPr>
          <w:trHeight w:val="2028" w:hRule="atLeast"/>
        </w:trPr>
        <w:tc>
          <w:tcPr>
            <w:tcW w:w="1558" w:type="dxa"/>
          </w:tcPr>
          <w:p>
            <w:pPr>
              <w:pStyle w:val="TableParagraph"/>
              <w:spacing w:line="273" w:lineRule="auto"/>
              <w:ind w:left="200" w:right="85"/>
              <w:jc w:val="both"/>
              <w:rPr>
                <w:b/>
                <w:sz w:val="21"/>
              </w:rPr>
            </w:pPr>
            <w:r>
              <w:rPr>
                <w:b/>
                <w:sz w:val="21"/>
              </w:rPr>
              <w:t>74.严重慢性呼吸功能衰竭</w:t>
            </w:r>
          </w:p>
        </w:tc>
        <w:tc>
          <w:tcPr>
            <w:tcW w:w="7790" w:type="dxa"/>
          </w:tcPr>
          <w:p>
            <w:pPr>
              <w:pStyle w:val="TableParagraph"/>
              <w:spacing w:line="273" w:lineRule="auto"/>
              <w:ind w:right="302"/>
              <w:rPr>
                <w:sz w:val="21"/>
              </w:rPr>
            </w:pPr>
            <w:r>
              <w:rPr>
                <w:sz w:val="21"/>
              </w:rPr>
              <w:t>指患有慢性呼吸系统疾病或其它导致呼吸功能障碍的慢性疾病而出现永久不可逆性的慢性呼吸衰竭，并须满足下列全部条件：</w:t>
            </w:r>
          </w:p>
          <w:p>
            <w:pPr>
              <w:pStyle w:val="TableParagraph"/>
              <w:numPr>
                <w:ilvl w:val="0"/>
                <w:numId w:val="37"/>
              </w:numPr>
              <w:tabs>
                <w:tab w:pos="719" w:val="left" w:leader="none"/>
              </w:tabs>
              <w:spacing w:line="240" w:lineRule="auto" w:before="7" w:after="0"/>
              <w:ind w:left="718" w:right="0" w:hanging="632"/>
              <w:jc w:val="left"/>
              <w:rPr>
                <w:sz w:val="21"/>
              </w:rPr>
            </w:pPr>
            <w:r>
              <w:rPr>
                <w:spacing w:val="-3"/>
                <w:sz w:val="21"/>
              </w:rPr>
              <w:t>休息时出现呼吸困难；</w:t>
            </w:r>
          </w:p>
          <w:p>
            <w:pPr>
              <w:pStyle w:val="TableParagraph"/>
              <w:numPr>
                <w:ilvl w:val="0"/>
                <w:numId w:val="37"/>
              </w:numPr>
              <w:tabs>
                <w:tab w:pos="719" w:val="left" w:leader="none"/>
              </w:tabs>
              <w:spacing w:line="240" w:lineRule="auto" w:before="37" w:after="0"/>
              <w:ind w:left="718" w:right="0" w:hanging="632"/>
              <w:jc w:val="left"/>
              <w:rPr>
                <w:sz w:val="21"/>
              </w:rPr>
            </w:pPr>
            <w:r>
              <w:rPr>
                <w:spacing w:val="-3"/>
                <w:sz w:val="21"/>
              </w:rPr>
              <w:t>动脉氧分压 </w:t>
            </w:r>
            <w:r>
              <w:rPr>
                <w:sz w:val="21"/>
              </w:rPr>
              <w:t>（PaO2 ）&lt;</w:t>
            </w:r>
            <w:r>
              <w:rPr>
                <w:spacing w:val="1"/>
                <w:sz w:val="21"/>
              </w:rPr>
              <w:t> </w:t>
            </w:r>
            <w:r>
              <w:rPr>
                <w:sz w:val="21"/>
              </w:rPr>
              <w:t>50mmHg；</w:t>
            </w:r>
          </w:p>
          <w:p>
            <w:pPr>
              <w:pStyle w:val="TableParagraph"/>
              <w:numPr>
                <w:ilvl w:val="0"/>
                <w:numId w:val="37"/>
              </w:numPr>
              <w:tabs>
                <w:tab w:pos="719" w:val="left" w:leader="none"/>
              </w:tabs>
              <w:spacing w:line="240" w:lineRule="auto" w:before="37" w:after="0"/>
              <w:ind w:left="718" w:right="0" w:hanging="632"/>
              <w:jc w:val="left"/>
              <w:rPr>
                <w:sz w:val="21"/>
              </w:rPr>
            </w:pPr>
            <w:r>
              <w:rPr>
                <w:spacing w:val="-3"/>
                <w:sz w:val="21"/>
              </w:rPr>
              <w:t>动脉血氧饱和度 </w:t>
            </w:r>
            <w:r>
              <w:rPr>
                <w:sz w:val="21"/>
              </w:rPr>
              <w:t>（SaO2</w:t>
            </w:r>
            <w:r>
              <w:rPr>
                <w:spacing w:val="2"/>
                <w:sz w:val="21"/>
              </w:rPr>
              <w:t> </w:t>
            </w:r>
            <w:r>
              <w:rPr>
                <w:sz w:val="21"/>
              </w:rPr>
              <w:t>）&lt;</w:t>
            </w:r>
            <w:r>
              <w:rPr>
                <w:spacing w:val="5"/>
                <w:sz w:val="21"/>
              </w:rPr>
              <w:t> </w:t>
            </w:r>
            <w:r>
              <w:rPr>
                <w:spacing w:val="-3"/>
                <w:sz w:val="21"/>
              </w:rPr>
              <w:t>80％；</w:t>
            </w:r>
          </w:p>
          <w:p>
            <w:pPr>
              <w:pStyle w:val="TableParagraph"/>
              <w:numPr>
                <w:ilvl w:val="0"/>
                <w:numId w:val="37"/>
              </w:numPr>
              <w:tabs>
                <w:tab w:pos="719" w:val="left" w:leader="none"/>
              </w:tabs>
              <w:spacing w:line="240" w:lineRule="auto" w:before="37" w:after="0"/>
              <w:ind w:left="718" w:right="0" w:hanging="632"/>
              <w:jc w:val="left"/>
              <w:rPr>
                <w:sz w:val="21"/>
              </w:rPr>
            </w:pPr>
            <w:r>
              <w:rPr>
                <w:spacing w:val="-3"/>
                <w:sz w:val="21"/>
              </w:rPr>
              <w:t>因缺氧必须接受持续的输氧治疗。</w:t>
            </w:r>
          </w:p>
        </w:tc>
      </w:tr>
      <w:tr>
        <w:trPr>
          <w:trHeight w:val="1092" w:hRule="atLeast"/>
        </w:trPr>
        <w:tc>
          <w:tcPr>
            <w:tcW w:w="1558" w:type="dxa"/>
          </w:tcPr>
          <w:p>
            <w:pPr>
              <w:pStyle w:val="TableParagraph"/>
              <w:ind w:left="200"/>
              <w:rPr>
                <w:b/>
                <w:sz w:val="21"/>
              </w:rPr>
            </w:pPr>
            <w:r>
              <w:rPr>
                <w:b/>
                <w:sz w:val="21"/>
              </w:rPr>
              <w:t>75.斯蒂尔病</w:t>
            </w:r>
          </w:p>
        </w:tc>
        <w:tc>
          <w:tcPr>
            <w:tcW w:w="7790" w:type="dxa"/>
          </w:tcPr>
          <w:p>
            <w:pPr>
              <w:pStyle w:val="TableParagraph"/>
              <w:rPr>
                <w:sz w:val="21"/>
              </w:rPr>
            </w:pPr>
            <w:r>
              <w:rPr>
                <w:sz w:val="21"/>
              </w:rPr>
              <w:t>斯蒂尔病须满足下列全部条件：</w:t>
            </w:r>
          </w:p>
          <w:p>
            <w:pPr>
              <w:pStyle w:val="TableParagraph"/>
              <w:numPr>
                <w:ilvl w:val="0"/>
                <w:numId w:val="38"/>
              </w:numPr>
              <w:tabs>
                <w:tab w:pos="510" w:val="left" w:leader="none"/>
              </w:tabs>
              <w:spacing w:line="240" w:lineRule="auto" w:before="36" w:after="0"/>
              <w:ind w:left="509" w:right="0" w:hanging="423"/>
              <w:jc w:val="left"/>
              <w:rPr>
                <w:sz w:val="21"/>
              </w:rPr>
            </w:pPr>
            <w:r>
              <w:rPr>
                <w:spacing w:val="-3"/>
                <w:sz w:val="21"/>
              </w:rPr>
              <w:t>因该病引致广泛性关节破坏，以致需要进行髋及膝关节置换；</w:t>
            </w:r>
          </w:p>
          <w:p>
            <w:pPr>
              <w:pStyle w:val="TableParagraph"/>
              <w:numPr>
                <w:ilvl w:val="0"/>
                <w:numId w:val="38"/>
              </w:numPr>
              <w:tabs>
                <w:tab w:pos="510" w:val="left" w:leader="none"/>
              </w:tabs>
              <w:spacing w:line="240" w:lineRule="auto" w:before="36" w:after="0"/>
              <w:ind w:left="509" w:right="0" w:hanging="423"/>
              <w:jc w:val="left"/>
              <w:rPr>
                <w:sz w:val="21"/>
              </w:rPr>
            </w:pPr>
            <w:r>
              <w:rPr>
                <w:spacing w:val="-3"/>
                <w:sz w:val="21"/>
              </w:rPr>
              <w:t>由风湿病专科医生确定诊断。</w:t>
            </w:r>
          </w:p>
        </w:tc>
      </w:tr>
      <w:tr>
        <w:trPr>
          <w:trHeight w:val="1404" w:hRule="atLeast"/>
        </w:trPr>
        <w:tc>
          <w:tcPr>
            <w:tcW w:w="1558" w:type="dxa"/>
          </w:tcPr>
          <w:p>
            <w:pPr>
              <w:pStyle w:val="TableParagraph"/>
              <w:spacing w:line="273" w:lineRule="auto" w:before="59"/>
              <w:ind w:left="200" w:right="110"/>
              <w:rPr>
                <w:b/>
                <w:sz w:val="21"/>
              </w:rPr>
            </w:pPr>
            <w:r>
              <w:rPr>
                <w:b/>
                <w:sz w:val="21"/>
              </w:rPr>
              <w:t>76.骨生长不全症</w:t>
            </w:r>
          </w:p>
        </w:tc>
        <w:tc>
          <w:tcPr>
            <w:tcW w:w="7790" w:type="dxa"/>
          </w:tcPr>
          <w:p>
            <w:pPr>
              <w:pStyle w:val="TableParagraph"/>
              <w:spacing w:before="59"/>
              <w:rPr>
                <w:sz w:val="21"/>
              </w:rPr>
            </w:pPr>
            <w:r>
              <w:rPr>
                <w:spacing w:val="-11"/>
                <w:sz w:val="21"/>
              </w:rPr>
              <w:t>一种胶原病，特征为骨易碎，骨质疏松和易骨折。该病有 </w:t>
            </w:r>
            <w:r>
              <w:rPr>
                <w:sz w:val="21"/>
              </w:rPr>
              <w:t>4</w:t>
            </w:r>
            <w:r>
              <w:rPr>
                <w:spacing w:val="-14"/>
                <w:sz w:val="21"/>
              </w:rPr>
              <w:t> 种类型：</w:t>
            </w:r>
            <w:r>
              <w:rPr>
                <w:spacing w:val="-12"/>
                <w:sz w:val="21"/>
              </w:rPr>
              <w:t>I</w:t>
            </w:r>
            <w:r>
              <w:rPr>
                <w:spacing w:val="-4"/>
                <w:sz w:val="21"/>
              </w:rPr>
              <w:t> 型、</w:t>
            </w:r>
            <w:r>
              <w:rPr>
                <w:sz w:val="21"/>
              </w:rPr>
              <w:t>II</w:t>
            </w:r>
            <w:r>
              <w:rPr>
                <w:spacing w:val="-16"/>
                <w:sz w:val="21"/>
              </w:rPr>
              <w:t> 型、</w:t>
            </w:r>
          </w:p>
          <w:p>
            <w:pPr>
              <w:pStyle w:val="TableParagraph"/>
              <w:spacing w:line="273" w:lineRule="auto" w:before="37"/>
              <w:ind w:right="301"/>
              <w:jc w:val="both"/>
              <w:rPr>
                <w:sz w:val="21"/>
              </w:rPr>
            </w:pPr>
            <w:r>
              <w:rPr>
                <w:sz w:val="21"/>
              </w:rPr>
              <w:t>III</w:t>
            </w:r>
            <w:r>
              <w:rPr>
                <w:spacing w:val="-13"/>
                <w:sz w:val="21"/>
              </w:rPr>
              <w:t> 型、</w:t>
            </w:r>
            <w:r>
              <w:rPr>
                <w:sz w:val="21"/>
              </w:rPr>
              <w:t>IV</w:t>
            </w:r>
            <w:r>
              <w:rPr>
                <w:spacing w:val="-12"/>
                <w:sz w:val="21"/>
              </w:rPr>
              <w:t> 型。只保障 </w:t>
            </w:r>
            <w:r>
              <w:rPr>
                <w:sz w:val="21"/>
              </w:rPr>
              <w:t>III</w:t>
            </w:r>
            <w:r>
              <w:rPr>
                <w:spacing w:val="-7"/>
                <w:sz w:val="21"/>
              </w:rPr>
              <w:t> 型成骨不全的情形。其主要临床特点有：发展迟缓、多发性骨折、进行性脊柱后侧凸及听力损害。III</w:t>
            </w:r>
            <w:r>
              <w:rPr>
                <w:sz w:val="21"/>
              </w:rPr>
              <w:t> 型成骨不全的诊断必须根据身</w:t>
            </w:r>
            <w:r>
              <w:rPr>
                <w:spacing w:val="-3"/>
                <w:sz w:val="21"/>
              </w:rPr>
              <w:t>体检查，家族史</w:t>
            </w:r>
            <w:r>
              <w:rPr>
                <w:sz w:val="21"/>
              </w:rPr>
              <w:t>，X</w:t>
            </w:r>
            <w:r>
              <w:rPr>
                <w:spacing w:val="-7"/>
                <w:sz w:val="21"/>
              </w:rPr>
              <w:t> 线检查和皮肤活检报告资料确诊。</w:t>
            </w:r>
          </w:p>
        </w:tc>
      </w:tr>
      <w:tr>
        <w:trPr>
          <w:trHeight w:val="2340" w:hRule="atLeast"/>
        </w:trPr>
        <w:tc>
          <w:tcPr>
            <w:tcW w:w="1558" w:type="dxa"/>
          </w:tcPr>
          <w:p>
            <w:pPr>
              <w:pStyle w:val="TableParagraph"/>
              <w:spacing w:line="273" w:lineRule="auto"/>
              <w:ind w:left="200" w:right="110"/>
              <w:rPr>
                <w:b/>
                <w:sz w:val="21"/>
              </w:rPr>
            </w:pPr>
            <w:r>
              <w:rPr>
                <w:b/>
                <w:sz w:val="21"/>
              </w:rPr>
              <w:t>77.重症手足口病</w:t>
            </w:r>
          </w:p>
        </w:tc>
        <w:tc>
          <w:tcPr>
            <w:tcW w:w="7790" w:type="dxa"/>
          </w:tcPr>
          <w:p>
            <w:pPr>
              <w:pStyle w:val="TableParagraph"/>
              <w:spacing w:line="273" w:lineRule="auto"/>
              <w:ind w:right="302"/>
              <w:jc w:val="both"/>
              <w:rPr>
                <w:sz w:val="21"/>
              </w:rPr>
            </w:pPr>
            <w:r>
              <w:rPr>
                <w:sz w:val="21"/>
              </w:rPr>
              <w:t>由肠道病毒引起的急性传染病，主要症状表现为手、足、口腔等部位的斑丘疹、疱疹。经我们认可的医疗机构的儿科专科医生确诊为患有手足口病，并伴有下列三项中的任意一项并发症：</w:t>
            </w:r>
          </w:p>
          <w:p>
            <w:pPr>
              <w:pStyle w:val="TableParagraph"/>
              <w:spacing w:line="273" w:lineRule="auto" w:before="7"/>
              <w:ind w:right="301"/>
              <w:jc w:val="both"/>
              <w:rPr>
                <w:sz w:val="21"/>
              </w:rPr>
            </w:pPr>
            <w:r>
              <w:rPr>
                <w:spacing w:val="-11"/>
                <w:sz w:val="21"/>
              </w:rPr>
              <w:t>（1）</w:t>
            </w:r>
            <w:r>
              <w:rPr>
                <w:spacing w:val="-6"/>
                <w:sz w:val="21"/>
              </w:rPr>
              <w:t>有脑膜炎或脑炎并发症，且导致意识障碍或瘫痪的临床表现及实验室检查证据；</w:t>
            </w:r>
          </w:p>
          <w:p>
            <w:pPr>
              <w:pStyle w:val="TableParagraph"/>
              <w:spacing w:before="8"/>
              <w:jc w:val="both"/>
              <w:rPr>
                <w:sz w:val="21"/>
              </w:rPr>
            </w:pPr>
            <w:r>
              <w:rPr>
                <w:sz w:val="21"/>
              </w:rPr>
              <w:t>（2）有肺炎或肺水肿并发症，且导致呼吸衰竭的临床表现及实验室检查证据；</w:t>
            </w:r>
          </w:p>
          <w:p>
            <w:pPr>
              <w:pStyle w:val="TableParagraph"/>
              <w:spacing w:before="37"/>
              <w:jc w:val="both"/>
              <w:rPr>
                <w:sz w:val="21"/>
              </w:rPr>
            </w:pPr>
            <w:r>
              <w:rPr>
                <w:sz w:val="21"/>
              </w:rPr>
              <w:t>（3）有心肌炎并发症，且导致心脏扩大或心力衰竭的临床表现及实验室检查证据。</w:t>
            </w:r>
          </w:p>
        </w:tc>
      </w:tr>
      <w:tr>
        <w:trPr>
          <w:trHeight w:val="1014" w:hRule="atLeast"/>
        </w:trPr>
        <w:tc>
          <w:tcPr>
            <w:tcW w:w="1558" w:type="dxa"/>
          </w:tcPr>
          <w:p>
            <w:pPr>
              <w:pStyle w:val="TableParagraph"/>
              <w:spacing w:line="273" w:lineRule="auto"/>
              <w:ind w:left="200" w:right="110"/>
              <w:rPr>
                <w:b/>
                <w:sz w:val="21"/>
              </w:rPr>
            </w:pPr>
            <w:r>
              <w:rPr>
                <w:b/>
                <w:sz w:val="21"/>
              </w:rPr>
              <w:t>78.严重肠道疾病并发症</w:t>
            </w:r>
          </w:p>
        </w:tc>
        <w:tc>
          <w:tcPr>
            <w:tcW w:w="7790" w:type="dxa"/>
          </w:tcPr>
          <w:p>
            <w:pPr>
              <w:pStyle w:val="TableParagraph"/>
              <w:rPr>
                <w:sz w:val="21"/>
              </w:rPr>
            </w:pPr>
            <w:r>
              <w:rPr>
                <w:sz w:val="21"/>
              </w:rPr>
              <w:t>严重肠道疾病或外伤导致小肠损害并发症，满足以下所有条件：</w:t>
            </w:r>
          </w:p>
          <w:p>
            <w:pPr>
              <w:pStyle w:val="TableParagraph"/>
              <w:spacing w:before="36"/>
              <w:rPr>
                <w:sz w:val="21"/>
              </w:rPr>
            </w:pPr>
            <w:r>
              <w:rPr>
                <w:sz w:val="21"/>
              </w:rPr>
              <w:t>（1）至少切除了三分之二小肠；</w:t>
            </w:r>
          </w:p>
          <w:p>
            <w:pPr>
              <w:pStyle w:val="TableParagraph"/>
              <w:spacing w:before="36"/>
              <w:rPr>
                <w:sz w:val="21"/>
              </w:rPr>
            </w:pPr>
            <w:r>
              <w:rPr>
                <w:sz w:val="21"/>
              </w:rPr>
              <w:t>（2）完全场外营养支持三个月以上。</w:t>
            </w:r>
          </w:p>
        </w:tc>
      </w:tr>
      <w:tr>
        <w:trPr>
          <w:trHeight w:val="1950" w:hRule="atLeast"/>
        </w:trPr>
        <w:tc>
          <w:tcPr>
            <w:tcW w:w="1558" w:type="dxa"/>
          </w:tcPr>
          <w:p>
            <w:pPr>
              <w:pStyle w:val="TableParagraph"/>
              <w:spacing w:line="256" w:lineRule="exact" w:before="0"/>
              <w:ind w:left="200"/>
              <w:rPr>
                <w:b/>
                <w:sz w:val="21"/>
              </w:rPr>
            </w:pPr>
            <w:r>
              <w:rPr>
                <w:b/>
                <w:sz w:val="21"/>
              </w:rPr>
              <w:t>79.严重哮喘</w:t>
            </w:r>
          </w:p>
        </w:tc>
        <w:tc>
          <w:tcPr>
            <w:tcW w:w="7790" w:type="dxa"/>
          </w:tcPr>
          <w:p>
            <w:pPr>
              <w:pStyle w:val="TableParagraph"/>
              <w:spacing w:line="256" w:lineRule="exact" w:before="0"/>
              <w:rPr>
                <w:sz w:val="21"/>
              </w:rPr>
            </w:pPr>
            <w:r>
              <w:rPr>
                <w:sz w:val="21"/>
              </w:rPr>
              <w:t>一种可逆性、反复发作的支气管阻塞型疾病。需满足下列至少三项条件：</w:t>
            </w:r>
          </w:p>
          <w:p>
            <w:pPr>
              <w:pStyle w:val="TableParagraph"/>
              <w:spacing w:before="37"/>
              <w:rPr>
                <w:sz w:val="21"/>
              </w:rPr>
            </w:pPr>
            <w:r>
              <w:rPr>
                <w:sz w:val="21"/>
              </w:rPr>
              <w:t>（1）过去两年中有哮喘持续状态（哮喘持续发作 24 小时以上不能缓解）病史：</w:t>
            </w:r>
          </w:p>
          <w:p>
            <w:pPr>
              <w:pStyle w:val="TableParagraph"/>
              <w:spacing w:before="37"/>
              <w:rPr>
                <w:sz w:val="21"/>
              </w:rPr>
            </w:pPr>
            <w:r>
              <w:rPr>
                <w:sz w:val="21"/>
              </w:rPr>
              <w:t>（2）身体活动耐受能力显著且持续下降；</w:t>
            </w:r>
          </w:p>
          <w:p>
            <w:pPr>
              <w:pStyle w:val="TableParagraph"/>
              <w:spacing w:before="37"/>
              <w:rPr>
                <w:sz w:val="21"/>
              </w:rPr>
            </w:pPr>
            <w:r>
              <w:rPr>
                <w:sz w:val="21"/>
              </w:rPr>
              <w:t>（3）肺部慢性过渡膨胀充气导致的胸廓畸形；</w:t>
            </w:r>
          </w:p>
          <w:p>
            <w:pPr>
              <w:pStyle w:val="TableParagraph"/>
              <w:spacing w:before="37"/>
              <w:rPr>
                <w:sz w:val="21"/>
              </w:rPr>
            </w:pPr>
            <w:r>
              <w:rPr>
                <w:sz w:val="21"/>
              </w:rPr>
              <w:t>（4）在家中需要医师处方的氧气治疗法；</w:t>
            </w:r>
          </w:p>
          <w:p>
            <w:pPr>
              <w:pStyle w:val="TableParagraph"/>
              <w:spacing w:before="37"/>
              <w:rPr>
                <w:sz w:val="21"/>
              </w:rPr>
            </w:pPr>
            <w:r>
              <w:rPr>
                <w:sz w:val="21"/>
              </w:rPr>
              <w:t>（5）</w:t>
            </w:r>
            <w:r>
              <w:rPr>
                <w:spacing w:val="-3"/>
                <w:sz w:val="21"/>
              </w:rPr>
              <w:t>持续日常服用口服可的松类固醇激素</w:t>
            </w:r>
            <w:r>
              <w:rPr>
                <w:sz w:val="21"/>
              </w:rPr>
              <w:t>（</w:t>
            </w:r>
            <w:r>
              <w:rPr>
                <w:spacing w:val="-8"/>
                <w:sz w:val="21"/>
              </w:rPr>
              <w:t>至少持续服用 </w:t>
            </w:r>
            <w:r>
              <w:rPr>
                <w:sz w:val="21"/>
              </w:rPr>
              <w:t>6</w:t>
            </w:r>
            <w:r>
              <w:rPr>
                <w:spacing w:val="-10"/>
                <w:sz w:val="21"/>
              </w:rPr>
              <w:t> 个月以上</w:t>
            </w:r>
            <w:r>
              <w:rPr>
                <w:spacing w:val="-108"/>
                <w:sz w:val="21"/>
              </w:rPr>
              <w:t>）</w:t>
            </w:r>
            <w:r>
              <w:rPr>
                <w:sz w:val="21"/>
              </w:rPr>
              <w:t>。</w:t>
            </w:r>
          </w:p>
        </w:tc>
      </w:tr>
      <w:tr>
        <w:trPr>
          <w:trHeight w:val="963" w:hRule="atLeast"/>
        </w:trPr>
        <w:tc>
          <w:tcPr>
            <w:tcW w:w="1558" w:type="dxa"/>
          </w:tcPr>
          <w:p>
            <w:pPr>
              <w:pStyle w:val="TableParagraph"/>
              <w:spacing w:line="310" w:lineRule="atLeast" w:before="23"/>
              <w:ind w:left="200" w:right="85"/>
              <w:jc w:val="both"/>
              <w:rPr>
                <w:b/>
                <w:sz w:val="21"/>
              </w:rPr>
            </w:pPr>
            <w:r>
              <w:rPr>
                <w:b/>
                <w:sz w:val="21"/>
              </w:rPr>
              <w:t>80.严重细菌性脑脊髓膜炎</w:t>
            </w:r>
          </w:p>
        </w:tc>
        <w:tc>
          <w:tcPr>
            <w:tcW w:w="7790" w:type="dxa"/>
          </w:tcPr>
          <w:p>
            <w:pPr>
              <w:pStyle w:val="TableParagraph"/>
              <w:rPr>
                <w:sz w:val="21"/>
              </w:rPr>
            </w:pPr>
            <w:r>
              <w:rPr>
                <w:sz w:val="21"/>
              </w:rPr>
              <w:t>指因脑膜炎双球菌感染引起脑脊髓膜化脓性病变，且导致永久性神经损害，持续</w:t>
            </w:r>
          </w:p>
          <w:p>
            <w:pPr>
              <w:pStyle w:val="TableParagraph"/>
              <w:spacing w:before="36"/>
              <w:rPr>
                <w:sz w:val="21"/>
              </w:rPr>
            </w:pPr>
            <w:r>
              <w:rPr>
                <w:sz w:val="21"/>
              </w:rPr>
              <w:t>90 天以上，并且脑脊液检查显示脑膜炎双球菌阳性。</w:t>
            </w:r>
          </w:p>
          <w:p>
            <w:pPr>
              <w:pStyle w:val="TableParagraph"/>
              <w:spacing w:line="261" w:lineRule="exact" w:before="36"/>
              <w:rPr>
                <w:sz w:val="21"/>
              </w:rPr>
            </w:pPr>
            <w:r>
              <w:rPr>
                <w:sz w:val="21"/>
              </w:rPr>
              <w:t>永久性神经损害是指由细菌性脑脊髓膜炎引起的耳聋、失明、动眼神经麻痹、瘫</w:t>
            </w:r>
          </w:p>
        </w:tc>
      </w:tr>
    </w:tbl>
    <w:p>
      <w:pPr>
        <w:spacing w:after="0" w:line="261" w:lineRule="exact"/>
        <w:rPr>
          <w:sz w:val="21"/>
        </w:rPr>
        <w:sectPr>
          <w:pgSz w:w="11910" w:h="16840"/>
          <w:pgMar w:header="0" w:footer="377" w:top="1340" w:bottom="560" w:left="164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1554"/>
        <w:gridCol w:w="7793"/>
      </w:tblGrid>
      <w:tr>
        <w:trPr>
          <w:trHeight w:val="640" w:hRule="atLeast"/>
        </w:trPr>
        <w:tc>
          <w:tcPr>
            <w:tcW w:w="819" w:type="dxa"/>
          </w:tcPr>
          <w:p>
            <w:pPr>
              <w:pStyle w:val="TableParagraph"/>
              <w:spacing w:before="0"/>
              <w:ind w:left="0"/>
              <w:rPr>
                <w:rFonts w:ascii="Times New Roman"/>
                <w:sz w:val="20"/>
              </w:rPr>
            </w:pPr>
          </w:p>
        </w:tc>
        <w:tc>
          <w:tcPr>
            <w:tcW w:w="1554" w:type="dxa"/>
          </w:tcPr>
          <w:p>
            <w:pPr>
              <w:pStyle w:val="TableParagraph"/>
              <w:spacing w:before="0"/>
              <w:ind w:left="0"/>
              <w:rPr>
                <w:rFonts w:ascii="Times New Roman"/>
                <w:sz w:val="20"/>
              </w:rPr>
            </w:pPr>
          </w:p>
        </w:tc>
        <w:tc>
          <w:tcPr>
            <w:tcW w:w="7793" w:type="dxa"/>
          </w:tcPr>
          <w:p>
            <w:pPr>
              <w:pStyle w:val="TableParagraph"/>
              <w:spacing w:line="205" w:lineRule="exact" w:before="0"/>
              <w:ind w:left="88"/>
              <w:rPr>
                <w:sz w:val="21"/>
              </w:rPr>
            </w:pPr>
            <w:r>
              <w:rPr>
                <w:sz w:val="21"/>
              </w:rPr>
              <w:t>痪、脑积水、智力或性情中度以上的损害，且上述症状持续 90 天以上仍无改善</w:t>
            </w:r>
          </w:p>
          <w:p>
            <w:pPr>
              <w:pStyle w:val="TableParagraph"/>
              <w:spacing w:before="37"/>
              <w:ind w:left="88"/>
              <w:rPr>
                <w:sz w:val="21"/>
              </w:rPr>
            </w:pPr>
            <w:r>
              <w:rPr>
                <w:sz w:val="21"/>
              </w:rPr>
              <w:t>迹象。</w:t>
            </w:r>
          </w:p>
        </w:tc>
      </w:tr>
      <w:tr>
        <w:trPr>
          <w:trHeight w:val="7995" w:hRule="atLeast"/>
        </w:trPr>
        <w:tc>
          <w:tcPr>
            <w:tcW w:w="819" w:type="dxa"/>
          </w:tcPr>
          <w:p>
            <w:pPr>
              <w:pStyle w:val="TableParagraph"/>
              <w:spacing w:before="0"/>
              <w:ind w:left="0"/>
              <w:rPr>
                <w:rFonts w:ascii="Times New Roman"/>
                <w:sz w:val="20"/>
              </w:rPr>
            </w:pPr>
          </w:p>
        </w:tc>
        <w:tc>
          <w:tcPr>
            <w:tcW w:w="1554" w:type="dxa"/>
          </w:tcPr>
          <w:p>
            <w:pPr>
              <w:pStyle w:val="TableParagraph"/>
              <w:spacing w:line="273" w:lineRule="auto" w:before="69"/>
              <w:ind w:left="197" w:right="87"/>
              <w:rPr>
                <w:b/>
                <w:sz w:val="21"/>
              </w:rPr>
            </w:pPr>
            <w:r>
              <w:rPr>
                <w:b/>
                <w:sz w:val="21"/>
              </w:rPr>
              <w:t>重大疾病定 义中所用到 的术语定义：</w:t>
            </w:r>
          </w:p>
        </w:tc>
        <w:tc>
          <w:tcPr>
            <w:tcW w:w="7793" w:type="dxa"/>
          </w:tcPr>
          <w:p>
            <w:pPr>
              <w:pStyle w:val="TableParagraph"/>
              <w:spacing w:line="273" w:lineRule="exact" w:before="48"/>
              <w:ind w:left="85"/>
              <w:rPr>
                <w:sz w:val="21"/>
              </w:rPr>
            </w:pPr>
            <w:r>
              <w:rPr>
                <w:sz w:val="21"/>
              </w:rPr>
              <w:t>1.六项基本日常生活活动</w:t>
            </w:r>
          </w:p>
          <w:p>
            <w:pPr>
              <w:pStyle w:val="TableParagraph"/>
              <w:spacing w:line="237" w:lineRule="auto" w:before="1"/>
              <w:ind w:left="294" w:right="198"/>
              <w:jc w:val="both"/>
              <w:rPr>
                <w:sz w:val="21"/>
              </w:rPr>
            </w:pPr>
            <w:r>
              <w:rPr>
                <w:spacing w:val="-9"/>
                <w:w w:val="100"/>
                <w:sz w:val="21"/>
              </w:rPr>
              <w:t>六项基本日常生活活动是指：</w:t>
            </w:r>
            <w:r>
              <w:rPr>
                <w:spacing w:val="1"/>
                <w:w w:val="100"/>
                <w:sz w:val="21"/>
              </w:rPr>
              <w:t>（</w:t>
            </w:r>
            <w:r>
              <w:rPr>
                <w:w w:val="100"/>
                <w:sz w:val="21"/>
              </w:rPr>
              <w:t>1）</w:t>
            </w:r>
            <w:r>
              <w:rPr>
                <w:spacing w:val="-9"/>
                <w:w w:val="100"/>
                <w:sz w:val="21"/>
              </w:rPr>
              <w:t>穿衣：自己能够穿衣及脱衣；</w:t>
            </w:r>
            <w:r>
              <w:rPr>
                <w:w w:val="100"/>
                <w:sz w:val="21"/>
              </w:rPr>
              <w:t>（2）移动：自</w:t>
            </w:r>
            <w:r>
              <w:rPr>
                <w:spacing w:val="-9"/>
                <w:w w:val="100"/>
                <w:sz w:val="21"/>
              </w:rPr>
              <w:t>己从一个房间到另一个房间；</w:t>
            </w:r>
            <w:r>
              <w:rPr>
                <w:spacing w:val="2"/>
                <w:w w:val="100"/>
                <w:sz w:val="21"/>
              </w:rPr>
              <w:t>（</w:t>
            </w:r>
            <w:r>
              <w:rPr>
                <w:w w:val="100"/>
                <w:sz w:val="21"/>
              </w:rPr>
              <w:t>3）</w:t>
            </w:r>
            <w:r>
              <w:rPr>
                <w:spacing w:val="-8"/>
                <w:w w:val="100"/>
                <w:sz w:val="21"/>
              </w:rPr>
              <w:t>行动：自己上下床或上下轮椅；</w:t>
            </w:r>
            <w:r>
              <w:rPr>
                <w:w w:val="100"/>
                <w:sz w:val="21"/>
              </w:rPr>
              <w:t>（4）如厕：</w:t>
            </w:r>
            <w:r>
              <w:rPr>
                <w:spacing w:val="-3"/>
                <w:w w:val="100"/>
                <w:sz w:val="21"/>
              </w:rPr>
              <w:t>自己控制进行大小便</w:t>
            </w:r>
            <w:r>
              <w:rPr>
                <w:spacing w:val="-125"/>
                <w:w w:val="100"/>
                <w:sz w:val="21"/>
              </w:rPr>
              <w:t>；</w:t>
            </w:r>
            <w:r>
              <w:rPr>
                <w:w w:val="100"/>
                <w:sz w:val="21"/>
              </w:rPr>
              <w:t>（</w:t>
            </w:r>
            <w:r>
              <w:rPr>
                <w:spacing w:val="-3"/>
                <w:w w:val="100"/>
                <w:sz w:val="21"/>
              </w:rPr>
              <w:t>5</w:t>
            </w:r>
            <w:r>
              <w:rPr>
                <w:spacing w:val="-20"/>
                <w:w w:val="100"/>
                <w:sz w:val="21"/>
              </w:rPr>
              <w:t>）</w:t>
            </w:r>
            <w:r>
              <w:rPr>
                <w:spacing w:val="-6"/>
                <w:w w:val="100"/>
                <w:sz w:val="21"/>
              </w:rPr>
              <w:t>进食：自己从已准备好的碗或碟中取食物放入口中；</w:t>
            </w:r>
          </w:p>
          <w:p>
            <w:pPr>
              <w:pStyle w:val="TableParagraph"/>
              <w:spacing w:line="272" w:lineRule="exact" w:before="0"/>
              <w:ind w:left="294"/>
              <w:rPr>
                <w:sz w:val="21"/>
              </w:rPr>
            </w:pPr>
            <w:r>
              <w:rPr>
                <w:sz w:val="21"/>
              </w:rPr>
              <w:t>（6）洗澡：自己进行淋浴或盆浴。</w:t>
            </w:r>
          </w:p>
          <w:p>
            <w:pPr>
              <w:pStyle w:val="TableParagraph"/>
              <w:spacing w:line="272" w:lineRule="exact" w:before="0"/>
              <w:ind w:left="85"/>
              <w:rPr>
                <w:sz w:val="21"/>
              </w:rPr>
            </w:pPr>
            <w:r>
              <w:rPr>
                <w:sz w:val="21"/>
              </w:rPr>
              <w:t>2.肢体机能完全丧失</w:t>
            </w:r>
          </w:p>
          <w:p>
            <w:pPr>
              <w:pStyle w:val="TableParagraph"/>
              <w:spacing w:line="237" w:lineRule="auto" w:before="2"/>
              <w:ind w:left="294" w:right="309"/>
              <w:jc w:val="both"/>
              <w:rPr>
                <w:sz w:val="21"/>
              </w:rPr>
            </w:pPr>
            <w:r>
              <w:rPr>
                <w:sz w:val="21"/>
              </w:rPr>
              <w:t>指肢体的三大关节中的两大关节僵硬，或不能随意识活动。肢体是指包括肩关节的整个上肢或包括髋关节的整个下肢。</w:t>
            </w:r>
          </w:p>
          <w:p>
            <w:pPr>
              <w:pStyle w:val="TableParagraph"/>
              <w:spacing w:line="271" w:lineRule="exact" w:before="0"/>
              <w:ind w:left="85"/>
              <w:rPr>
                <w:sz w:val="21"/>
              </w:rPr>
            </w:pPr>
            <w:r>
              <w:rPr>
                <w:sz w:val="21"/>
              </w:rPr>
              <w:t>3.语言能力或咀嚼吞咽能力完全丧失</w:t>
            </w:r>
          </w:p>
          <w:p>
            <w:pPr>
              <w:pStyle w:val="TableParagraph"/>
              <w:spacing w:line="237" w:lineRule="auto" w:before="2"/>
              <w:ind w:left="294" w:right="199"/>
              <w:rPr>
                <w:sz w:val="21"/>
              </w:rPr>
            </w:pPr>
            <w:r>
              <w:rPr>
                <w:sz w:val="21"/>
              </w:rPr>
              <w:t>语言能力完全丧失，指无法发出四种语音（包括口唇音、齿舌音、口盖音和喉</w:t>
            </w:r>
            <w:r>
              <w:rPr>
                <w:spacing w:val="-2"/>
                <w:sz w:val="21"/>
              </w:rPr>
              <w:t>头音</w:t>
            </w:r>
            <w:r>
              <w:rPr>
                <w:spacing w:val="-20"/>
                <w:sz w:val="21"/>
              </w:rPr>
              <w:t>）</w:t>
            </w:r>
            <w:r>
              <w:rPr>
                <w:spacing w:val="-7"/>
                <w:sz w:val="21"/>
              </w:rPr>
              <w:t>中的任何三种、或声带全部切除，或因大脑语言中枢受伤害而患失语症。咀嚼吞咽能力完全丧失，指因牙齿以外的原因导致器质障碍或机能障碍，以致</w:t>
            </w:r>
            <w:r>
              <w:rPr>
                <w:spacing w:val="-5"/>
                <w:sz w:val="21"/>
              </w:rPr>
              <w:t>不能作咀嚼吞咽运动，除流质食物外不能摄取或吞咽的状态。</w:t>
            </w:r>
          </w:p>
          <w:p>
            <w:pPr>
              <w:pStyle w:val="TableParagraph"/>
              <w:spacing w:line="272" w:lineRule="exact" w:before="0"/>
              <w:ind w:left="85"/>
              <w:rPr>
                <w:sz w:val="21"/>
              </w:rPr>
            </w:pPr>
            <w:r>
              <w:rPr>
                <w:sz w:val="21"/>
              </w:rPr>
              <w:t>4.永久不可逆</w:t>
            </w:r>
          </w:p>
          <w:p>
            <w:pPr>
              <w:pStyle w:val="TableParagraph"/>
              <w:spacing w:before="0"/>
              <w:ind w:left="294" w:right="304"/>
              <w:jc w:val="both"/>
              <w:rPr>
                <w:sz w:val="21"/>
              </w:rPr>
            </w:pPr>
            <w:r>
              <w:rPr>
                <w:spacing w:val="-4"/>
                <w:sz w:val="21"/>
              </w:rPr>
              <w:t>指自疾病确诊或意外伤害发生之日起，经过积极治疗 </w:t>
            </w:r>
            <w:r>
              <w:rPr>
                <w:sz w:val="21"/>
              </w:rPr>
              <w:t>180</w:t>
            </w:r>
            <w:r>
              <w:rPr>
                <w:spacing w:val="-4"/>
                <w:sz w:val="21"/>
              </w:rPr>
              <w:t> 天后，仍无法通过现</w:t>
            </w:r>
            <w:r>
              <w:rPr>
                <w:spacing w:val="-3"/>
                <w:sz w:val="21"/>
              </w:rPr>
              <w:t>有医疗手段恢复。</w:t>
            </w:r>
          </w:p>
          <w:p>
            <w:pPr>
              <w:pStyle w:val="TableParagraph"/>
              <w:spacing w:line="271" w:lineRule="exact" w:before="1"/>
              <w:ind w:left="85"/>
              <w:rPr>
                <w:sz w:val="21"/>
              </w:rPr>
            </w:pPr>
            <w:r>
              <w:rPr>
                <w:sz w:val="21"/>
              </w:rPr>
              <w:t>5.专科医生</w:t>
            </w:r>
          </w:p>
          <w:p>
            <w:pPr>
              <w:pStyle w:val="TableParagraph"/>
              <w:spacing w:line="237" w:lineRule="auto" w:before="1"/>
              <w:ind w:left="294" w:right="304"/>
              <w:jc w:val="both"/>
              <w:rPr>
                <w:sz w:val="21"/>
              </w:rPr>
            </w:pPr>
            <w:r>
              <w:rPr>
                <w:spacing w:val="-3"/>
                <w:w w:val="100"/>
                <w:sz w:val="21"/>
              </w:rPr>
              <w:t>专科医生应当同时满足以下四项资格条件</w:t>
            </w:r>
            <w:r>
              <w:rPr>
                <w:spacing w:val="-161"/>
                <w:w w:val="100"/>
                <w:sz w:val="21"/>
              </w:rPr>
              <w:t>：</w:t>
            </w:r>
            <w:r>
              <w:rPr>
                <w:w w:val="100"/>
                <w:sz w:val="21"/>
              </w:rPr>
              <w:t>（1</w:t>
            </w:r>
            <w:r>
              <w:rPr>
                <w:spacing w:val="-58"/>
                <w:w w:val="100"/>
                <w:sz w:val="21"/>
              </w:rPr>
              <w:t>）</w:t>
            </w:r>
            <w:r>
              <w:rPr>
                <w:spacing w:val="-8"/>
                <w:w w:val="100"/>
                <w:sz w:val="21"/>
              </w:rPr>
              <w:t>具有有效的中华人民共和国《医</w:t>
            </w:r>
            <w:r>
              <w:rPr>
                <w:spacing w:val="-35"/>
                <w:w w:val="100"/>
                <w:sz w:val="21"/>
              </w:rPr>
              <w:t>师资格证书》；</w:t>
            </w:r>
            <w:r>
              <w:rPr>
                <w:w w:val="100"/>
                <w:sz w:val="21"/>
              </w:rPr>
              <w:t>（2）</w:t>
            </w:r>
            <w:r>
              <w:rPr>
                <w:spacing w:val="-6"/>
                <w:w w:val="100"/>
                <w:sz w:val="21"/>
              </w:rPr>
              <w:t>具有有效的中华人民共和国《医师执业证书》，并按期到相</w:t>
            </w:r>
            <w:r>
              <w:rPr>
                <w:spacing w:val="-18"/>
                <w:w w:val="100"/>
                <w:sz w:val="21"/>
              </w:rPr>
              <w:t>关部门登记注册；</w:t>
            </w:r>
            <w:r>
              <w:rPr>
                <w:w w:val="100"/>
                <w:sz w:val="21"/>
              </w:rPr>
              <w:t>（3）具有有效的中华人民共和国主治医师或主治医师以上职</w:t>
            </w:r>
            <w:r>
              <w:rPr>
                <w:spacing w:val="-27"/>
                <w:w w:val="100"/>
                <w:sz w:val="21"/>
              </w:rPr>
              <w:t>称的《医师职称证书》；</w:t>
            </w:r>
            <w:r>
              <w:rPr>
                <w:w w:val="100"/>
                <w:sz w:val="21"/>
              </w:rPr>
              <w:t>（</w:t>
            </w:r>
            <w:r>
              <w:rPr>
                <w:spacing w:val="-3"/>
                <w:w w:val="100"/>
                <w:sz w:val="21"/>
              </w:rPr>
              <w:t>4</w:t>
            </w:r>
            <w:r>
              <w:rPr>
                <w:spacing w:val="-20"/>
                <w:w w:val="100"/>
                <w:sz w:val="21"/>
              </w:rPr>
              <w:t>）</w:t>
            </w:r>
            <w:r>
              <w:rPr>
                <w:spacing w:val="-3"/>
                <w:w w:val="100"/>
                <w:sz w:val="21"/>
              </w:rPr>
              <w:t>在二级或二级以上医院的相应科室从事临床工作三</w:t>
            </w:r>
            <w:r>
              <w:rPr>
                <w:spacing w:val="-3"/>
                <w:sz w:val="21"/>
              </w:rPr>
              <w:t>年以上。</w:t>
            </w:r>
          </w:p>
          <w:p>
            <w:pPr>
              <w:pStyle w:val="TableParagraph"/>
              <w:spacing w:line="271" w:lineRule="exact" w:before="0"/>
              <w:ind w:left="85"/>
              <w:rPr>
                <w:sz w:val="21"/>
              </w:rPr>
            </w:pPr>
            <w:r>
              <w:rPr>
                <w:sz w:val="21"/>
              </w:rPr>
              <w:t>6.遗传性疾病</w:t>
            </w:r>
          </w:p>
          <w:p>
            <w:pPr>
              <w:pStyle w:val="TableParagraph"/>
              <w:spacing w:line="237" w:lineRule="auto" w:before="2"/>
              <w:ind w:left="294" w:right="309"/>
              <w:jc w:val="both"/>
              <w:rPr>
                <w:sz w:val="21"/>
              </w:rPr>
            </w:pPr>
            <w:r>
              <w:rPr>
                <w:sz w:val="21"/>
              </w:rPr>
              <w:t>指生殖细胞或受精卵的遗传物质（染色体和基因）发生突变或畸变所引起的疾病，通常具有由亲代传至后代的垂直传递的特征。</w:t>
            </w:r>
          </w:p>
          <w:p>
            <w:pPr>
              <w:pStyle w:val="TableParagraph"/>
              <w:spacing w:line="272" w:lineRule="exact" w:before="0"/>
              <w:ind w:left="85"/>
              <w:rPr>
                <w:sz w:val="21"/>
              </w:rPr>
            </w:pPr>
            <w:r>
              <w:rPr>
                <w:sz w:val="21"/>
              </w:rPr>
              <w:t>7.先天性畸形、变形和染色体异常</w:t>
            </w:r>
          </w:p>
          <w:p>
            <w:pPr>
              <w:pStyle w:val="TableParagraph"/>
              <w:spacing w:line="237" w:lineRule="auto" w:before="1"/>
              <w:ind w:left="294" w:right="246"/>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380" w:hRule="atLeast"/>
        </w:trPr>
        <w:tc>
          <w:tcPr>
            <w:tcW w:w="819" w:type="dxa"/>
          </w:tcPr>
          <w:p>
            <w:pPr>
              <w:pStyle w:val="TableParagraph"/>
              <w:spacing w:line="246" w:lineRule="exact" w:before="0"/>
              <w:ind w:left="200"/>
              <w:rPr>
                <w:b/>
                <w:sz w:val="21"/>
              </w:rPr>
            </w:pPr>
            <w:r>
              <w:rPr>
                <w:b/>
                <w:sz w:val="21"/>
              </w:rPr>
              <w:t>10.7</w:t>
            </w:r>
          </w:p>
        </w:tc>
        <w:tc>
          <w:tcPr>
            <w:tcW w:w="1554" w:type="dxa"/>
          </w:tcPr>
          <w:p>
            <w:pPr>
              <w:pStyle w:val="TableParagraph"/>
              <w:spacing w:line="246" w:lineRule="exact" w:before="0"/>
              <w:ind w:left="197"/>
              <w:rPr>
                <w:b/>
                <w:sz w:val="21"/>
              </w:rPr>
            </w:pPr>
            <w:r>
              <w:rPr>
                <w:b/>
                <w:sz w:val="21"/>
              </w:rPr>
              <w:t>轻症疾病</w:t>
            </w:r>
          </w:p>
        </w:tc>
        <w:tc>
          <w:tcPr>
            <w:tcW w:w="7793" w:type="dxa"/>
          </w:tcPr>
          <w:p>
            <w:pPr>
              <w:pStyle w:val="TableParagraph"/>
              <w:spacing w:before="0"/>
              <w:ind w:left="0"/>
              <w:rPr>
                <w:rFonts w:ascii="Times New Roman"/>
                <w:sz w:val="20"/>
              </w:rPr>
            </w:pPr>
          </w:p>
        </w:tc>
      </w:tr>
      <w:tr>
        <w:trPr>
          <w:trHeight w:val="1716" w:hRule="atLeast"/>
        </w:trPr>
        <w:tc>
          <w:tcPr>
            <w:tcW w:w="819" w:type="dxa"/>
          </w:tcPr>
          <w:p>
            <w:pPr>
              <w:pStyle w:val="TableParagraph"/>
              <w:spacing w:before="0"/>
              <w:ind w:left="0"/>
              <w:rPr>
                <w:rFonts w:ascii="Times New Roman"/>
                <w:sz w:val="20"/>
              </w:rPr>
            </w:pPr>
          </w:p>
        </w:tc>
        <w:tc>
          <w:tcPr>
            <w:tcW w:w="1554" w:type="dxa"/>
          </w:tcPr>
          <w:p>
            <w:pPr>
              <w:pStyle w:val="TableParagraph"/>
              <w:spacing w:line="273" w:lineRule="auto"/>
              <w:ind w:left="197" w:right="82"/>
              <w:jc w:val="both"/>
              <w:rPr>
                <w:b/>
                <w:sz w:val="21"/>
              </w:rPr>
            </w:pPr>
            <w:r>
              <w:rPr>
                <w:b/>
                <w:sz w:val="21"/>
              </w:rPr>
              <w:t>1. 极早期恶性肿瘤或恶性病变</w:t>
            </w:r>
          </w:p>
        </w:tc>
        <w:tc>
          <w:tcPr>
            <w:tcW w:w="7793" w:type="dxa"/>
          </w:tcPr>
          <w:p>
            <w:pPr>
              <w:pStyle w:val="TableParagraph"/>
              <w:ind w:left="88"/>
              <w:rPr>
                <w:sz w:val="21"/>
              </w:rPr>
            </w:pPr>
            <w:r>
              <w:rPr>
                <w:sz w:val="21"/>
              </w:rPr>
              <w:t>指经组织病理学检查被明确诊断为下列恶性病变，并且接受了相应的治疗。</w:t>
            </w:r>
          </w:p>
          <w:p>
            <w:pPr>
              <w:pStyle w:val="TableParagraph"/>
              <w:numPr>
                <w:ilvl w:val="0"/>
                <w:numId w:val="39"/>
              </w:numPr>
              <w:tabs>
                <w:tab w:pos="512" w:val="left" w:leader="none"/>
              </w:tabs>
              <w:spacing w:line="240" w:lineRule="auto" w:before="36" w:after="0"/>
              <w:ind w:left="511" w:right="0" w:hanging="423"/>
              <w:jc w:val="left"/>
              <w:rPr>
                <w:sz w:val="21"/>
              </w:rPr>
            </w:pP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numPr>
                <w:ilvl w:val="0"/>
                <w:numId w:val="39"/>
              </w:numPr>
              <w:tabs>
                <w:tab w:pos="512" w:val="left" w:leader="none"/>
              </w:tabs>
              <w:spacing w:line="240" w:lineRule="auto" w:before="37" w:after="0"/>
              <w:ind w:left="511" w:right="0" w:hanging="423"/>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39"/>
              </w:numPr>
              <w:tabs>
                <w:tab w:pos="512" w:val="left" w:leader="none"/>
              </w:tabs>
              <w:spacing w:line="240" w:lineRule="auto" w:before="37" w:after="0"/>
              <w:ind w:left="511" w:right="0" w:hanging="423"/>
              <w:jc w:val="left"/>
              <w:rPr>
                <w:sz w:val="21"/>
              </w:rPr>
            </w:pPr>
            <w:r>
              <w:rPr>
                <w:spacing w:val="-3"/>
                <w:sz w:val="21"/>
              </w:rPr>
              <w:t>皮肤癌(不包括恶性黑色素瘤极已发生转移的皮肤癌);</w:t>
            </w:r>
          </w:p>
          <w:p>
            <w:pPr>
              <w:pStyle w:val="TableParagraph"/>
              <w:numPr>
                <w:ilvl w:val="0"/>
                <w:numId w:val="39"/>
              </w:numPr>
              <w:tabs>
                <w:tab w:pos="512" w:val="left" w:leader="none"/>
              </w:tabs>
              <w:spacing w:line="240" w:lineRule="auto" w:before="37" w:after="0"/>
              <w:ind w:left="511" w:right="0" w:hanging="423"/>
              <w:jc w:val="left"/>
              <w:rPr>
                <w:sz w:val="21"/>
              </w:rPr>
            </w:pPr>
            <w:r>
              <w:rPr>
                <w:sz w:val="21"/>
              </w:rPr>
              <w:t>TNM</w:t>
            </w:r>
            <w:r>
              <w:rPr>
                <w:spacing w:val="-22"/>
                <w:sz w:val="21"/>
              </w:rPr>
              <w:t> 分期为 </w:t>
            </w:r>
            <w:r>
              <w:rPr>
                <w:sz w:val="21"/>
              </w:rPr>
              <w:t>T1N0M0</w:t>
            </w:r>
            <w:r>
              <w:rPr>
                <w:spacing w:val="-8"/>
                <w:sz w:val="21"/>
              </w:rPr>
              <w:t> 期或更轻分期的前列腺癌。</w:t>
            </w:r>
          </w:p>
        </w:tc>
      </w:tr>
      <w:tr>
        <w:trPr>
          <w:trHeight w:val="1013" w:hRule="atLeast"/>
        </w:trPr>
        <w:tc>
          <w:tcPr>
            <w:tcW w:w="819" w:type="dxa"/>
          </w:tcPr>
          <w:p>
            <w:pPr>
              <w:pStyle w:val="TableParagraph"/>
              <w:spacing w:before="0"/>
              <w:ind w:left="0"/>
              <w:rPr>
                <w:rFonts w:ascii="Times New Roman"/>
                <w:sz w:val="20"/>
              </w:rPr>
            </w:pPr>
          </w:p>
        </w:tc>
        <w:tc>
          <w:tcPr>
            <w:tcW w:w="1554" w:type="dxa"/>
          </w:tcPr>
          <w:p>
            <w:pPr>
              <w:pStyle w:val="TableParagraph"/>
              <w:spacing w:line="273" w:lineRule="auto"/>
              <w:ind w:left="197" w:right="82"/>
              <w:jc w:val="both"/>
              <w:rPr>
                <w:b/>
                <w:sz w:val="21"/>
              </w:rPr>
            </w:pPr>
            <w:r>
              <w:rPr>
                <w:b/>
                <w:sz w:val="21"/>
              </w:rPr>
              <w:t>2. 冠状动脉介入手术（非开胸手术）</w:t>
            </w:r>
          </w:p>
        </w:tc>
        <w:tc>
          <w:tcPr>
            <w:tcW w:w="7793" w:type="dxa"/>
          </w:tcPr>
          <w:p>
            <w:pPr>
              <w:pStyle w:val="TableParagraph"/>
              <w:spacing w:line="273" w:lineRule="auto"/>
              <w:ind w:left="88" w:right="196"/>
              <w:rPr>
                <w:sz w:val="21"/>
              </w:rPr>
            </w:pPr>
            <w:r>
              <w:rPr>
                <w:spacing w:val="-7"/>
                <w:sz w:val="21"/>
              </w:rPr>
              <w:t>为了治疗明显的冠状动脉狭窄性疾病，首次实际实施了冠状动脉球囊扩张成形术、</w:t>
            </w:r>
            <w:r>
              <w:rPr>
                <w:spacing w:val="-5"/>
                <w:sz w:val="21"/>
              </w:rPr>
              <w:t>冠状脉支架植入术、冠状动脉粥肿斑块切除术或激光冠状动脉成形术。</w:t>
            </w:r>
          </w:p>
        </w:tc>
      </w:tr>
      <w:tr>
        <w:trPr>
          <w:trHeight w:val="1638" w:hRule="atLeast"/>
        </w:trPr>
        <w:tc>
          <w:tcPr>
            <w:tcW w:w="819" w:type="dxa"/>
          </w:tcPr>
          <w:p>
            <w:pPr>
              <w:pStyle w:val="TableParagraph"/>
              <w:spacing w:before="0"/>
              <w:ind w:left="0"/>
              <w:rPr>
                <w:rFonts w:ascii="Times New Roman"/>
                <w:sz w:val="20"/>
              </w:rPr>
            </w:pPr>
          </w:p>
        </w:tc>
        <w:tc>
          <w:tcPr>
            <w:tcW w:w="1554" w:type="dxa"/>
          </w:tcPr>
          <w:p>
            <w:pPr>
              <w:pStyle w:val="TableParagraph"/>
              <w:spacing w:line="256" w:lineRule="exact" w:before="0"/>
              <w:ind w:left="197"/>
              <w:rPr>
                <w:b/>
                <w:sz w:val="21"/>
              </w:rPr>
            </w:pPr>
            <w:r>
              <w:rPr>
                <w:b/>
                <w:sz w:val="21"/>
              </w:rPr>
              <w:t>3. 轻微脑中 </w:t>
            </w:r>
          </w:p>
          <w:p>
            <w:pPr>
              <w:pStyle w:val="TableParagraph"/>
              <w:spacing w:before="37"/>
              <w:ind w:left="197"/>
              <w:rPr>
                <w:b/>
                <w:sz w:val="21"/>
              </w:rPr>
            </w:pPr>
            <w:r>
              <w:rPr>
                <w:b/>
                <w:w w:val="100"/>
                <w:sz w:val="21"/>
              </w:rPr>
              <w:t>风</w:t>
            </w:r>
          </w:p>
        </w:tc>
        <w:tc>
          <w:tcPr>
            <w:tcW w:w="7793" w:type="dxa"/>
          </w:tcPr>
          <w:p>
            <w:pPr>
              <w:pStyle w:val="TableParagraph"/>
              <w:spacing w:line="256" w:lineRule="exact" w:before="0"/>
              <w:ind w:left="88"/>
              <w:rPr>
                <w:sz w:val="21"/>
              </w:rPr>
            </w:pPr>
            <w:r>
              <w:rPr>
                <w:sz w:val="21"/>
              </w:rPr>
              <w:t>指实际发生了脑血管的突发病变，出现了神经系统功能障碍表现，并住院接受治</w:t>
            </w:r>
          </w:p>
          <w:p>
            <w:pPr>
              <w:pStyle w:val="TableParagraph"/>
              <w:spacing w:line="273" w:lineRule="auto" w:before="37"/>
              <w:ind w:left="88" w:right="301"/>
              <w:jc w:val="both"/>
              <w:rPr>
                <w:rFonts w:ascii="黑体" w:eastAsia="黑体" w:hint="eastAsia"/>
                <w:sz w:val="21"/>
              </w:rPr>
            </w:pPr>
            <w:r>
              <w:rPr>
                <w:w w:val="100"/>
                <w:sz w:val="21"/>
              </w:rPr>
              <w:t>疗，头颅断层扫描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w:t>
            </w:r>
            <w:r>
              <w:rPr>
                <w:spacing w:val="1"/>
                <w:w w:val="100"/>
                <w:sz w:val="21"/>
              </w:rPr>
              <w:t>（</w:t>
            </w:r>
            <w:r>
              <w:rPr>
                <w:w w:val="100"/>
                <w:sz w:val="21"/>
              </w:rPr>
              <w:t>M</w:t>
            </w:r>
            <w:r>
              <w:rPr>
                <w:spacing w:val="-3"/>
                <w:w w:val="100"/>
                <w:sz w:val="21"/>
              </w:rPr>
              <w:t>R</w:t>
            </w:r>
            <w:r>
              <w:rPr>
                <w:spacing w:val="-1"/>
                <w:w w:val="100"/>
                <w:sz w:val="21"/>
              </w:rPr>
              <w:t>I</w:t>
            </w:r>
            <w:r>
              <w:rPr>
                <w:w w:val="100"/>
                <w:sz w:val="21"/>
              </w:rPr>
              <w:t>）等影像学检查证实存在对应病灶，确</w:t>
            </w:r>
            <w:r>
              <w:rPr>
                <w:spacing w:val="-4"/>
                <w:sz w:val="21"/>
              </w:rPr>
              <w:t>诊为脑出血、脑栓塞或脑梗塞，在确诊 </w:t>
            </w:r>
            <w:r>
              <w:rPr>
                <w:sz w:val="21"/>
              </w:rPr>
              <w:t>180</w:t>
            </w:r>
            <w:r>
              <w:rPr>
                <w:spacing w:val="-5"/>
                <w:sz w:val="21"/>
              </w:rPr>
              <w:t> 天后仍然遗留一肢或一肢以上肢体肌</w:t>
            </w:r>
            <w:r>
              <w:rPr>
                <w:spacing w:val="-21"/>
                <w:sz w:val="21"/>
              </w:rPr>
              <w:t>力 </w:t>
            </w:r>
            <w:r>
              <w:rPr>
                <w:sz w:val="21"/>
              </w:rPr>
              <w:t>III</w:t>
            </w:r>
            <w:r>
              <w:rPr>
                <w:spacing w:val="-19"/>
                <w:sz w:val="21"/>
              </w:rPr>
              <w:t> 级或 </w:t>
            </w:r>
            <w:r>
              <w:rPr>
                <w:sz w:val="21"/>
              </w:rPr>
              <w:t>III</w:t>
            </w:r>
            <w:r>
              <w:rPr>
                <w:spacing w:val="-8"/>
                <w:sz w:val="21"/>
              </w:rPr>
              <w:t> 级以下的运动功能障碍。</w:t>
            </w:r>
            <w:r>
              <w:rPr>
                <w:rFonts w:ascii="黑体" w:eastAsia="黑体" w:hint="eastAsia"/>
                <w:spacing w:val="-3"/>
                <w:sz w:val="21"/>
              </w:rPr>
              <w:t>短暂性脑缺血发作(</w:t>
            </w:r>
            <w:r>
              <w:rPr>
                <w:rFonts w:ascii="黑体" w:eastAsia="黑体" w:hint="eastAsia"/>
                <w:sz w:val="21"/>
              </w:rPr>
              <w:t>TIA)</w:t>
            </w:r>
            <w:r>
              <w:rPr>
                <w:rFonts w:ascii="黑体" w:eastAsia="黑体" w:hint="eastAsia"/>
                <w:spacing w:val="-1"/>
                <w:sz w:val="21"/>
              </w:rPr>
              <w:t> 和腔隙性脑梗</w:t>
            </w:r>
            <w:r>
              <w:rPr>
                <w:rFonts w:ascii="黑体" w:eastAsia="黑体" w:hint="eastAsia"/>
                <w:spacing w:val="-3"/>
                <w:sz w:val="21"/>
              </w:rPr>
              <w:t>塞不在保障范围。</w:t>
            </w:r>
          </w:p>
        </w:tc>
      </w:tr>
      <w:tr>
        <w:trPr>
          <w:trHeight w:val="963" w:hRule="atLeast"/>
        </w:trPr>
        <w:tc>
          <w:tcPr>
            <w:tcW w:w="819" w:type="dxa"/>
          </w:tcPr>
          <w:p>
            <w:pPr>
              <w:pStyle w:val="TableParagraph"/>
              <w:spacing w:before="0"/>
              <w:ind w:left="0"/>
              <w:rPr>
                <w:rFonts w:ascii="Times New Roman"/>
                <w:sz w:val="20"/>
              </w:rPr>
            </w:pPr>
          </w:p>
        </w:tc>
        <w:tc>
          <w:tcPr>
            <w:tcW w:w="1554" w:type="dxa"/>
          </w:tcPr>
          <w:p>
            <w:pPr>
              <w:pStyle w:val="TableParagraph"/>
              <w:spacing w:line="310" w:lineRule="atLeast" w:before="23"/>
              <w:ind w:left="197" w:right="82"/>
              <w:jc w:val="both"/>
              <w:rPr>
                <w:b/>
                <w:sz w:val="21"/>
              </w:rPr>
            </w:pPr>
            <w:r>
              <w:rPr>
                <w:b/>
                <w:sz w:val="21"/>
              </w:rPr>
              <w:t>4. 心脏瓣膜介入手术（非开胸手术）</w:t>
            </w:r>
          </w:p>
        </w:tc>
        <w:tc>
          <w:tcPr>
            <w:tcW w:w="7793" w:type="dxa"/>
          </w:tcPr>
          <w:p>
            <w:pPr>
              <w:pStyle w:val="TableParagraph"/>
              <w:spacing w:line="273" w:lineRule="auto"/>
              <w:ind w:left="88" w:right="304"/>
              <w:rPr>
                <w:sz w:val="21"/>
              </w:rPr>
            </w:pPr>
            <w:r>
              <w:rPr>
                <w:sz w:val="21"/>
              </w:rPr>
              <w:t>为了治疗心脏瓣膜疾病，实际实施了非开胸的经胸壁打孔内镜手术或经皮经导管介入手术进行的心脏瓣膜置换或修复手术。</w:t>
            </w:r>
          </w:p>
        </w:tc>
      </w:tr>
    </w:tbl>
    <w:p>
      <w:pPr>
        <w:spacing w:after="0" w:line="273" w:lineRule="auto"/>
        <w:rPr>
          <w:sz w:val="21"/>
        </w:rPr>
        <w:sectPr>
          <w:pgSz w:w="11910" w:h="16840"/>
          <w:pgMar w:header="0" w:footer="377" w:top="1340" w:bottom="560" w:left="82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5"/>
        <w:gridCol w:w="7767"/>
      </w:tblGrid>
      <w:tr>
        <w:trPr>
          <w:trHeight w:val="1587" w:hRule="atLeast"/>
        </w:trPr>
        <w:tc>
          <w:tcPr>
            <w:tcW w:w="1585" w:type="dxa"/>
          </w:tcPr>
          <w:p>
            <w:pPr>
              <w:pStyle w:val="TableParagraph"/>
              <w:spacing w:line="205" w:lineRule="exact" w:before="0"/>
              <w:ind w:left="200"/>
              <w:rPr>
                <w:b/>
                <w:sz w:val="21"/>
              </w:rPr>
            </w:pPr>
            <w:r>
              <w:rPr>
                <w:b/>
                <w:sz w:val="21"/>
              </w:rPr>
              <w:t>5.脑垂体瘤、</w:t>
            </w:r>
          </w:p>
          <w:p>
            <w:pPr>
              <w:pStyle w:val="TableParagraph"/>
              <w:spacing w:line="273" w:lineRule="auto" w:before="37"/>
              <w:ind w:left="200" w:right="112"/>
              <w:jc w:val="both"/>
              <w:rPr>
                <w:b/>
                <w:sz w:val="21"/>
              </w:rPr>
            </w:pPr>
            <w:r>
              <w:rPr>
                <w:b/>
                <w:sz w:val="21"/>
              </w:rPr>
              <w:t>脑囊肿、脑动脉瘤及脑血管瘤</w:t>
            </w:r>
          </w:p>
        </w:tc>
        <w:tc>
          <w:tcPr>
            <w:tcW w:w="7767" w:type="dxa"/>
          </w:tcPr>
          <w:p>
            <w:pPr>
              <w:pStyle w:val="TableParagraph"/>
              <w:spacing w:line="205" w:lineRule="exact" w:before="0"/>
              <w:ind w:left="59"/>
              <w:rPr>
                <w:sz w:val="21"/>
              </w:rPr>
            </w:pPr>
            <w:r>
              <w:rPr>
                <w:spacing w:val="-5"/>
                <w:w w:val="100"/>
                <w:sz w:val="21"/>
              </w:rPr>
              <w:t>指经头颅断层扫描</w:t>
            </w:r>
            <w:r>
              <w:rPr>
                <w:w w:val="100"/>
                <w:sz w:val="21"/>
              </w:rPr>
              <w:t>（C</w:t>
            </w:r>
            <w:r>
              <w:rPr>
                <w:spacing w:val="-3"/>
                <w:w w:val="100"/>
                <w:sz w:val="21"/>
              </w:rPr>
              <w:t>T</w:t>
            </w:r>
            <w:r>
              <w:rPr>
                <w:spacing w:val="-106"/>
                <w:w w:val="100"/>
                <w:sz w:val="21"/>
              </w:rPr>
              <w:t>）</w:t>
            </w:r>
            <w:r>
              <w:rPr>
                <w:spacing w:val="-9"/>
                <w:w w:val="100"/>
                <w:sz w:val="21"/>
              </w:rPr>
              <w:t>、核磁共振</w:t>
            </w:r>
            <w:r>
              <w:rPr>
                <w:w w:val="100"/>
                <w:sz w:val="21"/>
              </w:rPr>
              <w:t>（M</w:t>
            </w:r>
            <w:r>
              <w:rPr>
                <w:spacing w:val="-3"/>
                <w:w w:val="100"/>
                <w:sz w:val="21"/>
              </w:rPr>
              <w:t>R</w:t>
            </w:r>
            <w:r>
              <w:rPr>
                <w:spacing w:val="-1"/>
                <w:w w:val="100"/>
                <w:sz w:val="21"/>
              </w:rPr>
              <w:t>I</w:t>
            </w:r>
            <w:r>
              <w:rPr>
                <w:spacing w:val="-17"/>
                <w:w w:val="100"/>
                <w:sz w:val="21"/>
              </w:rPr>
              <w:t>）</w:t>
            </w:r>
            <w:r>
              <w:rPr>
                <w:spacing w:val="-3"/>
                <w:w w:val="100"/>
                <w:sz w:val="21"/>
              </w:rPr>
              <w:t>或其他影像学检查被确诊为下列病变，</w:t>
            </w:r>
          </w:p>
          <w:p>
            <w:pPr>
              <w:pStyle w:val="TableParagraph"/>
              <w:spacing w:before="37"/>
              <w:ind w:left="59"/>
              <w:rPr>
                <w:sz w:val="21"/>
              </w:rPr>
            </w:pPr>
            <w:r>
              <w:rPr>
                <w:sz w:val="21"/>
              </w:rPr>
              <w:t>并实际接受了手术或放射治疗。</w:t>
            </w:r>
          </w:p>
          <w:p>
            <w:pPr>
              <w:pStyle w:val="TableParagraph"/>
              <w:numPr>
                <w:ilvl w:val="0"/>
                <w:numId w:val="40"/>
              </w:numPr>
              <w:tabs>
                <w:tab w:pos="586" w:val="left" w:leader="none"/>
              </w:tabs>
              <w:spacing w:line="240" w:lineRule="auto" w:before="37" w:after="0"/>
              <w:ind w:left="585" w:right="0" w:hanging="420"/>
              <w:jc w:val="left"/>
              <w:rPr>
                <w:sz w:val="21"/>
              </w:rPr>
            </w:pPr>
            <w:r>
              <w:rPr>
                <w:spacing w:val="-2"/>
                <w:sz w:val="21"/>
              </w:rPr>
              <w:t>脑垂体瘤;</w:t>
            </w:r>
          </w:p>
          <w:p>
            <w:pPr>
              <w:pStyle w:val="TableParagraph"/>
              <w:numPr>
                <w:ilvl w:val="0"/>
                <w:numId w:val="40"/>
              </w:numPr>
              <w:tabs>
                <w:tab w:pos="586" w:val="left" w:leader="none"/>
              </w:tabs>
              <w:spacing w:line="240" w:lineRule="auto" w:before="37" w:after="0"/>
              <w:ind w:left="585" w:right="0" w:hanging="420"/>
              <w:jc w:val="left"/>
              <w:rPr>
                <w:sz w:val="21"/>
              </w:rPr>
            </w:pPr>
            <w:r>
              <w:rPr>
                <w:spacing w:val="-2"/>
                <w:sz w:val="21"/>
              </w:rPr>
              <w:t>脑囊肿;</w:t>
            </w:r>
          </w:p>
          <w:p>
            <w:pPr>
              <w:pStyle w:val="TableParagraph"/>
              <w:numPr>
                <w:ilvl w:val="0"/>
                <w:numId w:val="40"/>
              </w:numPr>
              <w:tabs>
                <w:tab w:pos="586" w:val="left" w:leader="none"/>
              </w:tabs>
              <w:spacing w:line="240" w:lineRule="auto" w:before="37" w:after="0"/>
              <w:ind w:left="585" w:right="0" w:hanging="420"/>
              <w:jc w:val="left"/>
              <w:rPr>
                <w:sz w:val="21"/>
              </w:rPr>
            </w:pPr>
            <w:r>
              <w:rPr>
                <w:spacing w:val="-3"/>
                <w:sz w:val="21"/>
              </w:rPr>
              <w:t>脑动脉瘤、脑血管瘤。</w:t>
            </w:r>
          </w:p>
        </w:tc>
      </w:tr>
      <w:tr>
        <w:trPr>
          <w:trHeight w:val="1091" w:hRule="atLeast"/>
        </w:trPr>
        <w:tc>
          <w:tcPr>
            <w:tcW w:w="1585" w:type="dxa"/>
          </w:tcPr>
          <w:p>
            <w:pPr>
              <w:pStyle w:val="TableParagraph"/>
              <w:ind w:left="200"/>
              <w:rPr>
                <w:b/>
                <w:sz w:val="21"/>
              </w:rPr>
            </w:pPr>
            <w:r>
              <w:rPr>
                <w:b/>
                <w:sz w:val="21"/>
              </w:rPr>
              <w:t>6.原位癌</w:t>
            </w:r>
          </w:p>
        </w:tc>
        <w:tc>
          <w:tcPr>
            <w:tcW w:w="7767" w:type="dxa"/>
          </w:tcPr>
          <w:p>
            <w:pPr>
              <w:pStyle w:val="TableParagraph"/>
              <w:spacing w:line="273" w:lineRule="auto"/>
              <w:ind w:left="59" w:right="304"/>
              <w:jc w:val="both"/>
              <w:rPr>
                <w:sz w:val="21"/>
              </w:rPr>
            </w:pP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1014" w:hRule="atLeast"/>
        </w:trPr>
        <w:tc>
          <w:tcPr>
            <w:tcW w:w="1585" w:type="dxa"/>
          </w:tcPr>
          <w:p>
            <w:pPr>
              <w:pStyle w:val="TableParagraph"/>
              <w:spacing w:line="273" w:lineRule="auto"/>
              <w:ind w:left="200" w:right="111"/>
              <w:jc w:val="both"/>
              <w:rPr>
                <w:b/>
                <w:sz w:val="21"/>
              </w:rPr>
            </w:pPr>
            <w:r>
              <w:rPr>
                <w:b/>
                <w:sz w:val="21"/>
              </w:rPr>
              <w:t>7. 主动脉内手术（非开胸手术）</w:t>
            </w:r>
          </w:p>
        </w:tc>
        <w:tc>
          <w:tcPr>
            <w:tcW w:w="7767" w:type="dxa"/>
          </w:tcPr>
          <w:p>
            <w:pPr>
              <w:pStyle w:val="TableParagraph"/>
              <w:spacing w:line="273" w:lineRule="auto"/>
              <w:ind w:left="59" w:right="306"/>
              <w:rPr>
                <w:sz w:val="21"/>
              </w:rPr>
            </w:pPr>
            <w:r>
              <w:rPr>
                <w:sz w:val="21"/>
              </w:rPr>
              <w:t>为了治疗主动脉疾病实际实施了经皮经导管进行的动脉内手术。主动脉指胸主动脉和腹主动脉，不包括胸主动脉和腹主动脉的分支血管。</w:t>
            </w:r>
          </w:p>
        </w:tc>
      </w:tr>
      <w:tr>
        <w:trPr>
          <w:trHeight w:val="935" w:hRule="atLeast"/>
        </w:trPr>
        <w:tc>
          <w:tcPr>
            <w:tcW w:w="1585" w:type="dxa"/>
          </w:tcPr>
          <w:p>
            <w:pPr>
              <w:pStyle w:val="TableParagraph"/>
              <w:spacing w:line="256" w:lineRule="exact" w:before="0"/>
              <w:ind w:left="200"/>
              <w:rPr>
                <w:b/>
                <w:sz w:val="21"/>
              </w:rPr>
            </w:pPr>
            <w:r>
              <w:rPr>
                <w:b/>
                <w:sz w:val="21"/>
              </w:rPr>
              <w:t>8. 较小面积 </w:t>
            </w:r>
          </w:p>
          <w:p>
            <w:pPr>
              <w:pStyle w:val="TableParagraph"/>
              <w:spacing w:before="37"/>
              <w:ind w:left="200"/>
              <w:rPr>
                <w:b/>
                <w:sz w:val="21"/>
              </w:rPr>
            </w:pPr>
            <w:r>
              <w:rPr>
                <w:b/>
                <w:sz w:val="21"/>
              </w:rPr>
              <w:t>III 度烧伤 </w:t>
            </w:r>
          </w:p>
          <w:p>
            <w:pPr>
              <w:pStyle w:val="TableParagraph"/>
              <w:spacing w:before="37"/>
              <w:ind w:left="200"/>
              <w:rPr>
                <w:b/>
                <w:sz w:val="21"/>
              </w:rPr>
            </w:pPr>
            <w:r>
              <w:rPr>
                <w:b/>
                <w:sz w:val="21"/>
              </w:rPr>
              <w:t>（10%）</w:t>
            </w:r>
          </w:p>
        </w:tc>
        <w:tc>
          <w:tcPr>
            <w:tcW w:w="7767" w:type="dxa"/>
          </w:tcPr>
          <w:p>
            <w:pPr>
              <w:pStyle w:val="TableParagraph"/>
              <w:spacing w:line="273" w:lineRule="auto" w:before="57"/>
              <w:ind w:left="59" w:right="302"/>
              <w:rPr>
                <w:sz w:val="21"/>
              </w:rPr>
            </w:pPr>
            <w:r>
              <w:rPr>
                <w:sz w:val="21"/>
              </w:rPr>
              <w:t>指被保险人的烧伤程度为Ⅲ度，且Ⅲ度烧伤的面积大于全身体表面积的 10%但小于 20％。体表面积根据《中国新九分法》计算。</w:t>
            </w:r>
          </w:p>
        </w:tc>
      </w:tr>
      <w:tr>
        <w:trPr>
          <w:trHeight w:val="1638" w:hRule="atLeast"/>
        </w:trPr>
        <w:tc>
          <w:tcPr>
            <w:tcW w:w="1585" w:type="dxa"/>
          </w:tcPr>
          <w:p>
            <w:pPr>
              <w:pStyle w:val="TableParagraph"/>
              <w:spacing w:line="256" w:lineRule="exact" w:before="0"/>
              <w:ind w:left="200"/>
              <w:rPr>
                <w:b/>
                <w:sz w:val="21"/>
              </w:rPr>
            </w:pPr>
            <w:r>
              <w:rPr>
                <w:b/>
                <w:sz w:val="21"/>
              </w:rPr>
              <w:t>9. 慢性肾功 </w:t>
            </w:r>
          </w:p>
          <w:p>
            <w:pPr>
              <w:pStyle w:val="TableParagraph"/>
              <w:spacing w:line="273" w:lineRule="auto" w:before="37"/>
              <w:ind w:left="200" w:right="112"/>
              <w:jc w:val="both"/>
              <w:rPr>
                <w:b/>
                <w:sz w:val="21"/>
              </w:rPr>
            </w:pPr>
            <w:r>
              <w:rPr>
                <w:b/>
                <w:sz w:val="21"/>
              </w:rPr>
              <w:t>能损害 – 肾功能衰竭期</w:t>
            </w:r>
          </w:p>
        </w:tc>
        <w:tc>
          <w:tcPr>
            <w:tcW w:w="7767" w:type="dxa"/>
          </w:tcPr>
          <w:p>
            <w:pPr>
              <w:pStyle w:val="TableParagraph"/>
              <w:spacing w:line="256" w:lineRule="exact" w:before="0"/>
              <w:ind w:left="59"/>
              <w:rPr>
                <w:sz w:val="21"/>
              </w:rPr>
            </w:pPr>
            <w:r>
              <w:rPr>
                <w:sz w:val="21"/>
              </w:rPr>
              <w:t>指被保险人因双肾功能慢性不可逆性损害达到肾功能衰竭期，诊断必须满足所有</w:t>
            </w:r>
          </w:p>
          <w:p>
            <w:pPr>
              <w:pStyle w:val="TableParagraph"/>
              <w:spacing w:before="37"/>
              <w:ind w:left="59"/>
              <w:rPr>
                <w:sz w:val="21"/>
              </w:rPr>
            </w:pPr>
            <w:r>
              <w:rPr>
                <w:sz w:val="21"/>
              </w:rPr>
              <w:t>以下标准。</w:t>
            </w:r>
          </w:p>
          <w:p>
            <w:pPr>
              <w:pStyle w:val="TableParagraph"/>
              <w:spacing w:before="37"/>
              <w:ind w:left="59"/>
              <w:rPr>
                <w:sz w:val="21"/>
              </w:rPr>
            </w:pPr>
            <w:r>
              <w:rPr>
                <w:sz w:val="21"/>
              </w:rPr>
              <w:t>（1）GFR &lt; 25%；</w:t>
            </w:r>
          </w:p>
          <w:p>
            <w:pPr>
              <w:pStyle w:val="TableParagraph"/>
              <w:spacing w:before="37"/>
              <w:ind w:left="59"/>
              <w:rPr>
                <w:sz w:val="21"/>
              </w:rPr>
            </w:pPr>
            <w:r>
              <w:rPr>
                <w:sz w:val="21"/>
              </w:rPr>
              <w:t>（2）Scr &gt; 5mg/dl 或&gt;442umol/L；</w:t>
            </w:r>
          </w:p>
          <w:p>
            <w:pPr>
              <w:pStyle w:val="TableParagraph"/>
              <w:spacing w:before="37"/>
              <w:ind w:left="59"/>
              <w:rPr>
                <w:sz w:val="21"/>
              </w:rPr>
            </w:pPr>
            <w:r>
              <w:rPr>
                <w:sz w:val="21"/>
              </w:rPr>
              <w:t>（3）持续 180 天。</w:t>
            </w:r>
          </w:p>
        </w:tc>
      </w:tr>
      <w:tr>
        <w:trPr>
          <w:trHeight w:val="1404" w:hRule="atLeast"/>
        </w:trPr>
        <w:tc>
          <w:tcPr>
            <w:tcW w:w="1585" w:type="dxa"/>
          </w:tcPr>
          <w:p>
            <w:pPr>
              <w:pStyle w:val="TableParagraph"/>
              <w:spacing w:line="273" w:lineRule="auto"/>
              <w:ind w:left="200" w:right="137"/>
              <w:rPr>
                <w:b/>
                <w:sz w:val="21"/>
              </w:rPr>
            </w:pPr>
            <w:r>
              <w:rPr>
                <w:b/>
                <w:sz w:val="21"/>
              </w:rPr>
              <w:t>10.重度头部外伤</w:t>
            </w:r>
          </w:p>
        </w:tc>
        <w:tc>
          <w:tcPr>
            <w:tcW w:w="7767" w:type="dxa"/>
          </w:tcPr>
          <w:p>
            <w:pPr>
              <w:pStyle w:val="TableParagraph"/>
              <w:spacing w:line="273" w:lineRule="auto"/>
              <w:ind w:left="59" w:right="201"/>
              <w:rPr>
                <w:sz w:val="21"/>
              </w:rPr>
            </w:pPr>
            <w:r>
              <w:rPr>
                <w:sz w:val="21"/>
              </w:rPr>
              <w:t>指因头部遭受机械性外力，引起脑重要部位损伤，导致神经系统永久性的功能障</w:t>
            </w:r>
            <w:r>
              <w:rPr>
                <w:spacing w:val="-10"/>
                <w:w w:val="100"/>
                <w:sz w:val="21"/>
              </w:rPr>
              <w:t>碍。须由头颅断层扫描</w:t>
            </w:r>
            <w:r>
              <w:rPr>
                <w:spacing w:val="-3"/>
                <w:w w:val="100"/>
                <w:sz w:val="21"/>
              </w:rPr>
              <w:t>（C</w:t>
            </w:r>
            <w:r>
              <w:rPr>
                <w:w w:val="100"/>
                <w:sz w:val="21"/>
              </w:rPr>
              <w:t>T</w:t>
            </w:r>
            <w:r>
              <w:rPr>
                <w:spacing w:val="-106"/>
                <w:w w:val="100"/>
                <w:sz w:val="21"/>
              </w:rPr>
              <w:t>）</w:t>
            </w:r>
            <w:r>
              <w:rPr>
                <w:spacing w:val="-11"/>
                <w:w w:val="100"/>
                <w:sz w:val="21"/>
              </w:rPr>
              <w:t>、核磁共振检查</w:t>
            </w:r>
            <w:r>
              <w:rPr>
                <w:spacing w:val="-3"/>
                <w:w w:val="100"/>
                <w:sz w:val="21"/>
              </w:rPr>
              <w:t>（</w:t>
            </w:r>
            <w:r>
              <w:rPr>
                <w:w w:val="100"/>
                <w:sz w:val="21"/>
              </w:rPr>
              <w:t>MRI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6"/>
                <w:sz w:val="21"/>
              </w:rPr>
              <w:t> 天后，仍完全丧</w:t>
            </w:r>
            <w:r>
              <w:rPr>
                <w:spacing w:val="-4"/>
                <w:sz w:val="21"/>
              </w:rPr>
              <w:t>失自主生活能力，无法独立完成六项基本日常生活活动中的二项或以上。</w:t>
            </w:r>
          </w:p>
        </w:tc>
      </w:tr>
      <w:tr>
        <w:trPr>
          <w:trHeight w:val="780" w:hRule="atLeast"/>
        </w:trPr>
        <w:tc>
          <w:tcPr>
            <w:tcW w:w="1585" w:type="dxa"/>
          </w:tcPr>
          <w:p>
            <w:pPr>
              <w:pStyle w:val="TableParagraph"/>
              <w:spacing w:line="273" w:lineRule="auto"/>
              <w:ind w:left="200" w:right="137"/>
              <w:rPr>
                <w:b/>
                <w:sz w:val="21"/>
              </w:rPr>
            </w:pPr>
            <w:r>
              <w:rPr>
                <w:b/>
                <w:sz w:val="21"/>
              </w:rPr>
              <w:t>11.单个肢体缺失</w:t>
            </w:r>
          </w:p>
        </w:tc>
        <w:tc>
          <w:tcPr>
            <w:tcW w:w="7767" w:type="dxa"/>
          </w:tcPr>
          <w:p>
            <w:pPr>
              <w:pStyle w:val="TableParagraph"/>
              <w:spacing w:line="273" w:lineRule="auto"/>
              <w:ind w:left="59" w:right="306"/>
              <w:rPr>
                <w:sz w:val="21"/>
              </w:rPr>
            </w:pPr>
            <w:r>
              <w:rPr>
                <w:sz w:val="21"/>
              </w:rPr>
              <w:t>指因疾病或意外伤害导致一个肢体自腕关节或踝关节近端（靠近躯干端）以上完全断离。</w:t>
            </w:r>
          </w:p>
        </w:tc>
      </w:tr>
      <w:tr>
        <w:trPr>
          <w:trHeight w:val="780" w:hRule="atLeast"/>
        </w:trPr>
        <w:tc>
          <w:tcPr>
            <w:tcW w:w="1585" w:type="dxa"/>
          </w:tcPr>
          <w:p>
            <w:pPr>
              <w:pStyle w:val="TableParagraph"/>
              <w:spacing w:line="273" w:lineRule="auto"/>
              <w:ind w:left="200" w:right="137"/>
              <w:rPr>
                <w:b/>
                <w:sz w:val="21"/>
              </w:rPr>
            </w:pPr>
            <w:r>
              <w:rPr>
                <w:b/>
                <w:sz w:val="21"/>
              </w:rPr>
              <w:t>12.单侧肺脏切除</w:t>
            </w:r>
          </w:p>
        </w:tc>
        <w:tc>
          <w:tcPr>
            <w:tcW w:w="7767" w:type="dxa"/>
          </w:tcPr>
          <w:p>
            <w:pPr>
              <w:pStyle w:val="TableParagraph"/>
              <w:spacing w:line="273" w:lineRule="auto"/>
              <w:ind w:left="59" w:right="305"/>
              <w:rPr>
                <w:rFonts w:ascii="黑体" w:eastAsia="黑体" w:hint="eastAsia"/>
                <w:sz w:val="21"/>
              </w:rPr>
            </w:pPr>
            <w:r>
              <w:rPr>
                <w:sz w:val="21"/>
              </w:rPr>
              <w:t>因疾病或意外事故实际实施的一侧肺脏切除术。</w:t>
            </w:r>
            <w:r>
              <w:rPr>
                <w:rFonts w:ascii="黑体" w:eastAsia="黑体" w:hint="eastAsia"/>
                <w:sz w:val="21"/>
              </w:rPr>
              <w:t>部分切除手术和肺脏捐献引起的手术不在保障范围内。</w:t>
            </w:r>
          </w:p>
        </w:tc>
      </w:tr>
      <w:tr>
        <w:trPr>
          <w:trHeight w:val="780" w:hRule="atLeast"/>
        </w:trPr>
        <w:tc>
          <w:tcPr>
            <w:tcW w:w="1585" w:type="dxa"/>
          </w:tcPr>
          <w:p>
            <w:pPr>
              <w:pStyle w:val="TableParagraph"/>
              <w:ind w:left="200"/>
              <w:rPr>
                <w:b/>
                <w:sz w:val="21"/>
              </w:rPr>
            </w:pPr>
            <w:r>
              <w:rPr>
                <w:b/>
                <w:sz w:val="21"/>
              </w:rPr>
              <w:t>13.肝脏手术</w:t>
            </w:r>
          </w:p>
        </w:tc>
        <w:tc>
          <w:tcPr>
            <w:tcW w:w="7767" w:type="dxa"/>
          </w:tcPr>
          <w:p>
            <w:pPr>
              <w:pStyle w:val="TableParagraph"/>
              <w:spacing w:line="273" w:lineRule="auto"/>
              <w:ind w:left="59" w:right="306"/>
              <w:rPr>
                <w:sz w:val="21"/>
              </w:rPr>
            </w:pPr>
            <w:r>
              <w:rPr>
                <w:sz w:val="21"/>
              </w:rPr>
              <w:t>指因疾病或意外事故实际实施的肝脏部分切除术，手术须有至少一个完整的肝叶切除。</w:t>
            </w:r>
          </w:p>
        </w:tc>
      </w:tr>
      <w:tr>
        <w:trPr>
          <w:trHeight w:val="1092" w:hRule="atLeast"/>
        </w:trPr>
        <w:tc>
          <w:tcPr>
            <w:tcW w:w="1585" w:type="dxa"/>
          </w:tcPr>
          <w:p>
            <w:pPr>
              <w:pStyle w:val="TableParagraph"/>
              <w:spacing w:line="273" w:lineRule="auto" w:before="59"/>
              <w:ind w:left="200" w:right="137"/>
              <w:rPr>
                <w:b/>
                <w:sz w:val="21"/>
              </w:rPr>
            </w:pPr>
            <w:r>
              <w:rPr>
                <w:b/>
                <w:sz w:val="21"/>
              </w:rPr>
              <w:t>14.早期运动神经性疾病</w:t>
            </w:r>
          </w:p>
        </w:tc>
        <w:tc>
          <w:tcPr>
            <w:tcW w:w="7767" w:type="dxa"/>
          </w:tcPr>
          <w:p>
            <w:pPr>
              <w:pStyle w:val="TableParagraph"/>
              <w:spacing w:line="273" w:lineRule="auto" w:before="59"/>
              <w:ind w:left="59" w:right="306"/>
              <w:jc w:val="both"/>
              <w:rPr>
                <w:sz w:val="21"/>
              </w:rPr>
            </w:pPr>
            <w:r>
              <w:rPr>
                <w:sz w:val="21"/>
              </w:rPr>
              <w:t>是一组中枢圣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403" w:hRule="atLeast"/>
        </w:trPr>
        <w:tc>
          <w:tcPr>
            <w:tcW w:w="1585" w:type="dxa"/>
          </w:tcPr>
          <w:p>
            <w:pPr>
              <w:pStyle w:val="TableParagraph"/>
              <w:spacing w:line="273" w:lineRule="auto"/>
              <w:ind w:left="200" w:right="137"/>
              <w:rPr>
                <w:b/>
                <w:sz w:val="21"/>
              </w:rPr>
            </w:pPr>
            <w:r>
              <w:rPr>
                <w:b/>
                <w:sz w:val="21"/>
              </w:rPr>
              <w:t>15.人工耳蜗植入术</w:t>
            </w:r>
          </w:p>
        </w:tc>
        <w:tc>
          <w:tcPr>
            <w:tcW w:w="7767" w:type="dxa"/>
          </w:tcPr>
          <w:p>
            <w:pPr>
              <w:pStyle w:val="TableParagraph"/>
              <w:spacing w:line="273" w:lineRule="auto"/>
              <w:ind w:left="59" w:right="306"/>
              <w:rPr>
                <w:sz w:val="21"/>
              </w:rPr>
            </w:pPr>
            <w:r>
              <w:rPr>
                <w:sz w:val="21"/>
              </w:rPr>
              <w:t>指由于耳蜗的永久损害而实际实施了人工耳蜗植入手术。诊断须经专科医师确认在医学上是必要的， 且在植入手术之前已 经符合下列全部条件 ：</w:t>
            </w:r>
          </w:p>
          <w:p>
            <w:pPr>
              <w:pStyle w:val="TableParagraph"/>
              <w:spacing w:before="7"/>
              <w:ind w:left="59"/>
              <w:rPr>
                <w:sz w:val="21"/>
              </w:rPr>
            </w:pPr>
            <w:r>
              <w:rPr>
                <w:sz w:val="21"/>
              </w:rPr>
              <w:t>（1）双耳持续 12 个月以上重度感音神经性耳聋；</w:t>
            </w:r>
          </w:p>
          <w:p>
            <w:pPr>
              <w:pStyle w:val="TableParagraph"/>
              <w:spacing w:before="37"/>
              <w:ind w:left="59"/>
              <w:rPr>
                <w:sz w:val="21"/>
              </w:rPr>
            </w:pPr>
            <w:r>
              <w:rPr>
                <w:sz w:val="21"/>
              </w:rPr>
              <w:t>（2）使用相应的听力辅助设备效果不佳。</w:t>
            </w:r>
          </w:p>
        </w:tc>
      </w:tr>
      <w:tr>
        <w:trPr>
          <w:trHeight w:val="1587" w:hRule="atLeast"/>
        </w:trPr>
        <w:tc>
          <w:tcPr>
            <w:tcW w:w="1585" w:type="dxa"/>
          </w:tcPr>
          <w:p>
            <w:pPr>
              <w:pStyle w:val="TableParagraph"/>
              <w:spacing w:line="273" w:lineRule="auto"/>
              <w:ind w:left="200" w:right="137"/>
              <w:rPr>
                <w:b/>
                <w:sz w:val="21"/>
              </w:rPr>
            </w:pPr>
            <w:r>
              <w:rPr>
                <w:b/>
                <w:sz w:val="21"/>
              </w:rPr>
              <w:t>16.中度帕金森氏病</w:t>
            </w:r>
          </w:p>
        </w:tc>
        <w:tc>
          <w:tcPr>
            <w:tcW w:w="7767" w:type="dxa"/>
          </w:tcPr>
          <w:p>
            <w:pPr>
              <w:pStyle w:val="TableParagraph"/>
              <w:spacing w:line="273" w:lineRule="auto"/>
              <w:ind w:left="59" w:right="348"/>
              <w:rPr>
                <w:sz w:val="21"/>
              </w:rPr>
            </w:pPr>
            <w:r>
              <w:rPr>
                <w:sz w:val="21"/>
              </w:rPr>
              <w:t>是一种中枢神经系统的退行性疾病，临床表现为震颤麻痹、共济失调等。必须满足下列全部条件：</w:t>
            </w:r>
          </w:p>
          <w:p>
            <w:pPr>
              <w:pStyle w:val="TableParagraph"/>
              <w:spacing w:before="7"/>
              <w:ind w:left="59"/>
              <w:rPr>
                <w:sz w:val="21"/>
              </w:rPr>
            </w:pPr>
            <w:r>
              <w:rPr>
                <w:sz w:val="21"/>
              </w:rPr>
              <w:t>（1）药物治疗无法控制病情；</w:t>
            </w:r>
          </w:p>
          <w:p>
            <w:pPr>
              <w:pStyle w:val="TableParagraph"/>
              <w:spacing w:line="310" w:lineRule="atLeast" w:before="1"/>
              <w:ind w:left="59" w:right="456"/>
              <w:rPr>
                <w:b/>
                <w:sz w:val="21"/>
              </w:rPr>
            </w:pPr>
            <w:r>
              <w:rPr>
                <w:sz w:val="21"/>
              </w:rPr>
              <w:t>（2）自主生活能力完全丧失，无法独立完成六项基本日常生活活动中的两项。</w:t>
            </w:r>
            <w:r>
              <w:rPr>
                <w:b/>
                <w:sz w:val="21"/>
              </w:rPr>
              <w:t>继发性帕金森综合症不在保障范围内。</w:t>
            </w:r>
          </w:p>
        </w:tc>
      </w:tr>
    </w:tbl>
    <w:p>
      <w:pPr>
        <w:spacing w:after="0" w:line="310" w:lineRule="atLeast"/>
        <w:rPr>
          <w:sz w:val="21"/>
        </w:rPr>
        <w:sectPr>
          <w:pgSz w:w="11910" w:h="16840"/>
          <w:pgMar w:header="0" w:footer="377" w:top="1340" w:bottom="560" w:left="164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489"/>
        <w:gridCol w:w="7803"/>
      </w:tblGrid>
      <w:tr>
        <w:trPr>
          <w:trHeight w:val="963" w:hRule="atLeast"/>
        </w:trPr>
        <w:tc>
          <w:tcPr>
            <w:tcW w:w="872" w:type="dxa"/>
          </w:tcPr>
          <w:p>
            <w:pPr>
              <w:pStyle w:val="TableParagraph"/>
              <w:spacing w:before="0"/>
              <w:ind w:left="0"/>
              <w:rPr>
                <w:rFonts w:ascii="Times New Roman"/>
                <w:sz w:val="20"/>
              </w:rPr>
            </w:pPr>
          </w:p>
        </w:tc>
        <w:tc>
          <w:tcPr>
            <w:tcW w:w="1489" w:type="dxa"/>
          </w:tcPr>
          <w:p>
            <w:pPr>
              <w:pStyle w:val="TableParagraph"/>
              <w:spacing w:line="205" w:lineRule="exact" w:before="0"/>
              <w:ind w:left="144"/>
              <w:rPr>
                <w:b/>
                <w:sz w:val="21"/>
              </w:rPr>
            </w:pPr>
            <w:r>
              <w:rPr>
                <w:b/>
                <w:sz w:val="21"/>
              </w:rPr>
              <w:t>17.继发性肺</w:t>
            </w:r>
          </w:p>
          <w:p>
            <w:pPr>
              <w:pStyle w:val="TableParagraph"/>
              <w:spacing w:before="37"/>
              <w:ind w:left="144"/>
              <w:rPr>
                <w:b/>
                <w:sz w:val="21"/>
              </w:rPr>
            </w:pPr>
            <w:r>
              <w:rPr>
                <w:b/>
                <w:sz w:val="21"/>
              </w:rPr>
              <w:t>动脉高压</w:t>
            </w:r>
          </w:p>
        </w:tc>
        <w:tc>
          <w:tcPr>
            <w:tcW w:w="7803" w:type="dxa"/>
          </w:tcPr>
          <w:p>
            <w:pPr>
              <w:pStyle w:val="TableParagraph"/>
              <w:spacing w:line="205" w:lineRule="exact" w:before="0"/>
              <w:ind w:left="100"/>
              <w:rPr>
                <w:sz w:val="21"/>
              </w:rPr>
            </w:pPr>
            <w:r>
              <w:rPr>
                <w:sz w:val="21"/>
              </w:rPr>
              <w:t>继发性肺动脉压力持续增高，导致右心室肥厚，已经造成永久不可逆性的体力活</w:t>
            </w:r>
          </w:p>
          <w:p>
            <w:pPr>
              <w:pStyle w:val="TableParagraph"/>
              <w:spacing w:line="273" w:lineRule="auto" w:before="37"/>
              <w:ind w:left="100" w:right="300"/>
              <w:rPr>
                <w:sz w:val="21"/>
              </w:rPr>
            </w:pPr>
            <w:r>
              <w:rPr>
                <w:spacing w:val="-9"/>
                <w:sz w:val="21"/>
              </w:rPr>
              <w:t>动能力受限，达到美国纽约心脏病学会心功能状态分级 </w:t>
            </w:r>
            <w:r>
              <w:rPr>
                <w:sz w:val="21"/>
              </w:rPr>
              <w:t>IV</w:t>
            </w:r>
            <w:r>
              <w:rPr>
                <w:spacing w:val="-10"/>
                <w:sz w:val="21"/>
              </w:rPr>
              <w:t> 级。诊断需要有心脏科</w:t>
            </w:r>
            <w:r>
              <w:rPr>
                <w:spacing w:val="-6"/>
                <w:sz w:val="21"/>
              </w:rPr>
              <w:t>专家确诊，并且心导管检查报告显示静息状态下肺动脉平均压超过 </w:t>
            </w:r>
            <w:r>
              <w:rPr>
                <w:sz w:val="21"/>
              </w:rPr>
              <w:t>30mmHg。</w:t>
            </w:r>
          </w:p>
        </w:tc>
      </w:tr>
      <w:tr>
        <w:trPr>
          <w:trHeight w:val="780" w:hRule="atLeast"/>
        </w:trPr>
        <w:tc>
          <w:tcPr>
            <w:tcW w:w="872" w:type="dxa"/>
          </w:tcPr>
          <w:p>
            <w:pPr>
              <w:pStyle w:val="TableParagraph"/>
              <w:spacing w:before="0"/>
              <w:ind w:left="0"/>
              <w:rPr>
                <w:rFonts w:ascii="Times New Roman"/>
                <w:sz w:val="20"/>
              </w:rPr>
            </w:pPr>
          </w:p>
        </w:tc>
        <w:tc>
          <w:tcPr>
            <w:tcW w:w="1489" w:type="dxa"/>
          </w:tcPr>
          <w:p>
            <w:pPr>
              <w:pStyle w:val="TableParagraph"/>
              <w:ind w:left="144"/>
              <w:rPr>
                <w:b/>
                <w:sz w:val="21"/>
              </w:rPr>
            </w:pPr>
            <w:r>
              <w:rPr>
                <w:b/>
                <w:sz w:val="21"/>
              </w:rPr>
              <w:t>18.一肢缺失</w:t>
            </w:r>
          </w:p>
        </w:tc>
        <w:tc>
          <w:tcPr>
            <w:tcW w:w="7803" w:type="dxa"/>
          </w:tcPr>
          <w:p>
            <w:pPr>
              <w:pStyle w:val="TableParagraph"/>
              <w:spacing w:line="273" w:lineRule="auto"/>
              <w:ind w:left="100" w:right="301"/>
              <w:rPr>
                <w:sz w:val="21"/>
              </w:rPr>
            </w:pPr>
            <w:r>
              <w:rPr>
                <w:sz w:val="21"/>
              </w:rPr>
              <w:t>指因疾病或意外伤害导致一个肢体自腕关节或踝关节近端（靠近躯干端）以上完全断离。</w:t>
            </w:r>
          </w:p>
        </w:tc>
      </w:tr>
      <w:tr>
        <w:trPr>
          <w:trHeight w:val="2028" w:hRule="atLeast"/>
        </w:trPr>
        <w:tc>
          <w:tcPr>
            <w:tcW w:w="872" w:type="dxa"/>
          </w:tcPr>
          <w:p>
            <w:pPr>
              <w:pStyle w:val="TableParagraph"/>
              <w:spacing w:before="0"/>
              <w:ind w:left="0"/>
              <w:rPr>
                <w:rFonts w:ascii="Times New Roman"/>
                <w:sz w:val="20"/>
              </w:rPr>
            </w:pPr>
          </w:p>
        </w:tc>
        <w:tc>
          <w:tcPr>
            <w:tcW w:w="1489" w:type="dxa"/>
          </w:tcPr>
          <w:p>
            <w:pPr>
              <w:pStyle w:val="TableParagraph"/>
              <w:spacing w:line="273" w:lineRule="auto"/>
              <w:ind w:left="144" w:right="98"/>
              <w:rPr>
                <w:b/>
                <w:sz w:val="21"/>
              </w:rPr>
            </w:pPr>
            <w:r>
              <w:rPr>
                <w:b/>
                <w:sz w:val="21"/>
              </w:rPr>
              <w:t>19.早期肝硬化</w:t>
            </w:r>
          </w:p>
        </w:tc>
        <w:tc>
          <w:tcPr>
            <w:tcW w:w="7803" w:type="dxa"/>
          </w:tcPr>
          <w:p>
            <w:pPr>
              <w:pStyle w:val="TableParagraph"/>
              <w:spacing w:line="273" w:lineRule="auto"/>
              <w:ind w:left="100" w:right="343"/>
              <w:rPr>
                <w:sz w:val="21"/>
              </w:rPr>
            </w:pPr>
            <w:r>
              <w:rPr>
                <w:sz w:val="21"/>
              </w:rPr>
              <w:t>肝硬化须由专科医生明确诊断。必须由活检证实有再生的肝细胞结节和典型的肝组织纤维化。下列条件必须全部满足并至少持续一年：</w:t>
            </w:r>
          </w:p>
          <w:p>
            <w:pPr>
              <w:pStyle w:val="TableParagraph"/>
              <w:numPr>
                <w:ilvl w:val="0"/>
                <w:numId w:val="41"/>
              </w:numPr>
              <w:tabs>
                <w:tab w:pos="524" w:val="left" w:leader="none"/>
              </w:tabs>
              <w:spacing w:line="240" w:lineRule="auto" w:before="7" w:after="0"/>
              <w:ind w:left="100" w:right="0" w:firstLine="0"/>
              <w:jc w:val="left"/>
              <w:rPr>
                <w:sz w:val="21"/>
              </w:rPr>
            </w:pPr>
            <w:r>
              <w:rPr>
                <w:spacing w:val="-6"/>
                <w:sz w:val="21"/>
              </w:rPr>
              <w:t>持续性黄疸，胆红素水平升高超过 </w:t>
            </w:r>
            <w:r>
              <w:rPr>
                <w:sz w:val="21"/>
              </w:rPr>
              <w:t>50mol/L;</w:t>
            </w:r>
          </w:p>
          <w:p>
            <w:pPr>
              <w:pStyle w:val="TableParagraph"/>
              <w:numPr>
                <w:ilvl w:val="0"/>
                <w:numId w:val="41"/>
              </w:numPr>
              <w:tabs>
                <w:tab w:pos="524" w:val="left" w:leader="none"/>
              </w:tabs>
              <w:spacing w:line="240" w:lineRule="auto" w:before="37" w:after="0"/>
              <w:ind w:left="100" w:right="0" w:firstLine="0"/>
              <w:jc w:val="left"/>
              <w:rPr>
                <w:sz w:val="21"/>
              </w:rPr>
            </w:pPr>
            <w:r>
              <w:rPr>
                <w:spacing w:val="-6"/>
                <w:sz w:val="21"/>
              </w:rPr>
              <w:t>蛋白质合成异常，白蛋白水平低于 </w:t>
            </w:r>
            <w:r>
              <w:rPr>
                <w:sz w:val="21"/>
              </w:rPr>
              <w:t>27g/L;</w:t>
            </w:r>
          </w:p>
          <w:p>
            <w:pPr>
              <w:pStyle w:val="TableParagraph"/>
              <w:numPr>
                <w:ilvl w:val="0"/>
                <w:numId w:val="41"/>
              </w:numPr>
              <w:tabs>
                <w:tab w:pos="524" w:val="left" w:leader="none"/>
              </w:tabs>
              <w:spacing w:line="273" w:lineRule="auto" w:before="37" w:after="0"/>
              <w:ind w:left="100" w:right="345" w:firstLine="0"/>
              <w:jc w:val="left"/>
              <w:rPr>
                <w:sz w:val="21"/>
              </w:rPr>
            </w:pPr>
            <w:r>
              <w:rPr>
                <w:spacing w:val="-5"/>
                <w:sz w:val="21"/>
              </w:rPr>
              <w:t>异常凝血功能，凝血酶原时间超过正常上限的 </w:t>
            </w:r>
            <w:r>
              <w:rPr>
                <w:sz w:val="21"/>
              </w:rPr>
              <w:t>2</w:t>
            </w:r>
            <w:r>
              <w:rPr>
                <w:spacing w:val="-7"/>
                <w:sz w:val="21"/>
              </w:rPr>
              <w:t> 倍或以上，或者国际正常化比率（INR）</w:t>
            </w:r>
            <w:r>
              <w:rPr>
                <w:spacing w:val="-29"/>
                <w:sz w:val="21"/>
              </w:rPr>
              <w:t>在 </w:t>
            </w:r>
            <w:r>
              <w:rPr>
                <w:sz w:val="21"/>
              </w:rPr>
              <w:t>2.0</w:t>
            </w:r>
            <w:r>
              <w:rPr>
                <w:spacing w:val="-15"/>
                <w:sz w:val="21"/>
              </w:rPr>
              <w:t> 以上。</w:t>
            </w:r>
          </w:p>
        </w:tc>
      </w:tr>
      <w:tr>
        <w:trPr>
          <w:trHeight w:val="1092" w:hRule="atLeast"/>
        </w:trPr>
        <w:tc>
          <w:tcPr>
            <w:tcW w:w="872" w:type="dxa"/>
          </w:tcPr>
          <w:p>
            <w:pPr>
              <w:pStyle w:val="TableParagraph"/>
              <w:spacing w:before="0"/>
              <w:ind w:left="0"/>
              <w:rPr>
                <w:rFonts w:ascii="Times New Roman"/>
                <w:sz w:val="20"/>
              </w:rPr>
            </w:pPr>
          </w:p>
        </w:tc>
        <w:tc>
          <w:tcPr>
            <w:tcW w:w="1489" w:type="dxa"/>
          </w:tcPr>
          <w:p>
            <w:pPr>
              <w:pStyle w:val="TableParagraph"/>
              <w:ind w:left="144"/>
              <w:rPr>
                <w:b/>
                <w:sz w:val="21"/>
              </w:rPr>
            </w:pPr>
            <w:r>
              <w:rPr>
                <w:b/>
                <w:sz w:val="21"/>
              </w:rPr>
              <w:t>20.中度瘫痪</w:t>
            </w:r>
          </w:p>
        </w:tc>
        <w:tc>
          <w:tcPr>
            <w:tcW w:w="7803" w:type="dxa"/>
          </w:tcPr>
          <w:p>
            <w:pPr>
              <w:pStyle w:val="TableParagraph"/>
              <w:spacing w:line="273" w:lineRule="auto"/>
              <w:ind w:left="100" w:right="299"/>
              <w:jc w:val="both"/>
              <w:rPr>
                <w:sz w:val="21"/>
              </w:rPr>
            </w:pPr>
            <w:r>
              <w:rPr>
                <w:sz w:val="21"/>
              </w:rPr>
              <w:t>指因疾病或意外伤害导致一肢肢体机能永久完全丧失，肢体机能永久完全丧失， </w:t>
            </w:r>
            <w:r>
              <w:rPr>
                <w:spacing w:val="-8"/>
                <w:sz w:val="21"/>
              </w:rPr>
              <w:t>疾病确诊 </w:t>
            </w:r>
            <w:r>
              <w:rPr>
                <w:sz w:val="21"/>
              </w:rPr>
              <w:t>180</w:t>
            </w:r>
            <w:r>
              <w:rPr>
                <w:spacing w:val="-10"/>
                <w:sz w:val="21"/>
              </w:rPr>
              <w:t> 天后或意外伤害发生 </w:t>
            </w:r>
            <w:r>
              <w:rPr>
                <w:sz w:val="21"/>
              </w:rPr>
              <w:t>180</w:t>
            </w:r>
            <w:r>
              <w:rPr>
                <w:spacing w:val="-7"/>
                <w:sz w:val="21"/>
              </w:rPr>
              <w:t> 天后，该肢三大关节肿的两大关节仍然完</w:t>
            </w:r>
            <w:r>
              <w:rPr>
                <w:spacing w:val="-5"/>
                <w:sz w:val="21"/>
              </w:rPr>
              <w:t>全僵硬，或不能随意识活动。</w:t>
            </w:r>
          </w:p>
        </w:tc>
      </w:tr>
      <w:tr>
        <w:trPr>
          <w:trHeight w:val="2184" w:hRule="atLeast"/>
        </w:trPr>
        <w:tc>
          <w:tcPr>
            <w:tcW w:w="872" w:type="dxa"/>
          </w:tcPr>
          <w:p>
            <w:pPr>
              <w:pStyle w:val="TableParagraph"/>
              <w:ind w:left="200"/>
              <w:rPr>
                <w:b/>
                <w:sz w:val="21"/>
              </w:rPr>
            </w:pPr>
            <w:r>
              <w:rPr>
                <w:b/>
                <w:sz w:val="21"/>
              </w:rPr>
              <w:t>10.8</w:t>
            </w:r>
          </w:p>
        </w:tc>
        <w:tc>
          <w:tcPr>
            <w:tcW w:w="1489" w:type="dxa"/>
          </w:tcPr>
          <w:p>
            <w:pPr>
              <w:pStyle w:val="TableParagraph"/>
              <w:spacing w:line="273" w:lineRule="auto"/>
              <w:ind w:left="144" w:right="286"/>
              <w:rPr>
                <w:b/>
                <w:sz w:val="21"/>
              </w:rPr>
            </w:pPr>
            <w:r>
              <w:rPr>
                <w:b/>
                <w:sz w:val="21"/>
              </w:rPr>
              <w:t>特定恶性肿瘤</w:t>
            </w:r>
          </w:p>
        </w:tc>
        <w:tc>
          <w:tcPr>
            <w:tcW w:w="7803" w:type="dxa"/>
          </w:tcPr>
          <w:p>
            <w:pPr>
              <w:pStyle w:val="TableParagraph"/>
              <w:ind w:left="100"/>
              <w:rPr>
                <w:sz w:val="21"/>
              </w:rPr>
            </w:pPr>
            <w:r>
              <w:rPr>
                <w:sz w:val="21"/>
              </w:rPr>
              <w:t>包括男性特定部位恶性肿瘤和女性特定部位恶性肿瘤。其中：</w:t>
            </w:r>
          </w:p>
          <w:p>
            <w:pPr>
              <w:pStyle w:val="TableParagraph"/>
              <w:spacing w:line="273" w:lineRule="auto" w:before="36"/>
              <w:ind w:left="100" w:right="300"/>
              <w:rPr>
                <w:sz w:val="21"/>
              </w:rPr>
            </w:pPr>
            <w:r>
              <w:rPr>
                <w:sz w:val="21"/>
              </w:rPr>
              <w:t>男性特定部位恶性肿瘤是指原发于男性生殖器官的恶性肿瘤，男性生殖器官指前列腺、阴茎和睾丸。</w:t>
            </w:r>
          </w:p>
          <w:p>
            <w:pPr>
              <w:pStyle w:val="TableParagraph"/>
              <w:spacing w:line="273" w:lineRule="auto" w:before="7"/>
              <w:ind w:left="100" w:right="301"/>
              <w:rPr>
                <w:sz w:val="21"/>
              </w:rPr>
            </w:pPr>
            <w:r>
              <w:rPr>
                <w:sz w:val="21"/>
              </w:rPr>
              <w:t>女性特定部位恶性肿瘤是指原发于妇女乳腺和女性生殖器官的恶性肿瘤，女性生殖器官包括子宫体、子宫颈、卵巢、输卵管和阴道。</w:t>
            </w:r>
          </w:p>
          <w:p>
            <w:pPr>
              <w:pStyle w:val="TableParagraph"/>
              <w:spacing w:before="164"/>
              <w:ind w:left="100"/>
              <w:rPr>
                <w:sz w:val="21"/>
              </w:rPr>
            </w:pPr>
            <w:r>
              <w:rPr>
                <w:sz w:val="21"/>
              </w:rPr>
              <w:t>恶性肿瘤适用于本条款“10.6 重大疾病”第一项“恶性肿瘤”的定义。</w:t>
            </w:r>
          </w:p>
        </w:tc>
      </w:tr>
      <w:tr>
        <w:trPr>
          <w:trHeight w:val="1404" w:hRule="atLeast"/>
        </w:trPr>
        <w:tc>
          <w:tcPr>
            <w:tcW w:w="872" w:type="dxa"/>
          </w:tcPr>
          <w:p>
            <w:pPr>
              <w:pStyle w:val="TableParagraph"/>
              <w:ind w:left="200"/>
              <w:rPr>
                <w:b/>
                <w:sz w:val="21"/>
              </w:rPr>
            </w:pPr>
            <w:r>
              <w:rPr>
                <w:b/>
                <w:sz w:val="21"/>
              </w:rPr>
              <w:t>10.9</w:t>
            </w:r>
          </w:p>
        </w:tc>
        <w:tc>
          <w:tcPr>
            <w:tcW w:w="1489" w:type="dxa"/>
          </w:tcPr>
          <w:p>
            <w:pPr>
              <w:pStyle w:val="TableParagraph"/>
              <w:ind w:left="144"/>
              <w:rPr>
                <w:b/>
                <w:sz w:val="21"/>
              </w:rPr>
            </w:pPr>
            <w:r>
              <w:rPr>
                <w:b/>
                <w:sz w:val="21"/>
              </w:rPr>
              <w:t>医院</w:t>
            </w:r>
          </w:p>
        </w:tc>
        <w:tc>
          <w:tcPr>
            <w:tcW w:w="7803" w:type="dxa"/>
          </w:tcPr>
          <w:p>
            <w:pPr>
              <w:pStyle w:val="TableParagraph"/>
              <w:spacing w:line="273" w:lineRule="auto"/>
              <w:ind w:left="100" w:right="301"/>
              <w:jc w:val="both"/>
              <w:rPr>
                <w:sz w:val="21"/>
              </w:rPr>
            </w:pPr>
            <w:r>
              <w:rPr>
                <w:sz w:val="21"/>
              </w:rPr>
              <w:t>指经国家卫生部门审核的二级或二级以上的综合性医院和专科医院，</w:t>
            </w:r>
            <w:r>
              <w:rPr>
                <w:rFonts w:ascii="黑体" w:eastAsia="黑体" w:hint="eastAsia"/>
                <w:sz w:val="21"/>
              </w:rPr>
              <w:t>但不包括作为诊所、康复、联合病房、家庭病床、护理、修养或戒酒、戒毒等医疗机构。</w:t>
            </w:r>
            <w:r>
              <w:rPr>
                <w:sz w:val="21"/>
              </w:rPr>
              <w:t>该</w:t>
            </w:r>
            <w:r>
              <w:rPr>
                <w:spacing w:val="-9"/>
                <w:sz w:val="21"/>
              </w:rPr>
              <w:t>医院必须具有系统的、充分的诊断设备，全套外科手术设备并提供 </w:t>
            </w:r>
            <w:r>
              <w:rPr>
                <w:sz w:val="21"/>
              </w:rPr>
              <w:t>24</w:t>
            </w:r>
            <w:r>
              <w:rPr>
                <w:spacing w:val="-9"/>
                <w:sz w:val="21"/>
              </w:rPr>
              <w:t> 小时的医疗</w:t>
            </w:r>
            <w:r>
              <w:rPr>
                <w:spacing w:val="-5"/>
                <w:sz w:val="21"/>
              </w:rPr>
              <w:t>与护理服务。</w:t>
            </w:r>
          </w:p>
        </w:tc>
      </w:tr>
      <w:tr>
        <w:trPr>
          <w:trHeight w:val="1404" w:hRule="atLeast"/>
        </w:trPr>
        <w:tc>
          <w:tcPr>
            <w:tcW w:w="872" w:type="dxa"/>
          </w:tcPr>
          <w:p>
            <w:pPr>
              <w:pStyle w:val="TableParagraph"/>
              <w:ind w:left="200"/>
              <w:rPr>
                <w:b/>
                <w:sz w:val="21"/>
              </w:rPr>
            </w:pPr>
            <w:r>
              <w:rPr>
                <w:b/>
                <w:sz w:val="21"/>
              </w:rPr>
              <w:t>10.10</w:t>
            </w:r>
          </w:p>
        </w:tc>
        <w:tc>
          <w:tcPr>
            <w:tcW w:w="1489" w:type="dxa"/>
          </w:tcPr>
          <w:p>
            <w:pPr>
              <w:pStyle w:val="TableParagraph"/>
              <w:ind w:left="144"/>
              <w:rPr>
                <w:b/>
                <w:sz w:val="21"/>
              </w:rPr>
            </w:pPr>
            <w:r>
              <w:rPr>
                <w:b/>
                <w:sz w:val="21"/>
              </w:rPr>
              <w:t>专科医生</w:t>
            </w:r>
          </w:p>
        </w:tc>
        <w:tc>
          <w:tcPr>
            <w:tcW w:w="7803" w:type="dxa"/>
          </w:tcPr>
          <w:p>
            <w:pPr>
              <w:pStyle w:val="TableParagraph"/>
              <w:spacing w:line="273" w:lineRule="auto"/>
              <w:ind w:left="100" w:right="303"/>
              <w:jc w:val="both"/>
              <w:rPr>
                <w:sz w:val="21"/>
              </w:rPr>
            </w:pPr>
            <w:r>
              <w:rPr>
                <w:spacing w:val="-6"/>
                <w:w w:val="100"/>
                <w:sz w:val="21"/>
              </w:rPr>
              <w:t>专科医生应当同时满足以下四项资格条件：</w:t>
            </w:r>
            <w:r>
              <w:rPr>
                <w:w w:val="100"/>
                <w:sz w:val="21"/>
              </w:rPr>
              <w:t>（1）具有有效的中华人民共和国《医</w:t>
            </w:r>
            <w:r>
              <w:rPr>
                <w:spacing w:val="-31"/>
                <w:w w:val="100"/>
                <w:sz w:val="21"/>
              </w:rPr>
              <w:t>师资格证书》；</w:t>
            </w:r>
            <w:r>
              <w:rPr>
                <w:w w:val="100"/>
                <w:sz w:val="21"/>
              </w:rPr>
              <w:t>（2）</w:t>
            </w:r>
            <w:r>
              <w:rPr>
                <w:spacing w:val="-6"/>
                <w:w w:val="100"/>
                <w:sz w:val="21"/>
              </w:rPr>
              <w:t>具有有效的中华人民共和国《医师执业证书》，并按期到相关</w:t>
            </w:r>
            <w:r>
              <w:rPr>
                <w:spacing w:val="-20"/>
                <w:w w:val="100"/>
                <w:sz w:val="21"/>
              </w:rPr>
              <w:t>部门登记注册；</w:t>
            </w:r>
            <w:r>
              <w:rPr>
                <w:w w:val="100"/>
                <w:sz w:val="21"/>
              </w:rPr>
              <w:t>（3）具有有效的中华人民共和国主治医师或主治医师以上职称的</w:t>
            </w:r>
          </w:p>
          <w:p>
            <w:pPr>
              <w:pStyle w:val="TableParagraph"/>
              <w:spacing w:before="7"/>
              <w:ind w:left="100"/>
              <w:jc w:val="both"/>
              <w:rPr>
                <w:sz w:val="21"/>
              </w:rPr>
            </w:pPr>
            <w:r>
              <w:rPr>
                <w:spacing w:val="-16"/>
                <w:w w:val="100"/>
                <w:sz w:val="21"/>
              </w:rPr>
              <w:t>《医师职称证书》</w:t>
            </w:r>
            <w:r>
              <w:rPr>
                <w:spacing w:val="-190"/>
                <w:w w:val="100"/>
                <w:sz w:val="21"/>
              </w:rPr>
              <w:t>；</w:t>
            </w:r>
            <w:r>
              <w:rPr>
                <w:w w:val="100"/>
                <w:sz w:val="21"/>
              </w:rPr>
              <w:t>（4</w:t>
            </w:r>
            <w:r>
              <w:rPr>
                <w:spacing w:val="-87"/>
                <w:w w:val="100"/>
                <w:sz w:val="21"/>
              </w:rPr>
              <w:t>）</w:t>
            </w:r>
            <w:r>
              <w:rPr>
                <w:spacing w:val="-3"/>
                <w:w w:val="100"/>
                <w:sz w:val="21"/>
              </w:rPr>
              <w:t>在二级或二级以上医院的相应科室从事临床工作三年以上。</w:t>
            </w:r>
          </w:p>
        </w:tc>
      </w:tr>
      <w:tr>
        <w:trPr>
          <w:trHeight w:val="1092" w:hRule="atLeast"/>
        </w:trPr>
        <w:tc>
          <w:tcPr>
            <w:tcW w:w="872" w:type="dxa"/>
          </w:tcPr>
          <w:p>
            <w:pPr>
              <w:pStyle w:val="TableParagraph"/>
              <w:spacing w:before="59"/>
              <w:ind w:left="200"/>
              <w:rPr>
                <w:b/>
                <w:sz w:val="21"/>
              </w:rPr>
            </w:pPr>
            <w:r>
              <w:rPr>
                <w:b/>
                <w:sz w:val="21"/>
              </w:rPr>
              <w:t>10.11</w:t>
            </w:r>
          </w:p>
        </w:tc>
        <w:tc>
          <w:tcPr>
            <w:tcW w:w="1489" w:type="dxa"/>
          </w:tcPr>
          <w:p>
            <w:pPr>
              <w:pStyle w:val="TableParagraph"/>
              <w:spacing w:before="59"/>
              <w:ind w:left="144"/>
              <w:rPr>
                <w:b/>
                <w:sz w:val="21"/>
              </w:rPr>
            </w:pPr>
            <w:r>
              <w:rPr>
                <w:b/>
                <w:sz w:val="21"/>
              </w:rPr>
              <w:t>初次罹患</w:t>
            </w:r>
          </w:p>
        </w:tc>
        <w:tc>
          <w:tcPr>
            <w:tcW w:w="7803" w:type="dxa"/>
          </w:tcPr>
          <w:p>
            <w:pPr>
              <w:pStyle w:val="TableParagraph"/>
              <w:spacing w:line="273" w:lineRule="auto" w:before="59"/>
              <w:ind w:left="100" w:right="300"/>
              <w:jc w:val="both"/>
              <w:rPr>
                <w:sz w:val="21"/>
              </w:rPr>
            </w:pPr>
            <w:r>
              <w:rPr>
                <w:sz w:val="21"/>
              </w:rPr>
              <w:t>指被保险人在等待期后初次患有本附加合同所指的重大疾病，不包括被保险人在</w:t>
            </w:r>
            <w:r>
              <w:rPr>
                <w:spacing w:val="-4"/>
                <w:sz w:val="21"/>
              </w:rPr>
              <w:t>本附加合同生效前所患或出现的疾病</w:t>
            </w:r>
            <w:r>
              <w:rPr>
                <w:spacing w:val="-3"/>
                <w:sz w:val="21"/>
              </w:rPr>
              <w:t>（或其并发症</w:t>
            </w:r>
            <w:r>
              <w:rPr>
                <w:spacing w:val="-108"/>
                <w:sz w:val="21"/>
              </w:rPr>
              <w:t>）</w:t>
            </w:r>
            <w:r>
              <w:rPr>
                <w:spacing w:val="-9"/>
                <w:sz w:val="21"/>
              </w:rPr>
              <w:t>、症状、体征、生理缺陷、残</w:t>
            </w:r>
            <w:r>
              <w:rPr>
                <w:spacing w:val="-5"/>
                <w:sz w:val="21"/>
              </w:rPr>
              <w:t>疾，但本公司在同意承保时或复效时已知晓并书面认可的不在此限。</w:t>
            </w:r>
          </w:p>
        </w:tc>
      </w:tr>
      <w:tr>
        <w:trPr>
          <w:trHeight w:val="467" w:hRule="atLeast"/>
        </w:trPr>
        <w:tc>
          <w:tcPr>
            <w:tcW w:w="872" w:type="dxa"/>
          </w:tcPr>
          <w:p>
            <w:pPr>
              <w:pStyle w:val="TableParagraph"/>
              <w:ind w:left="200"/>
              <w:rPr>
                <w:b/>
                <w:sz w:val="21"/>
              </w:rPr>
            </w:pPr>
            <w:r>
              <w:rPr>
                <w:b/>
                <w:sz w:val="21"/>
              </w:rPr>
              <w:t>10.12</w:t>
            </w:r>
          </w:p>
        </w:tc>
        <w:tc>
          <w:tcPr>
            <w:tcW w:w="1489" w:type="dxa"/>
          </w:tcPr>
          <w:p>
            <w:pPr>
              <w:pStyle w:val="TableParagraph"/>
              <w:ind w:left="144"/>
              <w:rPr>
                <w:b/>
                <w:sz w:val="21"/>
              </w:rPr>
            </w:pPr>
            <w:r>
              <w:rPr>
                <w:b/>
                <w:sz w:val="21"/>
              </w:rPr>
              <w:t>保险事故</w:t>
            </w:r>
          </w:p>
        </w:tc>
        <w:tc>
          <w:tcPr>
            <w:tcW w:w="7803" w:type="dxa"/>
          </w:tcPr>
          <w:p>
            <w:pPr>
              <w:pStyle w:val="TableParagraph"/>
              <w:ind w:left="100"/>
              <w:rPr>
                <w:sz w:val="21"/>
              </w:rPr>
            </w:pPr>
            <w:r>
              <w:rPr>
                <w:sz w:val="21"/>
              </w:rPr>
              <w:t>指本附加合同约定的保险责任范围内的事故。</w:t>
            </w:r>
          </w:p>
        </w:tc>
      </w:tr>
      <w:tr>
        <w:trPr>
          <w:trHeight w:val="780" w:hRule="atLeast"/>
        </w:trPr>
        <w:tc>
          <w:tcPr>
            <w:tcW w:w="872" w:type="dxa"/>
          </w:tcPr>
          <w:p>
            <w:pPr>
              <w:pStyle w:val="TableParagraph"/>
              <w:ind w:left="200"/>
              <w:rPr>
                <w:b/>
                <w:sz w:val="21"/>
              </w:rPr>
            </w:pPr>
            <w:r>
              <w:rPr>
                <w:b/>
                <w:sz w:val="21"/>
              </w:rPr>
              <w:t>10.13</w:t>
            </w:r>
          </w:p>
        </w:tc>
        <w:tc>
          <w:tcPr>
            <w:tcW w:w="1489" w:type="dxa"/>
          </w:tcPr>
          <w:p>
            <w:pPr>
              <w:pStyle w:val="TableParagraph"/>
              <w:ind w:left="144"/>
              <w:rPr>
                <w:b/>
                <w:sz w:val="21"/>
              </w:rPr>
            </w:pPr>
            <w:r>
              <w:rPr>
                <w:b/>
                <w:sz w:val="21"/>
              </w:rPr>
              <w:t>毒品</w:t>
            </w:r>
          </w:p>
        </w:tc>
        <w:tc>
          <w:tcPr>
            <w:tcW w:w="7803" w:type="dxa"/>
          </w:tcPr>
          <w:p>
            <w:pPr>
              <w:pStyle w:val="TableParagraph"/>
              <w:spacing w:line="273" w:lineRule="auto"/>
              <w:ind w:left="100" w:right="302"/>
              <w:rPr>
                <w:sz w:val="21"/>
              </w:rPr>
            </w:pPr>
            <w:r>
              <w:rPr>
                <w:spacing w:val="-7"/>
                <w:sz w:val="21"/>
              </w:rPr>
              <w:t>指鸦片、海洛因、甲基苯丙胺</w:t>
            </w:r>
            <w:r>
              <w:rPr>
                <w:sz w:val="21"/>
              </w:rPr>
              <w:t>（</w:t>
            </w:r>
            <w:r>
              <w:rPr>
                <w:spacing w:val="-2"/>
                <w:sz w:val="21"/>
              </w:rPr>
              <w:t>冰毒</w:t>
            </w:r>
            <w:r>
              <w:rPr>
                <w:spacing w:val="-108"/>
                <w:sz w:val="21"/>
              </w:rPr>
              <w:t>）</w:t>
            </w:r>
            <w:r>
              <w:rPr>
                <w:spacing w:val="-7"/>
                <w:sz w:val="21"/>
              </w:rPr>
              <w:t>、吗啡、大麻、可卡因以及索赔当时政府规</w:t>
            </w:r>
            <w:r>
              <w:rPr>
                <w:spacing w:val="-5"/>
                <w:sz w:val="21"/>
              </w:rPr>
              <w:t>定管制的其他能够使人形成瘾癖的麻醉药品和精神药品。</w:t>
            </w:r>
          </w:p>
        </w:tc>
      </w:tr>
      <w:tr>
        <w:trPr>
          <w:trHeight w:val="1093" w:hRule="atLeast"/>
        </w:trPr>
        <w:tc>
          <w:tcPr>
            <w:tcW w:w="872" w:type="dxa"/>
          </w:tcPr>
          <w:p>
            <w:pPr>
              <w:pStyle w:val="TableParagraph"/>
              <w:ind w:left="200"/>
              <w:rPr>
                <w:b/>
                <w:sz w:val="21"/>
              </w:rPr>
            </w:pPr>
            <w:r>
              <w:rPr>
                <w:b/>
                <w:sz w:val="21"/>
              </w:rPr>
              <w:t>10.14</w:t>
            </w:r>
          </w:p>
        </w:tc>
        <w:tc>
          <w:tcPr>
            <w:tcW w:w="1489" w:type="dxa"/>
          </w:tcPr>
          <w:p>
            <w:pPr>
              <w:pStyle w:val="TableParagraph"/>
              <w:ind w:left="144"/>
              <w:rPr>
                <w:b/>
                <w:sz w:val="21"/>
              </w:rPr>
            </w:pPr>
            <w:r>
              <w:rPr>
                <w:b/>
                <w:sz w:val="21"/>
              </w:rPr>
              <w:t>酒后驾驶</w:t>
            </w:r>
          </w:p>
        </w:tc>
        <w:tc>
          <w:tcPr>
            <w:tcW w:w="7803" w:type="dxa"/>
          </w:tcPr>
          <w:p>
            <w:pPr>
              <w:pStyle w:val="TableParagraph"/>
              <w:spacing w:line="273" w:lineRule="auto"/>
              <w:ind w:left="100"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980" w:hRule="atLeast"/>
        </w:trPr>
        <w:tc>
          <w:tcPr>
            <w:tcW w:w="872" w:type="dxa"/>
          </w:tcPr>
          <w:p>
            <w:pPr>
              <w:pStyle w:val="TableParagraph"/>
              <w:spacing w:before="60"/>
              <w:ind w:left="200"/>
              <w:rPr>
                <w:b/>
                <w:sz w:val="21"/>
              </w:rPr>
            </w:pPr>
            <w:r>
              <w:rPr>
                <w:b/>
                <w:sz w:val="21"/>
              </w:rPr>
              <w:t>10.15</w:t>
            </w:r>
          </w:p>
        </w:tc>
        <w:tc>
          <w:tcPr>
            <w:tcW w:w="1489" w:type="dxa"/>
          </w:tcPr>
          <w:p>
            <w:pPr>
              <w:pStyle w:val="TableParagraph"/>
              <w:spacing w:line="273" w:lineRule="auto" w:before="60"/>
              <w:ind w:left="144" w:right="286"/>
              <w:rPr>
                <w:b/>
                <w:sz w:val="21"/>
              </w:rPr>
            </w:pPr>
            <w:r>
              <w:rPr>
                <w:b/>
                <w:sz w:val="21"/>
              </w:rPr>
              <w:t>无合法有效驾驶证驾驶</w:t>
            </w:r>
          </w:p>
        </w:tc>
        <w:tc>
          <w:tcPr>
            <w:tcW w:w="7803" w:type="dxa"/>
          </w:tcPr>
          <w:p>
            <w:pPr>
              <w:pStyle w:val="TableParagraph"/>
              <w:spacing w:before="60"/>
              <w:ind w:left="100"/>
              <w:rPr>
                <w:sz w:val="21"/>
              </w:rPr>
            </w:pPr>
            <w:r>
              <w:rPr>
                <w:sz w:val="21"/>
              </w:rPr>
              <w:t>指下列情形之一：</w:t>
            </w:r>
          </w:p>
          <w:p>
            <w:pPr>
              <w:pStyle w:val="TableParagraph"/>
              <w:numPr>
                <w:ilvl w:val="0"/>
                <w:numId w:val="42"/>
              </w:numPr>
              <w:tabs>
                <w:tab w:pos="668" w:val="left" w:leader="none"/>
              </w:tabs>
              <w:spacing w:line="240" w:lineRule="auto" w:before="37" w:after="0"/>
              <w:ind w:left="667" w:right="0" w:hanging="567"/>
              <w:jc w:val="left"/>
              <w:rPr>
                <w:sz w:val="21"/>
              </w:rPr>
            </w:pPr>
            <w:r>
              <w:rPr>
                <w:spacing w:val="-3"/>
                <w:sz w:val="21"/>
              </w:rPr>
              <w:t>没有驾驶证驾驶；</w:t>
            </w:r>
          </w:p>
          <w:p>
            <w:pPr>
              <w:pStyle w:val="TableParagraph"/>
              <w:numPr>
                <w:ilvl w:val="0"/>
                <w:numId w:val="42"/>
              </w:numPr>
              <w:tabs>
                <w:tab w:pos="668" w:val="left" w:leader="none"/>
              </w:tabs>
              <w:spacing w:line="276" w:lineRule="exact" w:before="22" w:after="0"/>
              <w:ind w:left="667" w:right="0" w:hanging="567"/>
              <w:jc w:val="left"/>
              <w:rPr>
                <w:sz w:val="21"/>
              </w:rPr>
            </w:pPr>
            <w:r>
              <w:rPr>
                <w:spacing w:val="-3"/>
                <w:sz w:val="21"/>
              </w:rPr>
              <w:t>驾驶与驾驶证准驾车型不相符合的车辆；</w:t>
            </w:r>
          </w:p>
        </w:tc>
      </w:tr>
    </w:tbl>
    <w:p>
      <w:pPr>
        <w:spacing w:after="0" w:line="276" w:lineRule="exact"/>
        <w:jc w:val="left"/>
        <w:rPr>
          <w:sz w:val="21"/>
        </w:rPr>
        <w:sectPr>
          <w:pgSz w:w="11910" w:h="16840"/>
          <w:pgMar w:header="0" w:footer="377" w:top="1340" w:bottom="560" w:left="8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499"/>
        <w:gridCol w:w="7794"/>
      </w:tblGrid>
      <w:tr>
        <w:trPr>
          <w:trHeight w:val="1606" w:hRule="atLeast"/>
        </w:trPr>
        <w:tc>
          <w:tcPr>
            <w:tcW w:w="872" w:type="dxa"/>
          </w:tcPr>
          <w:p>
            <w:pPr>
              <w:pStyle w:val="TableParagraph"/>
              <w:spacing w:before="0"/>
              <w:ind w:left="0"/>
              <w:rPr>
                <w:rFonts w:ascii="Times New Roman"/>
                <w:sz w:val="20"/>
              </w:rPr>
            </w:pPr>
          </w:p>
        </w:tc>
        <w:tc>
          <w:tcPr>
            <w:tcW w:w="1499" w:type="dxa"/>
          </w:tcPr>
          <w:p>
            <w:pPr>
              <w:pStyle w:val="TableParagraph"/>
              <w:spacing w:before="0"/>
              <w:ind w:left="0"/>
              <w:rPr>
                <w:rFonts w:ascii="Times New Roman"/>
                <w:sz w:val="20"/>
              </w:rPr>
            </w:pPr>
          </w:p>
        </w:tc>
        <w:tc>
          <w:tcPr>
            <w:tcW w:w="7794" w:type="dxa"/>
          </w:tcPr>
          <w:p>
            <w:pPr>
              <w:pStyle w:val="TableParagraph"/>
              <w:numPr>
                <w:ilvl w:val="0"/>
                <w:numId w:val="43"/>
              </w:numPr>
              <w:tabs>
                <w:tab w:pos="658" w:val="left" w:leader="none"/>
              </w:tabs>
              <w:spacing w:line="236" w:lineRule="exact" w:before="0" w:after="0"/>
              <w:ind w:left="657" w:right="0" w:hanging="567"/>
              <w:jc w:val="left"/>
              <w:rPr>
                <w:sz w:val="21"/>
              </w:rPr>
            </w:pPr>
            <w:r>
              <w:rPr>
                <w:spacing w:val="-3"/>
                <w:sz w:val="21"/>
              </w:rPr>
              <w:t>驾驶员持审验不合格的驾驶证驾驶；</w:t>
            </w:r>
          </w:p>
          <w:p>
            <w:pPr>
              <w:pStyle w:val="TableParagraph"/>
              <w:numPr>
                <w:ilvl w:val="0"/>
                <w:numId w:val="43"/>
              </w:numPr>
              <w:tabs>
                <w:tab w:pos="658" w:val="left" w:leader="none"/>
              </w:tabs>
              <w:spacing w:line="240" w:lineRule="auto" w:before="22" w:after="0"/>
              <w:ind w:left="657" w:right="0" w:hanging="567"/>
              <w:jc w:val="left"/>
              <w:rPr>
                <w:sz w:val="21"/>
              </w:rPr>
            </w:pPr>
            <w:r>
              <w:rPr>
                <w:spacing w:val="-3"/>
                <w:sz w:val="21"/>
              </w:rPr>
              <w:t>未经公安交通管理部门同意，持未审验的驾驶证驾驶；</w:t>
            </w:r>
          </w:p>
          <w:p>
            <w:pPr>
              <w:pStyle w:val="TableParagraph"/>
              <w:numPr>
                <w:ilvl w:val="0"/>
                <w:numId w:val="43"/>
              </w:numPr>
              <w:tabs>
                <w:tab w:pos="658" w:val="left" w:leader="none"/>
              </w:tabs>
              <w:spacing w:line="259" w:lineRule="auto" w:before="22" w:after="0"/>
              <w:ind w:left="657" w:right="303" w:hanging="567"/>
              <w:jc w:val="left"/>
              <w:rPr>
                <w:sz w:val="21"/>
              </w:rPr>
            </w:pPr>
            <w:r>
              <w:rPr>
                <w:spacing w:val="-9"/>
                <w:sz w:val="21"/>
              </w:rPr>
              <w:t>持学习驾驶证学习驾车时，无教练员随车指导，或不按指定时间、路线学习驾车；</w:t>
            </w:r>
          </w:p>
          <w:p>
            <w:pPr>
              <w:pStyle w:val="TableParagraph"/>
              <w:numPr>
                <w:ilvl w:val="0"/>
                <w:numId w:val="43"/>
              </w:numPr>
              <w:tabs>
                <w:tab w:pos="658" w:val="left" w:leader="none"/>
              </w:tabs>
              <w:spacing w:line="240" w:lineRule="auto" w:before="20" w:after="0"/>
              <w:ind w:left="657" w:right="0" w:hanging="567"/>
              <w:jc w:val="left"/>
              <w:rPr>
                <w:sz w:val="21"/>
              </w:rPr>
            </w:pPr>
            <w:r>
              <w:rPr>
                <w:spacing w:val="-3"/>
                <w:sz w:val="21"/>
              </w:rPr>
              <w:t>公安交通管理部门规定的其他无有效驾驶证驾驶的情况。</w:t>
            </w:r>
          </w:p>
        </w:tc>
      </w:tr>
      <w:tr>
        <w:trPr>
          <w:trHeight w:val="1093" w:hRule="atLeast"/>
        </w:trPr>
        <w:tc>
          <w:tcPr>
            <w:tcW w:w="872" w:type="dxa"/>
          </w:tcPr>
          <w:p>
            <w:pPr>
              <w:pStyle w:val="TableParagraph"/>
              <w:ind w:left="0" w:right="141"/>
              <w:jc w:val="right"/>
              <w:rPr>
                <w:b/>
                <w:sz w:val="21"/>
              </w:rPr>
            </w:pPr>
            <w:r>
              <w:rPr>
                <w:b/>
                <w:sz w:val="21"/>
              </w:rPr>
              <w:t>10.16</w:t>
            </w:r>
          </w:p>
        </w:tc>
        <w:tc>
          <w:tcPr>
            <w:tcW w:w="1499" w:type="dxa"/>
          </w:tcPr>
          <w:p>
            <w:pPr>
              <w:pStyle w:val="TableParagraph"/>
              <w:spacing w:line="273" w:lineRule="auto"/>
              <w:ind w:left="144" w:right="296"/>
              <w:rPr>
                <w:b/>
                <w:sz w:val="21"/>
              </w:rPr>
            </w:pPr>
            <w:r>
              <w:rPr>
                <w:b/>
                <w:sz w:val="21"/>
              </w:rPr>
              <w:t>无有效行驶证</w:t>
            </w:r>
          </w:p>
        </w:tc>
        <w:tc>
          <w:tcPr>
            <w:tcW w:w="7794" w:type="dxa"/>
          </w:tcPr>
          <w:p>
            <w:pPr>
              <w:pStyle w:val="TableParagraph"/>
              <w:ind w:left="90"/>
              <w:rPr>
                <w:sz w:val="21"/>
              </w:rPr>
            </w:pPr>
            <w:r>
              <w:rPr>
                <w:sz w:val="21"/>
              </w:rPr>
              <w:t>指下列情形之一：</w:t>
            </w:r>
          </w:p>
          <w:p>
            <w:pPr>
              <w:pStyle w:val="TableParagraph"/>
              <w:numPr>
                <w:ilvl w:val="0"/>
                <w:numId w:val="44"/>
              </w:numPr>
              <w:tabs>
                <w:tab w:pos="658" w:val="left" w:leader="none"/>
              </w:tabs>
              <w:spacing w:line="240" w:lineRule="auto" w:before="37" w:after="0"/>
              <w:ind w:left="657" w:right="0" w:hanging="567"/>
              <w:jc w:val="left"/>
              <w:rPr>
                <w:sz w:val="21"/>
              </w:rPr>
            </w:pPr>
            <w:r>
              <w:rPr>
                <w:spacing w:val="-3"/>
                <w:sz w:val="21"/>
              </w:rPr>
              <w:t>没有机动车行驶证；</w:t>
            </w:r>
          </w:p>
          <w:p>
            <w:pPr>
              <w:pStyle w:val="TableParagraph"/>
              <w:numPr>
                <w:ilvl w:val="0"/>
                <w:numId w:val="44"/>
              </w:numPr>
              <w:tabs>
                <w:tab w:pos="658" w:val="left" w:leader="none"/>
              </w:tabs>
              <w:spacing w:line="240" w:lineRule="auto" w:before="22" w:after="0"/>
              <w:ind w:left="657" w:right="0" w:hanging="567"/>
              <w:jc w:val="left"/>
              <w:rPr>
                <w:sz w:val="21"/>
              </w:rPr>
            </w:pPr>
            <w:r>
              <w:rPr>
                <w:spacing w:val="-3"/>
                <w:sz w:val="21"/>
              </w:rPr>
              <w:t>未在法律规定期限内按时进行或通过安全技术检验。</w:t>
            </w:r>
          </w:p>
        </w:tc>
      </w:tr>
      <w:tr>
        <w:trPr>
          <w:trHeight w:val="775" w:hRule="atLeast"/>
        </w:trPr>
        <w:tc>
          <w:tcPr>
            <w:tcW w:w="872" w:type="dxa"/>
          </w:tcPr>
          <w:p>
            <w:pPr>
              <w:pStyle w:val="TableParagraph"/>
              <w:spacing w:before="57"/>
              <w:ind w:left="0" w:right="141"/>
              <w:jc w:val="right"/>
              <w:rPr>
                <w:b/>
                <w:sz w:val="21"/>
              </w:rPr>
            </w:pPr>
            <w:r>
              <w:rPr>
                <w:b/>
                <w:sz w:val="21"/>
              </w:rPr>
              <w:t>10.17</w:t>
            </w:r>
          </w:p>
        </w:tc>
        <w:tc>
          <w:tcPr>
            <w:tcW w:w="1499" w:type="dxa"/>
          </w:tcPr>
          <w:p>
            <w:pPr>
              <w:pStyle w:val="TableParagraph"/>
              <w:spacing w:before="57"/>
              <w:ind w:left="144"/>
              <w:rPr>
                <w:b/>
                <w:sz w:val="21"/>
              </w:rPr>
            </w:pPr>
            <w:r>
              <w:rPr>
                <w:b/>
                <w:sz w:val="21"/>
              </w:rPr>
              <w:t>机动车</w:t>
            </w:r>
          </w:p>
        </w:tc>
        <w:tc>
          <w:tcPr>
            <w:tcW w:w="7794" w:type="dxa"/>
          </w:tcPr>
          <w:p>
            <w:pPr>
              <w:pStyle w:val="TableParagraph"/>
              <w:spacing w:line="273" w:lineRule="auto" w:before="57"/>
              <w:ind w:left="90" w:right="303"/>
              <w:rPr>
                <w:sz w:val="21"/>
              </w:rPr>
            </w:pPr>
            <w:r>
              <w:rPr>
                <w:sz w:val="21"/>
              </w:rPr>
              <w:t>指以动力装置驱动或者牵引，上道路行驶的供人员乘用或用于运送物品以及进行工程专项作业的轮式车辆。</w:t>
            </w:r>
          </w:p>
        </w:tc>
      </w:tr>
      <w:tr>
        <w:trPr>
          <w:trHeight w:val="1406" w:hRule="atLeast"/>
        </w:trPr>
        <w:tc>
          <w:tcPr>
            <w:tcW w:w="872" w:type="dxa"/>
          </w:tcPr>
          <w:p>
            <w:pPr>
              <w:pStyle w:val="TableParagraph"/>
              <w:spacing w:before="67"/>
              <w:ind w:left="0" w:right="141"/>
              <w:jc w:val="right"/>
              <w:rPr>
                <w:b/>
                <w:sz w:val="21"/>
              </w:rPr>
            </w:pPr>
            <w:r>
              <w:rPr>
                <w:b/>
                <w:sz w:val="21"/>
              </w:rPr>
              <w:t>10.18</w:t>
            </w:r>
          </w:p>
        </w:tc>
        <w:tc>
          <w:tcPr>
            <w:tcW w:w="1499" w:type="dxa"/>
          </w:tcPr>
          <w:p>
            <w:pPr>
              <w:pStyle w:val="TableParagraph"/>
              <w:spacing w:line="273" w:lineRule="auto" w:before="67"/>
              <w:ind w:left="144" w:right="296"/>
              <w:jc w:val="both"/>
              <w:rPr>
                <w:b/>
                <w:sz w:val="21"/>
              </w:rPr>
            </w:pPr>
            <w:r>
              <w:rPr>
                <w:b/>
                <w:sz w:val="21"/>
              </w:rPr>
              <w:t>感染艾滋病病毒或患艾滋病</w:t>
            </w:r>
          </w:p>
        </w:tc>
        <w:tc>
          <w:tcPr>
            <w:tcW w:w="7794" w:type="dxa"/>
          </w:tcPr>
          <w:p>
            <w:pPr>
              <w:pStyle w:val="TableParagraph"/>
              <w:spacing w:line="273" w:lineRule="auto" w:before="67"/>
              <w:ind w:left="90" w:right="195"/>
              <w:rPr>
                <w:sz w:val="21"/>
              </w:rPr>
            </w:pPr>
            <w:r>
              <w:rPr>
                <w:spacing w:val="0"/>
                <w:sz w:val="21"/>
              </w:rPr>
              <w:t>艾滋病病毒指人类免疫缺陷病毒，英文缩写为 </w:t>
            </w:r>
            <w:r>
              <w:rPr>
                <w:sz w:val="21"/>
              </w:rPr>
              <w:t>HIV。艾滋病指人类免疫缺陷病毒</w:t>
            </w:r>
            <w:r>
              <w:rPr>
                <w:spacing w:val="-6"/>
                <w:sz w:val="21"/>
              </w:rPr>
              <w:t>引起的获得性免疫缺陷综合征，英文缩写为 </w:t>
            </w:r>
            <w:r>
              <w:rPr>
                <w:sz w:val="21"/>
              </w:rPr>
              <w:t>AIDS</w:t>
            </w:r>
            <w:r>
              <w:rPr>
                <w:spacing w:val="-3"/>
                <w:sz w:val="21"/>
              </w:rPr>
              <w:t>。在人体血液或其他样本中检测</w:t>
            </w:r>
            <w:r>
              <w:rPr>
                <w:spacing w:val="-8"/>
                <w:sz w:val="21"/>
              </w:rPr>
              <w:t>到艾滋病病毒或其抗体呈阳性，没有出现临床症状或体征的，为感染艾滋病病毒； </w:t>
            </w:r>
            <w:r>
              <w:rPr>
                <w:spacing w:val="-5"/>
                <w:sz w:val="21"/>
              </w:rPr>
              <w:t>如果同时出现了明显临床症状或体征的，为患艾滋病。</w:t>
            </w:r>
          </w:p>
        </w:tc>
      </w:tr>
      <w:tr>
        <w:trPr>
          <w:trHeight w:val="780" w:hRule="atLeast"/>
        </w:trPr>
        <w:tc>
          <w:tcPr>
            <w:tcW w:w="872" w:type="dxa"/>
          </w:tcPr>
          <w:p>
            <w:pPr>
              <w:pStyle w:val="TableParagraph"/>
              <w:spacing w:before="64"/>
              <w:ind w:left="0" w:right="141"/>
              <w:jc w:val="right"/>
              <w:rPr>
                <w:b/>
                <w:sz w:val="21"/>
              </w:rPr>
            </w:pPr>
            <w:r>
              <w:rPr>
                <w:b/>
                <w:w w:val="95"/>
                <w:sz w:val="21"/>
              </w:rPr>
              <w:t>10.19</w:t>
            </w:r>
          </w:p>
        </w:tc>
        <w:tc>
          <w:tcPr>
            <w:tcW w:w="1499" w:type="dxa"/>
          </w:tcPr>
          <w:p>
            <w:pPr>
              <w:pStyle w:val="TableParagraph"/>
              <w:spacing w:before="64"/>
              <w:ind w:left="144"/>
              <w:rPr>
                <w:b/>
                <w:sz w:val="21"/>
              </w:rPr>
            </w:pPr>
            <w:r>
              <w:rPr>
                <w:b/>
                <w:sz w:val="21"/>
              </w:rPr>
              <w:t>遗传性疾病</w:t>
            </w:r>
          </w:p>
        </w:tc>
        <w:tc>
          <w:tcPr>
            <w:tcW w:w="7794" w:type="dxa"/>
          </w:tcPr>
          <w:p>
            <w:pPr>
              <w:pStyle w:val="TableParagraph"/>
              <w:spacing w:line="273" w:lineRule="auto" w:before="64"/>
              <w:ind w:left="90" w:right="303"/>
              <w:rPr>
                <w:sz w:val="21"/>
              </w:rPr>
            </w:pPr>
            <w:r>
              <w:rPr>
                <w:sz w:val="21"/>
              </w:rPr>
              <w:t>指生殖细胞或受精卵的遗传物质（染色体和基因）发生突变（或畸变）所引起的疾病，通常具有由亲代传至后代的垂直传递的特征。</w:t>
            </w:r>
          </w:p>
        </w:tc>
      </w:tr>
      <w:tr>
        <w:trPr>
          <w:trHeight w:val="1014" w:hRule="atLeast"/>
        </w:trPr>
        <w:tc>
          <w:tcPr>
            <w:tcW w:w="872" w:type="dxa"/>
          </w:tcPr>
          <w:p>
            <w:pPr>
              <w:pStyle w:val="TableParagraph"/>
              <w:spacing w:before="64"/>
              <w:ind w:left="0" w:right="141"/>
              <w:jc w:val="right"/>
              <w:rPr>
                <w:b/>
                <w:sz w:val="21"/>
              </w:rPr>
            </w:pPr>
            <w:r>
              <w:rPr>
                <w:b/>
                <w:sz w:val="21"/>
              </w:rPr>
              <w:t>10.20</w:t>
            </w:r>
          </w:p>
        </w:tc>
        <w:tc>
          <w:tcPr>
            <w:tcW w:w="1499" w:type="dxa"/>
          </w:tcPr>
          <w:p>
            <w:pPr>
              <w:pStyle w:val="TableParagraph"/>
              <w:spacing w:line="273" w:lineRule="auto" w:before="64"/>
              <w:ind w:left="144" w:right="85"/>
              <w:rPr>
                <w:b/>
                <w:sz w:val="21"/>
              </w:rPr>
            </w:pPr>
            <w:r>
              <w:rPr>
                <w:b/>
                <w:sz w:val="21"/>
              </w:rPr>
              <w:t>先天性畸形、变形或染色 体异常</w:t>
            </w:r>
          </w:p>
        </w:tc>
        <w:tc>
          <w:tcPr>
            <w:tcW w:w="7794" w:type="dxa"/>
          </w:tcPr>
          <w:p>
            <w:pPr>
              <w:pStyle w:val="TableParagraph"/>
              <w:spacing w:line="273" w:lineRule="auto" w:before="64"/>
              <w:ind w:left="90" w:right="197"/>
              <w:rPr>
                <w:sz w:val="21"/>
              </w:rPr>
            </w:pPr>
            <w:r>
              <w:rPr>
                <w:sz w:val="21"/>
              </w:rPr>
              <w:t>指被保险人出生时就具有的畸形、变形或染色体异常。先天性畸形、变形和染色</w:t>
            </w:r>
            <w:r>
              <w:rPr>
                <w:spacing w:val="-8"/>
                <w:sz w:val="21"/>
              </w:rPr>
              <w:t>体异常依照世界卫生组织《疾病和有关健康问题的国际统计分类</w:t>
            </w:r>
            <w:r>
              <w:rPr>
                <w:spacing w:val="-164"/>
                <w:sz w:val="21"/>
              </w:rPr>
              <w:t>》</w:t>
            </w:r>
            <w:r>
              <w:rPr>
                <w:spacing w:val="-8"/>
                <w:sz w:val="21"/>
              </w:rPr>
              <w:t>（ICD-10）</w:t>
            </w:r>
            <w:r>
              <w:rPr>
                <w:spacing w:val="-2"/>
                <w:sz w:val="21"/>
              </w:rPr>
              <w:t>确定。</w:t>
            </w:r>
          </w:p>
        </w:tc>
      </w:tr>
      <w:tr>
        <w:trPr>
          <w:trHeight w:val="390" w:hRule="atLeast"/>
        </w:trPr>
        <w:tc>
          <w:tcPr>
            <w:tcW w:w="872" w:type="dxa"/>
          </w:tcPr>
          <w:p>
            <w:pPr>
              <w:pStyle w:val="TableParagraph"/>
              <w:spacing w:line="262" w:lineRule="exact" w:before="0"/>
              <w:ind w:left="0" w:right="141"/>
              <w:jc w:val="right"/>
              <w:rPr>
                <w:b/>
                <w:sz w:val="21"/>
              </w:rPr>
            </w:pPr>
            <w:r>
              <w:rPr>
                <w:b/>
                <w:sz w:val="21"/>
              </w:rPr>
              <w:t>10.21</w:t>
            </w:r>
          </w:p>
        </w:tc>
        <w:tc>
          <w:tcPr>
            <w:tcW w:w="1499" w:type="dxa"/>
          </w:tcPr>
          <w:p>
            <w:pPr>
              <w:pStyle w:val="TableParagraph"/>
              <w:spacing w:line="262" w:lineRule="exact" w:before="0"/>
              <w:ind w:left="144"/>
              <w:rPr>
                <w:b/>
                <w:sz w:val="21"/>
              </w:rPr>
            </w:pPr>
            <w:r>
              <w:rPr>
                <w:b/>
                <w:sz w:val="21"/>
              </w:rPr>
              <w:t>不可抗力</w:t>
            </w:r>
          </w:p>
        </w:tc>
        <w:tc>
          <w:tcPr>
            <w:tcW w:w="7794" w:type="dxa"/>
          </w:tcPr>
          <w:p>
            <w:pPr>
              <w:pStyle w:val="TableParagraph"/>
              <w:spacing w:line="262" w:lineRule="exact" w:before="0"/>
              <w:ind w:left="90"/>
              <w:rPr>
                <w:sz w:val="21"/>
              </w:rPr>
            </w:pPr>
            <w:r>
              <w:rPr>
                <w:sz w:val="21"/>
              </w:rPr>
              <w:t>指不能预见、不能避免、不能克服的客观情况。</w:t>
            </w:r>
          </w:p>
        </w:tc>
      </w:tr>
      <w:tr>
        <w:trPr>
          <w:trHeight w:val="801" w:hRule="atLeast"/>
        </w:trPr>
        <w:tc>
          <w:tcPr>
            <w:tcW w:w="872" w:type="dxa"/>
          </w:tcPr>
          <w:p>
            <w:pPr>
              <w:pStyle w:val="TableParagraph"/>
              <w:spacing w:before="64"/>
              <w:ind w:left="0" w:right="141"/>
              <w:jc w:val="right"/>
              <w:rPr>
                <w:b/>
                <w:sz w:val="21"/>
              </w:rPr>
            </w:pPr>
            <w:r>
              <w:rPr>
                <w:b/>
                <w:sz w:val="21"/>
              </w:rPr>
              <w:t>10.22</w:t>
            </w:r>
          </w:p>
        </w:tc>
        <w:tc>
          <w:tcPr>
            <w:tcW w:w="1499" w:type="dxa"/>
          </w:tcPr>
          <w:p>
            <w:pPr>
              <w:pStyle w:val="TableParagraph"/>
              <w:spacing w:line="273" w:lineRule="auto" w:before="64"/>
              <w:ind w:left="144" w:right="296"/>
              <w:rPr>
                <w:b/>
                <w:sz w:val="21"/>
              </w:rPr>
            </w:pPr>
            <w:r>
              <w:rPr>
                <w:b/>
                <w:sz w:val="21"/>
              </w:rPr>
              <w:t>法定身份证明</w:t>
            </w:r>
          </w:p>
        </w:tc>
        <w:tc>
          <w:tcPr>
            <w:tcW w:w="7794" w:type="dxa"/>
          </w:tcPr>
          <w:p>
            <w:pPr>
              <w:pStyle w:val="TableParagraph"/>
              <w:spacing w:line="273" w:lineRule="auto" w:before="64"/>
              <w:ind w:left="90" w:right="303"/>
              <w:rPr>
                <w:sz w:val="21"/>
              </w:rPr>
            </w:pPr>
            <w:r>
              <w:rPr>
                <w:sz w:val="21"/>
              </w:rPr>
              <w:t>指依据法律规定，由有权机构制作颁发的证明身份的证件、文件等，如：居民身份证、户口簿、护照、军人证等。</w:t>
            </w:r>
          </w:p>
        </w:tc>
      </w:tr>
      <w:tr>
        <w:trPr>
          <w:trHeight w:val="824" w:hRule="atLeast"/>
        </w:trPr>
        <w:tc>
          <w:tcPr>
            <w:tcW w:w="872" w:type="dxa"/>
          </w:tcPr>
          <w:p>
            <w:pPr>
              <w:pStyle w:val="TableParagraph"/>
              <w:spacing w:before="86"/>
              <w:ind w:left="0" w:right="141"/>
              <w:jc w:val="right"/>
              <w:rPr>
                <w:b/>
                <w:sz w:val="21"/>
              </w:rPr>
            </w:pPr>
            <w:r>
              <w:rPr>
                <w:b/>
                <w:sz w:val="21"/>
              </w:rPr>
              <w:t>10.23</w:t>
            </w:r>
          </w:p>
        </w:tc>
        <w:tc>
          <w:tcPr>
            <w:tcW w:w="1499" w:type="dxa"/>
          </w:tcPr>
          <w:p>
            <w:pPr>
              <w:pStyle w:val="TableParagraph"/>
              <w:spacing w:line="273" w:lineRule="auto" w:before="86"/>
              <w:ind w:left="144" w:right="296"/>
              <w:rPr>
                <w:b/>
                <w:sz w:val="21"/>
              </w:rPr>
            </w:pPr>
            <w:r>
              <w:rPr>
                <w:b/>
                <w:sz w:val="21"/>
              </w:rPr>
              <w:t>现金价值净额</w:t>
            </w:r>
          </w:p>
        </w:tc>
        <w:tc>
          <w:tcPr>
            <w:tcW w:w="7794" w:type="dxa"/>
          </w:tcPr>
          <w:p>
            <w:pPr>
              <w:pStyle w:val="TableParagraph"/>
              <w:spacing w:line="273" w:lineRule="auto" w:before="86"/>
              <w:ind w:left="90" w:right="303"/>
              <w:rPr>
                <w:sz w:val="21"/>
              </w:rPr>
            </w:pPr>
            <w:r>
              <w:rPr>
                <w:sz w:val="21"/>
              </w:rPr>
              <w:t>指现金价值在扣除尚未偿还的保单贷款、欠交的保险费、累积利息和其它未还款项后的余额。</w:t>
            </w:r>
          </w:p>
        </w:tc>
      </w:tr>
      <w:tr>
        <w:trPr>
          <w:trHeight w:val="802" w:hRule="atLeast"/>
        </w:trPr>
        <w:tc>
          <w:tcPr>
            <w:tcW w:w="872" w:type="dxa"/>
          </w:tcPr>
          <w:p>
            <w:pPr>
              <w:pStyle w:val="TableParagraph"/>
              <w:spacing w:before="87"/>
              <w:ind w:left="0" w:right="141"/>
              <w:jc w:val="right"/>
              <w:rPr>
                <w:b/>
                <w:sz w:val="21"/>
              </w:rPr>
            </w:pPr>
            <w:r>
              <w:rPr>
                <w:b/>
                <w:sz w:val="21"/>
              </w:rPr>
              <w:t>10.24</w:t>
            </w:r>
          </w:p>
        </w:tc>
        <w:tc>
          <w:tcPr>
            <w:tcW w:w="1499" w:type="dxa"/>
          </w:tcPr>
          <w:p>
            <w:pPr>
              <w:pStyle w:val="TableParagraph"/>
              <w:spacing w:before="87"/>
              <w:ind w:left="144"/>
              <w:rPr>
                <w:b/>
                <w:sz w:val="21"/>
              </w:rPr>
            </w:pPr>
            <w:r>
              <w:rPr>
                <w:b/>
                <w:sz w:val="21"/>
              </w:rPr>
              <w:t>约定利率</w:t>
            </w:r>
          </w:p>
        </w:tc>
        <w:tc>
          <w:tcPr>
            <w:tcW w:w="7794" w:type="dxa"/>
          </w:tcPr>
          <w:p>
            <w:pPr>
              <w:pStyle w:val="TableParagraph"/>
              <w:spacing w:line="273" w:lineRule="auto" w:before="87"/>
              <w:ind w:left="90" w:right="302"/>
              <w:rPr>
                <w:sz w:val="21"/>
              </w:rPr>
            </w:pPr>
            <w:r>
              <w:rPr>
                <w:sz w:val="21"/>
              </w:rPr>
              <w:t>本附加合同所列明的利率按本公司每年参照一年期流动资金贷款法定利率向上浮动 1%后宣布的利率计算。</w:t>
            </w:r>
          </w:p>
        </w:tc>
      </w:tr>
      <w:tr>
        <w:trPr>
          <w:trHeight w:val="652" w:hRule="atLeast"/>
        </w:trPr>
        <w:tc>
          <w:tcPr>
            <w:tcW w:w="872" w:type="dxa"/>
          </w:tcPr>
          <w:p>
            <w:pPr>
              <w:pStyle w:val="TableParagraph"/>
              <w:spacing w:before="64"/>
              <w:ind w:left="0" w:right="141"/>
              <w:jc w:val="right"/>
              <w:rPr>
                <w:b/>
                <w:sz w:val="21"/>
              </w:rPr>
            </w:pPr>
            <w:r>
              <w:rPr>
                <w:b/>
                <w:sz w:val="21"/>
              </w:rPr>
              <w:t>10.25</w:t>
            </w:r>
          </w:p>
        </w:tc>
        <w:tc>
          <w:tcPr>
            <w:tcW w:w="1499" w:type="dxa"/>
          </w:tcPr>
          <w:p>
            <w:pPr>
              <w:pStyle w:val="TableParagraph"/>
              <w:spacing w:before="64"/>
              <w:ind w:left="144"/>
              <w:rPr>
                <w:b/>
                <w:sz w:val="21"/>
              </w:rPr>
            </w:pPr>
            <w:r>
              <w:rPr>
                <w:b/>
                <w:sz w:val="21"/>
              </w:rPr>
              <w:t>周岁</w:t>
            </w:r>
          </w:p>
        </w:tc>
        <w:tc>
          <w:tcPr>
            <w:tcW w:w="7794" w:type="dxa"/>
          </w:tcPr>
          <w:p>
            <w:pPr>
              <w:pStyle w:val="TableParagraph"/>
              <w:spacing w:line="310" w:lineRule="atLeast" w:before="29"/>
              <w:ind w:left="90" w:right="303"/>
              <w:rPr>
                <w:sz w:val="21"/>
              </w:rPr>
            </w:pPr>
            <w:r>
              <w:rPr>
                <w:sz w:val="21"/>
              </w:rPr>
              <w:t>指按法定身份证明文件中记载的出生日期计算的年龄，自出生之日起为零周岁， 每经过 1 年增加 1 周岁，不足 1 年的不计。</w:t>
            </w:r>
          </w:p>
        </w:tc>
      </w:tr>
    </w:tbl>
    <w:sectPr>
      <w:pgSz w:w="11910" w:h="16840"/>
      <w:pgMar w:header="0" w:footer="377" w:top="1320" w:bottom="5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808.059937pt;width:13.15pt;height:12pt;mso-position-horizontal-relative:page;mso-position-vertical-relative:page;z-index:-4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657" w:hanging="567"/>
        <w:jc w:val="left"/>
      </w:pPr>
      <w:rPr>
        <w:rFonts w:hint="default" w:ascii="仿宋" w:hAnsi="仿宋" w:eastAsia="仿宋" w:cs="仿宋"/>
        <w:w w:val="100"/>
        <w:sz w:val="21"/>
        <w:szCs w:val="21"/>
      </w:rPr>
    </w:lvl>
    <w:lvl w:ilvl="1">
      <w:start w:val="0"/>
      <w:numFmt w:val="bullet"/>
      <w:lvlText w:val="•"/>
      <w:lvlJc w:val="left"/>
      <w:pPr>
        <w:ind w:left="1373" w:hanging="567"/>
      </w:pPr>
      <w:rPr>
        <w:rFonts w:hint="default"/>
      </w:rPr>
    </w:lvl>
    <w:lvl w:ilvl="2">
      <w:start w:val="0"/>
      <w:numFmt w:val="bullet"/>
      <w:lvlText w:val="•"/>
      <w:lvlJc w:val="left"/>
      <w:pPr>
        <w:ind w:left="2086" w:hanging="567"/>
      </w:pPr>
      <w:rPr>
        <w:rFonts w:hint="default"/>
      </w:rPr>
    </w:lvl>
    <w:lvl w:ilvl="3">
      <w:start w:val="0"/>
      <w:numFmt w:val="bullet"/>
      <w:lvlText w:val="•"/>
      <w:lvlJc w:val="left"/>
      <w:pPr>
        <w:ind w:left="2800" w:hanging="567"/>
      </w:pPr>
      <w:rPr>
        <w:rFonts w:hint="default"/>
      </w:rPr>
    </w:lvl>
    <w:lvl w:ilvl="4">
      <w:start w:val="0"/>
      <w:numFmt w:val="bullet"/>
      <w:lvlText w:val="•"/>
      <w:lvlJc w:val="left"/>
      <w:pPr>
        <w:ind w:left="3513" w:hanging="567"/>
      </w:pPr>
      <w:rPr>
        <w:rFonts w:hint="default"/>
      </w:rPr>
    </w:lvl>
    <w:lvl w:ilvl="5">
      <w:start w:val="0"/>
      <w:numFmt w:val="bullet"/>
      <w:lvlText w:val="•"/>
      <w:lvlJc w:val="left"/>
      <w:pPr>
        <w:ind w:left="4227" w:hanging="567"/>
      </w:pPr>
      <w:rPr>
        <w:rFonts w:hint="default"/>
      </w:rPr>
    </w:lvl>
    <w:lvl w:ilvl="6">
      <w:start w:val="0"/>
      <w:numFmt w:val="bullet"/>
      <w:lvlText w:val="•"/>
      <w:lvlJc w:val="left"/>
      <w:pPr>
        <w:ind w:left="4940" w:hanging="567"/>
      </w:pPr>
      <w:rPr>
        <w:rFonts w:hint="default"/>
      </w:rPr>
    </w:lvl>
    <w:lvl w:ilvl="7">
      <w:start w:val="0"/>
      <w:numFmt w:val="bullet"/>
      <w:lvlText w:val="•"/>
      <w:lvlJc w:val="left"/>
      <w:pPr>
        <w:ind w:left="5653" w:hanging="567"/>
      </w:pPr>
      <w:rPr>
        <w:rFonts w:hint="default"/>
      </w:rPr>
    </w:lvl>
    <w:lvl w:ilvl="8">
      <w:start w:val="0"/>
      <w:numFmt w:val="bullet"/>
      <w:lvlText w:val="•"/>
      <w:lvlJc w:val="left"/>
      <w:pPr>
        <w:ind w:left="6367" w:hanging="567"/>
      </w:pPr>
      <w:rPr>
        <w:rFonts w:hint="default"/>
      </w:rPr>
    </w:lvl>
  </w:abstractNum>
  <w:abstractNum w:abstractNumId="42">
    <w:multiLevelType w:val="hybridMultilevel"/>
    <w:lvl w:ilvl="0">
      <w:start w:val="3"/>
      <w:numFmt w:val="decimal"/>
      <w:lvlText w:val="（%1）"/>
      <w:lvlJc w:val="left"/>
      <w:pPr>
        <w:ind w:left="657" w:hanging="567"/>
        <w:jc w:val="left"/>
      </w:pPr>
      <w:rPr>
        <w:rFonts w:hint="default" w:ascii="仿宋" w:hAnsi="仿宋" w:eastAsia="仿宋" w:cs="仿宋"/>
        <w:w w:val="100"/>
        <w:sz w:val="21"/>
        <w:szCs w:val="21"/>
      </w:rPr>
    </w:lvl>
    <w:lvl w:ilvl="1">
      <w:start w:val="0"/>
      <w:numFmt w:val="bullet"/>
      <w:lvlText w:val="•"/>
      <w:lvlJc w:val="left"/>
      <w:pPr>
        <w:ind w:left="1373" w:hanging="567"/>
      </w:pPr>
      <w:rPr>
        <w:rFonts w:hint="default"/>
      </w:rPr>
    </w:lvl>
    <w:lvl w:ilvl="2">
      <w:start w:val="0"/>
      <w:numFmt w:val="bullet"/>
      <w:lvlText w:val="•"/>
      <w:lvlJc w:val="left"/>
      <w:pPr>
        <w:ind w:left="2086" w:hanging="567"/>
      </w:pPr>
      <w:rPr>
        <w:rFonts w:hint="default"/>
      </w:rPr>
    </w:lvl>
    <w:lvl w:ilvl="3">
      <w:start w:val="0"/>
      <w:numFmt w:val="bullet"/>
      <w:lvlText w:val="•"/>
      <w:lvlJc w:val="left"/>
      <w:pPr>
        <w:ind w:left="2800" w:hanging="567"/>
      </w:pPr>
      <w:rPr>
        <w:rFonts w:hint="default"/>
      </w:rPr>
    </w:lvl>
    <w:lvl w:ilvl="4">
      <w:start w:val="0"/>
      <w:numFmt w:val="bullet"/>
      <w:lvlText w:val="•"/>
      <w:lvlJc w:val="left"/>
      <w:pPr>
        <w:ind w:left="3513" w:hanging="567"/>
      </w:pPr>
      <w:rPr>
        <w:rFonts w:hint="default"/>
      </w:rPr>
    </w:lvl>
    <w:lvl w:ilvl="5">
      <w:start w:val="0"/>
      <w:numFmt w:val="bullet"/>
      <w:lvlText w:val="•"/>
      <w:lvlJc w:val="left"/>
      <w:pPr>
        <w:ind w:left="4227" w:hanging="567"/>
      </w:pPr>
      <w:rPr>
        <w:rFonts w:hint="default"/>
      </w:rPr>
    </w:lvl>
    <w:lvl w:ilvl="6">
      <w:start w:val="0"/>
      <w:numFmt w:val="bullet"/>
      <w:lvlText w:val="•"/>
      <w:lvlJc w:val="left"/>
      <w:pPr>
        <w:ind w:left="4940" w:hanging="567"/>
      </w:pPr>
      <w:rPr>
        <w:rFonts w:hint="default"/>
      </w:rPr>
    </w:lvl>
    <w:lvl w:ilvl="7">
      <w:start w:val="0"/>
      <w:numFmt w:val="bullet"/>
      <w:lvlText w:val="•"/>
      <w:lvlJc w:val="left"/>
      <w:pPr>
        <w:ind w:left="5653" w:hanging="567"/>
      </w:pPr>
      <w:rPr>
        <w:rFonts w:hint="default"/>
      </w:rPr>
    </w:lvl>
    <w:lvl w:ilvl="8">
      <w:start w:val="0"/>
      <w:numFmt w:val="bullet"/>
      <w:lvlText w:val="•"/>
      <w:lvlJc w:val="left"/>
      <w:pPr>
        <w:ind w:left="6367" w:hanging="567"/>
      </w:pPr>
      <w:rPr>
        <w:rFonts w:hint="default"/>
      </w:rPr>
    </w:lvl>
  </w:abstractNum>
  <w:abstractNum w:abstractNumId="41">
    <w:multiLevelType w:val="hybridMultilevel"/>
    <w:lvl w:ilvl="0">
      <w:start w:val="1"/>
      <w:numFmt w:val="decimal"/>
      <w:lvlText w:val="（%1）"/>
      <w:lvlJc w:val="left"/>
      <w:pPr>
        <w:ind w:left="667" w:hanging="567"/>
        <w:jc w:val="left"/>
      </w:pPr>
      <w:rPr>
        <w:rFonts w:hint="default" w:ascii="仿宋" w:hAnsi="仿宋" w:eastAsia="仿宋" w:cs="仿宋"/>
        <w:w w:val="100"/>
        <w:sz w:val="21"/>
        <w:szCs w:val="21"/>
      </w:rPr>
    </w:lvl>
    <w:lvl w:ilvl="1">
      <w:start w:val="0"/>
      <w:numFmt w:val="bullet"/>
      <w:lvlText w:val="•"/>
      <w:lvlJc w:val="left"/>
      <w:pPr>
        <w:ind w:left="1374" w:hanging="567"/>
      </w:pPr>
      <w:rPr>
        <w:rFonts w:hint="default"/>
      </w:rPr>
    </w:lvl>
    <w:lvl w:ilvl="2">
      <w:start w:val="0"/>
      <w:numFmt w:val="bullet"/>
      <w:lvlText w:val="•"/>
      <w:lvlJc w:val="left"/>
      <w:pPr>
        <w:ind w:left="2088" w:hanging="567"/>
      </w:pPr>
      <w:rPr>
        <w:rFonts w:hint="default"/>
      </w:rPr>
    </w:lvl>
    <w:lvl w:ilvl="3">
      <w:start w:val="0"/>
      <w:numFmt w:val="bullet"/>
      <w:lvlText w:val="•"/>
      <w:lvlJc w:val="left"/>
      <w:pPr>
        <w:ind w:left="2802" w:hanging="567"/>
      </w:pPr>
      <w:rPr>
        <w:rFonts w:hint="default"/>
      </w:rPr>
    </w:lvl>
    <w:lvl w:ilvl="4">
      <w:start w:val="0"/>
      <w:numFmt w:val="bullet"/>
      <w:lvlText w:val="•"/>
      <w:lvlJc w:val="left"/>
      <w:pPr>
        <w:ind w:left="3517" w:hanging="567"/>
      </w:pPr>
      <w:rPr>
        <w:rFonts w:hint="default"/>
      </w:rPr>
    </w:lvl>
    <w:lvl w:ilvl="5">
      <w:start w:val="0"/>
      <w:numFmt w:val="bullet"/>
      <w:lvlText w:val="•"/>
      <w:lvlJc w:val="left"/>
      <w:pPr>
        <w:ind w:left="4231" w:hanging="567"/>
      </w:pPr>
      <w:rPr>
        <w:rFonts w:hint="default"/>
      </w:rPr>
    </w:lvl>
    <w:lvl w:ilvl="6">
      <w:start w:val="0"/>
      <w:numFmt w:val="bullet"/>
      <w:lvlText w:val="•"/>
      <w:lvlJc w:val="left"/>
      <w:pPr>
        <w:ind w:left="4945" w:hanging="567"/>
      </w:pPr>
      <w:rPr>
        <w:rFonts w:hint="default"/>
      </w:rPr>
    </w:lvl>
    <w:lvl w:ilvl="7">
      <w:start w:val="0"/>
      <w:numFmt w:val="bullet"/>
      <w:lvlText w:val="•"/>
      <w:lvlJc w:val="left"/>
      <w:pPr>
        <w:ind w:left="5660" w:hanging="567"/>
      </w:pPr>
      <w:rPr>
        <w:rFonts w:hint="default"/>
      </w:rPr>
    </w:lvl>
    <w:lvl w:ilvl="8">
      <w:start w:val="0"/>
      <w:numFmt w:val="bullet"/>
      <w:lvlText w:val="•"/>
      <w:lvlJc w:val="left"/>
      <w:pPr>
        <w:ind w:left="6374" w:hanging="567"/>
      </w:pPr>
      <w:rPr>
        <w:rFonts w:hint="default"/>
      </w:rPr>
    </w:lvl>
  </w:abstractNum>
  <w:abstractNum w:abstractNumId="40">
    <w:multiLevelType w:val="hybridMultilevel"/>
    <w:lvl w:ilvl="0">
      <w:start w:val="1"/>
      <w:numFmt w:val="decimal"/>
      <w:lvlText w:val="(%1)"/>
      <w:lvlJc w:val="left"/>
      <w:pPr>
        <w:ind w:left="100" w:hanging="423"/>
        <w:jc w:val="left"/>
      </w:pPr>
      <w:rPr>
        <w:rFonts w:hint="default" w:ascii="仿宋" w:hAnsi="仿宋" w:eastAsia="仿宋" w:cs="仿宋"/>
        <w:w w:val="100"/>
        <w:sz w:val="21"/>
        <w:szCs w:val="21"/>
      </w:rPr>
    </w:lvl>
    <w:lvl w:ilvl="1">
      <w:start w:val="0"/>
      <w:numFmt w:val="bullet"/>
      <w:lvlText w:val="•"/>
      <w:lvlJc w:val="left"/>
      <w:pPr>
        <w:ind w:left="870" w:hanging="423"/>
      </w:pPr>
      <w:rPr>
        <w:rFonts w:hint="default"/>
      </w:rPr>
    </w:lvl>
    <w:lvl w:ilvl="2">
      <w:start w:val="0"/>
      <w:numFmt w:val="bullet"/>
      <w:lvlText w:val="•"/>
      <w:lvlJc w:val="left"/>
      <w:pPr>
        <w:ind w:left="1640" w:hanging="423"/>
      </w:pPr>
      <w:rPr>
        <w:rFonts w:hint="default"/>
      </w:rPr>
    </w:lvl>
    <w:lvl w:ilvl="3">
      <w:start w:val="0"/>
      <w:numFmt w:val="bullet"/>
      <w:lvlText w:val="•"/>
      <w:lvlJc w:val="left"/>
      <w:pPr>
        <w:ind w:left="2410" w:hanging="423"/>
      </w:pPr>
      <w:rPr>
        <w:rFonts w:hint="default"/>
      </w:rPr>
    </w:lvl>
    <w:lvl w:ilvl="4">
      <w:start w:val="0"/>
      <w:numFmt w:val="bullet"/>
      <w:lvlText w:val="•"/>
      <w:lvlJc w:val="left"/>
      <w:pPr>
        <w:ind w:left="3181" w:hanging="423"/>
      </w:pPr>
      <w:rPr>
        <w:rFonts w:hint="default"/>
      </w:rPr>
    </w:lvl>
    <w:lvl w:ilvl="5">
      <w:start w:val="0"/>
      <w:numFmt w:val="bullet"/>
      <w:lvlText w:val="•"/>
      <w:lvlJc w:val="left"/>
      <w:pPr>
        <w:ind w:left="3951" w:hanging="423"/>
      </w:pPr>
      <w:rPr>
        <w:rFonts w:hint="default"/>
      </w:rPr>
    </w:lvl>
    <w:lvl w:ilvl="6">
      <w:start w:val="0"/>
      <w:numFmt w:val="bullet"/>
      <w:lvlText w:val="•"/>
      <w:lvlJc w:val="left"/>
      <w:pPr>
        <w:ind w:left="4721" w:hanging="423"/>
      </w:pPr>
      <w:rPr>
        <w:rFonts w:hint="default"/>
      </w:rPr>
    </w:lvl>
    <w:lvl w:ilvl="7">
      <w:start w:val="0"/>
      <w:numFmt w:val="bullet"/>
      <w:lvlText w:val="•"/>
      <w:lvlJc w:val="left"/>
      <w:pPr>
        <w:ind w:left="5492" w:hanging="423"/>
      </w:pPr>
      <w:rPr>
        <w:rFonts w:hint="default"/>
      </w:rPr>
    </w:lvl>
    <w:lvl w:ilvl="8">
      <w:start w:val="0"/>
      <w:numFmt w:val="bullet"/>
      <w:lvlText w:val="•"/>
      <w:lvlJc w:val="left"/>
      <w:pPr>
        <w:ind w:left="6262" w:hanging="423"/>
      </w:pPr>
      <w:rPr>
        <w:rFonts w:hint="default"/>
      </w:rPr>
    </w:lvl>
  </w:abstractNum>
  <w:abstractNum w:abstractNumId="39">
    <w:multiLevelType w:val="hybridMultilevel"/>
    <w:lvl w:ilvl="0">
      <w:start w:val="1"/>
      <w:numFmt w:val="decimal"/>
      <w:lvlText w:val="(%1)"/>
      <w:lvlJc w:val="left"/>
      <w:pPr>
        <w:ind w:left="585" w:hanging="421"/>
        <w:jc w:val="left"/>
      </w:pPr>
      <w:rPr>
        <w:rFonts w:hint="default" w:ascii="仿宋" w:hAnsi="仿宋" w:eastAsia="仿宋" w:cs="仿宋"/>
        <w:w w:val="100"/>
        <w:sz w:val="21"/>
        <w:szCs w:val="21"/>
      </w:rPr>
    </w:lvl>
    <w:lvl w:ilvl="1">
      <w:start w:val="0"/>
      <w:numFmt w:val="bullet"/>
      <w:lvlText w:val="•"/>
      <w:lvlJc w:val="left"/>
      <w:pPr>
        <w:ind w:left="129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36" w:hanging="421"/>
      </w:pPr>
      <w:rPr>
        <w:rFonts w:hint="default"/>
      </w:rPr>
    </w:lvl>
    <w:lvl w:ilvl="4">
      <w:start w:val="0"/>
      <w:numFmt w:val="bullet"/>
      <w:lvlText w:val="•"/>
      <w:lvlJc w:val="left"/>
      <w:pPr>
        <w:ind w:left="3454" w:hanging="421"/>
      </w:pPr>
      <w:rPr>
        <w:rFonts w:hint="default"/>
      </w:rPr>
    </w:lvl>
    <w:lvl w:ilvl="5">
      <w:start w:val="0"/>
      <w:numFmt w:val="bullet"/>
      <w:lvlText w:val="•"/>
      <w:lvlJc w:val="left"/>
      <w:pPr>
        <w:ind w:left="4173" w:hanging="421"/>
      </w:pPr>
      <w:rPr>
        <w:rFonts w:hint="default"/>
      </w:rPr>
    </w:lvl>
    <w:lvl w:ilvl="6">
      <w:start w:val="0"/>
      <w:numFmt w:val="bullet"/>
      <w:lvlText w:val="•"/>
      <w:lvlJc w:val="left"/>
      <w:pPr>
        <w:ind w:left="4892" w:hanging="421"/>
      </w:pPr>
      <w:rPr>
        <w:rFonts w:hint="default"/>
      </w:rPr>
    </w:lvl>
    <w:lvl w:ilvl="7">
      <w:start w:val="0"/>
      <w:numFmt w:val="bullet"/>
      <w:lvlText w:val="•"/>
      <w:lvlJc w:val="left"/>
      <w:pPr>
        <w:ind w:left="5610" w:hanging="421"/>
      </w:pPr>
      <w:rPr>
        <w:rFonts w:hint="default"/>
      </w:rPr>
    </w:lvl>
    <w:lvl w:ilvl="8">
      <w:start w:val="0"/>
      <w:numFmt w:val="bullet"/>
      <w:lvlText w:val="•"/>
      <w:lvlJc w:val="left"/>
      <w:pPr>
        <w:ind w:left="6329" w:hanging="421"/>
      </w:pPr>
      <w:rPr>
        <w:rFonts w:hint="default"/>
      </w:rPr>
    </w:lvl>
  </w:abstractNum>
  <w:abstractNum w:abstractNumId="38">
    <w:multiLevelType w:val="hybridMultilevel"/>
    <w:lvl w:ilvl="0">
      <w:start w:val="1"/>
      <w:numFmt w:val="decimal"/>
      <w:lvlText w:val="(%1)"/>
      <w:lvlJc w:val="left"/>
      <w:pPr>
        <w:ind w:left="511" w:hanging="423"/>
        <w:jc w:val="left"/>
      </w:pPr>
      <w:rPr>
        <w:rFonts w:hint="default" w:ascii="仿宋" w:hAnsi="仿宋" w:eastAsia="仿宋" w:cs="仿宋"/>
        <w:w w:val="100"/>
        <w:sz w:val="21"/>
        <w:szCs w:val="21"/>
      </w:rPr>
    </w:lvl>
    <w:lvl w:ilvl="1">
      <w:start w:val="0"/>
      <w:numFmt w:val="bullet"/>
      <w:lvlText w:val="•"/>
      <w:lvlJc w:val="left"/>
      <w:pPr>
        <w:ind w:left="1247" w:hanging="423"/>
      </w:pPr>
      <w:rPr>
        <w:rFonts w:hint="default"/>
      </w:rPr>
    </w:lvl>
    <w:lvl w:ilvl="2">
      <w:start w:val="0"/>
      <w:numFmt w:val="bullet"/>
      <w:lvlText w:val="•"/>
      <w:lvlJc w:val="left"/>
      <w:pPr>
        <w:ind w:left="1974" w:hanging="423"/>
      </w:pPr>
      <w:rPr>
        <w:rFonts w:hint="default"/>
      </w:rPr>
    </w:lvl>
    <w:lvl w:ilvl="3">
      <w:start w:val="0"/>
      <w:numFmt w:val="bullet"/>
      <w:lvlText w:val="•"/>
      <w:lvlJc w:val="left"/>
      <w:pPr>
        <w:ind w:left="2701" w:hanging="423"/>
      </w:pPr>
      <w:rPr>
        <w:rFonts w:hint="default"/>
      </w:rPr>
    </w:lvl>
    <w:lvl w:ilvl="4">
      <w:start w:val="0"/>
      <w:numFmt w:val="bullet"/>
      <w:lvlText w:val="•"/>
      <w:lvlJc w:val="left"/>
      <w:pPr>
        <w:ind w:left="3429" w:hanging="423"/>
      </w:pPr>
      <w:rPr>
        <w:rFonts w:hint="default"/>
      </w:rPr>
    </w:lvl>
    <w:lvl w:ilvl="5">
      <w:start w:val="0"/>
      <w:numFmt w:val="bullet"/>
      <w:lvlText w:val="•"/>
      <w:lvlJc w:val="left"/>
      <w:pPr>
        <w:ind w:left="4156" w:hanging="423"/>
      </w:pPr>
      <w:rPr>
        <w:rFonts w:hint="default"/>
      </w:rPr>
    </w:lvl>
    <w:lvl w:ilvl="6">
      <w:start w:val="0"/>
      <w:numFmt w:val="bullet"/>
      <w:lvlText w:val="•"/>
      <w:lvlJc w:val="left"/>
      <w:pPr>
        <w:ind w:left="4883" w:hanging="423"/>
      </w:pPr>
      <w:rPr>
        <w:rFonts w:hint="default"/>
      </w:rPr>
    </w:lvl>
    <w:lvl w:ilvl="7">
      <w:start w:val="0"/>
      <w:numFmt w:val="bullet"/>
      <w:lvlText w:val="•"/>
      <w:lvlJc w:val="left"/>
      <w:pPr>
        <w:ind w:left="5611" w:hanging="423"/>
      </w:pPr>
      <w:rPr>
        <w:rFonts w:hint="default"/>
      </w:rPr>
    </w:lvl>
    <w:lvl w:ilvl="8">
      <w:start w:val="0"/>
      <w:numFmt w:val="bullet"/>
      <w:lvlText w:val="•"/>
      <w:lvlJc w:val="left"/>
      <w:pPr>
        <w:ind w:left="6338" w:hanging="423"/>
      </w:pPr>
      <w:rPr>
        <w:rFonts w:hint="default"/>
      </w:rPr>
    </w:lvl>
  </w:abstractNum>
  <w:abstractNum w:abstractNumId="37">
    <w:multiLevelType w:val="hybridMultilevel"/>
    <w:lvl w:ilvl="0">
      <w:start w:val="1"/>
      <w:numFmt w:val="decimal"/>
      <w:lvlText w:val="(%1)"/>
      <w:lvlJc w:val="left"/>
      <w:pPr>
        <w:ind w:left="509" w:hanging="423"/>
        <w:jc w:val="left"/>
      </w:pPr>
      <w:rPr>
        <w:rFonts w:hint="default" w:ascii="仿宋" w:hAnsi="仿宋" w:eastAsia="仿宋" w:cs="仿宋"/>
        <w:w w:val="100"/>
        <w:sz w:val="21"/>
        <w:szCs w:val="21"/>
      </w:rPr>
    </w:lvl>
    <w:lvl w:ilvl="1">
      <w:start w:val="0"/>
      <w:numFmt w:val="bullet"/>
      <w:lvlText w:val="•"/>
      <w:lvlJc w:val="left"/>
      <w:pPr>
        <w:ind w:left="1229" w:hanging="423"/>
      </w:pPr>
      <w:rPr>
        <w:rFonts w:hint="default"/>
      </w:rPr>
    </w:lvl>
    <w:lvl w:ilvl="2">
      <w:start w:val="0"/>
      <w:numFmt w:val="bullet"/>
      <w:lvlText w:val="•"/>
      <w:lvlJc w:val="left"/>
      <w:pPr>
        <w:ind w:left="1958" w:hanging="423"/>
      </w:pPr>
      <w:rPr>
        <w:rFonts w:hint="default"/>
      </w:rPr>
    </w:lvl>
    <w:lvl w:ilvl="3">
      <w:start w:val="0"/>
      <w:numFmt w:val="bullet"/>
      <w:lvlText w:val="•"/>
      <w:lvlJc w:val="left"/>
      <w:pPr>
        <w:ind w:left="2687" w:hanging="423"/>
      </w:pPr>
      <w:rPr>
        <w:rFonts w:hint="default"/>
      </w:rPr>
    </w:lvl>
    <w:lvl w:ilvl="4">
      <w:start w:val="0"/>
      <w:numFmt w:val="bullet"/>
      <w:lvlText w:val="•"/>
      <w:lvlJc w:val="left"/>
      <w:pPr>
        <w:ind w:left="3416" w:hanging="423"/>
      </w:pPr>
      <w:rPr>
        <w:rFonts w:hint="default"/>
      </w:rPr>
    </w:lvl>
    <w:lvl w:ilvl="5">
      <w:start w:val="0"/>
      <w:numFmt w:val="bullet"/>
      <w:lvlText w:val="•"/>
      <w:lvlJc w:val="left"/>
      <w:pPr>
        <w:ind w:left="4145" w:hanging="423"/>
      </w:pPr>
      <w:rPr>
        <w:rFonts w:hint="default"/>
      </w:rPr>
    </w:lvl>
    <w:lvl w:ilvl="6">
      <w:start w:val="0"/>
      <w:numFmt w:val="bullet"/>
      <w:lvlText w:val="•"/>
      <w:lvlJc w:val="left"/>
      <w:pPr>
        <w:ind w:left="4874" w:hanging="423"/>
      </w:pPr>
      <w:rPr>
        <w:rFonts w:hint="default"/>
      </w:rPr>
    </w:lvl>
    <w:lvl w:ilvl="7">
      <w:start w:val="0"/>
      <w:numFmt w:val="bullet"/>
      <w:lvlText w:val="•"/>
      <w:lvlJc w:val="left"/>
      <w:pPr>
        <w:ind w:left="5603" w:hanging="423"/>
      </w:pPr>
      <w:rPr>
        <w:rFonts w:hint="default"/>
      </w:rPr>
    </w:lvl>
    <w:lvl w:ilvl="8">
      <w:start w:val="0"/>
      <w:numFmt w:val="bullet"/>
      <w:lvlText w:val="•"/>
      <w:lvlJc w:val="left"/>
      <w:pPr>
        <w:ind w:left="6332" w:hanging="423"/>
      </w:pPr>
      <w:rPr>
        <w:rFonts w:hint="default"/>
      </w:rPr>
    </w:lvl>
  </w:abstractNum>
  <w:abstractNum w:abstractNumId="36">
    <w:multiLevelType w:val="hybridMultilevel"/>
    <w:lvl w:ilvl="0">
      <w:start w:val="1"/>
      <w:numFmt w:val="decimal"/>
      <w:lvlText w:val="（%1）"/>
      <w:lvlJc w:val="left"/>
      <w:pPr>
        <w:ind w:left="718" w:hanging="632"/>
        <w:jc w:val="left"/>
      </w:pPr>
      <w:rPr>
        <w:rFonts w:hint="default" w:ascii="仿宋" w:hAnsi="仿宋" w:eastAsia="仿宋" w:cs="仿宋"/>
        <w:w w:val="100"/>
        <w:sz w:val="21"/>
        <w:szCs w:val="21"/>
      </w:rPr>
    </w:lvl>
    <w:lvl w:ilvl="1">
      <w:start w:val="0"/>
      <w:numFmt w:val="bullet"/>
      <w:lvlText w:val="•"/>
      <w:lvlJc w:val="left"/>
      <w:pPr>
        <w:ind w:left="1427" w:hanging="632"/>
      </w:pPr>
      <w:rPr>
        <w:rFonts w:hint="default"/>
      </w:rPr>
    </w:lvl>
    <w:lvl w:ilvl="2">
      <w:start w:val="0"/>
      <w:numFmt w:val="bullet"/>
      <w:lvlText w:val="•"/>
      <w:lvlJc w:val="left"/>
      <w:pPr>
        <w:ind w:left="2134" w:hanging="632"/>
      </w:pPr>
      <w:rPr>
        <w:rFonts w:hint="default"/>
      </w:rPr>
    </w:lvl>
    <w:lvl w:ilvl="3">
      <w:start w:val="0"/>
      <w:numFmt w:val="bullet"/>
      <w:lvlText w:val="•"/>
      <w:lvlJc w:val="left"/>
      <w:pPr>
        <w:ind w:left="2841" w:hanging="632"/>
      </w:pPr>
      <w:rPr>
        <w:rFonts w:hint="default"/>
      </w:rPr>
    </w:lvl>
    <w:lvl w:ilvl="4">
      <w:start w:val="0"/>
      <w:numFmt w:val="bullet"/>
      <w:lvlText w:val="•"/>
      <w:lvlJc w:val="left"/>
      <w:pPr>
        <w:ind w:left="3548" w:hanging="632"/>
      </w:pPr>
      <w:rPr>
        <w:rFonts w:hint="default"/>
      </w:rPr>
    </w:lvl>
    <w:lvl w:ilvl="5">
      <w:start w:val="0"/>
      <w:numFmt w:val="bullet"/>
      <w:lvlText w:val="•"/>
      <w:lvlJc w:val="left"/>
      <w:pPr>
        <w:ind w:left="4255" w:hanging="632"/>
      </w:pPr>
      <w:rPr>
        <w:rFonts w:hint="default"/>
      </w:rPr>
    </w:lvl>
    <w:lvl w:ilvl="6">
      <w:start w:val="0"/>
      <w:numFmt w:val="bullet"/>
      <w:lvlText w:val="•"/>
      <w:lvlJc w:val="left"/>
      <w:pPr>
        <w:ind w:left="4962" w:hanging="632"/>
      </w:pPr>
      <w:rPr>
        <w:rFonts w:hint="default"/>
      </w:rPr>
    </w:lvl>
    <w:lvl w:ilvl="7">
      <w:start w:val="0"/>
      <w:numFmt w:val="bullet"/>
      <w:lvlText w:val="•"/>
      <w:lvlJc w:val="left"/>
      <w:pPr>
        <w:ind w:left="5669" w:hanging="632"/>
      </w:pPr>
      <w:rPr>
        <w:rFonts w:hint="default"/>
      </w:rPr>
    </w:lvl>
    <w:lvl w:ilvl="8">
      <w:start w:val="0"/>
      <w:numFmt w:val="bullet"/>
      <w:lvlText w:val="•"/>
      <w:lvlJc w:val="left"/>
      <w:pPr>
        <w:ind w:left="6376" w:hanging="632"/>
      </w:pPr>
      <w:rPr>
        <w:rFonts w:hint="default"/>
      </w:rPr>
    </w:lvl>
  </w:abstractNum>
  <w:abstractNum w:abstractNumId="35">
    <w:multiLevelType w:val="hybridMultilevel"/>
    <w:lvl w:ilvl="0">
      <w:start w:val="1"/>
      <w:numFmt w:val="decimal"/>
      <w:lvlText w:val="（%1）"/>
      <w:lvlJc w:val="left"/>
      <w:pPr>
        <w:ind w:left="718" w:hanging="632"/>
        <w:jc w:val="left"/>
      </w:pPr>
      <w:rPr>
        <w:rFonts w:hint="default" w:ascii="仿宋" w:hAnsi="仿宋" w:eastAsia="仿宋" w:cs="仿宋"/>
        <w:w w:val="100"/>
        <w:sz w:val="21"/>
        <w:szCs w:val="21"/>
      </w:rPr>
    </w:lvl>
    <w:lvl w:ilvl="1">
      <w:start w:val="0"/>
      <w:numFmt w:val="bullet"/>
      <w:lvlText w:val="•"/>
      <w:lvlJc w:val="left"/>
      <w:pPr>
        <w:ind w:left="1427" w:hanging="632"/>
      </w:pPr>
      <w:rPr>
        <w:rFonts w:hint="default"/>
      </w:rPr>
    </w:lvl>
    <w:lvl w:ilvl="2">
      <w:start w:val="0"/>
      <w:numFmt w:val="bullet"/>
      <w:lvlText w:val="•"/>
      <w:lvlJc w:val="left"/>
      <w:pPr>
        <w:ind w:left="2134" w:hanging="632"/>
      </w:pPr>
      <w:rPr>
        <w:rFonts w:hint="default"/>
      </w:rPr>
    </w:lvl>
    <w:lvl w:ilvl="3">
      <w:start w:val="0"/>
      <w:numFmt w:val="bullet"/>
      <w:lvlText w:val="•"/>
      <w:lvlJc w:val="left"/>
      <w:pPr>
        <w:ind w:left="2841" w:hanging="632"/>
      </w:pPr>
      <w:rPr>
        <w:rFonts w:hint="default"/>
      </w:rPr>
    </w:lvl>
    <w:lvl w:ilvl="4">
      <w:start w:val="0"/>
      <w:numFmt w:val="bullet"/>
      <w:lvlText w:val="•"/>
      <w:lvlJc w:val="left"/>
      <w:pPr>
        <w:ind w:left="3548" w:hanging="632"/>
      </w:pPr>
      <w:rPr>
        <w:rFonts w:hint="default"/>
      </w:rPr>
    </w:lvl>
    <w:lvl w:ilvl="5">
      <w:start w:val="0"/>
      <w:numFmt w:val="bullet"/>
      <w:lvlText w:val="•"/>
      <w:lvlJc w:val="left"/>
      <w:pPr>
        <w:ind w:left="4256" w:hanging="632"/>
      </w:pPr>
      <w:rPr>
        <w:rFonts w:hint="default"/>
      </w:rPr>
    </w:lvl>
    <w:lvl w:ilvl="6">
      <w:start w:val="0"/>
      <w:numFmt w:val="bullet"/>
      <w:lvlText w:val="•"/>
      <w:lvlJc w:val="left"/>
      <w:pPr>
        <w:ind w:left="4963" w:hanging="632"/>
      </w:pPr>
      <w:rPr>
        <w:rFonts w:hint="default"/>
      </w:rPr>
    </w:lvl>
    <w:lvl w:ilvl="7">
      <w:start w:val="0"/>
      <w:numFmt w:val="bullet"/>
      <w:lvlText w:val="•"/>
      <w:lvlJc w:val="left"/>
      <w:pPr>
        <w:ind w:left="5670" w:hanging="632"/>
      </w:pPr>
      <w:rPr>
        <w:rFonts w:hint="default"/>
      </w:rPr>
    </w:lvl>
    <w:lvl w:ilvl="8">
      <w:start w:val="0"/>
      <w:numFmt w:val="bullet"/>
      <w:lvlText w:val="•"/>
      <w:lvlJc w:val="left"/>
      <w:pPr>
        <w:ind w:left="6377" w:hanging="632"/>
      </w:pPr>
      <w:rPr>
        <w:rFonts w:hint="default"/>
      </w:rPr>
    </w:lvl>
  </w:abstractNum>
  <w:abstractNum w:abstractNumId="34">
    <w:multiLevelType w:val="hybridMultilevel"/>
    <w:lvl w:ilvl="0">
      <w:start w:val="1"/>
      <w:numFmt w:val="decimal"/>
      <w:lvlText w:val="(%1)"/>
      <w:lvlJc w:val="left"/>
      <w:pPr>
        <w:ind w:left="556" w:hanging="423"/>
        <w:jc w:val="left"/>
      </w:pPr>
      <w:rPr>
        <w:rFonts w:hint="default" w:ascii="仿宋" w:hAnsi="仿宋" w:eastAsia="仿宋" w:cs="仿宋"/>
        <w:w w:val="100"/>
        <w:sz w:val="21"/>
        <w:szCs w:val="21"/>
      </w:rPr>
    </w:lvl>
    <w:lvl w:ilvl="1">
      <w:start w:val="1"/>
      <w:numFmt w:val="decimal"/>
      <w:lvlText w:val="%1.%2"/>
      <w:lvlJc w:val="left"/>
      <w:pPr>
        <w:ind w:left="556" w:hanging="423"/>
        <w:jc w:val="left"/>
      </w:pPr>
      <w:rPr>
        <w:rFonts w:hint="default" w:ascii="仿宋" w:hAnsi="仿宋" w:eastAsia="仿宋" w:cs="仿宋"/>
        <w:w w:val="100"/>
        <w:sz w:val="21"/>
        <w:szCs w:val="21"/>
      </w:rPr>
    </w:lvl>
    <w:lvl w:ilvl="2">
      <w:start w:val="0"/>
      <w:numFmt w:val="bullet"/>
      <w:lvlText w:val="•"/>
      <w:lvlJc w:val="left"/>
      <w:pPr>
        <w:ind w:left="2006" w:hanging="423"/>
      </w:pPr>
      <w:rPr>
        <w:rFonts w:hint="default"/>
      </w:rPr>
    </w:lvl>
    <w:lvl w:ilvl="3">
      <w:start w:val="0"/>
      <w:numFmt w:val="bullet"/>
      <w:lvlText w:val="•"/>
      <w:lvlJc w:val="left"/>
      <w:pPr>
        <w:ind w:left="2730" w:hanging="423"/>
      </w:pPr>
      <w:rPr>
        <w:rFonts w:hint="default"/>
      </w:rPr>
    </w:lvl>
    <w:lvl w:ilvl="4">
      <w:start w:val="0"/>
      <w:numFmt w:val="bullet"/>
      <w:lvlText w:val="•"/>
      <w:lvlJc w:val="left"/>
      <w:pPr>
        <w:ind w:left="3453" w:hanging="423"/>
      </w:pPr>
      <w:rPr>
        <w:rFonts w:hint="default"/>
      </w:rPr>
    </w:lvl>
    <w:lvl w:ilvl="5">
      <w:start w:val="0"/>
      <w:numFmt w:val="bullet"/>
      <w:lvlText w:val="•"/>
      <w:lvlJc w:val="left"/>
      <w:pPr>
        <w:ind w:left="4177" w:hanging="423"/>
      </w:pPr>
      <w:rPr>
        <w:rFonts w:hint="default"/>
      </w:rPr>
    </w:lvl>
    <w:lvl w:ilvl="6">
      <w:start w:val="0"/>
      <w:numFmt w:val="bullet"/>
      <w:lvlText w:val="•"/>
      <w:lvlJc w:val="left"/>
      <w:pPr>
        <w:ind w:left="4900" w:hanging="423"/>
      </w:pPr>
      <w:rPr>
        <w:rFonts w:hint="default"/>
      </w:rPr>
    </w:lvl>
    <w:lvl w:ilvl="7">
      <w:start w:val="0"/>
      <w:numFmt w:val="bullet"/>
      <w:lvlText w:val="•"/>
      <w:lvlJc w:val="left"/>
      <w:pPr>
        <w:ind w:left="5623" w:hanging="423"/>
      </w:pPr>
      <w:rPr>
        <w:rFonts w:hint="default"/>
      </w:rPr>
    </w:lvl>
    <w:lvl w:ilvl="8">
      <w:start w:val="0"/>
      <w:numFmt w:val="bullet"/>
      <w:lvlText w:val="•"/>
      <w:lvlJc w:val="left"/>
      <w:pPr>
        <w:ind w:left="6347" w:hanging="423"/>
      </w:pPr>
      <w:rPr>
        <w:rFonts w:hint="default"/>
      </w:rPr>
    </w:lvl>
  </w:abstractNum>
  <w:abstractNum w:abstractNumId="33">
    <w:multiLevelType w:val="hybridMultilevel"/>
    <w:lvl w:ilvl="0">
      <w:start w:val="1"/>
      <w:numFmt w:val="decimal"/>
      <w:lvlText w:val="(%1)"/>
      <w:lvlJc w:val="left"/>
      <w:pPr>
        <w:ind w:left="522" w:hanging="423"/>
        <w:jc w:val="left"/>
      </w:pPr>
      <w:rPr>
        <w:rFonts w:hint="default" w:ascii="仿宋" w:hAnsi="仿宋" w:eastAsia="仿宋" w:cs="仿宋"/>
        <w:w w:val="100"/>
        <w:sz w:val="21"/>
        <w:szCs w:val="21"/>
      </w:rPr>
    </w:lvl>
    <w:lvl w:ilvl="1">
      <w:start w:val="0"/>
      <w:numFmt w:val="bullet"/>
      <w:lvlText w:val="•"/>
      <w:lvlJc w:val="left"/>
      <w:pPr>
        <w:ind w:left="1238" w:hanging="423"/>
      </w:pPr>
      <w:rPr>
        <w:rFonts w:hint="default"/>
      </w:rPr>
    </w:lvl>
    <w:lvl w:ilvl="2">
      <w:start w:val="0"/>
      <w:numFmt w:val="bullet"/>
      <w:lvlText w:val="•"/>
      <w:lvlJc w:val="left"/>
      <w:pPr>
        <w:ind w:left="1957" w:hanging="423"/>
      </w:pPr>
      <w:rPr>
        <w:rFonts w:hint="default"/>
      </w:rPr>
    </w:lvl>
    <w:lvl w:ilvl="3">
      <w:start w:val="0"/>
      <w:numFmt w:val="bullet"/>
      <w:lvlText w:val="•"/>
      <w:lvlJc w:val="left"/>
      <w:pPr>
        <w:ind w:left="2676" w:hanging="423"/>
      </w:pPr>
      <w:rPr>
        <w:rFonts w:hint="default"/>
      </w:rPr>
    </w:lvl>
    <w:lvl w:ilvl="4">
      <w:start w:val="0"/>
      <w:numFmt w:val="bullet"/>
      <w:lvlText w:val="•"/>
      <w:lvlJc w:val="left"/>
      <w:pPr>
        <w:ind w:left="3394" w:hanging="423"/>
      </w:pPr>
      <w:rPr>
        <w:rFonts w:hint="default"/>
      </w:rPr>
    </w:lvl>
    <w:lvl w:ilvl="5">
      <w:start w:val="0"/>
      <w:numFmt w:val="bullet"/>
      <w:lvlText w:val="•"/>
      <w:lvlJc w:val="left"/>
      <w:pPr>
        <w:ind w:left="4113" w:hanging="423"/>
      </w:pPr>
      <w:rPr>
        <w:rFonts w:hint="default"/>
      </w:rPr>
    </w:lvl>
    <w:lvl w:ilvl="6">
      <w:start w:val="0"/>
      <w:numFmt w:val="bullet"/>
      <w:lvlText w:val="•"/>
      <w:lvlJc w:val="left"/>
      <w:pPr>
        <w:ind w:left="4832" w:hanging="423"/>
      </w:pPr>
      <w:rPr>
        <w:rFonts w:hint="default"/>
      </w:rPr>
    </w:lvl>
    <w:lvl w:ilvl="7">
      <w:start w:val="0"/>
      <w:numFmt w:val="bullet"/>
      <w:lvlText w:val="•"/>
      <w:lvlJc w:val="left"/>
      <w:pPr>
        <w:ind w:left="5550" w:hanging="423"/>
      </w:pPr>
      <w:rPr>
        <w:rFonts w:hint="default"/>
      </w:rPr>
    </w:lvl>
    <w:lvl w:ilvl="8">
      <w:start w:val="0"/>
      <w:numFmt w:val="bullet"/>
      <w:lvlText w:val="•"/>
      <w:lvlJc w:val="left"/>
      <w:pPr>
        <w:ind w:left="6269" w:hanging="423"/>
      </w:pPr>
      <w:rPr>
        <w:rFonts w:hint="default"/>
      </w:rPr>
    </w:lvl>
  </w:abstractNum>
  <w:abstractNum w:abstractNumId="32">
    <w:multiLevelType w:val="hybridMultilevel"/>
    <w:lvl w:ilvl="0">
      <w:start w:val="1"/>
      <w:numFmt w:val="decimal"/>
      <w:lvlText w:val="（%1）"/>
      <w:lvlJc w:val="left"/>
      <w:pPr>
        <w:ind w:left="731" w:hanging="632"/>
        <w:jc w:val="left"/>
      </w:pPr>
      <w:rPr>
        <w:rFonts w:hint="default" w:ascii="仿宋" w:hAnsi="仿宋" w:eastAsia="仿宋" w:cs="仿宋"/>
        <w:w w:val="100"/>
        <w:sz w:val="21"/>
        <w:szCs w:val="21"/>
      </w:rPr>
    </w:lvl>
    <w:lvl w:ilvl="1">
      <w:start w:val="0"/>
      <w:numFmt w:val="bullet"/>
      <w:lvlText w:val="•"/>
      <w:lvlJc w:val="left"/>
      <w:pPr>
        <w:ind w:left="1436" w:hanging="632"/>
      </w:pPr>
      <w:rPr>
        <w:rFonts w:hint="default"/>
      </w:rPr>
    </w:lvl>
    <w:lvl w:ilvl="2">
      <w:start w:val="0"/>
      <w:numFmt w:val="bullet"/>
      <w:lvlText w:val="•"/>
      <w:lvlJc w:val="left"/>
      <w:pPr>
        <w:ind w:left="2133" w:hanging="632"/>
      </w:pPr>
      <w:rPr>
        <w:rFonts w:hint="default"/>
      </w:rPr>
    </w:lvl>
    <w:lvl w:ilvl="3">
      <w:start w:val="0"/>
      <w:numFmt w:val="bullet"/>
      <w:lvlText w:val="•"/>
      <w:lvlJc w:val="left"/>
      <w:pPr>
        <w:ind w:left="2830" w:hanging="632"/>
      </w:pPr>
      <w:rPr>
        <w:rFonts w:hint="default"/>
      </w:rPr>
    </w:lvl>
    <w:lvl w:ilvl="4">
      <w:start w:val="0"/>
      <w:numFmt w:val="bullet"/>
      <w:lvlText w:val="•"/>
      <w:lvlJc w:val="left"/>
      <w:pPr>
        <w:ind w:left="3526" w:hanging="632"/>
      </w:pPr>
      <w:rPr>
        <w:rFonts w:hint="default"/>
      </w:rPr>
    </w:lvl>
    <w:lvl w:ilvl="5">
      <w:start w:val="0"/>
      <w:numFmt w:val="bullet"/>
      <w:lvlText w:val="•"/>
      <w:lvlJc w:val="left"/>
      <w:pPr>
        <w:ind w:left="4223" w:hanging="632"/>
      </w:pPr>
      <w:rPr>
        <w:rFonts w:hint="default"/>
      </w:rPr>
    </w:lvl>
    <w:lvl w:ilvl="6">
      <w:start w:val="0"/>
      <w:numFmt w:val="bullet"/>
      <w:lvlText w:val="•"/>
      <w:lvlJc w:val="left"/>
      <w:pPr>
        <w:ind w:left="4920" w:hanging="632"/>
      </w:pPr>
      <w:rPr>
        <w:rFonts w:hint="default"/>
      </w:rPr>
    </w:lvl>
    <w:lvl w:ilvl="7">
      <w:start w:val="0"/>
      <w:numFmt w:val="bullet"/>
      <w:lvlText w:val="•"/>
      <w:lvlJc w:val="left"/>
      <w:pPr>
        <w:ind w:left="5616" w:hanging="632"/>
      </w:pPr>
      <w:rPr>
        <w:rFonts w:hint="default"/>
      </w:rPr>
    </w:lvl>
    <w:lvl w:ilvl="8">
      <w:start w:val="0"/>
      <w:numFmt w:val="bullet"/>
      <w:lvlText w:val="•"/>
      <w:lvlJc w:val="left"/>
      <w:pPr>
        <w:ind w:left="6313" w:hanging="632"/>
      </w:pPr>
      <w:rPr>
        <w:rFonts w:hint="default"/>
      </w:rPr>
    </w:lvl>
  </w:abstractNum>
  <w:abstractNum w:abstractNumId="31">
    <w:multiLevelType w:val="hybridMultilevel"/>
    <w:lvl w:ilvl="0">
      <w:start w:val="1"/>
      <w:numFmt w:val="decimal"/>
      <w:lvlText w:val="(%1)"/>
      <w:lvlJc w:val="left"/>
      <w:pPr>
        <w:ind w:left="509" w:hanging="423"/>
        <w:jc w:val="left"/>
      </w:pPr>
      <w:rPr>
        <w:rFonts w:hint="default" w:ascii="仿宋" w:hAnsi="仿宋" w:eastAsia="仿宋" w:cs="仿宋"/>
        <w:w w:val="100"/>
        <w:sz w:val="21"/>
        <w:szCs w:val="21"/>
      </w:rPr>
    </w:lvl>
    <w:lvl w:ilvl="1">
      <w:start w:val="0"/>
      <w:numFmt w:val="bullet"/>
      <w:lvlText w:val="•"/>
      <w:lvlJc w:val="left"/>
      <w:pPr>
        <w:ind w:left="1218" w:hanging="423"/>
      </w:pPr>
      <w:rPr>
        <w:rFonts w:hint="default"/>
      </w:rPr>
    </w:lvl>
    <w:lvl w:ilvl="2">
      <w:start w:val="0"/>
      <w:numFmt w:val="bullet"/>
      <w:lvlText w:val="•"/>
      <w:lvlJc w:val="left"/>
      <w:pPr>
        <w:ind w:left="1937" w:hanging="423"/>
      </w:pPr>
      <w:rPr>
        <w:rFonts w:hint="default"/>
      </w:rPr>
    </w:lvl>
    <w:lvl w:ilvl="3">
      <w:start w:val="0"/>
      <w:numFmt w:val="bullet"/>
      <w:lvlText w:val="•"/>
      <w:lvlJc w:val="left"/>
      <w:pPr>
        <w:ind w:left="2656" w:hanging="423"/>
      </w:pPr>
      <w:rPr>
        <w:rFonts w:hint="default"/>
      </w:rPr>
    </w:lvl>
    <w:lvl w:ilvl="4">
      <w:start w:val="0"/>
      <w:numFmt w:val="bullet"/>
      <w:lvlText w:val="•"/>
      <w:lvlJc w:val="left"/>
      <w:pPr>
        <w:ind w:left="3374" w:hanging="423"/>
      </w:pPr>
      <w:rPr>
        <w:rFonts w:hint="default"/>
      </w:rPr>
    </w:lvl>
    <w:lvl w:ilvl="5">
      <w:start w:val="0"/>
      <w:numFmt w:val="bullet"/>
      <w:lvlText w:val="•"/>
      <w:lvlJc w:val="left"/>
      <w:pPr>
        <w:ind w:left="4093" w:hanging="423"/>
      </w:pPr>
      <w:rPr>
        <w:rFonts w:hint="default"/>
      </w:rPr>
    </w:lvl>
    <w:lvl w:ilvl="6">
      <w:start w:val="0"/>
      <w:numFmt w:val="bullet"/>
      <w:lvlText w:val="•"/>
      <w:lvlJc w:val="left"/>
      <w:pPr>
        <w:ind w:left="4812" w:hanging="423"/>
      </w:pPr>
      <w:rPr>
        <w:rFonts w:hint="default"/>
      </w:rPr>
    </w:lvl>
    <w:lvl w:ilvl="7">
      <w:start w:val="0"/>
      <w:numFmt w:val="bullet"/>
      <w:lvlText w:val="•"/>
      <w:lvlJc w:val="left"/>
      <w:pPr>
        <w:ind w:left="5530" w:hanging="423"/>
      </w:pPr>
      <w:rPr>
        <w:rFonts w:hint="default"/>
      </w:rPr>
    </w:lvl>
    <w:lvl w:ilvl="8">
      <w:start w:val="0"/>
      <w:numFmt w:val="bullet"/>
      <w:lvlText w:val="•"/>
      <w:lvlJc w:val="left"/>
      <w:pPr>
        <w:ind w:left="6249" w:hanging="423"/>
      </w:pPr>
      <w:rPr>
        <w:rFonts w:hint="default"/>
      </w:rPr>
    </w:lvl>
  </w:abstractNum>
  <w:abstractNum w:abstractNumId="30">
    <w:multiLevelType w:val="hybridMultilevel"/>
    <w:lvl w:ilvl="0">
      <w:start w:val="1"/>
      <w:numFmt w:val="decimal"/>
      <w:lvlText w:val="(%1)"/>
      <w:lvlJc w:val="left"/>
      <w:pPr>
        <w:ind w:left="509" w:hanging="423"/>
        <w:jc w:val="left"/>
      </w:pPr>
      <w:rPr>
        <w:rFonts w:hint="default" w:ascii="仿宋" w:hAnsi="仿宋" w:eastAsia="仿宋" w:cs="仿宋"/>
        <w:w w:val="100"/>
        <w:sz w:val="21"/>
        <w:szCs w:val="21"/>
      </w:rPr>
    </w:lvl>
    <w:lvl w:ilvl="1">
      <w:start w:val="0"/>
      <w:numFmt w:val="bullet"/>
      <w:lvlText w:val="•"/>
      <w:lvlJc w:val="left"/>
      <w:pPr>
        <w:ind w:left="1218" w:hanging="423"/>
      </w:pPr>
      <w:rPr>
        <w:rFonts w:hint="default"/>
      </w:rPr>
    </w:lvl>
    <w:lvl w:ilvl="2">
      <w:start w:val="0"/>
      <w:numFmt w:val="bullet"/>
      <w:lvlText w:val="•"/>
      <w:lvlJc w:val="left"/>
      <w:pPr>
        <w:ind w:left="1937" w:hanging="423"/>
      </w:pPr>
      <w:rPr>
        <w:rFonts w:hint="default"/>
      </w:rPr>
    </w:lvl>
    <w:lvl w:ilvl="3">
      <w:start w:val="0"/>
      <w:numFmt w:val="bullet"/>
      <w:lvlText w:val="•"/>
      <w:lvlJc w:val="left"/>
      <w:pPr>
        <w:ind w:left="2656" w:hanging="423"/>
      </w:pPr>
      <w:rPr>
        <w:rFonts w:hint="default"/>
      </w:rPr>
    </w:lvl>
    <w:lvl w:ilvl="4">
      <w:start w:val="0"/>
      <w:numFmt w:val="bullet"/>
      <w:lvlText w:val="•"/>
      <w:lvlJc w:val="left"/>
      <w:pPr>
        <w:ind w:left="3374" w:hanging="423"/>
      </w:pPr>
      <w:rPr>
        <w:rFonts w:hint="default"/>
      </w:rPr>
    </w:lvl>
    <w:lvl w:ilvl="5">
      <w:start w:val="0"/>
      <w:numFmt w:val="bullet"/>
      <w:lvlText w:val="•"/>
      <w:lvlJc w:val="left"/>
      <w:pPr>
        <w:ind w:left="4093" w:hanging="423"/>
      </w:pPr>
      <w:rPr>
        <w:rFonts w:hint="default"/>
      </w:rPr>
    </w:lvl>
    <w:lvl w:ilvl="6">
      <w:start w:val="0"/>
      <w:numFmt w:val="bullet"/>
      <w:lvlText w:val="•"/>
      <w:lvlJc w:val="left"/>
      <w:pPr>
        <w:ind w:left="4812" w:hanging="423"/>
      </w:pPr>
      <w:rPr>
        <w:rFonts w:hint="default"/>
      </w:rPr>
    </w:lvl>
    <w:lvl w:ilvl="7">
      <w:start w:val="0"/>
      <w:numFmt w:val="bullet"/>
      <w:lvlText w:val="•"/>
      <w:lvlJc w:val="left"/>
      <w:pPr>
        <w:ind w:left="5530" w:hanging="423"/>
      </w:pPr>
      <w:rPr>
        <w:rFonts w:hint="default"/>
      </w:rPr>
    </w:lvl>
    <w:lvl w:ilvl="8">
      <w:start w:val="0"/>
      <w:numFmt w:val="bullet"/>
      <w:lvlText w:val="•"/>
      <w:lvlJc w:val="left"/>
      <w:pPr>
        <w:ind w:left="6249" w:hanging="423"/>
      </w:pPr>
      <w:rPr>
        <w:rFonts w:hint="default"/>
      </w:rPr>
    </w:lvl>
  </w:abstractNum>
  <w:abstractNum w:abstractNumId="29">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18" w:hanging="421"/>
      </w:pPr>
      <w:rPr>
        <w:rFonts w:hint="default"/>
      </w:rPr>
    </w:lvl>
    <w:lvl w:ilvl="2">
      <w:start w:val="0"/>
      <w:numFmt w:val="bullet"/>
      <w:lvlText w:val="•"/>
      <w:lvlJc w:val="left"/>
      <w:pPr>
        <w:ind w:left="1937" w:hanging="421"/>
      </w:pPr>
      <w:rPr>
        <w:rFonts w:hint="default"/>
      </w:rPr>
    </w:lvl>
    <w:lvl w:ilvl="3">
      <w:start w:val="0"/>
      <w:numFmt w:val="bullet"/>
      <w:lvlText w:val="•"/>
      <w:lvlJc w:val="left"/>
      <w:pPr>
        <w:ind w:left="2656" w:hanging="421"/>
      </w:pPr>
      <w:rPr>
        <w:rFonts w:hint="default"/>
      </w:rPr>
    </w:lvl>
    <w:lvl w:ilvl="4">
      <w:start w:val="0"/>
      <w:numFmt w:val="bullet"/>
      <w:lvlText w:val="•"/>
      <w:lvlJc w:val="left"/>
      <w:pPr>
        <w:ind w:left="3374" w:hanging="421"/>
      </w:pPr>
      <w:rPr>
        <w:rFonts w:hint="default"/>
      </w:rPr>
    </w:lvl>
    <w:lvl w:ilvl="5">
      <w:start w:val="0"/>
      <w:numFmt w:val="bullet"/>
      <w:lvlText w:val="•"/>
      <w:lvlJc w:val="left"/>
      <w:pPr>
        <w:ind w:left="4093" w:hanging="421"/>
      </w:pPr>
      <w:rPr>
        <w:rFonts w:hint="default"/>
      </w:rPr>
    </w:lvl>
    <w:lvl w:ilvl="6">
      <w:start w:val="0"/>
      <w:numFmt w:val="bullet"/>
      <w:lvlText w:val="•"/>
      <w:lvlJc w:val="left"/>
      <w:pPr>
        <w:ind w:left="4812" w:hanging="421"/>
      </w:pPr>
      <w:rPr>
        <w:rFonts w:hint="default"/>
      </w:rPr>
    </w:lvl>
    <w:lvl w:ilvl="7">
      <w:start w:val="0"/>
      <w:numFmt w:val="bullet"/>
      <w:lvlText w:val="•"/>
      <w:lvlJc w:val="left"/>
      <w:pPr>
        <w:ind w:left="5530" w:hanging="421"/>
      </w:pPr>
      <w:rPr>
        <w:rFonts w:hint="default"/>
      </w:rPr>
    </w:lvl>
    <w:lvl w:ilvl="8">
      <w:start w:val="0"/>
      <w:numFmt w:val="bullet"/>
      <w:lvlText w:val="•"/>
      <w:lvlJc w:val="left"/>
      <w:pPr>
        <w:ind w:left="6249" w:hanging="421"/>
      </w:pPr>
      <w:rPr>
        <w:rFonts w:hint="default"/>
      </w:rPr>
    </w:lvl>
  </w:abstractNum>
  <w:abstractNum w:abstractNumId="28">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18" w:hanging="421"/>
      </w:pPr>
      <w:rPr>
        <w:rFonts w:hint="default"/>
      </w:rPr>
    </w:lvl>
    <w:lvl w:ilvl="2">
      <w:start w:val="0"/>
      <w:numFmt w:val="bullet"/>
      <w:lvlText w:val="•"/>
      <w:lvlJc w:val="left"/>
      <w:pPr>
        <w:ind w:left="1937" w:hanging="421"/>
      </w:pPr>
      <w:rPr>
        <w:rFonts w:hint="default"/>
      </w:rPr>
    </w:lvl>
    <w:lvl w:ilvl="3">
      <w:start w:val="0"/>
      <w:numFmt w:val="bullet"/>
      <w:lvlText w:val="•"/>
      <w:lvlJc w:val="left"/>
      <w:pPr>
        <w:ind w:left="2656" w:hanging="421"/>
      </w:pPr>
      <w:rPr>
        <w:rFonts w:hint="default"/>
      </w:rPr>
    </w:lvl>
    <w:lvl w:ilvl="4">
      <w:start w:val="0"/>
      <w:numFmt w:val="bullet"/>
      <w:lvlText w:val="•"/>
      <w:lvlJc w:val="left"/>
      <w:pPr>
        <w:ind w:left="3374" w:hanging="421"/>
      </w:pPr>
      <w:rPr>
        <w:rFonts w:hint="default"/>
      </w:rPr>
    </w:lvl>
    <w:lvl w:ilvl="5">
      <w:start w:val="0"/>
      <w:numFmt w:val="bullet"/>
      <w:lvlText w:val="•"/>
      <w:lvlJc w:val="left"/>
      <w:pPr>
        <w:ind w:left="4093" w:hanging="421"/>
      </w:pPr>
      <w:rPr>
        <w:rFonts w:hint="default"/>
      </w:rPr>
    </w:lvl>
    <w:lvl w:ilvl="6">
      <w:start w:val="0"/>
      <w:numFmt w:val="bullet"/>
      <w:lvlText w:val="•"/>
      <w:lvlJc w:val="left"/>
      <w:pPr>
        <w:ind w:left="4812" w:hanging="421"/>
      </w:pPr>
      <w:rPr>
        <w:rFonts w:hint="default"/>
      </w:rPr>
    </w:lvl>
    <w:lvl w:ilvl="7">
      <w:start w:val="0"/>
      <w:numFmt w:val="bullet"/>
      <w:lvlText w:val="•"/>
      <w:lvlJc w:val="left"/>
      <w:pPr>
        <w:ind w:left="5530" w:hanging="421"/>
      </w:pPr>
      <w:rPr>
        <w:rFonts w:hint="default"/>
      </w:rPr>
    </w:lvl>
    <w:lvl w:ilvl="8">
      <w:start w:val="0"/>
      <w:numFmt w:val="bullet"/>
      <w:lvlText w:val="•"/>
      <w:lvlJc w:val="left"/>
      <w:pPr>
        <w:ind w:left="6249" w:hanging="421"/>
      </w:pPr>
      <w:rPr>
        <w:rFonts w:hint="default"/>
      </w:rPr>
    </w:lvl>
  </w:abstractNum>
  <w:abstractNum w:abstractNumId="27">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29" w:hanging="421"/>
      </w:pPr>
      <w:rPr>
        <w:rFonts w:hint="default"/>
      </w:rPr>
    </w:lvl>
    <w:lvl w:ilvl="2">
      <w:start w:val="0"/>
      <w:numFmt w:val="bullet"/>
      <w:lvlText w:val="•"/>
      <w:lvlJc w:val="left"/>
      <w:pPr>
        <w:ind w:left="1958" w:hanging="421"/>
      </w:pPr>
      <w:rPr>
        <w:rFonts w:hint="default"/>
      </w:rPr>
    </w:lvl>
    <w:lvl w:ilvl="3">
      <w:start w:val="0"/>
      <w:numFmt w:val="bullet"/>
      <w:lvlText w:val="•"/>
      <w:lvlJc w:val="left"/>
      <w:pPr>
        <w:ind w:left="2687" w:hanging="421"/>
      </w:pPr>
      <w:rPr>
        <w:rFonts w:hint="default"/>
      </w:rPr>
    </w:lvl>
    <w:lvl w:ilvl="4">
      <w:start w:val="0"/>
      <w:numFmt w:val="bullet"/>
      <w:lvlText w:val="•"/>
      <w:lvlJc w:val="left"/>
      <w:pPr>
        <w:ind w:left="3416" w:hanging="421"/>
      </w:pPr>
      <w:rPr>
        <w:rFonts w:hint="default"/>
      </w:rPr>
    </w:lvl>
    <w:lvl w:ilvl="5">
      <w:start w:val="0"/>
      <w:numFmt w:val="bullet"/>
      <w:lvlText w:val="•"/>
      <w:lvlJc w:val="left"/>
      <w:pPr>
        <w:ind w:left="4146" w:hanging="421"/>
      </w:pPr>
      <w:rPr>
        <w:rFonts w:hint="default"/>
      </w:rPr>
    </w:lvl>
    <w:lvl w:ilvl="6">
      <w:start w:val="0"/>
      <w:numFmt w:val="bullet"/>
      <w:lvlText w:val="•"/>
      <w:lvlJc w:val="left"/>
      <w:pPr>
        <w:ind w:left="4875" w:hanging="421"/>
      </w:pPr>
      <w:rPr>
        <w:rFonts w:hint="default"/>
      </w:rPr>
    </w:lvl>
    <w:lvl w:ilvl="7">
      <w:start w:val="0"/>
      <w:numFmt w:val="bullet"/>
      <w:lvlText w:val="•"/>
      <w:lvlJc w:val="left"/>
      <w:pPr>
        <w:ind w:left="5604" w:hanging="421"/>
      </w:pPr>
      <w:rPr>
        <w:rFonts w:hint="default"/>
      </w:rPr>
    </w:lvl>
    <w:lvl w:ilvl="8">
      <w:start w:val="0"/>
      <w:numFmt w:val="bullet"/>
      <w:lvlText w:val="•"/>
      <w:lvlJc w:val="left"/>
      <w:pPr>
        <w:ind w:left="6333" w:hanging="421"/>
      </w:pPr>
      <w:rPr>
        <w:rFonts w:hint="default"/>
      </w:rPr>
    </w:lvl>
  </w:abstractNum>
  <w:abstractNum w:abstractNumId="26">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29" w:hanging="421"/>
      </w:pPr>
      <w:rPr>
        <w:rFonts w:hint="default"/>
      </w:rPr>
    </w:lvl>
    <w:lvl w:ilvl="2">
      <w:start w:val="0"/>
      <w:numFmt w:val="bullet"/>
      <w:lvlText w:val="•"/>
      <w:lvlJc w:val="left"/>
      <w:pPr>
        <w:ind w:left="1958" w:hanging="421"/>
      </w:pPr>
      <w:rPr>
        <w:rFonts w:hint="default"/>
      </w:rPr>
    </w:lvl>
    <w:lvl w:ilvl="3">
      <w:start w:val="0"/>
      <w:numFmt w:val="bullet"/>
      <w:lvlText w:val="•"/>
      <w:lvlJc w:val="left"/>
      <w:pPr>
        <w:ind w:left="2687" w:hanging="421"/>
      </w:pPr>
      <w:rPr>
        <w:rFonts w:hint="default"/>
      </w:rPr>
    </w:lvl>
    <w:lvl w:ilvl="4">
      <w:start w:val="0"/>
      <w:numFmt w:val="bullet"/>
      <w:lvlText w:val="•"/>
      <w:lvlJc w:val="left"/>
      <w:pPr>
        <w:ind w:left="3416" w:hanging="421"/>
      </w:pPr>
      <w:rPr>
        <w:rFonts w:hint="default"/>
      </w:rPr>
    </w:lvl>
    <w:lvl w:ilvl="5">
      <w:start w:val="0"/>
      <w:numFmt w:val="bullet"/>
      <w:lvlText w:val="•"/>
      <w:lvlJc w:val="left"/>
      <w:pPr>
        <w:ind w:left="4146" w:hanging="421"/>
      </w:pPr>
      <w:rPr>
        <w:rFonts w:hint="default"/>
      </w:rPr>
    </w:lvl>
    <w:lvl w:ilvl="6">
      <w:start w:val="0"/>
      <w:numFmt w:val="bullet"/>
      <w:lvlText w:val="•"/>
      <w:lvlJc w:val="left"/>
      <w:pPr>
        <w:ind w:left="4875" w:hanging="421"/>
      </w:pPr>
      <w:rPr>
        <w:rFonts w:hint="default"/>
      </w:rPr>
    </w:lvl>
    <w:lvl w:ilvl="7">
      <w:start w:val="0"/>
      <w:numFmt w:val="bullet"/>
      <w:lvlText w:val="•"/>
      <w:lvlJc w:val="left"/>
      <w:pPr>
        <w:ind w:left="5604" w:hanging="421"/>
      </w:pPr>
      <w:rPr>
        <w:rFonts w:hint="default"/>
      </w:rPr>
    </w:lvl>
    <w:lvl w:ilvl="8">
      <w:start w:val="0"/>
      <w:numFmt w:val="bullet"/>
      <w:lvlText w:val="•"/>
      <w:lvlJc w:val="left"/>
      <w:pPr>
        <w:ind w:left="6333" w:hanging="421"/>
      </w:pPr>
      <w:rPr>
        <w:rFonts w:hint="default"/>
      </w:rPr>
    </w:lvl>
  </w:abstractNum>
  <w:abstractNum w:abstractNumId="25">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24" w:hanging="421"/>
      </w:pPr>
      <w:rPr>
        <w:rFonts w:hint="default"/>
      </w:rPr>
    </w:lvl>
    <w:lvl w:ilvl="2">
      <w:start w:val="0"/>
      <w:numFmt w:val="bullet"/>
      <w:lvlText w:val="•"/>
      <w:lvlJc w:val="left"/>
      <w:pPr>
        <w:ind w:left="1949" w:hanging="421"/>
      </w:pPr>
      <w:rPr>
        <w:rFonts w:hint="default"/>
      </w:rPr>
    </w:lvl>
    <w:lvl w:ilvl="3">
      <w:start w:val="0"/>
      <w:numFmt w:val="bullet"/>
      <w:lvlText w:val="•"/>
      <w:lvlJc w:val="left"/>
      <w:pPr>
        <w:ind w:left="2673" w:hanging="421"/>
      </w:pPr>
      <w:rPr>
        <w:rFonts w:hint="default"/>
      </w:rPr>
    </w:lvl>
    <w:lvl w:ilvl="4">
      <w:start w:val="0"/>
      <w:numFmt w:val="bullet"/>
      <w:lvlText w:val="•"/>
      <w:lvlJc w:val="left"/>
      <w:pPr>
        <w:ind w:left="3398" w:hanging="421"/>
      </w:pPr>
      <w:rPr>
        <w:rFonts w:hint="default"/>
      </w:rPr>
    </w:lvl>
    <w:lvl w:ilvl="5">
      <w:start w:val="0"/>
      <w:numFmt w:val="bullet"/>
      <w:lvlText w:val="•"/>
      <w:lvlJc w:val="left"/>
      <w:pPr>
        <w:ind w:left="4123" w:hanging="421"/>
      </w:pPr>
      <w:rPr>
        <w:rFonts w:hint="default"/>
      </w:rPr>
    </w:lvl>
    <w:lvl w:ilvl="6">
      <w:start w:val="0"/>
      <w:numFmt w:val="bullet"/>
      <w:lvlText w:val="•"/>
      <w:lvlJc w:val="left"/>
      <w:pPr>
        <w:ind w:left="4847" w:hanging="421"/>
      </w:pPr>
      <w:rPr>
        <w:rFonts w:hint="default"/>
      </w:rPr>
    </w:lvl>
    <w:lvl w:ilvl="7">
      <w:start w:val="0"/>
      <w:numFmt w:val="bullet"/>
      <w:lvlText w:val="•"/>
      <w:lvlJc w:val="left"/>
      <w:pPr>
        <w:ind w:left="5572" w:hanging="421"/>
      </w:pPr>
      <w:rPr>
        <w:rFonts w:hint="default"/>
      </w:rPr>
    </w:lvl>
    <w:lvl w:ilvl="8">
      <w:start w:val="0"/>
      <w:numFmt w:val="bullet"/>
      <w:lvlText w:val="•"/>
      <w:lvlJc w:val="left"/>
      <w:pPr>
        <w:ind w:left="6296" w:hanging="421"/>
      </w:pPr>
      <w:rPr>
        <w:rFonts w:hint="default"/>
      </w:rPr>
    </w:lvl>
  </w:abstractNum>
  <w:abstractNum w:abstractNumId="24">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24" w:hanging="421"/>
      </w:pPr>
      <w:rPr>
        <w:rFonts w:hint="default"/>
      </w:rPr>
    </w:lvl>
    <w:lvl w:ilvl="2">
      <w:start w:val="0"/>
      <w:numFmt w:val="bullet"/>
      <w:lvlText w:val="•"/>
      <w:lvlJc w:val="left"/>
      <w:pPr>
        <w:ind w:left="1949" w:hanging="421"/>
      </w:pPr>
      <w:rPr>
        <w:rFonts w:hint="default"/>
      </w:rPr>
    </w:lvl>
    <w:lvl w:ilvl="3">
      <w:start w:val="0"/>
      <w:numFmt w:val="bullet"/>
      <w:lvlText w:val="•"/>
      <w:lvlJc w:val="left"/>
      <w:pPr>
        <w:ind w:left="2673" w:hanging="421"/>
      </w:pPr>
      <w:rPr>
        <w:rFonts w:hint="default"/>
      </w:rPr>
    </w:lvl>
    <w:lvl w:ilvl="4">
      <w:start w:val="0"/>
      <w:numFmt w:val="bullet"/>
      <w:lvlText w:val="•"/>
      <w:lvlJc w:val="left"/>
      <w:pPr>
        <w:ind w:left="3398" w:hanging="421"/>
      </w:pPr>
      <w:rPr>
        <w:rFonts w:hint="default"/>
      </w:rPr>
    </w:lvl>
    <w:lvl w:ilvl="5">
      <w:start w:val="0"/>
      <w:numFmt w:val="bullet"/>
      <w:lvlText w:val="•"/>
      <w:lvlJc w:val="left"/>
      <w:pPr>
        <w:ind w:left="4123" w:hanging="421"/>
      </w:pPr>
      <w:rPr>
        <w:rFonts w:hint="default"/>
      </w:rPr>
    </w:lvl>
    <w:lvl w:ilvl="6">
      <w:start w:val="0"/>
      <w:numFmt w:val="bullet"/>
      <w:lvlText w:val="•"/>
      <w:lvlJc w:val="left"/>
      <w:pPr>
        <w:ind w:left="4847" w:hanging="421"/>
      </w:pPr>
      <w:rPr>
        <w:rFonts w:hint="default"/>
      </w:rPr>
    </w:lvl>
    <w:lvl w:ilvl="7">
      <w:start w:val="0"/>
      <w:numFmt w:val="bullet"/>
      <w:lvlText w:val="•"/>
      <w:lvlJc w:val="left"/>
      <w:pPr>
        <w:ind w:left="5572" w:hanging="421"/>
      </w:pPr>
      <w:rPr>
        <w:rFonts w:hint="default"/>
      </w:rPr>
    </w:lvl>
    <w:lvl w:ilvl="8">
      <w:start w:val="0"/>
      <w:numFmt w:val="bullet"/>
      <w:lvlText w:val="•"/>
      <w:lvlJc w:val="left"/>
      <w:pPr>
        <w:ind w:left="6296" w:hanging="421"/>
      </w:pPr>
      <w:rPr>
        <w:rFonts w:hint="default"/>
      </w:rPr>
    </w:lvl>
  </w:abstractNum>
  <w:abstractNum w:abstractNumId="23">
    <w:multiLevelType w:val="hybridMultilevel"/>
    <w:lvl w:ilvl="0">
      <w:start w:val="1"/>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24" w:hanging="421"/>
      </w:pPr>
      <w:rPr>
        <w:rFonts w:hint="default"/>
      </w:rPr>
    </w:lvl>
    <w:lvl w:ilvl="2">
      <w:start w:val="0"/>
      <w:numFmt w:val="bullet"/>
      <w:lvlText w:val="•"/>
      <w:lvlJc w:val="left"/>
      <w:pPr>
        <w:ind w:left="1949" w:hanging="421"/>
      </w:pPr>
      <w:rPr>
        <w:rFonts w:hint="default"/>
      </w:rPr>
    </w:lvl>
    <w:lvl w:ilvl="3">
      <w:start w:val="0"/>
      <w:numFmt w:val="bullet"/>
      <w:lvlText w:val="•"/>
      <w:lvlJc w:val="left"/>
      <w:pPr>
        <w:ind w:left="2673" w:hanging="421"/>
      </w:pPr>
      <w:rPr>
        <w:rFonts w:hint="default"/>
      </w:rPr>
    </w:lvl>
    <w:lvl w:ilvl="4">
      <w:start w:val="0"/>
      <w:numFmt w:val="bullet"/>
      <w:lvlText w:val="•"/>
      <w:lvlJc w:val="left"/>
      <w:pPr>
        <w:ind w:left="3398" w:hanging="421"/>
      </w:pPr>
      <w:rPr>
        <w:rFonts w:hint="default"/>
      </w:rPr>
    </w:lvl>
    <w:lvl w:ilvl="5">
      <w:start w:val="0"/>
      <w:numFmt w:val="bullet"/>
      <w:lvlText w:val="•"/>
      <w:lvlJc w:val="left"/>
      <w:pPr>
        <w:ind w:left="4123" w:hanging="421"/>
      </w:pPr>
      <w:rPr>
        <w:rFonts w:hint="default"/>
      </w:rPr>
    </w:lvl>
    <w:lvl w:ilvl="6">
      <w:start w:val="0"/>
      <w:numFmt w:val="bullet"/>
      <w:lvlText w:val="•"/>
      <w:lvlJc w:val="left"/>
      <w:pPr>
        <w:ind w:left="4847" w:hanging="421"/>
      </w:pPr>
      <w:rPr>
        <w:rFonts w:hint="default"/>
      </w:rPr>
    </w:lvl>
    <w:lvl w:ilvl="7">
      <w:start w:val="0"/>
      <w:numFmt w:val="bullet"/>
      <w:lvlText w:val="•"/>
      <w:lvlJc w:val="left"/>
      <w:pPr>
        <w:ind w:left="5572" w:hanging="421"/>
      </w:pPr>
      <w:rPr>
        <w:rFonts w:hint="default"/>
      </w:rPr>
    </w:lvl>
    <w:lvl w:ilvl="8">
      <w:start w:val="0"/>
      <w:numFmt w:val="bullet"/>
      <w:lvlText w:val="•"/>
      <w:lvlJc w:val="left"/>
      <w:pPr>
        <w:ind w:left="6296" w:hanging="421"/>
      </w:pPr>
      <w:rPr>
        <w:rFonts w:hint="default"/>
      </w:rPr>
    </w:lvl>
  </w:abstractNum>
  <w:abstractNum w:abstractNumId="22">
    <w:multiLevelType w:val="hybridMultilevel"/>
    <w:lvl w:ilvl="0">
      <w:start w:val="2"/>
      <w:numFmt w:val="decimal"/>
      <w:lvlText w:val="(%1)"/>
      <w:lvlJc w:val="left"/>
      <w:pPr>
        <w:ind w:left="507" w:hanging="421"/>
        <w:jc w:val="left"/>
      </w:pPr>
      <w:rPr>
        <w:rFonts w:hint="default" w:ascii="仿宋" w:hAnsi="仿宋" w:eastAsia="仿宋" w:cs="仿宋"/>
        <w:w w:val="100"/>
        <w:sz w:val="21"/>
        <w:szCs w:val="21"/>
      </w:rPr>
    </w:lvl>
    <w:lvl w:ilvl="1">
      <w:start w:val="0"/>
      <w:numFmt w:val="bullet"/>
      <w:lvlText w:val="•"/>
      <w:lvlJc w:val="left"/>
      <w:pPr>
        <w:ind w:left="1224" w:hanging="421"/>
      </w:pPr>
      <w:rPr>
        <w:rFonts w:hint="default"/>
      </w:rPr>
    </w:lvl>
    <w:lvl w:ilvl="2">
      <w:start w:val="0"/>
      <w:numFmt w:val="bullet"/>
      <w:lvlText w:val="•"/>
      <w:lvlJc w:val="left"/>
      <w:pPr>
        <w:ind w:left="1949" w:hanging="421"/>
      </w:pPr>
      <w:rPr>
        <w:rFonts w:hint="default"/>
      </w:rPr>
    </w:lvl>
    <w:lvl w:ilvl="3">
      <w:start w:val="0"/>
      <w:numFmt w:val="bullet"/>
      <w:lvlText w:val="•"/>
      <w:lvlJc w:val="left"/>
      <w:pPr>
        <w:ind w:left="2673" w:hanging="421"/>
      </w:pPr>
      <w:rPr>
        <w:rFonts w:hint="default"/>
      </w:rPr>
    </w:lvl>
    <w:lvl w:ilvl="4">
      <w:start w:val="0"/>
      <w:numFmt w:val="bullet"/>
      <w:lvlText w:val="•"/>
      <w:lvlJc w:val="left"/>
      <w:pPr>
        <w:ind w:left="3398" w:hanging="421"/>
      </w:pPr>
      <w:rPr>
        <w:rFonts w:hint="default"/>
      </w:rPr>
    </w:lvl>
    <w:lvl w:ilvl="5">
      <w:start w:val="0"/>
      <w:numFmt w:val="bullet"/>
      <w:lvlText w:val="•"/>
      <w:lvlJc w:val="left"/>
      <w:pPr>
        <w:ind w:left="4123" w:hanging="421"/>
      </w:pPr>
      <w:rPr>
        <w:rFonts w:hint="default"/>
      </w:rPr>
    </w:lvl>
    <w:lvl w:ilvl="6">
      <w:start w:val="0"/>
      <w:numFmt w:val="bullet"/>
      <w:lvlText w:val="•"/>
      <w:lvlJc w:val="left"/>
      <w:pPr>
        <w:ind w:left="4847" w:hanging="421"/>
      </w:pPr>
      <w:rPr>
        <w:rFonts w:hint="default"/>
      </w:rPr>
    </w:lvl>
    <w:lvl w:ilvl="7">
      <w:start w:val="0"/>
      <w:numFmt w:val="bullet"/>
      <w:lvlText w:val="•"/>
      <w:lvlJc w:val="left"/>
      <w:pPr>
        <w:ind w:left="5572" w:hanging="421"/>
      </w:pPr>
      <w:rPr>
        <w:rFonts w:hint="default"/>
      </w:rPr>
    </w:lvl>
    <w:lvl w:ilvl="8">
      <w:start w:val="0"/>
      <w:numFmt w:val="bullet"/>
      <w:lvlText w:val="•"/>
      <w:lvlJc w:val="left"/>
      <w:pPr>
        <w:ind w:left="6296" w:hanging="421"/>
      </w:pPr>
      <w:rPr>
        <w:rFonts w:hint="default"/>
      </w:rPr>
    </w:lvl>
  </w:abstractNum>
  <w:abstractNum w:abstractNumId="21">
    <w:multiLevelType w:val="hybridMultilevel"/>
    <w:lvl w:ilvl="0">
      <w:start w:val="1"/>
      <w:numFmt w:val="decimal"/>
      <w:lvlText w:val="(%1)"/>
      <w:lvlJc w:val="left"/>
      <w:pPr>
        <w:ind w:left="564" w:hanging="423"/>
        <w:jc w:val="left"/>
      </w:pPr>
      <w:rPr>
        <w:rFonts w:hint="default" w:ascii="仿宋" w:hAnsi="仿宋" w:eastAsia="仿宋" w:cs="仿宋"/>
        <w:w w:val="100"/>
        <w:sz w:val="21"/>
        <w:szCs w:val="21"/>
      </w:rPr>
    </w:lvl>
    <w:lvl w:ilvl="1">
      <w:start w:val="0"/>
      <w:numFmt w:val="bullet"/>
      <w:lvlText w:val="•"/>
      <w:lvlJc w:val="left"/>
      <w:pPr>
        <w:ind w:left="1288" w:hanging="423"/>
      </w:pPr>
      <w:rPr>
        <w:rFonts w:hint="default"/>
      </w:rPr>
    </w:lvl>
    <w:lvl w:ilvl="2">
      <w:start w:val="0"/>
      <w:numFmt w:val="bullet"/>
      <w:lvlText w:val="•"/>
      <w:lvlJc w:val="left"/>
      <w:pPr>
        <w:ind w:left="2017" w:hanging="423"/>
      </w:pPr>
      <w:rPr>
        <w:rFonts w:hint="default"/>
      </w:rPr>
    </w:lvl>
    <w:lvl w:ilvl="3">
      <w:start w:val="0"/>
      <w:numFmt w:val="bullet"/>
      <w:lvlText w:val="•"/>
      <w:lvlJc w:val="left"/>
      <w:pPr>
        <w:ind w:left="2745" w:hanging="423"/>
      </w:pPr>
      <w:rPr>
        <w:rFonts w:hint="default"/>
      </w:rPr>
    </w:lvl>
    <w:lvl w:ilvl="4">
      <w:start w:val="0"/>
      <w:numFmt w:val="bullet"/>
      <w:lvlText w:val="•"/>
      <w:lvlJc w:val="left"/>
      <w:pPr>
        <w:ind w:left="3474" w:hanging="423"/>
      </w:pPr>
      <w:rPr>
        <w:rFonts w:hint="default"/>
      </w:rPr>
    </w:lvl>
    <w:lvl w:ilvl="5">
      <w:start w:val="0"/>
      <w:numFmt w:val="bullet"/>
      <w:lvlText w:val="•"/>
      <w:lvlJc w:val="left"/>
      <w:pPr>
        <w:ind w:left="4202" w:hanging="423"/>
      </w:pPr>
      <w:rPr>
        <w:rFonts w:hint="default"/>
      </w:rPr>
    </w:lvl>
    <w:lvl w:ilvl="6">
      <w:start w:val="0"/>
      <w:numFmt w:val="bullet"/>
      <w:lvlText w:val="•"/>
      <w:lvlJc w:val="left"/>
      <w:pPr>
        <w:ind w:left="4931" w:hanging="423"/>
      </w:pPr>
      <w:rPr>
        <w:rFonts w:hint="default"/>
      </w:rPr>
    </w:lvl>
    <w:lvl w:ilvl="7">
      <w:start w:val="0"/>
      <w:numFmt w:val="bullet"/>
      <w:lvlText w:val="•"/>
      <w:lvlJc w:val="left"/>
      <w:pPr>
        <w:ind w:left="5659" w:hanging="423"/>
      </w:pPr>
      <w:rPr>
        <w:rFonts w:hint="default"/>
      </w:rPr>
    </w:lvl>
    <w:lvl w:ilvl="8">
      <w:start w:val="0"/>
      <w:numFmt w:val="bullet"/>
      <w:lvlText w:val="•"/>
      <w:lvlJc w:val="left"/>
      <w:pPr>
        <w:ind w:left="6388" w:hanging="423"/>
      </w:pPr>
      <w:rPr>
        <w:rFonts w:hint="default"/>
      </w:rPr>
    </w:lvl>
  </w:abstractNum>
  <w:abstractNum w:abstractNumId="20">
    <w:multiLevelType w:val="hybridMultilevel"/>
    <w:lvl w:ilvl="0">
      <w:start w:val="1"/>
      <w:numFmt w:val="decimal"/>
      <w:lvlText w:val="(%1)"/>
      <w:lvlJc w:val="left"/>
      <w:pPr>
        <w:ind w:left="562"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5"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2" w:hanging="421"/>
      </w:pPr>
      <w:rPr>
        <w:rFonts w:hint="default"/>
      </w:rPr>
    </w:lvl>
    <w:lvl w:ilvl="6">
      <w:start w:val="0"/>
      <w:numFmt w:val="bullet"/>
      <w:lvlText w:val="•"/>
      <w:lvlJc w:val="left"/>
      <w:pPr>
        <w:ind w:left="4931" w:hanging="421"/>
      </w:pPr>
      <w:rPr>
        <w:rFonts w:hint="default"/>
      </w:rPr>
    </w:lvl>
    <w:lvl w:ilvl="7">
      <w:start w:val="0"/>
      <w:numFmt w:val="bullet"/>
      <w:lvlText w:val="•"/>
      <w:lvlJc w:val="left"/>
      <w:pPr>
        <w:ind w:left="5659" w:hanging="421"/>
      </w:pPr>
      <w:rPr>
        <w:rFonts w:hint="default"/>
      </w:rPr>
    </w:lvl>
    <w:lvl w:ilvl="8">
      <w:start w:val="0"/>
      <w:numFmt w:val="bullet"/>
      <w:lvlText w:val="•"/>
      <w:lvlJc w:val="left"/>
      <w:pPr>
        <w:ind w:left="6388" w:hanging="421"/>
      </w:pPr>
      <w:rPr>
        <w:rFonts w:hint="default"/>
      </w:rPr>
    </w:lvl>
  </w:abstractNum>
  <w:abstractNum w:abstractNumId="19">
    <w:multiLevelType w:val="hybridMultilevel"/>
    <w:lvl w:ilvl="0">
      <w:start w:val="1"/>
      <w:numFmt w:val="decimal"/>
      <w:lvlText w:val="(%1)"/>
      <w:lvlJc w:val="left"/>
      <w:pPr>
        <w:ind w:left="562"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5"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2" w:hanging="421"/>
      </w:pPr>
      <w:rPr>
        <w:rFonts w:hint="default"/>
      </w:rPr>
    </w:lvl>
    <w:lvl w:ilvl="6">
      <w:start w:val="0"/>
      <w:numFmt w:val="bullet"/>
      <w:lvlText w:val="•"/>
      <w:lvlJc w:val="left"/>
      <w:pPr>
        <w:ind w:left="4931" w:hanging="421"/>
      </w:pPr>
      <w:rPr>
        <w:rFonts w:hint="default"/>
      </w:rPr>
    </w:lvl>
    <w:lvl w:ilvl="7">
      <w:start w:val="0"/>
      <w:numFmt w:val="bullet"/>
      <w:lvlText w:val="•"/>
      <w:lvlJc w:val="left"/>
      <w:pPr>
        <w:ind w:left="5659" w:hanging="421"/>
      </w:pPr>
      <w:rPr>
        <w:rFonts w:hint="default"/>
      </w:rPr>
    </w:lvl>
    <w:lvl w:ilvl="8">
      <w:start w:val="0"/>
      <w:numFmt w:val="bullet"/>
      <w:lvlText w:val="•"/>
      <w:lvlJc w:val="left"/>
      <w:pPr>
        <w:ind w:left="6388" w:hanging="421"/>
      </w:pPr>
      <w:rPr>
        <w:rFonts w:hint="default"/>
      </w:rPr>
    </w:lvl>
  </w:abstractNum>
  <w:abstractNum w:abstractNumId="18">
    <w:multiLevelType w:val="hybridMultilevel"/>
    <w:lvl w:ilvl="0">
      <w:start w:val="1"/>
      <w:numFmt w:val="decimal"/>
      <w:lvlText w:val="(%1)"/>
      <w:lvlJc w:val="left"/>
      <w:pPr>
        <w:ind w:left="528" w:hanging="421"/>
        <w:jc w:val="left"/>
      </w:pPr>
      <w:rPr>
        <w:rFonts w:hint="default" w:ascii="仿宋" w:hAnsi="仿宋" w:eastAsia="仿宋" w:cs="仿宋"/>
        <w:w w:val="100"/>
        <w:sz w:val="21"/>
        <w:szCs w:val="21"/>
      </w:rPr>
    </w:lvl>
    <w:lvl w:ilvl="1">
      <w:start w:val="0"/>
      <w:numFmt w:val="bullet"/>
      <w:lvlText w:val="•"/>
      <w:lvlJc w:val="left"/>
      <w:pPr>
        <w:ind w:left="1249" w:hanging="421"/>
      </w:pPr>
      <w:rPr>
        <w:rFonts w:hint="default"/>
      </w:rPr>
    </w:lvl>
    <w:lvl w:ilvl="2">
      <w:start w:val="0"/>
      <w:numFmt w:val="bullet"/>
      <w:lvlText w:val="•"/>
      <w:lvlJc w:val="left"/>
      <w:pPr>
        <w:ind w:left="1978" w:hanging="421"/>
      </w:pPr>
      <w:rPr>
        <w:rFonts w:hint="default"/>
      </w:rPr>
    </w:lvl>
    <w:lvl w:ilvl="3">
      <w:start w:val="0"/>
      <w:numFmt w:val="bullet"/>
      <w:lvlText w:val="•"/>
      <w:lvlJc w:val="left"/>
      <w:pPr>
        <w:ind w:left="2707" w:hanging="421"/>
      </w:pPr>
      <w:rPr>
        <w:rFonts w:hint="default"/>
      </w:rPr>
    </w:lvl>
    <w:lvl w:ilvl="4">
      <w:start w:val="0"/>
      <w:numFmt w:val="bullet"/>
      <w:lvlText w:val="•"/>
      <w:lvlJc w:val="left"/>
      <w:pPr>
        <w:ind w:left="3436" w:hanging="421"/>
      </w:pPr>
      <w:rPr>
        <w:rFonts w:hint="default"/>
      </w:rPr>
    </w:lvl>
    <w:lvl w:ilvl="5">
      <w:start w:val="0"/>
      <w:numFmt w:val="bullet"/>
      <w:lvlText w:val="•"/>
      <w:lvlJc w:val="left"/>
      <w:pPr>
        <w:ind w:left="4166" w:hanging="421"/>
      </w:pPr>
      <w:rPr>
        <w:rFonts w:hint="default"/>
      </w:rPr>
    </w:lvl>
    <w:lvl w:ilvl="6">
      <w:start w:val="0"/>
      <w:numFmt w:val="bullet"/>
      <w:lvlText w:val="•"/>
      <w:lvlJc w:val="left"/>
      <w:pPr>
        <w:ind w:left="4895" w:hanging="421"/>
      </w:pPr>
      <w:rPr>
        <w:rFonts w:hint="default"/>
      </w:rPr>
    </w:lvl>
    <w:lvl w:ilvl="7">
      <w:start w:val="0"/>
      <w:numFmt w:val="bullet"/>
      <w:lvlText w:val="•"/>
      <w:lvlJc w:val="left"/>
      <w:pPr>
        <w:ind w:left="5624" w:hanging="421"/>
      </w:pPr>
      <w:rPr>
        <w:rFonts w:hint="default"/>
      </w:rPr>
    </w:lvl>
    <w:lvl w:ilvl="8">
      <w:start w:val="0"/>
      <w:numFmt w:val="bullet"/>
      <w:lvlText w:val="•"/>
      <w:lvlJc w:val="left"/>
      <w:pPr>
        <w:ind w:left="6353" w:hanging="421"/>
      </w:pPr>
      <w:rPr>
        <w:rFonts w:hint="default"/>
      </w:rPr>
    </w:lvl>
  </w:abstractNum>
  <w:abstractNum w:abstractNumId="17">
    <w:multiLevelType w:val="hybridMultilevel"/>
    <w:lvl w:ilvl="0">
      <w:start w:val="1"/>
      <w:numFmt w:val="decimal"/>
      <w:lvlText w:val="(%1)"/>
      <w:lvlJc w:val="left"/>
      <w:pPr>
        <w:ind w:left="525" w:hanging="421"/>
        <w:jc w:val="left"/>
      </w:pPr>
      <w:rPr>
        <w:rFonts w:hint="default" w:ascii="仿宋" w:hAnsi="仿宋" w:eastAsia="仿宋" w:cs="仿宋"/>
        <w:w w:val="100"/>
        <w:sz w:val="21"/>
        <w:szCs w:val="21"/>
      </w:rPr>
    </w:lvl>
    <w:lvl w:ilvl="1">
      <w:start w:val="0"/>
      <w:numFmt w:val="bullet"/>
      <w:lvlText w:val="•"/>
      <w:lvlJc w:val="left"/>
      <w:pPr>
        <w:ind w:left="1249" w:hanging="421"/>
      </w:pPr>
      <w:rPr>
        <w:rFonts w:hint="default"/>
      </w:rPr>
    </w:lvl>
    <w:lvl w:ilvl="2">
      <w:start w:val="0"/>
      <w:numFmt w:val="bullet"/>
      <w:lvlText w:val="•"/>
      <w:lvlJc w:val="left"/>
      <w:pPr>
        <w:ind w:left="1978" w:hanging="421"/>
      </w:pPr>
      <w:rPr>
        <w:rFonts w:hint="default"/>
      </w:rPr>
    </w:lvl>
    <w:lvl w:ilvl="3">
      <w:start w:val="0"/>
      <w:numFmt w:val="bullet"/>
      <w:lvlText w:val="•"/>
      <w:lvlJc w:val="left"/>
      <w:pPr>
        <w:ind w:left="2707" w:hanging="421"/>
      </w:pPr>
      <w:rPr>
        <w:rFonts w:hint="default"/>
      </w:rPr>
    </w:lvl>
    <w:lvl w:ilvl="4">
      <w:start w:val="0"/>
      <w:numFmt w:val="bullet"/>
      <w:lvlText w:val="•"/>
      <w:lvlJc w:val="left"/>
      <w:pPr>
        <w:ind w:left="3436" w:hanging="421"/>
      </w:pPr>
      <w:rPr>
        <w:rFonts w:hint="default"/>
      </w:rPr>
    </w:lvl>
    <w:lvl w:ilvl="5">
      <w:start w:val="0"/>
      <w:numFmt w:val="bullet"/>
      <w:lvlText w:val="•"/>
      <w:lvlJc w:val="left"/>
      <w:pPr>
        <w:ind w:left="4166" w:hanging="421"/>
      </w:pPr>
      <w:rPr>
        <w:rFonts w:hint="default"/>
      </w:rPr>
    </w:lvl>
    <w:lvl w:ilvl="6">
      <w:start w:val="0"/>
      <w:numFmt w:val="bullet"/>
      <w:lvlText w:val="•"/>
      <w:lvlJc w:val="left"/>
      <w:pPr>
        <w:ind w:left="4895" w:hanging="421"/>
      </w:pPr>
      <w:rPr>
        <w:rFonts w:hint="default"/>
      </w:rPr>
    </w:lvl>
    <w:lvl w:ilvl="7">
      <w:start w:val="0"/>
      <w:numFmt w:val="bullet"/>
      <w:lvlText w:val="•"/>
      <w:lvlJc w:val="left"/>
      <w:pPr>
        <w:ind w:left="5624" w:hanging="421"/>
      </w:pPr>
      <w:rPr>
        <w:rFonts w:hint="default"/>
      </w:rPr>
    </w:lvl>
    <w:lvl w:ilvl="8">
      <w:start w:val="0"/>
      <w:numFmt w:val="bullet"/>
      <w:lvlText w:val="•"/>
      <w:lvlJc w:val="left"/>
      <w:pPr>
        <w:ind w:left="6353" w:hanging="421"/>
      </w:pPr>
      <w:rPr>
        <w:rFonts w:hint="default"/>
      </w:rPr>
    </w:lvl>
  </w:abstractNum>
  <w:abstractNum w:abstractNumId="16">
    <w:multiLevelType w:val="hybridMultilevel"/>
    <w:lvl w:ilvl="0">
      <w:start w:val="1"/>
      <w:numFmt w:val="decimal"/>
      <w:lvlText w:val="(%1)"/>
      <w:lvlJc w:val="left"/>
      <w:pPr>
        <w:ind w:left="612" w:hanging="421"/>
        <w:jc w:val="left"/>
      </w:pPr>
      <w:rPr>
        <w:rFonts w:hint="default" w:ascii="仿宋" w:hAnsi="仿宋" w:eastAsia="仿宋" w:cs="仿宋"/>
        <w:w w:val="100"/>
        <w:sz w:val="21"/>
        <w:szCs w:val="21"/>
      </w:rPr>
    </w:lvl>
    <w:lvl w:ilvl="1">
      <w:start w:val="0"/>
      <w:numFmt w:val="bullet"/>
      <w:lvlText w:val="•"/>
      <w:lvlJc w:val="left"/>
      <w:pPr>
        <w:ind w:left="1339" w:hanging="421"/>
      </w:pPr>
      <w:rPr>
        <w:rFonts w:hint="default"/>
      </w:rPr>
    </w:lvl>
    <w:lvl w:ilvl="2">
      <w:start w:val="0"/>
      <w:numFmt w:val="bullet"/>
      <w:lvlText w:val="•"/>
      <w:lvlJc w:val="left"/>
      <w:pPr>
        <w:ind w:left="2058" w:hanging="421"/>
      </w:pPr>
      <w:rPr>
        <w:rFonts w:hint="default"/>
      </w:rPr>
    </w:lvl>
    <w:lvl w:ilvl="3">
      <w:start w:val="0"/>
      <w:numFmt w:val="bullet"/>
      <w:lvlText w:val="•"/>
      <w:lvlJc w:val="left"/>
      <w:pPr>
        <w:ind w:left="2777" w:hanging="421"/>
      </w:pPr>
      <w:rPr>
        <w:rFonts w:hint="default"/>
      </w:rPr>
    </w:lvl>
    <w:lvl w:ilvl="4">
      <w:start w:val="0"/>
      <w:numFmt w:val="bullet"/>
      <w:lvlText w:val="•"/>
      <w:lvlJc w:val="left"/>
      <w:pPr>
        <w:ind w:left="3496" w:hanging="421"/>
      </w:pPr>
      <w:rPr>
        <w:rFonts w:hint="default"/>
      </w:rPr>
    </w:lvl>
    <w:lvl w:ilvl="5">
      <w:start w:val="0"/>
      <w:numFmt w:val="bullet"/>
      <w:lvlText w:val="•"/>
      <w:lvlJc w:val="left"/>
      <w:pPr>
        <w:ind w:left="4216" w:hanging="421"/>
      </w:pPr>
      <w:rPr>
        <w:rFonts w:hint="default"/>
      </w:rPr>
    </w:lvl>
    <w:lvl w:ilvl="6">
      <w:start w:val="0"/>
      <w:numFmt w:val="bullet"/>
      <w:lvlText w:val="•"/>
      <w:lvlJc w:val="left"/>
      <w:pPr>
        <w:ind w:left="4935" w:hanging="421"/>
      </w:pPr>
      <w:rPr>
        <w:rFonts w:hint="default"/>
      </w:rPr>
    </w:lvl>
    <w:lvl w:ilvl="7">
      <w:start w:val="0"/>
      <w:numFmt w:val="bullet"/>
      <w:lvlText w:val="•"/>
      <w:lvlJc w:val="left"/>
      <w:pPr>
        <w:ind w:left="5654" w:hanging="421"/>
      </w:pPr>
      <w:rPr>
        <w:rFonts w:hint="default"/>
      </w:rPr>
    </w:lvl>
    <w:lvl w:ilvl="8">
      <w:start w:val="0"/>
      <w:numFmt w:val="bullet"/>
      <w:lvlText w:val="•"/>
      <w:lvlJc w:val="left"/>
      <w:pPr>
        <w:ind w:left="6373" w:hanging="421"/>
      </w:pPr>
      <w:rPr>
        <w:rFonts w:hint="default"/>
      </w:rPr>
    </w:lvl>
  </w:abstractNum>
  <w:abstractNum w:abstractNumId="15">
    <w:multiLevelType w:val="hybridMultilevel"/>
    <w:lvl w:ilvl="0">
      <w:start w:val="1"/>
      <w:numFmt w:val="decimal"/>
      <w:lvlText w:val="(%1)"/>
      <w:lvlJc w:val="left"/>
      <w:pPr>
        <w:ind w:left="525" w:hanging="421"/>
        <w:jc w:val="left"/>
      </w:pPr>
      <w:rPr>
        <w:rFonts w:hint="default" w:ascii="仿宋" w:hAnsi="仿宋" w:eastAsia="仿宋" w:cs="仿宋"/>
        <w:w w:val="100"/>
        <w:sz w:val="21"/>
        <w:szCs w:val="21"/>
      </w:rPr>
    </w:lvl>
    <w:lvl w:ilvl="1">
      <w:start w:val="0"/>
      <w:numFmt w:val="bullet"/>
      <w:lvlText w:val="•"/>
      <w:lvlJc w:val="left"/>
      <w:pPr>
        <w:ind w:left="1249" w:hanging="421"/>
      </w:pPr>
      <w:rPr>
        <w:rFonts w:hint="default"/>
      </w:rPr>
    </w:lvl>
    <w:lvl w:ilvl="2">
      <w:start w:val="0"/>
      <w:numFmt w:val="bullet"/>
      <w:lvlText w:val="•"/>
      <w:lvlJc w:val="left"/>
      <w:pPr>
        <w:ind w:left="1978" w:hanging="421"/>
      </w:pPr>
      <w:rPr>
        <w:rFonts w:hint="default"/>
      </w:rPr>
    </w:lvl>
    <w:lvl w:ilvl="3">
      <w:start w:val="0"/>
      <w:numFmt w:val="bullet"/>
      <w:lvlText w:val="•"/>
      <w:lvlJc w:val="left"/>
      <w:pPr>
        <w:ind w:left="2707" w:hanging="421"/>
      </w:pPr>
      <w:rPr>
        <w:rFonts w:hint="default"/>
      </w:rPr>
    </w:lvl>
    <w:lvl w:ilvl="4">
      <w:start w:val="0"/>
      <w:numFmt w:val="bullet"/>
      <w:lvlText w:val="•"/>
      <w:lvlJc w:val="left"/>
      <w:pPr>
        <w:ind w:left="3436" w:hanging="421"/>
      </w:pPr>
      <w:rPr>
        <w:rFonts w:hint="default"/>
      </w:rPr>
    </w:lvl>
    <w:lvl w:ilvl="5">
      <w:start w:val="0"/>
      <w:numFmt w:val="bullet"/>
      <w:lvlText w:val="•"/>
      <w:lvlJc w:val="left"/>
      <w:pPr>
        <w:ind w:left="4166" w:hanging="421"/>
      </w:pPr>
      <w:rPr>
        <w:rFonts w:hint="default"/>
      </w:rPr>
    </w:lvl>
    <w:lvl w:ilvl="6">
      <w:start w:val="0"/>
      <w:numFmt w:val="bullet"/>
      <w:lvlText w:val="•"/>
      <w:lvlJc w:val="left"/>
      <w:pPr>
        <w:ind w:left="4895" w:hanging="421"/>
      </w:pPr>
      <w:rPr>
        <w:rFonts w:hint="default"/>
      </w:rPr>
    </w:lvl>
    <w:lvl w:ilvl="7">
      <w:start w:val="0"/>
      <w:numFmt w:val="bullet"/>
      <w:lvlText w:val="•"/>
      <w:lvlJc w:val="left"/>
      <w:pPr>
        <w:ind w:left="5624" w:hanging="421"/>
      </w:pPr>
      <w:rPr>
        <w:rFonts w:hint="default"/>
      </w:rPr>
    </w:lvl>
    <w:lvl w:ilvl="8">
      <w:start w:val="0"/>
      <w:numFmt w:val="bullet"/>
      <w:lvlText w:val="•"/>
      <w:lvlJc w:val="left"/>
      <w:pPr>
        <w:ind w:left="6353" w:hanging="421"/>
      </w:pPr>
      <w:rPr>
        <w:rFonts w:hint="default"/>
      </w:rPr>
    </w:lvl>
  </w:abstractNum>
  <w:abstractNum w:abstractNumId="14">
    <w:multiLevelType w:val="hybridMultilevel"/>
    <w:lvl w:ilvl="0">
      <w:start w:val="2"/>
      <w:numFmt w:val="decimal"/>
      <w:lvlText w:val="(%1)"/>
      <w:lvlJc w:val="left"/>
      <w:pPr>
        <w:ind w:left="525" w:hanging="421"/>
        <w:jc w:val="left"/>
      </w:pPr>
      <w:rPr>
        <w:rFonts w:hint="default" w:ascii="黑体" w:hAnsi="黑体" w:eastAsia="黑体" w:cs="黑体"/>
        <w:w w:val="100"/>
        <w:sz w:val="21"/>
        <w:szCs w:val="21"/>
      </w:rPr>
    </w:lvl>
    <w:lvl w:ilvl="1">
      <w:start w:val="0"/>
      <w:numFmt w:val="bullet"/>
      <w:lvlText w:val="•"/>
      <w:lvlJc w:val="left"/>
      <w:pPr>
        <w:ind w:left="1249" w:hanging="421"/>
      </w:pPr>
      <w:rPr>
        <w:rFonts w:hint="default"/>
      </w:rPr>
    </w:lvl>
    <w:lvl w:ilvl="2">
      <w:start w:val="0"/>
      <w:numFmt w:val="bullet"/>
      <w:lvlText w:val="•"/>
      <w:lvlJc w:val="left"/>
      <w:pPr>
        <w:ind w:left="1978" w:hanging="421"/>
      </w:pPr>
      <w:rPr>
        <w:rFonts w:hint="default"/>
      </w:rPr>
    </w:lvl>
    <w:lvl w:ilvl="3">
      <w:start w:val="0"/>
      <w:numFmt w:val="bullet"/>
      <w:lvlText w:val="•"/>
      <w:lvlJc w:val="left"/>
      <w:pPr>
        <w:ind w:left="2707" w:hanging="421"/>
      </w:pPr>
      <w:rPr>
        <w:rFonts w:hint="default"/>
      </w:rPr>
    </w:lvl>
    <w:lvl w:ilvl="4">
      <w:start w:val="0"/>
      <w:numFmt w:val="bullet"/>
      <w:lvlText w:val="•"/>
      <w:lvlJc w:val="left"/>
      <w:pPr>
        <w:ind w:left="3436" w:hanging="421"/>
      </w:pPr>
      <w:rPr>
        <w:rFonts w:hint="default"/>
      </w:rPr>
    </w:lvl>
    <w:lvl w:ilvl="5">
      <w:start w:val="0"/>
      <w:numFmt w:val="bullet"/>
      <w:lvlText w:val="•"/>
      <w:lvlJc w:val="left"/>
      <w:pPr>
        <w:ind w:left="4166" w:hanging="421"/>
      </w:pPr>
      <w:rPr>
        <w:rFonts w:hint="default"/>
      </w:rPr>
    </w:lvl>
    <w:lvl w:ilvl="6">
      <w:start w:val="0"/>
      <w:numFmt w:val="bullet"/>
      <w:lvlText w:val="•"/>
      <w:lvlJc w:val="left"/>
      <w:pPr>
        <w:ind w:left="4895" w:hanging="421"/>
      </w:pPr>
      <w:rPr>
        <w:rFonts w:hint="default"/>
      </w:rPr>
    </w:lvl>
    <w:lvl w:ilvl="7">
      <w:start w:val="0"/>
      <w:numFmt w:val="bullet"/>
      <w:lvlText w:val="•"/>
      <w:lvlJc w:val="left"/>
      <w:pPr>
        <w:ind w:left="5624" w:hanging="421"/>
      </w:pPr>
      <w:rPr>
        <w:rFonts w:hint="default"/>
      </w:rPr>
    </w:lvl>
    <w:lvl w:ilvl="8">
      <w:start w:val="0"/>
      <w:numFmt w:val="bullet"/>
      <w:lvlText w:val="•"/>
      <w:lvlJc w:val="left"/>
      <w:pPr>
        <w:ind w:left="6353" w:hanging="421"/>
      </w:pPr>
      <w:rPr>
        <w:rFonts w:hint="default"/>
      </w:rPr>
    </w:lvl>
  </w:abstractNum>
  <w:abstractNum w:abstractNumId="13">
    <w:multiLevelType w:val="hybridMultilevel"/>
    <w:lvl w:ilvl="0">
      <w:start w:val="1"/>
      <w:numFmt w:val="decimal"/>
      <w:lvlText w:val="（%1）"/>
      <w:lvlJc w:val="left"/>
      <w:pPr>
        <w:ind w:left="820" w:hanging="625"/>
        <w:jc w:val="left"/>
      </w:pPr>
      <w:rPr>
        <w:rFonts w:hint="default" w:ascii="仿宋" w:hAnsi="仿宋" w:eastAsia="仿宋" w:cs="仿宋"/>
        <w:w w:val="100"/>
        <w:sz w:val="21"/>
        <w:szCs w:val="21"/>
      </w:rPr>
    </w:lvl>
    <w:lvl w:ilvl="1">
      <w:start w:val="0"/>
      <w:numFmt w:val="bullet"/>
      <w:lvlText w:val="•"/>
      <w:lvlJc w:val="left"/>
      <w:pPr>
        <w:ind w:left="1508" w:hanging="625"/>
      </w:pPr>
      <w:rPr>
        <w:rFonts w:hint="default"/>
      </w:rPr>
    </w:lvl>
    <w:lvl w:ilvl="2">
      <w:start w:val="0"/>
      <w:numFmt w:val="bullet"/>
      <w:lvlText w:val="•"/>
      <w:lvlJc w:val="left"/>
      <w:pPr>
        <w:ind w:left="2196" w:hanging="625"/>
      </w:pPr>
      <w:rPr>
        <w:rFonts w:hint="default"/>
      </w:rPr>
    </w:lvl>
    <w:lvl w:ilvl="3">
      <w:start w:val="0"/>
      <w:numFmt w:val="bullet"/>
      <w:lvlText w:val="•"/>
      <w:lvlJc w:val="left"/>
      <w:pPr>
        <w:ind w:left="2884" w:hanging="625"/>
      </w:pPr>
      <w:rPr>
        <w:rFonts w:hint="default"/>
      </w:rPr>
    </w:lvl>
    <w:lvl w:ilvl="4">
      <w:start w:val="0"/>
      <w:numFmt w:val="bullet"/>
      <w:lvlText w:val="•"/>
      <w:lvlJc w:val="left"/>
      <w:pPr>
        <w:ind w:left="3572" w:hanging="625"/>
      </w:pPr>
      <w:rPr>
        <w:rFonts w:hint="default"/>
      </w:rPr>
    </w:lvl>
    <w:lvl w:ilvl="5">
      <w:start w:val="0"/>
      <w:numFmt w:val="bullet"/>
      <w:lvlText w:val="•"/>
      <w:lvlJc w:val="left"/>
      <w:pPr>
        <w:ind w:left="4260" w:hanging="625"/>
      </w:pPr>
      <w:rPr>
        <w:rFonts w:hint="default"/>
      </w:rPr>
    </w:lvl>
    <w:lvl w:ilvl="6">
      <w:start w:val="0"/>
      <w:numFmt w:val="bullet"/>
      <w:lvlText w:val="•"/>
      <w:lvlJc w:val="left"/>
      <w:pPr>
        <w:ind w:left="4948" w:hanging="625"/>
      </w:pPr>
      <w:rPr>
        <w:rFonts w:hint="default"/>
      </w:rPr>
    </w:lvl>
    <w:lvl w:ilvl="7">
      <w:start w:val="0"/>
      <w:numFmt w:val="bullet"/>
      <w:lvlText w:val="•"/>
      <w:lvlJc w:val="left"/>
      <w:pPr>
        <w:ind w:left="5636" w:hanging="625"/>
      </w:pPr>
      <w:rPr>
        <w:rFonts w:hint="default"/>
      </w:rPr>
    </w:lvl>
    <w:lvl w:ilvl="8">
      <w:start w:val="0"/>
      <w:numFmt w:val="bullet"/>
      <w:lvlText w:val="•"/>
      <w:lvlJc w:val="left"/>
      <w:pPr>
        <w:ind w:left="6324" w:hanging="625"/>
      </w:pPr>
      <w:rPr>
        <w:rFonts w:hint="default"/>
      </w:rPr>
    </w:lvl>
  </w:abstractNum>
  <w:abstractNum w:abstractNumId="12">
    <w:multiLevelType w:val="hybridMultilevel"/>
    <w:lvl w:ilvl="0">
      <w:start w:val="2"/>
      <w:numFmt w:val="decimal"/>
      <w:lvlText w:val="（%1）"/>
      <w:lvlJc w:val="left"/>
      <w:pPr>
        <w:ind w:left="820" w:hanging="625"/>
        <w:jc w:val="left"/>
      </w:pPr>
      <w:rPr>
        <w:rFonts w:hint="default"/>
        <w:w w:val="100"/>
      </w:rPr>
    </w:lvl>
    <w:lvl w:ilvl="1">
      <w:start w:val="0"/>
      <w:numFmt w:val="bullet"/>
      <w:lvlText w:val="•"/>
      <w:lvlJc w:val="left"/>
      <w:pPr>
        <w:ind w:left="1508" w:hanging="625"/>
      </w:pPr>
      <w:rPr>
        <w:rFonts w:hint="default"/>
      </w:rPr>
    </w:lvl>
    <w:lvl w:ilvl="2">
      <w:start w:val="0"/>
      <w:numFmt w:val="bullet"/>
      <w:lvlText w:val="•"/>
      <w:lvlJc w:val="left"/>
      <w:pPr>
        <w:ind w:left="2196" w:hanging="625"/>
      </w:pPr>
      <w:rPr>
        <w:rFonts w:hint="default"/>
      </w:rPr>
    </w:lvl>
    <w:lvl w:ilvl="3">
      <w:start w:val="0"/>
      <w:numFmt w:val="bullet"/>
      <w:lvlText w:val="•"/>
      <w:lvlJc w:val="left"/>
      <w:pPr>
        <w:ind w:left="2884" w:hanging="625"/>
      </w:pPr>
      <w:rPr>
        <w:rFonts w:hint="default"/>
      </w:rPr>
    </w:lvl>
    <w:lvl w:ilvl="4">
      <w:start w:val="0"/>
      <w:numFmt w:val="bullet"/>
      <w:lvlText w:val="•"/>
      <w:lvlJc w:val="left"/>
      <w:pPr>
        <w:ind w:left="3572" w:hanging="625"/>
      </w:pPr>
      <w:rPr>
        <w:rFonts w:hint="default"/>
      </w:rPr>
    </w:lvl>
    <w:lvl w:ilvl="5">
      <w:start w:val="0"/>
      <w:numFmt w:val="bullet"/>
      <w:lvlText w:val="•"/>
      <w:lvlJc w:val="left"/>
      <w:pPr>
        <w:ind w:left="4260" w:hanging="625"/>
      </w:pPr>
      <w:rPr>
        <w:rFonts w:hint="default"/>
      </w:rPr>
    </w:lvl>
    <w:lvl w:ilvl="6">
      <w:start w:val="0"/>
      <w:numFmt w:val="bullet"/>
      <w:lvlText w:val="•"/>
      <w:lvlJc w:val="left"/>
      <w:pPr>
        <w:ind w:left="4948" w:hanging="625"/>
      </w:pPr>
      <w:rPr>
        <w:rFonts w:hint="default"/>
      </w:rPr>
    </w:lvl>
    <w:lvl w:ilvl="7">
      <w:start w:val="0"/>
      <w:numFmt w:val="bullet"/>
      <w:lvlText w:val="•"/>
      <w:lvlJc w:val="left"/>
      <w:pPr>
        <w:ind w:left="5636" w:hanging="625"/>
      </w:pPr>
      <w:rPr>
        <w:rFonts w:hint="default"/>
      </w:rPr>
    </w:lvl>
    <w:lvl w:ilvl="8">
      <w:start w:val="0"/>
      <w:numFmt w:val="bullet"/>
      <w:lvlText w:val="•"/>
      <w:lvlJc w:val="left"/>
      <w:pPr>
        <w:ind w:left="6324" w:hanging="625"/>
      </w:pPr>
      <w:rPr>
        <w:rFonts w:hint="default"/>
      </w:rPr>
    </w:lvl>
  </w:abstractNum>
  <w:abstractNum w:abstractNumId="11">
    <w:multiLevelType w:val="hybridMultilevel"/>
    <w:lvl w:ilvl="0">
      <w:start w:val="1"/>
      <w:numFmt w:val="decimal"/>
      <w:lvlText w:val="（%1）"/>
      <w:lvlJc w:val="left"/>
      <w:pPr>
        <w:ind w:left="771" w:hanging="577"/>
        <w:jc w:val="left"/>
      </w:pPr>
      <w:rPr>
        <w:rFonts w:hint="default" w:ascii="仿宋" w:hAnsi="仿宋" w:eastAsia="仿宋" w:cs="仿宋"/>
        <w:w w:val="100"/>
        <w:sz w:val="21"/>
        <w:szCs w:val="21"/>
      </w:rPr>
    </w:lvl>
    <w:lvl w:ilvl="1">
      <w:start w:val="0"/>
      <w:numFmt w:val="bullet"/>
      <w:lvlText w:val="•"/>
      <w:lvlJc w:val="left"/>
      <w:pPr>
        <w:ind w:left="1471" w:hanging="577"/>
      </w:pPr>
      <w:rPr>
        <w:rFonts w:hint="default"/>
      </w:rPr>
    </w:lvl>
    <w:lvl w:ilvl="2">
      <w:start w:val="0"/>
      <w:numFmt w:val="bullet"/>
      <w:lvlText w:val="•"/>
      <w:lvlJc w:val="left"/>
      <w:pPr>
        <w:ind w:left="2163" w:hanging="577"/>
      </w:pPr>
      <w:rPr>
        <w:rFonts w:hint="default"/>
      </w:rPr>
    </w:lvl>
    <w:lvl w:ilvl="3">
      <w:start w:val="0"/>
      <w:numFmt w:val="bullet"/>
      <w:lvlText w:val="•"/>
      <w:lvlJc w:val="left"/>
      <w:pPr>
        <w:ind w:left="2854" w:hanging="577"/>
      </w:pPr>
      <w:rPr>
        <w:rFonts w:hint="default"/>
      </w:rPr>
    </w:lvl>
    <w:lvl w:ilvl="4">
      <w:start w:val="0"/>
      <w:numFmt w:val="bullet"/>
      <w:lvlText w:val="•"/>
      <w:lvlJc w:val="left"/>
      <w:pPr>
        <w:ind w:left="3546" w:hanging="577"/>
      </w:pPr>
      <w:rPr>
        <w:rFonts w:hint="default"/>
      </w:rPr>
    </w:lvl>
    <w:lvl w:ilvl="5">
      <w:start w:val="0"/>
      <w:numFmt w:val="bullet"/>
      <w:lvlText w:val="•"/>
      <w:lvlJc w:val="left"/>
      <w:pPr>
        <w:ind w:left="4238" w:hanging="577"/>
      </w:pPr>
      <w:rPr>
        <w:rFonts w:hint="default"/>
      </w:rPr>
    </w:lvl>
    <w:lvl w:ilvl="6">
      <w:start w:val="0"/>
      <w:numFmt w:val="bullet"/>
      <w:lvlText w:val="•"/>
      <w:lvlJc w:val="left"/>
      <w:pPr>
        <w:ind w:left="4929" w:hanging="577"/>
      </w:pPr>
      <w:rPr>
        <w:rFonts w:hint="default"/>
      </w:rPr>
    </w:lvl>
    <w:lvl w:ilvl="7">
      <w:start w:val="0"/>
      <w:numFmt w:val="bullet"/>
      <w:lvlText w:val="•"/>
      <w:lvlJc w:val="left"/>
      <w:pPr>
        <w:ind w:left="5621" w:hanging="577"/>
      </w:pPr>
      <w:rPr>
        <w:rFonts w:hint="default"/>
      </w:rPr>
    </w:lvl>
    <w:lvl w:ilvl="8">
      <w:start w:val="0"/>
      <w:numFmt w:val="bullet"/>
      <w:lvlText w:val="•"/>
      <w:lvlJc w:val="left"/>
      <w:pPr>
        <w:ind w:left="6312" w:hanging="577"/>
      </w:pPr>
      <w:rPr>
        <w:rFonts w:hint="default"/>
      </w:rPr>
    </w:lvl>
  </w:abstractNum>
  <w:abstractNum w:abstractNumId="10">
    <w:multiLevelType w:val="hybridMultilevel"/>
    <w:lvl w:ilvl="0">
      <w:start w:val="1"/>
      <w:numFmt w:val="decimal"/>
      <w:lvlText w:val="（%1）"/>
      <w:lvlJc w:val="left"/>
      <w:pPr>
        <w:ind w:left="761" w:hanging="567"/>
        <w:jc w:val="left"/>
      </w:pPr>
      <w:rPr>
        <w:rFonts w:hint="default" w:ascii="仿宋" w:hAnsi="仿宋" w:eastAsia="仿宋" w:cs="仿宋"/>
        <w:w w:val="100"/>
        <w:sz w:val="21"/>
        <w:szCs w:val="21"/>
      </w:rPr>
    </w:lvl>
    <w:lvl w:ilvl="1">
      <w:start w:val="0"/>
      <w:numFmt w:val="bullet"/>
      <w:lvlText w:val="•"/>
      <w:lvlJc w:val="left"/>
      <w:pPr>
        <w:ind w:left="1453" w:hanging="567"/>
      </w:pPr>
      <w:rPr>
        <w:rFonts w:hint="default"/>
      </w:rPr>
    </w:lvl>
    <w:lvl w:ilvl="2">
      <w:start w:val="0"/>
      <w:numFmt w:val="bullet"/>
      <w:lvlText w:val="•"/>
      <w:lvlJc w:val="left"/>
      <w:pPr>
        <w:ind w:left="2147" w:hanging="567"/>
      </w:pPr>
      <w:rPr>
        <w:rFonts w:hint="default"/>
      </w:rPr>
    </w:lvl>
    <w:lvl w:ilvl="3">
      <w:start w:val="0"/>
      <w:numFmt w:val="bullet"/>
      <w:lvlText w:val="•"/>
      <w:lvlJc w:val="left"/>
      <w:pPr>
        <w:ind w:left="2840" w:hanging="567"/>
      </w:pPr>
      <w:rPr>
        <w:rFonts w:hint="default"/>
      </w:rPr>
    </w:lvl>
    <w:lvl w:ilvl="4">
      <w:start w:val="0"/>
      <w:numFmt w:val="bullet"/>
      <w:lvlText w:val="•"/>
      <w:lvlJc w:val="left"/>
      <w:pPr>
        <w:ind w:left="3534" w:hanging="567"/>
      </w:pPr>
      <w:rPr>
        <w:rFonts w:hint="default"/>
      </w:rPr>
    </w:lvl>
    <w:lvl w:ilvl="5">
      <w:start w:val="0"/>
      <w:numFmt w:val="bullet"/>
      <w:lvlText w:val="•"/>
      <w:lvlJc w:val="left"/>
      <w:pPr>
        <w:ind w:left="4228" w:hanging="567"/>
      </w:pPr>
      <w:rPr>
        <w:rFonts w:hint="default"/>
      </w:rPr>
    </w:lvl>
    <w:lvl w:ilvl="6">
      <w:start w:val="0"/>
      <w:numFmt w:val="bullet"/>
      <w:lvlText w:val="•"/>
      <w:lvlJc w:val="left"/>
      <w:pPr>
        <w:ind w:left="4921" w:hanging="567"/>
      </w:pPr>
      <w:rPr>
        <w:rFonts w:hint="default"/>
      </w:rPr>
    </w:lvl>
    <w:lvl w:ilvl="7">
      <w:start w:val="0"/>
      <w:numFmt w:val="bullet"/>
      <w:lvlText w:val="•"/>
      <w:lvlJc w:val="left"/>
      <w:pPr>
        <w:ind w:left="5615" w:hanging="567"/>
      </w:pPr>
      <w:rPr>
        <w:rFonts w:hint="default"/>
      </w:rPr>
    </w:lvl>
    <w:lvl w:ilvl="8">
      <w:start w:val="0"/>
      <w:numFmt w:val="bullet"/>
      <w:lvlText w:val="•"/>
      <w:lvlJc w:val="left"/>
      <w:pPr>
        <w:ind w:left="6308" w:hanging="567"/>
      </w:pPr>
      <w:rPr>
        <w:rFonts w:hint="default"/>
      </w:rPr>
    </w:lvl>
  </w:abstractNum>
  <w:abstractNum w:abstractNumId="9">
    <w:multiLevelType w:val="hybridMultilevel"/>
    <w:lvl w:ilvl="0">
      <w:start w:val="1"/>
      <w:numFmt w:val="decimal"/>
      <w:lvlText w:val="（%1）"/>
      <w:lvlJc w:val="left"/>
      <w:pPr>
        <w:ind w:left="699" w:hanging="632"/>
        <w:jc w:val="left"/>
      </w:pPr>
      <w:rPr>
        <w:rFonts w:hint="default" w:ascii="仿宋" w:hAnsi="仿宋" w:eastAsia="仿宋" w:cs="仿宋"/>
        <w:w w:val="100"/>
        <w:sz w:val="21"/>
        <w:szCs w:val="21"/>
      </w:rPr>
    </w:lvl>
    <w:lvl w:ilvl="1">
      <w:start w:val="0"/>
      <w:numFmt w:val="bullet"/>
      <w:lvlText w:val="•"/>
      <w:lvlJc w:val="left"/>
      <w:pPr>
        <w:ind w:left="1389" w:hanging="632"/>
      </w:pPr>
      <w:rPr>
        <w:rFonts w:hint="default"/>
      </w:rPr>
    </w:lvl>
    <w:lvl w:ilvl="2">
      <w:start w:val="0"/>
      <w:numFmt w:val="bullet"/>
      <w:lvlText w:val="•"/>
      <w:lvlJc w:val="left"/>
      <w:pPr>
        <w:ind w:left="2078" w:hanging="632"/>
      </w:pPr>
      <w:rPr>
        <w:rFonts w:hint="default"/>
      </w:rPr>
    </w:lvl>
    <w:lvl w:ilvl="3">
      <w:start w:val="0"/>
      <w:numFmt w:val="bullet"/>
      <w:lvlText w:val="•"/>
      <w:lvlJc w:val="left"/>
      <w:pPr>
        <w:ind w:left="2767" w:hanging="632"/>
      </w:pPr>
      <w:rPr>
        <w:rFonts w:hint="default"/>
      </w:rPr>
    </w:lvl>
    <w:lvl w:ilvl="4">
      <w:start w:val="0"/>
      <w:numFmt w:val="bullet"/>
      <w:lvlText w:val="•"/>
      <w:lvlJc w:val="left"/>
      <w:pPr>
        <w:ind w:left="3456" w:hanging="632"/>
      </w:pPr>
      <w:rPr>
        <w:rFonts w:hint="default"/>
      </w:rPr>
    </w:lvl>
    <w:lvl w:ilvl="5">
      <w:start w:val="0"/>
      <w:numFmt w:val="bullet"/>
      <w:lvlText w:val="•"/>
      <w:lvlJc w:val="left"/>
      <w:pPr>
        <w:ind w:left="4146" w:hanging="632"/>
      </w:pPr>
      <w:rPr>
        <w:rFonts w:hint="default"/>
      </w:rPr>
    </w:lvl>
    <w:lvl w:ilvl="6">
      <w:start w:val="0"/>
      <w:numFmt w:val="bullet"/>
      <w:lvlText w:val="•"/>
      <w:lvlJc w:val="left"/>
      <w:pPr>
        <w:ind w:left="4835" w:hanging="632"/>
      </w:pPr>
      <w:rPr>
        <w:rFonts w:hint="default"/>
      </w:rPr>
    </w:lvl>
    <w:lvl w:ilvl="7">
      <w:start w:val="0"/>
      <w:numFmt w:val="bullet"/>
      <w:lvlText w:val="•"/>
      <w:lvlJc w:val="left"/>
      <w:pPr>
        <w:ind w:left="5524" w:hanging="632"/>
      </w:pPr>
      <w:rPr>
        <w:rFonts w:hint="default"/>
      </w:rPr>
    </w:lvl>
    <w:lvl w:ilvl="8">
      <w:start w:val="0"/>
      <w:numFmt w:val="bullet"/>
      <w:lvlText w:val="•"/>
      <w:lvlJc w:val="left"/>
      <w:pPr>
        <w:ind w:left="6213" w:hanging="632"/>
      </w:pPr>
      <w:rPr>
        <w:rFonts w:hint="default"/>
      </w:rPr>
    </w:lvl>
  </w:abstractNum>
  <w:abstractNum w:abstractNumId="8">
    <w:multiLevelType w:val="hybridMultilevel"/>
    <w:lvl w:ilvl="0">
      <w:start w:val="10"/>
      <w:numFmt w:val="decimal"/>
      <w:lvlText w:val="%1"/>
      <w:lvlJc w:val="left"/>
      <w:pPr>
        <w:ind w:left="1323" w:hanging="632"/>
        <w:jc w:val="left"/>
      </w:pPr>
      <w:rPr>
        <w:rFonts w:hint="default"/>
      </w:rPr>
    </w:lvl>
    <w:lvl w:ilvl="1">
      <w:start w:val="8"/>
      <w:numFmt w:val="decimal"/>
      <w:lvlText w:val="%1.%2"/>
      <w:lvlJc w:val="left"/>
      <w:pPr>
        <w:ind w:left="1321" w:hanging="632"/>
        <w:jc w:val="left"/>
      </w:pPr>
      <w:rPr>
        <w:rFonts w:hint="default" w:ascii="仿宋" w:hAnsi="仿宋" w:eastAsia="仿宋" w:cs="仿宋"/>
        <w:w w:val="100"/>
        <w:sz w:val="21"/>
        <w:szCs w:val="21"/>
      </w:rPr>
    </w:lvl>
    <w:lvl w:ilvl="2">
      <w:start w:val="0"/>
      <w:numFmt w:val="bullet"/>
      <w:lvlText w:val="•"/>
      <w:lvlJc w:val="left"/>
      <w:pPr>
        <w:ind w:left="1761" w:hanging="632"/>
      </w:pPr>
      <w:rPr>
        <w:rFonts w:hint="default"/>
      </w:rPr>
    </w:lvl>
    <w:lvl w:ilvl="3">
      <w:start w:val="0"/>
      <w:numFmt w:val="bullet"/>
      <w:lvlText w:val="•"/>
      <w:lvlJc w:val="left"/>
      <w:pPr>
        <w:ind w:left="1981" w:hanging="632"/>
      </w:pPr>
      <w:rPr>
        <w:rFonts w:hint="default"/>
      </w:rPr>
    </w:lvl>
    <w:lvl w:ilvl="4">
      <w:start w:val="0"/>
      <w:numFmt w:val="bullet"/>
      <w:lvlText w:val="•"/>
      <w:lvlJc w:val="left"/>
      <w:pPr>
        <w:ind w:left="2202" w:hanging="632"/>
      </w:pPr>
      <w:rPr>
        <w:rFonts w:hint="default"/>
      </w:rPr>
    </w:lvl>
    <w:lvl w:ilvl="5">
      <w:start w:val="0"/>
      <w:numFmt w:val="bullet"/>
      <w:lvlText w:val="•"/>
      <w:lvlJc w:val="left"/>
      <w:pPr>
        <w:ind w:left="2422" w:hanging="632"/>
      </w:pPr>
      <w:rPr>
        <w:rFonts w:hint="default"/>
      </w:rPr>
    </w:lvl>
    <w:lvl w:ilvl="6">
      <w:start w:val="0"/>
      <w:numFmt w:val="bullet"/>
      <w:lvlText w:val="•"/>
      <w:lvlJc w:val="left"/>
      <w:pPr>
        <w:ind w:left="2643" w:hanging="632"/>
      </w:pPr>
      <w:rPr>
        <w:rFonts w:hint="default"/>
      </w:rPr>
    </w:lvl>
    <w:lvl w:ilvl="7">
      <w:start w:val="0"/>
      <w:numFmt w:val="bullet"/>
      <w:lvlText w:val="•"/>
      <w:lvlJc w:val="left"/>
      <w:pPr>
        <w:ind w:left="2863" w:hanging="632"/>
      </w:pPr>
      <w:rPr>
        <w:rFonts w:hint="default"/>
      </w:rPr>
    </w:lvl>
    <w:lvl w:ilvl="8">
      <w:start w:val="0"/>
      <w:numFmt w:val="bullet"/>
      <w:lvlText w:val="•"/>
      <w:lvlJc w:val="left"/>
      <w:pPr>
        <w:ind w:left="3084" w:hanging="632"/>
      </w:pPr>
      <w:rPr>
        <w:rFonts w:hint="default"/>
      </w:rPr>
    </w:lvl>
  </w:abstractNum>
  <w:abstractNum w:abstractNumId="7">
    <w:multiLevelType w:val="hybridMultilevel"/>
    <w:lvl w:ilvl="0">
      <w:start w:val="10"/>
      <w:numFmt w:val="decimal"/>
      <w:lvlText w:val="%1"/>
      <w:lvlJc w:val="left"/>
      <w:pPr>
        <w:ind w:left="1422" w:hanging="526"/>
        <w:jc w:val="left"/>
      </w:pPr>
      <w:rPr>
        <w:rFonts w:hint="default"/>
      </w:rPr>
    </w:lvl>
    <w:lvl w:ilvl="1">
      <w:start w:val="1"/>
      <w:numFmt w:val="decimal"/>
      <w:lvlText w:val="%1.%2"/>
      <w:lvlJc w:val="left"/>
      <w:pPr>
        <w:ind w:left="1422" w:hanging="526"/>
        <w:jc w:val="left"/>
      </w:pPr>
      <w:rPr>
        <w:rFonts w:hint="default" w:ascii="仿宋" w:hAnsi="仿宋" w:eastAsia="仿宋" w:cs="仿宋"/>
        <w:w w:val="100"/>
        <w:sz w:val="21"/>
        <w:szCs w:val="21"/>
      </w:rPr>
    </w:lvl>
    <w:lvl w:ilvl="2">
      <w:start w:val="0"/>
      <w:numFmt w:val="bullet"/>
      <w:lvlText w:val="•"/>
      <w:lvlJc w:val="left"/>
      <w:pPr>
        <w:ind w:left="1778" w:hanging="526"/>
      </w:pPr>
      <w:rPr>
        <w:rFonts w:hint="default"/>
      </w:rPr>
    </w:lvl>
    <w:lvl w:ilvl="3">
      <w:start w:val="0"/>
      <w:numFmt w:val="bullet"/>
      <w:lvlText w:val="•"/>
      <w:lvlJc w:val="left"/>
      <w:pPr>
        <w:ind w:left="1957" w:hanging="526"/>
      </w:pPr>
      <w:rPr>
        <w:rFonts w:hint="default"/>
      </w:rPr>
    </w:lvl>
    <w:lvl w:ilvl="4">
      <w:start w:val="0"/>
      <w:numFmt w:val="bullet"/>
      <w:lvlText w:val="•"/>
      <w:lvlJc w:val="left"/>
      <w:pPr>
        <w:ind w:left="2136" w:hanging="526"/>
      </w:pPr>
      <w:rPr>
        <w:rFonts w:hint="default"/>
      </w:rPr>
    </w:lvl>
    <w:lvl w:ilvl="5">
      <w:start w:val="0"/>
      <w:numFmt w:val="bullet"/>
      <w:lvlText w:val="•"/>
      <w:lvlJc w:val="left"/>
      <w:pPr>
        <w:ind w:left="2315" w:hanging="526"/>
      </w:pPr>
      <w:rPr>
        <w:rFonts w:hint="default"/>
      </w:rPr>
    </w:lvl>
    <w:lvl w:ilvl="6">
      <w:start w:val="0"/>
      <w:numFmt w:val="bullet"/>
      <w:lvlText w:val="•"/>
      <w:lvlJc w:val="left"/>
      <w:pPr>
        <w:ind w:left="2494" w:hanging="526"/>
      </w:pPr>
      <w:rPr>
        <w:rFonts w:hint="default"/>
      </w:rPr>
    </w:lvl>
    <w:lvl w:ilvl="7">
      <w:start w:val="0"/>
      <w:numFmt w:val="bullet"/>
      <w:lvlText w:val="•"/>
      <w:lvlJc w:val="left"/>
      <w:pPr>
        <w:ind w:left="2673" w:hanging="526"/>
      </w:pPr>
      <w:rPr>
        <w:rFonts w:hint="default"/>
      </w:rPr>
    </w:lvl>
    <w:lvl w:ilvl="8">
      <w:start w:val="0"/>
      <w:numFmt w:val="bullet"/>
      <w:lvlText w:val="•"/>
      <w:lvlJc w:val="left"/>
      <w:pPr>
        <w:ind w:left="2852" w:hanging="526"/>
      </w:pPr>
      <w:rPr>
        <w:rFonts w:hint="default"/>
      </w:rPr>
    </w:lvl>
  </w:abstractNum>
  <w:abstractNum w:abstractNumId="6">
    <w:multiLevelType w:val="hybridMultilevel"/>
    <w:lvl w:ilvl="0">
      <w:start w:val="9"/>
      <w:numFmt w:val="decimal"/>
      <w:lvlText w:val="%1"/>
      <w:lvlJc w:val="left"/>
      <w:pPr>
        <w:ind w:left="1318" w:hanging="423"/>
        <w:jc w:val="left"/>
      </w:pPr>
      <w:rPr>
        <w:rFonts w:hint="default"/>
      </w:rPr>
    </w:lvl>
    <w:lvl w:ilvl="1">
      <w:start w:val="1"/>
      <w:numFmt w:val="decimal"/>
      <w:lvlText w:val="%1.%2"/>
      <w:lvlJc w:val="left"/>
      <w:pPr>
        <w:ind w:left="1318" w:hanging="423"/>
        <w:jc w:val="left"/>
      </w:pPr>
      <w:rPr>
        <w:rFonts w:hint="default" w:ascii="仿宋" w:hAnsi="仿宋" w:eastAsia="仿宋" w:cs="仿宋"/>
        <w:w w:val="100"/>
        <w:sz w:val="21"/>
        <w:szCs w:val="21"/>
      </w:rPr>
    </w:lvl>
    <w:lvl w:ilvl="2">
      <w:start w:val="0"/>
      <w:numFmt w:val="bullet"/>
      <w:lvlText w:val="•"/>
      <w:lvlJc w:val="left"/>
      <w:pPr>
        <w:ind w:left="1698" w:hanging="423"/>
      </w:pPr>
      <w:rPr>
        <w:rFonts w:hint="default"/>
      </w:rPr>
    </w:lvl>
    <w:lvl w:ilvl="3">
      <w:start w:val="0"/>
      <w:numFmt w:val="bullet"/>
      <w:lvlText w:val="•"/>
      <w:lvlJc w:val="left"/>
      <w:pPr>
        <w:ind w:left="1887" w:hanging="423"/>
      </w:pPr>
      <w:rPr>
        <w:rFonts w:hint="default"/>
      </w:rPr>
    </w:lvl>
    <w:lvl w:ilvl="4">
      <w:start w:val="0"/>
      <w:numFmt w:val="bullet"/>
      <w:lvlText w:val="•"/>
      <w:lvlJc w:val="left"/>
      <w:pPr>
        <w:ind w:left="2076" w:hanging="423"/>
      </w:pPr>
      <w:rPr>
        <w:rFonts w:hint="default"/>
      </w:rPr>
    </w:lvl>
    <w:lvl w:ilvl="5">
      <w:start w:val="0"/>
      <w:numFmt w:val="bullet"/>
      <w:lvlText w:val="•"/>
      <w:lvlJc w:val="left"/>
      <w:pPr>
        <w:ind w:left="2265" w:hanging="423"/>
      </w:pPr>
      <w:rPr>
        <w:rFonts w:hint="default"/>
      </w:rPr>
    </w:lvl>
    <w:lvl w:ilvl="6">
      <w:start w:val="0"/>
      <w:numFmt w:val="bullet"/>
      <w:lvlText w:val="•"/>
      <w:lvlJc w:val="left"/>
      <w:pPr>
        <w:ind w:left="2454" w:hanging="423"/>
      </w:pPr>
      <w:rPr>
        <w:rFonts w:hint="default"/>
      </w:rPr>
    </w:lvl>
    <w:lvl w:ilvl="7">
      <w:start w:val="0"/>
      <w:numFmt w:val="bullet"/>
      <w:lvlText w:val="•"/>
      <w:lvlJc w:val="left"/>
      <w:pPr>
        <w:ind w:left="2643" w:hanging="423"/>
      </w:pPr>
      <w:rPr>
        <w:rFonts w:hint="default"/>
      </w:rPr>
    </w:lvl>
    <w:lvl w:ilvl="8">
      <w:start w:val="0"/>
      <w:numFmt w:val="bullet"/>
      <w:lvlText w:val="•"/>
      <w:lvlJc w:val="left"/>
      <w:pPr>
        <w:ind w:left="2832" w:hanging="423"/>
      </w:pPr>
      <w:rPr>
        <w:rFonts w:hint="default"/>
      </w:rPr>
    </w:lvl>
  </w:abstractNum>
  <w:abstractNum w:abstractNumId="5">
    <w:multiLevelType w:val="hybridMultilevel"/>
    <w:lvl w:ilvl="0">
      <w:start w:val="6"/>
      <w:numFmt w:val="decimal"/>
      <w:lvlText w:val="%1"/>
      <w:lvlJc w:val="left"/>
      <w:pPr>
        <w:ind w:left="1318" w:hanging="423"/>
        <w:jc w:val="left"/>
      </w:pPr>
      <w:rPr>
        <w:rFonts w:hint="default"/>
      </w:rPr>
    </w:lvl>
    <w:lvl w:ilvl="1">
      <w:start w:val="1"/>
      <w:numFmt w:val="decimal"/>
      <w:lvlText w:val="%1.%2"/>
      <w:lvlJc w:val="left"/>
      <w:pPr>
        <w:ind w:left="1318" w:hanging="423"/>
        <w:jc w:val="left"/>
      </w:pPr>
      <w:rPr>
        <w:rFonts w:hint="default" w:ascii="仿宋" w:hAnsi="仿宋" w:eastAsia="仿宋" w:cs="仿宋"/>
        <w:w w:val="100"/>
        <w:sz w:val="21"/>
        <w:szCs w:val="21"/>
      </w:rPr>
    </w:lvl>
    <w:lvl w:ilvl="2">
      <w:start w:val="0"/>
      <w:numFmt w:val="bullet"/>
      <w:lvlText w:val="•"/>
      <w:lvlJc w:val="left"/>
      <w:pPr>
        <w:ind w:left="1698" w:hanging="423"/>
      </w:pPr>
      <w:rPr>
        <w:rFonts w:hint="default"/>
      </w:rPr>
    </w:lvl>
    <w:lvl w:ilvl="3">
      <w:start w:val="0"/>
      <w:numFmt w:val="bullet"/>
      <w:lvlText w:val="•"/>
      <w:lvlJc w:val="left"/>
      <w:pPr>
        <w:ind w:left="1887" w:hanging="423"/>
      </w:pPr>
      <w:rPr>
        <w:rFonts w:hint="default"/>
      </w:rPr>
    </w:lvl>
    <w:lvl w:ilvl="4">
      <w:start w:val="0"/>
      <w:numFmt w:val="bullet"/>
      <w:lvlText w:val="•"/>
      <w:lvlJc w:val="left"/>
      <w:pPr>
        <w:ind w:left="2076" w:hanging="423"/>
      </w:pPr>
      <w:rPr>
        <w:rFonts w:hint="default"/>
      </w:rPr>
    </w:lvl>
    <w:lvl w:ilvl="5">
      <w:start w:val="0"/>
      <w:numFmt w:val="bullet"/>
      <w:lvlText w:val="•"/>
      <w:lvlJc w:val="left"/>
      <w:pPr>
        <w:ind w:left="2265" w:hanging="423"/>
      </w:pPr>
      <w:rPr>
        <w:rFonts w:hint="default"/>
      </w:rPr>
    </w:lvl>
    <w:lvl w:ilvl="6">
      <w:start w:val="0"/>
      <w:numFmt w:val="bullet"/>
      <w:lvlText w:val="•"/>
      <w:lvlJc w:val="left"/>
      <w:pPr>
        <w:ind w:left="2454" w:hanging="423"/>
      </w:pPr>
      <w:rPr>
        <w:rFonts w:hint="default"/>
      </w:rPr>
    </w:lvl>
    <w:lvl w:ilvl="7">
      <w:start w:val="0"/>
      <w:numFmt w:val="bullet"/>
      <w:lvlText w:val="•"/>
      <w:lvlJc w:val="left"/>
      <w:pPr>
        <w:ind w:left="2643" w:hanging="423"/>
      </w:pPr>
      <w:rPr>
        <w:rFonts w:hint="default"/>
      </w:rPr>
    </w:lvl>
    <w:lvl w:ilvl="8">
      <w:start w:val="0"/>
      <w:numFmt w:val="bullet"/>
      <w:lvlText w:val="•"/>
      <w:lvlJc w:val="left"/>
      <w:pPr>
        <w:ind w:left="2832" w:hanging="423"/>
      </w:pPr>
      <w:rPr>
        <w:rFonts w:hint="default"/>
      </w:rPr>
    </w:lvl>
  </w:abstractNum>
  <w:abstractNum w:abstractNumId="4">
    <w:multiLevelType w:val="hybridMultilevel"/>
    <w:lvl w:ilvl="0">
      <w:start w:val="4"/>
      <w:numFmt w:val="decimal"/>
      <w:lvlText w:val="%1"/>
      <w:lvlJc w:val="left"/>
      <w:pPr>
        <w:ind w:left="1858" w:hanging="423"/>
        <w:jc w:val="left"/>
      </w:pPr>
      <w:rPr>
        <w:rFonts w:hint="default"/>
      </w:rPr>
    </w:lvl>
    <w:lvl w:ilvl="1">
      <w:start w:val="1"/>
      <w:numFmt w:val="decimal"/>
      <w:lvlText w:val="%1.%2"/>
      <w:lvlJc w:val="left"/>
      <w:pPr>
        <w:ind w:left="1858" w:hanging="423"/>
        <w:jc w:val="left"/>
      </w:pPr>
      <w:rPr>
        <w:rFonts w:hint="default" w:ascii="仿宋" w:hAnsi="仿宋" w:eastAsia="仿宋" w:cs="仿宋"/>
        <w:w w:val="100"/>
        <w:sz w:val="21"/>
        <w:szCs w:val="21"/>
      </w:rPr>
    </w:lvl>
    <w:lvl w:ilvl="2">
      <w:start w:val="0"/>
      <w:numFmt w:val="bullet"/>
      <w:lvlText w:val="•"/>
      <w:lvlJc w:val="left"/>
      <w:pPr>
        <w:ind w:left="2218" w:hanging="423"/>
      </w:pPr>
      <w:rPr>
        <w:rFonts w:hint="default"/>
      </w:rPr>
    </w:lvl>
    <w:lvl w:ilvl="3">
      <w:start w:val="0"/>
      <w:numFmt w:val="bullet"/>
      <w:lvlText w:val="•"/>
      <w:lvlJc w:val="left"/>
      <w:pPr>
        <w:ind w:left="2397" w:hanging="423"/>
      </w:pPr>
      <w:rPr>
        <w:rFonts w:hint="default"/>
      </w:rPr>
    </w:lvl>
    <w:lvl w:ilvl="4">
      <w:start w:val="0"/>
      <w:numFmt w:val="bullet"/>
      <w:lvlText w:val="•"/>
      <w:lvlJc w:val="left"/>
      <w:pPr>
        <w:ind w:left="2576" w:hanging="423"/>
      </w:pPr>
      <w:rPr>
        <w:rFonts w:hint="default"/>
      </w:rPr>
    </w:lvl>
    <w:lvl w:ilvl="5">
      <w:start w:val="0"/>
      <w:numFmt w:val="bullet"/>
      <w:lvlText w:val="•"/>
      <w:lvlJc w:val="left"/>
      <w:pPr>
        <w:ind w:left="2755" w:hanging="423"/>
      </w:pPr>
      <w:rPr>
        <w:rFonts w:hint="default"/>
      </w:rPr>
    </w:lvl>
    <w:lvl w:ilvl="6">
      <w:start w:val="0"/>
      <w:numFmt w:val="bullet"/>
      <w:lvlText w:val="•"/>
      <w:lvlJc w:val="left"/>
      <w:pPr>
        <w:ind w:left="2934" w:hanging="423"/>
      </w:pPr>
      <w:rPr>
        <w:rFonts w:hint="default"/>
      </w:rPr>
    </w:lvl>
    <w:lvl w:ilvl="7">
      <w:start w:val="0"/>
      <w:numFmt w:val="bullet"/>
      <w:lvlText w:val="•"/>
      <w:lvlJc w:val="left"/>
      <w:pPr>
        <w:ind w:left="3113" w:hanging="423"/>
      </w:pPr>
      <w:rPr>
        <w:rFonts w:hint="default"/>
      </w:rPr>
    </w:lvl>
    <w:lvl w:ilvl="8">
      <w:start w:val="0"/>
      <w:numFmt w:val="bullet"/>
      <w:lvlText w:val="•"/>
      <w:lvlJc w:val="left"/>
      <w:pPr>
        <w:ind w:left="3292" w:hanging="423"/>
      </w:pPr>
      <w:rPr>
        <w:rFonts w:hint="default"/>
      </w:rPr>
    </w:lvl>
  </w:abstractNum>
  <w:abstractNum w:abstractNumId="3">
    <w:multiLevelType w:val="hybridMultilevel"/>
    <w:lvl w:ilvl="0">
      <w:start w:val="3"/>
      <w:numFmt w:val="decimal"/>
      <w:lvlText w:val="%1"/>
      <w:lvlJc w:val="left"/>
      <w:pPr>
        <w:ind w:left="1858" w:hanging="423"/>
        <w:jc w:val="left"/>
      </w:pPr>
      <w:rPr>
        <w:rFonts w:hint="default"/>
      </w:rPr>
    </w:lvl>
    <w:lvl w:ilvl="1">
      <w:start w:val="1"/>
      <w:numFmt w:val="decimal"/>
      <w:lvlText w:val="%1.%2"/>
      <w:lvlJc w:val="left"/>
      <w:pPr>
        <w:ind w:left="1858" w:hanging="423"/>
        <w:jc w:val="left"/>
      </w:pPr>
      <w:rPr>
        <w:rFonts w:hint="default" w:ascii="仿宋" w:hAnsi="仿宋" w:eastAsia="仿宋" w:cs="仿宋"/>
        <w:w w:val="100"/>
        <w:sz w:val="21"/>
        <w:szCs w:val="21"/>
      </w:rPr>
    </w:lvl>
    <w:lvl w:ilvl="2">
      <w:start w:val="0"/>
      <w:numFmt w:val="bullet"/>
      <w:lvlText w:val="•"/>
      <w:lvlJc w:val="left"/>
      <w:pPr>
        <w:ind w:left="2218" w:hanging="423"/>
      </w:pPr>
      <w:rPr>
        <w:rFonts w:hint="default"/>
      </w:rPr>
    </w:lvl>
    <w:lvl w:ilvl="3">
      <w:start w:val="0"/>
      <w:numFmt w:val="bullet"/>
      <w:lvlText w:val="•"/>
      <w:lvlJc w:val="left"/>
      <w:pPr>
        <w:ind w:left="2397" w:hanging="423"/>
      </w:pPr>
      <w:rPr>
        <w:rFonts w:hint="default"/>
      </w:rPr>
    </w:lvl>
    <w:lvl w:ilvl="4">
      <w:start w:val="0"/>
      <w:numFmt w:val="bullet"/>
      <w:lvlText w:val="•"/>
      <w:lvlJc w:val="left"/>
      <w:pPr>
        <w:ind w:left="2576" w:hanging="423"/>
      </w:pPr>
      <w:rPr>
        <w:rFonts w:hint="default"/>
      </w:rPr>
    </w:lvl>
    <w:lvl w:ilvl="5">
      <w:start w:val="0"/>
      <w:numFmt w:val="bullet"/>
      <w:lvlText w:val="•"/>
      <w:lvlJc w:val="left"/>
      <w:pPr>
        <w:ind w:left="2755" w:hanging="423"/>
      </w:pPr>
      <w:rPr>
        <w:rFonts w:hint="default"/>
      </w:rPr>
    </w:lvl>
    <w:lvl w:ilvl="6">
      <w:start w:val="0"/>
      <w:numFmt w:val="bullet"/>
      <w:lvlText w:val="•"/>
      <w:lvlJc w:val="left"/>
      <w:pPr>
        <w:ind w:left="2934" w:hanging="423"/>
      </w:pPr>
      <w:rPr>
        <w:rFonts w:hint="default"/>
      </w:rPr>
    </w:lvl>
    <w:lvl w:ilvl="7">
      <w:start w:val="0"/>
      <w:numFmt w:val="bullet"/>
      <w:lvlText w:val="•"/>
      <w:lvlJc w:val="left"/>
      <w:pPr>
        <w:ind w:left="3113" w:hanging="423"/>
      </w:pPr>
      <w:rPr>
        <w:rFonts w:hint="default"/>
      </w:rPr>
    </w:lvl>
    <w:lvl w:ilvl="8">
      <w:start w:val="0"/>
      <w:numFmt w:val="bullet"/>
      <w:lvlText w:val="•"/>
      <w:lvlJc w:val="left"/>
      <w:pPr>
        <w:ind w:left="3292" w:hanging="423"/>
      </w:pPr>
      <w:rPr>
        <w:rFonts w:hint="default"/>
      </w:rPr>
    </w:lvl>
  </w:abstractNum>
  <w:abstractNum w:abstractNumId="2">
    <w:multiLevelType w:val="hybridMultilevel"/>
    <w:lvl w:ilvl="0">
      <w:start w:val="2"/>
      <w:numFmt w:val="decimal"/>
      <w:lvlText w:val="%1"/>
      <w:lvlJc w:val="left"/>
      <w:pPr>
        <w:ind w:left="1858" w:hanging="423"/>
        <w:jc w:val="left"/>
      </w:pPr>
      <w:rPr>
        <w:rFonts w:hint="default"/>
      </w:rPr>
    </w:lvl>
    <w:lvl w:ilvl="1">
      <w:start w:val="1"/>
      <w:numFmt w:val="decimal"/>
      <w:lvlText w:val="%1.%2"/>
      <w:lvlJc w:val="left"/>
      <w:pPr>
        <w:ind w:left="1858" w:hanging="423"/>
        <w:jc w:val="left"/>
      </w:pPr>
      <w:rPr>
        <w:rFonts w:hint="default" w:ascii="仿宋" w:hAnsi="仿宋" w:eastAsia="仿宋" w:cs="仿宋"/>
        <w:w w:val="100"/>
        <w:sz w:val="21"/>
        <w:szCs w:val="21"/>
      </w:rPr>
    </w:lvl>
    <w:lvl w:ilvl="2">
      <w:start w:val="0"/>
      <w:numFmt w:val="bullet"/>
      <w:lvlText w:val="•"/>
      <w:lvlJc w:val="left"/>
      <w:pPr>
        <w:ind w:left="2218" w:hanging="423"/>
      </w:pPr>
      <w:rPr>
        <w:rFonts w:hint="default"/>
      </w:rPr>
    </w:lvl>
    <w:lvl w:ilvl="3">
      <w:start w:val="0"/>
      <w:numFmt w:val="bullet"/>
      <w:lvlText w:val="•"/>
      <w:lvlJc w:val="left"/>
      <w:pPr>
        <w:ind w:left="2397" w:hanging="423"/>
      </w:pPr>
      <w:rPr>
        <w:rFonts w:hint="default"/>
      </w:rPr>
    </w:lvl>
    <w:lvl w:ilvl="4">
      <w:start w:val="0"/>
      <w:numFmt w:val="bullet"/>
      <w:lvlText w:val="•"/>
      <w:lvlJc w:val="left"/>
      <w:pPr>
        <w:ind w:left="2576" w:hanging="423"/>
      </w:pPr>
      <w:rPr>
        <w:rFonts w:hint="default"/>
      </w:rPr>
    </w:lvl>
    <w:lvl w:ilvl="5">
      <w:start w:val="0"/>
      <w:numFmt w:val="bullet"/>
      <w:lvlText w:val="•"/>
      <w:lvlJc w:val="left"/>
      <w:pPr>
        <w:ind w:left="2755" w:hanging="423"/>
      </w:pPr>
      <w:rPr>
        <w:rFonts w:hint="default"/>
      </w:rPr>
    </w:lvl>
    <w:lvl w:ilvl="6">
      <w:start w:val="0"/>
      <w:numFmt w:val="bullet"/>
      <w:lvlText w:val="•"/>
      <w:lvlJc w:val="left"/>
      <w:pPr>
        <w:ind w:left="2934" w:hanging="423"/>
      </w:pPr>
      <w:rPr>
        <w:rFonts w:hint="default"/>
      </w:rPr>
    </w:lvl>
    <w:lvl w:ilvl="7">
      <w:start w:val="0"/>
      <w:numFmt w:val="bullet"/>
      <w:lvlText w:val="•"/>
      <w:lvlJc w:val="left"/>
      <w:pPr>
        <w:ind w:left="3113" w:hanging="423"/>
      </w:pPr>
      <w:rPr>
        <w:rFonts w:hint="default"/>
      </w:rPr>
    </w:lvl>
    <w:lvl w:ilvl="8">
      <w:start w:val="0"/>
      <w:numFmt w:val="bullet"/>
      <w:lvlText w:val="•"/>
      <w:lvlJc w:val="left"/>
      <w:pPr>
        <w:ind w:left="3292" w:hanging="423"/>
      </w:pPr>
      <w:rPr>
        <w:rFonts w:hint="default"/>
      </w:rPr>
    </w:lvl>
  </w:abstractNum>
  <w:abstractNum w:abstractNumId="1">
    <w:multiLevelType w:val="hybridMultilevel"/>
    <w:lvl w:ilvl="0">
      <w:start w:val="1"/>
      <w:numFmt w:val="decimal"/>
      <w:lvlText w:val="%1"/>
      <w:lvlJc w:val="left"/>
      <w:pPr>
        <w:ind w:left="1858" w:hanging="423"/>
        <w:jc w:val="left"/>
      </w:pPr>
      <w:rPr>
        <w:rFonts w:hint="default"/>
      </w:rPr>
    </w:lvl>
    <w:lvl w:ilvl="1">
      <w:start w:val="1"/>
      <w:numFmt w:val="decimal"/>
      <w:lvlText w:val="%1.%2"/>
      <w:lvlJc w:val="left"/>
      <w:pPr>
        <w:ind w:left="1858" w:hanging="423"/>
        <w:jc w:val="left"/>
      </w:pPr>
      <w:rPr>
        <w:rFonts w:hint="default" w:ascii="仿宋" w:hAnsi="仿宋" w:eastAsia="仿宋" w:cs="仿宋"/>
        <w:w w:val="100"/>
        <w:sz w:val="21"/>
        <w:szCs w:val="21"/>
      </w:rPr>
    </w:lvl>
    <w:lvl w:ilvl="2">
      <w:start w:val="0"/>
      <w:numFmt w:val="bullet"/>
      <w:lvlText w:val="•"/>
      <w:lvlJc w:val="left"/>
      <w:pPr>
        <w:ind w:left="2218" w:hanging="423"/>
      </w:pPr>
      <w:rPr>
        <w:rFonts w:hint="default"/>
      </w:rPr>
    </w:lvl>
    <w:lvl w:ilvl="3">
      <w:start w:val="0"/>
      <w:numFmt w:val="bullet"/>
      <w:lvlText w:val="•"/>
      <w:lvlJc w:val="left"/>
      <w:pPr>
        <w:ind w:left="2397" w:hanging="423"/>
      </w:pPr>
      <w:rPr>
        <w:rFonts w:hint="default"/>
      </w:rPr>
    </w:lvl>
    <w:lvl w:ilvl="4">
      <w:start w:val="0"/>
      <w:numFmt w:val="bullet"/>
      <w:lvlText w:val="•"/>
      <w:lvlJc w:val="left"/>
      <w:pPr>
        <w:ind w:left="2576" w:hanging="423"/>
      </w:pPr>
      <w:rPr>
        <w:rFonts w:hint="default"/>
      </w:rPr>
    </w:lvl>
    <w:lvl w:ilvl="5">
      <w:start w:val="0"/>
      <w:numFmt w:val="bullet"/>
      <w:lvlText w:val="•"/>
      <w:lvlJc w:val="left"/>
      <w:pPr>
        <w:ind w:left="2755" w:hanging="423"/>
      </w:pPr>
      <w:rPr>
        <w:rFonts w:hint="default"/>
      </w:rPr>
    </w:lvl>
    <w:lvl w:ilvl="6">
      <w:start w:val="0"/>
      <w:numFmt w:val="bullet"/>
      <w:lvlText w:val="•"/>
      <w:lvlJc w:val="left"/>
      <w:pPr>
        <w:ind w:left="2934" w:hanging="423"/>
      </w:pPr>
      <w:rPr>
        <w:rFonts w:hint="default"/>
      </w:rPr>
    </w:lvl>
    <w:lvl w:ilvl="7">
      <w:start w:val="0"/>
      <w:numFmt w:val="bullet"/>
      <w:lvlText w:val="•"/>
      <w:lvlJc w:val="left"/>
      <w:pPr>
        <w:ind w:left="3113" w:hanging="423"/>
      </w:pPr>
      <w:rPr>
        <w:rFonts w:hint="default"/>
      </w:rPr>
    </w:lvl>
    <w:lvl w:ilvl="8">
      <w:start w:val="0"/>
      <w:numFmt w:val="bullet"/>
      <w:lvlText w:val="•"/>
      <w:lvlJc w:val="left"/>
      <w:pPr>
        <w:ind w:left="3292" w:hanging="423"/>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仿宋" w:hAnsi="仿宋" w:eastAsia="仿宋" w:cs="仿宋"/>
      <w:sz w:val="21"/>
      <w:szCs w:val="21"/>
    </w:rPr>
  </w:style>
  <w:style w:styleId="ListParagraph" w:type="paragraph">
    <w:name w:val="List Paragraph"/>
    <w:basedOn w:val="Normal"/>
    <w:uiPriority w:val="1"/>
    <w:qFormat/>
    <w:pPr>
      <w:spacing w:line="260" w:lineRule="exact"/>
      <w:ind w:left="1321" w:hanging="629"/>
    </w:pPr>
    <w:rPr>
      <w:rFonts w:ascii="仿宋" w:hAnsi="仿宋" w:eastAsia="仿宋" w:cs="仿宋"/>
    </w:rPr>
  </w:style>
  <w:style w:styleId="TableParagraph" w:type="paragraph">
    <w:name w:val="Table Paragraph"/>
    <w:basedOn w:val="Normal"/>
    <w:uiPriority w:val="1"/>
    <w:qFormat/>
    <w:pPr>
      <w:spacing w:before="58"/>
      <w:ind w:left="86"/>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2018-10-19T22:22:34Z</dcterms:created>
  <dcterms:modified xsi:type="dcterms:W3CDTF">2018-10-19T22:22:34Z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2016-01-05T00:00:00Z</vt:filetime>
  </property>
  <property fmtid="{D5CDD505-2E9C-101B-9397-08002B2CF9AE}" pid="3" name="Creator">
    <vt:lpwstr>Microsoft® Word 2010</vt:lpwstr>
  </property>
  <property fmtid="{D5CDD505-2E9C-101B-9397-08002B2CF9AE}" pid="4" name="LastSaved">
    <vt:filetime>2018-10-19T00:00:00Z</vt:filetime>
  </property>
</Properties>
</file>