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[2016]</w:t>
      </w:r>
      <w:r>
        <w:rPr/>
        <w:t>疾病保险 </w:t>
      </w:r>
      <w:r>
        <w:rPr>
          <w:rFonts w:ascii="Times New Roman" w:eastAsia="Times New Roman"/>
        </w:rPr>
        <w:t>020 </w:t>
      </w:r>
      <w:r>
        <w:rPr/>
        <w:t>号</w:t>
      </w:r>
    </w:p>
    <w:p>
      <w:pPr>
        <w:pStyle w:val="BodyText"/>
        <w:ind w:left="5846"/>
      </w:pPr>
      <w:r>
        <w:rPr/>
        <w:t>请扫描以查询验证条款</w:t>
      </w:r>
    </w:p>
    <w:p>
      <w:pPr>
        <w:pStyle w:val="BodyText"/>
        <w:rPr>
          <w:sz w:val="20"/>
        </w:rPr>
      </w:pPr>
    </w:p>
    <w:p>
      <w:pPr>
        <w:pStyle w:val="Heading1"/>
        <w:spacing w:before="1"/>
        <w:ind w:left="1473" w:right="0"/>
        <w:jc w:val="left"/>
      </w:pPr>
      <w:r>
        <w:rPr/>
        <w:t>中英人寿附加心福传家提前给付重大疾病保险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pPr>
      <w:r>
        <w:rPr/>
        <w:t>阅读指引</w:t>
      </w:r>
    </w:p>
    <w:p>
      <w:pPr>
        <w:pStyle w:val="BodyText"/>
        <w:rPr>
          <w:sz w:val="28"/>
        </w:rPr>
      </w:pPr>
    </w:p>
    <w:p>
      <w:pPr>
        <w:pStyle w:val="BodyText"/>
        <w:spacing w:before="9"/>
        <w:rPr>
          <w:sz w:val="37"/>
        </w:rPr>
      </w:pPr>
    </w:p>
    <w:p>
      <w:pPr>
        <w:pStyle w:val="BodyText"/>
        <w:ind w:left="122"/>
      </w:pPr>
      <w:r>
        <w:rPr/>
        <w:t>您享有的重要权益</w:t>
      </w:r>
    </w:p>
    <w:p>
      <w:pPr>
        <w:pStyle w:val="BodyText"/>
        <w:spacing w:before="7"/>
        <w:rPr>
          <w:sz w:val="14"/>
        </w:rPr>
      </w:pPr>
    </w:p>
    <w:p>
      <w:pPr>
        <w:pStyle w:val="BodyText"/>
        <w:tabs>
          <w:tab w:pos="7168" w:val="left" w:leader="none"/>
        </w:tabs>
        <w:ind w:left="331"/>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w:t>
      </w:r>
    </w:p>
    <w:p>
      <w:pPr>
        <w:pStyle w:val="BodyText"/>
        <w:tabs>
          <w:tab w:pos="7797"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t>第</w:t>
      </w:r>
      <w:r>
        <w:rPr>
          <w:spacing w:val="-54"/>
        </w:rPr>
        <w:t> </w:t>
      </w:r>
      <w:r>
        <w:rPr>
          <w:rFonts w:ascii="Times New Roman" w:eastAsia="Times New Roman"/>
        </w:rPr>
        <w:t>7 </w:t>
      </w:r>
      <w:r>
        <w:rPr/>
        <w:t>章</w:t>
      </w:r>
    </w:p>
    <w:p>
      <w:pPr>
        <w:pStyle w:val="BodyText"/>
        <w:rPr>
          <w:sz w:val="22"/>
        </w:rPr>
      </w:pPr>
    </w:p>
    <w:p>
      <w:pPr>
        <w:pStyle w:val="BodyText"/>
        <w:spacing w:before="6"/>
        <w:rPr>
          <w:sz w:val="27"/>
        </w:rPr>
      </w:pPr>
    </w:p>
    <w:p>
      <w:pPr>
        <w:pStyle w:val="BodyText"/>
        <w:ind w:left="122"/>
      </w:pPr>
      <w:r>
        <w:rPr/>
        <w:t>您应当特别注意的事项</w:t>
      </w:r>
    </w:p>
    <w:p>
      <w:pPr>
        <w:pStyle w:val="BodyText"/>
        <w:spacing w:before="7"/>
        <w:rPr>
          <w:sz w:val="14"/>
        </w:rPr>
      </w:pPr>
    </w:p>
    <w:p>
      <w:pPr>
        <w:pStyle w:val="BodyText"/>
        <w:tabs>
          <w:tab w:pos="7161" w:val="left" w:leader="none"/>
        </w:tabs>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w:t>
      </w:r>
    </w:p>
    <w:p>
      <w:pPr>
        <w:pStyle w:val="BodyText"/>
        <w:tabs>
          <w:tab w:pos="7797"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t>第</w:t>
      </w:r>
      <w:r>
        <w:rPr>
          <w:spacing w:val="-54"/>
        </w:rPr>
        <w:t> </w:t>
      </w:r>
      <w:r>
        <w:rPr>
          <w:rFonts w:ascii="Times New Roman" w:eastAsia="Times New Roman"/>
        </w:rPr>
        <w:t>3 </w:t>
      </w:r>
      <w:r>
        <w:rPr/>
        <w:t>章</w:t>
      </w:r>
    </w:p>
    <w:p>
      <w:pPr>
        <w:pStyle w:val="BodyText"/>
        <w:tabs>
          <w:tab w:pos="7168"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5</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w:t>
      </w:r>
    </w:p>
    <w:p>
      <w:pPr>
        <w:pStyle w:val="BodyText"/>
        <w:tabs>
          <w:tab w:pos="7795" w:val="left" w:leader="none"/>
        </w:tabs>
        <w:spacing w:before="177"/>
        <w:ind w:left="331"/>
      </w:pPr>
      <w:r>
        <w:rPr/>
        <w:t>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要求</w:t>
      </w:r>
      <w:r>
        <w:rPr>
          <w:spacing w:val="-3"/>
        </w:rPr>
        <w:t>偿</w:t>
      </w:r>
      <w:r>
        <w:rPr/>
        <w:t>还</w:t>
      </w:r>
      <w:r>
        <w:rPr>
          <w:spacing w:val="-3"/>
        </w:rPr>
        <w:t>相</w:t>
      </w:r>
      <w:r>
        <w:rPr/>
        <w:t>关</w:t>
      </w:r>
      <w:r>
        <w:rPr>
          <w:spacing w:val="-3"/>
        </w:rPr>
        <w:t>欠</w:t>
      </w:r>
      <w:r>
        <w:rPr/>
        <w:t>款</w:t>
      </w:r>
      <w:r>
        <w:rPr>
          <w:u w:val="single"/>
        </w:rPr>
        <w:t> </w:t>
        <w:tab/>
      </w:r>
      <w:r>
        <w:rPr/>
        <w:t>第</w:t>
      </w:r>
      <w:r>
        <w:rPr>
          <w:spacing w:val="-54"/>
        </w:rPr>
        <w:t> </w:t>
      </w:r>
      <w:r>
        <w:rPr>
          <w:rFonts w:ascii="Times New Roman" w:eastAsia="Times New Roman"/>
        </w:rPr>
        <w:t>6 </w:t>
      </w:r>
      <w:r>
        <w:rPr/>
        <w:t>章</w:t>
      </w:r>
    </w:p>
    <w:p>
      <w:pPr>
        <w:pStyle w:val="BodyText"/>
        <w:tabs>
          <w:tab w:pos="7797" w:val="left" w:leader="none"/>
        </w:tabs>
        <w:spacing w:before="177"/>
        <w:ind w:left="331"/>
      </w:pPr>
      <w:r>
        <w:rPr/>
        <w:t>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r>
      <w:r>
        <w:rPr/>
        <w:t>第</w:t>
      </w:r>
      <w:r>
        <w:rPr>
          <w:spacing w:val="-54"/>
        </w:rPr>
        <w:t> </w:t>
      </w:r>
      <w:r>
        <w:rPr>
          <w:rFonts w:ascii="Times New Roman" w:eastAsia="Times New Roman"/>
        </w:rPr>
        <w:t>7 </w:t>
      </w:r>
      <w:r>
        <w:rPr/>
        <w:t>章</w:t>
      </w:r>
    </w:p>
    <w:p>
      <w:pPr>
        <w:pStyle w:val="BodyText"/>
        <w:tabs>
          <w:tab w:pos="7797"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54"/>
        </w:rPr>
        <w:t> </w:t>
      </w:r>
      <w:r>
        <w:rPr>
          <w:rFonts w:ascii="Times New Roman" w:eastAsia="Times New Roman"/>
        </w:rPr>
        <w:t>8 </w:t>
      </w:r>
      <w:r>
        <w:rPr/>
        <w:t>章</w:t>
      </w:r>
    </w:p>
    <w:p>
      <w:pPr>
        <w:spacing w:after="0"/>
        <w:sectPr>
          <w:type w:val="continuous"/>
          <w:pgSz w:w="11900" w:h="16840"/>
          <w:pgMar w:top="1220" w:bottom="280" w:left="1680" w:right="1680"/>
        </w:sectPr>
      </w:pPr>
    </w:p>
    <w:p>
      <w:pPr>
        <w:pStyle w:val="Heading1"/>
        <w:spacing w:before="101"/>
        <w:ind w:left="3756"/>
      </w:pPr>
      <w:r>
        <w:rPr/>
        <w:t>条款目录</w:t>
      </w:r>
    </w:p>
    <w:p>
      <w:pPr>
        <w:pStyle w:val="BodyText"/>
        <w:rPr>
          <w:sz w:val="28"/>
        </w:rPr>
      </w:pPr>
    </w:p>
    <w:p>
      <w:pPr>
        <w:pStyle w:val="BodyText"/>
        <w:spacing w:before="8"/>
        <w:rPr>
          <w:sz w:val="32"/>
        </w:rPr>
      </w:pPr>
    </w:p>
    <w:p>
      <w:pPr>
        <w:pStyle w:val="Heading2"/>
        <w:numPr>
          <w:ilvl w:val="0"/>
          <w:numId w:val="1"/>
        </w:numPr>
        <w:tabs>
          <w:tab w:pos="351" w:val="left" w:leader="none"/>
          <w:tab w:pos="4528" w:val="left" w:leader="none"/>
        </w:tabs>
        <w:spacing w:line="240" w:lineRule="auto" w:before="0" w:after="0"/>
        <w:ind w:left="350" w:right="0" w:hanging="242"/>
        <w:jc w:val="left"/>
      </w:pPr>
      <w:r>
        <w:rPr/>
        <w:t>您与我们的保险合同</w:t>
        <w:tab/>
      </w:r>
      <w:r>
        <w:rPr>
          <w:rFonts w:ascii="Times New Roman" w:eastAsia="Times New Roman"/>
          <w:b/>
        </w:rPr>
        <w:t>5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1"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5.1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98"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5.2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0"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5.3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97"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74" w:after="0"/>
        <w:ind w:left="636" w:right="0" w:hanging="317"/>
        <w:jc w:val="left"/>
        <w:rPr>
          <w:rFonts w:ascii="Times New Roman" w:eastAsia="Times New Roman"/>
          <w:sz w:val="21"/>
        </w:rPr>
      </w:pPr>
      <w:r>
        <w:rPr>
          <w:spacing w:val="-3"/>
          <w:position w:val="1"/>
          <w:sz w:val="21"/>
        </w:rPr>
        <w:t>基</w:t>
      </w:r>
      <w:r>
        <w:rPr>
          <w:position w:val="1"/>
          <w:sz w:val="21"/>
        </w:rPr>
        <w:t>本</w:t>
      </w: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请减</w:t>
      </w:r>
      <w:r>
        <w:rPr>
          <w:position w:val="1"/>
          <w:sz w:val="21"/>
        </w:rPr>
        <w:t>少基</w:t>
      </w:r>
      <w:r>
        <w:rPr>
          <w:spacing w:val="-3"/>
          <w:position w:val="1"/>
          <w:sz w:val="21"/>
        </w:rPr>
        <w:t>本</w:t>
      </w:r>
      <w:r>
        <w:rPr>
          <w:position w:val="1"/>
          <w:sz w:val="21"/>
        </w:rPr>
        <w:t>保</w:t>
      </w:r>
      <w:r>
        <w:rPr>
          <w:spacing w:val="-3"/>
          <w:position w:val="1"/>
          <w:sz w:val="21"/>
        </w:rPr>
        <w:t>险</w:t>
      </w:r>
      <w:r>
        <w:rPr>
          <w:position w:val="1"/>
          <w:sz w:val="21"/>
        </w:rPr>
        <w:t>金额</w:t>
        <w:tab/>
      </w:r>
      <w:r>
        <w:rPr>
          <w:rFonts w:ascii="Times New Roman" w:eastAsia="Times New Roman"/>
          <w:b/>
          <w:sz w:val="24"/>
        </w:rPr>
        <w:t>6 </w:t>
      </w:r>
      <w:r>
        <w:rPr>
          <w:rFonts w:ascii="Times New Roman" w:eastAsia="Times New Roman"/>
          <w:b/>
          <w:spacing w:val="2"/>
          <w:sz w:val="24"/>
        </w:rPr>
        <w:t> </w:t>
      </w:r>
      <w:r>
        <w:rPr>
          <w:sz w:val="24"/>
        </w:rPr>
        <w:t>欠款的扣除</w:t>
      </w:r>
    </w:p>
    <w:p>
      <w:pPr>
        <w:pStyle w:val="BodyText"/>
        <w:spacing w:before="2"/>
        <w:rPr>
          <w:sz w:val="34"/>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7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1" w:after="0"/>
        <w:ind w:left="636" w:right="0" w:hanging="317"/>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74" w:after="0"/>
        <w:ind w:left="636" w:right="0" w:hanging="317"/>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8 </w:t>
      </w:r>
      <w:r>
        <w:rPr>
          <w:rFonts w:ascii="Times New Roman" w:eastAsia="Times New Roman"/>
          <w:b/>
          <w:spacing w:val="0"/>
          <w:sz w:val="24"/>
        </w:rPr>
        <w:t> </w:t>
      </w:r>
      <w:r>
        <w:rPr>
          <w:sz w:val="24"/>
        </w:rPr>
        <w:t>名词释义</w:t>
      </w:r>
    </w:p>
    <w:p>
      <w:pPr>
        <w:pStyle w:val="BodyText"/>
        <w:spacing w:before="2"/>
        <w:rPr>
          <w:sz w:val="34"/>
        </w:rPr>
      </w:pPr>
    </w:p>
    <w:p>
      <w:pPr>
        <w:pStyle w:val="Heading2"/>
        <w:numPr>
          <w:ilvl w:val="0"/>
          <w:numId w:val="1"/>
        </w:numPr>
        <w:tabs>
          <w:tab w:pos="351" w:val="left" w:leader="none"/>
          <w:tab w:pos="4531" w:val="left" w:leader="none"/>
        </w:tabs>
        <w:spacing w:line="240" w:lineRule="auto" w:before="0" w:after="0"/>
        <w:ind w:left="350" w:right="0" w:hanging="242"/>
        <w:jc w:val="left"/>
      </w:pPr>
      <w:r>
        <w:rPr/>
        <w:t>保险费</w:t>
        <w:tab/>
        <w:t>附表：重大疾病列表</w:t>
      </w:r>
    </w:p>
    <w:p>
      <w:pPr>
        <w:pStyle w:val="BodyText"/>
        <w:spacing w:before="2"/>
        <w:rPr>
          <w:sz w:val="34"/>
        </w:rPr>
      </w:pPr>
    </w:p>
    <w:p>
      <w:pPr>
        <w:pStyle w:val="ListParagraph"/>
        <w:numPr>
          <w:ilvl w:val="0"/>
          <w:numId w:val="1"/>
        </w:numPr>
        <w:tabs>
          <w:tab w:pos="351" w:val="left" w:leader="none"/>
        </w:tabs>
        <w:spacing w:line="240" w:lineRule="auto" w:before="0" w:after="0"/>
        <w:ind w:left="350" w:right="0" w:hanging="242"/>
        <w:jc w:val="left"/>
        <w:rPr>
          <w:sz w:val="24"/>
        </w:rPr>
      </w:pPr>
      <w:r>
        <w:rPr>
          <w:sz w:val="24"/>
        </w:rPr>
        <w:t>附加合同效力的中止和恢复</w:t>
      </w:r>
    </w:p>
    <w:p>
      <w:pPr>
        <w:spacing w:after="0" w:line="240" w:lineRule="auto"/>
        <w:jc w:val="left"/>
        <w:rPr>
          <w:sz w:val="24"/>
        </w:rPr>
        <w:sectPr>
          <w:pgSz w:w="11900" w:h="16840"/>
          <w:pgMar w:top="1600" w:bottom="280" w:left="1620" w:right="1680"/>
        </w:sectPr>
      </w:pPr>
    </w:p>
    <w:p>
      <w:pPr>
        <w:spacing w:line="363" w:lineRule="exact" w:before="0"/>
        <w:ind w:left="1169" w:right="1507" w:firstLine="0"/>
        <w:jc w:val="center"/>
        <w:rPr>
          <w:sz w:val="28"/>
        </w:rPr>
      </w:pPr>
      <w:r>
        <w:rPr>
          <w:sz w:val="28"/>
        </w:rPr>
        <w:t>中英人寿附加心福传家提前给付重大疾病保险</w:t>
      </w:r>
    </w:p>
    <w:p>
      <w:pPr>
        <w:pStyle w:val="BodyText"/>
        <w:spacing w:before="248"/>
        <w:ind w:left="1169" w:right="1511"/>
        <w:jc w:val="center"/>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tabs>
          <w:tab w:pos="957" w:val="left" w:leader="none"/>
        </w:tabs>
        <w:spacing w:before="179"/>
        <w:ind w:left="100"/>
      </w:pPr>
      <w:r>
        <w:rPr/>
        <w:t>第</w:t>
      </w:r>
      <w:r>
        <w:rPr>
          <w:spacing w:val="-55"/>
        </w:rPr>
        <w:t> </w:t>
      </w:r>
      <w:r>
        <w:rPr>
          <w:rFonts w:asci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BodyText"/>
        <w:spacing w:before="3"/>
        <w:rPr>
          <w:sz w:val="12"/>
        </w:rPr>
      </w:pPr>
    </w:p>
    <w:p>
      <w:pPr>
        <w:spacing w:after="0"/>
        <w:rPr>
          <w:sz w:val="12"/>
        </w:rPr>
        <w:sectPr>
          <w:pgSz w:w="11900" w:h="16840"/>
          <w:pgMar w:top="1580" w:bottom="280" w:left="1320" w:right="1000"/>
        </w:sectPr>
      </w:pPr>
    </w:p>
    <w:p>
      <w:pPr>
        <w:pStyle w:val="ListParagraph"/>
        <w:numPr>
          <w:ilvl w:val="1"/>
          <w:numId w:val="2"/>
        </w:numPr>
        <w:tabs>
          <w:tab w:pos="947" w:val="left" w:leader="none"/>
          <w:tab w:pos="948" w:val="left" w:leader="none"/>
        </w:tabs>
        <w:spacing w:line="240" w:lineRule="auto" w:before="62" w:after="0"/>
        <w:ind w:left="948" w:right="0" w:hanging="480"/>
        <w:jc w:val="left"/>
        <w:rPr>
          <w:sz w:val="21"/>
        </w:rPr>
      </w:pPr>
      <w:r>
        <w:rPr>
          <w:spacing w:val="-1"/>
          <w:sz w:val="21"/>
        </w:rPr>
        <w:t>保险合同的构成</w:t>
      </w:r>
    </w:p>
    <w:p>
      <w:pPr>
        <w:pStyle w:val="BodyText"/>
        <w:spacing w:before="60"/>
        <w:ind w:left="312" w:right="206"/>
        <w:jc w:val="both"/>
      </w:pPr>
      <w:r>
        <w:rPr/>
        <w:br w:type="column"/>
      </w:r>
      <w:r>
        <w:rPr/>
        <w:t>《中英人寿附加心福传家提前给付重大疾病保险》合同（以下简称本附加合同）由《中英人寿心福传家终身寿险》合同（以下简称主合同）的投保人向我们提出申请，经我们审核同意后订立。</w:t>
      </w:r>
    </w:p>
    <w:p>
      <w:pPr>
        <w:pStyle w:val="BodyText"/>
        <w:spacing w:before="3"/>
        <w:rPr>
          <w:sz w:val="18"/>
        </w:rPr>
      </w:pPr>
    </w:p>
    <w:p>
      <w:pPr>
        <w:pStyle w:val="BodyText"/>
        <w:ind w:left="312" w:right="206"/>
        <w:jc w:val="both"/>
      </w:pPr>
      <w:r>
        <w:rPr/>
        <w:t>本附加合同由保险单、保险条款、投保书及与本附加合同有关的其它投保文件、合法有效的声明、批注、批单及其它书面协议构成。</w:t>
      </w:r>
    </w:p>
    <w:p>
      <w:pPr>
        <w:pStyle w:val="BodyText"/>
        <w:spacing w:before="2"/>
        <w:rPr>
          <w:sz w:val="18"/>
        </w:rPr>
      </w:pPr>
    </w:p>
    <w:p>
      <w:pPr>
        <w:pStyle w:val="BodyText"/>
        <w:spacing w:before="1"/>
        <w:ind w:left="312" w:right="64"/>
      </w:pPr>
      <w:r>
        <w:rPr/>
        <w:t>主合同的条款适用于本附加合同。如果主合同的条款与本附加合同冲突时， 则以本附加合同为准。</w:t>
      </w:r>
    </w:p>
    <w:p>
      <w:pPr>
        <w:spacing w:after="0"/>
        <w:sectPr>
          <w:type w:val="continuous"/>
          <w:pgSz w:w="11900" w:h="16840"/>
          <w:pgMar w:top="1220" w:bottom="280" w:left="1320" w:right="1000"/>
          <w:cols w:num="2" w:equalWidth="0">
            <w:col w:w="2213" w:space="40"/>
            <w:col w:w="7327"/>
          </w:cols>
        </w:sectPr>
      </w:pPr>
    </w:p>
    <w:p>
      <w:pPr>
        <w:pStyle w:val="BodyText"/>
        <w:spacing w:before="9"/>
        <w:rPr>
          <w:sz w:val="13"/>
        </w:rPr>
      </w:pPr>
    </w:p>
    <w:p>
      <w:pPr>
        <w:pStyle w:val="ListParagraph"/>
        <w:numPr>
          <w:ilvl w:val="1"/>
          <w:numId w:val="2"/>
        </w:numPr>
        <w:tabs>
          <w:tab w:pos="947" w:val="left" w:leader="none"/>
          <w:tab w:pos="948" w:val="left" w:leader="none"/>
          <w:tab w:pos="2565" w:val="left" w:leader="none"/>
        </w:tabs>
        <w:spacing w:line="281" w:lineRule="exact" w:before="62" w:after="0"/>
        <w:ind w:left="948"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44"/>
          <w:sz w:val="21"/>
        </w:rPr>
        <w:t>岁</w:t>
      </w:r>
      <w:r>
        <w:rPr>
          <w:sz w:val="21"/>
        </w:rPr>
        <w:t>（</w:t>
      </w:r>
      <w:r>
        <w:rPr>
          <w:spacing w:val="-3"/>
          <w:sz w:val="21"/>
        </w:rPr>
        <w:t>出生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44"/>
          <w:sz w:val="21"/>
        </w:rPr>
        <w:t>）</w:t>
      </w:r>
      <w:r>
        <w:rPr>
          <w:sz w:val="21"/>
        </w:rPr>
        <w:t>至</w:t>
      </w:r>
      <w:r>
        <w:rPr>
          <w:spacing w:val="-50"/>
          <w:sz w:val="21"/>
        </w:rPr>
        <w:t> </w:t>
      </w:r>
      <w:r>
        <w:rPr>
          <w:rFonts w:ascii="Times New Roman" w:eastAsia="Times New Roman"/>
          <w:sz w:val="21"/>
        </w:rPr>
        <w:t>70</w:t>
      </w:r>
      <w:r>
        <w:rPr>
          <w:rFonts w:ascii="Times New Roman" w:eastAsia="Times New Roman"/>
          <w:spacing w:val="5"/>
          <w:sz w:val="21"/>
        </w:rPr>
        <w:t> </w:t>
      </w:r>
      <w:r>
        <w:rPr>
          <w:spacing w:val="-3"/>
          <w:sz w:val="21"/>
        </w:rPr>
        <w:t>周</w:t>
      </w:r>
      <w:r>
        <w:rPr>
          <w:spacing w:val="-44"/>
          <w:sz w:val="21"/>
        </w:rPr>
        <w:t>岁</w:t>
      </w:r>
      <w:r>
        <w:rPr>
          <w:sz w:val="21"/>
        </w:rPr>
        <w:t>（见</w:t>
      </w:r>
    </w:p>
    <w:p>
      <w:pPr>
        <w:pStyle w:val="BodyText"/>
        <w:spacing w:line="281" w:lineRule="exact"/>
        <w:ind w:left="2565"/>
      </w:pPr>
      <w:r>
        <w:rPr>
          <w:rFonts w:ascii="Times New Roman" w:eastAsia="Times New Roman"/>
          <w:w w:val="100"/>
        </w:rPr>
        <w:t>8.1</w:t>
      </w:r>
      <w:r>
        <w:rPr>
          <w:spacing w:val="-106"/>
          <w:w w:val="100"/>
        </w:rPr>
        <w:t>）</w:t>
      </w:r>
      <w:r>
        <w:rPr>
          <w:w w:val="100"/>
        </w:rPr>
        <w:t>。</w:t>
      </w:r>
    </w:p>
    <w:p>
      <w:pPr>
        <w:pStyle w:val="BodyText"/>
        <w:spacing w:before="6"/>
        <w:rPr>
          <w:sz w:val="17"/>
        </w:rPr>
      </w:pPr>
    </w:p>
    <w:p>
      <w:pPr>
        <w:pStyle w:val="ListParagraph"/>
        <w:numPr>
          <w:ilvl w:val="1"/>
          <w:numId w:val="2"/>
        </w:numPr>
        <w:tabs>
          <w:tab w:pos="948" w:val="left" w:leader="none"/>
        </w:tabs>
        <w:spacing w:line="237" w:lineRule="auto" w:before="0" w:after="0"/>
        <w:ind w:left="2565" w:right="206" w:hanging="2097"/>
        <w:jc w:val="both"/>
        <w:rPr>
          <w:sz w:val="21"/>
        </w:rPr>
      </w:pPr>
      <w:r>
        <w:rPr>
          <w:sz w:val="21"/>
        </w:rPr>
        <w:t>合同的生效日   本附加合同的生效日经我们同意承保，自您缴纳首期保险费当日的二十四时开始。本附加合同必须与主合同同时投保，主合同的生效日为本附加合</w:t>
      </w:r>
      <w:r>
        <w:rPr>
          <w:spacing w:val="-2"/>
          <w:sz w:val="21"/>
        </w:rPr>
        <w:t>同的生效日。</w:t>
      </w:r>
    </w:p>
    <w:p>
      <w:pPr>
        <w:pStyle w:val="BodyText"/>
        <w:spacing w:before="5"/>
        <w:rPr>
          <w:sz w:val="18"/>
        </w:rPr>
      </w:pPr>
    </w:p>
    <w:p>
      <w:pPr>
        <w:pStyle w:val="ListParagraph"/>
        <w:numPr>
          <w:ilvl w:val="1"/>
          <w:numId w:val="2"/>
        </w:numPr>
        <w:tabs>
          <w:tab w:pos="947" w:val="left" w:leader="none"/>
          <w:tab w:pos="948" w:val="left" w:leader="none"/>
          <w:tab w:pos="2565" w:val="left" w:leader="none"/>
        </w:tabs>
        <w:spacing w:line="240" w:lineRule="auto" w:before="0" w:after="0"/>
        <w:ind w:left="948"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6"/>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8" w:val="left" w:leader="none"/>
        </w:tabs>
        <w:spacing w:line="240" w:lineRule="auto" w:before="62" w:after="0"/>
        <w:ind w:left="948" w:right="0" w:hanging="480"/>
        <w:jc w:val="both"/>
        <w:rPr>
          <w:sz w:val="21"/>
        </w:rPr>
      </w:pPr>
      <w:r>
        <w:rPr>
          <w:spacing w:val="-1"/>
          <w:sz w:val="21"/>
        </w:rPr>
        <w:t>基本保险金额</w:t>
      </w:r>
      <w:r>
        <w:rPr>
          <w:spacing w:val="-2"/>
          <w:sz w:val="21"/>
        </w:rPr>
        <w:t>与申请减少基</w:t>
      </w:r>
      <w:r>
        <w:rPr>
          <w:spacing w:val="-3"/>
          <w:sz w:val="21"/>
        </w:rPr>
        <w:t>本保险金额</w:t>
      </w:r>
    </w:p>
    <w:p>
      <w:pPr>
        <w:pStyle w:val="BodyText"/>
        <w:spacing w:before="60"/>
        <w:ind w:left="312" w:right="206"/>
        <w:jc w:val="both"/>
      </w:pPr>
      <w:r>
        <w:rPr/>
        <w:br w:type="column"/>
      </w:r>
      <w:r>
        <w:rPr/>
        <w:t>本附加合同的基本保险金额由您和我们约定并在保险单、批单或批注上载明，如果该基本保险金额有所变更，以变更后的金额为准。</w:t>
      </w:r>
    </w:p>
    <w:p>
      <w:pPr>
        <w:pStyle w:val="BodyText"/>
        <w:spacing w:before="3"/>
        <w:rPr>
          <w:sz w:val="18"/>
        </w:rPr>
      </w:pPr>
    </w:p>
    <w:p>
      <w:pPr>
        <w:pStyle w:val="BodyText"/>
        <w:ind w:left="312" w:right="206"/>
        <w:jc w:val="both"/>
      </w:pPr>
      <w:r>
        <w:rPr/>
        <w:t>在本附加合同有效期内，您可以书面申请减少基本保险金额，但减少后的基本保险金额须符合我们当时规定的最低承保金额。基本保险金额的减少部分视为终止合同，我们将退还基本保险金额减少部分所对应的现金价值</w:t>
      </w:r>
    </w:p>
    <w:p>
      <w:pPr>
        <w:pStyle w:val="BodyText"/>
        <w:spacing w:line="287" w:lineRule="exact"/>
        <w:ind w:left="312"/>
        <w:jc w:val="both"/>
      </w:pPr>
      <w:r>
        <w:rPr>
          <w:w w:val="100"/>
        </w:rPr>
        <w:t>（见</w:t>
      </w:r>
      <w:r>
        <w:rPr>
          <w:spacing w:val="-53"/>
        </w:rPr>
        <w:t> </w:t>
      </w:r>
      <w:r>
        <w:rPr>
          <w:rFonts w:ascii="Times New Roman" w:eastAsia="Times New Roman"/>
          <w:w w:val="100"/>
        </w:rPr>
        <w:t>8</w:t>
      </w:r>
      <w:r>
        <w:rPr>
          <w:rFonts w:ascii="Times New Roman" w:eastAsia="Times New Roman"/>
          <w:spacing w:val="-3"/>
          <w:w w:val="100"/>
        </w:rPr>
        <w:t>.</w:t>
      </w:r>
      <w:r>
        <w:rPr>
          <w:rFonts w:ascii="Times New Roman" w:eastAsia="Times New Roman"/>
          <w:w w:val="100"/>
        </w:rPr>
        <w:t>2</w:t>
      </w:r>
      <w:r>
        <w:rPr>
          <w:spacing w:val="-106"/>
          <w:w w:val="100"/>
        </w:rPr>
        <w:t>）</w:t>
      </w:r>
      <w:r>
        <w:rPr>
          <w:w w:val="100"/>
        </w:rPr>
        <w:t>。</w:t>
      </w:r>
    </w:p>
    <w:p>
      <w:pPr>
        <w:spacing w:after="0" w:line="287" w:lineRule="exact"/>
        <w:jc w:val="both"/>
        <w:sectPr>
          <w:type w:val="continuous"/>
          <w:pgSz w:w="11900" w:h="16840"/>
          <w:pgMar w:top="1220" w:bottom="280" w:left="1320" w:right="1000"/>
          <w:cols w:num="2" w:equalWidth="0">
            <w:col w:w="2213" w:space="40"/>
            <w:col w:w="7327"/>
          </w:cols>
        </w:sectPr>
      </w:pPr>
    </w:p>
    <w:p>
      <w:pPr>
        <w:pStyle w:val="BodyText"/>
        <w:rPr>
          <w:sz w:val="20"/>
        </w:rPr>
      </w:pPr>
    </w:p>
    <w:p>
      <w:pPr>
        <w:pStyle w:val="BodyText"/>
        <w:spacing w:before="10"/>
        <w:rPr>
          <w:sz w:val="15"/>
        </w:rPr>
      </w:pPr>
    </w:p>
    <w:p>
      <w:pPr>
        <w:pStyle w:val="BodyText"/>
        <w:tabs>
          <w:tab w:pos="947" w:val="left" w:leader="none"/>
        </w:tabs>
        <w:ind w:left="100"/>
      </w:pPr>
      <w:r>
        <w:rPr/>
        <w:t>第</w:t>
      </w:r>
      <w:r>
        <w:rPr>
          <w:spacing w:val="-55"/>
        </w:rPr>
        <w:t> </w:t>
      </w:r>
      <w:r>
        <w:rPr>
          <w:rFonts w:ascii="Times New Roman" w:eastAsia="Times New Roman"/>
          <w:b/>
        </w:rPr>
        <w:t>2 </w:t>
      </w:r>
      <w:r>
        <w:rPr/>
        <w:t>章</w:t>
        <w:tab/>
        <w:t>保障</w:t>
      </w:r>
      <w:r>
        <w:rPr>
          <w:spacing w:val="-3"/>
        </w:rPr>
        <w:t>范</w:t>
      </w:r>
      <w:r>
        <w:rPr/>
        <w:t>围</w:t>
      </w:r>
    </w:p>
    <w:p>
      <w:pPr>
        <w:pStyle w:val="ListParagraph"/>
        <w:numPr>
          <w:ilvl w:val="1"/>
          <w:numId w:val="3"/>
        </w:numPr>
        <w:tabs>
          <w:tab w:pos="947" w:val="left" w:leader="none"/>
          <w:tab w:pos="948" w:val="left" w:leader="none"/>
          <w:tab w:pos="2565" w:val="left" w:leader="none"/>
        </w:tabs>
        <w:spacing w:line="240" w:lineRule="auto" w:before="191" w:after="0"/>
        <w:ind w:left="2565" w:right="0" w:hanging="2098"/>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8"/>
        <w:rPr>
          <w:sz w:val="18"/>
        </w:rPr>
      </w:pPr>
    </w:p>
    <w:p>
      <w:pPr>
        <w:pStyle w:val="BodyText"/>
        <w:spacing w:line="235" w:lineRule="auto"/>
        <w:ind w:left="2565" w:right="98"/>
      </w:pPr>
      <w:r>
        <w:rPr>
          <w:spacing w:val="-2"/>
        </w:rPr>
        <w:t>自本附加合同</w:t>
      </w:r>
      <w:r>
        <w:rPr/>
        <w:t>Th</w:t>
      </w:r>
      <w:r>
        <w:rPr>
          <w:spacing w:val="-2"/>
        </w:rPr>
        <w:t>效日</w:t>
      </w:r>
      <w:r>
        <w:rPr/>
        <w:t>（</w:t>
      </w:r>
      <w:r>
        <w:rPr>
          <w:spacing w:val="-3"/>
        </w:rPr>
        <w:t>或最后复效日）</w:t>
      </w:r>
      <w:r>
        <w:rPr>
          <w:spacing w:val="-14"/>
        </w:rPr>
        <w:t>起 </w:t>
      </w:r>
      <w:r>
        <w:rPr/>
        <w:t>90</w:t>
      </w:r>
      <w:r>
        <w:rPr>
          <w:spacing w:val="-11"/>
        </w:rPr>
        <w:t> 天内</w:t>
      </w:r>
      <w:r>
        <w:rPr/>
        <w:t>（</w:t>
      </w:r>
      <w:r>
        <w:rPr>
          <w:spacing w:val="-11"/>
        </w:rPr>
        <w:t>含第 </w:t>
      </w:r>
      <w:r>
        <w:rPr/>
        <w:t>90</w:t>
      </w:r>
      <w:r>
        <w:rPr>
          <w:spacing w:val="-15"/>
        </w:rPr>
        <w:t> 天</w:t>
      </w:r>
      <w:r>
        <w:rPr/>
        <w:t>）</w:t>
      </w:r>
      <w:r>
        <w:rPr>
          <w:spacing w:val="-3"/>
        </w:rPr>
        <w:t>的期间为等待期。如果被保险人在等待期内发Th或确诊患本附加合同附表所列任何</w:t>
      </w:r>
      <w:r>
        <w:rPr>
          <w:spacing w:val="-9"/>
          <w:w w:val="100"/>
        </w:rPr>
        <w:t>一种重大疾病</w:t>
      </w:r>
      <w:r>
        <w:rPr>
          <w:w w:val="100"/>
        </w:rPr>
        <w:t>（见</w:t>
      </w:r>
      <w:r>
        <w:rPr>
          <w:spacing w:val="-55"/>
        </w:rPr>
        <w:t> </w:t>
      </w:r>
      <w:r>
        <w:rPr>
          <w:w w:val="100"/>
        </w:rPr>
        <w:t>8.3</w:t>
      </w:r>
      <w:r>
        <w:rPr>
          <w:spacing w:val="-108"/>
          <w:w w:val="100"/>
        </w:rPr>
        <w:t>）</w:t>
      </w:r>
      <w:r>
        <w:rPr>
          <w:spacing w:val="-8"/>
          <w:w w:val="100"/>
        </w:rPr>
        <w:t>，我们将无息退回您已缴纳的本附加合同的保险费，</w:t>
      </w:r>
      <w:r>
        <w:rPr>
          <w:spacing w:val="-7"/>
        </w:rPr>
        <w:t>同时本附加合同终止。但如果被保险人因意外伤害事故</w:t>
      </w:r>
      <w:r>
        <w:rPr>
          <w:spacing w:val="-3"/>
        </w:rPr>
        <w:t>（</w:t>
      </w:r>
      <w:r>
        <w:rPr>
          <w:spacing w:val="-21"/>
        </w:rPr>
        <w:t>见 </w:t>
      </w:r>
      <w:r>
        <w:rPr>
          <w:rFonts w:ascii="Times New Roman" w:eastAsia="Times New Roman"/>
          <w:spacing w:val="-4"/>
        </w:rPr>
        <w:t>8.4</w:t>
      </w:r>
      <w:r>
        <w:rPr>
          <w:spacing w:val="-4"/>
        </w:rPr>
        <w:t>）</w:t>
      </w:r>
      <w:r>
        <w:rPr>
          <w:spacing w:val="-2"/>
        </w:rPr>
        <w:t>导致患本</w:t>
      </w:r>
      <w:r>
        <w:rPr>
          <w:spacing w:val="-3"/>
        </w:rPr>
        <w:t>附加合同附表所列任何一种重大疾病，则无等待期。</w:t>
      </w:r>
    </w:p>
    <w:p>
      <w:pPr>
        <w:pStyle w:val="BodyText"/>
        <w:spacing w:before="3"/>
        <w:rPr>
          <w:sz w:val="18"/>
        </w:rPr>
      </w:pPr>
    </w:p>
    <w:p>
      <w:pPr>
        <w:pStyle w:val="BodyText"/>
        <w:ind w:left="2565"/>
      </w:pPr>
      <w:r>
        <w:rPr/>
        <w:t>重大疾病保险金</w:t>
      </w:r>
    </w:p>
    <w:p>
      <w:pPr>
        <w:pStyle w:val="BodyText"/>
        <w:spacing w:before="11"/>
        <w:rPr>
          <w:sz w:val="18"/>
        </w:rPr>
      </w:pPr>
    </w:p>
    <w:p>
      <w:pPr>
        <w:pStyle w:val="BodyText"/>
        <w:spacing w:line="232" w:lineRule="auto" w:before="1"/>
        <w:ind w:left="2565" w:right="184"/>
        <w:jc w:val="both"/>
      </w:pPr>
      <w:r>
        <w:rPr>
          <w:spacing w:val="-3"/>
        </w:rPr>
        <w:t>在等待期后，按本附加合同附表对重大疾病（</w:t>
      </w:r>
      <w:r>
        <w:rPr>
          <w:spacing w:val="-16"/>
        </w:rPr>
        <w:t>见 </w:t>
      </w:r>
      <w:r>
        <w:rPr>
          <w:rFonts w:ascii="Times New Roman" w:eastAsia="Times New Roman"/>
        </w:rPr>
        <w:t>8.3</w:t>
      </w:r>
      <w:r>
        <w:rPr/>
        <w:t>）</w:t>
      </w:r>
      <w:r>
        <w:rPr>
          <w:spacing w:val="-3"/>
        </w:rPr>
        <w:t>的定义和诊断标准， 如果被保险人初次发生并被专科医</w:t>
      </w:r>
      <w:r>
        <w:rPr>
          <w:spacing w:val="-5"/>
        </w:rPr>
        <w:t>Th（</w:t>
      </w:r>
      <w:r>
        <w:rPr>
          <w:spacing w:val="-16"/>
        </w:rPr>
        <w:t>见 </w:t>
      </w:r>
      <w:r>
        <w:rPr>
          <w:rFonts w:ascii="Times New Roman" w:eastAsia="Times New Roman"/>
          <w:spacing w:val="-4"/>
        </w:rPr>
        <w:t>8.5</w:t>
      </w:r>
      <w:r>
        <w:rPr>
          <w:spacing w:val="-4"/>
        </w:rPr>
        <w:t>）</w:t>
      </w:r>
      <w:r>
        <w:rPr>
          <w:spacing w:val="-3"/>
        </w:rPr>
        <w:t>确诊患本附加合同附表所列任何一种重大疾病，我们将按本附加合同的基本保险金额给付重大疾病保险金，本附加合同终止。主合同基本保险金额按给付的重大疾病保险金等额减少，主合同所减少的基本保险金额没有对应的现金价值退还，主合同</w:t>
      </w:r>
    </w:p>
    <w:p>
      <w:pPr>
        <w:spacing w:after="0" w:line="232" w:lineRule="auto"/>
        <w:jc w:val="both"/>
        <w:sectPr>
          <w:type w:val="continuous"/>
          <w:pgSz w:w="11900" w:h="16840"/>
          <w:pgMar w:top="1220" w:bottom="280" w:left="1320" w:right="1000"/>
        </w:sectPr>
      </w:pPr>
    </w:p>
    <w:p>
      <w:pPr>
        <w:pStyle w:val="BodyText"/>
        <w:spacing w:line="237" w:lineRule="auto" w:before="27"/>
        <w:ind w:left="2565" w:right="126"/>
        <w:jc w:val="both"/>
      </w:pPr>
      <w:r>
        <w:rPr/>
        <w:t>约定的与基本保险金额有关的各项保险责任及保险单上载明的现金价值按减少后的基本保险金额确定。当主合同基本保险金额减少为零时，主合同终止。</w:t>
      </w:r>
    </w:p>
    <w:p>
      <w:pPr>
        <w:pStyle w:val="BodyText"/>
        <w:spacing w:before="1"/>
        <w:rPr>
          <w:sz w:val="19"/>
        </w:rPr>
      </w:pPr>
    </w:p>
    <w:p>
      <w:pPr>
        <w:pStyle w:val="ListParagraph"/>
        <w:numPr>
          <w:ilvl w:val="1"/>
          <w:numId w:val="3"/>
        </w:numPr>
        <w:tabs>
          <w:tab w:pos="947" w:val="left" w:leader="none"/>
          <w:tab w:pos="948" w:val="left" w:leader="none"/>
          <w:tab w:pos="2565" w:val="left" w:leader="none"/>
        </w:tabs>
        <w:spacing w:line="235" w:lineRule="auto" w:before="0" w:after="0"/>
        <w:ind w:left="2565" w:right="126" w:hanging="2098"/>
        <w:jc w:val="left"/>
        <w:rPr>
          <w:sz w:val="21"/>
        </w:rPr>
      </w:pPr>
      <w:r>
        <w:rPr>
          <w:sz w:val="21"/>
        </w:rPr>
        <w:t>责任</w:t>
      </w:r>
      <w:r>
        <w:rPr>
          <w:spacing w:val="-3"/>
          <w:sz w:val="21"/>
        </w:rPr>
        <w:t>免</w:t>
      </w:r>
      <w:r>
        <w:rPr>
          <w:sz w:val="21"/>
        </w:rPr>
        <w:t>除</w:t>
        <w:tab/>
        <w:t>如果由于以下任何一种情形，导致被保险人患本附加合同附表所列任何一 种重</w:t>
      </w:r>
      <w:r>
        <w:rPr>
          <w:spacing w:val="-3"/>
          <w:sz w:val="21"/>
        </w:rPr>
        <w:t>大</w:t>
      </w:r>
      <w:r>
        <w:rPr>
          <w:sz w:val="21"/>
        </w:rPr>
        <w:t>疾</w:t>
      </w:r>
      <w:r>
        <w:rPr>
          <w:spacing w:val="-3"/>
          <w:sz w:val="21"/>
        </w:rPr>
        <w:t>病</w:t>
      </w:r>
      <w:r>
        <w:rPr>
          <w:sz w:val="21"/>
        </w:rPr>
        <w:t>，</w:t>
      </w:r>
      <w:r>
        <w:rPr>
          <w:spacing w:val="-3"/>
          <w:sz w:val="21"/>
        </w:rPr>
        <w:t>我</w:t>
      </w:r>
      <w:r>
        <w:rPr>
          <w:sz w:val="21"/>
        </w:rPr>
        <w:t>们</w:t>
      </w:r>
      <w:r>
        <w:rPr>
          <w:spacing w:val="-3"/>
          <w:sz w:val="21"/>
        </w:rPr>
        <w:t>不</w:t>
      </w:r>
      <w:r>
        <w:rPr>
          <w:sz w:val="21"/>
        </w:rPr>
        <w:t>承</w:t>
      </w:r>
      <w:r>
        <w:rPr>
          <w:spacing w:val="-3"/>
          <w:sz w:val="21"/>
        </w:rPr>
        <w:t>担</w:t>
      </w:r>
      <w:r>
        <w:rPr>
          <w:sz w:val="21"/>
        </w:rPr>
        <w:t>保险</w:t>
      </w:r>
      <w:r>
        <w:rPr>
          <w:spacing w:val="-3"/>
          <w:sz w:val="21"/>
        </w:rPr>
        <w:t>责</w:t>
      </w:r>
      <w:r>
        <w:rPr>
          <w:sz w:val="21"/>
        </w:rPr>
        <w:t>任</w:t>
      </w:r>
      <w:r>
        <w:rPr>
          <w:spacing w:val="-3"/>
          <w:sz w:val="21"/>
        </w:rPr>
        <w:t>，</w:t>
      </w:r>
      <w:r>
        <w:rPr>
          <w:sz w:val="21"/>
        </w:rPr>
        <w:t>同</w:t>
      </w:r>
      <w:r>
        <w:rPr>
          <w:spacing w:val="-3"/>
          <w:sz w:val="21"/>
        </w:rPr>
        <w:t>时</w:t>
      </w:r>
      <w:r>
        <w:rPr>
          <w:sz w:val="21"/>
        </w:rPr>
        <w:t>本</w:t>
      </w:r>
      <w:r>
        <w:rPr>
          <w:spacing w:val="-3"/>
          <w:sz w:val="21"/>
        </w:rPr>
        <w:t>附</w:t>
      </w:r>
      <w:r>
        <w:rPr>
          <w:sz w:val="21"/>
        </w:rPr>
        <w:t>加</w:t>
      </w:r>
      <w:r>
        <w:rPr>
          <w:spacing w:val="-3"/>
          <w:sz w:val="21"/>
        </w:rPr>
        <w:t>合</w:t>
      </w:r>
      <w:r>
        <w:rPr>
          <w:sz w:val="21"/>
        </w:rPr>
        <w:t>同终</w:t>
      </w:r>
      <w:r>
        <w:rPr>
          <w:spacing w:val="-3"/>
          <w:sz w:val="21"/>
        </w:rPr>
        <w:t>止</w:t>
      </w:r>
      <w:r>
        <w:rPr>
          <w:sz w:val="21"/>
        </w:rPr>
        <w:t>：</w:t>
      </w:r>
    </w:p>
    <w:p>
      <w:pPr>
        <w:pStyle w:val="BodyText"/>
        <w:spacing w:before="5"/>
        <w:rPr>
          <w:sz w:val="18"/>
        </w:rPr>
      </w:pPr>
    </w:p>
    <w:p>
      <w:pPr>
        <w:pStyle w:val="BodyText"/>
        <w:spacing w:line="273" w:lineRule="exact"/>
        <w:ind w:left="2565"/>
        <w:jc w:val="both"/>
      </w:pPr>
      <w:r>
        <w:rPr/>
        <w:t>1、 投保人对被保险人的故意杀害、故意伤害；</w:t>
      </w:r>
    </w:p>
    <w:p>
      <w:pPr>
        <w:pStyle w:val="BodyText"/>
        <w:spacing w:line="272" w:lineRule="exact"/>
        <w:ind w:left="2565"/>
        <w:jc w:val="both"/>
      </w:pPr>
      <w:r>
        <w:rPr/>
        <w:t>2、 被保险人故意犯罪或抗拒依法采取的刑事强制措施；</w:t>
      </w:r>
    </w:p>
    <w:p>
      <w:pPr>
        <w:pStyle w:val="BodyText"/>
        <w:spacing w:line="274" w:lineRule="exact"/>
        <w:ind w:left="2565"/>
        <w:jc w:val="both"/>
      </w:pPr>
      <w:r>
        <w:rPr/>
        <w:t>3、 被保险人自伤；</w:t>
      </w:r>
    </w:p>
    <w:p>
      <w:pPr>
        <w:pStyle w:val="BodyText"/>
        <w:spacing w:line="274" w:lineRule="exact"/>
        <w:ind w:left="2565"/>
        <w:jc w:val="both"/>
      </w:pPr>
      <w:r>
        <w:rPr>
          <w:w w:val="100"/>
        </w:rPr>
        <w:t>4、</w:t>
      </w:r>
      <w:r>
        <w:rPr>
          <w:spacing w:val="-2"/>
        </w:rPr>
        <w:t> </w:t>
      </w:r>
      <w:r>
        <w:rPr>
          <w:spacing w:val="-3"/>
          <w:w w:val="100"/>
        </w:rPr>
        <w:t>被保险人主动吸食或注射毒品（</w:t>
      </w:r>
      <w:r>
        <w:rPr>
          <w:w w:val="100"/>
        </w:rPr>
        <w:t>见</w:t>
      </w:r>
      <w:r>
        <w:rPr>
          <w:spacing w:val="-53"/>
        </w:rPr>
        <w:t> </w:t>
      </w:r>
      <w:r>
        <w:rPr>
          <w:spacing w:val="-3"/>
          <w:w w:val="100"/>
        </w:rPr>
        <w:t>8</w:t>
      </w:r>
      <w:r>
        <w:rPr>
          <w:w w:val="100"/>
        </w:rPr>
        <w:t>.6</w:t>
      </w:r>
      <w:r>
        <w:rPr>
          <w:spacing w:val="-108"/>
          <w:w w:val="100"/>
        </w:rPr>
        <w:t>）</w:t>
      </w:r>
      <w:r>
        <w:rPr>
          <w:w w:val="100"/>
        </w:rPr>
        <w:t>；</w:t>
      </w:r>
    </w:p>
    <w:p>
      <w:pPr>
        <w:pStyle w:val="BodyText"/>
        <w:spacing w:line="237" w:lineRule="auto" w:before="2"/>
        <w:ind w:left="2985" w:right="126" w:hanging="420"/>
      </w:pPr>
      <w:r>
        <w:rPr>
          <w:w w:val="100"/>
        </w:rPr>
        <w:t>5、</w:t>
      </w:r>
      <w:r>
        <w:rPr/>
        <w:t> </w:t>
      </w:r>
      <w:r>
        <w:rPr>
          <w:spacing w:val="-4"/>
          <w:w w:val="100"/>
        </w:rPr>
        <w:t>被保险人酒后驾驶</w:t>
      </w:r>
      <w:r>
        <w:rPr>
          <w:w w:val="100"/>
        </w:rPr>
        <w:t>（见</w:t>
      </w:r>
      <w:r>
        <w:rPr>
          <w:spacing w:val="-53"/>
        </w:rPr>
        <w:t> </w:t>
      </w:r>
      <w:r>
        <w:rPr>
          <w:spacing w:val="-3"/>
          <w:w w:val="100"/>
        </w:rPr>
        <w:t>8.</w:t>
      </w:r>
      <w:r>
        <w:rPr>
          <w:w w:val="100"/>
        </w:rPr>
        <w:t>7</w:t>
      </w:r>
      <w:r>
        <w:rPr>
          <w:spacing w:val="-106"/>
          <w:w w:val="100"/>
        </w:rPr>
        <w:t>）</w:t>
      </w:r>
      <w:r>
        <w:rPr>
          <w:spacing w:val="-4"/>
          <w:w w:val="100"/>
        </w:rPr>
        <w:t>，无合法有效驾驶证驾驶</w:t>
      </w:r>
      <w:r>
        <w:rPr>
          <w:spacing w:val="-3"/>
          <w:w w:val="100"/>
        </w:rPr>
        <w:t>（</w:t>
      </w:r>
      <w:r>
        <w:rPr>
          <w:w w:val="100"/>
        </w:rPr>
        <w:t>见</w:t>
      </w:r>
      <w:r>
        <w:rPr>
          <w:spacing w:val="-53"/>
        </w:rPr>
        <w:t> </w:t>
      </w:r>
      <w:r>
        <w:rPr>
          <w:w w:val="100"/>
        </w:rPr>
        <w:t>8</w:t>
      </w:r>
      <w:r>
        <w:rPr>
          <w:spacing w:val="-3"/>
          <w:w w:val="100"/>
        </w:rPr>
        <w:t>.</w:t>
      </w:r>
      <w:r>
        <w:rPr>
          <w:w w:val="100"/>
        </w:rPr>
        <w:t>8</w:t>
      </w:r>
      <w:r>
        <w:rPr>
          <w:spacing w:val="-106"/>
          <w:w w:val="100"/>
        </w:rPr>
        <w:t>）</w:t>
      </w:r>
      <w:r>
        <w:rPr>
          <w:spacing w:val="-3"/>
          <w:w w:val="100"/>
        </w:rPr>
        <w:t>，或驾</w:t>
      </w:r>
      <w:r>
        <w:rPr>
          <w:spacing w:val="-3"/>
        </w:rPr>
        <w:t>驶无有效行驶证（</w:t>
      </w:r>
      <w:r>
        <w:rPr>
          <w:spacing w:val="-20"/>
        </w:rPr>
        <w:t>见 </w:t>
      </w:r>
      <w:r>
        <w:rPr/>
        <w:t>8.9）</w:t>
      </w:r>
      <w:r>
        <w:rPr>
          <w:spacing w:val="-3"/>
        </w:rPr>
        <w:t>的机动车；</w:t>
      </w:r>
    </w:p>
    <w:p>
      <w:pPr>
        <w:pStyle w:val="BodyText"/>
        <w:spacing w:line="273" w:lineRule="exact"/>
        <w:ind w:left="2565"/>
      </w:pPr>
      <w:r>
        <w:rPr/>
        <w:t>6、 战争、军事冲突、暴乱或武装叛乱；</w:t>
      </w:r>
    </w:p>
    <w:p>
      <w:pPr>
        <w:pStyle w:val="BodyText"/>
        <w:spacing w:line="274" w:lineRule="exact"/>
        <w:ind w:left="2565"/>
      </w:pPr>
      <w:r>
        <w:rPr/>
        <w:t>7、 核爆炸、核辐射或核污染；</w:t>
      </w:r>
    </w:p>
    <w:p>
      <w:pPr>
        <w:pStyle w:val="BodyText"/>
        <w:spacing w:line="237" w:lineRule="auto" w:before="1"/>
        <w:ind w:left="2985" w:right="126" w:hanging="420"/>
      </w:pPr>
      <w:r>
        <w:rPr>
          <w:w w:val="100"/>
        </w:rPr>
        <w:t>8、</w:t>
      </w:r>
      <w:r>
        <w:rPr>
          <w:spacing w:val="-2"/>
        </w:rPr>
        <w:t> </w:t>
      </w:r>
      <w:r>
        <w:rPr>
          <w:spacing w:val="-5"/>
          <w:w w:val="100"/>
        </w:rPr>
        <w:t>被保险人感染艾滋病病毒</w:t>
      </w:r>
      <w:r>
        <w:rPr>
          <w:w w:val="100"/>
        </w:rPr>
        <w:t>（HIV</w:t>
      </w:r>
      <w:r>
        <w:rPr>
          <w:spacing w:val="-22"/>
          <w:w w:val="100"/>
        </w:rPr>
        <w:t>）</w:t>
      </w:r>
      <w:r>
        <w:rPr>
          <w:spacing w:val="-7"/>
          <w:w w:val="100"/>
        </w:rPr>
        <w:t>或患艾滋病</w:t>
      </w:r>
      <w:r>
        <w:rPr>
          <w:w w:val="100"/>
        </w:rPr>
        <w:t>（AI</w:t>
      </w:r>
      <w:r>
        <w:rPr>
          <w:spacing w:val="-3"/>
          <w:w w:val="100"/>
        </w:rPr>
        <w:t>DS</w:t>
      </w:r>
      <w:r>
        <w:rPr>
          <w:spacing w:val="-125"/>
          <w:w w:val="100"/>
        </w:rPr>
        <w:t>）</w:t>
      </w:r>
      <w:r>
        <w:rPr>
          <w:w w:val="100"/>
        </w:rPr>
        <w:t>（见</w:t>
      </w:r>
      <w:r>
        <w:rPr>
          <w:spacing w:val="-53"/>
        </w:rPr>
        <w:t> </w:t>
      </w:r>
      <w:r>
        <w:rPr>
          <w:spacing w:val="-3"/>
          <w:w w:val="100"/>
        </w:rPr>
        <w:t>8</w:t>
      </w:r>
      <w:r>
        <w:rPr>
          <w:w w:val="100"/>
        </w:rPr>
        <w:t>.10</w:t>
      </w:r>
      <w:r>
        <w:rPr>
          <w:spacing w:val="-108"/>
          <w:w w:val="100"/>
        </w:rPr>
        <w:t>）</w:t>
      </w:r>
      <w:r>
        <w:rPr>
          <w:w w:val="100"/>
        </w:rPr>
        <w:t>（</w:t>
      </w:r>
      <w:r>
        <w:rPr>
          <w:spacing w:val="-2"/>
          <w:w w:val="100"/>
        </w:rPr>
        <w:t>因本</w:t>
      </w:r>
      <w:r>
        <w:rPr>
          <w:spacing w:val="-3"/>
          <w:w w:val="100"/>
        </w:rPr>
        <w:t>附加合同附表所列第</w:t>
      </w:r>
      <w:r>
        <w:rPr>
          <w:spacing w:val="-53"/>
        </w:rPr>
        <w:t> </w:t>
      </w:r>
      <w:r>
        <w:rPr>
          <w:w w:val="100"/>
        </w:rPr>
        <w:t>32</w:t>
      </w:r>
      <w:r>
        <w:rPr>
          <w:spacing w:val="-55"/>
        </w:rPr>
        <w:t> </w:t>
      </w:r>
      <w:r>
        <w:rPr>
          <w:spacing w:val="-2"/>
          <w:w w:val="100"/>
        </w:rPr>
        <w:t>项、第</w:t>
      </w:r>
      <w:r>
        <w:rPr>
          <w:spacing w:val="-53"/>
        </w:rPr>
        <w:t> </w:t>
      </w:r>
      <w:r>
        <w:rPr>
          <w:spacing w:val="-3"/>
          <w:w w:val="100"/>
        </w:rPr>
        <w:t>3</w:t>
      </w:r>
      <w:r>
        <w:rPr>
          <w:w w:val="100"/>
        </w:rPr>
        <w:t>3</w:t>
      </w:r>
      <w:r>
        <w:rPr>
          <w:spacing w:val="-53"/>
        </w:rPr>
        <w:t> </w:t>
      </w:r>
      <w:r>
        <w:rPr>
          <w:spacing w:val="-2"/>
          <w:w w:val="100"/>
        </w:rPr>
        <w:t>项和第</w:t>
      </w:r>
      <w:r>
        <w:rPr>
          <w:spacing w:val="-55"/>
        </w:rPr>
        <w:t> </w:t>
      </w:r>
      <w:r>
        <w:rPr>
          <w:w w:val="100"/>
        </w:rPr>
        <w:t>80</w:t>
      </w:r>
      <w:r>
        <w:rPr>
          <w:spacing w:val="-53"/>
        </w:rPr>
        <w:t> </w:t>
      </w:r>
      <w:r>
        <w:rPr>
          <w:spacing w:val="-3"/>
          <w:w w:val="100"/>
        </w:rPr>
        <w:t>项所导致的除外</w:t>
      </w:r>
      <w:r>
        <w:rPr>
          <w:spacing w:val="-108"/>
          <w:w w:val="100"/>
        </w:rPr>
        <w:t>）</w:t>
      </w:r>
      <w:r>
        <w:rPr>
          <w:w w:val="100"/>
        </w:rPr>
        <w:t>；</w:t>
      </w:r>
    </w:p>
    <w:p>
      <w:pPr>
        <w:pStyle w:val="BodyText"/>
        <w:spacing w:line="289" w:lineRule="exact"/>
        <w:ind w:left="2565"/>
      </w:pPr>
      <w:r>
        <w:rPr>
          <w:rFonts w:ascii="Times New Roman" w:eastAsia="Times New Roman"/>
          <w:w w:val="100"/>
        </w:rPr>
        <w:t>9</w:t>
      </w:r>
      <w:r>
        <w:rPr>
          <w:w w:val="100"/>
        </w:rPr>
        <w:t>、</w:t>
      </w:r>
      <w:r>
        <w:rPr>
          <w:spacing w:val="-2"/>
        </w:rPr>
        <w:t> </w:t>
      </w:r>
      <w:r>
        <w:rPr>
          <w:spacing w:val="-2"/>
          <w:w w:val="100"/>
        </w:rPr>
        <w:t>遗传性疾病</w:t>
      </w:r>
      <w:r>
        <w:rPr>
          <w:spacing w:val="-3"/>
          <w:w w:val="100"/>
        </w:rPr>
        <w:t>（</w:t>
      </w:r>
      <w:r>
        <w:rPr>
          <w:w w:val="100"/>
        </w:rPr>
        <w:t>见</w:t>
      </w:r>
      <w:r>
        <w:rPr>
          <w:spacing w:val="-53"/>
        </w:rPr>
        <w:t> </w:t>
      </w:r>
      <w:r>
        <w:rPr>
          <w:w w:val="100"/>
        </w:rPr>
        <w:t>8.</w:t>
      </w:r>
      <w:r>
        <w:rPr>
          <w:spacing w:val="-3"/>
          <w:w w:val="100"/>
        </w:rPr>
        <w:t>1</w:t>
      </w:r>
      <w:r>
        <w:rPr>
          <w:w w:val="100"/>
        </w:rPr>
        <w:t>1</w:t>
      </w:r>
      <w:r>
        <w:rPr>
          <w:spacing w:val="-106"/>
          <w:w w:val="100"/>
        </w:rPr>
        <w:t>）</w:t>
      </w:r>
      <w:r>
        <w:rPr>
          <w:spacing w:val="-3"/>
          <w:w w:val="100"/>
        </w:rPr>
        <w:t>，先天性畸形、变形或染色体异常（</w:t>
      </w:r>
      <w:r>
        <w:rPr>
          <w:w w:val="100"/>
        </w:rPr>
        <w:t>见</w:t>
      </w:r>
      <w:r>
        <w:rPr>
          <w:spacing w:val="-53"/>
        </w:rPr>
        <w:t> </w:t>
      </w:r>
      <w:r>
        <w:rPr>
          <w:w w:val="100"/>
        </w:rPr>
        <w:t>8.</w:t>
      </w:r>
      <w:r>
        <w:rPr>
          <w:spacing w:val="-3"/>
          <w:w w:val="100"/>
        </w:rPr>
        <w:t>1</w:t>
      </w:r>
      <w:r>
        <w:rPr>
          <w:w w:val="100"/>
        </w:rPr>
        <w:t>2</w:t>
      </w:r>
      <w:r>
        <w:rPr>
          <w:spacing w:val="-108"/>
          <w:w w:val="100"/>
        </w:rPr>
        <w:t>）</w:t>
      </w:r>
      <w:r>
        <w:rPr>
          <w:w w:val="100"/>
        </w:rPr>
        <w:t>。</w:t>
      </w:r>
    </w:p>
    <w:p>
      <w:pPr>
        <w:pStyle w:val="BodyText"/>
        <w:spacing w:before="9"/>
        <w:rPr>
          <w:sz w:val="17"/>
        </w:rPr>
      </w:pPr>
    </w:p>
    <w:p>
      <w:pPr>
        <w:pStyle w:val="BodyText"/>
        <w:spacing w:line="232" w:lineRule="auto"/>
        <w:ind w:left="2565" w:right="123"/>
        <w:jc w:val="both"/>
      </w:pPr>
      <w:r>
        <w:rPr/>
        <w:t>发生上述第 </w:t>
      </w:r>
      <w:r>
        <w:rPr>
          <w:rFonts w:ascii="Times New Roman" w:eastAsia="Times New Roman"/>
        </w:rPr>
        <w:t>1 </w:t>
      </w:r>
      <w:r>
        <w:rPr/>
        <w:t>种情形导致本附加合同终止的，如果您已缴足二年保险费， 我们将退还本附加合同终止时的现金价值给被保险人；如果被保险人身故的，该现金价值将作为被保险人的遗产处理。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565" w:right="123"/>
      </w:pPr>
      <w:r>
        <w:rPr/>
        <w:t>发生上述第 </w:t>
      </w:r>
      <w:r>
        <w:rPr>
          <w:rFonts w:ascii="Times New Roman" w:eastAsia="Times New Roman"/>
        </w:rPr>
        <w:t>2 </w:t>
      </w:r>
      <w:r>
        <w:rPr/>
        <w:t>种情形导致本附加合同终止的，如果您已缴足二年保险费， 我们将退还本附加合同终止时的现金价值给您。</w:t>
      </w:r>
    </w:p>
    <w:p>
      <w:pPr>
        <w:pStyle w:val="BodyText"/>
        <w:spacing w:before="7"/>
        <w:rPr>
          <w:sz w:val="19"/>
        </w:rPr>
      </w:pPr>
    </w:p>
    <w:p>
      <w:pPr>
        <w:pStyle w:val="BodyText"/>
        <w:spacing w:line="225" w:lineRule="auto"/>
        <w:ind w:left="2565" w:right="75" w:hanging="1"/>
      </w:pPr>
      <w:r>
        <w:rPr/>
        <w:t>发生上述第 </w:t>
      </w:r>
      <w:r>
        <w:rPr>
          <w:rFonts w:ascii="Times New Roman" w:eastAsia="Times New Roman"/>
        </w:rPr>
        <w:t>3 </w:t>
      </w:r>
      <w:r>
        <w:rPr/>
        <w:t>种至第 </w:t>
      </w:r>
      <w:r>
        <w:rPr>
          <w:rFonts w:ascii="Times New Roman" w:eastAsia="Times New Roman"/>
        </w:rPr>
        <w:t>9 </w:t>
      </w:r>
      <w:r>
        <w:rPr/>
        <w:t>种情形导致本附加合同终止的，我们将退还本附加合同终止时的现金价值给您。</w:t>
      </w:r>
    </w:p>
    <w:p>
      <w:pPr>
        <w:pStyle w:val="BodyText"/>
        <w:rPr>
          <w:sz w:val="20"/>
        </w:rPr>
      </w:pPr>
    </w:p>
    <w:p>
      <w:pPr>
        <w:pStyle w:val="BodyText"/>
        <w:spacing w:before="11"/>
        <w:rPr>
          <w:sz w:val="16"/>
        </w:rPr>
      </w:pPr>
    </w:p>
    <w:p>
      <w:pPr>
        <w:pStyle w:val="BodyText"/>
        <w:tabs>
          <w:tab w:pos="947" w:val="left" w:leader="none"/>
          <w:tab w:pos="2565" w:val="left" w:leader="none"/>
        </w:tabs>
        <w:spacing w:before="1"/>
        <w:ind w:left="100"/>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合</w:t>
      </w:r>
      <w:r>
        <w:rPr>
          <w:spacing w:val="-3"/>
        </w:rPr>
        <w:t>同</w:t>
      </w:r>
      <w:r>
        <w:rPr/>
        <w:t>上</w:t>
      </w:r>
      <w:r>
        <w:rPr>
          <w:spacing w:val="-3"/>
        </w:rPr>
        <w:t>载</w:t>
      </w:r>
      <w:r>
        <w:rPr/>
        <w:t>明。</w:t>
      </w:r>
    </w:p>
    <w:p>
      <w:pPr>
        <w:pStyle w:val="BodyText"/>
        <w:spacing w:before="11"/>
        <w:rPr>
          <w:sz w:val="16"/>
        </w:rPr>
      </w:pPr>
    </w:p>
    <w:p>
      <w:pPr>
        <w:pStyle w:val="BodyText"/>
        <w:ind w:left="2565" w:right="126"/>
      </w:pPr>
      <w:r>
        <w:rPr/>
        <w:t>保险费按照我们核定的保险费率计算，根据您与我们约定的基本保险金额确定。</w:t>
      </w:r>
    </w:p>
    <w:p>
      <w:pPr>
        <w:pStyle w:val="BodyText"/>
        <w:spacing w:before="3"/>
        <w:rPr>
          <w:sz w:val="18"/>
        </w:rPr>
      </w:pPr>
    </w:p>
    <w:p>
      <w:pPr>
        <w:pStyle w:val="BodyText"/>
        <w:ind w:left="2565"/>
        <w:jc w:val="both"/>
      </w:pPr>
      <w:r>
        <w:rPr/>
        <w:t>您应于保费到期日或之前向我们缴纳保险费。</w:t>
      </w:r>
    </w:p>
    <w:p>
      <w:pPr>
        <w:pStyle w:val="BodyText"/>
        <w:rPr>
          <w:sz w:val="20"/>
        </w:rPr>
      </w:pPr>
    </w:p>
    <w:p>
      <w:pPr>
        <w:spacing w:after="0"/>
        <w:rPr>
          <w:sz w:val="20"/>
        </w:rPr>
        <w:sectPr>
          <w:pgSz w:w="11900" w:h="16840"/>
          <w:pgMar w:top="1240" w:bottom="280" w:left="1320" w:right="1080"/>
        </w:sectPr>
      </w:pPr>
    </w:p>
    <w:p>
      <w:pPr>
        <w:pStyle w:val="BodyText"/>
        <w:spacing w:before="12"/>
        <w:rPr>
          <w:sz w:val="16"/>
        </w:rPr>
      </w:pPr>
    </w:p>
    <w:p>
      <w:pPr>
        <w:pStyle w:val="BodyText"/>
        <w:tabs>
          <w:tab w:pos="947" w:val="left" w:leader="none"/>
        </w:tabs>
        <w:spacing w:line="282" w:lineRule="exact"/>
        <w:ind w:left="100"/>
      </w:pPr>
      <w:r>
        <w:rPr/>
        <w:t>第</w:t>
      </w:r>
      <w:r>
        <w:rPr>
          <w:spacing w:val="-55"/>
        </w:rPr>
        <w:t> </w:t>
      </w:r>
      <w:r>
        <w:rPr>
          <w:rFonts w:ascii="Times New Roman" w:eastAsia="Times New Roman"/>
          <w:b/>
        </w:rPr>
        <w:t>4 </w:t>
      </w:r>
      <w:r>
        <w:rPr/>
        <w:t>章</w:t>
        <w:tab/>
      </w:r>
      <w:r>
        <w:rPr>
          <w:spacing w:val="26"/>
        </w:rPr>
        <w:t>附</w:t>
      </w:r>
      <w:r>
        <w:rPr>
          <w:spacing w:val="25"/>
        </w:rPr>
        <w:t>加</w:t>
      </w:r>
      <w:r>
        <w:rPr>
          <w:spacing w:val="26"/>
        </w:rPr>
        <w:t>合</w:t>
      </w:r>
      <w:r>
        <w:rPr>
          <w:spacing w:val="25"/>
        </w:rPr>
        <w:t>同</w:t>
      </w:r>
      <w:r>
        <w:rPr>
          <w:spacing w:val="26"/>
        </w:rPr>
        <w:t>效</w:t>
      </w:r>
      <w:r>
        <w:rPr/>
        <w:t>力</w:t>
      </w:r>
    </w:p>
    <w:p>
      <w:pPr>
        <w:pStyle w:val="BodyText"/>
        <w:spacing w:line="264" w:lineRule="exact"/>
        <w:ind w:left="947"/>
      </w:pPr>
      <w:r>
        <w:rPr/>
        <w:t>的中止和恢复</w:t>
      </w:r>
    </w:p>
    <w:p>
      <w:pPr>
        <w:pStyle w:val="BodyText"/>
        <w:spacing w:line="273" w:lineRule="exact"/>
        <w:ind w:left="947"/>
      </w:pPr>
      <w:r>
        <w:rPr>
          <w:w w:val="100"/>
        </w:rPr>
        <w:t>（</w:t>
      </w:r>
      <w:r>
        <w:rPr>
          <w:spacing w:val="-31"/>
          <w:w w:val="100"/>
        </w:rPr>
        <w:t>下称“复效”</w:t>
      </w:r>
      <w:r>
        <w:rPr>
          <w:w w:val="100"/>
        </w:rPr>
        <w:t>）</w:t>
      </w:r>
    </w:p>
    <w:p>
      <w:pPr>
        <w:pStyle w:val="BodyText"/>
        <w:spacing w:before="10"/>
        <w:rPr>
          <w:sz w:val="16"/>
        </w:rPr>
      </w:pPr>
      <w:r>
        <w:rPr/>
        <w:br w:type="column"/>
      </w:r>
      <w:r>
        <w:rPr>
          <w:sz w:val="16"/>
        </w:rPr>
      </w:r>
    </w:p>
    <w:p>
      <w:pPr>
        <w:pStyle w:val="BodyText"/>
        <w:ind w:left="65"/>
      </w:pPr>
      <w:r>
        <w:rPr/>
        <w:t>主合同效力中止时，本附加合同同时中止。</w:t>
      </w:r>
    </w:p>
    <w:p>
      <w:pPr>
        <w:pStyle w:val="BodyText"/>
        <w:spacing w:before="3"/>
        <w:rPr>
          <w:sz w:val="18"/>
        </w:rPr>
      </w:pPr>
    </w:p>
    <w:p>
      <w:pPr>
        <w:pStyle w:val="BodyText"/>
        <w:ind w:left="65"/>
      </w:pPr>
      <w:r>
        <w:rPr/>
        <w:t>在本附加合同效力中止期间，我们不承担保险责任。</w:t>
      </w:r>
    </w:p>
    <w:p>
      <w:pPr>
        <w:pStyle w:val="BodyText"/>
        <w:spacing w:before="8"/>
        <w:rPr>
          <w:sz w:val="18"/>
        </w:rPr>
      </w:pPr>
    </w:p>
    <w:p>
      <w:pPr>
        <w:pStyle w:val="BodyText"/>
        <w:spacing w:line="237" w:lineRule="auto"/>
        <w:ind w:left="65" w:right="126"/>
        <w:jc w:val="both"/>
      </w:pPr>
      <w:r>
        <w:rPr/>
        <w:t>本附加合同效力中止二年内，您可以书面申请恢复合同效力。经我们与您协商并达成协议，并且您已偿清欠缴的保险费，我们将出具批单或在本附加合同上进行批注，本附加合同从我们同意您的复效申请当日二十四时起恢复效力，此日期我们将在批单或批注上载明。</w:t>
      </w:r>
    </w:p>
    <w:p>
      <w:pPr>
        <w:pStyle w:val="BodyText"/>
        <w:spacing w:before="3"/>
        <w:rPr>
          <w:sz w:val="18"/>
        </w:rPr>
      </w:pPr>
    </w:p>
    <w:p>
      <w:pPr>
        <w:pStyle w:val="BodyText"/>
        <w:ind w:left="65" w:right="126"/>
        <w:jc w:val="both"/>
      </w:pPr>
      <w:r>
        <w:rPr/>
        <w:t>自本附加合同效力中止之日起满二年您和我们未达成协议的，我们有权解除合同。我们解除合同的，将向您退还合同效力中止时本附加合同的现金价值。</w:t>
      </w:r>
    </w:p>
    <w:p>
      <w:pPr>
        <w:spacing w:after="0"/>
        <w:jc w:val="both"/>
        <w:sectPr>
          <w:type w:val="continuous"/>
          <w:pgSz w:w="11900" w:h="16840"/>
          <w:pgMar w:top="1220" w:bottom="280" w:left="1320" w:right="1080"/>
          <w:cols w:num="2" w:equalWidth="0">
            <w:col w:w="2460" w:space="40"/>
            <w:col w:w="7000"/>
          </w:cols>
        </w:sectPr>
      </w:pPr>
    </w:p>
    <w:p>
      <w:pPr>
        <w:pStyle w:val="BodyText"/>
        <w:rPr>
          <w:sz w:val="20"/>
        </w:rPr>
      </w:pPr>
    </w:p>
    <w:p>
      <w:pPr>
        <w:pStyle w:val="BodyText"/>
        <w:spacing w:before="10"/>
        <w:rPr>
          <w:sz w:val="16"/>
        </w:rPr>
      </w:pPr>
    </w:p>
    <w:p>
      <w:pPr>
        <w:pStyle w:val="BodyText"/>
        <w:tabs>
          <w:tab w:pos="947" w:val="left" w:leader="none"/>
        </w:tabs>
        <w:ind w:left="100"/>
      </w:pPr>
      <w:r>
        <w:rPr/>
        <w:t>第</w:t>
      </w:r>
      <w:r>
        <w:rPr>
          <w:spacing w:val="-55"/>
        </w:rPr>
        <w:t> </w:t>
      </w:r>
      <w:r>
        <w:rPr>
          <w:rFonts w:ascii="Times New Roman" w:eastAsia="Times New Roman"/>
          <w:b/>
        </w:rPr>
        <w:t>5 </w:t>
      </w:r>
      <w:r>
        <w:rPr/>
        <w:t>章</w:t>
        <w:tab/>
        <w:t>保险</w:t>
      </w:r>
      <w:r>
        <w:rPr>
          <w:spacing w:val="-3"/>
        </w:rPr>
        <w:t>金</w:t>
      </w:r>
      <w:r>
        <w:rPr/>
        <w:t>的给付</w:t>
      </w:r>
    </w:p>
    <w:p>
      <w:pPr>
        <w:spacing w:after="0"/>
        <w:sectPr>
          <w:type w:val="continuous"/>
          <w:pgSz w:w="11900" w:h="16840"/>
          <w:pgMar w:top="1220" w:bottom="280" w:left="1320" w:right="1080"/>
        </w:sectPr>
      </w:pPr>
    </w:p>
    <w:p>
      <w:pPr>
        <w:pStyle w:val="ListParagraph"/>
        <w:numPr>
          <w:ilvl w:val="1"/>
          <w:numId w:val="4"/>
        </w:numPr>
        <w:tabs>
          <w:tab w:pos="947" w:val="left" w:leader="none"/>
          <w:tab w:pos="948" w:val="left" w:leader="none"/>
        </w:tabs>
        <w:spacing w:line="240" w:lineRule="auto" w:before="46" w:after="0"/>
        <w:ind w:left="948" w:right="0" w:hanging="480"/>
        <w:jc w:val="left"/>
        <w:rPr>
          <w:sz w:val="21"/>
        </w:rPr>
      </w:pPr>
      <w:r>
        <w:rPr>
          <w:spacing w:val="-1"/>
          <w:sz w:val="21"/>
        </w:rPr>
        <w:t>请求给付保险</w:t>
      </w:r>
      <w:r>
        <w:rPr>
          <w:spacing w:val="-2"/>
          <w:sz w:val="21"/>
        </w:rPr>
        <w:t>金的诉讼时效</w:t>
      </w:r>
    </w:p>
    <w:p>
      <w:pPr>
        <w:pStyle w:val="BodyText"/>
        <w:spacing w:before="44"/>
        <w:ind w:left="312" w:right="206"/>
      </w:pPr>
      <w:r>
        <w:rPr/>
        <w:br w:type="column"/>
      </w:r>
      <w:r>
        <w:rPr/>
        <w:t>本附加合同受益人向我们请求给付保险金的诉讼时效期间为二年，自其知道或应当知道保险事故发生之日起计算。</w:t>
      </w:r>
    </w:p>
    <w:p>
      <w:pPr>
        <w:spacing w:after="0"/>
        <w:sectPr>
          <w:pgSz w:w="11900" w:h="16840"/>
          <w:pgMar w:top="1220" w:bottom="280" w:left="1320" w:right="1000"/>
          <w:cols w:num="2" w:equalWidth="0">
            <w:col w:w="2213" w:space="40"/>
            <w:col w:w="7327"/>
          </w:cols>
        </w:sectPr>
      </w:pPr>
    </w:p>
    <w:p>
      <w:pPr>
        <w:pStyle w:val="BodyText"/>
        <w:spacing w:before="5"/>
        <w:rPr>
          <w:sz w:val="13"/>
        </w:rPr>
      </w:pPr>
    </w:p>
    <w:p>
      <w:pPr>
        <w:spacing w:after="0"/>
        <w:rPr>
          <w:sz w:val="13"/>
        </w:rPr>
        <w:sectPr>
          <w:type w:val="continuous"/>
          <w:pgSz w:w="11900" w:h="16840"/>
          <w:pgMar w:top="1220" w:bottom="280" w:left="1320" w:right="1000"/>
        </w:sectPr>
      </w:pPr>
    </w:p>
    <w:p>
      <w:pPr>
        <w:pStyle w:val="ListParagraph"/>
        <w:numPr>
          <w:ilvl w:val="1"/>
          <w:numId w:val="4"/>
        </w:numPr>
        <w:tabs>
          <w:tab w:pos="947" w:val="left" w:leader="none"/>
          <w:tab w:pos="948" w:val="left" w:leader="none"/>
        </w:tabs>
        <w:spacing w:line="240" w:lineRule="auto" w:before="63" w:after="0"/>
        <w:ind w:left="948" w:right="0" w:hanging="480"/>
        <w:jc w:val="left"/>
        <w:rPr>
          <w:sz w:val="21"/>
        </w:rPr>
      </w:pPr>
      <w:r>
        <w:rPr>
          <w:spacing w:val="-1"/>
          <w:sz w:val="21"/>
        </w:rPr>
        <w:t>保险金受益人的指定</w:t>
      </w:r>
    </w:p>
    <w:p>
      <w:pPr>
        <w:pStyle w:val="BodyText"/>
        <w:spacing w:before="60"/>
        <w:ind w:left="312"/>
      </w:pPr>
      <w:r>
        <w:rPr/>
        <w:br w:type="column"/>
      </w:r>
      <w:r>
        <w:rPr/>
        <w:t>除另有指定外，本附加合同重大疾病保险金的受益人是被保险人本人。</w:t>
      </w:r>
    </w:p>
    <w:p>
      <w:pPr>
        <w:spacing w:after="0"/>
        <w:sectPr>
          <w:type w:val="continuous"/>
          <w:pgSz w:w="11900" w:h="16840"/>
          <w:pgMar w:top="1220" w:bottom="280" w:left="1320" w:right="1000"/>
          <w:cols w:num="2" w:equalWidth="0">
            <w:col w:w="2213" w:space="40"/>
            <w:col w:w="7327"/>
          </w:cols>
        </w:sectPr>
      </w:pPr>
    </w:p>
    <w:p>
      <w:pPr>
        <w:pStyle w:val="BodyText"/>
        <w:spacing w:before="1"/>
        <w:rPr>
          <w:sz w:val="11"/>
        </w:rPr>
      </w:pPr>
    </w:p>
    <w:p>
      <w:pPr>
        <w:spacing w:after="0"/>
        <w:rPr>
          <w:sz w:val="11"/>
        </w:rPr>
        <w:sectPr>
          <w:type w:val="continuous"/>
          <w:pgSz w:w="11900" w:h="16840"/>
          <w:pgMar w:top="1220" w:bottom="280" w:left="1320" w:right="1000"/>
        </w:sectPr>
      </w:pPr>
    </w:p>
    <w:p>
      <w:pPr>
        <w:pStyle w:val="ListParagraph"/>
        <w:numPr>
          <w:ilvl w:val="1"/>
          <w:numId w:val="4"/>
        </w:numPr>
        <w:tabs>
          <w:tab w:pos="947" w:val="left" w:leader="none"/>
          <w:tab w:pos="948" w:val="left" w:leader="none"/>
        </w:tabs>
        <w:spacing w:line="237" w:lineRule="auto" w:before="65" w:after="0"/>
        <w:ind w:left="948" w:right="0" w:hanging="480"/>
        <w:jc w:val="left"/>
        <w:rPr>
          <w:sz w:val="21"/>
        </w:rPr>
      </w:pPr>
      <w:r>
        <w:rPr>
          <w:spacing w:val="-1"/>
          <w:sz w:val="21"/>
        </w:rPr>
        <w:t>如何申请保险金</w:t>
      </w:r>
    </w:p>
    <w:p>
      <w:pPr>
        <w:pStyle w:val="BodyText"/>
        <w:spacing w:line="237" w:lineRule="auto" w:before="63"/>
        <w:ind w:left="312" w:right="206"/>
      </w:pPr>
      <w:r>
        <w:rPr/>
        <w:br w:type="column"/>
      </w:r>
      <w:r>
        <w:rPr/>
        <w:t>申请重大疾病保险金时，申请人须填写理赔申请书，并提供下列证明和资料原件：</w:t>
      </w:r>
    </w:p>
    <w:p>
      <w:pPr>
        <w:pStyle w:val="ListParagraph"/>
        <w:numPr>
          <w:ilvl w:val="0"/>
          <w:numId w:val="5"/>
        </w:numPr>
        <w:tabs>
          <w:tab w:pos="1033" w:val="left" w:leader="none"/>
        </w:tabs>
        <w:spacing w:line="281" w:lineRule="exact" w:before="0" w:after="0"/>
        <w:ind w:left="1032" w:right="0" w:hanging="720"/>
        <w:jc w:val="left"/>
        <w:rPr>
          <w:sz w:val="21"/>
        </w:rPr>
      </w:pPr>
      <w:r>
        <w:rPr>
          <w:spacing w:val="-1"/>
          <w:sz w:val="21"/>
        </w:rPr>
        <w:t>保险合同；</w:t>
      </w:r>
    </w:p>
    <w:p>
      <w:pPr>
        <w:pStyle w:val="ListParagraph"/>
        <w:numPr>
          <w:ilvl w:val="0"/>
          <w:numId w:val="5"/>
        </w:numPr>
        <w:tabs>
          <w:tab w:pos="1033" w:val="left" w:leader="none"/>
        </w:tabs>
        <w:spacing w:line="274" w:lineRule="exact" w:before="0" w:after="0"/>
        <w:ind w:left="1032" w:right="0" w:hanging="720"/>
        <w:jc w:val="left"/>
        <w:rPr>
          <w:sz w:val="21"/>
        </w:rPr>
      </w:pPr>
      <w:r>
        <w:rPr>
          <w:spacing w:val="-3"/>
          <w:sz w:val="21"/>
        </w:rPr>
        <w:t>被保险人的有效身份证件；</w:t>
      </w:r>
    </w:p>
    <w:p>
      <w:pPr>
        <w:pStyle w:val="ListParagraph"/>
        <w:numPr>
          <w:ilvl w:val="0"/>
          <w:numId w:val="5"/>
        </w:numPr>
        <w:tabs>
          <w:tab w:pos="1033" w:val="left" w:leader="none"/>
        </w:tabs>
        <w:spacing w:line="223" w:lineRule="auto" w:before="11" w:after="0"/>
        <w:ind w:left="1032" w:right="206" w:hanging="720"/>
        <w:jc w:val="left"/>
        <w:rPr>
          <w:sz w:val="21"/>
        </w:rPr>
      </w:pPr>
      <w:r>
        <w:rPr>
          <w:spacing w:val="-2"/>
          <w:sz w:val="21"/>
        </w:rPr>
        <w:t>医院</w:t>
      </w:r>
      <w:r>
        <w:rPr>
          <w:spacing w:val="-3"/>
          <w:sz w:val="21"/>
        </w:rPr>
        <w:t>（</w:t>
      </w:r>
      <w:r>
        <w:rPr>
          <w:spacing w:val="-17"/>
          <w:sz w:val="21"/>
        </w:rPr>
        <w:t>见 </w:t>
      </w:r>
      <w:r>
        <w:rPr>
          <w:rFonts w:ascii="Times New Roman" w:eastAsia="Times New Roman"/>
          <w:sz w:val="21"/>
        </w:rPr>
        <w:t>8.13</w:t>
      </w:r>
      <w:r>
        <w:rPr>
          <w:sz w:val="21"/>
        </w:rPr>
        <w:t>）</w:t>
      </w:r>
      <w:r>
        <w:rPr>
          <w:spacing w:val="-4"/>
          <w:sz w:val="21"/>
        </w:rPr>
        <w:t>诊断证明</w:t>
      </w:r>
      <w:r>
        <w:rPr>
          <w:sz w:val="21"/>
        </w:rPr>
        <w:t>（</w:t>
      </w:r>
      <w:r>
        <w:rPr>
          <w:spacing w:val="-4"/>
          <w:sz w:val="21"/>
        </w:rPr>
        <w:t>包括完整的门诊病历、出院小结或出院</w:t>
      </w:r>
      <w:r>
        <w:rPr>
          <w:spacing w:val="-3"/>
          <w:w w:val="100"/>
          <w:sz w:val="21"/>
        </w:rPr>
        <w:t>证明、相关的检查检验报告等</w:t>
      </w:r>
      <w:r>
        <w:rPr>
          <w:spacing w:val="-108"/>
          <w:w w:val="100"/>
          <w:sz w:val="21"/>
        </w:rPr>
        <w:t>）</w:t>
      </w:r>
      <w:r>
        <w:rPr>
          <w:w w:val="100"/>
          <w:sz w:val="21"/>
        </w:rPr>
        <w:t>；</w:t>
      </w:r>
    </w:p>
    <w:p>
      <w:pPr>
        <w:pStyle w:val="ListParagraph"/>
        <w:numPr>
          <w:ilvl w:val="0"/>
          <w:numId w:val="5"/>
        </w:numPr>
        <w:tabs>
          <w:tab w:pos="1033" w:val="left" w:leader="none"/>
        </w:tabs>
        <w:spacing w:line="281" w:lineRule="exact" w:before="0" w:after="0"/>
        <w:ind w:left="1032" w:right="0" w:hanging="720"/>
        <w:jc w:val="left"/>
        <w:rPr>
          <w:sz w:val="21"/>
        </w:rPr>
      </w:pPr>
      <w:r>
        <w:rPr>
          <w:spacing w:val="-3"/>
          <w:sz w:val="21"/>
        </w:rPr>
        <w:t>本附加合同附表所列相应重大疾病中明确要求的其它医疗证明；</w:t>
      </w:r>
    </w:p>
    <w:p>
      <w:pPr>
        <w:pStyle w:val="ListParagraph"/>
        <w:numPr>
          <w:ilvl w:val="0"/>
          <w:numId w:val="5"/>
        </w:numPr>
        <w:tabs>
          <w:tab w:pos="1033" w:val="left" w:leader="none"/>
        </w:tabs>
        <w:spacing w:line="225" w:lineRule="auto" w:before="9" w:after="0"/>
        <w:ind w:left="1044" w:right="206" w:hanging="732"/>
        <w:jc w:val="left"/>
        <w:rPr>
          <w:sz w:val="21"/>
        </w:rPr>
      </w:pPr>
      <w:r>
        <w:rPr>
          <w:spacing w:val="1"/>
          <w:sz w:val="21"/>
        </w:rPr>
        <w:t>所能提供的与确认保险事故的性质、原因等有关的其它证明和资料。</w:t>
      </w:r>
    </w:p>
    <w:p>
      <w:pPr>
        <w:pStyle w:val="BodyText"/>
        <w:spacing w:before="2"/>
        <w:rPr>
          <w:sz w:val="18"/>
        </w:rPr>
      </w:pPr>
    </w:p>
    <w:p>
      <w:pPr>
        <w:pStyle w:val="BodyText"/>
        <w:ind w:left="312" w:right="206"/>
      </w:pPr>
      <w:r>
        <w:rPr/>
        <w:t>以上证明和资料不完整的，我们将及时一次性通知申请人补充提供有关证明和资料。</w:t>
      </w:r>
    </w:p>
    <w:p>
      <w:pPr>
        <w:spacing w:after="0"/>
        <w:sectPr>
          <w:type w:val="continuous"/>
          <w:pgSz w:w="11900" w:h="16840"/>
          <w:pgMar w:top="1220" w:bottom="280" w:left="1320" w:right="1000"/>
          <w:cols w:num="2" w:equalWidth="0">
            <w:col w:w="2213" w:space="40"/>
            <w:col w:w="7327"/>
          </w:cols>
        </w:sectPr>
      </w:pPr>
    </w:p>
    <w:p>
      <w:pPr>
        <w:pStyle w:val="BodyText"/>
        <w:rPr>
          <w:sz w:val="20"/>
        </w:rPr>
      </w:pPr>
    </w:p>
    <w:p>
      <w:pPr>
        <w:pStyle w:val="BodyText"/>
        <w:spacing w:before="10"/>
        <w:rPr>
          <w:sz w:val="17"/>
        </w:rPr>
      </w:pPr>
    </w:p>
    <w:p>
      <w:pPr>
        <w:pStyle w:val="BodyText"/>
        <w:spacing w:line="230" w:lineRule="auto"/>
        <w:ind w:left="2565" w:right="206" w:hanging="2465"/>
        <w:jc w:val="both"/>
      </w:pPr>
      <w:r>
        <w:rPr>
          <w:spacing w:val="-26"/>
        </w:rPr>
        <w:t>第 </w:t>
      </w:r>
      <w:r>
        <w:rPr>
          <w:rFonts w:ascii="Times New Roman" w:eastAsia="Times New Roman"/>
          <w:b/>
        </w:rPr>
        <w:t>6 </w:t>
      </w:r>
      <w:r>
        <w:rPr/>
        <w:t>章  欠款的扣除    我们在给付保险金、退还本附加合同现金价值或保险费时，如果您有任何尚未偿清的保单借款、自动垫缴的保险费等款项的本金和利息或欠缴的保</w:t>
      </w:r>
      <w:r>
        <w:rPr>
          <w:spacing w:val="-3"/>
        </w:rPr>
        <w:t>险费，我们有权先行扣除上述欠款。</w:t>
      </w:r>
    </w:p>
    <w:p>
      <w:pPr>
        <w:pStyle w:val="BodyText"/>
        <w:rPr>
          <w:sz w:val="20"/>
        </w:rPr>
      </w:pPr>
    </w:p>
    <w:p>
      <w:pPr>
        <w:pStyle w:val="BodyText"/>
        <w:spacing w:before="11"/>
        <w:rPr>
          <w:sz w:val="15"/>
        </w:rPr>
      </w:pPr>
    </w:p>
    <w:p>
      <w:pPr>
        <w:spacing w:after="0"/>
        <w:rPr>
          <w:sz w:val="15"/>
        </w:rPr>
        <w:sectPr>
          <w:type w:val="continuous"/>
          <w:pgSz w:w="11900" w:h="16840"/>
          <w:pgMar w:top="1220" w:bottom="280" w:left="1320" w:right="1000"/>
        </w:sectPr>
      </w:pPr>
    </w:p>
    <w:p>
      <w:pPr>
        <w:pStyle w:val="BodyText"/>
        <w:tabs>
          <w:tab w:pos="947" w:val="left" w:leader="none"/>
        </w:tabs>
        <w:spacing w:line="282" w:lineRule="exact" w:before="45"/>
        <w:ind w:left="100"/>
      </w:pPr>
      <w:r>
        <w:rPr/>
        <w:t>第</w:t>
      </w:r>
      <w:r>
        <w:rPr>
          <w:spacing w:val="-55"/>
        </w:rPr>
        <w:t> </w:t>
      </w:r>
      <w:r>
        <w:rPr>
          <w:rFonts w:ascii="Times New Roman" w:eastAsia="Times New Roman"/>
          <w:b/>
        </w:rPr>
        <w:t>7 </w:t>
      </w:r>
      <w:r>
        <w:rPr/>
        <w:t>章</w:t>
        <w:tab/>
        <w:t>附加</w:t>
      </w:r>
      <w:r>
        <w:rPr>
          <w:spacing w:val="-3"/>
        </w:rPr>
        <w:t>合</w:t>
      </w:r>
      <w:r>
        <w:rPr/>
        <w:t>同效力</w:t>
      </w:r>
    </w:p>
    <w:p>
      <w:pPr>
        <w:pStyle w:val="BodyText"/>
        <w:spacing w:line="266" w:lineRule="exact"/>
        <w:ind w:left="947"/>
      </w:pPr>
      <w:r>
        <w:rPr/>
        <w:t>的终止</w:t>
      </w:r>
    </w:p>
    <w:p>
      <w:pPr>
        <w:pStyle w:val="BodyText"/>
        <w:spacing w:before="43"/>
        <w:ind w:left="100"/>
      </w:pPr>
      <w:r>
        <w:rPr/>
        <w:br w:type="column"/>
      </w:r>
      <w:r>
        <w:rPr/>
        <w:t>发生下列任何一种情形时，本附加合同终止：</w:t>
      </w:r>
    </w:p>
    <w:p>
      <w:pPr>
        <w:pStyle w:val="BodyText"/>
        <w:spacing w:before="3"/>
        <w:rPr>
          <w:sz w:val="18"/>
        </w:rPr>
      </w:pPr>
    </w:p>
    <w:p>
      <w:pPr>
        <w:pStyle w:val="BodyText"/>
        <w:spacing w:line="282" w:lineRule="exact"/>
        <w:ind w:left="155"/>
      </w:pPr>
      <w:r>
        <w:rPr>
          <w:rFonts w:ascii="Times New Roman" w:eastAsia="Times New Roman"/>
        </w:rPr>
        <w:t>1</w:t>
      </w:r>
      <w:r>
        <w:rPr/>
        <w:t>、 投保人解除合同。请您填写解除合同申请书并向我们提供下列资料：</w:t>
      </w:r>
    </w:p>
    <w:p>
      <w:pPr>
        <w:pStyle w:val="BodyText"/>
        <w:spacing w:line="274" w:lineRule="exact"/>
        <w:ind w:left="575"/>
        <w:jc w:val="both"/>
      </w:pPr>
      <w:r>
        <w:rPr/>
        <w:t>（</w:t>
      </w:r>
      <w:r>
        <w:rPr>
          <w:rFonts w:ascii="Times New Roman" w:eastAsia="Times New Roman"/>
        </w:rPr>
        <w:t>1</w:t>
      </w:r>
      <w:r>
        <w:rPr/>
        <w:t>）保险合同</w:t>
      </w:r>
    </w:p>
    <w:p>
      <w:pPr>
        <w:pStyle w:val="BodyText"/>
        <w:spacing w:line="274" w:lineRule="exact"/>
        <w:ind w:left="575"/>
        <w:jc w:val="both"/>
      </w:pPr>
      <w:r>
        <w:rPr/>
        <w:t>（</w:t>
      </w:r>
      <w:r>
        <w:rPr>
          <w:rFonts w:ascii="Times New Roman" w:eastAsia="Times New Roman"/>
        </w:rPr>
        <w:t>2</w:t>
      </w:r>
      <w:r>
        <w:rPr/>
        <w:t>）投保人的有效身份证件</w:t>
      </w:r>
    </w:p>
    <w:p>
      <w:pPr>
        <w:pStyle w:val="BodyText"/>
        <w:spacing w:line="230" w:lineRule="auto" w:before="2"/>
        <w:ind w:left="525" w:right="203"/>
        <w:jc w:val="both"/>
      </w:pPr>
      <w:r>
        <w:rPr>
          <w:spacing w:val="-8"/>
        </w:rPr>
        <w:t>自我们收到解除合同申请书时起，本附加合同终止。我们自收到解除合</w:t>
      </w:r>
      <w:r>
        <w:rPr>
          <w:spacing w:val="-9"/>
        </w:rPr>
        <w:t>同申请书之日起 </w:t>
      </w:r>
      <w:r>
        <w:rPr>
          <w:rFonts w:ascii="Times New Roman" w:eastAsia="Times New Roman"/>
        </w:rPr>
        <w:t>30 </w:t>
      </w:r>
      <w:r>
        <w:rPr>
          <w:spacing w:val="-3"/>
        </w:rPr>
        <w:t>日内按合同约定向您退还本附加合同终止时的现金价值；</w:t>
      </w:r>
    </w:p>
    <w:p>
      <w:pPr>
        <w:pStyle w:val="BodyText"/>
        <w:spacing w:line="281" w:lineRule="exact"/>
        <w:ind w:left="155"/>
      </w:pPr>
      <w:r>
        <w:rPr>
          <w:rFonts w:ascii="Times New Roman" w:eastAsia="Times New Roman"/>
        </w:rPr>
        <w:t>2</w:t>
      </w:r>
      <w:r>
        <w:rPr/>
        <w:t>、 您自本附加合同效力中止之日起超过二年未书面申请恢复合同效力；</w:t>
      </w:r>
    </w:p>
    <w:p>
      <w:pPr>
        <w:pStyle w:val="BodyText"/>
        <w:spacing w:line="272" w:lineRule="exact"/>
        <w:ind w:left="155"/>
      </w:pPr>
      <w:r>
        <w:rPr>
          <w:rFonts w:ascii="Times New Roman" w:eastAsia="Times New Roman"/>
        </w:rPr>
        <w:t>3</w:t>
      </w:r>
      <w:r>
        <w:rPr/>
        <w:t>、 被保险人身故；</w:t>
      </w:r>
    </w:p>
    <w:p>
      <w:pPr>
        <w:pStyle w:val="BodyText"/>
        <w:spacing w:line="272" w:lineRule="exact"/>
        <w:ind w:left="155"/>
      </w:pPr>
      <w:r>
        <w:rPr>
          <w:rFonts w:ascii="Times New Roman" w:eastAsia="Times New Roman"/>
        </w:rPr>
        <w:t>4</w:t>
      </w:r>
      <w:r>
        <w:rPr/>
        <w:t>、 主合同终止；</w:t>
      </w:r>
    </w:p>
    <w:p>
      <w:pPr>
        <w:pStyle w:val="BodyText"/>
        <w:spacing w:line="282" w:lineRule="exact"/>
        <w:ind w:left="155"/>
      </w:pPr>
      <w:r>
        <w:rPr>
          <w:rFonts w:ascii="Times New Roman" w:eastAsia="Times New Roman"/>
        </w:rPr>
        <w:t>5</w:t>
      </w:r>
      <w:r>
        <w:rPr/>
        <w:t>、 因本附加合同其它条款或主合同条款所列情况而终止。</w:t>
      </w:r>
    </w:p>
    <w:p>
      <w:pPr>
        <w:spacing w:after="0" w:line="282" w:lineRule="exact"/>
        <w:sectPr>
          <w:type w:val="continuous"/>
          <w:pgSz w:w="11900" w:h="16840"/>
          <w:pgMar w:top="1220" w:bottom="280" w:left="1320" w:right="1000"/>
          <w:cols w:num="2" w:equalWidth="0">
            <w:col w:w="2213" w:space="199"/>
            <w:col w:w="7168"/>
          </w:cols>
        </w:sectPr>
      </w:pPr>
    </w:p>
    <w:p>
      <w:pPr>
        <w:pStyle w:val="BodyText"/>
        <w:rPr>
          <w:sz w:val="20"/>
        </w:rPr>
      </w:pPr>
    </w:p>
    <w:p>
      <w:pPr>
        <w:pStyle w:val="BodyText"/>
        <w:spacing w:before="9"/>
        <w:rPr>
          <w:sz w:val="15"/>
        </w:rPr>
      </w:pPr>
    </w:p>
    <w:p>
      <w:pPr>
        <w:pStyle w:val="BodyText"/>
        <w:tabs>
          <w:tab w:pos="947" w:val="left" w:leader="none"/>
        </w:tabs>
        <w:ind w:left="100"/>
      </w:pPr>
      <w:r>
        <w:rPr/>
        <w:t>第</w:t>
      </w:r>
      <w:r>
        <w:rPr>
          <w:spacing w:val="-55"/>
        </w:rPr>
        <w:t> </w:t>
      </w:r>
      <w:r>
        <w:rPr>
          <w:rFonts w:ascii="Times New Roman" w:eastAsia="Times New Roman"/>
          <w:b/>
        </w:rPr>
        <w:t>8 </w:t>
      </w:r>
      <w:r>
        <w:rPr/>
        <w:t>章</w:t>
        <w:tab/>
        <w:t>名词</w:t>
      </w:r>
      <w:r>
        <w:rPr>
          <w:spacing w:val="-3"/>
        </w:rPr>
        <w:t>释</w:t>
      </w:r>
      <w:r>
        <w:rPr/>
        <w:t>义</w:t>
      </w:r>
    </w:p>
    <w:p>
      <w:pPr>
        <w:pStyle w:val="ListParagraph"/>
        <w:numPr>
          <w:ilvl w:val="1"/>
          <w:numId w:val="6"/>
        </w:numPr>
        <w:tabs>
          <w:tab w:pos="947" w:val="left" w:leader="none"/>
          <w:tab w:pos="948" w:val="left" w:leader="none"/>
          <w:tab w:pos="2575" w:val="left" w:leader="none"/>
        </w:tabs>
        <w:spacing w:line="237" w:lineRule="auto" w:before="194" w:after="0"/>
        <w:ind w:left="2577" w:right="98" w:hanging="2109"/>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4"/>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6"/>
        </w:numPr>
        <w:tabs>
          <w:tab w:pos="947" w:val="left" w:leader="none"/>
          <w:tab w:pos="948" w:val="left" w:leader="none"/>
          <w:tab w:pos="2565" w:val="left" w:leader="none"/>
        </w:tabs>
        <w:spacing w:line="237" w:lineRule="auto" w:before="0" w:after="0"/>
        <w:ind w:left="2565" w:right="206" w:hanging="2097"/>
        <w:jc w:val="left"/>
        <w:rPr>
          <w:sz w:val="21"/>
        </w:rPr>
      </w:pPr>
      <w:r>
        <w:rPr>
          <w:sz w:val="21"/>
        </w:rPr>
        <w:t>现金</w:t>
      </w:r>
      <w:r>
        <w:rPr>
          <w:spacing w:val="-3"/>
          <w:sz w:val="21"/>
        </w:rPr>
        <w:t>价</w:t>
      </w:r>
      <w:r>
        <w:rPr>
          <w:sz w:val="21"/>
        </w:rPr>
        <w:t>值：</w:t>
        <w:tab/>
        <w:t>指本附加合同所具有的价值，通常体现为解除合同时，根据精算原理计算 的，</w:t>
      </w:r>
      <w:r>
        <w:rPr>
          <w:spacing w:val="-3"/>
          <w:sz w:val="21"/>
        </w:rPr>
        <w:t>由</w:t>
      </w:r>
      <w:r>
        <w:rPr>
          <w:sz w:val="21"/>
        </w:rPr>
        <w:t>我</w:t>
      </w:r>
      <w:r>
        <w:rPr>
          <w:spacing w:val="-3"/>
          <w:sz w:val="21"/>
        </w:rPr>
        <w:t>们</w:t>
      </w:r>
      <w:r>
        <w:rPr>
          <w:sz w:val="21"/>
        </w:rPr>
        <w:t>退</w:t>
      </w:r>
      <w:r>
        <w:rPr>
          <w:spacing w:val="-3"/>
          <w:sz w:val="21"/>
        </w:rPr>
        <w:t>还</w:t>
      </w:r>
      <w:r>
        <w:rPr>
          <w:sz w:val="21"/>
        </w:rPr>
        <w:t>的</w:t>
      </w:r>
      <w:r>
        <w:rPr>
          <w:spacing w:val="-3"/>
          <w:sz w:val="21"/>
        </w:rPr>
        <w:t>那</w:t>
      </w:r>
      <w:r>
        <w:rPr>
          <w:sz w:val="21"/>
        </w:rPr>
        <w:t>部</w:t>
      </w:r>
      <w:r>
        <w:rPr>
          <w:spacing w:val="-3"/>
          <w:sz w:val="21"/>
        </w:rPr>
        <w:t>分</w:t>
      </w:r>
      <w:r>
        <w:rPr>
          <w:sz w:val="21"/>
        </w:rPr>
        <w:t>金额。</w:t>
      </w:r>
    </w:p>
    <w:p>
      <w:pPr>
        <w:pStyle w:val="BodyText"/>
        <w:spacing w:before="5"/>
        <w:rPr>
          <w:sz w:val="18"/>
        </w:rPr>
      </w:pPr>
    </w:p>
    <w:p>
      <w:pPr>
        <w:pStyle w:val="ListParagraph"/>
        <w:numPr>
          <w:ilvl w:val="1"/>
          <w:numId w:val="6"/>
        </w:numPr>
        <w:tabs>
          <w:tab w:pos="947" w:val="left" w:leader="none"/>
          <w:tab w:pos="948" w:val="left" w:leader="none"/>
          <w:tab w:pos="2575" w:val="left" w:leader="none"/>
        </w:tabs>
        <w:spacing w:line="240" w:lineRule="auto" w:before="0" w:after="0"/>
        <w:ind w:left="2577" w:right="0" w:hanging="2109"/>
        <w:jc w:val="left"/>
        <w:rPr>
          <w:sz w:val="21"/>
        </w:rPr>
      </w:pPr>
      <w:r>
        <w:rPr>
          <w:sz w:val="21"/>
        </w:rPr>
        <w:t>重大</w:t>
      </w:r>
      <w:r>
        <w:rPr>
          <w:spacing w:val="-3"/>
          <w:sz w:val="21"/>
        </w:rPr>
        <w:t>疾</w:t>
      </w:r>
      <w:r>
        <w:rPr>
          <w:sz w:val="21"/>
        </w:rPr>
        <w:t>病：</w:t>
        <w:tab/>
        <w:t>指符</w:t>
      </w:r>
      <w:r>
        <w:rPr>
          <w:spacing w:val="-3"/>
          <w:sz w:val="21"/>
        </w:rPr>
        <w:t>合</w:t>
      </w:r>
      <w:r>
        <w:rPr>
          <w:sz w:val="21"/>
        </w:rPr>
        <w:t>本</w:t>
      </w:r>
      <w:r>
        <w:rPr>
          <w:spacing w:val="-3"/>
          <w:sz w:val="21"/>
        </w:rPr>
        <w:t>附</w:t>
      </w:r>
      <w:r>
        <w:rPr>
          <w:sz w:val="21"/>
        </w:rPr>
        <w:t>加</w:t>
      </w:r>
      <w:r>
        <w:rPr>
          <w:spacing w:val="-3"/>
          <w:sz w:val="21"/>
        </w:rPr>
        <w:t>合</w:t>
      </w:r>
      <w:r>
        <w:rPr>
          <w:sz w:val="21"/>
        </w:rPr>
        <w:t>同</w:t>
      </w:r>
      <w:r>
        <w:rPr>
          <w:spacing w:val="-3"/>
          <w:sz w:val="21"/>
        </w:rPr>
        <w:t>附</w:t>
      </w:r>
      <w:r>
        <w:rPr>
          <w:sz w:val="21"/>
        </w:rPr>
        <w:t>表</w:t>
      </w:r>
      <w:r>
        <w:rPr>
          <w:spacing w:val="-3"/>
          <w:sz w:val="21"/>
        </w:rPr>
        <w:t>中</w:t>
      </w:r>
      <w:r>
        <w:rPr>
          <w:sz w:val="21"/>
        </w:rPr>
        <w:t>所列</w:t>
      </w:r>
      <w:r>
        <w:rPr>
          <w:spacing w:val="-3"/>
          <w:sz w:val="21"/>
        </w:rPr>
        <w:t>的</w:t>
      </w:r>
      <w:r>
        <w:rPr>
          <w:sz w:val="21"/>
        </w:rPr>
        <w:t>任</w:t>
      </w:r>
      <w:r>
        <w:rPr>
          <w:spacing w:val="-3"/>
          <w:sz w:val="21"/>
        </w:rPr>
        <w:t>何</w:t>
      </w:r>
      <w:r>
        <w:rPr>
          <w:sz w:val="21"/>
        </w:rPr>
        <w:t>一</w:t>
      </w:r>
      <w:r>
        <w:rPr>
          <w:spacing w:val="-3"/>
          <w:sz w:val="21"/>
        </w:rPr>
        <w:t>种</w:t>
      </w:r>
      <w:r>
        <w:rPr>
          <w:sz w:val="21"/>
        </w:rPr>
        <w:t>疾</w:t>
      </w:r>
      <w:r>
        <w:rPr>
          <w:spacing w:val="-3"/>
          <w:sz w:val="21"/>
        </w:rPr>
        <w:t>病</w:t>
      </w:r>
      <w:r>
        <w:rPr>
          <w:sz w:val="21"/>
        </w:rPr>
        <w:t>定</w:t>
      </w:r>
      <w:r>
        <w:rPr>
          <w:spacing w:val="-3"/>
          <w:sz w:val="21"/>
        </w:rPr>
        <w:t>义</w:t>
      </w:r>
      <w:r>
        <w:rPr>
          <w:sz w:val="21"/>
        </w:rPr>
        <w:t>所述</w:t>
      </w:r>
      <w:r>
        <w:rPr>
          <w:spacing w:val="-3"/>
          <w:sz w:val="21"/>
        </w:rPr>
        <w:t>条</w:t>
      </w:r>
      <w:r>
        <w:rPr>
          <w:sz w:val="21"/>
        </w:rPr>
        <w:t>件</w:t>
      </w:r>
      <w:r>
        <w:rPr>
          <w:spacing w:val="-3"/>
          <w:sz w:val="21"/>
        </w:rPr>
        <w:t>的</w:t>
      </w:r>
      <w:r>
        <w:rPr>
          <w:sz w:val="21"/>
        </w:rPr>
        <w:t>疾</w:t>
      </w:r>
      <w:r>
        <w:rPr>
          <w:spacing w:val="-3"/>
          <w:sz w:val="21"/>
        </w:rPr>
        <w:t>病</w:t>
      </w:r>
      <w:r>
        <w:rPr>
          <w:sz w:val="21"/>
        </w:rPr>
        <w:t>。</w:t>
      </w:r>
    </w:p>
    <w:p>
      <w:pPr>
        <w:pStyle w:val="BodyText"/>
        <w:spacing w:before="6"/>
        <w:rPr>
          <w:sz w:val="18"/>
        </w:rPr>
      </w:pPr>
    </w:p>
    <w:p>
      <w:pPr>
        <w:pStyle w:val="ListParagraph"/>
        <w:numPr>
          <w:ilvl w:val="1"/>
          <w:numId w:val="6"/>
        </w:numPr>
        <w:tabs>
          <w:tab w:pos="947" w:val="left" w:leader="none"/>
          <w:tab w:pos="948" w:val="left" w:leader="none"/>
        </w:tabs>
        <w:spacing w:line="237" w:lineRule="auto" w:before="0" w:after="0"/>
        <w:ind w:left="2577" w:right="203" w:hanging="2109"/>
        <w:jc w:val="left"/>
        <w:rPr>
          <w:sz w:val="21"/>
        </w:rPr>
      </w:pPr>
      <w:r>
        <w:rPr>
          <w:spacing w:val="-1"/>
          <w:sz w:val="21"/>
        </w:rPr>
        <w:t>意外伤害事故： 指外来的、不可预知的、突发的、非本意的、非由疾病引起的使身体受到</w:t>
      </w:r>
      <w:r>
        <w:rPr>
          <w:spacing w:val="-3"/>
          <w:sz w:val="21"/>
        </w:rPr>
        <w:t>伤害的客观事件。</w:t>
      </w:r>
    </w:p>
    <w:p>
      <w:pPr>
        <w:pStyle w:val="BodyText"/>
        <w:spacing w:before="5"/>
        <w:rPr>
          <w:sz w:val="18"/>
        </w:rPr>
      </w:pPr>
    </w:p>
    <w:p>
      <w:pPr>
        <w:pStyle w:val="ListParagraph"/>
        <w:numPr>
          <w:ilvl w:val="1"/>
          <w:numId w:val="6"/>
        </w:numPr>
        <w:tabs>
          <w:tab w:pos="947" w:val="left" w:leader="none"/>
          <w:tab w:pos="948" w:val="left" w:leader="none"/>
          <w:tab w:pos="2565" w:val="left" w:leader="none"/>
        </w:tabs>
        <w:spacing w:line="240" w:lineRule="auto" w:before="0" w:after="0"/>
        <w:ind w:left="2577" w:right="0" w:hanging="2109"/>
        <w:jc w:val="left"/>
        <w:rPr>
          <w:sz w:val="21"/>
        </w:rPr>
      </w:pPr>
      <w:r>
        <w:rPr>
          <w:w w:val="100"/>
          <w:sz w:val="21"/>
        </w:rPr>
        <w:t>专科</w:t>
      </w:r>
      <w:r>
        <w:rPr>
          <w:spacing w:val="-3"/>
          <w:w w:val="100"/>
          <w:sz w:val="21"/>
        </w:rPr>
        <w:t>医</w:t>
      </w:r>
      <w:r>
        <w:rPr>
          <w:w w:val="100"/>
          <w:sz w:val="21"/>
        </w:rPr>
        <w:t>生：</w:t>
      </w:r>
      <w:r>
        <w:rPr>
          <w:sz w:val="21"/>
        </w:rPr>
        <w:tab/>
      </w:r>
      <w:r>
        <w:rPr>
          <w:spacing w:val="1"/>
          <w:w w:val="100"/>
          <w:sz w:val="21"/>
        </w:rPr>
        <w:t>专科</w:t>
      </w:r>
      <w:r>
        <w:rPr>
          <w:w w:val="100"/>
          <w:sz w:val="21"/>
        </w:rPr>
        <w:t>医</w:t>
      </w:r>
      <w:r>
        <w:rPr>
          <w:spacing w:val="1"/>
          <w:w w:val="100"/>
          <w:sz w:val="21"/>
        </w:rPr>
        <w:t>生应</w:t>
      </w:r>
      <w:r>
        <w:rPr>
          <w:w w:val="100"/>
          <w:sz w:val="21"/>
        </w:rPr>
        <w:t>当</w:t>
      </w:r>
      <w:r>
        <w:rPr>
          <w:spacing w:val="1"/>
          <w:w w:val="100"/>
          <w:sz w:val="21"/>
        </w:rPr>
        <w:t>同</w:t>
      </w:r>
      <w:r>
        <w:rPr>
          <w:w w:val="100"/>
          <w:sz w:val="21"/>
        </w:rPr>
        <w:t>时</w:t>
      </w:r>
      <w:r>
        <w:rPr>
          <w:spacing w:val="1"/>
          <w:w w:val="100"/>
          <w:sz w:val="21"/>
        </w:rPr>
        <w:t>满足</w:t>
      </w:r>
      <w:r>
        <w:rPr>
          <w:w w:val="100"/>
          <w:sz w:val="21"/>
        </w:rPr>
        <w:t>以</w:t>
      </w:r>
      <w:r>
        <w:rPr>
          <w:spacing w:val="1"/>
          <w:w w:val="100"/>
          <w:sz w:val="21"/>
        </w:rPr>
        <w:t>下四</w:t>
      </w:r>
      <w:r>
        <w:rPr>
          <w:w w:val="100"/>
          <w:sz w:val="21"/>
        </w:rPr>
        <w:t>项</w:t>
      </w:r>
      <w:r>
        <w:rPr>
          <w:spacing w:val="1"/>
          <w:w w:val="100"/>
          <w:sz w:val="21"/>
        </w:rPr>
        <w:t>资格</w:t>
      </w:r>
      <w:r>
        <w:rPr>
          <w:w w:val="100"/>
          <w:sz w:val="21"/>
        </w:rPr>
        <w:t>条</w:t>
      </w:r>
      <w:r>
        <w:rPr>
          <w:spacing w:val="1"/>
          <w:w w:val="100"/>
          <w:sz w:val="21"/>
        </w:rPr>
        <w:t>件</w:t>
      </w:r>
      <w:r>
        <w:rPr>
          <w:spacing w:val="-104"/>
          <w:w w:val="100"/>
          <w:sz w:val="21"/>
        </w:rPr>
        <w:t>：</w:t>
      </w:r>
      <w:r>
        <w:rPr>
          <w:spacing w:val="1"/>
          <w:w w:val="100"/>
          <w:sz w:val="21"/>
        </w:rPr>
        <w:t>（</w:t>
      </w:r>
      <w:r>
        <w:rPr>
          <w:rFonts w:ascii="Times New Roman" w:eastAsia="Times New Roman"/>
          <w:w w:val="100"/>
          <w:sz w:val="21"/>
        </w:rPr>
        <w:t>1</w:t>
      </w:r>
      <w:r>
        <w:rPr>
          <w:spacing w:val="1"/>
          <w:w w:val="100"/>
          <w:sz w:val="21"/>
        </w:rPr>
        <w:t>）</w:t>
      </w:r>
      <w:r>
        <w:rPr>
          <w:w w:val="100"/>
          <w:sz w:val="21"/>
        </w:rPr>
        <w:t>具</w:t>
      </w:r>
      <w:r>
        <w:rPr>
          <w:spacing w:val="1"/>
          <w:w w:val="100"/>
          <w:sz w:val="21"/>
        </w:rPr>
        <w:t>有有</w:t>
      </w:r>
      <w:r>
        <w:rPr>
          <w:w w:val="100"/>
          <w:sz w:val="21"/>
        </w:rPr>
        <w:t>效</w:t>
      </w:r>
      <w:r>
        <w:rPr>
          <w:spacing w:val="1"/>
          <w:w w:val="100"/>
          <w:sz w:val="21"/>
        </w:rPr>
        <w:t>的中</w:t>
      </w:r>
      <w:r>
        <w:rPr>
          <w:w w:val="100"/>
          <w:sz w:val="21"/>
        </w:rPr>
        <w:t>华</w:t>
      </w:r>
      <w:r>
        <w:rPr>
          <w:spacing w:val="1"/>
          <w:w w:val="100"/>
          <w:sz w:val="21"/>
        </w:rPr>
        <w:t>人</w:t>
      </w:r>
      <w:r>
        <w:rPr>
          <w:w w:val="100"/>
          <w:sz w:val="21"/>
        </w:rPr>
        <w:t>民</w:t>
      </w:r>
      <w:r>
        <w:rPr>
          <w:spacing w:val="1"/>
          <w:w w:val="100"/>
          <w:sz w:val="21"/>
        </w:rPr>
        <w:t>共</w:t>
      </w:r>
      <w:r>
        <w:rPr>
          <w:w w:val="100"/>
          <w:sz w:val="21"/>
        </w:rPr>
        <w:t>和</w:t>
      </w:r>
    </w:p>
    <w:p>
      <w:pPr>
        <w:spacing w:after="0" w:line="240" w:lineRule="auto"/>
        <w:jc w:val="left"/>
        <w:rPr>
          <w:sz w:val="21"/>
        </w:rPr>
        <w:sectPr>
          <w:type w:val="continuous"/>
          <w:pgSz w:w="11900" w:h="16840"/>
          <w:pgMar w:top="1220" w:bottom="280" w:left="1320" w:right="100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1654"/>
        <w:gridCol w:w="6931"/>
      </w:tblGrid>
      <w:tr>
        <w:trPr>
          <w:trHeight w:val="253" w:hRule="atLeast"/>
        </w:trPr>
        <w:tc>
          <w:tcPr>
            <w:tcW w:w="2076" w:type="dxa"/>
            <w:gridSpan w:val="2"/>
            <w:vMerge w:val="restart"/>
          </w:tcPr>
          <w:p>
            <w:pPr>
              <w:pStyle w:val="TableParagraph"/>
              <w:rPr>
                <w:rFonts w:ascii="Times New Roman"/>
                <w:sz w:val="20"/>
              </w:rPr>
            </w:pPr>
          </w:p>
        </w:tc>
        <w:tc>
          <w:tcPr>
            <w:tcW w:w="6931" w:type="dxa"/>
          </w:tcPr>
          <w:p>
            <w:pPr>
              <w:pStyle w:val="TableParagraph"/>
              <w:spacing w:line="234" w:lineRule="exact"/>
              <w:ind w:left="71"/>
              <w:rPr>
                <w:sz w:val="21"/>
              </w:rPr>
            </w:pPr>
            <w:r>
              <w:rPr>
                <w:spacing w:val="-22"/>
                <w:w w:val="100"/>
                <w:sz w:val="21"/>
              </w:rPr>
              <w:t>国《医师资格证书》；</w:t>
            </w:r>
            <w:r>
              <w:rPr>
                <w:spacing w:val="1"/>
                <w:w w:val="100"/>
                <w:sz w:val="21"/>
              </w:rPr>
              <w:t>（</w:t>
            </w:r>
            <w:r>
              <w:rPr>
                <w:rFonts w:ascii="Times New Roman" w:eastAsia="Times New Roman"/>
                <w:w w:val="100"/>
                <w:sz w:val="21"/>
              </w:rPr>
              <w:t>2</w:t>
            </w:r>
            <w:r>
              <w:rPr>
                <w:w w:val="100"/>
                <w:sz w:val="21"/>
              </w:rPr>
              <w:t>）</w:t>
            </w:r>
            <w:r>
              <w:rPr>
                <w:spacing w:val="-6"/>
                <w:w w:val="100"/>
                <w:sz w:val="21"/>
              </w:rPr>
              <w:t>具有有效的中华人民共和国《医师执业证书》，</w:t>
            </w:r>
          </w:p>
        </w:tc>
      </w:tr>
      <w:tr>
        <w:trPr>
          <w:trHeight w:val="272" w:hRule="atLeast"/>
        </w:trPr>
        <w:tc>
          <w:tcPr>
            <w:tcW w:w="2076" w:type="dxa"/>
            <w:gridSpan w:val="2"/>
            <w:vMerge/>
            <w:tcBorders>
              <w:top w:val="nil"/>
            </w:tcBorders>
          </w:tcPr>
          <w:p>
            <w:pPr>
              <w:rPr>
                <w:sz w:val="2"/>
                <w:szCs w:val="2"/>
              </w:rPr>
            </w:pPr>
          </w:p>
        </w:tc>
        <w:tc>
          <w:tcPr>
            <w:tcW w:w="6931" w:type="dxa"/>
          </w:tcPr>
          <w:p>
            <w:pPr>
              <w:pStyle w:val="TableParagraph"/>
              <w:spacing w:line="252" w:lineRule="exact"/>
              <w:ind w:left="71"/>
              <w:rPr>
                <w:sz w:val="21"/>
              </w:rPr>
            </w:pPr>
            <w:r>
              <w:rPr>
                <w:spacing w:val="-8"/>
                <w:w w:val="100"/>
                <w:sz w:val="21"/>
              </w:rPr>
              <w:t>并按期到相关部门登记注册；</w:t>
            </w:r>
            <w:r>
              <w:rPr>
                <w:spacing w:val="1"/>
                <w:w w:val="100"/>
                <w:sz w:val="21"/>
              </w:rPr>
              <w:t>（</w:t>
            </w:r>
            <w:r>
              <w:rPr>
                <w:rFonts w:ascii="Times New Roman" w:eastAsia="Times New Roman"/>
                <w:spacing w:val="1"/>
                <w:w w:val="100"/>
                <w:sz w:val="21"/>
              </w:rPr>
              <w:t>3</w:t>
            </w:r>
            <w:r>
              <w:rPr>
                <w:w w:val="100"/>
                <w:sz w:val="21"/>
              </w:rPr>
              <w:t>）具有有效的中华人民共和国主治医师或</w:t>
            </w:r>
          </w:p>
        </w:tc>
      </w:tr>
      <w:tr>
        <w:trPr>
          <w:trHeight w:val="649" w:hRule="atLeast"/>
        </w:trPr>
        <w:tc>
          <w:tcPr>
            <w:tcW w:w="2076" w:type="dxa"/>
            <w:gridSpan w:val="2"/>
            <w:vMerge/>
            <w:tcBorders>
              <w:top w:val="nil"/>
            </w:tcBorders>
          </w:tcPr>
          <w:p>
            <w:pPr>
              <w:rPr>
                <w:sz w:val="2"/>
                <w:szCs w:val="2"/>
              </w:rPr>
            </w:pPr>
          </w:p>
        </w:tc>
        <w:tc>
          <w:tcPr>
            <w:tcW w:w="6931" w:type="dxa"/>
          </w:tcPr>
          <w:p>
            <w:pPr>
              <w:pStyle w:val="TableParagraph"/>
              <w:spacing w:line="244" w:lineRule="exact"/>
              <w:ind w:left="71"/>
              <w:rPr>
                <w:sz w:val="21"/>
              </w:rPr>
            </w:pPr>
            <w:r>
              <w:rPr>
                <w:spacing w:val="-16"/>
                <w:w w:val="100"/>
                <w:sz w:val="21"/>
              </w:rPr>
              <w:t>主治医师以上职称的《医师职称证书》；</w:t>
            </w:r>
            <w:r>
              <w:rPr>
                <w:spacing w:val="-3"/>
                <w:w w:val="100"/>
                <w:sz w:val="21"/>
              </w:rPr>
              <w:t>（</w:t>
            </w:r>
            <w:r>
              <w:rPr>
                <w:rFonts w:ascii="Times New Roman" w:eastAsia="Times New Roman"/>
                <w:spacing w:val="-3"/>
                <w:w w:val="100"/>
                <w:sz w:val="21"/>
              </w:rPr>
              <w:t>4</w:t>
            </w:r>
            <w:r>
              <w:rPr>
                <w:spacing w:val="-10"/>
                <w:w w:val="100"/>
                <w:sz w:val="21"/>
              </w:rPr>
              <w:t>）</w:t>
            </w:r>
            <w:r>
              <w:rPr>
                <w:spacing w:val="-3"/>
                <w:w w:val="100"/>
                <w:sz w:val="21"/>
              </w:rPr>
              <w:t>在二级或二级以上医院的相应</w:t>
            </w:r>
          </w:p>
          <w:p>
            <w:pPr>
              <w:pStyle w:val="TableParagraph"/>
              <w:spacing w:line="266" w:lineRule="exact"/>
              <w:ind w:left="71"/>
              <w:rPr>
                <w:sz w:val="21"/>
              </w:rPr>
            </w:pPr>
            <w:r>
              <w:rPr>
                <w:sz w:val="21"/>
              </w:rPr>
              <w:t>科室从事临床工作三年以上。</w:t>
            </w:r>
          </w:p>
        </w:tc>
      </w:tr>
      <w:tr>
        <w:trPr>
          <w:trHeight w:val="406" w:hRule="atLeast"/>
        </w:trPr>
        <w:tc>
          <w:tcPr>
            <w:tcW w:w="422" w:type="dxa"/>
          </w:tcPr>
          <w:p>
            <w:pPr>
              <w:pStyle w:val="TableParagraph"/>
              <w:spacing w:before="131"/>
              <w:ind w:left="50"/>
              <w:rPr>
                <w:rFonts w:ascii="Times New Roman"/>
                <w:b/>
                <w:sz w:val="21"/>
              </w:rPr>
            </w:pPr>
            <w:r>
              <w:rPr>
                <w:rFonts w:ascii="Times New Roman"/>
                <w:b/>
                <w:sz w:val="21"/>
              </w:rPr>
              <w:t>8.6</w:t>
            </w:r>
          </w:p>
        </w:tc>
        <w:tc>
          <w:tcPr>
            <w:tcW w:w="1654" w:type="dxa"/>
          </w:tcPr>
          <w:p>
            <w:pPr>
              <w:pStyle w:val="TableParagraph"/>
              <w:spacing w:before="101"/>
              <w:ind w:left="108"/>
              <w:rPr>
                <w:sz w:val="21"/>
              </w:rPr>
            </w:pPr>
            <w:r>
              <w:rPr>
                <w:sz w:val="21"/>
              </w:rPr>
              <w:t>毒品：</w:t>
            </w:r>
          </w:p>
        </w:tc>
        <w:tc>
          <w:tcPr>
            <w:tcW w:w="6931" w:type="dxa"/>
          </w:tcPr>
          <w:p>
            <w:pPr>
              <w:pStyle w:val="TableParagraph"/>
              <w:spacing w:before="99"/>
              <w:ind w:left="71"/>
              <w:rPr>
                <w:sz w:val="21"/>
              </w:rPr>
            </w:pPr>
            <w:r>
              <w:rPr>
                <w:spacing w:val="-5"/>
                <w:sz w:val="21"/>
              </w:rPr>
              <w:t>指《中华人民共和国刑法》规定的鸦片、海洛因、甲基苯丙胺</w:t>
            </w:r>
            <w:r>
              <w:rPr>
                <w:spacing w:val="-3"/>
                <w:sz w:val="21"/>
              </w:rPr>
              <w:t>（</w:t>
            </w:r>
            <w:r>
              <w:rPr>
                <w:spacing w:val="-2"/>
                <w:sz w:val="21"/>
              </w:rPr>
              <w:t>冰毒</w:t>
            </w:r>
            <w:r>
              <w:rPr>
                <w:spacing w:val="-108"/>
                <w:sz w:val="21"/>
              </w:rPr>
              <w:t>）</w:t>
            </w:r>
            <w:r>
              <w:rPr>
                <w:spacing w:val="-2"/>
                <w:sz w:val="21"/>
              </w:rPr>
              <w:t>、吗</w:t>
            </w:r>
          </w:p>
        </w:tc>
      </w:tr>
      <w:tr>
        <w:trPr>
          <w:trHeight w:val="272"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71"/>
              <w:rPr>
                <w:sz w:val="21"/>
              </w:rPr>
            </w:pPr>
            <w:r>
              <w:rPr>
                <w:sz w:val="21"/>
              </w:rPr>
              <w:t>啡、大麻、可卡因以及国家规定管制的其它能够使人形成瘾癖的麻醉药品</w:t>
            </w:r>
          </w:p>
        </w:tc>
      </w:tr>
      <w:tr>
        <w:trPr>
          <w:trHeight w:val="273"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2" w:lineRule="exact"/>
              <w:ind w:left="71"/>
              <w:rPr>
                <w:sz w:val="21"/>
              </w:rPr>
            </w:pPr>
            <w:r>
              <w:rPr>
                <w:sz w:val="21"/>
              </w:rPr>
              <w:t>和精神药品，但不包括由医生开具并遵医嘱使用的用于治疗疾病但含有毒</w:t>
            </w:r>
          </w:p>
        </w:tc>
      </w:tr>
      <w:tr>
        <w:trPr>
          <w:trHeight w:val="381"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2" w:lineRule="exact"/>
              <w:ind w:left="71"/>
              <w:rPr>
                <w:sz w:val="21"/>
              </w:rPr>
            </w:pPr>
            <w:r>
              <w:rPr>
                <w:sz w:val="21"/>
              </w:rPr>
              <w:t>品成分的处方药品。</w:t>
            </w:r>
          </w:p>
        </w:tc>
      </w:tr>
      <w:tr>
        <w:trPr>
          <w:trHeight w:val="406" w:hRule="atLeast"/>
        </w:trPr>
        <w:tc>
          <w:tcPr>
            <w:tcW w:w="422" w:type="dxa"/>
          </w:tcPr>
          <w:p>
            <w:pPr>
              <w:pStyle w:val="TableParagraph"/>
              <w:spacing w:before="131"/>
              <w:ind w:left="50"/>
              <w:rPr>
                <w:rFonts w:ascii="Times New Roman"/>
                <w:b/>
                <w:sz w:val="21"/>
              </w:rPr>
            </w:pPr>
            <w:r>
              <w:rPr>
                <w:rFonts w:ascii="Times New Roman"/>
                <w:b/>
                <w:sz w:val="21"/>
              </w:rPr>
              <w:t>8.7</w:t>
            </w:r>
          </w:p>
        </w:tc>
        <w:tc>
          <w:tcPr>
            <w:tcW w:w="1654" w:type="dxa"/>
          </w:tcPr>
          <w:p>
            <w:pPr>
              <w:pStyle w:val="TableParagraph"/>
              <w:spacing w:before="101"/>
              <w:ind w:left="108"/>
              <w:rPr>
                <w:sz w:val="21"/>
              </w:rPr>
            </w:pPr>
            <w:r>
              <w:rPr>
                <w:sz w:val="21"/>
              </w:rPr>
              <w:t>酒后驾驶：</w:t>
            </w:r>
          </w:p>
        </w:tc>
        <w:tc>
          <w:tcPr>
            <w:tcW w:w="6931" w:type="dxa"/>
          </w:tcPr>
          <w:p>
            <w:pPr>
              <w:pStyle w:val="TableParagraph"/>
              <w:spacing w:before="99"/>
              <w:ind w:left="71"/>
              <w:rPr>
                <w:sz w:val="21"/>
              </w:rPr>
            </w:pPr>
            <w:r>
              <w:rPr>
                <w:sz w:val="21"/>
              </w:rPr>
              <w:t>指经检测或鉴定，发生事故时车辆驾驶人员每百毫升血液中的酒精含量达</w:t>
            </w:r>
          </w:p>
        </w:tc>
      </w:tr>
      <w:tr>
        <w:trPr>
          <w:trHeight w:val="271"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71"/>
              <w:rPr>
                <w:sz w:val="21"/>
              </w:rPr>
            </w:pPr>
            <w:r>
              <w:rPr>
                <w:sz w:val="21"/>
              </w:rPr>
              <w:t>到或超过一定的标准，公安机关交通管理部门依据《中华人民共和国道路</w:t>
            </w:r>
          </w:p>
        </w:tc>
      </w:tr>
      <w:tr>
        <w:trPr>
          <w:trHeight w:val="381"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71"/>
              <w:rPr>
                <w:sz w:val="21"/>
              </w:rPr>
            </w:pPr>
            <w:r>
              <w:rPr>
                <w:sz w:val="21"/>
              </w:rPr>
              <w:t>交通安全法》的规定认定为饮酒后驾驶或醉酒后驾驶。</w:t>
            </w:r>
          </w:p>
        </w:tc>
      </w:tr>
      <w:tr>
        <w:trPr>
          <w:trHeight w:val="406" w:hRule="atLeast"/>
        </w:trPr>
        <w:tc>
          <w:tcPr>
            <w:tcW w:w="422" w:type="dxa"/>
          </w:tcPr>
          <w:p>
            <w:pPr>
              <w:pStyle w:val="TableParagraph"/>
              <w:spacing w:before="132"/>
              <w:ind w:left="50"/>
              <w:rPr>
                <w:rFonts w:ascii="Times New Roman"/>
                <w:b/>
                <w:sz w:val="21"/>
              </w:rPr>
            </w:pPr>
            <w:r>
              <w:rPr>
                <w:rFonts w:ascii="Times New Roman"/>
                <w:b/>
                <w:sz w:val="21"/>
              </w:rPr>
              <w:t>8.8</w:t>
            </w:r>
          </w:p>
        </w:tc>
        <w:tc>
          <w:tcPr>
            <w:tcW w:w="1654" w:type="dxa"/>
          </w:tcPr>
          <w:p>
            <w:pPr>
              <w:pStyle w:val="TableParagraph"/>
              <w:spacing w:before="102"/>
              <w:ind w:left="108"/>
              <w:rPr>
                <w:sz w:val="21"/>
              </w:rPr>
            </w:pPr>
            <w:r>
              <w:rPr>
                <w:sz w:val="21"/>
              </w:rPr>
              <w:t>无合法有效驾</w:t>
            </w:r>
          </w:p>
        </w:tc>
        <w:tc>
          <w:tcPr>
            <w:tcW w:w="6931" w:type="dxa"/>
          </w:tcPr>
          <w:p>
            <w:pPr>
              <w:pStyle w:val="TableParagraph"/>
              <w:spacing w:before="100"/>
              <w:ind w:left="71"/>
              <w:rPr>
                <w:sz w:val="21"/>
              </w:rPr>
            </w:pPr>
            <w:r>
              <w:rPr>
                <w:sz w:val="21"/>
              </w:rPr>
              <w:t>指下列情形之一：</w:t>
            </w:r>
          </w:p>
        </w:tc>
      </w:tr>
      <w:tr>
        <w:trPr>
          <w:trHeight w:val="272" w:hRule="atLeast"/>
        </w:trPr>
        <w:tc>
          <w:tcPr>
            <w:tcW w:w="422" w:type="dxa"/>
          </w:tcPr>
          <w:p>
            <w:pPr>
              <w:pStyle w:val="TableParagraph"/>
              <w:rPr>
                <w:rFonts w:ascii="Times New Roman"/>
                <w:sz w:val="20"/>
              </w:rPr>
            </w:pPr>
          </w:p>
        </w:tc>
        <w:tc>
          <w:tcPr>
            <w:tcW w:w="1654" w:type="dxa"/>
          </w:tcPr>
          <w:p>
            <w:pPr>
              <w:pStyle w:val="TableParagraph"/>
              <w:spacing w:line="242" w:lineRule="exact"/>
              <w:ind w:left="108"/>
              <w:rPr>
                <w:sz w:val="21"/>
              </w:rPr>
            </w:pPr>
            <w:r>
              <w:rPr>
                <w:sz w:val="21"/>
              </w:rPr>
              <w:t>驶证驾驶：</w:t>
            </w:r>
          </w:p>
        </w:tc>
        <w:tc>
          <w:tcPr>
            <w:tcW w:w="6931" w:type="dxa"/>
          </w:tcPr>
          <w:p>
            <w:pPr>
              <w:pStyle w:val="TableParagraph"/>
              <w:spacing w:line="240" w:lineRule="exact"/>
              <w:ind w:left="71"/>
              <w:rPr>
                <w:sz w:val="21"/>
              </w:rPr>
            </w:pPr>
            <w:r>
              <w:rPr>
                <w:sz w:val="21"/>
              </w:rPr>
              <w:t>1、 没有取得驾驶资格；</w:t>
            </w:r>
          </w:p>
        </w:tc>
      </w:tr>
      <w:tr>
        <w:trPr>
          <w:trHeight w:val="272"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71"/>
              <w:rPr>
                <w:sz w:val="21"/>
              </w:rPr>
            </w:pPr>
            <w:r>
              <w:rPr>
                <w:sz w:val="21"/>
              </w:rPr>
              <w:t>2、 驾驶与驾驶证准驾车型不相符合的车辆；</w:t>
            </w:r>
          </w:p>
        </w:tc>
      </w:tr>
      <w:tr>
        <w:trPr>
          <w:trHeight w:val="273"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2" w:lineRule="exact"/>
              <w:ind w:left="71"/>
              <w:rPr>
                <w:sz w:val="21"/>
              </w:rPr>
            </w:pPr>
            <w:r>
              <w:rPr>
                <w:sz w:val="21"/>
              </w:rPr>
              <w:t>3、 持审验不合格的驾驶证驾驶；</w:t>
            </w:r>
          </w:p>
        </w:tc>
      </w:tr>
      <w:tr>
        <w:trPr>
          <w:trHeight w:val="272"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2" w:lineRule="exact"/>
              <w:ind w:left="71"/>
              <w:rPr>
                <w:sz w:val="21"/>
              </w:rPr>
            </w:pPr>
            <w:r>
              <w:rPr>
                <w:sz w:val="21"/>
              </w:rPr>
              <w:t>4、 持学习驾驶证学习驾车时，无教练员随车指导，或不按指定时间、路</w:t>
            </w:r>
          </w:p>
        </w:tc>
      </w:tr>
      <w:tr>
        <w:trPr>
          <w:trHeight w:val="381"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491"/>
              <w:rPr>
                <w:sz w:val="21"/>
              </w:rPr>
            </w:pPr>
            <w:r>
              <w:rPr>
                <w:sz w:val="21"/>
              </w:rPr>
              <w:t>线学习驾车。</w:t>
            </w:r>
          </w:p>
        </w:tc>
      </w:tr>
      <w:tr>
        <w:trPr>
          <w:trHeight w:val="377" w:hRule="atLeast"/>
        </w:trPr>
        <w:tc>
          <w:tcPr>
            <w:tcW w:w="422" w:type="dxa"/>
          </w:tcPr>
          <w:p>
            <w:pPr>
              <w:pStyle w:val="TableParagraph"/>
              <w:spacing w:line="225" w:lineRule="exact" w:before="132"/>
              <w:ind w:left="50"/>
              <w:rPr>
                <w:rFonts w:ascii="Times New Roman"/>
                <w:b/>
                <w:sz w:val="21"/>
              </w:rPr>
            </w:pPr>
            <w:r>
              <w:rPr>
                <w:rFonts w:ascii="Times New Roman"/>
                <w:b/>
                <w:sz w:val="21"/>
              </w:rPr>
              <w:t>8.9</w:t>
            </w:r>
          </w:p>
        </w:tc>
        <w:tc>
          <w:tcPr>
            <w:tcW w:w="1654" w:type="dxa"/>
          </w:tcPr>
          <w:p>
            <w:pPr>
              <w:pStyle w:val="TableParagraph"/>
              <w:spacing w:line="255" w:lineRule="exact" w:before="102"/>
              <w:ind w:left="108"/>
              <w:rPr>
                <w:sz w:val="21"/>
              </w:rPr>
            </w:pPr>
            <w:r>
              <w:rPr>
                <w:sz w:val="21"/>
              </w:rPr>
              <w:t>无有效行驶证：</w:t>
            </w:r>
          </w:p>
        </w:tc>
        <w:tc>
          <w:tcPr>
            <w:tcW w:w="6931" w:type="dxa"/>
          </w:tcPr>
          <w:p>
            <w:pPr>
              <w:pStyle w:val="TableParagraph"/>
              <w:spacing w:line="257" w:lineRule="exact" w:before="100"/>
              <w:ind w:left="71"/>
              <w:rPr>
                <w:sz w:val="21"/>
              </w:rPr>
            </w:pPr>
            <w:r>
              <w:rPr>
                <w:sz w:val="21"/>
              </w:rPr>
              <w:t>指下列情形之一：</w:t>
            </w:r>
          </w:p>
        </w:tc>
      </w:tr>
    </w:tbl>
    <w:p>
      <w:pPr>
        <w:pStyle w:val="BodyText"/>
        <w:spacing w:line="276" w:lineRule="exact"/>
        <w:ind w:left="2305"/>
      </w:pPr>
      <w:r>
        <w:rPr>
          <w:rFonts w:ascii="Times New Roman" w:eastAsia="Times New Roman"/>
        </w:rPr>
        <w:t>1</w:t>
      </w:r>
      <w:r>
        <w:rPr/>
        <w:t>、 机动车被依法注销登记的；</w:t>
      </w:r>
    </w:p>
    <w:p>
      <w:pPr>
        <w:pStyle w:val="BodyText"/>
        <w:spacing w:line="282" w:lineRule="exact"/>
        <w:ind w:left="2305"/>
      </w:pPr>
      <w:r>
        <w:rPr>
          <w:rFonts w:ascii="Times New Roman" w:eastAsia="Times New Roman"/>
        </w:rPr>
        <w:t>2</w:t>
      </w:r>
      <w:r>
        <w:rPr/>
        <w:t>、 未依法按时进行或通过机动车安全技术检验。</w:t>
      </w:r>
    </w:p>
    <w:p>
      <w:pPr>
        <w:pStyle w:val="BodyText"/>
        <w:spacing w:before="8"/>
        <w:rPr>
          <w:sz w:val="12"/>
        </w:rPr>
      </w:pPr>
    </w:p>
    <w:p>
      <w:pPr>
        <w:spacing w:after="0"/>
        <w:rPr>
          <w:sz w:val="12"/>
        </w:rPr>
        <w:sectPr>
          <w:pgSz w:w="11900" w:h="16840"/>
          <w:pgMar w:top="1320" w:bottom="280" w:left="1580" w:right="1000"/>
        </w:sectPr>
      </w:pPr>
    </w:p>
    <w:p>
      <w:pPr>
        <w:pStyle w:val="ListParagraph"/>
        <w:numPr>
          <w:ilvl w:val="1"/>
          <w:numId w:val="7"/>
        </w:numPr>
        <w:tabs>
          <w:tab w:pos="687" w:val="left" w:leader="none"/>
          <w:tab w:pos="688" w:val="left" w:leader="none"/>
        </w:tabs>
        <w:spacing w:line="273" w:lineRule="exact" w:before="62" w:after="0"/>
        <w:ind w:left="2305" w:right="0" w:hanging="2203"/>
        <w:jc w:val="left"/>
        <w:rPr>
          <w:sz w:val="21"/>
        </w:rPr>
      </w:pPr>
      <w:r>
        <w:rPr>
          <w:spacing w:val="-1"/>
          <w:sz w:val="21"/>
        </w:rPr>
        <w:t>感染艾滋病病</w:t>
      </w:r>
    </w:p>
    <w:p>
      <w:pPr>
        <w:spacing w:line="230" w:lineRule="auto" w:before="9"/>
        <w:ind w:left="687" w:right="0" w:firstLine="0"/>
        <w:jc w:val="left"/>
        <w:rPr>
          <w:sz w:val="21"/>
        </w:rPr>
      </w:pPr>
      <w:r>
        <w:rPr>
          <w:sz w:val="21"/>
        </w:rPr>
        <w:t>毒</w:t>
      </w:r>
      <w:r>
        <w:rPr>
          <w:sz w:val="18"/>
        </w:rPr>
        <w:t>（</w:t>
      </w:r>
      <w:r>
        <w:rPr>
          <w:rFonts w:ascii="Times New Roman" w:eastAsia="Times New Roman"/>
          <w:b/>
          <w:sz w:val="18"/>
        </w:rPr>
        <w:t>HIV</w:t>
      </w:r>
      <w:r>
        <w:rPr>
          <w:sz w:val="18"/>
        </w:rPr>
        <w:t>）</w:t>
      </w:r>
      <w:r>
        <w:rPr>
          <w:sz w:val="21"/>
        </w:rPr>
        <w:t>或患</w:t>
      </w:r>
      <w:r>
        <w:rPr>
          <w:spacing w:val="-12"/>
          <w:w w:val="100"/>
          <w:sz w:val="21"/>
        </w:rPr>
        <w:t>艾滋病</w:t>
      </w:r>
      <w:r>
        <w:rPr>
          <w:w w:val="99"/>
          <w:sz w:val="18"/>
        </w:rPr>
        <w:t>（</w:t>
      </w:r>
      <w:r>
        <w:rPr>
          <w:rFonts w:ascii="Times New Roman" w:eastAsia="Times New Roman"/>
          <w:b/>
          <w:spacing w:val="-1"/>
          <w:w w:val="99"/>
          <w:sz w:val="18"/>
        </w:rPr>
        <w:t>AID</w:t>
      </w:r>
      <w:r>
        <w:rPr>
          <w:rFonts w:ascii="Times New Roman" w:eastAsia="Times New Roman"/>
          <w:b/>
          <w:w w:val="99"/>
          <w:sz w:val="18"/>
        </w:rPr>
        <w:t>S</w:t>
      </w:r>
      <w:r>
        <w:rPr>
          <w:spacing w:val="-89"/>
          <w:w w:val="99"/>
          <w:sz w:val="18"/>
        </w:rPr>
        <w:t>）</w:t>
      </w:r>
      <w:r>
        <w:rPr>
          <w:w w:val="100"/>
          <w:sz w:val="21"/>
        </w:rPr>
        <w:t>：</w:t>
      </w:r>
    </w:p>
    <w:p>
      <w:pPr>
        <w:pStyle w:val="BodyText"/>
        <w:spacing w:line="230" w:lineRule="auto" w:before="72"/>
        <w:ind w:left="65" w:right="98"/>
      </w:pPr>
      <w:r>
        <w:rPr/>
        <w:br w:type="column"/>
      </w:r>
      <w:r>
        <w:rPr>
          <w:spacing w:val="-1"/>
        </w:rPr>
        <w:t>艾滋病病毒指人类免疫缺陷病毒，英文缩写为 </w:t>
      </w:r>
      <w:r>
        <w:rPr>
          <w:rFonts w:ascii="Times New Roman" w:eastAsia="Times New Roman"/>
          <w:spacing w:val="-2"/>
        </w:rPr>
        <w:t>HIV</w:t>
      </w:r>
      <w:r>
        <w:rPr>
          <w:spacing w:val="-1"/>
        </w:rPr>
        <w:t>。艾滋病指人类免疫缺</w:t>
      </w:r>
      <w:r>
        <w:rPr>
          <w:spacing w:val="-6"/>
        </w:rPr>
        <w:t>陷病毒引起的获得性免疫缺陷综合征，英文缩写为 </w:t>
      </w:r>
      <w:r>
        <w:rPr>
          <w:rFonts w:ascii="Times New Roman" w:eastAsia="Times New Roman"/>
        </w:rPr>
        <w:t>AIDS</w:t>
      </w:r>
      <w:r>
        <w:rPr>
          <w:spacing w:val="-6"/>
        </w:rPr>
        <w:t>。在人体血液或其</w:t>
      </w:r>
      <w:r>
        <w:rPr>
          <w:spacing w:val="-5"/>
        </w:rPr>
        <w:t>它样本中检测到艾滋病病毒或其抗体呈阳性，没有出现临床症状或体征的， </w:t>
      </w:r>
      <w:r>
        <w:rPr>
          <w:spacing w:val="-6"/>
        </w:rPr>
        <w:t>为感染艾滋病病毒；如果同时出现了明显临床症状或体征的，为患艾滋病。</w:t>
      </w:r>
    </w:p>
    <w:p>
      <w:pPr>
        <w:spacing w:after="0" w:line="230" w:lineRule="auto"/>
        <w:sectPr>
          <w:type w:val="continuous"/>
          <w:pgSz w:w="11900" w:h="16840"/>
          <w:pgMar w:top="1220" w:bottom="280" w:left="1580" w:right="1000"/>
          <w:cols w:num="2" w:equalWidth="0">
            <w:col w:w="2200" w:space="40"/>
            <w:col w:w="7080"/>
          </w:cols>
        </w:sectPr>
      </w:pPr>
    </w:p>
    <w:p>
      <w:pPr>
        <w:pStyle w:val="BodyText"/>
        <w:spacing w:before="9"/>
        <w:rPr>
          <w:sz w:val="13"/>
        </w:rPr>
      </w:pPr>
    </w:p>
    <w:p>
      <w:pPr>
        <w:pStyle w:val="ListParagraph"/>
        <w:numPr>
          <w:ilvl w:val="1"/>
          <w:numId w:val="7"/>
        </w:numPr>
        <w:tabs>
          <w:tab w:pos="687" w:val="left" w:leader="none"/>
          <w:tab w:pos="688" w:val="left" w:leader="none"/>
          <w:tab w:pos="2305" w:val="left" w:leader="none"/>
        </w:tabs>
        <w:spacing w:line="237" w:lineRule="auto" w:before="65" w:after="0"/>
        <w:ind w:left="2305" w:right="206" w:hanging="2191"/>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type w:val="continuous"/>
          <w:pgSz w:w="11900" w:h="16840"/>
          <w:pgMar w:top="1220" w:bottom="280" w:left="1580" w:right="1000"/>
        </w:sectPr>
      </w:pPr>
    </w:p>
    <w:p>
      <w:pPr>
        <w:pStyle w:val="ListParagraph"/>
        <w:numPr>
          <w:ilvl w:val="1"/>
          <w:numId w:val="7"/>
        </w:numPr>
        <w:tabs>
          <w:tab w:pos="687" w:val="left" w:leader="none"/>
          <w:tab w:pos="688" w:val="left" w:leader="none"/>
        </w:tabs>
        <w:spacing w:line="240" w:lineRule="auto" w:before="63" w:after="0"/>
        <w:ind w:left="688" w:right="0" w:hanging="586"/>
        <w:jc w:val="left"/>
        <w:rPr>
          <w:sz w:val="21"/>
        </w:rPr>
      </w:pPr>
      <w:r>
        <w:rPr>
          <w:spacing w:val="-12"/>
          <w:sz w:val="21"/>
        </w:rPr>
        <w:t>先天性畸形、变</w:t>
      </w:r>
      <w:r>
        <w:rPr>
          <w:spacing w:val="-5"/>
          <w:sz w:val="21"/>
        </w:rPr>
        <w:t>形或染色体异常：</w:t>
      </w:r>
    </w:p>
    <w:p>
      <w:pPr>
        <w:pStyle w:val="BodyText"/>
        <w:spacing w:before="60"/>
        <w:ind w:left="102" w:right="98"/>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02"/>
      </w:pPr>
      <w:r>
        <w:rPr/>
        <w:t>（</w:t>
      </w:r>
      <w:r>
        <w:rPr>
          <w:rFonts w:ascii="Times New Roman" w:eastAsia="Times New Roman"/>
        </w:rPr>
        <w:t>ICD-10</w:t>
      </w:r>
      <w:r>
        <w:rPr/>
        <w:t>）确定。</w:t>
      </w:r>
    </w:p>
    <w:p>
      <w:pPr>
        <w:spacing w:after="0" w:line="289" w:lineRule="exact"/>
        <w:sectPr>
          <w:type w:val="continuous"/>
          <w:pgSz w:w="11900" w:h="16840"/>
          <w:pgMar w:top="1220" w:bottom="280" w:left="1580" w:right="1000"/>
          <w:cols w:num="2" w:equalWidth="0">
            <w:col w:w="2095" w:space="108"/>
            <w:col w:w="7117"/>
          </w:cols>
        </w:sectPr>
      </w:pPr>
    </w:p>
    <w:p>
      <w:pPr>
        <w:pStyle w:val="BodyText"/>
        <w:spacing w:before="6"/>
        <w:rPr>
          <w:sz w:val="12"/>
        </w:rPr>
      </w:pPr>
    </w:p>
    <w:p>
      <w:pPr>
        <w:pStyle w:val="ListParagraph"/>
        <w:numPr>
          <w:ilvl w:val="1"/>
          <w:numId w:val="7"/>
        </w:numPr>
        <w:tabs>
          <w:tab w:pos="688" w:val="left" w:leader="none"/>
        </w:tabs>
        <w:spacing w:line="237" w:lineRule="auto" w:before="65" w:after="0"/>
        <w:ind w:left="2317" w:right="203" w:hanging="2215"/>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7"/>
        <w:rPr>
          <w:sz w:val="18"/>
        </w:rPr>
      </w:pPr>
    </w:p>
    <w:p>
      <w:pPr>
        <w:pStyle w:val="BodyText"/>
        <w:spacing w:line="237" w:lineRule="auto"/>
        <w:ind w:left="2317" w:right="203" w:hanging="3"/>
      </w:pPr>
      <w:r>
        <w:rPr/>
        <w:t>医生是指领有执业医师执照、在医院内行医并拥有处方权的医生，且非您以及您的配偶、父母、子女。</w:t>
      </w:r>
    </w:p>
    <w:p>
      <w:pPr>
        <w:pStyle w:val="BodyText"/>
        <w:spacing w:before="10"/>
        <w:rPr>
          <w:sz w:val="13"/>
        </w:rPr>
      </w:pPr>
    </w:p>
    <w:p>
      <w:pPr>
        <w:spacing w:after="0"/>
        <w:rPr>
          <w:sz w:val="13"/>
        </w:rPr>
        <w:sectPr>
          <w:type w:val="continuous"/>
          <w:pgSz w:w="11900" w:h="16840"/>
          <w:pgMar w:top="1220" w:bottom="280" w:left="1580" w:right="1000"/>
        </w:sectPr>
      </w:pPr>
    </w:p>
    <w:p>
      <w:pPr>
        <w:pStyle w:val="ListParagraph"/>
        <w:numPr>
          <w:ilvl w:val="1"/>
          <w:numId w:val="7"/>
        </w:numPr>
        <w:tabs>
          <w:tab w:pos="687" w:val="left" w:leader="none"/>
          <w:tab w:pos="688" w:val="left" w:leader="none"/>
        </w:tabs>
        <w:spacing w:line="237" w:lineRule="auto" w:before="66" w:after="0"/>
        <w:ind w:left="688" w:right="0" w:hanging="586"/>
        <w:jc w:val="left"/>
        <w:rPr>
          <w:sz w:val="21"/>
        </w:rPr>
      </w:pPr>
      <w:r>
        <w:rPr>
          <w:spacing w:val="-1"/>
          <w:sz w:val="21"/>
        </w:rPr>
        <w:t>肢体机能完全丧失：</w:t>
      </w:r>
    </w:p>
    <w:p>
      <w:pPr>
        <w:pStyle w:val="BodyText"/>
        <w:spacing w:line="237" w:lineRule="auto" w:before="63"/>
        <w:ind w:left="104" w:right="203" w:hanging="3"/>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1580" w:right="1000"/>
          <w:cols w:num="2" w:equalWidth="0">
            <w:col w:w="1953" w:space="260"/>
            <w:col w:w="7107"/>
          </w:cols>
        </w:sectPr>
      </w:pPr>
    </w:p>
    <w:p>
      <w:pPr>
        <w:pStyle w:val="BodyText"/>
        <w:spacing w:before="9"/>
        <w:rPr>
          <w:sz w:val="13"/>
        </w:rPr>
      </w:pPr>
    </w:p>
    <w:p>
      <w:pPr>
        <w:spacing w:after="0"/>
        <w:rPr>
          <w:sz w:val="13"/>
        </w:rPr>
        <w:sectPr>
          <w:type w:val="continuous"/>
          <w:pgSz w:w="11900" w:h="16840"/>
          <w:pgMar w:top="1220" w:bottom="280" w:left="1580" w:right="1000"/>
        </w:sectPr>
      </w:pPr>
    </w:p>
    <w:p>
      <w:pPr>
        <w:pStyle w:val="ListParagraph"/>
        <w:numPr>
          <w:ilvl w:val="1"/>
          <w:numId w:val="7"/>
        </w:numPr>
        <w:tabs>
          <w:tab w:pos="687" w:val="left" w:leader="none"/>
          <w:tab w:pos="688" w:val="left" w:leader="none"/>
        </w:tabs>
        <w:spacing w:line="237" w:lineRule="auto" w:before="65" w:after="0"/>
        <w:ind w:left="688" w:right="0" w:hanging="586"/>
        <w:jc w:val="left"/>
        <w:rPr>
          <w:sz w:val="21"/>
        </w:rPr>
      </w:pPr>
      <w:r>
        <w:rPr>
          <w:spacing w:val="-1"/>
          <w:sz w:val="21"/>
        </w:rPr>
        <w:t>语言能力完全丧失：</w:t>
      </w:r>
    </w:p>
    <w:p>
      <w:pPr>
        <w:pStyle w:val="BodyText"/>
        <w:spacing w:line="237" w:lineRule="auto" w:before="62"/>
        <w:ind w:left="102" w:right="206"/>
      </w:pPr>
      <w:r>
        <w:rPr/>
        <w:br w:type="column"/>
      </w:r>
      <w:r>
        <w:rPr/>
        <w:t>指无法发出四种语音（包括口唇音、齿舌音、口盖音和喉头音）中的任何三种、或声带全部切除，或因大脑语言中枢受伤害而患失语症。</w:t>
      </w:r>
    </w:p>
    <w:p>
      <w:pPr>
        <w:spacing w:after="0" w:line="237" w:lineRule="auto"/>
        <w:sectPr>
          <w:type w:val="continuous"/>
          <w:pgSz w:w="11900" w:h="16840"/>
          <w:pgMar w:top="1220" w:bottom="280" w:left="1580" w:right="1000"/>
          <w:cols w:num="2" w:equalWidth="0">
            <w:col w:w="1953" w:space="250"/>
            <w:col w:w="7117"/>
          </w:cols>
        </w:sectPr>
      </w:pPr>
    </w:p>
    <w:p>
      <w:pPr>
        <w:pStyle w:val="BodyText"/>
        <w:spacing w:before="5" w:after="1"/>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620"/>
        <w:gridCol w:w="7070"/>
      </w:tblGrid>
      <w:tr>
        <w:trPr>
          <w:trHeight w:val="267" w:hRule="atLeast"/>
        </w:trPr>
        <w:tc>
          <w:tcPr>
            <w:tcW w:w="789" w:type="dxa"/>
          </w:tcPr>
          <w:p>
            <w:pPr>
              <w:pStyle w:val="TableParagraph"/>
              <w:spacing w:line="234" w:lineRule="exact"/>
              <w:ind w:right="105"/>
              <w:jc w:val="right"/>
              <w:rPr>
                <w:rFonts w:ascii="Times New Roman"/>
                <w:b/>
                <w:sz w:val="21"/>
              </w:rPr>
            </w:pPr>
            <w:r>
              <w:rPr>
                <w:rFonts w:ascii="Times New Roman"/>
                <w:b/>
                <w:sz w:val="21"/>
              </w:rPr>
              <w:t>8.16</w:t>
            </w:r>
          </w:p>
        </w:tc>
        <w:tc>
          <w:tcPr>
            <w:tcW w:w="1620" w:type="dxa"/>
          </w:tcPr>
          <w:p>
            <w:pPr>
              <w:pStyle w:val="TableParagraph"/>
              <w:spacing w:line="237" w:lineRule="exact"/>
              <w:ind w:left="108"/>
              <w:rPr>
                <w:sz w:val="21"/>
              </w:rPr>
            </w:pPr>
            <w:r>
              <w:rPr>
                <w:sz w:val="21"/>
              </w:rPr>
              <w:t>咀嚼吞咽能力</w:t>
            </w:r>
          </w:p>
        </w:tc>
        <w:tc>
          <w:tcPr>
            <w:tcW w:w="7070" w:type="dxa"/>
          </w:tcPr>
          <w:p>
            <w:pPr>
              <w:pStyle w:val="TableParagraph"/>
              <w:spacing w:line="235" w:lineRule="exact"/>
              <w:ind w:left="105"/>
              <w:rPr>
                <w:sz w:val="21"/>
              </w:rPr>
            </w:pPr>
            <w:r>
              <w:rPr>
                <w:sz w:val="21"/>
              </w:rPr>
              <w:t>指因牙齿以外的原因导致器质障碍或机能障碍，以致不能作咀嚼吞咽运动，</w:t>
            </w:r>
          </w:p>
        </w:tc>
      </w:tr>
      <w:tr>
        <w:trPr>
          <w:trHeight w:val="381" w:hRule="atLeast"/>
        </w:trPr>
        <w:tc>
          <w:tcPr>
            <w:tcW w:w="789" w:type="dxa"/>
          </w:tcPr>
          <w:p>
            <w:pPr>
              <w:pStyle w:val="TableParagraph"/>
              <w:rPr>
                <w:rFonts w:ascii="Times New Roman"/>
                <w:sz w:val="20"/>
              </w:rPr>
            </w:pPr>
          </w:p>
        </w:tc>
        <w:tc>
          <w:tcPr>
            <w:tcW w:w="1620" w:type="dxa"/>
          </w:tcPr>
          <w:p>
            <w:pPr>
              <w:pStyle w:val="TableParagraph"/>
              <w:spacing w:line="243" w:lineRule="exact"/>
              <w:ind w:left="108"/>
              <w:rPr>
                <w:sz w:val="21"/>
              </w:rPr>
            </w:pPr>
            <w:r>
              <w:rPr>
                <w:sz w:val="21"/>
              </w:rPr>
              <w:t>完全丧失：</w:t>
            </w:r>
          </w:p>
        </w:tc>
        <w:tc>
          <w:tcPr>
            <w:tcW w:w="7070" w:type="dxa"/>
          </w:tcPr>
          <w:p>
            <w:pPr>
              <w:pStyle w:val="TableParagraph"/>
              <w:spacing w:line="241" w:lineRule="exact"/>
              <w:ind w:left="105"/>
              <w:rPr>
                <w:sz w:val="21"/>
              </w:rPr>
            </w:pPr>
            <w:r>
              <w:rPr>
                <w:sz w:val="21"/>
              </w:rPr>
              <w:t>除流质食物外不能摄取或吞咽的状态。</w:t>
            </w:r>
          </w:p>
        </w:tc>
      </w:tr>
      <w:tr>
        <w:trPr>
          <w:trHeight w:val="408" w:hRule="atLeast"/>
        </w:trPr>
        <w:tc>
          <w:tcPr>
            <w:tcW w:w="789" w:type="dxa"/>
          </w:tcPr>
          <w:p>
            <w:pPr>
              <w:pStyle w:val="TableParagraph"/>
              <w:spacing w:before="130"/>
              <w:ind w:right="105"/>
              <w:jc w:val="right"/>
              <w:rPr>
                <w:rFonts w:ascii="Times New Roman"/>
                <w:b/>
                <w:sz w:val="21"/>
              </w:rPr>
            </w:pPr>
            <w:r>
              <w:rPr>
                <w:rFonts w:ascii="Times New Roman"/>
                <w:b/>
                <w:sz w:val="21"/>
              </w:rPr>
              <w:t>8.17</w:t>
            </w:r>
          </w:p>
        </w:tc>
        <w:tc>
          <w:tcPr>
            <w:tcW w:w="1620" w:type="dxa"/>
          </w:tcPr>
          <w:p>
            <w:pPr>
              <w:pStyle w:val="TableParagraph"/>
              <w:spacing w:before="100"/>
              <w:ind w:left="108"/>
              <w:rPr>
                <w:sz w:val="21"/>
              </w:rPr>
            </w:pPr>
            <w:r>
              <w:rPr>
                <w:sz w:val="21"/>
              </w:rPr>
              <w:t>六项基本日常</w:t>
            </w:r>
          </w:p>
        </w:tc>
        <w:tc>
          <w:tcPr>
            <w:tcW w:w="7070" w:type="dxa"/>
          </w:tcPr>
          <w:p>
            <w:pPr>
              <w:pStyle w:val="TableParagraph"/>
              <w:spacing w:before="98"/>
              <w:ind w:left="105"/>
              <w:rPr>
                <w:sz w:val="21"/>
              </w:rPr>
            </w:pPr>
            <w:r>
              <w:rPr>
                <w:spacing w:val="-11"/>
                <w:w w:val="100"/>
                <w:sz w:val="21"/>
              </w:rPr>
              <w:t>六项基本日常生活活动是指：</w:t>
            </w:r>
            <w:r>
              <w:rPr>
                <w:w w:val="100"/>
                <w:sz w:val="21"/>
              </w:rPr>
              <w:t>（</w:t>
            </w:r>
            <w:r>
              <w:rPr>
                <w:rFonts w:ascii="Times New Roman" w:eastAsia="Times New Roman"/>
                <w:spacing w:val="-3"/>
                <w:w w:val="100"/>
                <w:sz w:val="21"/>
              </w:rPr>
              <w:t>1</w:t>
            </w:r>
            <w:r>
              <w:rPr>
                <w:spacing w:val="-8"/>
                <w:w w:val="100"/>
                <w:sz w:val="21"/>
              </w:rPr>
              <w:t>）</w:t>
            </w:r>
            <w:r>
              <w:rPr>
                <w:spacing w:val="-12"/>
                <w:w w:val="100"/>
                <w:sz w:val="21"/>
              </w:rPr>
              <w:t>穿衣：自己能够穿衣及脱衣；</w:t>
            </w:r>
            <w:r>
              <w:rPr>
                <w:w w:val="100"/>
                <w:sz w:val="21"/>
              </w:rPr>
              <w:t>（</w:t>
            </w:r>
            <w:r>
              <w:rPr>
                <w:rFonts w:ascii="Times New Roman" w:eastAsia="Times New Roman"/>
                <w:spacing w:val="-3"/>
                <w:w w:val="100"/>
                <w:sz w:val="21"/>
              </w:rPr>
              <w:t>2</w:t>
            </w:r>
            <w:r>
              <w:rPr>
                <w:spacing w:val="-8"/>
                <w:w w:val="100"/>
                <w:sz w:val="21"/>
              </w:rPr>
              <w:t>）</w:t>
            </w:r>
            <w:r>
              <w:rPr>
                <w:spacing w:val="-2"/>
                <w:w w:val="100"/>
                <w:sz w:val="21"/>
              </w:rPr>
              <w:t>移动：</w:t>
            </w:r>
          </w:p>
        </w:tc>
      </w:tr>
      <w:tr>
        <w:trPr>
          <w:trHeight w:val="273" w:hRule="atLeast"/>
        </w:trPr>
        <w:tc>
          <w:tcPr>
            <w:tcW w:w="789" w:type="dxa"/>
          </w:tcPr>
          <w:p>
            <w:pPr>
              <w:pStyle w:val="TableParagraph"/>
              <w:rPr>
                <w:rFonts w:ascii="Times New Roman"/>
                <w:sz w:val="20"/>
              </w:rPr>
            </w:pPr>
          </w:p>
        </w:tc>
        <w:tc>
          <w:tcPr>
            <w:tcW w:w="1620" w:type="dxa"/>
          </w:tcPr>
          <w:p>
            <w:pPr>
              <w:pStyle w:val="TableParagraph"/>
              <w:spacing w:line="240" w:lineRule="exact"/>
              <w:ind w:left="108"/>
              <w:rPr>
                <w:sz w:val="21"/>
              </w:rPr>
            </w:pPr>
            <w:r>
              <w:rPr>
                <w:sz w:val="21"/>
              </w:rPr>
              <w:t>生活活动：</w:t>
            </w:r>
          </w:p>
        </w:tc>
        <w:tc>
          <w:tcPr>
            <w:tcW w:w="7070" w:type="dxa"/>
          </w:tcPr>
          <w:p>
            <w:pPr>
              <w:pStyle w:val="TableParagraph"/>
              <w:spacing w:line="253" w:lineRule="exact"/>
              <w:ind w:left="105"/>
              <w:rPr>
                <w:sz w:val="21"/>
              </w:rPr>
            </w:pPr>
            <w:r>
              <w:rPr>
                <w:spacing w:val="-8"/>
                <w:w w:val="100"/>
                <w:sz w:val="21"/>
              </w:rPr>
              <w:t>自己从一个房间到另一个房间；</w:t>
            </w:r>
            <w:r>
              <w:rPr>
                <w:w w:val="100"/>
                <w:sz w:val="21"/>
              </w:rPr>
              <w:t>（</w:t>
            </w:r>
            <w:r>
              <w:rPr>
                <w:rFonts w:ascii="Times New Roman" w:eastAsia="Times New Roman"/>
                <w:spacing w:val="1"/>
                <w:w w:val="100"/>
                <w:sz w:val="21"/>
              </w:rPr>
              <w:t>3</w:t>
            </w:r>
            <w:r>
              <w:rPr>
                <w:w w:val="100"/>
                <w:sz w:val="21"/>
              </w:rPr>
              <w:t>）</w:t>
            </w:r>
            <w:r>
              <w:rPr>
                <w:spacing w:val="-8"/>
                <w:w w:val="100"/>
                <w:sz w:val="21"/>
              </w:rPr>
              <w:t>行动：自己上下床或上下轮椅；</w:t>
            </w:r>
            <w:r>
              <w:rPr>
                <w:spacing w:val="1"/>
                <w:w w:val="100"/>
                <w:sz w:val="21"/>
              </w:rPr>
              <w:t>（</w:t>
            </w:r>
            <w:r>
              <w:rPr>
                <w:rFonts w:ascii="Times New Roman" w:eastAsia="Times New Roman"/>
                <w:spacing w:val="1"/>
                <w:w w:val="100"/>
                <w:sz w:val="21"/>
              </w:rPr>
              <w:t>4</w:t>
            </w:r>
            <w:r>
              <w:rPr>
                <w:w w:val="100"/>
                <w:sz w:val="21"/>
              </w:rPr>
              <w:t>）</w:t>
            </w:r>
          </w:p>
        </w:tc>
      </w:tr>
      <w:tr>
        <w:trPr>
          <w:trHeight w:val="27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2" w:lineRule="exact"/>
              <w:ind w:left="105"/>
              <w:rPr>
                <w:sz w:val="21"/>
              </w:rPr>
            </w:pPr>
            <w:r>
              <w:rPr>
                <w:spacing w:val="-8"/>
                <w:w w:val="100"/>
                <w:sz w:val="21"/>
              </w:rPr>
              <w:t>如厕：自己控制进行大小便；</w:t>
            </w:r>
            <w:r>
              <w:rPr>
                <w:spacing w:val="1"/>
                <w:w w:val="100"/>
                <w:sz w:val="21"/>
              </w:rPr>
              <w:t>（</w:t>
            </w:r>
            <w:r>
              <w:rPr>
                <w:rFonts w:ascii="Times New Roman" w:eastAsia="Times New Roman"/>
                <w:spacing w:val="1"/>
                <w:w w:val="100"/>
                <w:sz w:val="21"/>
              </w:rPr>
              <w:t>5</w:t>
            </w:r>
            <w:r>
              <w:rPr>
                <w:w w:val="100"/>
                <w:sz w:val="21"/>
              </w:rPr>
              <w:t>）进食：自己从已准备好的碗或碟中取食</w:t>
            </w:r>
          </w:p>
        </w:tc>
      </w:tr>
      <w:tr>
        <w:trPr>
          <w:trHeight w:val="385"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2" w:lineRule="exact"/>
              <w:ind w:left="105"/>
              <w:rPr>
                <w:sz w:val="21"/>
              </w:rPr>
            </w:pPr>
            <w:r>
              <w:rPr>
                <w:spacing w:val="-20"/>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405" w:hRule="atLeast"/>
        </w:trPr>
        <w:tc>
          <w:tcPr>
            <w:tcW w:w="789" w:type="dxa"/>
          </w:tcPr>
          <w:p>
            <w:pPr>
              <w:pStyle w:val="TableParagraph"/>
              <w:spacing w:before="125"/>
              <w:ind w:right="105"/>
              <w:jc w:val="right"/>
              <w:rPr>
                <w:rFonts w:ascii="Times New Roman"/>
                <w:b/>
                <w:sz w:val="21"/>
              </w:rPr>
            </w:pPr>
            <w:r>
              <w:rPr>
                <w:rFonts w:ascii="Times New Roman"/>
                <w:b/>
                <w:sz w:val="21"/>
              </w:rPr>
              <w:t>8.18</w:t>
            </w:r>
          </w:p>
        </w:tc>
        <w:tc>
          <w:tcPr>
            <w:tcW w:w="1620" w:type="dxa"/>
          </w:tcPr>
          <w:p>
            <w:pPr>
              <w:pStyle w:val="TableParagraph"/>
              <w:spacing w:before="94"/>
              <w:ind w:left="108"/>
              <w:rPr>
                <w:sz w:val="21"/>
              </w:rPr>
            </w:pPr>
            <w:r>
              <w:rPr>
                <w:sz w:val="21"/>
              </w:rPr>
              <w:t>永久不可逆：</w:t>
            </w:r>
          </w:p>
        </w:tc>
        <w:tc>
          <w:tcPr>
            <w:tcW w:w="7070" w:type="dxa"/>
          </w:tcPr>
          <w:p>
            <w:pPr>
              <w:pStyle w:val="TableParagraph"/>
              <w:spacing w:before="92"/>
              <w:ind w:left="115"/>
              <w:rPr>
                <w:sz w:val="21"/>
              </w:rPr>
            </w:pPr>
            <w:r>
              <w:rPr>
                <w:spacing w:val="-3"/>
                <w:sz w:val="21"/>
              </w:rPr>
              <w:t>指自疾病确诊或意外伤害事故发生之日起，经过积极治疗 </w:t>
            </w:r>
            <w:r>
              <w:rPr>
                <w:rFonts w:ascii="Times New Roman" w:eastAsia="Times New Roman"/>
                <w:sz w:val="21"/>
              </w:rPr>
              <w:t>180</w:t>
            </w:r>
            <w:r>
              <w:rPr>
                <w:rFonts w:ascii="Times New Roman" w:eastAsia="Times New Roman"/>
                <w:spacing w:val="50"/>
                <w:sz w:val="21"/>
              </w:rPr>
              <w:t> </w:t>
            </w:r>
            <w:r>
              <w:rPr>
                <w:spacing w:val="-3"/>
                <w:sz w:val="21"/>
              </w:rPr>
              <w:t>天后，仍无</w:t>
            </w:r>
          </w:p>
        </w:tc>
      </w:tr>
      <w:tr>
        <w:trPr>
          <w:trHeight w:val="386"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33" w:lineRule="exact"/>
              <w:ind w:left="117"/>
              <w:rPr>
                <w:sz w:val="21"/>
              </w:rPr>
            </w:pPr>
            <w:r>
              <w:rPr>
                <w:sz w:val="21"/>
              </w:rPr>
              <w:t>法通过现有医疗手段恢复。</w:t>
            </w:r>
          </w:p>
        </w:tc>
      </w:tr>
      <w:tr>
        <w:trPr>
          <w:trHeight w:val="412" w:hRule="atLeast"/>
        </w:trPr>
        <w:tc>
          <w:tcPr>
            <w:tcW w:w="789" w:type="dxa"/>
          </w:tcPr>
          <w:p>
            <w:pPr>
              <w:pStyle w:val="TableParagraph"/>
              <w:spacing w:before="90"/>
              <w:ind w:right="103"/>
              <w:jc w:val="right"/>
              <w:rPr>
                <w:sz w:val="21"/>
              </w:rPr>
            </w:pPr>
            <w:r>
              <w:rPr>
                <w:sz w:val="21"/>
              </w:rPr>
              <w:t>附表：</w:t>
            </w:r>
          </w:p>
        </w:tc>
        <w:tc>
          <w:tcPr>
            <w:tcW w:w="1620" w:type="dxa"/>
          </w:tcPr>
          <w:p>
            <w:pPr>
              <w:pStyle w:val="TableParagraph"/>
              <w:spacing w:before="90"/>
              <w:ind w:left="108"/>
              <w:rPr>
                <w:sz w:val="21"/>
              </w:rPr>
            </w:pPr>
            <w:r>
              <w:rPr>
                <w:sz w:val="21"/>
              </w:rPr>
              <w:t>重大疾病列表</w:t>
            </w:r>
          </w:p>
        </w:tc>
        <w:tc>
          <w:tcPr>
            <w:tcW w:w="7070" w:type="dxa"/>
          </w:tcPr>
          <w:p>
            <w:pPr>
              <w:pStyle w:val="TableParagraph"/>
              <w:spacing w:before="99"/>
              <w:ind w:left="105"/>
              <w:rPr>
                <w:sz w:val="21"/>
              </w:rPr>
            </w:pPr>
            <w:r>
              <w:rPr>
                <w:sz w:val="21"/>
              </w:rPr>
              <w:t>包括以下疾病、疾病状态或手术。其中第 </w:t>
            </w:r>
            <w:r>
              <w:rPr>
                <w:rFonts w:ascii="Times New Roman" w:eastAsia="Times New Roman"/>
                <w:sz w:val="21"/>
              </w:rPr>
              <w:t>1-25 </w:t>
            </w:r>
            <w:r>
              <w:rPr>
                <w:sz w:val="21"/>
              </w:rPr>
              <w:t>项为中国保险行业协会与中</w:t>
            </w:r>
          </w:p>
        </w:tc>
      </w:tr>
      <w:tr>
        <w:trPr>
          <w:trHeight w:val="28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6" w:lineRule="exact"/>
              <w:ind w:left="105"/>
              <w:rPr>
                <w:sz w:val="21"/>
              </w:rPr>
            </w:pPr>
            <w:r>
              <w:rPr>
                <w:sz w:val="21"/>
              </w:rPr>
              <w:t>国医师协会共同制定的疾病定义，第 </w:t>
            </w:r>
            <w:r>
              <w:rPr>
                <w:rFonts w:ascii="Times New Roman" w:eastAsia="Times New Roman"/>
                <w:sz w:val="21"/>
              </w:rPr>
              <w:t>26-80  </w:t>
            </w:r>
            <w:r>
              <w:rPr>
                <w:sz w:val="21"/>
              </w:rPr>
              <w:t>项为我们增加的疾病种类并自</w:t>
            </w:r>
          </w:p>
        </w:tc>
      </w:tr>
      <w:tr>
        <w:trPr>
          <w:trHeight w:val="38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38" w:lineRule="exact"/>
              <w:ind w:left="105"/>
              <w:rPr>
                <w:sz w:val="21"/>
              </w:rPr>
            </w:pPr>
            <w:r>
              <w:rPr>
                <w:sz w:val="21"/>
              </w:rPr>
              <w:t>行制定的疾病定义。</w:t>
            </w:r>
          </w:p>
        </w:tc>
      </w:tr>
      <w:tr>
        <w:trPr>
          <w:trHeight w:val="402" w:hRule="atLeast"/>
        </w:trPr>
        <w:tc>
          <w:tcPr>
            <w:tcW w:w="789" w:type="dxa"/>
          </w:tcPr>
          <w:p>
            <w:pPr>
              <w:pStyle w:val="TableParagraph"/>
              <w:rPr>
                <w:rFonts w:ascii="Times New Roman"/>
                <w:sz w:val="20"/>
              </w:rPr>
            </w:pPr>
          </w:p>
        </w:tc>
        <w:tc>
          <w:tcPr>
            <w:tcW w:w="1620" w:type="dxa"/>
          </w:tcPr>
          <w:p>
            <w:pPr>
              <w:pStyle w:val="TableParagraph"/>
              <w:spacing w:before="90"/>
              <w:ind w:left="105"/>
              <w:rPr>
                <w:sz w:val="21"/>
              </w:rPr>
            </w:pPr>
            <w:r>
              <w:rPr>
                <w:rFonts w:ascii="Times New Roman" w:eastAsia="Times New Roman"/>
                <w:b/>
                <w:sz w:val="21"/>
              </w:rPr>
              <w:t>1.</w:t>
            </w:r>
            <w:r>
              <w:rPr>
                <w:sz w:val="21"/>
              </w:rPr>
              <w:t>恶性肿瘤</w:t>
            </w:r>
          </w:p>
        </w:tc>
        <w:tc>
          <w:tcPr>
            <w:tcW w:w="7070" w:type="dxa"/>
          </w:tcPr>
          <w:p>
            <w:pPr>
              <w:pStyle w:val="TableParagraph"/>
              <w:spacing w:before="88"/>
              <w:ind w:left="105"/>
              <w:rPr>
                <w:sz w:val="21"/>
              </w:rPr>
            </w:pPr>
            <w:r>
              <w:rPr>
                <w:sz w:val="21"/>
              </w:rPr>
              <w:t>指恶性细胞不受控制的进行性增长和扩散，浸润和破坏周围正常组织，可</w:t>
            </w:r>
          </w:p>
        </w:tc>
      </w:tr>
      <w:tr>
        <w:trPr>
          <w:trHeight w:val="265" w:hRule="atLeast"/>
        </w:trPr>
        <w:tc>
          <w:tcPr>
            <w:tcW w:w="789" w:type="dxa"/>
          </w:tcPr>
          <w:p>
            <w:pPr>
              <w:pStyle w:val="TableParagraph"/>
              <w:rPr>
                <w:rFonts w:ascii="Times New Roman"/>
                <w:sz w:val="18"/>
              </w:rPr>
            </w:pPr>
          </w:p>
        </w:tc>
        <w:tc>
          <w:tcPr>
            <w:tcW w:w="1620" w:type="dxa"/>
          </w:tcPr>
          <w:p>
            <w:pPr>
              <w:pStyle w:val="TableParagraph"/>
              <w:rPr>
                <w:rFonts w:ascii="Times New Roman"/>
                <w:sz w:val="18"/>
              </w:rPr>
            </w:pPr>
          </w:p>
        </w:tc>
        <w:tc>
          <w:tcPr>
            <w:tcW w:w="7070" w:type="dxa"/>
          </w:tcPr>
          <w:p>
            <w:pPr>
              <w:pStyle w:val="TableParagraph"/>
              <w:spacing w:line="234" w:lineRule="exact"/>
              <w:ind w:left="105"/>
              <w:rPr>
                <w:sz w:val="21"/>
              </w:rPr>
            </w:pPr>
            <w:r>
              <w:rPr>
                <w:sz w:val="21"/>
              </w:rPr>
              <w:t>以经血管、淋巴管和体腔扩散转移到身体其它部位的疾病。经病理学检查</w:t>
            </w:r>
          </w:p>
        </w:tc>
      </w:tr>
      <w:tr>
        <w:trPr>
          <w:trHeight w:val="270"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42" w:lineRule="exact"/>
              <w:ind w:left="105"/>
              <w:rPr>
                <w:sz w:val="21"/>
              </w:rPr>
            </w:pPr>
            <w:r>
              <w:rPr>
                <w:sz w:val="21"/>
              </w:rPr>
              <w:t>结果确诊，临床诊断属于世界卫生组织《疾病和有关健康问题的国际统计</w:t>
            </w:r>
          </w:p>
        </w:tc>
      </w:tr>
      <w:tr>
        <w:trPr>
          <w:trHeight w:val="404"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1" w:lineRule="exact"/>
              <w:ind w:left="105"/>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before="79"/>
              <w:ind w:left="105"/>
              <w:rPr>
                <w:sz w:val="21"/>
              </w:rPr>
            </w:pPr>
            <w:r>
              <w:rPr>
                <w:sz w:val="21"/>
              </w:rPr>
              <w:t>下列疾病不在保障范围内：</w:t>
            </w:r>
          </w:p>
        </w:tc>
      </w:tr>
      <w:tr>
        <w:trPr>
          <w:trHeight w:val="280"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0" w:lineRule="exact"/>
              <w:ind w:left="105"/>
              <w:rPr>
                <w:sz w:val="21"/>
              </w:rPr>
            </w:pPr>
            <w:r>
              <w:rPr>
                <w:sz w:val="21"/>
              </w:rPr>
              <w:t>（</w:t>
            </w:r>
            <w:r>
              <w:rPr>
                <w:rFonts w:ascii="Times New Roman" w:eastAsia="Times New Roman"/>
                <w:sz w:val="21"/>
              </w:rPr>
              <w:t>1</w:t>
            </w:r>
            <w:r>
              <w:rPr>
                <w:sz w:val="21"/>
              </w:rPr>
              <w:t>）原位癌；</w:t>
            </w:r>
          </w:p>
        </w:tc>
      </w:tr>
      <w:tr>
        <w:trPr>
          <w:trHeight w:val="27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2" w:lineRule="exact"/>
              <w:ind w:left="105"/>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sz w:val="21"/>
              </w:rPr>
              <w:t>（</w:t>
            </w:r>
            <w:r>
              <w:rPr>
                <w:rFonts w:ascii="Times New Roman" w:eastAsia="Times New Roman"/>
                <w:sz w:val="21"/>
              </w:rPr>
              <w:t>4</w:t>
            </w:r>
            <w:r>
              <w:rPr>
                <w:sz w:val="21"/>
              </w:rPr>
              <w:t>）皮肤癌（不包括恶性黑色素瘤及已发Th转移的皮肤癌）；</w:t>
            </w:r>
          </w:p>
        </w:tc>
      </w:tr>
      <w:tr>
        <w:trPr>
          <w:trHeight w:val="665"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44" w:lineRule="exact"/>
              <w:ind w:left="105"/>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81" w:lineRule="exact"/>
              <w:ind w:left="105"/>
              <w:rPr>
                <w:sz w:val="21"/>
              </w:rPr>
            </w:pPr>
            <w:r>
              <w:rPr>
                <w:sz w:val="21"/>
              </w:rPr>
              <w:t>（</w:t>
            </w:r>
            <w:r>
              <w:rPr>
                <w:rFonts w:ascii="Times New Roman" w:eastAsia="Times New Roman"/>
                <w:sz w:val="21"/>
              </w:rPr>
              <w:t>6</w:t>
            </w:r>
            <w:r>
              <w:rPr>
                <w:sz w:val="21"/>
              </w:rPr>
              <w:t>）感染艾滋病病毒或患艾滋病期间所患恶性肿瘤。</w:t>
            </w:r>
          </w:p>
        </w:tc>
      </w:tr>
      <w:tr>
        <w:trPr>
          <w:trHeight w:val="396" w:hRule="atLeast"/>
        </w:trPr>
        <w:tc>
          <w:tcPr>
            <w:tcW w:w="789" w:type="dxa"/>
          </w:tcPr>
          <w:p>
            <w:pPr>
              <w:pStyle w:val="TableParagraph"/>
              <w:rPr>
                <w:rFonts w:ascii="Times New Roman"/>
                <w:sz w:val="20"/>
              </w:rPr>
            </w:pPr>
          </w:p>
        </w:tc>
        <w:tc>
          <w:tcPr>
            <w:tcW w:w="1620" w:type="dxa"/>
          </w:tcPr>
          <w:p>
            <w:pPr>
              <w:pStyle w:val="TableParagraph"/>
              <w:spacing w:before="86"/>
              <w:ind w:left="105"/>
              <w:rPr>
                <w:sz w:val="21"/>
              </w:rPr>
            </w:pPr>
            <w:r>
              <w:rPr>
                <w:rFonts w:ascii="Times New Roman" w:eastAsia="Times New Roman"/>
                <w:b/>
                <w:sz w:val="21"/>
              </w:rPr>
              <w:t>2. </w:t>
            </w:r>
            <w:r>
              <w:rPr>
                <w:spacing w:val="-32"/>
                <w:sz w:val="21"/>
              </w:rPr>
              <w:t>急 性 心 肌 梗</w:t>
            </w:r>
          </w:p>
        </w:tc>
        <w:tc>
          <w:tcPr>
            <w:tcW w:w="7070" w:type="dxa"/>
          </w:tcPr>
          <w:p>
            <w:pPr>
              <w:pStyle w:val="TableParagraph"/>
              <w:spacing w:before="84"/>
              <w:ind w:left="105"/>
              <w:rPr>
                <w:sz w:val="21"/>
              </w:rPr>
            </w:pPr>
            <w:r>
              <w:rPr>
                <w:sz w:val="21"/>
              </w:rPr>
              <w:t>指因冠状动脉阻塞导致的相应区域供血不足造成部分心肌坏死。须满足下</w:t>
            </w:r>
          </w:p>
        </w:tc>
      </w:tr>
      <w:tr>
        <w:trPr>
          <w:trHeight w:val="262" w:hRule="atLeast"/>
        </w:trPr>
        <w:tc>
          <w:tcPr>
            <w:tcW w:w="789" w:type="dxa"/>
          </w:tcPr>
          <w:p>
            <w:pPr>
              <w:pStyle w:val="TableParagraph"/>
              <w:rPr>
                <w:rFonts w:ascii="Times New Roman"/>
                <w:sz w:val="18"/>
              </w:rPr>
            </w:pPr>
          </w:p>
        </w:tc>
        <w:tc>
          <w:tcPr>
            <w:tcW w:w="1620" w:type="dxa"/>
          </w:tcPr>
          <w:p>
            <w:pPr>
              <w:pStyle w:val="TableParagraph"/>
              <w:spacing w:line="235" w:lineRule="exact"/>
              <w:ind w:left="108"/>
              <w:rPr>
                <w:sz w:val="21"/>
              </w:rPr>
            </w:pPr>
            <w:r>
              <w:rPr>
                <w:w w:val="100"/>
                <w:sz w:val="21"/>
              </w:rPr>
              <w:t>塞</w:t>
            </w:r>
          </w:p>
        </w:tc>
        <w:tc>
          <w:tcPr>
            <w:tcW w:w="7070" w:type="dxa"/>
          </w:tcPr>
          <w:p>
            <w:pPr>
              <w:pStyle w:val="TableParagraph"/>
              <w:spacing w:line="233" w:lineRule="exact"/>
              <w:ind w:left="105"/>
              <w:rPr>
                <w:sz w:val="21"/>
              </w:rPr>
            </w:pPr>
            <w:r>
              <w:rPr>
                <w:sz w:val="21"/>
              </w:rPr>
              <w:t>列至少三项条件：</w:t>
            </w:r>
          </w:p>
        </w:tc>
      </w:tr>
      <w:tr>
        <w:trPr>
          <w:trHeight w:val="280"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0" w:lineRule="exact"/>
              <w:ind w:left="105"/>
              <w:rPr>
                <w:sz w:val="21"/>
              </w:rPr>
            </w:pPr>
            <w:r>
              <w:rPr>
                <w:sz w:val="21"/>
              </w:rPr>
              <w:t>（</w:t>
            </w:r>
            <w:r>
              <w:rPr>
                <w:rFonts w:ascii="Times New Roman" w:eastAsia="Times New Roman"/>
                <w:sz w:val="21"/>
              </w:rPr>
              <w:t>1</w:t>
            </w:r>
            <w:r>
              <w:rPr>
                <w:sz w:val="21"/>
              </w:rPr>
              <w:t>）典型临床表现，例如急性胸痛等；</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sz w:val="21"/>
              </w:rPr>
              <w:t>（</w:t>
            </w:r>
            <w:r>
              <w:rPr>
                <w:rFonts w:ascii="Times New Roman" w:eastAsia="Times New Roman"/>
                <w:sz w:val="21"/>
              </w:rPr>
              <w:t>2</w:t>
            </w:r>
            <w:r>
              <w:rPr>
                <w:sz w:val="21"/>
              </w:rPr>
              <w:t>）新近的心电图改变提示急性心肌梗塞；</w:t>
            </w:r>
          </w:p>
        </w:tc>
      </w:tr>
      <w:tr>
        <w:trPr>
          <w:trHeight w:val="275"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sz w:val="21"/>
              </w:rPr>
              <w:t>（</w:t>
            </w:r>
            <w:r>
              <w:rPr>
                <w:rFonts w:ascii="Times New Roman" w:eastAsia="Times New Roman"/>
                <w:sz w:val="21"/>
              </w:rPr>
              <w:t>3</w:t>
            </w:r>
            <w:r>
              <w:rPr>
                <w:sz w:val="21"/>
              </w:rPr>
              <w:t>）心肌酶或肌钙蛋白有诊断意义的升高，或呈符合急性心肌梗塞的动态</w:t>
            </w:r>
          </w:p>
        </w:tc>
      </w:tr>
      <w:tr>
        <w:trPr>
          <w:trHeight w:val="261" w:hRule="atLeast"/>
        </w:trPr>
        <w:tc>
          <w:tcPr>
            <w:tcW w:w="789" w:type="dxa"/>
          </w:tcPr>
          <w:p>
            <w:pPr>
              <w:pStyle w:val="TableParagraph"/>
              <w:rPr>
                <w:rFonts w:ascii="Times New Roman"/>
                <w:sz w:val="18"/>
              </w:rPr>
            </w:pPr>
          </w:p>
        </w:tc>
        <w:tc>
          <w:tcPr>
            <w:tcW w:w="1620" w:type="dxa"/>
          </w:tcPr>
          <w:p>
            <w:pPr>
              <w:pStyle w:val="TableParagraph"/>
              <w:rPr>
                <w:rFonts w:ascii="Times New Roman"/>
                <w:sz w:val="18"/>
              </w:rPr>
            </w:pPr>
          </w:p>
        </w:tc>
        <w:tc>
          <w:tcPr>
            <w:tcW w:w="7070" w:type="dxa"/>
          </w:tcPr>
          <w:p>
            <w:pPr>
              <w:pStyle w:val="TableParagraph"/>
              <w:spacing w:line="233" w:lineRule="exact"/>
              <w:ind w:left="105"/>
              <w:rPr>
                <w:sz w:val="21"/>
              </w:rPr>
            </w:pPr>
            <w:r>
              <w:rPr>
                <w:sz w:val="21"/>
              </w:rPr>
              <w:t>性变化；</w:t>
            </w:r>
          </w:p>
        </w:tc>
      </w:tr>
      <w:tr>
        <w:trPr>
          <w:trHeight w:val="281"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1" w:lineRule="exact"/>
              <w:ind w:left="105"/>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tc>
      </w:tr>
      <w:tr>
        <w:trPr>
          <w:trHeight w:val="39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rFonts w:ascii="Times New Roman" w:eastAsia="Times New Roman"/>
                <w:sz w:val="21"/>
              </w:rPr>
              <w:t>50%</w:t>
            </w:r>
            <w:r>
              <w:rPr>
                <w:sz w:val="21"/>
              </w:rPr>
              <w:t>。</w:t>
            </w:r>
          </w:p>
        </w:tc>
      </w:tr>
      <w:tr>
        <w:trPr>
          <w:trHeight w:val="393" w:hRule="atLeast"/>
        </w:trPr>
        <w:tc>
          <w:tcPr>
            <w:tcW w:w="789" w:type="dxa"/>
          </w:tcPr>
          <w:p>
            <w:pPr>
              <w:pStyle w:val="TableParagraph"/>
              <w:rPr>
                <w:rFonts w:ascii="Times New Roman"/>
                <w:sz w:val="20"/>
              </w:rPr>
            </w:pPr>
          </w:p>
        </w:tc>
        <w:tc>
          <w:tcPr>
            <w:tcW w:w="1620" w:type="dxa"/>
          </w:tcPr>
          <w:p>
            <w:pPr>
              <w:pStyle w:val="TableParagraph"/>
              <w:spacing w:line="288" w:lineRule="exact" w:before="85"/>
              <w:ind w:left="105"/>
              <w:rPr>
                <w:sz w:val="21"/>
              </w:rPr>
            </w:pPr>
            <w:r>
              <w:rPr>
                <w:rFonts w:ascii="Times New Roman" w:eastAsia="Times New Roman"/>
                <w:b/>
                <w:sz w:val="21"/>
              </w:rPr>
              <w:t>3. </w:t>
            </w:r>
            <w:r>
              <w:rPr>
                <w:spacing w:val="-32"/>
                <w:sz w:val="21"/>
              </w:rPr>
              <w:t>脑 中 风 后 遗</w:t>
            </w:r>
          </w:p>
        </w:tc>
        <w:tc>
          <w:tcPr>
            <w:tcW w:w="7070" w:type="dxa"/>
          </w:tcPr>
          <w:p>
            <w:pPr>
              <w:pStyle w:val="TableParagraph"/>
              <w:spacing w:before="82"/>
              <w:ind w:left="105"/>
              <w:rPr>
                <w:sz w:val="21"/>
              </w:rPr>
            </w:pPr>
            <w:r>
              <w:rPr>
                <w:sz w:val="21"/>
              </w:rPr>
              <w:t>指因脑血管的突发病变引起脑血管出血、栓塞或梗塞，并导致神经系统永</w:t>
            </w:r>
          </w:p>
        </w:tc>
      </w:tr>
      <w:tr>
        <w:trPr>
          <w:trHeight w:val="276" w:hRule="atLeast"/>
        </w:trPr>
        <w:tc>
          <w:tcPr>
            <w:tcW w:w="789" w:type="dxa"/>
          </w:tcPr>
          <w:p>
            <w:pPr>
              <w:pStyle w:val="TableParagraph"/>
              <w:rPr>
                <w:rFonts w:ascii="Times New Roman"/>
                <w:sz w:val="20"/>
              </w:rPr>
            </w:pPr>
          </w:p>
        </w:tc>
        <w:tc>
          <w:tcPr>
            <w:tcW w:w="1620" w:type="dxa"/>
          </w:tcPr>
          <w:p>
            <w:pPr>
              <w:pStyle w:val="TableParagraph"/>
              <w:spacing w:line="240" w:lineRule="exact"/>
              <w:ind w:left="108"/>
              <w:rPr>
                <w:sz w:val="21"/>
              </w:rPr>
            </w:pPr>
            <w:r>
              <w:rPr>
                <w:w w:val="100"/>
                <w:sz w:val="21"/>
              </w:rPr>
              <w:t>症</w:t>
            </w:r>
          </w:p>
        </w:tc>
        <w:tc>
          <w:tcPr>
            <w:tcW w:w="7070" w:type="dxa"/>
          </w:tcPr>
          <w:p>
            <w:pPr>
              <w:pStyle w:val="TableParagraph"/>
              <w:spacing w:line="253" w:lineRule="exact"/>
              <w:ind w:left="105"/>
              <w:rPr>
                <w:sz w:val="21"/>
              </w:rPr>
            </w:pPr>
            <w:r>
              <w:rPr>
                <w:sz w:val="21"/>
              </w:rPr>
              <w:t>久性的功能障碍。神经系统永久性的功能障碍，指疾病确诊 </w:t>
            </w:r>
            <w:r>
              <w:rPr>
                <w:rFonts w:ascii="Times New Roman" w:eastAsia="Times New Roman"/>
                <w:sz w:val="21"/>
              </w:rPr>
              <w:t>180  </w:t>
            </w:r>
            <w:r>
              <w:rPr>
                <w:sz w:val="21"/>
              </w:rPr>
              <w:t>天后，仍</w:t>
            </w:r>
          </w:p>
        </w:tc>
      </w:tr>
      <w:tr>
        <w:trPr>
          <w:trHeight w:val="261" w:hRule="atLeast"/>
        </w:trPr>
        <w:tc>
          <w:tcPr>
            <w:tcW w:w="789" w:type="dxa"/>
          </w:tcPr>
          <w:p>
            <w:pPr>
              <w:pStyle w:val="TableParagraph"/>
              <w:rPr>
                <w:rFonts w:ascii="Times New Roman"/>
                <w:sz w:val="18"/>
              </w:rPr>
            </w:pPr>
          </w:p>
        </w:tc>
        <w:tc>
          <w:tcPr>
            <w:tcW w:w="1620" w:type="dxa"/>
          </w:tcPr>
          <w:p>
            <w:pPr>
              <w:pStyle w:val="TableParagraph"/>
              <w:rPr>
                <w:rFonts w:ascii="Times New Roman"/>
                <w:sz w:val="18"/>
              </w:rPr>
            </w:pPr>
          </w:p>
        </w:tc>
        <w:tc>
          <w:tcPr>
            <w:tcW w:w="7070" w:type="dxa"/>
          </w:tcPr>
          <w:p>
            <w:pPr>
              <w:pStyle w:val="TableParagraph"/>
              <w:spacing w:line="234" w:lineRule="exact"/>
              <w:ind w:left="105"/>
              <w:rPr>
                <w:sz w:val="21"/>
              </w:rPr>
            </w:pPr>
            <w:r>
              <w:rPr>
                <w:sz w:val="21"/>
              </w:rPr>
              <w:t>遗留下列一种或一种以上障碍：</w:t>
            </w:r>
          </w:p>
        </w:tc>
      </w:tr>
      <w:tr>
        <w:trPr>
          <w:trHeight w:val="280"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0" w:lineRule="exact"/>
              <w:ind w:left="115"/>
              <w:rPr>
                <w:sz w:val="21"/>
              </w:rPr>
            </w:pPr>
            <w:r>
              <w:rPr>
                <w:sz w:val="21"/>
              </w:rPr>
              <w:t>（</w:t>
            </w:r>
            <w:r>
              <w:rPr>
                <w:rFonts w:ascii="Times New Roman" w:eastAsia="Times New Roman"/>
                <w:sz w:val="21"/>
              </w:rPr>
              <w:t>1</w:t>
            </w:r>
            <w:r>
              <w:rPr>
                <w:sz w:val="21"/>
              </w:rPr>
              <w:t>）一肢或一肢以上肢体机能完全丧失（见 </w:t>
            </w:r>
            <w:r>
              <w:rPr>
                <w:rFonts w:ascii="Times New Roman" w:eastAsia="Times New Roman"/>
                <w:sz w:val="21"/>
              </w:rPr>
              <w:t>8.14</w:t>
            </w:r>
            <w:r>
              <w:rPr>
                <w:sz w:val="21"/>
              </w:rPr>
              <w:t>）；</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15"/>
              <w:rPr>
                <w:sz w:val="21"/>
              </w:rPr>
            </w:pPr>
            <w:r>
              <w:rPr>
                <w:sz w:val="21"/>
              </w:rPr>
              <w:t>（</w:t>
            </w:r>
            <w:r>
              <w:rPr>
                <w:rFonts w:ascii="Times New Roman" w:eastAsia="Times New Roman"/>
                <w:sz w:val="21"/>
              </w:rPr>
              <w:t>2</w:t>
            </w:r>
            <w:r>
              <w:rPr>
                <w:sz w:val="21"/>
              </w:rPr>
              <w:t>）语言能力完全丧失（见 </w:t>
            </w:r>
            <w:r>
              <w:rPr>
                <w:rFonts w:ascii="Times New Roman" w:eastAsia="Times New Roman"/>
                <w:sz w:val="21"/>
              </w:rPr>
              <w:t>8.15</w:t>
            </w:r>
            <w:r>
              <w:rPr>
                <w:sz w:val="21"/>
              </w:rPr>
              <w:t>）或咀嚼吞咽能力完全丧失（见 </w:t>
            </w:r>
            <w:r>
              <w:rPr>
                <w:rFonts w:ascii="Times New Roman" w:eastAsia="Times New Roman"/>
                <w:sz w:val="21"/>
              </w:rPr>
              <w:t>8.16</w:t>
            </w:r>
            <w:r>
              <w:rPr>
                <w:sz w:val="21"/>
              </w:rPr>
              <w:t>）；</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15"/>
              <w:rPr>
                <w:sz w:val="21"/>
              </w:rPr>
            </w:pPr>
            <w:r>
              <w:rPr>
                <w:sz w:val="21"/>
              </w:rPr>
              <w:t>（</w:t>
            </w:r>
            <w:r>
              <w:rPr>
                <w:rFonts w:ascii="Times New Roman" w:eastAsia="Times New Roman"/>
                <w:sz w:val="21"/>
              </w:rPr>
              <w:t>3</w:t>
            </w:r>
            <w:r>
              <w:rPr>
                <w:sz w:val="21"/>
              </w:rPr>
              <w:t>）自主生活能力完全丧失，无法独立完成六项基本日常Th活活动（见</w:t>
            </w:r>
          </w:p>
        </w:tc>
      </w:tr>
      <w:tr>
        <w:trPr>
          <w:trHeight w:val="39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13"/>
              <w:rPr>
                <w:sz w:val="21"/>
              </w:rPr>
            </w:pPr>
            <w:r>
              <w:rPr>
                <w:rFonts w:ascii="Times New Roman" w:eastAsia="Times New Roman"/>
                <w:sz w:val="21"/>
              </w:rPr>
              <w:t>8.17</w:t>
            </w:r>
            <w:r>
              <w:rPr>
                <w:sz w:val="21"/>
              </w:rPr>
              <w:t>）中的三项或三项以上。</w:t>
            </w:r>
          </w:p>
        </w:tc>
      </w:tr>
      <w:tr>
        <w:trPr>
          <w:trHeight w:val="396" w:hRule="atLeast"/>
        </w:trPr>
        <w:tc>
          <w:tcPr>
            <w:tcW w:w="789" w:type="dxa"/>
          </w:tcPr>
          <w:p>
            <w:pPr>
              <w:pStyle w:val="TableParagraph"/>
              <w:rPr>
                <w:rFonts w:ascii="Times New Roman"/>
                <w:sz w:val="20"/>
              </w:rPr>
            </w:pPr>
          </w:p>
        </w:tc>
        <w:tc>
          <w:tcPr>
            <w:tcW w:w="1620" w:type="dxa"/>
          </w:tcPr>
          <w:p>
            <w:pPr>
              <w:pStyle w:val="TableParagraph"/>
              <w:spacing w:before="85"/>
              <w:ind w:left="105"/>
              <w:rPr>
                <w:sz w:val="21"/>
              </w:rPr>
            </w:pPr>
            <w:r>
              <w:rPr>
                <w:rFonts w:ascii="Times New Roman" w:eastAsia="Times New Roman"/>
                <w:b/>
                <w:sz w:val="21"/>
              </w:rPr>
              <w:t>4. </w:t>
            </w:r>
            <w:r>
              <w:rPr>
                <w:spacing w:val="-32"/>
                <w:sz w:val="21"/>
              </w:rPr>
              <w:t>重 大 器 官 移</w:t>
            </w:r>
          </w:p>
        </w:tc>
        <w:tc>
          <w:tcPr>
            <w:tcW w:w="7070" w:type="dxa"/>
          </w:tcPr>
          <w:p>
            <w:pPr>
              <w:pStyle w:val="TableParagraph"/>
              <w:spacing w:before="82"/>
              <w:ind w:left="105"/>
              <w:rPr>
                <w:sz w:val="21"/>
              </w:rPr>
            </w:pPr>
            <w:r>
              <w:rPr>
                <w:sz w:val="21"/>
              </w:rPr>
              <w:t>重大器官移植术，指因相应器官功能衰竭，已经实施了肾脏、肝脏、心脏</w:t>
            </w:r>
          </w:p>
        </w:tc>
      </w:tr>
      <w:tr>
        <w:trPr>
          <w:trHeight w:val="266" w:hRule="atLeast"/>
        </w:trPr>
        <w:tc>
          <w:tcPr>
            <w:tcW w:w="789" w:type="dxa"/>
          </w:tcPr>
          <w:p>
            <w:pPr>
              <w:pStyle w:val="TableParagraph"/>
              <w:rPr>
                <w:rFonts w:ascii="Times New Roman"/>
                <w:sz w:val="18"/>
              </w:rPr>
            </w:pPr>
          </w:p>
        </w:tc>
        <w:tc>
          <w:tcPr>
            <w:tcW w:w="1620" w:type="dxa"/>
          </w:tcPr>
          <w:p>
            <w:pPr>
              <w:pStyle w:val="TableParagraph"/>
              <w:spacing w:line="237" w:lineRule="exact"/>
              <w:ind w:left="108"/>
              <w:rPr>
                <w:sz w:val="21"/>
              </w:rPr>
            </w:pPr>
            <w:r>
              <w:rPr>
                <w:sz w:val="21"/>
              </w:rPr>
              <w:t>植术或造血干</w:t>
            </w:r>
          </w:p>
        </w:tc>
        <w:tc>
          <w:tcPr>
            <w:tcW w:w="7070" w:type="dxa"/>
          </w:tcPr>
          <w:p>
            <w:pPr>
              <w:pStyle w:val="TableParagraph"/>
              <w:spacing w:line="234" w:lineRule="exact"/>
              <w:ind w:left="105"/>
              <w:rPr>
                <w:sz w:val="21"/>
              </w:rPr>
            </w:pPr>
            <w:r>
              <w:rPr>
                <w:sz w:val="21"/>
              </w:rPr>
              <w:t>或肺脏的异体移植手术。</w:t>
            </w:r>
          </w:p>
        </w:tc>
      </w:tr>
      <w:tr>
        <w:trPr>
          <w:trHeight w:val="255" w:hRule="atLeast"/>
        </w:trPr>
        <w:tc>
          <w:tcPr>
            <w:tcW w:w="789" w:type="dxa"/>
          </w:tcPr>
          <w:p>
            <w:pPr>
              <w:pStyle w:val="TableParagraph"/>
              <w:rPr>
                <w:rFonts w:ascii="Times New Roman"/>
                <w:sz w:val="18"/>
              </w:rPr>
            </w:pPr>
          </w:p>
        </w:tc>
        <w:tc>
          <w:tcPr>
            <w:tcW w:w="1620" w:type="dxa"/>
          </w:tcPr>
          <w:p>
            <w:pPr>
              <w:pStyle w:val="TableParagraph"/>
              <w:spacing w:line="236" w:lineRule="exact"/>
              <w:ind w:left="108"/>
              <w:rPr>
                <w:sz w:val="21"/>
              </w:rPr>
            </w:pPr>
            <w:r>
              <w:rPr>
                <w:sz w:val="21"/>
              </w:rPr>
              <w:t>细胞移植术</w:t>
            </w:r>
          </w:p>
        </w:tc>
        <w:tc>
          <w:tcPr>
            <w:tcW w:w="7070" w:type="dxa"/>
          </w:tcPr>
          <w:p>
            <w:pPr>
              <w:pStyle w:val="TableParagraph"/>
              <w:rPr>
                <w:rFonts w:ascii="Times New Roman"/>
                <w:sz w:val="18"/>
              </w:rPr>
            </w:pPr>
          </w:p>
        </w:tc>
      </w:tr>
      <w:tr>
        <w:trPr>
          <w:trHeight w:val="256" w:hRule="atLeast"/>
        </w:trPr>
        <w:tc>
          <w:tcPr>
            <w:tcW w:w="789" w:type="dxa"/>
          </w:tcPr>
          <w:p>
            <w:pPr>
              <w:pStyle w:val="TableParagraph"/>
              <w:rPr>
                <w:rFonts w:ascii="Times New Roman"/>
                <w:sz w:val="18"/>
              </w:rPr>
            </w:pPr>
          </w:p>
        </w:tc>
        <w:tc>
          <w:tcPr>
            <w:tcW w:w="1620" w:type="dxa"/>
          </w:tcPr>
          <w:p>
            <w:pPr>
              <w:pStyle w:val="TableParagraph"/>
              <w:rPr>
                <w:rFonts w:ascii="Times New Roman"/>
                <w:sz w:val="18"/>
              </w:rPr>
            </w:pPr>
          </w:p>
        </w:tc>
        <w:tc>
          <w:tcPr>
            <w:tcW w:w="7070" w:type="dxa"/>
          </w:tcPr>
          <w:p>
            <w:pPr>
              <w:pStyle w:val="TableParagraph"/>
              <w:spacing w:line="225" w:lineRule="exact"/>
              <w:ind w:left="105"/>
              <w:rPr>
                <w:sz w:val="21"/>
              </w:rPr>
            </w:pPr>
            <w:r>
              <w:rPr>
                <w:sz w:val="21"/>
              </w:rPr>
              <w:t>造血干细胞移植术，指因造血功能损害或造血系统恶性肿瘤，已经实施了</w:t>
            </w:r>
          </w:p>
        </w:tc>
      </w:tr>
      <w:tr>
        <w:trPr>
          <w:trHeight w:val="27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42" w:lineRule="exact"/>
              <w:ind w:left="105"/>
              <w:rPr>
                <w:sz w:val="21"/>
              </w:rPr>
            </w:pPr>
            <w:r>
              <w:rPr>
                <w:sz w:val="21"/>
              </w:rPr>
              <w:t>造血干细胞（包括骨髓造血干细胞、外周血造血干细胞和脐血造血干细胞）</w:t>
            </w:r>
          </w:p>
        </w:tc>
      </w:tr>
      <w:tr>
        <w:trPr>
          <w:trHeight w:val="241" w:hRule="atLeast"/>
        </w:trPr>
        <w:tc>
          <w:tcPr>
            <w:tcW w:w="789" w:type="dxa"/>
          </w:tcPr>
          <w:p>
            <w:pPr>
              <w:pStyle w:val="TableParagraph"/>
              <w:rPr>
                <w:rFonts w:ascii="Times New Roman"/>
                <w:sz w:val="16"/>
              </w:rPr>
            </w:pPr>
          </w:p>
        </w:tc>
        <w:tc>
          <w:tcPr>
            <w:tcW w:w="1620" w:type="dxa"/>
          </w:tcPr>
          <w:p>
            <w:pPr>
              <w:pStyle w:val="TableParagraph"/>
              <w:rPr>
                <w:rFonts w:ascii="Times New Roman"/>
                <w:sz w:val="16"/>
              </w:rPr>
            </w:pPr>
          </w:p>
        </w:tc>
        <w:tc>
          <w:tcPr>
            <w:tcW w:w="7070" w:type="dxa"/>
          </w:tcPr>
          <w:p>
            <w:pPr>
              <w:pStyle w:val="TableParagraph"/>
              <w:spacing w:line="221" w:lineRule="exact"/>
              <w:ind w:left="105"/>
              <w:rPr>
                <w:sz w:val="21"/>
              </w:rPr>
            </w:pPr>
            <w:r>
              <w:rPr>
                <w:sz w:val="21"/>
              </w:rPr>
              <w:t>的异体移植手术。</w:t>
            </w:r>
          </w:p>
        </w:tc>
      </w:tr>
    </w:tbl>
    <w:p>
      <w:pPr>
        <w:spacing w:after="0" w:line="221" w:lineRule="exact"/>
        <w:rPr>
          <w:sz w:val="21"/>
        </w:rPr>
        <w:sectPr>
          <w:pgSz w:w="11900" w:h="16840"/>
          <w:pgMar w:top="1600" w:bottom="280" w:left="1260" w:right="940"/>
        </w:sectPr>
      </w:pPr>
    </w:p>
    <w:p>
      <w:pPr>
        <w:pStyle w:val="ListParagraph"/>
        <w:numPr>
          <w:ilvl w:val="2"/>
          <w:numId w:val="7"/>
        </w:numPr>
        <w:tabs>
          <w:tab w:pos="785" w:val="left" w:leader="none"/>
        </w:tabs>
        <w:spacing w:line="232" w:lineRule="auto" w:before="114" w:after="0"/>
        <w:ind w:left="588" w:right="0" w:hanging="3"/>
        <w:jc w:val="both"/>
        <w:rPr>
          <w:sz w:val="21"/>
        </w:rPr>
      </w:pPr>
      <w:r>
        <w:rPr>
          <w:spacing w:val="-32"/>
          <w:sz w:val="21"/>
        </w:rPr>
        <w:t>冠 状 动 脉 搭</w:t>
      </w:r>
      <w:r>
        <w:rPr>
          <w:spacing w:val="-50"/>
          <w:sz w:val="21"/>
        </w:rPr>
        <w:t>桥术</w:t>
      </w:r>
      <w:r>
        <w:rPr>
          <w:spacing w:val="-3"/>
          <w:sz w:val="21"/>
        </w:rPr>
        <w:t>（</w:t>
      </w:r>
      <w:r>
        <w:rPr>
          <w:spacing w:val="-2"/>
          <w:sz w:val="21"/>
        </w:rPr>
        <w:t>或称冠状</w:t>
      </w:r>
      <w:r>
        <w:rPr>
          <w:spacing w:val="20"/>
          <w:sz w:val="21"/>
        </w:rPr>
        <w:t>动脉旁路移植术）</w:t>
      </w:r>
    </w:p>
    <w:p>
      <w:pPr>
        <w:pStyle w:val="BodyText"/>
        <w:spacing w:before="103"/>
        <w:ind w:left="171" w:right="206"/>
      </w:pPr>
      <w:r>
        <w:rPr/>
        <w:br w:type="column"/>
      </w:r>
      <w:r>
        <w:rPr/>
        <w:t>指为治疗严重的冠心病，实际实施了开胸进行的冠状动脉血管旁路移植的手术。</w:t>
      </w:r>
    </w:p>
    <w:p>
      <w:pPr>
        <w:pStyle w:val="BodyText"/>
        <w:spacing w:before="2"/>
        <w:rPr>
          <w:sz w:val="18"/>
        </w:rPr>
      </w:pPr>
    </w:p>
    <w:p>
      <w:pPr>
        <w:pStyle w:val="BodyText"/>
        <w:ind w:left="171" w:right="206"/>
      </w:pPr>
      <w:r>
        <w:rPr/>
        <w:t>冠状动脉支架植入术、心导管球囊扩张术、激光射频技术及其它非开胸的介入手术、腔镜手术不在保障范围内。</w:t>
      </w:r>
    </w:p>
    <w:p>
      <w:pPr>
        <w:spacing w:after="0"/>
        <w:sectPr>
          <w:pgSz w:w="11900" w:h="16840"/>
          <w:pgMar w:top="1600" w:bottom="280" w:left="1680" w:right="1000"/>
          <w:cols w:num="2" w:equalWidth="0">
            <w:col w:w="1995" w:space="40"/>
            <w:col w:w="7185"/>
          </w:cols>
        </w:sectPr>
      </w:pPr>
    </w:p>
    <w:p>
      <w:pPr>
        <w:pStyle w:val="BodyText"/>
        <w:spacing w:before="11"/>
        <w:rPr>
          <w:sz w:val="14"/>
        </w:rPr>
      </w:pPr>
    </w:p>
    <w:p>
      <w:pPr>
        <w:spacing w:after="0"/>
        <w:rPr>
          <w:sz w:val="14"/>
        </w:rPr>
        <w:sectPr>
          <w:type w:val="continuous"/>
          <w:pgSz w:w="11900" w:h="16840"/>
          <w:pgMar w:top="1220" w:bottom="280" w:left="1680" w:right="1000"/>
        </w:sectPr>
      </w:pPr>
    </w:p>
    <w:p>
      <w:pPr>
        <w:pStyle w:val="ListParagraph"/>
        <w:numPr>
          <w:ilvl w:val="2"/>
          <w:numId w:val="7"/>
        </w:numPr>
        <w:tabs>
          <w:tab w:pos="785" w:val="left" w:leader="none"/>
        </w:tabs>
        <w:spacing w:line="282" w:lineRule="exact" w:before="46" w:after="0"/>
        <w:ind w:left="588" w:right="0" w:hanging="3"/>
        <w:jc w:val="left"/>
        <w:rPr>
          <w:sz w:val="21"/>
        </w:rPr>
      </w:pPr>
      <w:r>
        <w:rPr>
          <w:spacing w:val="-32"/>
          <w:sz w:val="21"/>
        </w:rPr>
        <w:t>终 末 期 肾 病</w:t>
      </w:r>
    </w:p>
    <w:p>
      <w:pPr>
        <w:pStyle w:val="BodyText"/>
        <w:spacing w:line="237" w:lineRule="auto"/>
        <w:ind w:left="587"/>
        <w:jc w:val="both"/>
      </w:pPr>
      <w:r>
        <w:rPr/>
        <w:t>（ 或称慢性肾功能衰竭尿毒症期）</w:t>
      </w:r>
    </w:p>
    <w:p>
      <w:pPr>
        <w:pStyle w:val="BodyText"/>
        <w:spacing w:line="274" w:lineRule="exact" w:before="44"/>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1000"/>
          <w:cols w:num="2" w:equalWidth="0">
            <w:col w:w="1995" w:space="40"/>
            <w:col w:w="7185"/>
          </w:cols>
        </w:sectPr>
      </w:pPr>
    </w:p>
    <w:p>
      <w:pPr>
        <w:pStyle w:val="BodyText"/>
        <w:spacing w:before="5"/>
        <w:rPr>
          <w:sz w:val="15"/>
        </w:rPr>
      </w:pPr>
    </w:p>
    <w:p>
      <w:pPr>
        <w:spacing w:after="0"/>
        <w:rPr>
          <w:sz w:val="15"/>
        </w:rPr>
        <w:sectPr>
          <w:type w:val="continuous"/>
          <w:pgSz w:w="11900" w:h="16840"/>
          <w:pgMar w:top="1220" w:bottom="280" w:left="1680" w:right="1000"/>
        </w:sectPr>
      </w:pPr>
    </w:p>
    <w:p>
      <w:pPr>
        <w:pStyle w:val="ListParagraph"/>
        <w:numPr>
          <w:ilvl w:val="2"/>
          <w:numId w:val="7"/>
        </w:numPr>
        <w:tabs>
          <w:tab w:pos="785" w:val="left" w:leader="none"/>
        </w:tabs>
        <w:spacing w:line="225" w:lineRule="auto" w:before="63" w:after="0"/>
        <w:ind w:left="588" w:right="0" w:hanging="3"/>
        <w:jc w:val="left"/>
        <w:rPr>
          <w:sz w:val="21"/>
        </w:rPr>
      </w:pPr>
      <w:r>
        <w:rPr>
          <w:spacing w:val="-32"/>
          <w:sz w:val="21"/>
        </w:rPr>
        <w:t>多 个 肢 体 缺失</w:t>
      </w:r>
    </w:p>
    <w:p>
      <w:pPr>
        <w:pStyle w:val="BodyText"/>
        <w:spacing w:before="43"/>
        <w:ind w:left="171" w:right="206"/>
      </w:pPr>
      <w:r>
        <w:rPr/>
        <w:br w:type="column"/>
      </w:r>
      <w:r>
        <w:rPr/>
        <w:t>指因疾病或意外伤害导致两个或两个以上肢体自腕关节或踝关节近端（靠近躯干端）以上完全性断离。</w:t>
      </w:r>
    </w:p>
    <w:p>
      <w:pPr>
        <w:spacing w:after="0"/>
        <w:sectPr>
          <w:type w:val="continuous"/>
          <w:pgSz w:w="11900" w:h="16840"/>
          <w:pgMar w:top="1220" w:bottom="280" w:left="1680" w:right="1000"/>
          <w:cols w:num="2" w:equalWidth="0">
            <w:col w:w="1995" w:space="40"/>
            <w:col w:w="7185"/>
          </w:cols>
        </w:sectPr>
      </w:pPr>
    </w:p>
    <w:p>
      <w:pPr>
        <w:pStyle w:val="BodyText"/>
        <w:spacing w:before="9"/>
        <w:rPr>
          <w:sz w:val="14"/>
        </w:rPr>
      </w:pPr>
    </w:p>
    <w:p>
      <w:pPr>
        <w:spacing w:after="0"/>
        <w:rPr>
          <w:sz w:val="14"/>
        </w:rPr>
        <w:sectPr>
          <w:type w:val="continuous"/>
          <w:pgSz w:w="11900" w:h="16840"/>
          <w:pgMar w:top="1220" w:bottom="280" w:left="1680" w:right="1000"/>
        </w:sectPr>
      </w:pPr>
    </w:p>
    <w:p>
      <w:pPr>
        <w:pStyle w:val="ListParagraph"/>
        <w:numPr>
          <w:ilvl w:val="2"/>
          <w:numId w:val="7"/>
        </w:numPr>
        <w:tabs>
          <w:tab w:pos="785" w:val="left" w:leader="none"/>
        </w:tabs>
        <w:spacing w:line="225" w:lineRule="auto" w:before="63" w:after="0"/>
        <w:ind w:left="588" w:right="0" w:hanging="3"/>
        <w:jc w:val="left"/>
        <w:rPr>
          <w:sz w:val="21"/>
        </w:rPr>
      </w:pPr>
      <w:r>
        <w:rPr>
          <w:spacing w:val="-32"/>
          <w:sz w:val="21"/>
        </w:rPr>
        <w:t>急 性 或 亚 急</w:t>
      </w:r>
      <w:r>
        <w:rPr>
          <w:spacing w:val="-15"/>
          <w:sz w:val="21"/>
        </w:rPr>
        <w:t>性重症肝炎</w:t>
      </w:r>
    </w:p>
    <w:p>
      <w:pPr>
        <w:pStyle w:val="BodyText"/>
        <w:spacing w:before="43"/>
        <w:ind w:left="171" w:right="206"/>
      </w:pPr>
      <w:r>
        <w:rPr/>
        <w:br w:type="column"/>
      </w:r>
      <w:r>
        <w:rPr/>
        <w:t>指因肝炎病毒感染引起肝脏组织弥漫性坏死，导致急性肝功能衰竭，且经血清学或病毒学检查证实，并须满足下列全部条件：</w:t>
      </w:r>
    </w:p>
    <w:p>
      <w:pPr>
        <w:pStyle w:val="BodyText"/>
        <w:spacing w:line="279" w:lineRule="exact"/>
        <w:ind w:left="171"/>
      </w:pPr>
      <w:r>
        <w:rPr/>
        <w:t>（</w:t>
      </w:r>
      <w:r>
        <w:rPr>
          <w:rFonts w:ascii="Times New Roman" w:eastAsia="Times New Roman"/>
        </w:rPr>
        <w:t>1</w:t>
      </w:r>
      <w:r>
        <w:rPr/>
        <w:t>）重度黄疸或黄疸迅速加重；</w:t>
      </w:r>
    </w:p>
    <w:p>
      <w:pPr>
        <w:pStyle w:val="BodyText"/>
        <w:spacing w:line="274" w:lineRule="exact"/>
        <w:ind w:left="171"/>
      </w:pPr>
      <w:r>
        <w:rPr/>
        <w:t>（</w:t>
      </w:r>
      <w:r>
        <w:rPr>
          <w:rFonts w:ascii="Times New Roman" w:eastAsia="Times New Roman"/>
        </w:rPr>
        <w:t>2</w:t>
      </w:r>
      <w:r>
        <w:rPr/>
        <w:t>）肝性脑病；</w:t>
      </w:r>
    </w:p>
    <w:p>
      <w:pPr>
        <w:pStyle w:val="BodyText"/>
        <w:spacing w:line="274"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9"/>
        <w:rPr>
          <w:sz w:val="13"/>
        </w:rPr>
      </w:pPr>
    </w:p>
    <w:p>
      <w:pPr>
        <w:pStyle w:val="BodyText"/>
        <w:tabs>
          <w:tab w:pos="2205" w:val="left" w:leader="none"/>
        </w:tabs>
        <w:spacing w:line="225" w:lineRule="auto" w:before="63"/>
        <w:ind w:left="2205" w:right="100" w:hanging="1620"/>
      </w:pPr>
      <w:r>
        <w:rPr>
          <w:rFonts w:ascii="Times New Roman" w:eastAsia="Times New Roman"/>
          <w:b/>
        </w:rPr>
        <w:t>9.</w:t>
      </w:r>
      <w:r>
        <w:rPr/>
        <w:t>良性脑肿瘤</w:t>
        <w:tab/>
        <w:t>指脑的良性肿瘤，已经引起颅内压增高，临床表现为视神经乳头水肿、精 神症</w:t>
      </w:r>
      <w:r>
        <w:rPr>
          <w:spacing w:val="-3"/>
        </w:rPr>
        <w:t>状</w:t>
      </w:r>
      <w:r>
        <w:rPr>
          <w:spacing w:val="-17"/>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17"/>
        </w:rPr>
        <w:t>，</w:t>
      </w:r>
      <w:r>
        <w:rPr>
          <w:spacing w:val="-3"/>
        </w:rPr>
        <w:t>并</w:t>
      </w:r>
      <w:r>
        <w:rPr/>
        <w:t>危</w:t>
      </w:r>
      <w:r>
        <w:rPr>
          <w:spacing w:val="-3"/>
        </w:rPr>
        <w:t>及</w:t>
      </w:r>
      <w:r>
        <w:rPr/>
        <w:t>生命</w:t>
      </w:r>
      <w:r>
        <w:rPr>
          <w:spacing w:val="-20"/>
        </w:rPr>
        <w:t>。</w:t>
      </w:r>
      <w:r>
        <w:rPr>
          <w:spacing w:val="-3"/>
        </w:rPr>
        <w:t>须</w:t>
      </w:r>
      <w:r>
        <w:rPr/>
        <w:t>由头</w:t>
      </w:r>
      <w:r>
        <w:rPr>
          <w:spacing w:val="-3"/>
        </w:rPr>
        <w:t>颅</w:t>
      </w:r>
      <w:r>
        <w:rPr/>
        <w:t>断</w:t>
      </w:r>
      <w:r>
        <w:rPr>
          <w:spacing w:val="-3"/>
        </w:rPr>
        <w:t>层</w:t>
      </w:r>
      <w:r>
        <w:rPr/>
        <w:t>扫</w:t>
      </w:r>
      <w:r>
        <w:rPr>
          <w:spacing w:val="-20"/>
        </w:rPr>
        <w:t>描</w:t>
      </w:r>
      <w:r>
        <w:rPr>
          <w:spacing w:val="-5"/>
        </w:rPr>
        <w:t>（</w:t>
      </w:r>
      <w:r>
        <w:rPr>
          <w:rFonts w:ascii="Times New Roman" w:eastAsia="Times New Roman"/>
          <w:spacing w:val="-5"/>
        </w:rPr>
        <w:t>CT</w:t>
      </w:r>
      <w:r>
        <w:rPr>
          <w:spacing w:val="-5"/>
        </w:rPr>
        <w:t>）</w:t>
      </w:r>
      <w:r>
        <w:rPr/>
        <w:t>、核磁</w:t>
      </w:r>
      <w:r>
        <w:rPr>
          <w:spacing w:val="-3"/>
        </w:rPr>
        <w:t>共</w:t>
      </w:r>
      <w:r>
        <w:rPr/>
        <w:t>振</w:t>
      </w:r>
      <w:r>
        <w:rPr>
          <w:spacing w:val="-3"/>
        </w:rPr>
        <w:t>检</w:t>
      </w:r>
      <w:r>
        <w:rPr/>
        <w:t>查（</w:t>
      </w:r>
      <w:r>
        <w:rPr>
          <w:rFonts w:ascii="Times New Roman" w:eastAsia="Times New Roman"/>
        </w:rPr>
        <w:t>MRI</w:t>
      </w:r>
      <w:r>
        <w:rPr/>
        <w:t>）</w:t>
      </w:r>
      <w:r>
        <w:rPr>
          <w:spacing w:val="-3"/>
        </w:rPr>
        <w:t>或</w:t>
      </w:r>
      <w:r>
        <w:rPr/>
        <w:t>正电</w:t>
      </w:r>
      <w:r>
        <w:rPr>
          <w:spacing w:val="-3"/>
        </w:rPr>
        <w:t>子</w:t>
      </w:r>
      <w:r>
        <w:rPr/>
        <w:t>发</w:t>
      </w:r>
      <w:r>
        <w:rPr>
          <w:spacing w:val="-3"/>
        </w:rPr>
        <w:t>射</w:t>
      </w:r>
      <w:r>
        <w:rPr/>
        <w:t>断</w:t>
      </w:r>
      <w:r>
        <w:rPr>
          <w:spacing w:val="-3"/>
        </w:rPr>
        <w:t>层</w:t>
      </w:r>
      <w:r>
        <w:rPr/>
        <w:t>扫</w:t>
      </w:r>
      <w:r>
        <w:rPr>
          <w:spacing w:val="-3"/>
        </w:rPr>
        <w:t>描</w:t>
      </w:r>
      <w:r>
        <w:rPr/>
        <w:t>（</w:t>
      </w:r>
      <w:r>
        <w:rPr>
          <w:rFonts w:ascii="Times New Roman" w:eastAsia="Times New Roman"/>
        </w:rPr>
        <w:t>PET</w:t>
      </w:r>
      <w:r>
        <w:rPr/>
        <w:t>）等</w:t>
      </w:r>
      <w:r>
        <w:rPr>
          <w:spacing w:val="-3"/>
        </w:rPr>
        <w:t>影</w:t>
      </w:r>
      <w:r>
        <w:rPr/>
        <w:t>像学</w:t>
      </w:r>
      <w:r>
        <w:rPr>
          <w:spacing w:val="-3"/>
        </w:rPr>
        <w:t>检</w:t>
      </w:r>
      <w:r>
        <w:rPr/>
        <w:t>查</w:t>
      </w:r>
      <w:r>
        <w:rPr>
          <w:spacing w:val="-3"/>
        </w:rPr>
        <w:t>证实</w:t>
      </w:r>
      <w:r>
        <w:rPr/>
        <w:t>，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1" w:lineRule="exact"/>
        <w:ind w:left="2205"/>
      </w:pPr>
      <w:r>
        <w:rPr/>
        <w:t>（</w:t>
      </w:r>
      <w:r>
        <w:rPr>
          <w:rFonts w:ascii="Times New Roman" w:eastAsia="Times New Roman"/>
        </w:rPr>
        <w:t>1</w:t>
      </w:r>
      <w:r>
        <w:rPr/>
        <w:t>）实际实施了开颅进行的脑肿瘤完全切除或部分切除的手术；</w:t>
      </w:r>
    </w:p>
    <w:p>
      <w:pPr>
        <w:pStyle w:val="BodyText"/>
        <w:spacing w:line="282" w:lineRule="exact"/>
        <w:ind w:left="2205"/>
      </w:pPr>
      <w:r>
        <w:rPr/>
        <w:t>（</w:t>
      </w:r>
      <w:r>
        <w:rPr>
          <w:rFonts w:ascii="Times New Roman" w:eastAsia="Times New Roman"/>
        </w:rPr>
        <w:t>2</w:t>
      </w:r>
      <w:r>
        <w:rPr/>
        <w:t>）实际实施了对脑肿瘤进行的放射治疗。</w:t>
      </w:r>
    </w:p>
    <w:p>
      <w:pPr>
        <w:pStyle w:val="BodyText"/>
        <w:rPr>
          <w:sz w:val="17"/>
        </w:rPr>
      </w:pPr>
    </w:p>
    <w:p>
      <w:pPr>
        <w:pStyle w:val="BodyText"/>
        <w:ind w:left="2205"/>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10. </w:t>
      </w:r>
      <w:r>
        <w:rPr>
          <w:sz w:val="21"/>
        </w:rPr>
        <w:t>慢性肝功能衰竭失代偿期</w:t>
      </w:r>
    </w:p>
    <w:p>
      <w:pPr>
        <w:pStyle w:val="BodyText"/>
        <w:spacing w:line="274" w:lineRule="exact" w:before="43"/>
        <w:ind w:left="171"/>
      </w:pPr>
      <w:r>
        <w:rPr/>
        <w:br w:type="column"/>
      </w:r>
      <w:r>
        <w:rPr/>
        <w:t>指因慢性肝脏疾病导致肝功能衰竭，须满足下列全部条件：</w:t>
      </w:r>
    </w:p>
    <w:p>
      <w:pPr>
        <w:pStyle w:val="BodyText"/>
        <w:spacing w:line="282" w:lineRule="exact"/>
        <w:ind w:left="171"/>
      </w:pPr>
      <w:r>
        <w:rPr/>
        <w:t>（</w:t>
      </w:r>
      <w:r>
        <w:rPr>
          <w:rFonts w:ascii="Times New Roman" w:eastAsia="Times New Roman"/>
        </w:rPr>
        <w:t>1</w:t>
      </w:r>
      <w:r>
        <w:rPr/>
        <w:t>）持续性黄疸；</w:t>
      </w:r>
    </w:p>
    <w:p>
      <w:pPr>
        <w:pStyle w:val="BodyText"/>
        <w:spacing w:line="272" w:lineRule="exact"/>
        <w:ind w:left="171"/>
      </w:pPr>
      <w:r>
        <w:rPr/>
        <w:t>（</w:t>
      </w:r>
      <w:r>
        <w:rPr>
          <w:rFonts w:ascii="Times New Roman" w:eastAsia="Times New Roman"/>
        </w:rPr>
        <w:t>2</w:t>
      </w:r>
      <w:r>
        <w:rPr/>
        <w:t>）腹水；</w:t>
      </w:r>
    </w:p>
    <w:p>
      <w:pPr>
        <w:pStyle w:val="BodyText"/>
        <w:spacing w:line="272" w:lineRule="exact"/>
        <w:ind w:left="171"/>
      </w:pPr>
      <w:r>
        <w:rPr/>
        <w:t>（</w:t>
      </w:r>
      <w:r>
        <w:rPr>
          <w:rFonts w:ascii="Times New Roman" w:eastAsia="Times New Roman"/>
        </w:rPr>
        <w:t>3</w:t>
      </w:r>
      <w:r>
        <w:rPr/>
        <w:t>）肝性脑病；</w:t>
      </w:r>
    </w:p>
    <w:p>
      <w:pPr>
        <w:pStyle w:val="BodyText"/>
        <w:spacing w:line="282" w:lineRule="exact"/>
        <w:ind w:left="171"/>
      </w:pPr>
      <w:r>
        <w:rPr/>
        <w:t>（</w:t>
      </w:r>
      <w:r>
        <w:rPr>
          <w:rFonts w:ascii="Times New Roman" w:eastAsia="Times New Roman"/>
        </w:rPr>
        <w:t>4</w:t>
      </w:r>
      <w:r>
        <w:rPr/>
        <w:t>）充血性脾大伴脾功能亢进或食管胃底静脉曲张。</w:t>
      </w:r>
    </w:p>
    <w:p>
      <w:pPr>
        <w:pStyle w:val="BodyText"/>
        <w:rPr>
          <w:sz w:val="17"/>
        </w:rPr>
      </w:pPr>
    </w:p>
    <w:p>
      <w:pPr>
        <w:pStyle w:val="BodyText"/>
        <w:ind w:left="171"/>
      </w:pPr>
      <w:r>
        <w:rPr/>
        <w:t>因酗酒或药物滥用导致的肝功能衰竭不在保障范围内。</w:t>
      </w:r>
    </w:p>
    <w:p>
      <w:pPr>
        <w:spacing w:after="0"/>
        <w:sectPr>
          <w:type w:val="continuous"/>
          <w:pgSz w:w="11900" w:h="16840"/>
          <w:pgMar w:top="1220" w:bottom="280" w:left="1680" w:right="1000"/>
          <w:cols w:num="2" w:equalWidth="0">
            <w:col w:w="1995" w:space="40"/>
            <w:col w:w="7185"/>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30" w:lineRule="auto" w:before="57"/>
        <w:ind w:left="587" w:right="0" w:hanging="3"/>
        <w:jc w:val="both"/>
        <w:rPr>
          <w:sz w:val="21"/>
        </w:rPr>
      </w:pPr>
      <w:r>
        <w:rPr>
          <w:rFonts w:ascii="Times New Roman" w:eastAsia="Times New Roman"/>
          <w:b/>
          <w:sz w:val="21"/>
        </w:rPr>
        <w:t>11. </w:t>
      </w:r>
      <w:r>
        <w:rPr>
          <w:sz w:val="21"/>
        </w:rPr>
        <w:t>脑炎后遗症或脑膜炎后遗症</w:t>
      </w:r>
    </w:p>
    <w:p>
      <w:pPr>
        <w:pStyle w:val="BodyText"/>
        <w:spacing w:line="237" w:lineRule="auto" w:before="46"/>
        <w:ind w:left="171" w:right="206"/>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71"/>
      </w:pPr>
      <w:r>
        <w:rPr/>
        <w:t>（</w:t>
      </w:r>
      <w:r>
        <w:rPr>
          <w:rFonts w:ascii="Times New Roman" w:eastAsia="Times New Roman"/>
        </w:rPr>
        <w:t>1</w:t>
      </w:r>
      <w:r>
        <w:rPr/>
        <w:t>）一肢或一肢以上肢体机能完全丧失；</w:t>
      </w:r>
    </w:p>
    <w:p>
      <w:pPr>
        <w:pStyle w:val="BodyText"/>
        <w:spacing w:line="274" w:lineRule="exact"/>
        <w:ind w:left="171"/>
      </w:pPr>
      <w:r>
        <w:rPr/>
        <w:t>（</w:t>
      </w:r>
      <w:r>
        <w:rPr>
          <w:rFonts w:ascii="Times New Roman" w:eastAsia="Times New Roman"/>
        </w:rPr>
        <w:t>2</w:t>
      </w:r>
      <w:r>
        <w:rPr/>
        <w:t>）语言能力或咀嚼吞咽能力完全丧失；</w:t>
      </w:r>
    </w:p>
    <w:p>
      <w:pPr>
        <w:pStyle w:val="BodyText"/>
        <w:spacing w:line="223" w:lineRule="auto" w:before="11"/>
        <w:ind w:left="171" w:right="15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00" w:h="16840"/>
          <w:pgMar w:top="1220" w:bottom="280" w:left="1680" w:right="1000"/>
          <w:cols w:num="2" w:equalWidth="0">
            <w:col w:w="1995" w:space="40"/>
            <w:col w:w="7185"/>
          </w:cols>
        </w:sectPr>
      </w:pPr>
    </w:p>
    <w:p>
      <w:pPr>
        <w:pStyle w:val="BodyText"/>
        <w:spacing w:before="1"/>
        <w:rPr>
          <w:sz w:val="15"/>
        </w:rPr>
      </w:pPr>
    </w:p>
    <w:p>
      <w:pPr>
        <w:pStyle w:val="BodyText"/>
        <w:spacing w:line="223" w:lineRule="auto" w:before="66"/>
        <w:ind w:left="2205" w:right="203" w:hanging="1620"/>
        <w:jc w:val="both"/>
      </w:pPr>
      <w:r>
        <w:rPr>
          <w:rFonts w:ascii="Times New Roman" w:eastAsia="Times New Roman"/>
          <w:b/>
        </w:rPr>
        <w:t>12.</w:t>
      </w:r>
      <w:r>
        <w:rPr/>
        <w:t>深度昏迷    指因疾病或意外伤害导致意识丧失，对外界刺激和体内需求均无反应，昏</w:t>
      </w:r>
      <w:r>
        <w:rPr>
          <w:spacing w:val="-3"/>
        </w:rPr>
        <w:t>迷程度按照格拉斯哥昏迷分级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9"/>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2"/>
        <w:rPr>
          <w:sz w:val="17"/>
        </w:rPr>
      </w:pPr>
    </w:p>
    <w:p>
      <w:pPr>
        <w:pStyle w:val="BodyText"/>
        <w:ind w:left="2205"/>
      </w:pPr>
      <w:r>
        <w:rPr/>
        <w:t>因酗酒或药物滥用导致的深度昏迷不在保障范围内。</w:t>
      </w:r>
    </w:p>
    <w:p>
      <w:pPr>
        <w:spacing w:after="0"/>
        <w:sectPr>
          <w:type w:val="continuous"/>
          <w:pgSz w:w="11900" w:h="16840"/>
          <w:pgMar w:top="1220" w:bottom="280" w:left="1680" w:right="1000"/>
        </w:sectPr>
      </w:pPr>
    </w:p>
    <w:p>
      <w:pPr>
        <w:pStyle w:val="BodyText"/>
        <w:spacing w:line="223" w:lineRule="auto" w:before="47"/>
        <w:ind w:left="2205" w:right="103" w:hanging="1621"/>
        <w:jc w:val="both"/>
      </w:pPr>
      <w:r>
        <w:rPr>
          <w:rFonts w:ascii="Times New Roman" w:eastAsia="Times New Roman"/>
          <w:b/>
        </w:rPr>
        <w:t>13.</w:t>
      </w:r>
      <w:r>
        <w:rPr/>
        <w:t>双耳失聪    指因疾病或意外伤害导致双耳听力永久不可逆（</w:t>
      </w:r>
      <w:r>
        <w:rPr>
          <w:spacing w:val="0"/>
        </w:rPr>
        <w:t>见 </w:t>
      </w:r>
      <w:r>
        <w:rPr>
          <w:rFonts w:ascii="Times New Roman" w:eastAsia="Times New Roman"/>
        </w:rPr>
        <w:t>8.18</w:t>
      </w:r>
      <w:r>
        <w:rPr/>
        <w:t>）性丧失，在 </w:t>
      </w:r>
      <w:r>
        <w:rPr>
          <w:rFonts w:ascii="Times New Roman" w:eastAsia="Times New Roman"/>
        </w:rPr>
        <w:t>500 </w:t>
      </w:r>
      <w:r>
        <w:rPr>
          <w:spacing w:val="-1"/>
        </w:rPr>
        <w:t>赫兹、</w:t>
      </w:r>
      <w:r>
        <w:rPr>
          <w:rFonts w:ascii="Times New Roman" w:eastAsia="Times New Roman"/>
        </w:rPr>
        <w:t>1000 </w:t>
      </w:r>
      <w:r>
        <w:rPr>
          <w:spacing w:val="-12"/>
        </w:rPr>
        <w:t>赫兹和 </w:t>
      </w:r>
      <w:r>
        <w:rPr>
          <w:rFonts w:ascii="Times New Roman" w:eastAsia="Times New Roman"/>
        </w:rPr>
        <w:t>2000 </w:t>
      </w:r>
      <w:r>
        <w:rPr>
          <w:spacing w:val="-6"/>
        </w:rPr>
        <w:t>赫兹语音频率下，平均听阈大于 </w:t>
      </w:r>
      <w:r>
        <w:rPr>
          <w:rFonts w:ascii="Times New Roman" w:eastAsia="Times New Roman"/>
        </w:rPr>
        <w:t>90 </w:t>
      </w:r>
      <w:r>
        <w:rPr>
          <w:spacing w:val="-3"/>
        </w:rPr>
        <w:t>分贝，且经纯音听力测试、声导抗检测或听觉诱发电位检测等证实。</w:t>
      </w:r>
    </w:p>
    <w:p>
      <w:pPr>
        <w:pStyle w:val="BodyText"/>
        <w:spacing w:before="8"/>
        <w:rPr>
          <w:sz w:val="18"/>
        </w:rPr>
      </w:pPr>
    </w:p>
    <w:p>
      <w:pPr>
        <w:pStyle w:val="BodyText"/>
        <w:spacing w:line="237" w:lineRule="auto"/>
        <w:ind w:left="2205" w:right="61"/>
      </w:pPr>
      <w:r>
        <w:rPr/>
        <w:t>申请理赔时被保险人年龄必须在3周岁以上，并且提供理赔当时的听力丧失诊断及检查证明。</w:t>
      </w:r>
    </w:p>
    <w:p>
      <w:pPr>
        <w:pStyle w:val="BodyText"/>
        <w:spacing w:before="1"/>
        <w:rPr>
          <w:sz w:val="23"/>
        </w:rPr>
      </w:pPr>
    </w:p>
    <w:p>
      <w:pPr>
        <w:pStyle w:val="BodyText"/>
        <w:spacing w:line="223" w:lineRule="auto"/>
        <w:ind w:left="2205" w:right="106" w:hanging="1620"/>
        <w:jc w:val="both"/>
      </w:pPr>
      <w:r>
        <w:rPr>
          <w:rFonts w:ascii="Times New Roman" w:eastAsia="Times New Roman"/>
          <w:b/>
        </w:rPr>
        <w:t>14.</w:t>
      </w:r>
      <w:r>
        <w:rPr/>
        <w:t>双目失明    指因疾病或意外伤害导致双目视力永久不可逆性丧失，双眼中较好眼须满足下列至少一项条件：</w:t>
      </w:r>
    </w:p>
    <w:p>
      <w:pPr>
        <w:pStyle w:val="BodyText"/>
        <w:spacing w:line="279" w:lineRule="exact"/>
        <w:ind w:left="2205"/>
      </w:pPr>
      <w:r>
        <w:rPr/>
        <w:t>（</w:t>
      </w:r>
      <w:r>
        <w:rPr>
          <w:rFonts w:ascii="Times New Roman" w:eastAsia="Times New Roman"/>
        </w:rPr>
        <w:t>1</w:t>
      </w:r>
      <w:r>
        <w:rPr/>
        <w:t>）眼球缺失或摘除；</w:t>
      </w:r>
    </w:p>
    <w:p>
      <w:pPr>
        <w:pStyle w:val="BodyText"/>
        <w:spacing w:line="225" w:lineRule="auto" w:before="9"/>
        <w:ind w:left="2205" w:right="31"/>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p>
    <w:p>
      <w:pPr>
        <w:pStyle w:val="BodyText"/>
        <w:spacing w:line="289" w:lineRule="exact"/>
        <w:ind w:left="2205"/>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ind w:left="2205" w:right="61"/>
      </w:pPr>
      <w:r>
        <w:rPr/>
        <w:t>申请理赔时被保险人年龄必须在3周岁以上，并且提供理赔当时的视力丧失诊断及检查证明。</w:t>
      </w:r>
    </w:p>
    <w:p>
      <w:pPr>
        <w:pStyle w:val="BodyText"/>
        <w:spacing w:before="12"/>
        <w:rPr>
          <w:sz w:val="19"/>
        </w:rPr>
      </w:pPr>
    </w:p>
    <w:p>
      <w:pPr>
        <w:pStyle w:val="BodyText"/>
        <w:spacing w:line="223" w:lineRule="auto"/>
        <w:ind w:left="2205" w:right="103" w:hanging="1620"/>
        <w:jc w:val="both"/>
      </w:pPr>
      <w:r>
        <w:rPr>
          <w:rFonts w:ascii="Times New Roman" w:eastAsia="Times New Roman"/>
          <w:b/>
        </w:rPr>
        <w:t>15.</w:t>
      </w:r>
      <w:r>
        <w:rPr/>
        <w:t>瘫痪        指因疾病或意外伤害导致两肢或两肢以上的肢体机能永久完全丧失。肢体</w:t>
      </w:r>
      <w:r>
        <w:rPr>
          <w:spacing w:val="-5"/>
        </w:rPr>
        <w:t>机能永久完全丧失，指疾病确诊 </w:t>
      </w:r>
      <w:r>
        <w:rPr>
          <w:rFonts w:ascii="Times New Roman" w:eastAsia="Times New Roman"/>
        </w:rPr>
        <w:t>180 </w:t>
      </w:r>
      <w:r>
        <w:rPr>
          <w:spacing w:val="-5"/>
        </w:rPr>
        <w:t>天后或意外伤害事故发生 </w:t>
      </w:r>
      <w:r>
        <w:rPr>
          <w:rFonts w:ascii="Times New Roman" w:eastAsia="Times New Roman"/>
        </w:rPr>
        <w:t>180 </w:t>
      </w:r>
      <w:r>
        <w:rPr>
          <w:spacing w:val="-2"/>
        </w:rPr>
        <w:t>天后， </w:t>
      </w:r>
      <w:r>
        <w:rPr>
          <w:spacing w:val="-3"/>
        </w:rPr>
        <w:t>每肢三大关节中的两大关节仍然完全僵硬，或不能随意识活动。</w:t>
      </w:r>
    </w:p>
    <w:p>
      <w:pPr>
        <w:pStyle w:val="BodyText"/>
        <w:spacing w:before="1"/>
        <w:rPr>
          <w:sz w:val="15"/>
        </w:rPr>
      </w:pPr>
    </w:p>
    <w:p>
      <w:pPr>
        <w:spacing w:after="0"/>
        <w:rPr>
          <w:sz w:val="15"/>
        </w:rPr>
        <w:sectPr>
          <w:pgSz w:w="11900" w:h="16840"/>
          <w:pgMar w:top="1240" w:bottom="280" w:left="1680" w:right="1100"/>
        </w:sectPr>
      </w:pPr>
    </w:p>
    <w:p>
      <w:pPr>
        <w:spacing w:line="223" w:lineRule="auto" w:before="66"/>
        <w:ind w:left="587" w:right="0" w:hanging="3"/>
        <w:jc w:val="left"/>
        <w:rPr>
          <w:sz w:val="21"/>
        </w:rPr>
      </w:pPr>
      <w:r>
        <w:rPr>
          <w:rFonts w:ascii="Times New Roman" w:eastAsia="Times New Roman"/>
          <w:b/>
          <w:sz w:val="21"/>
        </w:rPr>
        <w:t>16. </w:t>
      </w:r>
      <w:r>
        <w:rPr>
          <w:sz w:val="21"/>
        </w:rPr>
        <w:t>心脏瓣膜手术</w:t>
      </w:r>
    </w:p>
    <w:p>
      <w:pPr>
        <w:pStyle w:val="BodyText"/>
        <w:spacing w:line="237" w:lineRule="auto" w:before="46"/>
        <w:ind w:left="171" w:right="106"/>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3" w:lineRule="auto" w:before="66"/>
        <w:ind w:left="587" w:right="0" w:hanging="3"/>
        <w:jc w:val="left"/>
        <w:rPr>
          <w:sz w:val="21"/>
        </w:rPr>
      </w:pPr>
      <w:r>
        <w:rPr>
          <w:rFonts w:ascii="Times New Roman" w:eastAsia="Times New Roman"/>
          <w:b/>
          <w:sz w:val="21"/>
        </w:rPr>
        <w:t>17. </w:t>
      </w:r>
      <w:r>
        <w:rPr>
          <w:sz w:val="21"/>
        </w:rPr>
        <w:t>严重阿尔茨海默病</w:t>
      </w:r>
    </w:p>
    <w:p>
      <w:pPr>
        <w:pStyle w:val="BodyText"/>
        <w:spacing w:line="232" w:lineRule="auto" w:before="51"/>
        <w:ind w:left="171" w:right="106"/>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w:t>
      </w:r>
      <w:r>
        <w:rPr>
          <w:spacing w:val="-6"/>
        </w:rPr>
        <w:t>射断层扫描（</w:t>
      </w:r>
      <w:r>
        <w:rPr>
          <w:rFonts w:ascii="Times New Roman" w:eastAsia="Times New Roman"/>
          <w:spacing w:val="-6"/>
        </w:rPr>
        <w:t>PET</w:t>
      </w:r>
      <w:r>
        <w:rPr>
          <w:spacing w:val="-6"/>
        </w:rPr>
        <w:t>）</w:t>
      </w:r>
      <w:r>
        <w:rPr>
          <w:spacing w:val="-7"/>
        </w:rPr>
        <w:t>等影像学检查证实，且自主生活能力完全丧失，无法独</w:t>
      </w:r>
      <w:r>
        <w:rPr>
          <w:spacing w:val="-5"/>
        </w:rPr>
        <w:t>立完成六项基本日常生活活动中的三项或三项以上。</w:t>
      </w:r>
    </w:p>
    <w:p>
      <w:pPr>
        <w:pStyle w:val="BodyText"/>
        <w:spacing w:before="2"/>
        <w:rPr>
          <w:sz w:val="18"/>
        </w:rPr>
      </w:pPr>
    </w:p>
    <w:p>
      <w:pPr>
        <w:pStyle w:val="BodyText"/>
        <w:ind w:left="171"/>
        <w:jc w:val="both"/>
      </w:pPr>
      <w:r>
        <w:rPr/>
        <w:t>神经官能症和精神病不在保障范围内。</w:t>
      </w:r>
    </w:p>
    <w:p>
      <w:pPr>
        <w:spacing w:after="0"/>
        <w:jc w:val="both"/>
        <w:sectPr>
          <w:type w:val="continuous"/>
          <w:pgSz w:w="11900" w:h="16840"/>
          <w:pgMar w:top="1220" w:bottom="280" w:left="1680" w:right="1100"/>
          <w:cols w:num="2" w:equalWidth="0">
            <w:col w:w="1995" w:space="40"/>
            <w:col w:w="7085"/>
          </w:cols>
        </w:sectPr>
      </w:pPr>
    </w:p>
    <w:p>
      <w:pPr>
        <w:pStyle w:val="BodyText"/>
        <w:spacing w:before="12"/>
        <w:rPr>
          <w:sz w:val="14"/>
        </w:rPr>
      </w:pPr>
    </w:p>
    <w:p>
      <w:pPr>
        <w:pStyle w:val="BodyText"/>
        <w:spacing w:line="225" w:lineRule="auto" w:before="63"/>
        <w:ind w:left="2205" w:right="106" w:hanging="1620"/>
        <w:jc w:val="both"/>
      </w:pPr>
      <w:r>
        <w:rPr>
          <w:rFonts w:ascii="Times New Roman" w:eastAsia="Times New Roman"/>
          <w:b/>
        </w:rPr>
        <w:t>18.</w:t>
      </w:r>
      <w:r>
        <w:rPr/>
        <w:t>严重脑损伤 指因头部遭受机械性外力，引起脑重要部位损伤，导致神经系统永久性的</w:t>
      </w:r>
      <w:r>
        <w:rPr>
          <w:w w:val="100"/>
        </w:rPr>
        <w:t>功</w:t>
      </w:r>
      <w:r>
        <w:rPr>
          <w:spacing w:val="-6"/>
          <w:w w:val="100"/>
        </w:rPr>
        <w:t>能障碍。须由头颅断层扫描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7"/>
          <w:w w:val="100"/>
        </w:rPr>
        <w:t>、核磁共振检查</w:t>
      </w:r>
      <w:r>
        <w:rPr>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12"/>
          <w:w w:val="100"/>
        </w:rPr>
        <w:t>）</w:t>
      </w:r>
      <w:r>
        <w:rPr>
          <w:spacing w:val="-3"/>
          <w:w w:val="100"/>
        </w:rPr>
        <w:t>或正电子发射</w:t>
      </w:r>
      <w:r>
        <w:rPr/>
        <w:t>断</w:t>
      </w:r>
      <w:r>
        <w:rPr>
          <w:spacing w:val="-9"/>
        </w:rPr>
        <w:t>层扫描</w:t>
      </w:r>
      <w:r>
        <w:rPr>
          <w:spacing w:val="-5"/>
        </w:rPr>
        <w:t>（</w:t>
      </w:r>
      <w:r>
        <w:rPr>
          <w:rFonts w:ascii="Times New Roman" w:eastAsia="Times New Roman"/>
          <w:spacing w:val="-5"/>
        </w:rPr>
        <w:t>PET</w:t>
      </w:r>
      <w:r>
        <w:rPr>
          <w:spacing w:val="-5"/>
        </w:rPr>
        <w:t>）</w:t>
      </w:r>
      <w:r>
        <w:rPr>
          <w:spacing w:val="-6"/>
        </w:rPr>
        <w:t>等影像学检查证实。神经系统永久性的功能障碍，指脑损伤</w:t>
      </w:r>
      <w:r>
        <w:rPr>
          <w:spacing w:val="-42"/>
        </w:rPr>
        <w:t> </w:t>
      </w:r>
      <w:r>
        <w:rPr>
          <w:rFonts w:ascii="Times New Roman" w:eastAsia="Times New Roman"/>
        </w:rPr>
        <w:t>180 </w:t>
      </w:r>
      <w:r>
        <w:rPr>
          <w:spacing w:val="-3"/>
        </w:rPr>
        <w:t>天后，仍遗留下列一种或一种以上障碍：</w:t>
      </w:r>
    </w:p>
    <w:p>
      <w:pPr>
        <w:pStyle w:val="BodyText"/>
        <w:spacing w:line="265" w:lineRule="exact"/>
        <w:ind w:left="2205"/>
      </w:pPr>
      <w:r>
        <w:rPr/>
        <w:t>（</w:t>
      </w:r>
      <w:r>
        <w:rPr>
          <w:rFonts w:ascii="Times New Roman" w:eastAsia="Times New Roman"/>
        </w:rPr>
        <w:t>1</w:t>
      </w:r>
      <w:r>
        <w:rPr/>
        <w:t>）一肢或一肢以上肢体机能完全丧失；</w:t>
      </w:r>
    </w:p>
    <w:p>
      <w:pPr>
        <w:pStyle w:val="BodyText"/>
        <w:spacing w:line="274" w:lineRule="exact"/>
        <w:ind w:left="2205"/>
      </w:pPr>
      <w:r>
        <w:rPr/>
        <w:t>（</w:t>
      </w:r>
      <w:r>
        <w:rPr>
          <w:rFonts w:ascii="Times New Roman" w:eastAsia="Times New Roman"/>
        </w:rPr>
        <w:t>2</w:t>
      </w:r>
      <w:r>
        <w:rPr/>
        <w:t>）语言能力或咀嚼吞咽能力完全丧失；</w:t>
      </w:r>
    </w:p>
    <w:p>
      <w:pPr>
        <w:pStyle w:val="BodyText"/>
        <w:spacing w:line="223" w:lineRule="auto" w:before="12"/>
        <w:ind w:left="2205" w:right="57"/>
      </w:pPr>
      <w:r>
        <w:rPr/>
        <w:t>（</w:t>
      </w:r>
      <w:r>
        <w:rPr>
          <w:rFonts w:ascii="Times New Roman" w:eastAsia="Times New Roman"/>
        </w:rPr>
        <w:t>3</w:t>
      </w:r>
      <w:r>
        <w:rPr/>
        <w:t>）自主生活能力完全丧失，无法独立完成六项基本日常生活活动中的三项或三项以上。</w:t>
      </w:r>
    </w:p>
    <w:p>
      <w:pPr>
        <w:pStyle w:val="BodyText"/>
        <w:spacing w:before="2"/>
        <w:rPr>
          <w:sz w:val="15"/>
        </w:rPr>
      </w:pPr>
    </w:p>
    <w:p>
      <w:pPr>
        <w:spacing w:after="0"/>
        <w:rPr>
          <w:sz w:val="15"/>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19. </w:t>
      </w:r>
      <w:r>
        <w:rPr>
          <w:sz w:val="21"/>
        </w:rPr>
        <w:t>严重帕金森病</w:t>
      </w:r>
    </w:p>
    <w:p>
      <w:pPr>
        <w:pStyle w:val="BodyText"/>
        <w:spacing w:before="43"/>
        <w:ind w:left="171" w:right="106"/>
      </w:pPr>
      <w:r>
        <w:rPr/>
        <w:br w:type="column"/>
      </w:r>
      <w:r>
        <w:rPr/>
        <w:t>是一种中枢神经系统的退行性疾病，临床表现为震颤麻痹、共济失调等。须满足下列全部条件：</w:t>
      </w:r>
    </w:p>
    <w:p>
      <w:pPr>
        <w:pStyle w:val="BodyText"/>
        <w:spacing w:line="279" w:lineRule="exact"/>
        <w:ind w:left="171"/>
      </w:pPr>
      <w:r>
        <w:rPr/>
        <w:t>（</w:t>
      </w:r>
      <w:r>
        <w:rPr>
          <w:rFonts w:ascii="Times New Roman" w:eastAsia="Times New Roman"/>
        </w:rPr>
        <w:t>1</w:t>
      </w:r>
      <w:r>
        <w:rPr/>
        <w:t>）药物治疗无法控制病情；</w:t>
      </w:r>
    </w:p>
    <w:p>
      <w:pPr>
        <w:pStyle w:val="BodyText"/>
        <w:spacing w:line="225" w:lineRule="auto" w:before="9"/>
        <w:ind w:left="171" w:right="57"/>
      </w:pPr>
      <w:r>
        <w:rPr/>
        <w:t>（</w:t>
      </w:r>
      <w:r>
        <w:rPr>
          <w:rFonts w:ascii="Times New Roman" w:eastAsia="Times New Roman"/>
        </w:rPr>
        <w:t>2</w:t>
      </w:r>
      <w:r>
        <w:rPr/>
        <w:t>）自主生活能力完全丧失，无法独立完成六项基本日常生活活动中的三项或三项以上。</w:t>
      </w:r>
    </w:p>
    <w:p>
      <w:pPr>
        <w:pStyle w:val="BodyText"/>
        <w:spacing w:before="3"/>
        <w:rPr>
          <w:sz w:val="18"/>
        </w:rPr>
      </w:pPr>
    </w:p>
    <w:p>
      <w:pPr>
        <w:pStyle w:val="BodyText"/>
        <w:ind w:left="171"/>
      </w:pPr>
      <w:r>
        <w:rPr/>
        <w:t>继发性帕金森综合症不在保障范围内。</w:t>
      </w:r>
    </w:p>
    <w:p>
      <w:pPr>
        <w:spacing w:after="0"/>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hAnsi="Times New Roman" w:eastAsia="Times New Roman"/>
          <w:b/>
          <w:sz w:val="21"/>
        </w:rPr>
        <w:t>20. </w:t>
      </w:r>
      <w:r>
        <w:rPr>
          <w:sz w:val="21"/>
        </w:rPr>
        <w:t>严重Ⅲ度烧伤</w:t>
      </w:r>
    </w:p>
    <w:p>
      <w:pPr>
        <w:pStyle w:val="BodyText"/>
        <w:spacing w:line="225" w:lineRule="auto" w:before="60"/>
        <w:ind w:left="171" w:right="103" w:hanging="1"/>
      </w:pPr>
      <w:r>
        <w:rPr/>
        <w:br w:type="column"/>
      </w:r>
      <w:r>
        <w:rPr>
          <w:spacing w:val="-8"/>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100"/>
          <w:cols w:num="2" w:equalWidth="0">
            <w:col w:w="1995" w:space="40"/>
            <w:col w:w="7085"/>
          </w:cols>
        </w:sectPr>
      </w:pPr>
    </w:p>
    <w:p>
      <w:pPr>
        <w:spacing w:line="225" w:lineRule="auto" w:before="44"/>
        <w:ind w:left="587" w:right="0" w:hanging="3"/>
        <w:jc w:val="left"/>
        <w:rPr>
          <w:sz w:val="21"/>
        </w:rPr>
      </w:pPr>
      <w:r>
        <w:rPr>
          <w:rFonts w:ascii="Times New Roman" w:eastAsia="Times New Roman"/>
          <w:b/>
          <w:sz w:val="21"/>
        </w:rPr>
        <w:t>21. </w:t>
      </w:r>
      <w:r>
        <w:rPr>
          <w:sz w:val="21"/>
        </w:rPr>
        <w:t>严重原发性肺动脉高压</w:t>
      </w:r>
    </w:p>
    <w:p>
      <w:pPr>
        <w:pStyle w:val="BodyText"/>
        <w:spacing w:line="237" w:lineRule="auto" w:before="27"/>
        <w:ind w:left="171" w:right="206"/>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line="237" w:lineRule="auto"/>
        <w:jc w:val="both"/>
        <w:sectPr>
          <w:pgSz w:w="11900" w:h="16840"/>
          <w:pgMar w:top="1240" w:bottom="280" w:left="1680" w:right="1000"/>
          <w:cols w:num="2" w:equalWidth="0">
            <w:col w:w="1995" w:space="40"/>
            <w:col w:w="7185"/>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22. </w:t>
      </w:r>
      <w:r>
        <w:rPr>
          <w:sz w:val="21"/>
        </w:rPr>
        <w:t>严重运动神经元病</w:t>
      </w:r>
    </w:p>
    <w:p>
      <w:pPr>
        <w:pStyle w:val="BodyText"/>
        <w:spacing w:line="237" w:lineRule="auto" w:before="46"/>
        <w:ind w:left="171" w:right="206"/>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23. </w:t>
      </w:r>
      <w:r>
        <w:rPr>
          <w:sz w:val="21"/>
        </w:rPr>
        <w:t>语言能力丧失</w:t>
      </w:r>
    </w:p>
    <w:p>
      <w:pPr>
        <w:pStyle w:val="BodyText"/>
        <w:spacing w:line="225" w:lineRule="auto" w:before="61"/>
        <w:ind w:left="171" w:right="206" w:hanging="1"/>
      </w:pPr>
      <w:r>
        <w:rPr/>
        <w:br w:type="column"/>
      </w:r>
      <w:r>
        <w:rPr>
          <w:spacing w:val="-11"/>
        </w:rPr>
        <w:t>指因疾病或意外伤害导致完全丧失语言能力，经过积极治疗至少 </w:t>
      </w:r>
      <w:r>
        <w:rPr>
          <w:rFonts w:ascii="Times New Roman" w:eastAsia="Times New Roman"/>
        </w:rPr>
        <w:t>12 </w:t>
      </w:r>
      <w:r>
        <w:rPr>
          <w:spacing w:val="-55"/>
        </w:rPr>
        <w:t>个月</w:t>
      </w:r>
      <w:r>
        <w:rPr>
          <w:spacing w:val="-3"/>
        </w:rPr>
        <w:t>（</w:t>
      </w:r>
      <w:r>
        <w:rPr/>
        <w:t>声</w:t>
      </w:r>
      <w:r>
        <w:rPr>
          <w:spacing w:val="-3"/>
        </w:rPr>
        <w:t>带完全切除不受此时间限制</w:t>
      </w:r>
      <w:r>
        <w:rPr/>
        <w:t>）</w:t>
      </w:r>
      <w:r>
        <w:rPr>
          <w:spacing w:val="-3"/>
        </w:rPr>
        <w:t>，仍无法通过现有医疗手段恢复。</w:t>
      </w:r>
    </w:p>
    <w:p>
      <w:pPr>
        <w:pStyle w:val="BodyText"/>
        <w:spacing w:before="3"/>
        <w:rPr>
          <w:sz w:val="18"/>
        </w:rPr>
      </w:pPr>
    </w:p>
    <w:p>
      <w:pPr>
        <w:pStyle w:val="BodyText"/>
        <w:ind w:left="171"/>
      </w:pPr>
      <w:r>
        <w:rPr/>
        <w:t>精神心理因素所致的语言能力丧失不在保障范围内。</w:t>
      </w:r>
    </w:p>
    <w:p>
      <w:pPr>
        <w:pStyle w:val="BodyText"/>
        <w:spacing w:before="3"/>
        <w:rPr>
          <w:sz w:val="18"/>
        </w:rPr>
      </w:pPr>
    </w:p>
    <w:p>
      <w:pPr>
        <w:pStyle w:val="BodyText"/>
        <w:ind w:left="171" w:right="160"/>
      </w:pPr>
      <w:r>
        <w:rPr/>
        <w:t>申请理赔时被保险人年龄必须在3周岁以上，并且提供理赔当时的语言能力丧失诊断及检查证明。</w:t>
      </w:r>
    </w:p>
    <w:p>
      <w:pPr>
        <w:spacing w:after="0"/>
        <w:sectPr>
          <w:type w:val="continuous"/>
          <w:pgSz w:w="11900" w:h="16840"/>
          <w:pgMar w:top="1220" w:bottom="280" w:left="1680" w:right="1000"/>
          <w:cols w:num="2" w:equalWidth="0">
            <w:col w:w="1995" w:space="40"/>
            <w:col w:w="7185"/>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24. </w:t>
      </w:r>
      <w:r>
        <w:rPr>
          <w:sz w:val="21"/>
        </w:rPr>
        <w:t>重型再生障碍性贫血</w:t>
      </w:r>
    </w:p>
    <w:p>
      <w:pPr>
        <w:pStyle w:val="BodyText"/>
        <w:spacing w:line="237" w:lineRule="auto" w:before="46"/>
        <w:ind w:left="171" w:right="206"/>
      </w:pPr>
      <w:r>
        <w:rPr/>
        <w:br w:type="column"/>
      </w:r>
      <w:r>
        <w:rPr/>
        <w:t>指因骨髓造血功能慢性持续性衰竭导致的贫血、中性粒细胞减少及血小板减少。须满足以下全部条件：</w:t>
      </w:r>
    </w:p>
    <w:p>
      <w:pPr>
        <w:pStyle w:val="BodyText"/>
        <w:spacing w:line="281" w:lineRule="exact"/>
        <w:ind w:left="171"/>
      </w:pPr>
      <w:r>
        <w:rPr/>
        <w:t>（</w:t>
      </w:r>
      <w:r>
        <w:rPr>
          <w:rFonts w:ascii="Times New Roman" w:eastAsia="Times New Roman"/>
        </w:rPr>
        <w:t>1</w:t>
      </w:r>
      <w:r>
        <w:rPr/>
        <w:t>）骨髓穿刺检查或骨髓活检结果支持诊断；</w:t>
      </w:r>
    </w:p>
    <w:p>
      <w:pPr>
        <w:pStyle w:val="BodyText"/>
        <w:spacing w:line="274" w:lineRule="exact"/>
        <w:ind w:left="171"/>
      </w:pPr>
      <w:r>
        <w:rPr/>
        <w:t>（</w:t>
      </w:r>
      <w:r>
        <w:rPr>
          <w:rFonts w:ascii="Times New Roman" w:eastAsia="Times New Roman"/>
        </w:rPr>
        <w:t>2</w:t>
      </w:r>
      <w:r>
        <w:rPr/>
        <w:t>）外周血象必须具备以下三项条件：</w:t>
      </w:r>
    </w:p>
    <w:p>
      <w:pPr>
        <w:pStyle w:val="BodyText"/>
        <w:spacing w:line="272" w:lineRule="exact"/>
        <w:ind w:left="69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96"/>
      </w:pPr>
      <w:r>
        <w:rPr/>
        <w:t>② 网织红细胞＜</w:t>
      </w:r>
      <w:r>
        <w:rPr>
          <w:rFonts w:ascii="Times New Roman" w:hAnsi="Times New Roman" w:eastAsia="Times New Roman"/>
        </w:rPr>
        <w:t>1%</w:t>
      </w:r>
      <w:r>
        <w:rPr/>
        <w:t>；</w:t>
      </w:r>
    </w:p>
    <w:p>
      <w:pPr>
        <w:pStyle w:val="BodyText"/>
        <w:spacing w:line="282" w:lineRule="exact"/>
        <w:ind w:left="69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10"/>
        <w:rPr>
          <w:sz w:val="13"/>
        </w:rPr>
      </w:pPr>
    </w:p>
    <w:p>
      <w:pPr>
        <w:pStyle w:val="BodyText"/>
        <w:spacing w:line="230" w:lineRule="auto" w:before="57"/>
        <w:ind w:left="2205" w:right="206" w:hanging="1620"/>
        <w:jc w:val="both"/>
      </w:pPr>
      <w:r>
        <w:rPr>
          <w:rFonts w:ascii="Times New Roman" w:eastAsia="Times New Roman"/>
          <w:b/>
        </w:rPr>
        <w:t>25.</w:t>
      </w:r>
      <w:r>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spacing w:before="1"/>
        <w:ind w:left="2205"/>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26. </w:t>
      </w:r>
      <w:r>
        <w:rPr>
          <w:sz w:val="21"/>
        </w:rPr>
        <w:t>多发性硬化症</w:t>
      </w:r>
    </w:p>
    <w:p>
      <w:pPr>
        <w:pStyle w:val="BodyText"/>
        <w:spacing w:line="235" w:lineRule="auto" w:before="49"/>
        <w:ind w:left="171" w:right="98"/>
      </w:pPr>
      <w:r>
        <w:rPr/>
        <w:br w:type="column"/>
      </w:r>
      <w:r>
        <w:rPr/>
        <w:t>多发性硬化为中枢神经系统白质多灶性脱髓鞘病变，病变有时累及灰质。</w:t>
      </w:r>
      <w:r>
        <w:rPr>
          <w:spacing w:val="-5"/>
        </w:rPr>
        <w:t>多发性硬化必须明确诊断，并且已经造成永久不可逆的神经系统功能损害。</w:t>
      </w:r>
      <w:r>
        <w:rPr>
          <w:spacing w:val="-4"/>
        </w:rPr>
        <w:t>永久不可逆的神经系统功能损害指被保险人持续 </w:t>
      </w:r>
      <w:r>
        <w:rPr>
          <w:rFonts w:ascii="Times New Roman" w:eastAsia="Times New Roman"/>
        </w:rPr>
        <w:t>180 </w:t>
      </w:r>
      <w:r>
        <w:rPr>
          <w:spacing w:val="-3"/>
        </w:rPr>
        <w:t>天无法独立完成下列基本日常生活活动：</w:t>
      </w:r>
    </w:p>
    <w:p>
      <w:pPr>
        <w:pStyle w:val="BodyText"/>
        <w:spacing w:line="279" w:lineRule="exact"/>
        <w:ind w:left="171"/>
      </w:pPr>
      <w:r>
        <w:rPr/>
        <w:t>（</w:t>
      </w:r>
      <w:r>
        <w:rPr>
          <w:rFonts w:ascii="Times New Roman" w:eastAsia="Times New Roman"/>
        </w:rPr>
        <w:t>1</w:t>
      </w:r>
      <w:r>
        <w:rPr/>
        <w:t>）移动：自己从一个房间到另一个房间；或者</w:t>
      </w:r>
    </w:p>
    <w:p>
      <w:pPr>
        <w:pStyle w:val="BodyText"/>
        <w:spacing w:line="282" w:lineRule="exact"/>
        <w:ind w:left="171"/>
      </w:pPr>
      <w:r>
        <w:rPr/>
        <w:t>（</w:t>
      </w:r>
      <w:r>
        <w:rPr>
          <w:rFonts w:ascii="Times New Roman" w:eastAsia="Times New Roman"/>
        </w:rPr>
        <w:t>2</w:t>
      </w:r>
      <w:r>
        <w:rPr/>
        <w:t>）进食：自己从已准备好的碗或碟中取食物放入口中。</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9"/>
        <w:rPr>
          <w:sz w:val="13"/>
        </w:rPr>
      </w:pPr>
    </w:p>
    <w:p>
      <w:pPr>
        <w:spacing w:after="0"/>
        <w:rPr>
          <w:sz w:val="13"/>
        </w:rPr>
        <w:sectPr>
          <w:type w:val="continuous"/>
          <w:pgSz w:w="11900" w:h="16840"/>
          <w:pgMar w:top="1220" w:bottom="280" w:left="1680" w:right="1000"/>
        </w:sectPr>
      </w:pPr>
    </w:p>
    <w:p>
      <w:pPr>
        <w:pStyle w:val="BodyText"/>
        <w:spacing w:line="232" w:lineRule="auto" w:before="54"/>
        <w:ind w:left="587" w:hanging="3"/>
        <w:jc w:val="both"/>
      </w:pPr>
      <w:r>
        <w:rPr>
          <w:rFonts w:ascii="Times New Roman" w:eastAsia="Times New Roman"/>
          <w:b/>
        </w:rPr>
        <w:t>27.</w:t>
      </w:r>
      <w:r>
        <w:rPr>
          <w:rFonts w:ascii="Times New Roman" w:eastAsia="Times New Roman"/>
          <w:b/>
          <w:spacing w:val="-26"/>
        </w:rPr>
        <w:t> </w:t>
      </w:r>
      <w:r>
        <w:rPr>
          <w:spacing w:val="11"/>
        </w:rPr>
        <w:t>胰岛素依赖</w:t>
      </w:r>
      <w:r>
        <w:rPr/>
        <w:t>型糖尿病（1</w:t>
      </w:r>
      <w:r>
        <w:rPr>
          <w:spacing w:val="-25"/>
        </w:rPr>
        <w:t> 型</w:t>
      </w:r>
      <w:r>
        <w:rPr>
          <w:spacing w:val="-18"/>
        </w:rPr>
        <w:t>糖尿病</w:t>
      </w:r>
      <w:r>
        <w:rPr/>
        <w:t>）</w:t>
      </w:r>
    </w:p>
    <w:p>
      <w:pPr>
        <w:pStyle w:val="BodyText"/>
        <w:spacing w:line="235" w:lineRule="auto" w:before="49"/>
        <w:ind w:left="171" w:right="239"/>
        <w:jc w:val="both"/>
      </w:pPr>
      <w:r>
        <w:rPr/>
        <w:br w:type="column"/>
      </w:r>
      <w:r>
        <w:rPr/>
        <w:t>是由于胰岛素分泌绝对不足引起的慢性血糖升高，并需持续性地依赖外源性胰岛素维持 </w:t>
      </w:r>
      <w:r>
        <w:rPr>
          <w:rFonts w:ascii="Times New Roman" w:eastAsia="Times New Roman"/>
        </w:rPr>
        <w:t>180 </w:t>
      </w:r>
      <w:r>
        <w:rPr/>
        <w:t>天以上，须经血胰岛素测定和血（尿）</w:t>
      </w:r>
      <w:r>
        <w:rPr>
          <w:rFonts w:ascii="Times New Roman" w:eastAsia="Times New Roman"/>
        </w:rPr>
        <w:t>C </w:t>
      </w:r>
      <w:r>
        <w:rPr/>
        <w:t>肽测定，结果异常，由内分泌科医生确诊，并在本附加合同有效期内，满足下述至少一个条件：</w:t>
      </w:r>
    </w:p>
    <w:p>
      <w:pPr>
        <w:pStyle w:val="BodyText"/>
        <w:spacing w:line="279" w:lineRule="exact"/>
        <w:ind w:left="171"/>
        <w:jc w:val="both"/>
      </w:pPr>
      <w:r>
        <w:rPr/>
        <w:t>（</w:t>
      </w:r>
      <w:r>
        <w:rPr>
          <w:rFonts w:ascii="Times New Roman" w:eastAsia="Times New Roman"/>
        </w:rPr>
        <w:t>1</w:t>
      </w:r>
      <w:r>
        <w:rPr/>
        <w:t>）须植入心脏起搏器治疗心脏病；</w:t>
      </w:r>
    </w:p>
    <w:p>
      <w:pPr>
        <w:pStyle w:val="BodyText"/>
        <w:spacing w:line="282" w:lineRule="exact"/>
        <w:ind w:left="171"/>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80" w:right="1000"/>
          <w:cols w:num="2" w:equalWidth="0">
            <w:col w:w="1995" w:space="40"/>
            <w:col w:w="7185"/>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28. </w:t>
      </w:r>
      <w:r>
        <w:rPr>
          <w:spacing w:val="-26"/>
          <w:sz w:val="21"/>
        </w:rPr>
        <w:t>慢 性 呼 吸</w:t>
      </w:r>
      <w:r>
        <w:rPr>
          <w:spacing w:val="-15"/>
          <w:sz w:val="21"/>
        </w:rPr>
        <w:t>功能衰竭</w:t>
      </w:r>
    </w:p>
    <w:p>
      <w:pPr>
        <w:pStyle w:val="BodyText"/>
        <w:spacing w:before="43"/>
        <w:ind w:left="171" w:right="206"/>
      </w:pPr>
      <w:r>
        <w:rPr/>
        <w:br w:type="column"/>
      </w:r>
      <w:r>
        <w:rPr/>
        <w:t>慢性肺部疾病导致永久不可逆性的慢性呼吸功能衰竭。慢性呼吸功能衰竭必须明确诊断并满足下列全部条件：</w:t>
      </w:r>
    </w:p>
    <w:p>
      <w:pPr>
        <w:pStyle w:val="BodyText"/>
        <w:spacing w:line="281" w:lineRule="exact"/>
        <w:ind w:left="171"/>
      </w:pPr>
      <w:r>
        <w:rPr/>
        <w:t>（</w:t>
      </w:r>
      <w:r>
        <w:rPr>
          <w:rFonts w:ascii="Times New Roman" w:eastAsia="Times New Roman"/>
        </w:rPr>
        <w:t>1</w:t>
      </w:r>
      <w:r>
        <w:rPr/>
        <w:t>）休息时出现呼吸困难；</w:t>
      </w:r>
    </w:p>
    <w:p>
      <w:pPr>
        <w:pStyle w:val="BodyText"/>
        <w:spacing w:line="272" w:lineRule="exact"/>
        <w:ind w:left="171"/>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71"/>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71"/>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80" w:right="1000"/>
          <w:cols w:num="2" w:equalWidth="0">
            <w:col w:w="1995" w:space="40"/>
            <w:col w:w="7185"/>
          </w:cols>
        </w:sectPr>
      </w:pPr>
    </w:p>
    <w:p>
      <w:pPr>
        <w:pStyle w:val="BodyText"/>
        <w:spacing w:line="230" w:lineRule="auto" w:before="38"/>
        <w:ind w:left="2205" w:right="123" w:hanging="1620"/>
        <w:jc w:val="both"/>
      </w:pPr>
      <w:r>
        <w:rPr>
          <w:rFonts w:ascii="Times New Roman" w:eastAsia="Times New Roman"/>
          <w:b/>
        </w:rPr>
        <w:t>29.</w:t>
      </w:r>
      <w:r>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8"/>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spacing w:before="1"/>
        <w:ind w:left="2205"/>
      </w:pPr>
      <w:r>
        <w:rPr/>
        <w:t>由于酗酒或滥用药物所致的植物人状态不在保障范围内。</w:t>
      </w:r>
    </w:p>
    <w:p>
      <w:pPr>
        <w:pStyle w:val="BodyText"/>
        <w:spacing w:before="5"/>
        <w:rPr>
          <w:sz w:val="18"/>
        </w:rPr>
      </w:pPr>
    </w:p>
    <w:p>
      <w:pPr>
        <w:pStyle w:val="BodyText"/>
        <w:spacing w:line="244" w:lineRule="auto"/>
        <w:ind w:left="2205" w:right="104" w:hanging="1620"/>
        <w:jc w:val="both"/>
      </w:pPr>
      <w:r>
        <w:rPr>
          <w:rFonts w:ascii="Times New Roman" w:hAnsi="Times New Roman" w:eastAsia="Times New Roman"/>
          <w:b/>
          <w:position w:val="1"/>
        </w:rPr>
        <w:t>30.</w:t>
      </w:r>
      <w:r>
        <w:rPr>
          <w:spacing w:val="2"/>
          <w:position w:val="1"/>
        </w:rPr>
        <w:t>严重心肌病  </w:t>
      </w:r>
      <w:r>
        <w:rPr/>
        <w:t>指不明原因引起的一类心肌病变，包括原发性扩张型心肌病、原发性肥厚型心肌病及原发性限制型心肌病三种，本病须经专科医生明确诊断，且病变必须已造成事实上心室功能障碍而出现明显的心功能衰竭（达到美国纽约心脏病学会心功能状态分级Ⅳ级，且满足以下全部条件：有医院的医疗记录显示病人不能进行任何活动，休息时仍有心悸、呼吸困难等心力衰竭</w:t>
      </w:r>
      <w:r>
        <w:rPr>
          <w:w w:val="100"/>
        </w:rPr>
        <w:t>表现</w:t>
      </w:r>
      <w:r>
        <w:rPr>
          <w:spacing w:val="-108"/>
          <w:w w:val="100"/>
        </w:rPr>
        <w:t>）</w:t>
      </w:r>
      <w:r>
        <w:rPr>
          <w:spacing w:val="-3"/>
          <w:w w:val="100"/>
        </w:rPr>
        <w:t>，且有相关住院医疗记录显示Ⅳ级心功能衰竭状态持续至少</w:t>
      </w:r>
      <w:r>
        <w:rPr>
          <w:spacing w:val="-3"/>
        </w:rPr>
        <w:t> </w:t>
      </w:r>
      <w:r>
        <w:rPr>
          <w:rFonts w:ascii="Times New Roman" w:hAnsi="Times New Roman" w:eastAsia="Times New Roman"/>
          <w:spacing w:val="-3"/>
          <w:w w:val="100"/>
        </w:rPr>
        <w:t>1</w:t>
      </w:r>
      <w:r>
        <w:rPr>
          <w:rFonts w:ascii="Times New Roman" w:hAnsi="Times New Roman" w:eastAsia="Times New Roman"/>
          <w:w w:val="100"/>
        </w:rPr>
        <w:t>80</w:t>
      </w:r>
      <w:r>
        <w:rPr>
          <w:rFonts w:ascii="Times New Roman" w:hAnsi="Times New Roman" w:eastAsia="Times New Roman"/>
        </w:rPr>
        <w:t> </w:t>
      </w:r>
      <w:r>
        <w:rPr>
          <w:spacing w:val="-2"/>
          <w:w w:val="100"/>
        </w:rPr>
        <w:t>天。</w:t>
      </w:r>
    </w:p>
    <w:p>
      <w:pPr>
        <w:pStyle w:val="BodyText"/>
        <w:spacing w:before="1"/>
        <w:rPr>
          <w:sz w:val="20"/>
        </w:rPr>
      </w:pPr>
    </w:p>
    <w:p>
      <w:pPr>
        <w:pStyle w:val="BodyText"/>
        <w:ind w:left="2205"/>
      </w:pPr>
      <w:r>
        <w:rPr/>
        <w:t>继发于全身性疾病或其它器官系统疾病造成的心肌病变不在保障范围内。</w:t>
      </w:r>
    </w:p>
    <w:p>
      <w:pPr>
        <w:pStyle w:val="BodyText"/>
        <w:spacing w:before="2"/>
        <w:rPr>
          <w:sz w:val="20"/>
        </w:rPr>
      </w:pPr>
    </w:p>
    <w:p>
      <w:pPr>
        <w:pStyle w:val="BodyText"/>
        <w:spacing w:line="230" w:lineRule="auto"/>
        <w:ind w:left="2205" w:right="126" w:hanging="1620"/>
        <w:jc w:val="both"/>
      </w:pPr>
      <w:r>
        <w:rPr>
          <w:rFonts w:ascii="Times New Roman" w:eastAsia="Times New Roman"/>
          <w:b/>
        </w:rPr>
        <w:t>31.</w:t>
      </w:r>
      <w:r>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1" w:lineRule="exact"/>
        <w:ind w:left="2205"/>
      </w:pPr>
      <w:r>
        <w:rPr/>
        <w:t>（</w:t>
      </w:r>
      <w:r>
        <w:rPr>
          <w:rFonts w:ascii="Times New Roman" w:eastAsia="Times New Roman"/>
        </w:rPr>
        <w:t>1</w:t>
      </w:r>
      <w:r>
        <w:rPr/>
        <w:t>）经药物治疗和胸腺切除治疗一年以上仍无法控制病情；</w:t>
      </w:r>
    </w:p>
    <w:p>
      <w:pPr>
        <w:pStyle w:val="BodyText"/>
        <w:spacing w:line="223" w:lineRule="auto" w:before="12"/>
        <w:ind w:left="2205" w:right="77"/>
      </w:pPr>
      <w:r>
        <w:rPr/>
        <w:t>（</w:t>
      </w:r>
      <w:r>
        <w:rPr>
          <w:rFonts w:ascii="Times New Roman" w:eastAsia="Times New Roman"/>
        </w:rPr>
        <w:t>2</w:t>
      </w:r>
      <w:r>
        <w:rPr/>
        <w:t>）自主生活能力完全丧失，无法独立完成六项基本日常生活活动中的三项或三项以上。</w:t>
      </w:r>
    </w:p>
    <w:p>
      <w:pPr>
        <w:pStyle w:val="BodyText"/>
        <w:rPr>
          <w:sz w:val="18"/>
        </w:rPr>
      </w:pPr>
    </w:p>
    <w:p>
      <w:pPr>
        <w:spacing w:after="0"/>
        <w:rPr>
          <w:sz w:val="18"/>
        </w:rPr>
        <w:sectPr>
          <w:pgSz w:w="11900" w:h="16840"/>
          <w:pgMar w:top="1240" w:bottom="280" w:left="1680" w:right="1080"/>
        </w:sectPr>
      </w:pPr>
    </w:p>
    <w:p>
      <w:pPr>
        <w:pStyle w:val="BodyText"/>
        <w:spacing w:line="230" w:lineRule="auto" w:before="58"/>
        <w:ind w:left="587" w:hanging="3"/>
        <w:jc w:val="both"/>
      </w:pPr>
      <w:r>
        <w:rPr>
          <w:rFonts w:ascii="Times New Roman" w:eastAsia="Times New Roman"/>
          <w:b/>
        </w:rPr>
        <w:t>32. </w:t>
      </w:r>
      <w:r>
        <w:rPr/>
        <w:t>因职业关系导致的人类免疫 缺 陷 病 毒</w:t>
      </w:r>
    </w:p>
    <w:p>
      <w:pPr>
        <w:spacing w:line="289" w:lineRule="exact" w:before="0"/>
        <w:ind w:left="587" w:right="0" w:firstLine="0"/>
        <w:jc w:val="both"/>
        <w:rPr>
          <w:sz w:val="21"/>
        </w:rPr>
      </w:pPr>
      <w:r>
        <w:rPr>
          <w:sz w:val="21"/>
        </w:rPr>
        <w:t>（</w:t>
      </w:r>
      <w:r>
        <w:rPr>
          <w:rFonts w:ascii="Times New Roman" w:eastAsia="Times New Roman"/>
          <w:b/>
          <w:sz w:val="21"/>
        </w:rPr>
        <w:t>HIV</w:t>
      </w:r>
      <w:r>
        <w:rPr>
          <w:sz w:val="21"/>
        </w:rPr>
        <w:t>）感染</w:t>
      </w:r>
    </w:p>
    <w:p>
      <w:pPr>
        <w:pStyle w:val="BodyText"/>
        <w:spacing w:line="237" w:lineRule="auto" w:before="46"/>
        <w:ind w:left="171" w:right="126"/>
      </w:pPr>
      <w:r>
        <w:rPr/>
        <w:br w:type="column"/>
      </w:r>
      <w:r>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171" w:right="75"/>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0" w:lineRule="exact"/>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7"/>
        <w:ind w:left="171" w:right="123"/>
        <w:jc w:val="both"/>
      </w:pPr>
      <w:r>
        <w:rPr>
          <w:spacing w:val="-5"/>
        </w:rPr>
        <w:t>（</w:t>
      </w:r>
      <w:r>
        <w:rPr>
          <w:rFonts w:ascii="Times New Roman" w:eastAsia="Times New Roman"/>
          <w:spacing w:val="-5"/>
        </w:rPr>
        <w:t>3</w:t>
      </w:r>
      <w:r>
        <w:rPr>
          <w:spacing w:val="-5"/>
        </w:rPr>
        <w:t>）必须提供被保险人在所报事故发生后的 </w:t>
      </w:r>
      <w:r>
        <w:rPr>
          <w:rFonts w:ascii="Times New Roman" w:eastAsia="Times New Roman"/>
        </w:rPr>
        <w:t>5 </w:t>
      </w:r>
      <w:r>
        <w:rPr>
          <w:spacing w:val="-4"/>
        </w:rPr>
        <w:t>天以内进行的检查报告，该报告必须显示被保险人血液人类免疫缺陷病毒（</w:t>
      </w:r>
      <w:r>
        <w:rPr>
          <w:rFonts w:ascii="Times New Roman" w:eastAsia="Times New Roman"/>
          <w:spacing w:val="-4"/>
        </w:rPr>
        <w:t>HIV</w:t>
      </w:r>
      <w:r>
        <w:rPr>
          <w:spacing w:val="-4"/>
        </w:rPr>
        <w:t>）阴性和</w:t>
      </w:r>
      <w:r>
        <w:rPr>
          <w:rFonts w:ascii="Times New Roman" w:eastAsia="Times New Roman"/>
          <w:spacing w:val="-4"/>
        </w:rPr>
        <w:t>/</w:t>
      </w:r>
      <w:r>
        <w:rPr>
          <w:spacing w:val="-4"/>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3" w:lineRule="auto" w:before="3"/>
        <w:ind w:left="171" w:right="123"/>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2"/>
        <w:rPr>
          <w:sz w:val="17"/>
        </w:rPr>
      </w:pPr>
    </w:p>
    <w:p>
      <w:pPr>
        <w:pStyle w:val="BodyText"/>
        <w:spacing w:line="274" w:lineRule="exact" w:before="1"/>
        <w:ind w:left="171"/>
      </w:pPr>
      <w:r>
        <w:rPr/>
        <w:t>限定职业：</w:t>
      </w:r>
    </w:p>
    <w:p>
      <w:pPr>
        <w:pStyle w:val="BodyText"/>
        <w:spacing w:line="237" w:lineRule="auto" w:before="2"/>
        <w:ind w:left="171" w:right="126"/>
      </w:pPr>
      <w:r>
        <w:rPr/>
        <w:t>医Th和牙科医Th、护士、实验室工作人员、医院护工、医Th助理和牙医助理、救护车工作人员、助产士、消防队员、警察、狱警。</w:t>
      </w:r>
    </w:p>
    <w:p>
      <w:pPr>
        <w:spacing w:after="0" w:line="237" w:lineRule="auto"/>
        <w:sectPr>
          <w:type w:val="continuous"/>
          <w:pgSz w:w="11900" w:h="16840"/>
          <w:pgMar w:top="1220" w:bottom="280" w:left="1680" w:right="1080"/>
          <w:cols w:num="2" w:equalWidth="0">
            <w:col w:w="1995" w:space="40"/>
            <w:col w:w="7105"/>
          </w:cols>
        </w:sectPr>
      </w:pPr>
    </w:p>
    <w:p>
      <w:pPr>
        <w:pStyle w:val="BodyText"/>
        <w:spacing w:before="1"/>
        <w:rPr>
          <w:sz w:val="15"/>
        </w:rPr>
      </w:pPr>
    </w:p>
    <w:p>
      <w:pPr>
        <w:spacing w:after="0"/>
        <w:rPr>
          <w:sz w:val="15"/>
        </w:rPr>
        <w:sectPr>
          <w:type w:val="continuous"/>
          <w:pgSz w:w="11900" w:h="16840"/>
          <w:pgMar w:top="1220" w:bottom="280" w:left="1680" w:right="1080"/>
        </w:sectPr>
      </w:pPr>
    </w:p>
    <w:p>
      <w:pPr>
        <w:spacing w:line="230" w:lineRule="auto" w:before="57"/>
        <w:ind w:left="587" w:right="0" w:hanging="3"/>
        <w:jc w:val="both"/>
        <w:rPr>
          <w:sz w:val="21"/>
        </w:rPr>
      </w:pPr>
      <w:r>
        <w:rPr>
          <w:rFonts w:ascii="Times New Roman" w:eastAsia="Times New Roman"/>
          <w:b/>
          <w:sz w:val="21"/>
        </w:rPr>
        <w:t>33. </w:t>
      </w:r>
      <w:r>
        <w:rPr>
          <w:sz w:val="21"/>
        </w:rPr>
        <w:t>经输血导致的人类免疫缺陷病毒（</w:t>
      </w:r>
      <w:r>
        <w:rPr>
          <w:rFonts w:ascii="Times New Roman" w:eastAsia="Times New Roman"/>
          <w:b/>
          <w:sz w:val="21"/>
        </w:rPr>
        <w:t>HIV</w:t>
      </w:r>
      <w:r>
        <w:rPr>
          <w:sz w:val="21"/>
        </w:rPr>
        <w:t>） 感染</w:t>
      </w:r>
    </w:p>
    <w:p>
      <w:pPr>
        <w:pStyle w:val="BodyText"/>
        <w:spacing w:line="281" w:lineRule="exact" w:before="43"/>
        <w:ind w:left="130"/>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30"/>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9"/>
        <w:ind w:left="130" w:right="123"/>
        <w:jc w:val="both"/>
      </w:pPr>
      <w:r>
        <w:rPr>
          <w:spacing w:val="-8"/>
        </w:rPr>
        <w:t>（</w:t>
      </w:r>
      <w:r>
        <w:rPr>
          <w:rFonts w:ascii="Times New Roman" w:eastAsia="Times New Roman"/>
          <w:spacing w:val="-8"/>
        </w:rPr>
        <w:t>2</w:t>
      </w:r>
      <w:r>
        <w:rPr>
          <w:spacing w:val="-8"/>
        </w:rPr>
        <w:t>）</w:t>
      </w:r>
      <w:r>
        <w:rPr>
          <w:spacing w:val="-3"/>
        </w:rPr>
        <w:t>提供输血治疗的输血中心或医院出具该项输血感染属医疗责任事故的报告，或经法院终审判决为医疗责任；</w:t>
      </w:r>
    </w:p>
    <w:p>
      <w:pPr>
        <w:pStyle w:val="BodyText"/>
        <w:spacing w:line="289" w:lineRule="exact"/>
        <w:ind w:left="130"/>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30" w:right="123"/>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）发Th的医疗方法被研究出来以后， 本保障将不再予以赔付。</w:t>
      </w:r>
    </w:p>
    <w:p>
      <w:pPr>
        <w:pStyle w:val="BodyText"/>
        <w:spacing w:before="3"/>
        <w:rPr>
          <w:sz w:val="19"/>
        </w:rPr>
      </w:pPr>
    </w:p>
    <w:p>
      <w:pPr>
        <w:pStyle w:val="BodyText"/>
        <w:spacing w:line="230" w:lineRule="auto"/>
        <w:ind w:left="130" w:right="123"/>
        <w:jc w:val="both"/>
      </w:pPr>
      <w:r>
        <w:rPr/>
        <w:t>任何因其它传播方式（包括：性传播或静脉注射毒品）导致的人类免疫缺</w:t>
      </w:r>
      <w:r>
        <w:rPr>
          <w:spacing w:val="-10"/>
        </w:rPr>
        <w:t>陷病毒</w:t>
      </w:r>
      <w:r>
        <w:rPr>
          <w:spacing w:val="-7"/>
        </w:rPr>
        <w:t>（</w:t>
      </w:r>
      <w:r>
        <w:rPr>
          <w:rFonts w:ascii="Times New Roman" w:eastAsia="Times New Roman"/>
          <w:spacing w:val="-7"/>
        </w:rPr>
        <w:t>HIV</w:t>
      </w:r>
      <w:r>
        <w:rPr>
          <w:spacing w:val="-7"/>
        </w:rPr>
        <w:t>）</w:t>
      </w:r>
      <w:r>
        <w:rPr>
          <w:spacing w:val="-6"/>
        </w:rPr>
        <w:t>感染不在保障范围内。我们必须拥有获得使用被保险人的所</w:t>
      </w:r>
      <w:r>
        <w:rPr>
          <w:spacing w:val="-4"/>
        </w:rPr>
        <w:t>有血液样本的权利和能够对这些样本进行独立检验的权利。</w:t>
      </w:r>
    </w:p>
    <w:p>
      <w:pPr>
        <w:spacing w:after="0" w:line="230" w:lineRule="auto"/>
        <w:jc w:val="both"/>
        <w:sectPr>
          <w:type w:val="continuous"/>
          <w:pgSz w:w="11900" w:h="16840"/>
          <w:pgMar w:top="1220" w:bottom="280" w:left="1680" w:right="1080"/>
          <w:cols w:num="2" w:equalWidth="0">
            <w:col w:w="2036" w:space="40"/>
            <w:col w:w="7064"/>
          </w:cols>
        </w:sectPr>
      </w:pPr>
    </w:p>
    <w:p>
      <w:pPr>
        <w:spacing w:line="225" w:lineRule="auto" w:before="123"/>
        <w:ind w:left="587" w:right="0" w:hanging="3"/>
        <w:jc w:val="left"/>
        <w:rPr>
          <w:sz w:val="21"/>
        </w:rPr>
      </w:pPr>
      <w:r>
        <w:rPr>
          <w:rFonts w:ascii="Times New Roman" w:eastAsia="Times New Roman"/>
          <w:b/>
          <w:sz w:val="21"/>
        </w:rPr>
        <w:t>34. </w:t>
      </w:r>
      <w:r>
        <w:rPr>
          <w:sz w:val="21"/>
        </w:rPr>
        <w:t>严重类风湿性关节炎</w:t>
      </w:r>
    </w:p>
    <w:p>
      <w:pPr>
        <w:pStyle w:val="BodyText"/>
        <w:spacing w:line="237" w:lineRule="auto" w:before="106"/>
        <w:ind w:left="171" w:right="206"/>
        <w:jc w:val="both"/>
      </w:pPr>
      <w:r>
        <w:rPr/>
        <w:br w:type="column"/>
      </w:r>
      <w:r>
        <w:rPr/>
        <w:t>类风湿性关节炎为广泛分布的慢性进行性多关节病变，表现为关节严重变</w:t>
      </w:r>
      <w:r>
        <w:rPr>
          <w:spacing w:val="-8"/>
        </w:rPr>
        <w:t>形，侵犯至少三个主要关节或关节组【如：双手</w:t>
      </w:r>
      <w:r>
        <w:rPr>
          <w:spacing w:val="-3"/>
        </w:rPr>
        <w:t>（</w:t>
      </w:r>
      <w:r>
        <w:rPr>
          <w:spacing w:val="-1"/>
        </w:rPr>
        <w:t>多手指</w:t>
      </w:r>
      <w:r>
        <w:rPr>
          <w:spacing w:val="-20"/>
        </w:rPr>
        <w:t>）</w:t>
      </w:r>
      <w:r>
        <w:rPr>
          <w:spacing w:val="-9"/>
        </w:rPr>
        <w:t>关节、双足</w:t>
      </w:r>
      <w:r>
        <w:rPr>
          <w:spacing w:val="-3"/>
        </w:rPr>
        <w:t>（</w:t>
      </w:r>
      <w:r>
        <w:rPr/>
        <w:t>多足趾）关节、双腕关节、双膝关节和双髋关节】。类风湿性关节炎必须明确诊断并且已经达到类风湿性关节炎功能分类Ⅳ级的永久不可逆性关节功</w:t>
      </w:r>
      <w:r>
        <w:rPr>
          <w:spacing w:val="-1"/>
        </w:rPr>
        <w:t>能障碍</w:t>
      </w:r>
      <w:r>
        <w:rPr/>
        <w:t>（</w:t>
      </w:r>
      <w:r>
        <w:rPr>
          <w:spacing w:val="-3"/>
        </w:rPr>
        <w:t>生活不能自理，且丧失工作能力</w:t>
      </w:r>
      <w:r>
        <w:rPr/>
        <w:t>）</w:t>
      </w:r>
      <w:r>
        <w:rPr>
          <w:spacing w:val="-3"/>
        </w:rPr>
        <w:t>并且满足下列全部条件：</w:t>
      </w:r>
    </w:p>
    <w:p>
      <w:pPr>
        <w:pStyle w:val="BodyText"/>
        <w:spacing w:line="281" w:lineRule="exact"/>
        <w:ind w:left="171"/>
        <w:jc w:val="both"/>
      </w:pPr>
      <w:r>
        <w:rPr/>
        <w:t>（</w:t>
      </w:r>
      <w:r>
        <w:rPr>
          <w:rFonts w:ascii="Times New Roman" w:eastAsia="Times New Roman"/>
        </w:rPr>
        <w:t>1</w:t>
      </w:r>
      <w:r>
        <w:rPr/>
        <w:t>）晨僵；</w:t>
      </w:r>
    </w:p>
    <w:p>
      <w:pPr>
        <w:pStyle w:val="BodyText"/>
        <w:spacing w:line="272" w:lineRule="exact"/>
        <w:ind w:left="171"/>
        <w:jc w:val="both"/>
      </w:pPr>
      <w:r>
        <w:rPr/>
        <w:t>（</w:t>
      </w:r>
      <w:r>
        <w:rPr>
          <w:rFonts w:ascii="Times New Roman" w:eastAsia="Times New Roman"/>
        </w:rPr>
        <w:t>2</w:t>
      </w:r>
      <w:r>
        <w:rPr/>
        <w:t>）对称性关节炎；</w:t>
      </w:r>
    </w:p>
    <w:p>
      <w:pPr>
        <w:pStyle w:val="BodyText"/>
        <w:spacing w:line="272" w:lineRule="exact"/>
        <w:ind w:left="171"/>
        <w:jc w:val="both"/>
      </w:pPr>
      <w:r>
        <w:rPr/>
        <w:t>（</w:t>
      </w:r>
      <w:r>
        <w:rPr>
          <w:rFonts w:ascii="Times New Roman" w:eastAsia="Times New Roman"/>
        </w:rPr>
        <w:t>3</w:t>
      </w:r>
      <w:r>
        <w:rPr/>
        <w:t>）类风湿性皮下结节；</w:t>
      </w:r>
    </w:p>
    <w:p>
      <w:pPr>
        <w:pStyle w:val="BodyText"/>
        <w:spacing w:line="274" w:lineRule="exact"/>
        <w:ind w:left="171"/>
        <w:jc w:val="both"/>
      </w:pPr>
      <w:r>
        <w:rPr/>
        <w:t>（</w:t>
      </w:r>
      <w:r>
        <w:rPr>
          <w:rFonts w:ascii="Times New Roman" w:eastAsia="Times New Roman"/>
        </w:rPr>
        <w:t>4</w:t>
      </w:r>
      <w:r>
        <w:rPr/>
        <w:t>）类风湿因子滴度升高；</w:t>
      </w:r>
    </w:p>
    <w:p>
      <w:pPr>
        <w:pStyle w:val="BodyText"/>
        <w:spacing w:line="282" w:lineRule="exact"/>
        <w:ind w:left="171"/>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pgSz w:w="11900" w:h="16840"/>
          <w:pgMar w:top="1600" w:bottom="280" w:left="1680" w:right="1000"/>
          <w:cols w:num="2" w:equalWidth="0">
            <w:col w:w="1995" w:space="40"/>
            <w:col w:w="7185"/>
          </w:cols>
        </w:sectPr>
      </w:pPr>
    </w:p>
    <w:p>
      <w:pPr>
        <w:pStyle w:val="BodyText"/>
        <w:spacing w:before="10"/>
        <w:rPr>
          <w:sz w:val="13"/>
        </w:rPr>
      </w:pPr>
    </w:p>
    <w:p>
      <w:pPr>
        <w:spacing w:after="0"/>
        <w:rPr>
          <w:sz w:val="13"/>
        </w:rPr>
        <w:sectPr>
          <w:type w:val="continuous"/>
          <w:pgSz w:w="11900" w:h="16840"/>
          <w:pgMar w:top="1220" w:bottom="280" w:left="1680" w:right="1000"/>
        </w:sectPr>
      </w:pPr>
    </w:p>
    <w:p>
      <w:pPr>
        <w:pStyle w:val="BodyText"/>
        <w:spacing w:line="232" w:lineRule="auto" w:before="54"/>
        <w:ind w:left="587" w:hanging="3"/>
        <w:jc w:val="both"/>
      </w:pPr>
      <w:r>
        <w:rPr>
          <w:rFonts w:ascii="Times New Roman" w:hAnsi="Times New Roman" w:eastAsia="Times New Roman"/>
          <w:b/>
        </w:rPr>
        <w:t>35.</w:t>
      </w:r>
      <w:r>
        <w:rPr>
          <w:rFonts w:ascii="Times New Roman" w:hAnsi="Times New Roman" w:eastAsia="Times New Roman"/>
          <w:b/>
          <w:spacing w:val="-26"/>
        </w:rPr>
        <w:t> </w:t>
      </w:r>
      <w:r>
        <w:rPr>
          <w:spacing w:val="11"/>
        </w:rPr>
        <w:t>系统性红斑</w:t>
      </w:r>
      <w:r>
        <w:rPr>
          <w:spacing w:val="-11"/>
        </w:rPr>
        <w:t>狼疮－ Ⅲ 型或</w:t>
      </w:r>
      <w:r>
        <w:rPr>
          <w:spacing w:val="20"/>
        </w:rPr>
        <w:t>以上狼疮性肾炎</w:t>
      </w:r>
    </w:p>
    <w:p>
      <w:pPr>
        <w:pStyle w:val="BodyText"/>
        <w:spacing w:before="43"/>
        <w:ind w:left="171" w:right="206"/>
      </w:pPr>
      <w:r>
        <w:rPr/>
        <w:br w:type="column"/>
      </w:r>
      <w:r>
        <w:rPr/>
        <w:t>系统性红斑狼疮是由多种因素引起，累及多系统的自身免疫性疾病。其特点是生成自身抗体对抗多种自身抗原。多见于育龄妇女。</w:t>
      </w:r>
    </w:p>
    <w:p>
      <w:pPr>
        <w:pStyle w:val="BodyText"/>
        <w:spacing w:before="5"/>
        <w:rPr>
          <w:sz w:val="18"/>
        </w:rPr>
      </w:pPr>
    </w:p>
    <w:p>
      <w:pPr>
        <w:pStyle w:val="BodyText"/>
        <w:spacing w:line="237" w:lineRule="auto" w:before="1"/>
        <w:ind w:left="171" w:right="203"/>
        <w:jc w:val="both"/>
      </w:pPr>
      <w:r>
        <w:rPr/>
        <w:t>本附加合同所指的系统性红斑狼疮仅限于累及肾脏（经肾脏活检确认的， 符合 WHO</w:t>
      </w:r>
      <w:r>
        <w:rPr>
          <w:spacing w:val="-3"/>
        </w:rPr>
        <w:t> 诊断标准定义Ⅲ型或Ⅲ型以上狼疮性肾炎</w:t>
      </w:r>
      <w:r>
        <w:rPr/>
        <w:t>）</w:t>
      </w:r>
      <w:r>
        <w:rPr>
          <w:spacing w:val="-3"/>
        </w:rPr>
        <w:t>的系统性红斑狼疮。其它类型的红斑性狼疮，如盘状狼疮、仅累及血液及关节的狼疮不在保障范围内。</w:t>
      </w:r>
    </w:p>
    <w:p>
      <w:pPr>
        <w:pStyle w:val="BodyText"/>
        <w:spacing w:before="10"/>
        <w:rPr>
          <w:sz w:val="20"/>
        </w:rPr>
      </w:pPr>
    </w:p>
    <w:p>
      <w:pPr>
        <w:pStyle w:val="BodyText"/>
        <w:spacing w:line="282" w:lineRule="exact"/>
        <w:ind w:left="171"/>
        <w:jc w:val="both"/>
      </w:pPr>
      <w:r>
        <w:rPr/>
        <w:t>世界卫生组织（</w:t>
      </w:r>
      <w:r>
        <w:rPr>
          <w:rFonts w:ascii="Times New Roman" w:eastAsia="Times New Roman"/>
        </w:rPr>
        <w:t>WHO</w:t>
      </w:r>
      <w:r>
        <w:rPr/>
        <w:t>）狼疮性肾炎分型：</w:t>
      </w:r>
    </w:p>
    <w:p>
      <w:pPr>
        <w:pStyle w:val="BodyText"/>
        <w:spacing w:line="264" w:lineRule="exact"/>
        <w:ind w:left="171"/>
        <w:jc w:val="both"/>
      </w:pPr>
      <w:r>
        <w:rPr/>
        <w:t>Ⅰ型 微小病变型</w:t>
      </w:r>
    </w:p>
    <w:p>
      <w:pPr>
        <w:pStyle w:val="BodyText"/>
        <w:spacing w:line="272" w:lineRule="exact"/>
        <w:ind w:left="171"/>
        <w:jc w:val="both"/>
      </w:pPr>
      <w:r>
        <w:rPr/>
        <w:t>Ⅱ型 系膜病变型</w:t>
      </w:r>
    </w:p>
    <w:p>
      <w:pPr>
        <w:pStyle w:val="BodyText"/>
        <w:spacing w:line="274" w:lineRule="exact"/>
        <w:ind w:left="171"/>
        <w:jc w:val="both"/>
      </w:pPr>
      <w:r>
        <w:rPr/>
        <w:t>Ⅲ型 局灶及节段增生型</w:t>
      </w:r>
    </w:p>
    <w:p>
      <w:pPr>
        <w:pStyle w:val="BodyText"/>
        <w:spacing w:line="274" w:lineRule="exact"/>
        <w:ind w:left="171"/>
        <w:jc w:val="both"/>
      </w:pPr>
      <w:r>
        <w:rPr/>
        <w:t>Ⅳ型 弥漫增生型</w:t>
      </w:r>
    </w:p>
    <w:p>
      <w:pPr>
        <w:pStyle w:val="BodyText"/>
        <w:spacing w:line="272" w:lineRule="exact"/>
        <w:ind w:left="171"/>
        <w:jc w:val="both"/>
      </w:pPr>
      <w:r>
        <w:rPr/>
        <w:t>Ⅴ型 膜型</w:t>
      </w:r>
    </w:p>
    <w:p>
      <w:pPr>
        <w:pStyle w:val="BodyText"/>
        <w:spacing w:line="273" w:lineRule="exact"/>
        <w:ind w:left="171"/>
        <w:jc w:val="both"/>
      </w:pPr>
      <w:r>
        <w:rPr/>
        <w:t>Ⅵ型 肾小球硬化型</w:t>
      </w:r>
    </w:p>
    <w:p>
      <w:pPr>
        <w:spacing w:after="0" w:line="273" w:lineRule="exact"/>
        <w:jc w:val="both"/>
        <w:sectPr>
          <w:type w:val="continuous"/>
          <w:pgSz w:w="11900" w:h="16840"/>
          <w:pgMar w:top="1220" w:bottom="280" w:left="1680" w:right="1000"/>
          <w:cols w:num="2" w:equalWidth="0">
            <w:col w:w="1995" w:space="40"/>
            <w:col w:w="7185"/>
          </w:cols>
        </w:sectPr>
      </w:pPr>
    </w:p>
    <w:p>
      <w:pPr>
        <w:pStyle w:val="BodyText"/>
        <w:spacing w:before="1"/>
        <w:rPr>
          <w:sz w:val="15"/>
        </w:rPr>
      </w:pPr>
    </w:p>
    <w:p>
      <w:pPr>
        <w:pStyle w:val="BodyText"/>
        <w:spacing w:line="230" w:lineRule="auto" w:before="57"/>
        <w:ind w:left="2205" w:right="206" w:hanging="1620"/>
        <w:jc w:val="both"/>
      </w:pPr>
      <w:r>
        <w:rPr>
          <w:rFonts w:ascii="Times New Roman" w:eastAsia="Times New Roman"/>
          <w:b/>
        </w:rPr>
        <w:t>36.</w:t>
      </w:r>
      <w:r>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37. </w:t>
      </w:r>
      <w:r>
        <w:rPr>
          <w:sz w:val="21"/>
        </w:rPr>
        <w:t>严重溃疡性结肠炎</w:t>
      </w:r>
    </w:p>
    <w:p>
      <w:pPr>
        <w:pStyle w:val="BodyText"/>
        <w:spacing w:line="237" w:lineRule="auto" w:before="46"/>
        <w:ind w:left="171" w:right="100"/>
      </w:pPr>
      <w:r>
        <w:rPr/>
        <w:br w:type="column"/>
      </w:r>
      <w:r>
        <w:rPr/>
        <w:t>本附加合同所保障的溃疡性结肠炎是指伴有致命性电解质紊乱的急性暴发</w:t>
      </w:r>
      <w:r>
        <w:rPr>
          <w:spacing w:val="-6"/>
        </w:rPr>
        <w:t>性溃疡性结肠炎，病变累及全结肠，表现为严重的血便和系统性症状体征， 治疗通常采取全结肠切除和回肠造瘘术。溃疡性结肠炎必须根据组织病理</w:t>
      </w:r>
      <w:r>
        <w:rPr>
          <w:spacing w:val="-4"/>
        </w:rPr>
        <w:t>学特点诊断，并且被保险人已经接受了结肠切除和回肠造瘘术。</w:t>
      </w:r>
    </w:p>
    <w:p>
      <w:pPr>
        <w:spacing w:after="0" w:line="237" w:lineRule="auto"/>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BodyText"/>
        <w:spacing w:line="232" w:lineRule="auto" w:before="54"/>
        <w:ind w:left="587" w:hanging="3"/>
        <w:jc w:val="both"/>
      </w:pPr>
      <w:r>
        <w:rPr>
          <w:rFonts w:ascii="Times New Roman" w:eastAsia="Times New Roman"/>
          <w:b/>
        </w:rPr>
        <w:t>38.</w:t>
      </w:r>
      <w:r>
        <w:rPr/>
        <w:t>非阿尔茨海默病所致严重痴呆</w:t>
      </w:r>
    </w:p>
    <w:p>
      <w:pPr>
        <w:pStyle w:val="BodyText"/>
        <w:spacing w:line="237" w:lineRule="auto" w:before="46"/>
        <w:ind w:left="262" w:right="206"/>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3"/>
        <w:rPr>
          <w:sz w:val="18"/>
        </w:rPr>
      </w:pPr>
    </w:p>
    <w:p>
      <w:pPr>
        <w:pStyle w:val="BodyText"/>
        <w:ind w:left="262"/>
        <w:jc w:val="both"/>
      </w:pPr>
      <w:r>
        <w:rPr/>
        <w:t>神经官能症,精神疾病及酒精中毒所致脑损害不在保障范围内。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
        <w:rPr>
          <w:sz w:val="15"/>
        </w:rPr>
      </w:pPr>
    </w:p>
    <w:p>
      <w:pPr>
        <w:pStyle w:val="BodyText"/>
        <w:tabs>
          <w:tab w:pos="1619" w:val="left" w:leader="none"/>
        </w:tabs>
        <w:spacing w:line="280" w:lineRule="exact" w:before="46"/>
        <w:ind w:right="330"/>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2205"/>
      </w:pPr>
      <w:r>
        <w:rPr/>
        <w:t>（</w:t>
      </w:r>
      <w:r>
        <w:rPr>
          <w:rFonts w:ascii="Times New Roman" w:eastAsia="Times New Roman"/>
        </w:rPr>
        <w:t>1</w:t>
      </w:r>
      <w:r>
        <w:rPr/>
        <w:t>）过去两年中有哮喘持续状态病史；</w:t>
      </w:r>
    </w:p>
    <w:p>
      <w:pPr>
        <w:pStyle w:val="BodyText"/>
        <w:spacing w:line="274" w:lineRule="exact"/>
        <w:ind w:left="2205"/>
      </w:pPr>
      <w:r>
        <w:rPr/>
        <w:t>（</w:t>
      </w:r>
      <w:r>
        <w:rPr>
          <w:rFonts w:ascii="Times New Roman" w:eastAsia="Times New Roman"/>
        </w:rPr>
        <w:t>2</w:t>
      </w:r>
      <w:r>
        <w:rPr/>
        <w:t>）身体活动耐受能力显著且持续下降；</w:t>
      </w:r>
    </w:p>
    <w:p>
      <w:pPr>
        <w:pStyle w:val="BodyText"/>
        <w:spacing w:line="274" w:lineRule="exact"/>
        <w:ind w:left="2205"/>
      </w:pPr>
      <w:r>
        <w:rPr/>
        <w:t>（</w:t>
      </w:r>
      <w:r>
        <w:rPr>
          <w:rFonts w:ascii="Times New Roman" w:eastAsia="Times New Roman"/>
        </w:rPr>
        <w:t>3</w:t>
      </w:r>
      <w:r>
        <w:rPr/>
        <w:t>）慢性肺部过度膨胀充气导致的胸廓畸形；</w:t>
      </w:r>
    </w:p>
    <w:p>
      <w:pPr>
        <w:pStyle w:val="BodyText"/>
        <w:spacing w:line="282" w:lineRule="exact"/>
        <w:ind w:left="2205"/>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spacing w:after="0" w:line="282" w:lineRule="exact"/>
        <w:sectPr>
          <w:type w:val="continuous"/>
          <w:pgSz w:w="11900" w:h="16840"/>
          <w:pgMar w:top="1220" w:bottom="280" w:left="1680" w:right="1000"/>
        </w:sectPr>
      </w:pPr>
    </w:p>
    <w:p>
      <w:pPr>
        <w:spacing w:line="225" w:lineRule="auto" w:before="44"/>
        <w:ind w:left="587" w:right="0" w:hanging="3"/>
        <w:jc w:val="left"/>
        <w:rPr>
          <w:sz w:val="21"/>
        </w:rPr>
      </w:pPr>
      <w:r>
        <w:rPr>
          <w:rFonts w:ascii="Times New Roman" w:eastAsia="Times New Roman"/>
          <w:b/>
          <w:sz w:val="21"/>
        </w:rPr>
        <w:t>40.</w:t>
      </w:r>
      <w:r>
        <w:rPr>
          <w:sz w:val="21"/>
        </w:rPr>
        <w:t>严重脊髓灰质炎</w:t>
      </w:r>
    </w:p>
    <w:p>
      <w:pPr>
        <w:pStyle w:val="BodyText"/>
        <w:spacing w:line="235" w:lineRule="auto" w:before="30"/>
        <w:ind w:left="262" w:right="103"/>
        <w:jc w:val="both"/>
      </w:pPr>
      <w:r>
        <w:rPr/>
        <w:br w:type="column"/>
      </w:r>
      <w:r>
        <w:rPr/>
        <w:t>脊髓灰质炎是由于脊髓灰质炎病毒感染所致的瘫痪性疾病，临床表现为运动功能损害或呼吸无力。脊髓灰质炎必须明确诊断。本附加合同仅对脊髓灰质炎造成的神经系统功能损害导致被保险人一肢或一肢以上肢体机能永久完全丧失的情况予以理赔。肢体机能永久完全丧失，指疾病确诊 </w:t>
      </w:r>
      <w:r>
        <w:rPr>
          <w:rFonts w:ascii="Times New Roman" w:eastAsia="Times New Roman"/>
        </w:rPr>
        <w:t>180 </w:t>
      </w:r>
      <w:r>
        <w:rPr/>
        <w:t>天后，每肢三大关节中的两大关节仍然完全僵硬，或不能随意识活动。</w:t>
      </w:r>
    </w:p>
    <w:p>
      <w:pPr>
        <w:spacing w:after="0" w:line="235" w:lineRule="auto"/>
        <w:jc w:val="both"/>
        <w:sectPr>
          <w:pgSz w:w="11900" w:h="16840"/>
          <w:pgMar w:top="1240" w:bottom="280" w:left="1680" w:right="1100"/>
          <w:cols w:num="2" w:equalWidth="0">
            <w:col w:w="1904" w:space="40"/>
            <w:col w:w="7176"/>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41.</w:t>
      </w:r>
      <w:r>
        <w:rPr>
          <w:sz w:val="21"/>
        </w:rPr>
        <w:t>重症急性坏死性筋膜炎</w:t>
      </w:r>
    </w:p>
    <w:p>
      <w:pPr>
        <w:pStyle w:val="BodyText"/>
        <w:spacing w:before="43"/>
        <w:ind w:left="262" w:right="106"/>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79" w:lineRule="exact"/>
        <w:ind w:left="262"/>
        <w:jc w:val="both"/>
      </w:pPr>
      <w:r>
        <w:rPr/>
        <w:t>（</w:t>
      </w:r>
      <w:r>
        <w:rPr>
          <w:rFonts w:ascii="Times New Roman" w:eastAsia="Times New Roman"/>
        </w:rPr>
        <w:t>1</w:t>
      </w:r>
      <w:r>
        <w:rPr/>
        <w:t>）细菌培养和临床表现符合坏死性筋膜炎诊断标准；</w:t>
      </w:r>
    </w:p>
    <w:p>
      <w:pPr>
        <w:pStyle w:val="BodyText"/>
        <w:spacing w:line="274" w:lineRule="exact"/>
        <w:ind w:left="262"/>
        <w:jc w:val="both"/>
      </w:pPr>
      <w:r>
        <w:rPr/>
        <w:t>（</w:t>
      </w:r>
      <w:r>
        <w:rPr>
          <w:rFonts w:ascii="Times New Roman" w:eastAsia="Times New Roman"/>
        </w:rPr>
        <w:t>2</w:t>
      </w:r>
      <w:r>
        <w:rPr/>
        <w:t>）病情迅速恶化，有脓毒血症表现；</w:t>
      </w:r>
    </w:p>
    <w:p>
      <w:pPr>
        <w:pStyle w:val="BodyText"/>
        <w:spacing w:line="282" w:lineRule="exact"/>
        <w:ind w:left="262"/>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jc w:val="both"/>
        <w:sectPr>
          <w:type w:val="continuous"/>
          <w:pgSz w:w="11900" w:h="16840"/>
          <w:pgMar w:top="1220" w:bottom="280" w:left="1680" w:right="1100"/>
          <w:cols w:num="2" w:equalWidth="0">
            <w:col w:w="1904" w:space="40"/>
            <w:col w:w="7176"/>
          </w:cols>
        </w:sectPr>
      </w:pPr>
    </w:p>
    <w:p>
      <w:pPr>
        <w:pStyle w:val="BodyText"/>
        <w:spacing w:before="10"/>
        <w:rPr>
          <w:sz w:val="13"/>
        </w:rPr>
      </w:pPr>
    </w:p>
    <w:p>
      <w:pPr>
        <w:pStyle w:val="BodyText"/>
        <w:tabs>
          <w:tab w:pos="2205" w:val="left" w:leader="none"/>
        </w:tabs>
        <w:spacing w:before="46"/>
        <w:ind w:left="585"/>
      </w:pPr>
      <w:r>
        <w:rPr>
          <w:rFonts w:ascii="Times New Roman" w:eastAsia="Times New Roman"/>
          <w:b/>
        </w:rPr>
        <w:t>42.</w:t>
      </w:r>
      <w:r>
        <w:rPr/>
        <w:t>严重川</w:t>
      </w:r>
      <w:r>
        <w:rPr>
          <w:spacing w:val="-3"/>
        </w:rPr>
        <w:t>崎</w:t>
      </w:r>
      <w:r>
        <w:rPr/>
        <w:t>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1"/>
        <w:rPr>
          <w:sz w:val="16"/>
        </w:rPr>
      </w:pPr>
    </w:p>
    <w:p>
      <w:pPr>
        <w:pStyle w:val="BodyText"/>
        <w:ind w:left="2205" w:right="106"/>
      </w:pPr>
      <w:r>
        <w:rPr/>
        <w:t>本附加合同仅对诊断性检查证实川崎病并发冠状动脉瘤或其他心血管异常并且实际接受了手术治疗的情况予以理赔。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43.</w:t>
      </w:r>
      <w:r>
        <w:rPr>
          <w:sz w:val="21"/>
        </w:rPr>
        <w:t>系统性硬皮病</w:t>
      </w:r>
    </w:p>
    <w:p>
      <w:pPr>
        <w:pStyle w:val="BodyText"/>
        <w:spacing w:before="43"/>
        <w:ind w:left="262" w:right="106"/>
        <w:jc w:val="both"/>
      </w:pPr>
      <w:r>
        <w:rPr/>
        <w:br w:type="column"/>
      </w:r>
      <w:r>
        <w:rPr/>
        <w:t>指一种以局限性或弥漫性皮肤增厚和皮肤、血管、内脏器官异常纤维化为特征的结缔组织病。本病须经专科医师明确诊断，并须满足下列至少一项条件：</w:t>
      </w:r>
    </w:p>
    <w:p>
      <w:pPr>
        <w:pStyle w:val="BodyText"/>
        <w:spacing w:line="280" w:lineRule="exact"/>
        <w:ind w:left="262"/>
      </w:pPr>
      <w:r>
        <w:rPr/>
        <w:t>（</w:t>
      </w:r>
      <w:r>
        <w:rPr>
          <w:rFonts w:ascii="Times New Roman" w:eastAsia="Times New Roman"/>
        </w:rPr>
        <w:t>1</w:t>
      </w:r>
      <w:r>
        <w:rPr/>
        <w:t>）肺脏：肺部病变进而发展为肺间质纤维化和肺动脉高压；</w:t>
      </w:r>
    </w:p>
    <w:p>
      <w:pPr>
        <w:pStyle w:val="BodyText"/>
        <w:spacing w:line="232" w:lineRule="auto"/>
        <w:ind w:left="262" w:right="106" w:hanging="1"/>
        <w:jc w:val="both"/>
      </w:pPr>
      <w:r>
        <w:rPr>
          <w:spacing w:val="-4"/>
        </w:rPr>
        <w:t>（</w:t>
      </w:r>
      <w:r>
        <w:rPr>
          <w:rFonts w:ascii="Times New Roman" w:hAnsi="Times New Roman" w:eastAsia="Times New Roman"/>
          <w:spacing w:val="-4"/>
        </w:rPr>
        <w:t>2</w:t>
      </w:r>
      <w:r>
        <w:rPr>
          <w:spacing w:val="-4"/>
        </w:rPr>
        <w:t>）</w:t>
      </w:r>
      <w:r>
        <w:rPr>
          <w:spacing w:val="-5"/>
        </w:rPr>
        <w:t>心脏：心功能受损达到美国纽约心脏病学会心功能状态分级Ⅳ级，且有医院的医疗记录显示病人不能进行任何活动，同时休息时仍有心悸、呼</w:t>
      </w:r>
      <w:r>
        <w:rPr>
          <w:spacing w:val="-4"/>
        </w:rPr>
        <w:t>吸困难等心力衰竭表现；</w:t>
      </w:r>
    </w:p>
    <w:p>
      <w:pPr>
        <w:pStyle w:val="BodyText"/>
        <w:spacing w:line="289" w:lineRule="exact"/>
        <w:ind w:left="262"/>
        <w:jc w:val="both"/>
      </w:pPr>
      <w:r>
        <w:rPr/>
        <w:t>（</w:t>
      </w:r>
      <w:r>
        <w:rPr>
          <w:rFonts w:ascii="Times New Roman" w:eastAsia="Times New Roman"/>
        </w:rPr>
        <w:t>3</w:t>
      </w:r>
      <w:r>
        <w:rPr/>
        <w:t>）肾脏：肾脏受损导致双肾功能慢性不可逆衰竭，达到尿毒症期。</w:t>
      </w:r>
    </w:p>
    <w:p>
      <w:pPr>
        <w:spacing w:after="0" w:line="289" w:lineRule="exact"/>
        <w:jc w:val="both"/>
        <w:sectPr>
          <w:type w:val="continuous"/>
          <w:pgSz w:w="11900" w:h="16840"/>
          <w:pgMar w:top="1220" w:bottom="280" w:left="1680" w:right="1100"/>
          <w:cols w:num="2" w:equalWidth="0">
            <w:col w:w="1904" w:space="40"/>
            <w:col w:w="7176"/>
          </w:cols>
        </w:sectPr>
      </w:pPr>
    </w:p>
    <w:p>
      <w:pPr>
        <w:pStyle w:val="BodyText"/>
        <w:spacing w:before="9"/>
        <w:rPr>
          <w:sz w:val="13"/>
        </w:rPr>
      </w:pPr>
    </w:p>
    <w:p>
      <w:pPr>
        <w:spacing w:after="0"/>
        <w:rPr>
          <w:sz w:val="13"/>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44.</w:t>
      </w:r>
      <w:r>
        <w:rPr>
          <w:sz w:val="21"/>
        </w:rPr>
        <w:t>丝虫病所致象皮肿</w:t>
      </w:r>
    </w:p>
    <w:p>
      <w:pPr>
        <w:pStyle w:val="BodyText"/>
        <w:spacing w:line="230" w:lineRule="auto" w:before="54"/>
        <w:ind w:left="262" w:right="103"/>
        <w:jc w:val="both"/>
      </w:pPr>
      <w:r>
        <w:rPr/>
        <w:br w:type="column"/>
      </w:r>
      <w:r>
        <w:rPr/>
        <w:t>指因丝虫感染导致淋巴阻塞出现严重淋巴水肿，达到国际淋巴学会淋巴水肿分期第Ⅲ期，临床表现为肢体象皮肿，患肢较健肢增粗 </w:t>
      </w:r>
      <w:r>
        <w:rPr>
          <w:rFonts w:ascii="Times New Roman" w:hAnsi="Times New Roman" w:eastAsia="Times New Roman"/>
        </w:rPr>
        <w:t>30%</w:t>
      </w:r>
      <w:r>
        <w:rPr/>
        <w:t>以上，日常生活不能自理。</w:t>
      </w:r>
    </w:p>
    <w:p>
      <w:pPr>
        <w:spacing w:after="0" w:line="230" w:lineRule="auto"/>
        <w:jc w:val="both"/>
        <w:sectPr>
          <w:type w:val="continuous"/>
          <w:pgSz w:w="11900" w:h="16840"/>
          <w:pgMar w:top="1220" w:bottom="280" w:left="1680" w:right="1100"/>
          <w:cols w:num="2" w:equalWidth="0">
            <w:col w:w="1904" w:space="40"/>
            <w:col w:w="7176"/>
          </w:cols>
        </w:sectPr>
      </w:pPr>
    </w:p>
    <w:p>
      <w:pPr>
        <w:pStyle w:val="BodyText"/>
        <w:spacing w:before="1"/>
        <w:rPr>
          <w:sz w:val="15"/>
        </w:rPr>
      </w:pPr>
    </w:p>
    <w:p>
      <w:pPr>
        <w:pStyle w:val="BodyText"/>
        <w:tabs>
          <w:tab w:pos="2205" w:val="left" w:leader="none"/>
        </w:tabs>
        <w:spacing w:line="223" w:lineRule="auto" w:before="66"/>
        <w:ind w:left="2205" w:right="106" w:hanging="1620"/>
      </w:pPr>
      <w:r>
        <w:rPr>
          <w:rFonts w:ascii="Times New Roman" w:eastAsia="Times New Roman"/>
          <w:b/>
        </w:rPr>
        <w:t>45.</w:t>
      </w:r>
      <w:r>
        <w:rPr/>
        <w:t>胰腺移植</w:t>
        <w:tab/>
        <w:t>指因胰腺功能衰竭，已经实施了在全身麻醉下进行的胰腺的异体器官移植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ind w:left="2205"/>
      </w:pPr>
      <w:r>
        <w:rPr/>
        <w:t>单纯胰岛移植、部分胰腺组织或细胞的移植不在保障范围内。</w:t>
      </w:r>
    </w:p>
    <w:p>
      <w:pPr>
        <w:pStyle w:val="BodyText"/>
        <w:spacing w:before="11"/>
        <w:rPr>
          <w:sz w:val="14"/>
        </w:rPr>
      </w:pPr>
    </w:p>
    <w:p>
      <w:pPr>
        <w:spacing w:after="0"/>
        <w:rPr>
          <w:sz w:val="14"/>
        </w:rPr>
        <w:sectPr>
          <w:type w:val="continuous"/>
          <w:pgSz w:w="11900" w:h="16840"/>
          <w:pgMar w:top="1220" w:bottom="280" w:left="1680" w:right="1100"/>
        </w:sectPr>
      </w:pPr>
    </w:p>
    <w:p>
      <w:pPr>
        <w:pStyle w:val="BodyText"/>
        <w:spacing w:line="232" w:lineRule="auto" w:before="55"/>
        <w:ind w:left="587" w:hanging="3"/>
        <w:jc w:val="both"/>
      </w:pPr>
      <w:r>
        <w:rPr>
          <w:rFonts w:ascii="Times New Roman" w:eastAsia="Times New Roman"/>
          <w:b/>
        </w:rPr>
        <w:t>46.</w:t>
      </w:r>
      <w:r>
        <w:rPr/>
        <w:t>急性坏死性胰腺炎开腹手术</w:t>
      </w:r>
    </w:p>
    <w:p>
      <w:pPr>
        <w:pStyle w:val="BodyText"/>
        <w:spacing w:before="44"/>
        <w:ind w:left="262" w:right="106"/>
      </w:pPr>
      <w:r>
        <w:rPr/>
        <w:br w:type="column"/>
      </w:r>
      <w:r>
        <w:rPr/>
        <w:t>指为治疗急性坏死性胰腺炎，实际实施了开腹进行的坏死组织清除术、病灶切除术或胰腺部分切除术。</w:t>
      </w:r>
    </w:p>
    <w:p>
      <w:pPr>
        <w:pStyle w:val="BodyText"/>
        <w:spacing w:before="9"/>
      </w:pPr>
    </w:p>
    <w:p>
      <w:pPr>
        <w:pStyle w:val="BodyText"/>
        <w:ind w:left="262"/>
      </w:pPr>
      <w:r>
        <w:rPr/>
        <w:t>为治疗因酒精中毒引起的急性坏死性胰腺炎的开腹手术不在保障范围内。</w:t>
      </w:r>
    </w:p>
    <w:p>
      <w:pPr>
        <w:spacing w:after="0"/>
        <w:sectPr>
          <w:type w:val="continuous"/>
          <w:pgSz w:w="11900" w:h="16840"/>
          <w:pgMar w:top="1220" w:bottom="280" w:left="1680" w:right="1100"/>
          <w:cols w:num="2" w:equalWidth="0">
            <w:col w:w="1904" w:space="40"/>
            <w:col w:w="7176"/>
          </w:cols>
        </w:sectPr>
      </w:pPr>
    </w:p>
    <w:p>
      <w:pPr>
        <w:pStyle w:val="BodyText"/>
        <w:spacing w:before="1"/>
        <w:rPr>
          <w:sz w:val="15"/>
        </w:rPr>
      </w:pPr>
    </w:p>
    <w:p>
      <w:pPr>
        <w:spacing w:after="0"/>
        <w:rPr>
          <w:sz w:val="15"/>
        </w:rPr>
        <w:sectPr>
          <w:type w:val="continuous"/>
          <w:pgSz w:w="11900" w:h="16840"/>
          <w:pgMar w:top="1220" w:bottom="280" w:left="1680" w:right="1100"/>
        </w:sectPr>
      </w:pPr>
    </w:p>
    <w:p>
      <w:pPr>
        <w:spacing w:line="223" w:lineRule="auto" w:before="66"/>
        <w:ind w:left="587" w:right="0" w:hanging="3"/>
        <w:jc w:val="left"/>
        <w:rPr>
          <w:sz w:val="21"/>
        </w:rPr>
      </w:pPr>
      <w:r>
        <w:rPr>
          <w:rFonts w:ascii="Times New Roman" w:eastAsia="Times New Roman"/>
          <w:b/>
          <w:sz w:val="21"/>
        </w:rPr>
        <w:t>47.</w:t>
      </w:r>
      <w:r>
        <w:rPr>
          <w:sz w:val="21"/>
        </w:rPr>
        <w:t>慢性复发性胰腺炎</w:t>
      </w:r>
    </w:p>
    <w:p>
      <w:pPr>
        <w:pStyle w:val="BodyText"/>
        <w:spacing w:line="230" w:lineRule="auto" w:before="54"/>
        <w:ind w:left="262" w:right="103"/>
        <w:jc w:val="both"/>
      </w:pPr>
      <w:r>
        <w:rPr/>
        <w:br w:type="column"/>
      </w:r>
      <w:r>
        <w:rPr/>
        <w:t>指有腹痛等典型症状的胰腺炎反复发作，导致胰腺进行性破坏，并导致胰腺功能紊乱而导致严重糖尿病以及营养不良、恶液质。断层扫描（</w:t>
      </w:r>
      <w:r>
        <w:rPr>
          <w:rFonts w:ascii="Times New Roman" w:eastAsia="Times New Roman"/>
        </w:rPr>
        <w:t>CT</w:t>
      </w:r>
      <w:r>
        <w:rPr/>
        <w:t>）检查证实胰腺存在广泛钙化，且必须接受酶替代以及胰岛素替代治疗 </w:t>
      </w:r>
      <w:r>
        <w:rPr>
          <w:rFonts w:ascii="Times New Roman" w:eastAsia="Times New Roman"/>
        </w:rPr>
        <w:t>6 </w:t>
      </w:r>
      <w:r>
        <w:rPr/>
        <w:t>个月以上。诊断必须由消化科专科医生确诊。</w:t>
      </w:r>
    </w:p>
    <w:p>
      <w:pPr>
        <w:pStyle w:val="BodyText"/>
        <w:spacing w:before="9"/>
      </w:pPr>
    </w:p>
    <w:p>
      <w:pPr>
        <w:pStyle w:val="BodyText"/>
        <w:ind w:left="262"/>
        <w:jc w:val="both"/>
      </w:pPr>
      <w:r>
        <w:rPr/>
        <w:t>酒精导致的慢性复发性胰腺炎不在保障范围内。</w:t>
      </w:r>
    </w:p>
    <w:p>
      <w:pPr>
        <w:spacing w:after="0"/>
        <w:jc w:val="both"/>
        <w:sectPr>
          <w:type w:val="continuous"/>
          <w:pgSz w:w="11900" w:h="16840"/>
          <w:pgMar w:top="1220" w:bottom="280" w:left="1680" w:right="1100"/>
          <w:cols w:num="2" w:equalWidth="0">
            <w:col w:w="1904" w:space="40"/>
            <w:col w:w="7176"/>
          </w:cols>
        </w:sectPr>
      </w:pPr>
    </w:p>
    <w:p>
      <w:pPr>
        <w:pStyle w:val="BodyText"/>
        <w:spacing w:before="12"/>
        <w:rPr>
          <w:sz w:val="14"/>
        </w:rPr>
      </w:pPr>
    </w:p>
    <w:p>
      <w:pPr>
        <w:pStyle w:val="BodyText"/>
        <w:spacing w:line="230" w:lineRule="auto" w:before="57"/>
        <w:ind w:left="2205" w:right="106" w:hanging="1620"/>
        <w:jc w:val="both"/>
      </w:pPr>
      <w:r>
        <w:rPr>
          <w:rFonts w:ascii="Times New Roman" w:eastAsia="Times New Roman"/>
          <w:b/>
        </w:rPr>
        <w:t>48.</w:t>
      </w:r>
      <w:r>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9"/>
      </w:pPr>
    </w:p>
    <w:p>
      <w:pPr>
        <w:pStyle w:val="BodyText"/>
        <w:ind w:left="2205"/>
      </w:pPr>
      <w:r>
        <w:rPr/>
        <w:t>疑似诊断不作为理赔依据。</w:t>
      </w:r>
    </w:p>
    <w:p>
      <w:pPr>
        <w:spacing w:after="0"/>
        <w:sectPr>
          <w:type w:val="continuous"/>
          <w:pgSz w:w="11900" w:h="16840"/>
          <w:pgMar w:top="1220" w:bottom="280" w:left="1680" w:right="1100"/>
        </w:sectPr>
      </w:pPr>
    </w:p>
    <w:p>
      <w:pPr>
        <w:spacing w:line="225" w:lineRule="auto" w:before="123"/>
        <w:ind w:left="587" w:right="0" w:hanging="3"/>
        <w:jc w:val="left"/>
        <w:rPr>
          <w:sz w:val="21"/>
        </w:rPr>
      </w:pPr>
      <w:r>
        <w:rPr>
          <w:rFonts w:ascii="Times New Roman" w:eastAsia="Times New Roman"/>
          <w:b/>
          <w:sz w:val="21"/>
        </w:rPr>
        <w:t>49.</w:t>
      </w:r>
      <w:r>
        <w:rPr>
          <w:sz w:val="21"/>
        </w:rPr>
        <w:t>肾髓质囊性病</w:t>
      </w:r>
    </w:p>
    <w:p>
      <w:pPr>
        <w:pStyle w:val="BodyText"/>
        <w:spacing w:line="274" w:lineRule="exact" w:before="103"/>
        <w:ind w:left="262"/>
      </w:pPr>
      <w:r>
        <w:rPr/>
        <w:br w:type="column"/>
      </w:r>
      <w:r>
        <w:rPr/>
        <w:t>肾髓质囊性病的诊断须同时符合下列要求：</w:t>
      </w:r>
    </w:p>
    <w:p>
      <w:pPr>
        <w:pStyle w:val="BodyText"/>
        <w:spacing w:line="282" w:lineRule="exact"/>
        <w:ind w:left="262"/>
      </w:pPr>
      <w:r>
        <w:rPr/>
        <w:t>（</w:t>
      </w:r>
      <w:r>
        <w:rPr>
          <w:rFonts w:ascii="Times New Roman" w:eastAsia="Times New Roman"/>
        </w:rPr>
        <w:t>1</w:t>
      </w:r>
      <w:r>
        <w:rPr/>
        <w:t>）肾髓质有囊肿、肾小管萎缩及间质纤维化等病理改变；</w:t>
      </w:r>
    </w:p>
    <w:p>
      <w:pPr>
        <w:pStyle w:val="BodyText"/>
        <w:spacing w:line="272" w:lineRule="exact"/>
        <w:ind w:left="262"/>
      </w:pPr>
      <w:r>
        <w:rPr/>
        <w:t>（</w:t>
      </w:r>
      <w:r>
        <w:rPr>
          <w:rFonts w:ascii="Times New Roman" w:eastAsia="Times New Roman"/>
        </w:rPr>
        <w:t>2</w:t>
      </w:r>
      <w:r>
        <w:rPr/>
        <w:t>）肾功能衰竭；</w:t>
      </w:r>
    </w:p>
    <w:p>
      <w:pPr>
        <w:pStyle w:val="BodyText"/>
        <w:spacing w:line="281" w:lineRule="exact"/>
        <w:ind w:left="262"/>
      </w:pPr>
      <w:r>
        <w:rPr/>
        <w:t>（</w:t>
      </w:r>
      <w:r>
        <w:rPr>
          <w:rFonts w:ascii="Times New Roman" w:eastAsia="Times New Roman"/>
        </w:rPr>
        <w:t>3</w:t>
      </w:r>
      <w:r>
        <w:rPr/>
        <w:t>）诊断须由肾组织活检确定。</w:t>
      </w:r>
    </w:p>
    <w:p>
      <w:pPr>
        <w:spacing w:after="0" w:line="281" w:lineRule="exact"/>
        <w:sectPr>
          <w:pgSz w:w="11900" w:h="16840"/>
          <w:pgMar w:top="1600" w:bottom="280" w:left="1680" w:right="1000"/>
          <w:cols w:num="2" w:equalWidth="0">
            <w:col w:w="1904" w:space="40"/>
            <w:col w:w="7276"/>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50.</w:t>
      </w:r>
      <w:r>
        <w:rPr>
          <w:sz w:val="21"/>
        </w:rPr>
        <w:t>原发性硬化性胆管炎</w:t>
      </w:r>
    </w:p>
    <w:p>
      <w:pPr>
        <w:pStyle w:val="BodyText"/>
        <w:spacing w:line="237" w:lineRule="auto" w:before="46"/>
        <w:ind w:left="262" w:right="206"/>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81" w:lineRule="exact"/>
        <w:ind w:left="262"/>
        <w:jc w:val="both"/>
      </w:pPr>
      <w:r>
        <w:rPr/>
        <w:t>（</w:t>
      </w:r>
      <w:r>
        <w:rPr>
          <w:rFonts w:ascii="Times New Roman" w:eastAsia="Times New Roman"/>
        </w:rPr>
        <w:t>1</w:t>
      </w:r>
      <w:r>
        <w:rPr/>
        <w:t>）总胆红素和直接胆红素同时升高，血清碱性磷酸酶（</w:t>
      </w:r>
      <w:r>
        <w:rPr>
          <w:rFonts w:ascii="Times New Roman" w:eastAsia="Times New Roman"/>
        </w:rPr>
        <w:t>ALP</w:t>
      </w:r>
      <w:r>
        <w:rPr/>
        <w:t>）</w:t>
      </w:r>
      <w:r>
        <w:rPr>
          <w:rFonts w:ascii="Times New Roman" w:eastAsia="Times New Roman"/>
        </w:rPr>
        <w:t>&gt;200U/L</w:t>
      </w:r>
      <w:r>
        <w:rPr/>
        <w:t>；</w:t>
      </w:r>
    </w:p>
    <w:p>
      <w:pPr>
        <w:pStyle w:val="BodyText"/>
        <w:spacing w:line="272" w:lineRule="exact"/>
        <w:ind w:left="262"/>
        <w:jc w:val="both"/>
      </w:pPr>
      <w:r>
        <w:rPr/>
        <w:t>（</w:t>
      </w:r>
      <w:r>
        <w:rPr>
          <w:rFonts w:ascii="Times New Roman" w:eastAsia="Times New Roman"/>
        </w:rPr>
        <w:t>2</w:t>
      </w:r>
      <w:r>
        <w:rPr/>
        <w:t>）持续性黄疸病史；</w:t>
      </w:r>
    </w:p>
    <w:p>
      <w:pPr>
        <w:pStyle w:val="BodyText"/>
        <w:spacing w:line="281" w:lineRule="exact"/>
        <w:ind w:left="262"/>
        <w:jc w:val="both"/>
      </w:pPr>
      <w:r>
        <w:rPr/>
        <w:t>（</w:t>
      </w:r>
      <w:r>
        <w:rPr>
          <w:rFonts w:ascii="Times New Roman" w:eastAsia="Times New Roman"/>
        </w:rPr>
        <w:t>3</w:t>
      </w:r>
      <w:r>
        <w:rPr/>
        <w:t>）出现胆汁性肝硬化或门脉高压。</w:t>
      </w:r>
    </w:p>
    <w:p>
      <w:pPr>
        <w:pStyle w:val="BodyText"/>
        <w:spacing w:before="3"/>
        <w:rPr>
          <w:sz w:val="17"/>
        </w:rPr>
      </w:pPr>
    </w:p>
    <w:p>
      <w:pPr>
        <w:pStyle w:val="BodyText"/>
        <w:ind w:left="262"/>
        <w:jc w:val="both"/>
      </w:pPr>
      <w:r>
        <w:rPr/>
        <w:t>因肿瘤或胆管损伤等继发性的硬化性胆管炎不在保障范围内。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pStyle w:val="BodyText"/>
        <w:tabs>
          <w:tab w:pos="2205" w:val="left" w:leader="none"/>
        </w:tabs>
        <w:spacing w:line="223" w:lineRule="auto" w:before="66"/>
        <w:ind w:left="2205" w:right="206" w:hanging="1620"/>
      </w:pPr>
      <w:r>
        <w:rPr>
          <w:rFonts w:ascii="Times New Roman" w:eastAsia="Times New Roman"/>
          <w:b/>
        </w:rPr>
        <w:t>51.</w:t>
      </w:r>
      <w:r>
        <w:rPr/>
        <w:t>嗜铬细</w:t>
      </w:r>
      <w:r>
        <w:rPr>
          <w:spacing w:val="-3"/>
        </w:rPr>
        <w:t>胞</w:t>
      </w:r>
      <w:r>
        <w:rPr/>
        <w:t>瘤</w:t>
        <w:tab/>
        <w:t>指肾上腺或者肾上腺外嗜铬组织出现神经内分泌肿瘤，并分泌过多的儿茶 酚胺</w:t>
      </w:r>
      <w:r>
        <w:rPr>
          <w:spacing w:val="-3"/>
        </w:rPr>
        <w:t>类</w:t>
      </w:r>
      <w:r>
        <w:rPr/>
        <w:t>，</w:t>
      </w:r>
      <w:r>
        <w:rPr>
          <w:spacing w:val="-3"/>
        </w:rPr>
        <w:t>需</w:t>
      </w:r>
      <w:r>
        <w:rPr/>
        <w:t>要</w:t>
      </w:r>
      <w:r>
        <w:rPr>
          <w:spacing w:val="-3"/>
        </w:rPr>
        <w:t>确</w:t>
      </w:r>
      <w:r>
        <w:rPr/>
        <w:t>实</w:t>
      </w:r>
      <w:r>
        <w:rPr>
          <w:spacing w:val="-3"/>
        </w:rPr>
        <w:t>进</w:t>
      </w:r>
      <w:r>
        <w:rPr/>
        <w:t>行</w:t>
      </w:r>
      <w:r>
        <w:rPr>
          <w:spacing w:val="-3"/>
        </w:rPr>
        <w:t>手</w:t>
      </w:r>
      <w:r>
        <w:rPr/>
        <w:t>术以</w:t>
      </w:r>
      <w:r>
        <w:rPr>
          <w:spacing w:val="-3"/>
        </w:rPr>
        <w:t>切</w:t>
      </w:r>
      <w:r>
        <w:rPr/>
        <w:t>除</w:t>
      </w:r>
      <w:r>
        <w:rPr>
          <w:spacing w:val="-3"/>
        </w:rPr>
        <w:t>肿</w:t>
      </w:r>
      <w:r>
        <w:rPr/>
        <w:t>瘤。</w:t>
      </w:r>
    </w:p>
    <w:p>
      <w:pPr>
        <w:pStyle w:val="BodyText"/>
        <w:spacing w:before="12"/>
        <w:rPr>
          <w:sz w:val="14"/>
        </w:rPr>
      </w:pPr>
    </w:p>
    <w:p>
      <w:pPr>
        <w:spacing w:after="0"/>
        <w:rPr>
          <w:sz w:val="14"/>
        </w:rPr>
        <w:sectPr>
          <w:type w:val="continuous"/>
          <w:pgSz w:w="11900" w:h="16840"/>
          <w:pgMar w:top="1220" w:bottom="280" w:left="1680" w:right="1000"/>
        </w:sectPr>
      </w:pPr>
    </w:p>
    <w:p>
      <w:pPr>
        <w:pStyle w:val="BodyText"/>
        <w:spacing w:line="232" w:lineRule="auto" w:before="54"/>
        <w:ind w:left="587" w:hanging="3"/>
      </w:pPr>
      <w:r>
        <w:rPr>
          <w:rFonts w:ascii="Times New Roman" w:eastAsia="Times New Roman"/>
          <w:b/>
        </w:rPr>
        <w:t>52.</w:t>
      </w:r>
      <w:r>
        <w:rPr>
          <w:spacing w:val="-1"/>
        </w:rPr>
        <w:t>侵蚀性葡萄</w:t>
      </w:r>
      <w:r>
        <w:rPr>
          <w:spacing w:val="-68"/>
        </w:rPr>
        <w:t>胎</w:t>
      </w:r>
      <w:r>
        <w:rPr/>
        <w:t>（</w:t>
      </w:r>
      <w:r>
        <w:rPr>
          <w:spacing w:val="-3"/>
        </w:rPr>
        <w:t>或者称恶性葡萄胎</w:t>
      </w:r>
      <w:r>
        <w:rPr/>
        <w:t>）</w:t>
      </w:r>
    </w:p>
    <w:p>
      <w:pPr>
        <w:pStyle w:val="BodyText"/>
        <w:spacing w:before="43"/>
        <w:ind w:left="171" w:right="239"/>
      </w:pPr>
      <w:r>
        <w:rPr/>
        <w:br w:type="column"/>
      </w:r>
      <w:r>
        <w:rPr/>
        <w:t>指异常增生的绒毛组织浸润性生长侵入子宫肌层或者转移至其它器官或者组织的葡萄胎，并已经进行化疗或者手术治疗。</w:t>
      </w:r>
    </w:p>
    <w:p>
      <w:pPr>
        <w:spacing w:after="0"/>
        <w:sectPr>
          <w:type w:val="continuous"/>
          <w:pgSz w:w="11900" w:h="16840"/>
          <w:pgMar w:top="1220" w:bottom="280" w:left="1680" w:right="1000"/>
          <w:cols w:num="2" w:equalWidth="0">
            <w:col w:w="1995" w:space="40"/>
            <w:col w:w="7185"/>
          </w:cols>
        </w:sectPr>
      </w:pPr>
    </w:p>
    <w:p>
      <w:pPr>
        <w:pStyle w:val="BodyText"/>
        <w:spacing w:before="4"/>
        <w:rPr>
          <w:sz w:val="12"/>
        </w:rPr>
      </w:pPr>
    </w:p>
    <w:p>
      <w:pPr>
        <w:spacing w:after="0"/>
        <w:rPr>
          <w:sz w:val="12"/>
        </w:rPr>
        <w:sectPr>
          <w:type w:val="continuous"/>
          <w:pgSz w:w="11900" w:h="16840"/>
          <w:pgMar w:top="1220" w:bottom="280" w:left="1680" w:right="1000"/>
        </w:sectPr>
      </w:pPr>
    </w:p>
    <w:p>
      <w:pPr>
        <w:pStyle w:val="BodyText"/>
        <w:spacing w:line="230" w:lineRule="auto" w:before="57"/>
        <w:ind w:left="587" w:hanging="3"/>
        <w:jc w:val="both"/>
      </w:pPr>
      <w:r>
        <w:rPr>
          <w:rFonts w:ascii="Times New Roman" w:eastAsia="Times New Roman"/>
          <w:b/>
        </w:rPr>
        <w:t>53.</w:t>
      </w:r>
      <w:r>
        <w:rPr/>
        <w:t>特发性慢性肾上腺皮质功能减退</w:t>
      </w:r>
    </w:p>
    <w:p>
      <w:pPr>
        <w:pStyle w:val="BodyText"/>
        <w:spacing w:line="237" w:lineRule="auto" w:before="46"/>
        <w:ind w:left="262" w:right="206"/>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81" w:lineRule="exact"/>
        <w:ind w:left="262"/>
      </w:pPr>
      <w:r>
        <w:rPr/>
        <w:t>（</w:t>
      </w:r>
      <w:r>
        <w:rPr>
          <w:rFonts w:ascii="Times New Roman" w:eastAsia="Times New Roman"/>
        </w:rPr>
        <w:t>1</w:t>
      </w:r>
      <w:r>
        <w:rPr/>
        <w:t>）明确诊断，符合所有以下诊断标准：</w:t>
      </w:r>
    </w:p>
    <w:p>
      <w:pPr>
        <w:pStyle w:val="BodyText"/>
        <w:tabs>
          <w:tab w:pos="1313" w:val="left" w:leader="none"/>
        </w:tabs>
        <w:spacing w:line="272" w:lineRule="exact"/>
        <w:ind w:left="893"/>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2" w:lineRule="auto"/>
        <w:ind w:left="1313" w:right="203" w:hanging="421"/>
        <w:jc w:val="both"/>
      </w:pPr>
      <w:r>
        <w:rPr/>
        <w:t>② 血浆和尿游离皮质醇、尿 </w:t>
      </w:r>
      <w:r>
        <w:rPr>
          <w:rFonts w:ascii="Times New Roman" w:hAnsi="Times New Roman" w:eastAsia="Times New Roman"/>
        </w:rPr>
        <w:t>17-</w:t>
      </w:r>
      <w:r>
        <w:rPr/>
        <w:t>羟皮质类固醇、尿 </w:t>
      </w:r>
      <w:r>
        <w:rPr>
          <w:rFonts w:ascii="Times New Roman" w:hAnsi="Times New Roman" w:eastAsia="Times New Roman"/>
        </w:rPr>
        <w:t>17-</w:t>
      </w:r>
      <w:r>
        <w:rPr/>
        <w:t>酮皮质类固醇、血浆肾素活性、血管紧张素Ⅱ和醛固酮的测定，显示为原发性肾上腺皮质功能减退症；</w:t>
      </w:r>
    </w:p>
    <w:p>
      <w:pPr>
        <w:pStyle w:val="BodyText"/>
        <w:spacing w:line="223" w:lineRule="auto" w:before="20"/>
        <w:ind w:left="1313" w:right="203"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9" w:lineRule="exact"/>
        <w:ind w:left="262"/>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rPr>
          <w:sz w:val="17"/>
        </w:rPr>
      </w:pPr>
    </w:p>
    <w:p>
      <w:pPr>
        <w:pStyle w:val="BodyText"/>
        <w:spacing w:before="1"/>
        <w:ind w:left="262"/>
        <w:jc w:val="both"/>
      </w:pPr>
      <w:r>
        <w:rPr/>
        <w:t>其它任何原因导致的继发性肾上腺皮质功能减退不在保障范围内。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2"/>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54.</w:t>
      </w:r>
      <w:r>
        <w:rPr>
          <w:sz w:val="21"/>
        </w:rPr>
        <w:t>重症骨髓增生异常综合征</w:t>
      </w:r>
    </w:p>
    <w:p>
      <w:pPr>
        <w:pStyle w:val="BodyText"/>
        <w:spacing w:line="237" w:lineRule="auto" w:before="46"/>
        <w:ind w:left="262" w:right="206"/>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BodyText"/>
        <w:spacing w:line="280" w:lineRule="exact"/>
        <w:ind w:left="262"/>
        <w:jc w:val="both"/>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72" w:lineRule="exact"/>
        <w:ind w:left="262"/>
        <w:jc w:val="both"/>
      </w:pPr>
      <w:r>
        <w:rPr>
          <w:spacing w:val="1"/>
          <w:w w:val="100"/>
        </w:rPr>
        <w:t>（</w:t>
      </w:r>
      <w:r>
        <w:rPr>
          <w:rFonts w:ascii="Times New Roman" w:hAnsi="Times New Roman" w:eastAsia="Times New Roman"/>
          <w:spacing w:val="1"/>
          <w:w w:val="100"/>
        </w:rPr>
        <w:t>2</w:t>
      </w:r>
      <w:r>
        <w:rPr>
          <w:spacing w:val="1"/>
          <w:w w:val="100"/>
        </w:rPr>
        <w:t>）</w:t>
      </w:r>
      <w:r>
        <w:rPr>
          <w:w w:val="100"/>
        </w:rPr>
        <w:t>根据“骨髓增生异常综合征修订国际预后积分系统</w:t>
      </w:r>
      <w:r>
        <w:rPr>
          <w:spacing w:val="1"/>
          <w:w w:val="100"/>
        </w:rPr>
        <w:t>（</w:t>
      </w:r>
      <w:r>
        <w:rPr>
          <w:rFonts w:ascii="Times New Roman" w:hAnsi="Times New Roman" w:eastAsia="Times New Roman"/>
          <w:spacing w:val="-4"/>
          <w:w w:val="100"/>
        </w:rPr>
        <w:t>I</w:t>
      </w:r>
      <w:r>
        <w:rPr>
          <w:rFonts w:ascii="Times New Roman" w:hAnsi="Times New Roman" w:eastAsia="Times New Roman"/>
          <w:w w:val="100"/>
        </w:rPr>
        <w:t>PSS</w:t>
      </w:r>
      <w:r>
        <w:rPr>
          <w:rFonts w:ascii="Times New Roman" w:hAnsi="Times New Roman" w:eastAsia="Times New Roman"/>
          <w:spacing w:val="-4"/>
          <w:w w:val="100"/>
        </w:rPr>
        <w:t>-</w:t>
      </w:r>
      <w:r>
        <w:rPr>
          <w:rFonts w:ascii="Times New Roman" w:hAnsi="Times New Roman" w:eastAsia="Times New Roman"/>
          <w:spacing w:val="2"/>
          <w:w w:val="100"/>
        </w:rPr>
        <w:t>R</w:t>
      </w:r>
      <w:r>
        <w:rPr>
          <w:spacing w:val="-104"/>
          <w:w w:val="100"/>
        </w:rPr>
        <w:t>）</w:t>
      </w:r>
      <w:r>
        <w:rPr>
          <w:spacing w:val="0"/>
          <w:w w:val="100"/>
        </w:rPr>
        <w:t>”积分</w:t>
      </w:r>
    </w:p>
    <w:p>
      <w:pPr>
        <w:pStyle w:val="BodyText"/>
        <w:spacing w:line="282" w:lineRule="exact"/>
        <w:ind w:left="262"/>
        <w:jc w:val="both"/>
      </w:pPr>
      <w:r>
        <w:rPr/>
        <w:t>≥</w:t>
      </w:r>
      <w:r>
        <w:rPr>
          <w:rFonts w:ascii="Times New Roman" w:hAnsi="Times New Roman" w:eastAsia="Times New Roman"/>
        </w:rPr>
        <w:t>3</w:t>
      </w:r>
      <w:r>
        <w:rPr/>
        <w:t>，属于中危及以上组。</w:t>
      </w:r>
    </w:p>
    <w:p>
      <w:pPr>
        <w:spacing w:after="0" w:line="282" w:lineRule="exact"/>
        <w:jc w:val="both"/>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55.</w:t>
      </w:r>
      <w:r>
        <w:rPr>
          <w:sz w:val="21"/>
        </w:rPr>
        <w:t>自体造血干细胞移植</w:t>
      </w:r>
    </w:p>
    <w:p>
      <w:pPr>
        <w:pStyle w:val="BodyText"/>
        <w:spacing w:before="43"/>
        <w:ind w:left="262" w:right="206"/>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pStyle w:val="BodyText"/>
        <w:tabs>
          <w:tab w:pos="2205" w:val="left" w:leader="none"/>
        </w:tabs>
        <w:spacing w:line="223" w:lineRule="auto" w:before="65"/>
        <w:ind w:left="2205" w:right="206" w:hanging="1620"/>
      </w:pPr>
      <w:r>
        <w:rPr>
          <w:rFonts w:ascii="Times New Roman" w:eastAsia="Times New Roman"/>
          <w:b/>
        </w:rPr>
        <w:t>56.</w:t>
      </w:r>
      <w:r>
        <w:rPr/>
        <w:t>小肠移植</w:t>
        <w:tab/>
        <w:t>指因肠道疾病或外伤，已经实施了在全身麻醉下进行的小肠的异体器官移 植手</w:t>
      </w:r>
      <w:r>
        <w:rPr>
          <w:spacing w:val="-3"/>
        </w:rPr>
        <w:t>术</w:t>
      </w:r>
      <w:r>
        <w:rPr/>
        <w:t>。</w:t>
      </w:r>
      <w:r>
        <w:rPr>
          <w:spacing w:val="-3"/>
        </w:rPr>
        <w:t>此</w:t>
      </w:r>
      <w:r>
        <w:rPr/>
        <w:t>手</w:t>
      </w:r>
      <w:r>
        <w:rPr>
          <w:spacing w:val="-3"/>
        </w:rPr>
        <w:t>术</w:t>
      </w:r>
      <w:r>
        <w:rPr/>
        <w:t>必</w:t>
      </w:r>
      <w:r>
        <w:rPr>
          <w:spacing w:val="-3"/>
        </w:rPr>
        <w:t>须</w:t>
      </w:r>
      <w:r>
        <w:rPr/>
        <w:t>由</w:t>
      </w:r>
      <w:r>
        <w:rPr>
          <w:spacing w:val="-3"/>
        </w:rPr>
        <w:t>专</w:t>
      </w:r>
      <w:r>
        <w:rPr/>
        <w:t>科医</w:t>
      </w:r>
      <w:r>
        <w:rPr>
          <w:spacing w:val="-3"/>
        </w:rPr>
        <w:t>生</w:t>
      </w:r>
      <w:r>
        <w:rPr/>
        <w:t>认</w:t>
      </w:r>
      <w:r>
        <w:rPr>
          <w:spacing w:val="-3"/>
        </w:rPr>
        <w:t>为</w:t>
      </w:r>
      <w:r>
        <w:rPr/>
        <w:t>是</w:t>
      </w:r>
      <w:r>
        <w:rPr>
          <w:spacing w:val="-3"/>
        </w:rPr>
        <w:t>医</w:t>
      </w:r>
      <w:r>
        <w:rPr/>
        <w:t>学</w:t>
      </w:r>
      <w:r>
        <w:rPr>
          <w:spacing w:val="-3"/>
        </w:rPr>
        <w:t>上</w:t>
      </w:r>
      <w:r>
        <w:rPr/>
        <w:t>必</w:t>
      </w:r>
      <w:r>
        <w:rPr>
          <w:spacing w:val="-3"/>
        </w:rPr>
        <w:t>需</w:t>
      </w:r>
      <w:r>
        <w:rPr/>
        <w:t>的情</w:t>
      </w:r>
      <w:r>
        <w:rPr>
          <w:spacing w:val="-3"/>
        </w:rPr>
        <w:t>况</w:t>
      </w:r>
      <w:r>
        <w:rPr/>
        <w:t>下</w:t>
      </w:r>
      <w:r>
        <w:rPr>
          <w:spacing w:val="-3"/>
        </w:rPr>
        <w:t>进</w:t>
      </w:r>
      <w:r>
        <w:rPr/>
        <w:t>行。</w:t>
      </w:r>
    </w:p>
    <w:p>
      <w:pPr>
        <w:spacing w:after="0" w:line="223" w:lineRule="auto"/>
        <w:sectPr>
          <w:type w:val="continuous"/>
          <w:pgSz w:w="11900" w:h="16840"/>
          <w:pgMar w:top="1220" w:bottom="280" w:left="1680" w:right="1000"/>
        </w:sectPr>
      </w:pPr>
    </w:p>
    <w:p>
      <w:pPr>
        <w:spacing w:line="225" w:lineRule="auto" w:before="44"/>
        <w:ind w:left="587" w:right="0" w:hanging="3"/>
        <w:jc w:val="left"/>
        <w:rPr>
          <w:sz w:val="21"/>
        </w:rPr>
      </w:pPr>
      <w:r>
        <w:rPr>
          <w:rFonts w:ascii="Times New Roman" w:eastAsia="Times New Roman"/>
          <w:b/>
          <w:sz w:val="21"/>
        </w:rPr>
        <w:t>57.</w:t>
      </w:r>
      <w:r>
        <w:rPr>
          <w:sz w:val="21"/>
        </w:rPr>
        <w:t>肺泡蛋白质沉积症</w:t>
      </w:r>
    </w:p>
    <w:p>
      <w:pPr>
        <w:pStyle w:val="BodyText"/>
        <w:spacing w:line="225" w:lineRule="auto" w:before="41"/>
        <w:ind w:left="262" w:right="100"/>
        <w:jc w:val="both"/>
      </w:pPr>
      <w:r>
        <w:rPr/>
        <w:br w:type="column"/>
      </w:r>
      <w:r>
        <w:rPr>
          <w:spacing w:val="-4"/>
        </w:rPr>
        <w:t>指肺泡和细支气管腔内充满不可溶性富磷脂蛋白的疾病，胸部 </w:t>
      </w:r>
      <w:r>
        <w:rPr>
          <w:rFonts w:ascii="Times New Roman" w:eastAsia="Times New Roman"/>
        </w:rPr>
        <w:t>X </w:t>
      </w:r>
      <w:r>
        <w:rPr>
          <w:spacing w:val="-3"/>
        </w:rPr>
        <w:t>线呈双肺</w:t>
      </w:r>
      <w:r>
        <w:rPr>
          <w:spacing w:val="-7"/>
        </w:rPr>
        <w:t>弥漫性肺部磨玻璃影，病理学检查肺泡内充满有过碘酸雪夫</w:t>
      </w:r>
      <w:r>
        <w:rPr>
          <w:spacing w:val="-11"/>
        </w:rPr>
        <w:t>（</w:t>
      </w:r>
      <w:r>
        <w:rPr>
          <w:rFonts w:ascii="Times New Roman" w:eastAsia="Times New Roman"/>
          <w:spacing w:val="-11"/>
        </w:rPr>
        <w:t>PAS</w:t>
      </w:r>
      <w:r>
        <w:rPr>
          <w:spacing w:val="-11"/>
        </w:rPr>
        <w:t>）</w:t>
      </w:r>
      <w:r>
        <w:rPr>
          <w:spacing w:val="-2"/>
        </w:rPr>
        <w:t>染色阳</w:t>
      </w:r>
      <w:r>
        <w:rPr>
          <w:spacing w:val="-6"/>
        </w:rPr>
        <w:t>性的蛋白样物质，本病必须由专科医生确诊，并且已经接受了肺灌洗治疗。</w:t>
      </w:r>
    </w:p>
    <w:p>
      <w:pPr>
        <w:spacing w:after="0" w:line="225" w:lineRule="auto"/>
        <w:jc w:val="both"/>
        <w:sectPr>
          <w:pgSz w:w="11900" w:h="16840"/>
          <w:pgMar w:top="1240" w:bottom="280" w:left="1680" w:right="1000"/>
          <w:cols w:num="2" w:equalWidth="0">
            <w:col w:w="1904" w:space="40"/>
            <w:col w:w="7276"/>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58.</w:t>
      </w:r>
      <w:r>
        <w:rPr>
          <w:sz w:val="21"/>
        </w:rPr>
        <w:t>肺淋巴管肌瘤病</w:t>
      </w:r>
    </w:p>
    <w:p>
      <w:pPr>
        <w:pStyle w:val="BodyText"/>
        <w:spacing w:line="237" w:lineRule="auto" w:before="46"/>
        <w:ind w:left="262" w:right="98"/>
        <w:jc w:val="both"/>
      </w:pPr>
      <w:r>
        <w:rPr/>
        <w:br w:type="column"/>
      </w:r>
      <w:r>
        <w:rPr>
          <w:spacing w:val="-5"/>
        </w:rPr>
        <w:t>肺淋巴管肌瘤病是一种弥漫性肺部疾病，主要病理改变为肺间质、支气管、血管和淋巴管内出现未成熟的平滑肌异常增生，本病必须由专科医生确诊， </w:t>
      </w:r>
      <w:r>
        <w:rPr>
          <w:spacing w:val="-4"/>
        </w:rPr>
        <w:t>并且同时须满足下列全部条件：</w:t>
      </w:r>
    </w:p>
    <w:p>
      <w:pPr>
        <w:pStyle w:val="BodyText"/>
        <w:spacing w:line="281" w:lineRule="exact"/>
        <w:ind w:left="262"/>
        <w:jc w:val="both"/>
      </w:pPr>
      <w:r>
        <w:rPr/>
        <w:t>（</w:t>
      </w:r>
      <w:r>
        <w:rPr>
          <w:rFonts w:ascii="Times New Roman" w:eastAsia="Times New Roman"/>
        </w:rPr>
        <w:t>1</w:t>
      </w:r>
      <w:r>
        <w:rPr/>
        <w:t>）经组织病理学诊断；</w:t>
      </w:r>
    </w:p>
    <w:p>
      <w:pPr>
        <w:pStyle w:val="BodyText"/>
        <w:spacing w:line="272" w:lineRule="exact"/>
        <w:ind w:left="262"/>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1" w:lineRule="exact"/>
        <w:ind w:left="262"/>
        <w:jc w:val="both"/>
      </w:pPr>
      <w:r>
        <w:rPr/>
        <w:t>（</w:t>
      </w:r>
      <w:r>
        <w:rPr>
          <w:rFonts w:ascii="Times New Roman" w:eastAsia="Times New Roman"/>
        </w:rPr>
        <w:t>3</w:t>
      </w:r>
      <w:r>
        <w:rPr/>
        <w:t>）血气分析提示低氧血症。</w:t>
      </w:r>
    </w:p>
    <w:p>
      <w:pPr>
        <w:spacing w:after="0" w:line="281" w:lineRule="exact"/>
        <w:jc w:val="both"/>
        <w:sectPr>
          <w:type w:val="continuous"/>
          <w:pgSz w:w="11900" w:h="16840"/>
          <w:pgMar w:top="1220" w:bottom="280" w:left="1680" w:right="1000"/>
          <w:cols w:num="2" w:equalWidth="0">
            <w:col w:w="1904" w:space="40"/>
            <w:col w:w="7276"/>
          </w:cols>
        </w:sectPr>
      </w:pPr>
    </w:p>
    <w:p>
      <w:pPr>
        <w:pStyle w:val="BodyText"/>
        <w:spacing w:before="12"/>
        <w:rPr>
          <w:sz w:val="13"/>
        </w:rPr>
      </w:pPr>
    </w:p>
    <w:p>
      <w:pPr>
        <w:pStyle w:val="BodyText"/>
        <w:tabs>
          <w:tab w:pos="2205" w:val="left" w:leader="none"/>
        </w:tabs>
        <w:spacing w:line="220" w:lineRule="auto" w:before="68"/>
        <w:ind w:left="2205" w:right="206" w:hanging="1620"/>
      </w:pPr>
      <w:r>
        <w:rPr>
          <w:rFonts w:ascii="Times New Roman" w:eastAsia="Times New Roman"/>
          <w:b/>
        </w:rPr>
        <w:t>59.</w:t>
      </w:r>
      <w:r>
        <w:rPr/>
        <w:t>严重心</w:t>
      </w:r>
      <w:r>
        <w:rPr>
          <w:spacing w:val="-3"/>
        </w:rPr>
        <w:t>肌</w:t>
      </w:r>
      <w:r>
        <w:rPr/>
        <w:t>炎</w:t>
        <w:tab/>
        <w:t>指被保险人因严重心肌炎性病变导致心功能损害造成持续的永久不可逆性 的心</w:t>
      </w:r>
      <w:r>
        <w:rPr>
          <w:spacing w:val="-3"/>
        </w:rPr>
        <w:t>功</w:t>
      </w:r>
      <w:r>
        <w:rPr/>
        <w:t>能</w:t>
      </w:r>
      <w:r>
        <w:rPr>
          <w:spacing w:val="-3"/>
        </w:rPr>
        <w:t>衰</w:t>
      </w:r>
      <w:r>
        <w:rPr/>
        <w:t>竭</w:t>
      </w:r>
      <w:r>
        <w:rPr>
          <w:spacing w:val="-3"/>
        </w:rPr>
        <w:t>。</w:t>
      </w:r>
      <w:r>
        <w:rPr/>
        <w:t>必</w:t>
      </w:r>
      <w:r>
        <w:rPr>
          <w:spacing w:val="-3"/>
        </w:rPr>
        <w:t>须</w:t>
      </w:r>
      <w:r>
        <w:rPr/>
        <w:t>满</w:t>
      </w:r>
      <w:r>
        <w:rPr>
          <w:spacing w:val="-3"/>
        </w:rPr>
        <w:t>足</w:t>
      </w:r>
      <w:r>
        <w:rPr/>
        <w:t>所有</w:t>
      </w:r>
      <w:r>
        <w:rPr>
          <w:spacing w:val="-3"/>
        </w:rPr>
        <w:t>以</w:t>
      </w:r>
      <w:r>
        <w:rPr/>
        <w:t>下</w:t>
      </w:r>
      <w:r>
        <w:rPr>
          <w:spacing w:val="-3"/>
        </w:rPr>
        <w:t>条</w:t>
      </w:r>
      <w:r>
        <w:rPr/>
        <w:t>件：</w:t>
      </w:r>
    </w:p>
    <w:p>
      <w:pPr>
        <w:pStyle w:val="BodyText"/>
        <w:spacing w:line="225" w:lineRule="auto" w:before="15"/>
        <w:ind w:left="2205" w:right="157" w:hanging="1"/>
      </w:pPr>
      <w:r>
        <w:rPr/>
        <w:t>（</w:t>
      </w:r>
      <w:r>
        <w:rPr>
          <w:rFonts w:ascii="Times New Roman" w:hAnsi="Times New Roman" w:eastAsia="Times New Roman"/>
        </w:rPr>
        <w:t>1</w:t>
      </w:r>
      <w:r>
        <w:rPr/>
        <w:t>）心功能衰竭程度达到美国纽约心脏病学会心功能状态分级Ⅳ级，或左室射血分数低于 </w:t>
      </w:r>
      <w:r>
        <w:rPr>
          <w:rFonts w:ascii="Times New Roman" w:hAnsi="Times New Roman" w:eastAsia="Times New Roman"/>
        </w:rPr>
        <w:t>30%</w:t>
      </w:r>
      <w:r>
        <w:rPr/>
        <w:t>；</w:t>
      </w:r>
    </w:p>
    <w:p>
      <w:pPr>
        <w:pStyle w:val="BodyText"/>
        <w:spacing w:line="264" w:lineRule="exact"/>
        <w:ind w:left="2205"/>
      </w:pPr>
      <w:r>
        <w:rPr/>
        <w:t>（</w:t>
      </w:r>
      <w:r>
        <w:rPr>
          <w:rFonts w:ascii="Times New Roman" w:eastAsia="Times New Roman"/>
        </w:rPr>
        <w:t>2</w:t>
      </w:r>
      <w:r>
        <w:rPr/>
        <w:t>）上述情况持续不间断 </w:t>
      </w:r>
      <w:r>
        <w:rPr>
          <w:rFonts w:ascii="Times New Roman" w:eastAsia="Times New Roman"/>
        </w:rPr>
        <w:t>180 </w:t>
      </w:r>
      <w:r>
        <w:rPr/>
        <w:t>天以上；</w:t>
      </w:r>
    </w:p>
    <w:p>
      <w:pPr>
        <w:pStyle w:val="BodyText"/>
        <w:spacing w:line="225" w:lineRule="auto" w:before="8"/>
        <w:ind w:left="2205" w:right="100"/>
      </w:pPr>
      <w:r>
        <w:rPr>
          <w:spacing w:val="-22"/>
        </w:rPr>
        <w:t>（</w:t>
      </w:r>
      <w:r>
        <w:rPr>
          <w:rFonts w:ascii="Times New Roman" w:eastAsia="Times New Roman"/>
          <w:spacing w:val="-22"/>
        </w:rPr>
        <w:t>3</w:t>
      </w:r>
      <w:r>
        <w:rPr>
          <w:spacing w:val="-22"/>
        </w:rPr>
        <w:t>）</w:t>
      </w:r>
      <w:r>
        <w:rPr>
          <w:spacing w:val="-7"/>
        </w:rPr>
        <w:t>被保险人永久不可逆性的体力活动能力受限，不能从事任何体力活动， </w:t>
      </w:r>
      <w:r>
        <w:rPr>
          <w:spacing w:val="-5"/>
        </w:rPr>
        <w:t>且休息时仍有心悸、呼吸困难等心力衰竭表现。</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60.</w:t>
      </w:r>
      <w:r>
        <w:rPr>
          <w:sz w:val="21"/>
        </w:rPr>
        <w:t>严重肺源性心脏病</w:t>
      </w:r>
    </w:p>
    <w:p>
      <w:pPr>
        <w:pStyle w:val="BodyText"/>
        <w:spacing w:line="237" w:lineRule="auto" w:before="46"/>
        <w:ind w:left="262" w:right="98"/>
      </w:pPr>
      <w:r>
        <w:rPr/>
        <w:br w:type="column"/>
      </w:r>
      <w:r>
        <w:rPr/>
        <w:t>指由于各种胸肺及支气管病变而导致继发性肺动脉压力持续增高，导致右心室肥厚，已经造成永久不可逆性的体力活动能力受限，达到美国纽约心脏病学会心功能状态分级Ⅳ级，且满足以下全部条件：有医院的医疗记录</w:t>
      </w:r>
      <w:r>
        <w:rPr>
          <w:spacing w:val="-5"/>
        </w:rPr>
        <w:t>显示病人不能进行任何活动，休息时仍有心悸、呼吸困难等心力衰竭表现。本病必须由呼吸科或者心脏专科的专科医生确诊，并且心导管检查显示静</w:t>
      </w:r>
      <w:r>
        <w:rPr>
          <w:spacing w:val="-7"/>
        </w:rPr>
        <w:t>息状态下肺动脉平均压超过 </w:t>
      </w:r>
      <w:r>
        <w:rPr>
          <w:rFonts w:ascii="Times New Roman" w:hAnsi="Times New Roman" w:eastAsia="Times New Roman"/>
        </w:rPr>
        <w:t>40mmHg</w:t>
      </w:r>
      <w:r>
        <w:rPr/>
        <w:t>。</w:t>
      </w:r>
    </w:p>
    <w:p>
      <w:pPr>
        <w:pStyle w:val="BodyText"/>
        <w:rPr>
          <w:sz w:val="17"/>
        </w:rPr>
      </w:pPr>
    </w:p>
    <w:p>
      <w:pPr>
        <w:pStyle w:val="BodyText"/>
        <w:ind w:left="262" w:right="206"/>
      </w:pPr>
      <w:r>
        <w:rPr/>
        <w:t>所有原发性肺动脉高压不在保障范围内。所有先天性心脏疾病直接或间接引起的肺动脉高压也不在保障范围内。</w:t>
      </w:r>
    </w:p>
    <w:p>
      <w:pPr>
        <w:spacing w:after="0"/>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61.</w:t>
      </w:r>
      <w:r>
        <w:rPr>
          <w:sz w:val="21"/>
        </w:rPr>
        <w:t>夹层主动脉瘤</w:t>
      </w:r>
    </w:p>
    <w:p>
      <w:pPr>
        <w:pStyle w:val="BodyText"/>
        <w:spacing w:line="230" w:lineRule="auto" w:before="54"/>
        <w:ind w:left="262" w:right="206"/>
        <w:jc w:val="both"/>
      </w:pPr>
      <w:r>
        <w:rPr/>
        <w:br w:type="column"/>
      </w:r>
      <w:r>
        <w:rPr/>
        <w:t>指主动脉腔内的血流通过主动脉内膜的破裂口进入主动脉内壁而形成血肿。被保险人需通过断层扫描（</w:t>
      </w:r>
      <w:r>
        <w:rPr>
          <w:rFonts w:ascii="Times New Roman" w:eastAsia="Times New Roman"/>
        </w:rPr>
        <w:t>CT</w:t>
      </w:r>
      <w:r>
        <w:rPr/>
        <w:t>）、核磁共振检查（</w:t>
      </w:r>
      <w:r>
        <w:rPr>
          <w:rFonts w:ascii="Times New Roman" w:eastAsia="Times New Roman"/>
        </w:rPr>
        <w:t>MRI</w:t>
      </w:r>
      <w:r>
        <w:rPr/>
        <w:t>）、磁共振血管检验法（</w:t>
      </w:r>
      <w:r>
        <w:rPr>
          <w:rFonts w:ascii="Times New Roman" w:eastAsia="Times New Roman"/>
        </w:rPr>
        <w:t>MRA</w:t>
      </w:r>
      <w:r>
        <w:rPr/>
        <w:t>）或血管扫描等检查，由专科医生确诊，并且已经实施了胸腹切开的直视主动脉手术。</w:t>
      </w:r>
    </w:p>
    <w:p>
      <w:pPr>
        <w:spacing w:after="0" w:line="230" w:lineRule="auto"/>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62.</w:t>
      </w:r>
      <w:r>
        <w:rPr>
          <w:sz w:val="21"/>
        </w:rPr>
        <w:t>严重慢性缩窄型心包炎</w:t>
      </w:r>
    </w:p>
    <w:p>
      <w:pPr>
        <w:pStyle w:val="BodyText"/>
        <w:spacing w:line="237" w:lineRule="auto" w:before="46"/>
        <w:ind w:left="262" w:right="206"/>
        <w:jc w:val="both"/>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32" w:lineRule="auto" w:before="7"/>
        <w:ind w:left="262" w:right="203"/>
        <w:jc w:val="both"/>
      </w:pPr>
      <w:r>
        <w:rPr>
          <w:spacing w:val="-5"/>
        </w:rPr>
        <w:t>（</w:t>
      </w:r>
      <w:r>
        <w:rPr>
          <w:rFonts w:ascii="Times New Roman" w:hAnsi="Times New Roman" w:eastAsia="Times New Roman"/>
          <w:spacing w:val="-5"/>
        </w:rPr>
        <w:t>1</w:t>
      </w:r>
      <w:r>
        <w:rPr>
          <w:spacing w:val="-5"/>
        </w:rPr>
        <w:t>）</w:t>
      </w:r>
      <w:r>
        <w:rPr>
          <w:spacing w:val="-4"/>
        </w:rPr>
        <w:t>心功能衰竭达到美国纽约心脏病学会心功能状态分级Ⅳ级，且满足以下全部条件：有医院的医疗记录显示病人不能进行任何活动，休息时仍有</w:t>
      </w:r>
      <w:r>
        <w:rPr>
          <w:spacing w:val="-5"/>
        </w:rPr>
        <w:t>心悸、呼吸困难等心力衰竭表现，并持续 </w:t>
      </w:r>
      <w:r>
        <w:rPr>
          <w:rFonts w:ascii="Times New Roman" w:hAnsi="Times New Roman" w:eastAsia="Times New Roman"/>
        </w:rPr>
        <w:t>180 </w:t>
      </w:r>
      <w:r>
        <w:rPr>
          <w:spacing w:val="-2"/>
        </w:rPr>
        <w:t>天以上；</w:t>
      </w:r>
    </w:p>
    <w:p>
      <w:pPr>
        <w:pStyle w:val="BodyText"/>
        <w:spacing w:line="225" w:lineRule="auto"/>
        <w:ind w:left="262" w:right="203"/>
        <w:jc w:val="both"/>
      </w:pPr>
      <w:r>
        <w:rPr>
          <w:spacing w:val="-5"/>
        </w:rPr>
        <w:t>（</w:t>
      </w:r>
      <w:r>
        <w:rPr>
          <w:rFonts w:ascii="Times New Roman" w:eastAsia="Times New Roman"/>
          <w:spacing w:val="-5"/>
        </w:rPr>
        <w:t>2</w:t>
      </w:r>
      <w:r>
        <w:rPr>
          <w:spacing w:val="-5"/>
        </w:rPr>
        <w:t>）</w:t>
      </w:r>
      <w:r>
        <w:rPr>
          <w:spacing w:val="-4"/>
        </w:rPr>
        <w:t>实际接受了以下任何一种手术路径的心包剥脱或心包切除手术：胸骨</w:t>
      </w:r>
      <w:r>
        <w:rPr>
          <w:spacing w:val="-3"/>
        </w:rPr>
        <w:t>正中切口、双侧前胸切口或左前胸肋间切口。</w:t>
      </w:r>
    </w:p>
    <w:p>
      <w:pPr>
        <w:pStyle w:val="BodyText"/>
        <w:spacing w:before="5"/>
        <w:rPr>
          <w:sz w:val="18"/>
        </w:rPr>
      </w:pPr>
    </w:p>
    <w:p>
      <w:pPr>
        <w:pStyle w:val="BodyText"/>
        <w:ind w:left="262"/>
        <w:jc w:val="both"/>
      </w:pPr>
      <w:r>
        <w:rPr/>
        <w:t>经胸腔镜、胸壁打孔进行的手术、心包粘连松解手术不在保障范围内。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63.</w:t>
      </w:r>
      <w:r>
        <w:rPr>
          <w:sz w:val="21"/>
        </w:rPr>
        <w:t>严重传染性心内膜炎</w:t>
      </w:r>
    </w:p>
    <w:p>
      <w:pPr>
        <w:pStyle w:val="BodyText"/>
        <w:spacing w:line="237" w:lineRule="auto" w:before="46"/>
        <w:ind w:left="262" w:right="206"/>
      </w:pPr>
      <w:r>
        <w:rPr/>
        <w:br w:type="column"/>
      </w:r>
      <w:r>
        <w:rPr/>
        <w:t>指因感染性微生物造成心脏内膜发炎，经由专科医生确诊，并符合下列所有条件:</w:t>
      </w:r>
    </w:p>
    <w:p>
      <w:pPr>
        <w:pStyle w:val="BodyText"/>
        <w:spacing w:line="281" w:lineRule="exact"/>
        <w:ind w:left="262"/>
      </w:pPr>
      <w:r>
        <w:rPr/>
        <w:t>（</w:t>
      </w:r>
      <w:r>
        <w:rPr>
          <w:rFonts w:ascii="Times New Roman" w:eastAsia="Times New Roman"/>
        </w:rPr>
        <w:t>1</w:t>
      </w:r>
      <w:r>
        <w:rPr/>
        <w:t>）以下方法之一血液培养测试结果为阳性，证实存在感染性微生物：</w:t>
      </w:r>
    </w:p>
    <w:p>
      <w:pPr>
        <w:pStyle w:val="BodyText"/>
        <w:tabs>
          <w:tab w:pos="1313" w:val="left" w:leader="none"/>
        </w:tabs>
        <w:ind w:left="1313" w:right="206" w:hanging="420"/>
      </w:pPr>
      <w:r>
        <w:rPr/>
        <w:t>①</w:t>
        <w:tab/>
        <w:t>微生物：在赘生物或心脏内脓疡经培养或组织检查证实有微生 物；</w:t>
      </w:r>
    </w:p>
    <w:p>
      <w:pPr>
        <w:pStyle w:val="BodyText"/>
        <w:tabs>
          <w:tab w:pos="1313" w:val="left" w:leader="none"/>
        </w:tabs>
        <w:spacing w:before="5"/>
        <w:ind w:left="1313" w:right="206" w:hanging="420"/>
      </w:pPr>
      <w:r>
        <w:rPr/>
        <w:t>②</w:t>
        <w:tab/>
        <w:t>病理性病灶：组织检查证实赘生物或心脏内脓疡有活动性心内 膜炎；</w:t>
      </w:r>
    </w:p>
    <w:p>
      <w:pPr>
        <w:spacing w:after="0"/>
        <w:sectPr>
          <w:type w:val="continuous"/>
          <w:pgSz w:w="11900" w:h="16840"/>
          <w:pgMar w:top="1220" w:bottom="280" w:left="1680" w:right="1000"/>
          <w:cols w:num="2" w:equalWidth="0">
            <w:col w:w="1904" w:space="40"/>
            <w:col w:w="7276"/>
          </w:cols>
        </w:sectPr>
      </w:pPr>
    </w:p>
    <w:p>
      <w:pPr>
        <w:pStyle w:val="BodyText"/>
        <w:tabs>
          <w:tab w:pos="3256" w:val="left" w:leader="none"/>
        </w:tabs>
        <w:spacing w:line="274" w:lineRule="exact" w:before="24"/>
        <w:ind w:left="2836"/>
      </w:pPr>
      <w:r>
        <w:rPr/>
        <w:t>③</w:t>
        <w:tab/>
      </w:r>
      <w:r>
        <w:rPr>
          <w:spacing w:val="-3"/>
        </w:rPr>
        <w:t>分别两次血液培养证实有微生物，且与心内膜炎符合；</w:t>
      </w:r>
    </w:p>
    <w:p>
      <w:pPr>
        <w:pStyle w:val="BodyText"/>
        <w:spacing w:line="230" w:lineRule="auto" w:before="10"/>
        <w:ind w:left="2205" w:right="203"/>
        <w:jc w:val="both"/>
      </w:pPr>
      <w:r>
        <w:rPr>
          <w:spacing w:val="-5"/>
        </w:rPr>
        <w:t>（</w:t>
      </w:r>
      <w:r>
        <w:rPr>
          <w:rFonts w:ascii="Times New Roman" w:hAnsi="Times New Roman" w:eastAsia="Times New Roman"/>
          <w:spacing w:val="-5"/>
        </w:rPr>
        <w:t>2</w:t>
      </w:r>
      <w:r>
        <w:rPr>
          <w:spacing w:val="-5"/>
        </w:rPr>
        <w:t>）</w:t>
      </w:r>
      <w:r>
        <w:rPr>
          <w:spacing w:val="-4"/>
        </w:rPr>
        <w:t>心功能衰竭程度达到美国纽约心脏病学会心功能状态分级Ⅳ级，且满足以下全部条件：有医院的医疗记录显示病人不能进行任何活动，休息时</w:t>
      </w:r>
      <w:r>
        <w:rPr>
          <w:spacing w:val="-3"/>
        </w:rPr>
        <w:t>仍有心悸、呼吸困难等心力衰竭表现。</w:t>
      </w:r>
    </w:p>
    <w:p>
      <w:pPr>
        <w:pStyle w:val="BodyText"/>
        <w:spacing w:before="11"/>
        <w:rPr>
          <w:sz w:val="14"/>
        </w:rPr>
      </w:pPr>
    </w:p>
    <w:p>
      <w:pPr>
        <w:spacing w:after="0"/>
        <w:rPr>
          <w:sz w:val="14"/>
        </w:rPr>
        <w:sectPr>
          <w:pgSz w:w="11900" w:h="16840"/>
          <w:pgMar w:top="1240" w:bottom="280" w:left="1680" w:right="1000"/>
        </w:sectPr>
      </w:pPr>
    </w:p>
    <w:p>
      <w:pPr>
        <w:spacing w:line="225" w:lineRule="auto" w:before="63"/>
        <w:ind w:left="587" w:right="0" w:hanging="3"/>
        <w:jc w:val="left"/>
        <w:rPr>
          <w:sz w:val="21"/>
        </w:rPr>
      </w:pPr>
      <w:r>
        <w:rPr>
          <w:rFonts w:ascii="Times New Roman" w:eastAsia="Times New Roman"/>
          <w:b/>
          <w:sz w:val="21"/>
        </w:rPr>
        <w:t>64.</w:t>
      </w:r>
      <w:r>
        <w:rPr>
          <w:sz w:val="21"/>
        </w:rPr>
        <w:t>严重肠道疾病并发症</w:t>
      </w:r>
    </w:p>
    <w:p>
      <w:pPr>
        <w:pStyle w:val="BodyText"/>
        <w:spacing w:line="274" w:lineRule="exact" w:before="44"/>
        <w:ind w:left="262"/>
      </w:pPr>
      <w:r>
        <w:rPr/>
        <w:br w:type="column"/>
      </w:r>
      <w:r>
        <w:rPr/>
        <w:t>因严重肠道疾病或外伤导致小肠损害，并且必须同时满足以下所有条件：</w:t>
      </w:r>
    </w:p>
    <w:p>
      <w:pPr>
        <w:pStyle w:val="BodyText"/>
        <w:spacing w:line="282" w:lineRule="exact"/>
        <w:ind w:left="262"/>
      </w:pPr>
      <w:r>
        <w:rPr/>
        <w:t>（</w:t>
      </w:r>
      <w:r>
        <w:rPr>
          <w:rFonts w:ascii="Times New Roman" w:eastAsia="Times New Roman"/>
        </w:rPr>
        <w:t>1</w:t>
      </w:r>
      <w:r>
        <w:rPr/>
        <w:t>）至少切除了三分之二长度的小肠；</w:t>
      </w:r>
    </w:p>
    <w:p>
      <w:pPr>
        <w:pStyle w:val="BodyText"/>
        <w:spacing w:line="282" w:lineRule="exact"/>
        <w:ind w:left="262"/>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65.</w:t>
      </w:r>
      <w:r>
        <w:rPr>
          <w:sz w:val="21"/>
        </w:rPr>
        <w:t>严重自身免疫性肝炎</w:t>
      </w:r>
    </w:p>
    <w:p>
      <w:pPr>
        <w:pStyle w:val="BodyText"/>
        <w:spacing w:before="44"/>
        <w:ind w:left="262" w:right="206"/>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79" w:lineRule="exact"/>
        <w:ind w:left="262"/>
      </w:pPr>
      <w:r>
        <w:rPr/>
        <w:t>（</w:t>
      </w:r>
      <w:r>
        <w:rPr>
          <w:rFonts w:ascii="Times New Roman" w:hAnsi="Times New Roman" w:eastAsia="Times New Roman"/>
        </w:rPr>
        <w:t>1</w:t>
      </w:r>
      <w:r>
        <w:rPr/>
        <w:t>）高γ球蛋白血症；</w:t>
      </w:r>
    </w:p>
    <w:p>
      <w:pPr>
        <w:pStyle w:val="BodyText"/>
        <w:spacing w:line="225" w:lineRule="auto" w:before="8"/>
        <w:ind w:left="262" w:right="206"/>
        <w:jc w:val="both"/>
      </w:pPr>
      <w:r>
        <w:rPr>
          <w:spacing w:val="1"/>
          <w:w w:val="100"/>
        </w:rPr>
        <w:t>（</w:t>
      </w:r>
      <w:r>
        <w:rPr>
          <w:rFonts w:ascii="Times New Roman" w:eastAsia="Times New Roman"/>
          <w:w w:val="100"/>
        </w:rPr>
        <w:t>2</w:t>
      </w:r>
      <w:r>
        <w:rPr>
          <w:w w:val="100"/>
        </w:rPr>
        <w:t>）血液中存在高水平的自身免疫抗体，如抗核抗体</w:t>
      </w:r>
      <w:r>
        <w:rPr>
          <w:spacing w:val="1"/>
          <w:w w:val="100"/>
        </w:rPr>
        <w:t>（</w:t>
      </w:r>
      <w:r>
        <w:rPr>
          <w:rFonts w:ascii="Times New Roman" w:eastAsia="Times New Roman"/>
          <w:spacing w:val="-2"/>
          <w:w w:val="100"/>
        </w:rPr>
        <w:t>AN</w:t>
      </w:r>
      <w:r>
        <w:rPr>
          <w:rFonts w:ascii="Times New Roman" w:eastAsia="Times New Roman"/>
          <w:spacing w:val="0"/>
          <w:w w:val="100"/>
        </w:rPr>
        <w:t>A</w:t>
      </w:r>
      <w:r>
        <w:rPr>
          <w:spacing w:val="-106"/>
          <w:w w:val="100"/>
        </w:rPr>
        <w:t>）</w:t>
      </w:r>
      <w:r>
        <w:rPr>
          <w:w w:val="100"/>
        </w:rPr>
        <w:t>、抗平滑肌抗体</w:t>
      </w:r>
      <w:r>
        <w:rPr>
          <w:spacing w:val="-3"/>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3"/>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spacing w:val="6"/>
        </w:rPr>
        <w:t> </w:t>
      </w:r>
      <w:r>
        <w:rPr>
          <w:w w:val="100"/>
        </w:rPr>
        <w:t>抗体</w:t>
      </w:r>
      <w:r>
        <w:rPr>
          <w:spacing w:val="-3"/>
          <w:w w:val="100"/>
        </w:rPr>
        <w:t>（</w:t>
      </w:r>
      <w:r>
        <w:rPr>
          <w:w w:val="100"/>
        </w:rPr>
        <w:t>抗</w:t>
      </w:r>
      <w:r>
        <w:rPr>
          <w:spacing w:val="-45"/>
        </w:rPr>
        <w:t> </w:t>
      </w:r>
      <w:r>
        <w:rPr>
          <w:rFonts w:ascii="Times New Roman" w:eastAsia="Times New Roman"/>
          <w:spacing w:val="-5"/>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4"/>
          <w:w w:val="100"/>
        </w:rPr>
        <w:t>-</w:t>
      </w:r>
      <w:r>
        <w:rPr>
          <w:rFonts w:ascii="Times New Roman" w:eastAsia="Times New Roman"/>
          <w:w w:val="100"/>
        </w:rPr>
        <w:t>1</w:t>
      </w:r>
      <w:r>
        <w:rPr>
          <w:rFonts w:ascii="Times New Roman" w:eastAsia="Times New Roman"/>
          <w:spacing w:val="6"/>
        </w:rPr>
        <w:t> </w:t>
      </w:r>
      <w:r>
        <w:rPr>
          <w:w w:val="100"/>
        </w:rPr>
        <w:t>抗体）</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w:t>
      </w:r>
      <w:r>
        <w:rPr>
          <w:rFonts w:ascii="Times New Roman" w:eastAsia="Times New Roman"/>
          <w:spacing w:val="-5"/>
          <w:w w:val="100"/>
        </w:rPr>
        <w:t>L</w:t>
      </w:r>
      <w:r>
        <w:rPr>
          <w:rFonts w:ascii="Times New Roman" w:eastAsia="Times New Roman"/>
          <w:w w:val="100"/>
        </w:rPr>
        <w:t>P</w:t>
      </w:r>
      <w:r>
        <w:rPr>
          <w:rFonts w:ascii="Times New Roman" w:eastAsia="Times New Roman"/>
          <w:spacing w:val="1"/>
        </w:rPr>
        <w:t> </w:t>
      </w:r>
      <w:r>
        <w:rPr>
          <w:spacing w:val="-2"/>
          <w:w w:val="100"/>
        </w:rPr>
        <w:t>抗体</w:t>
      </w:r>
      <w:r>
        <w:rPr>
          <w:spacing w:val="-106"/>
          <w:w w:val="100"/>
        </w:rPr>
        <w:t>）</w:t>
      </w:r>
      <w:r>
        <w:rPr>
          <w:w w:val="100"/>
        </w:rPr>
        <w:t>；</w:t>
      </w:r>
    </w:p>
    <w:p>
      <w:pPr>
        <w:pStyle w:val="BodyText"/>
        <w:spacing w:line="263" w:lineRule="exact"/>
        <w:ind w:left="262"/>
        <w:jc w:val="both"/>
      </w:pPr>
      <w:r>
        <w:rPr/>
        <w:t>（</w:t>
      </w:r>
      <w:r>
        <w:rPr>
          <w:rFonts w:ascii="Times New Roman" w:eastAsia="Times New Roman"/>
        </w:rPr>
        <w:t>3</w:t>
      </w:r>
      <w:r>
        <w:rPr/>
        <w:t>）肝脏活检证实免疫性肝炎；</w:t>
      </w:r>
    </w:p>
    <w:p>
      <w:pPr>
        <w:pStyle w:val="BodyText"/>
        <w:spacing w:line="282" w:lineRule="exact"/>
        <w:ind w:left="262"/>
        <w:jc w:val="both"/>
      </w:pPr>
      <w:r>
        <w:rPr/>
        <w:t>（</w:t>
      </w:r>
      <w:r>
        <w:rPr>
          <w:rFonts w:ascii="Times New Roman" w:eastAsia="Times New Roman"/>
        </w:rPr>
        <w:t>4</w:t>
      </w:r>
      <w:r>
        <w:rPr/>
        <w:t>）临床已经出现腹水、食道静脉曲张和脾肿大等肝硬化表现。</w:t>
      </w:r>
    </w:p>
    <w:p>
      <w:pPr>
        <w:spacing w:after="0" w:line="282" w:lineRule="exact"/>
        <w:jc w:val="both"/>
        <w:sectPr>
          <w:type w:val="continuous"/>
          <w:pgSz w:w="11900" w:h="16840"/>
          <w:pgMar w:top="1220" w:bottom="280" w:left="1680" w:right="1000"/>
          <w:cols w:num="2" w:equalWidth="0">
            <w:col w:w="1904" w:space="40"/>
            <w:col w:w="7276"/>
          </w:cols>
        </w:sectPr>
      </w:pPr>
    </w:p>
    <w:p>
      <w:pPr>
        <w:pStyle w:val="BodyText"/>
        <w:spacing w:before="9"/>
        <w:rPr>
          <w:sz w:val="13"/>
        </w:rPr>
      </w:pPr>
    </w:p>
    <w:p>
      <w:pPr>
        <w:pStyle w:val="BodyText"/>
        <w:tabs>
          <w:tab w:pos="2205" w:val="left" w:leader="none"/>
        </w:tabs>
        <w:spacing w:line="223" w:lineRule="auto" w:before="65"/>
        <w:ind w:left="2205" w:right="206" w:hanging="1620"/>
      </w:pPr>
      <w:r>
        <w:rPr>
          <w:rFonts w:ascii="Times New Roman" w:eastAsia="Times New Roman"/>
          <w:b/>
        </w:rPr>
        <w:t>66.</w:t>
      </w:r>
      <w:r>
        <w:rPr/>
        <w:t>颅脑手术</w:t>
        <w:tab/>
        <w:t>被保险人已实施全麻下的开颅手术（不包括颅骨钻孔手术和经鼻蝶窦入颅 手术</w:t>
      </w:r>
      <w:r>
        <w:rPr>
          <w:spacing w:val="-108"/>
        </w:rPr>
        <w:t>）</w:t>
      </w:r>
      <w:r>
        <w:rPr/>
        <w:t>。</w:t>
      </w:r>
    </w:p>
    <w:p>
      <w:pPr>
        <w:pStyle w:val="BodyText"/>
        <w:spacing w:before="2"/>
        <w:rPr>
          <w:sz w:val="18"/>
        </w:rPr>
      </w:pPr>
    </w:p>
    <w:p>
      <w:pPr>
        <w:pStyle w:val="BodyText"/>
        <w:ind w:left="2205" w:right="206"/>
      </w:pPr>
      <w:r>
        <w:rPr/>
        <w:t>因外伤而实施的脑外科手术不在保障范围内。理赔时必须提供由神经外科专科医生出具的诊断书及手术报告。</w:t>
      </w: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67.</w:t>
      </w:r>
      <w:r>
        <w:rPr>
          <w:sz w:val="21"/>
        </w:rPr>
        <w:t>进行性核上性麻痹</w:t>
      </w:r>
    </w:p>
    <w:p>
      <w:pPr>
        <w:pStyle w:val="BodyText"/>
        <w:spacing w:line="237" w:lineRule="auto" w:before="46"/>
        <w:ind w:left="262" w:right="206"/>
      </w:pPr>
      <w:r>
        <w:rPr/>
        <w:br w:type="column"/>
      </w:r>
      <w:r>
        <w:rPr/>
        <w:t>指一种隐袭起病、逐渐加重的神经系统变性疾病，必须由神经内科专科医生确诊，且满足下列全部临床特征：</w:t>
      </w:r>
    </w:p>
    <w:p>
      <w:pPr>
        <w:pStyle w:val="BodyText"/>
        <w:spacing w:line="281" w:lineRule="exact"/>
        <w:ind w:left="262"/>
      </w:pPr>
      <w:r>
        <w:rPr/>
        <w:t>（</w:t>
      </w:r>
      <w:r>
        <w:rPr>
          <w:rFonts w:ascii="Times New Roman" w:eastAsia="Times New Roman"/>
        </w:rPr>
        <w:t>1</w:t>
      </w:r>
      <w:r>
        <w:rPr/>
        <w:t>）步态共济失调；</w:t>
      </w:r>
    </w:p>
    <w:p>
      <w:pPr>
        <w:pStyle w:val="BodyText"/>
        <w:spacing w:line="272" w:lineRule="exact"/>
        <w:ind w:left="262"/>
      </w:pPr>
      <w:r>
        <w:rPr/>
        <w:t>（</w:t>
      </w:r>
      <w:r>
        <w:rPr>
          <w:rFonts w:ascii="Times New Roman" w:eastAsia="Times New Roman"/>
        </w:rPr>
        <w:t>2</w:t>
      </w:r>
      <w:r>
        <w:rPr/>
        <w:t>）对称性眼球垂直运动障碍；</w:t>
      </w:r>
    </w:p>
    <w:p>
      <w:pPr>
        <w:pStyle w:val="BodyText"/>
        <w:spacing w:line="281" w:lineRule="exact"/>
        <w:ind w:left="262"/>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1" w:lineRule="exact"/>
        <w:sectPr>
          <w:type w:val="continuous"/>
          <w:pgSz w:w="11900" w:h="16840"/>
          <w:pgMar w:top="1220" w:bottom="280" w:left="1680" w:right="1000"/>
          <w:cols w:num="2" w:equalWidth="0">
            <w:col w:w="1904" w:space="40"/>
            <w:col w:w="7276"/>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68.</w:t>
      </w:r>
      <w:r>
        <w:rPr>
          <w:sz w:val="21"/>
        </w:rPr>
        <w:t>破裂脑动脉瘤夹闭手术</w:t>
      </w:r>
    </w:p>
    <w:p>
      <w:pPr>
        <w:pStyle w:val="BodyText"/>
        <w:spacing w:before="43"/>
        <w:ind w:left="262" w:right="206"/>
      </w:pPr>
      <w:r>
        <w:rPr/>
        <w:br w:type="column"/>
      </w:r>
      <w:r>
        <w:rPr/>
        <w:t>指因脑动脉瘤破裂造成蛛网膜下腔出血，被保险人实际接受了在全麻下进行的开颅动脉瘤夹闭手术。</w:t>
      </w:r>
    </w:p>
    <w:p>
      <w:pPr>
        <w:pStyle w:val="BodyText"/>
        <w:spacing w:before="2"/>
        <w:rPr>
          <w:sz w:val="18"/>
        </w:rPr>
      </w:pPr>
    </w:p>
    <w:p>
      <w:pPr>
        <w:pStyle w:val="BodyText"/>
        <w:spacing w:before="1"/>
        <w:ind w:left="262" w:right="206"/>
      </w:pPr>
      <w:r>
        <w:rPr/>
        <w:t>脑动脉瘤（未破裂）预防性手术、颅骨打孔手术、动脉瘤栓塞手术、血管内手术及其它颅脑手术不在保障范围内。</w:t>
      </w:r>
    </w:p>
    <w:p>
      <w:pPr>
        <w:spacing w:after="0"/>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69.</w:t>
      </w:r>
      <w:r>
        <w:rPr>
          <w:sz w:val="21"/>
        </w:rPr>
        <w:t>疾病或外伤所致智力障碍</w:t>
      </w:r>
    </w:p>
    <w:p>
      <w:pPr>
        <w:pStyle w:val="BodyText"/>
        <w:spacing w:line="228" w:lineRule="auto" w:before="58"/>
        <w:ind w:left="262" w:right="98"/>
      </w:pPr>
      <w:r>
        <w:rPr/>
        <w:br w:type="column"/>
      </w:r>
      <w:r>
        <w:rPr>
          <w:spacing w:val="-5"/>
        </w:rPr>
        <w:t>因严重头部创伤或疾病造成被保险人智力低下或智力残疾。根据智商</w:t>
      </w:r>
      <w:r>
        <w:rPr/>
        <w:t>（</w:t>
      </w:r>
      <w:r>
        <w:rPr>
          <w:rFonts w:ascii="Times New Roman" w:eastAsia="Times New Roman"/>
        </w:rPr>
        <w:t>IQ</w:t>
      </w:r>
      <w:r>
        <w:rPr/>
        <w:t>） </w:t>
      </w:r>
      <w:r>
        <w:rPr>
          <w:spacing w:val="1"/>
          <w:w w:val="100"/>
        </w:rPr>
        <w:t>智力低下分为轻度（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1"/>
          <w:w w:val="100"/>
        </w:rPr>
        <w:t>-</w:t>
      </w:r>
      <w:r>
        <w:rPr>
          <w:rFonts w:ascii="Times New Roman" w:eastAsia="Times New Roman"/>
          <w:w w:val="100"/>
        </w:rPr>
        <w:t>69</w:t>
      </w:r>
      <w:r>
        <w:rPr>
          <w:rFonts w:ascii="Times New Roman" w:eastAsia="Times New Roman"/>
          <w:spacing w:val="0"/>
          <w:w w:val="100"/>
        </w:rPr>
        <w:t>)</w:t>
      </w:r>
      <w:r>
        <w:rPr>
          <w:spacing w:val="1"/>
          <w:w w:val="100"/>
        </w:rPr>
        <w:t>、中度（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w:t>
      </w:r>
      <w:r>
        <w:rPr>
          <w:rFonts w:ascii="Times New Roman" w:eastAsia="Times New Roman"/>
          <w:spacing w:val="1"/>
          <w:w w:val="100"/>
        </w:rPr>
        <w:t>9</w:t>
      </w:r>
      <w:r>
        <w:rPr>
          <w:spacing w:val="-101"/>
          <w:w w:val="100"/>
        </w:rPr>
        <w:t>）</w:t>
      </w:r>
      <w:r>
        <w:rPr>
          <w:w w:val="100"/>
        </w:rPr>
        <w:t>、重度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w:t>
      </w:r>
      <w:r>
        <w:rPr>
          <w:rFonts w:ascii="Times New Roman" w:eastAsia="Times New Roman"/>
          <w:spacing w:val="1"/>
          <w:w w:val="100"/>
        </w:rPr>
        <w:t>4</w:t>
      </w:r>
      <w:r>
        <w:rPr>
          <w:spacing w:val="1"/>
          <w:w w:val="100"/>
        </w:rPr>
        <w:t>）</w:t>
      </w:r>
      <w:r>
        <w:rPr>
          <w:spacing w:val="0"/>
          <w:w w:val="100"/>
        </w:rPr>
        <w:t>和极重</w:t>
      </w:r>
      <w:r>
        <w:rPr>
          <w:spacing w:val="1"/>
          <w:w w:val="100"/>
        </w:rPr>
        <w:t>度（</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&lt;20</w:t>
      </w:r>
      <w:r>
        <w:rPr>
          <w:spacing w:val="-104"/>
          <w:w w:val="100"/>
        </w:rPr>
        <w:t>）</w:t>
      </w:r>
      <w:r>
        <w:rPr>
          <w:w w:val="100"/>
        </w:rPr>
        <w:t>。智商的检测须由医院的儿科或成人精神卫生科、心理科或神</w:t>
      </w:r>
      <w:r>
        <w:rPr/>
        <w:t>经科专科医生进行。根据被保险人年龄采用对应的智力量表如韦克斯勒智</w:t>
      </w:r>
      <w:r>
        <w:rPr>
          <w:spacing w:val="-1"/>
        </w:rPr>
        <w:t>力量表</w:t>
      </w:r>
      <w:r>
        <w:rPr/>
        <w:t>（</w:t>
      </w:r>
      <w:r>
        <w:rPr>
          <w:spacing w:val="-3"/>
        </w:rPr>
        <w:t>儿童智力量表或成人智力量表</w:t>
      </w:r>
      <w:r>
        <w:rPr>
          <w:spacing w:val="-108"/>
        </w:rPr>
        <w:t>）</w:t>
      </w:r>
      <w:r>
        <w:rPr>
          <w:spacing w:val="-3"/>
        </w:rPr>
        <w:t>。理赔时必须满足下列全部条件：</w:t>
      </w:r>
    </w:p>
    <w:p>
      <w:pPr>
        <w:pStyle w:val="BodyText"/>
        <w:spacing w:line="223" w:lineRule="auto" w:before="19"/>
        <w:ind w:left="262" w:right="155"/>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5" w:lineRule="auto" w:before="16"/>
        <w:ind w:left="262" w:right="155"/>
      </w:pPr>
      <w:r>
        <w:rPr/>
        <w:t>（</w:t>
      </w:r>
      <w:r>
        <w:rPr>
          <w:rFonts w:ascii="Times New Roman" w:eastAsia="Times New Roman"/>
        </w:rPr>
        <w:t>2</w:t>
      </w:r>
      <w:r>
        <w:rPr/>
        <w:t>）医院的专科医生确诊被保险人由于严重头部创伤或疾病造成智力低下或智力残疾；</w:t>
      </w:r>
    </w:p>
    <w:p>
      <w:pPr>
        <w:pStyle w:val="BodyText"/>
        <w:spacing w:line="223" w:lineRule="auto" w:before="19"/>
        <w:ind w:left="262" w:right="206"/>
      </w:pPr>
      <w:r>
        <w:rPr>
          <w:spacing w:val="-5"/>
        </w:rPr>
        <w:t>（</w:t>
      </w:r>
      <w:r>
        <w:rPr>
          <w:rFonts w:ascii="Times New Roman" w:eastAsia="Times New Roman"/>
          <w:spacing w:val="-5"/>
        </w:rPr>
        <w:t>3</w:t>
      </w:r>
      <w:r>
        <w:rPr>
          <w:spacing w:val="-5"/>
        </w:rPr>
        <w:t>）</w:t>
      </w:r>
      <w:r>
        <w:rPr>
          <w:spacing w:val="-4"/>
        </w:rPr>
        <w:t>医院的儿科或成人精神卫生科、心理科或神经科专科医生做的检测证</w:t>
      </w:r>
      <w:r>
        <w:rPr>
          <w:spacing w:val="-3"/>
          <w:w w:val="100"/>
        </w:rPr>
        <w:t>实被保险人智力低下或智力残疾</w:t>
      </w:r>
      <w:r>
        <w:rPr>
          <w:w w:val="100"/>
        </w:rPr>
        <w:t>（</w:t>
      </w:r>
      <w:r>
        <w:rPr>
          <w:spacing w:val="-3"/>
          <w:w w:val="100"/>
        </w:rPr>
        <w:t>轻度、中度、重度或极重度</w:t>
      </w:r>
      <w:r>
        <w:rPr>
          <w:spacing w:val="-106"/>
          <w:w w:val="100"/>
        </w:rPr>
        <w:t>）</w:t>
      </w:r>
      <w:r>
        <w:rPr>
          <w:w w:val="100"/>
        </w:rPr>
        <w:t>；</w:t>
      </w:r>
    </w:p>
    <w:p>
      <w:pPr>
        <w:pStyle w:val="BodyText"/>
        <w:spacing w:line="289" w:lineRule="exact"/>
        <w:ind w:left="262"/>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spacing w:after="0" w:line="289"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70.</w:t>
      </w:r>
      <w:r>
        <w:rPr>
          <w:sz w:val="21"/>
        </w:rPr>
        <w:t>严重肌营养不良症</w:t>
      </w:r>
    </w:p>
    <w:p>
      <w:pPr>
        <w:pStyle w:val="BodyText"/>
        <w:spacing w:before="43"/>
        <w:ind w:left="262" w:right="206"/>
        <w:jc w:val="both"/>
      </w:pPr>
      <w:r>
        <w:rPr/>
        <w:br w:type="column"/>
      </w:r>
      <w:r>
        <w:rPr/>
        <w:t>指一组遗传性肌肉变性病变，临床特征为与神经系统无关的骨骼肌肉对称地进行性无力和萎缩。此症必须由神经内科专科医生明确诊断，并且需满足下列全部条件：</w:t>
      </w:r>
    </w:p>
    <w:p>
      <w:pPr>
        <w:spacing w:after="0"/>
        <w:jc w:val="both"/>
        <w:sectPr>
          <w:type w:val="continuous"/>
          <w:pgSz w:w="11900" w:h="16840"/>
          <w:pgMar w:top="1220" w:bottom="280" w:left="1680" w:right="1000"/>
          <w:cols w:num="2" w:equalWidth="0">
            <w:col w:w="1904" w:space="40"/>
            <w:col w:w="7276"/>
          </w:cols>
        </w:sectPr>
      </w:pPr>
    </w:p>
    <w:p>
      <w:pPr>
        <w:pStyle w:val="BodyText"/>
        <w:spacing w:line="282" w:lineRule="exact" w:before="24"/>
        <w:ind w:left="2205"/>
      </w:pPr>
      <w:r>
        <w:rPr/>
        <w:t>（</w:t>
      </w:r>
      <w:r>
        <w:rPr>
          <w:rFonts w:ascii="Times New Roman" w:eastAsia="Times New Roman"/>
        </w:rPr>
        <w:t>1</w:t>
      </w:r>
      <w:r>
        <w:rPr/>
        <w:t>）肌电图显示典型肌营养不良症的阳性改变；</w:t>
      </w:r>
    </w:p>
    <w:p>
      <w:pPr>
        <w:pStyle w:val="BodyText"/>
        <w:spacing w:line="223" w:lineRule="auto" w:before="11"/>
        <w:ind w:left="2205" w:right="156"/>
      </w:pPr>
      <w:r>
        <w:rPr/>
        <w:t>（</w:t>
      </w:r>
      <w:r>
        <w:rPr>
          <w:rFonts w:ascii="Times New Roman" w:eastAsia="Times New Roman"/>
        </w:rPr>
        <w:t>2</w:t>
      </w:r>
      <w:r>
        <w:rPr/>
        <w:t>）肌肉活检的病理学诊断符合肌营养不良症的肌肉细胞变性、坏死等阳性改变；</w:t>
      </w:r>
    </w:p>
    <w:p>
      <w:pPr>
        <w:pStyle w:val="BodyText"/>
        <w:spacing w:line="225" w:lineRule="auto" w:before="15"/>
        <w:ind w:left="2205" w:right="156"/>
      </w:pPr>
      <w:r>
        <w:rPr/>
        <w:t>（</w:t>
      </w:r>
      <w:r>
        <w:rPr>
          <w:rFonts w:ascii="Times New Roman" w:eastAsia="Times New Roman"/>
        </w:rPr>
        <w:t>3</w:t>
      </w:r>
      <w:r>
        <w:rPr/>
        <w:t>）已导致被保险人持续超过三个月无法独立完成六项基本日常生活活动中的三项或三项以上。</w:t>
      </w:r>
    </w:p>
    <w:p>
      <w:pPr>
        <w:pStyle w:val="BodyText"/>
        <w:spacing w:before="11"/>
        <w:rPr>
          <w:sz w:val="14"/>
        </w:rPr>
      </w:pPr>
    </w:p>
    <w:p>
      <w:pPr>
        <w:spacing w:after="0"/>
        <w:rPr>
          <w:sz w:val="14"/>
        </w:rPr>
        <w:sectPr>
          <w:pgSz w:w="11900" w:h="16840"/>
          <w:pgMar w:top="1240" w:bottom="280" w:left="1680" w:right="1000"/>
        </w:sectPr>
      </w:pPr>
    </w:p>
    <w:p>
      <w:pPr>
        <w:spacing w:line="225" w:lineRule="auto" w:before="63"/>
        <w:ind w:left="587" w:right="0" w:hanging="3"/>
        <w:jc w:val="left"/>
        <w:rPr>
          <w:sz w:val="21"/>
        </w:rPr>
      </w:pPr>
      <w:r>
        <w:rPr>
          <w:rFonts w:ascii="Times New Roman" w:eastAsia="Times New Roman"/>
          <w:b/>
          <w:sz w:val="21"/>
        </w:rPr>
        <w:t>71.</w:t>
      </w:r>
      <w:r>
        <w:rPr>
          <w:sz w:val="21"/>
        </w:rPr>
        <w:t>严重面部烧伤</w:t>
      </w:r>
    </w:p>
    <w:p>
      <w:pPr>
        <w:pStyle w:val="BodyText"/>
        <w:spacing w:line="282" w:lineRule="exact" w:before="44"/>
        <w:ind w:left="262"/>
      </w:pPr>
      <w:r>
        <w:rPr/>
        <w:br w:type="column"/>
      </w:r>
      <w:r>
        <w:rPr/>
        <w:t>指面部烧伤程度为Ⅲ度，且Ⅲ度烧伤的面积达到面部表面积的 </w:t>
      </w:r>
      <w:r>
        <w:rPr>
          <w:rFonts w:ascii="Times New Roman" w:hAnsi="Times New Roman" w:eastAsia="Times New Roman"/>
        </w:rPr>
        <w:t>80</w:t>
      </w:r>
      <w:r>
        <w:rPr/>
        <w:t>％或者</w:t>
      </w:r>
    </w:p>
    <w:p>
      <w:pPr>
        <w:pStyle w:val="BodyText"/>
        <w:spacing w:line="282" w:lineRule="exact"/>
        <w:ind w:left="262"/>
      </w:pPr>
      <w:r>
        <w:rPr>
          <w:rFonts w:ascii="Times New Roman" w:eastAsia="Times New Roman"/>
        </w:rPr>
        <w:t>80</w:t>
      </w:r>
      <w:r>
        <w:rPr/>
        <w:t>％以上。体表面积根据《中国新九分法》计算。</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72.</w:t>
      </w:r>
      <w:r>
        <w:rPr>
          <w:sz w:val="21"/>
        </w:rPr>
        <w:t>失去一肢及一眼</w:t>
      </w:r>
    </w:p>
    <w:p>
      <w:pPr>
        <w:pStyle w:val="BodyText"/>
        <w:spacing w:before="43"/>
        <w:ind w:left="262" w:right="206"/>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79" w:lineRule="exact"/>
        <w:ind w:left="262"/>
      </w:pPr>
      <w:r>
        <w:rPr/>
        <w:t>（</w:t>
      </w:r>
      <w:r>
        <w:rPr>
          <w:rFonts w:ascii="Times New Roman" w:eastAsia="Times New Roman"/>
        </w:rPr>
        <w:t>1</w:t>
      </w:r>
      <w:r>
        <w:rPr/>
        <w:t>）眼球缺失或者摘除；</w:t>
      </w:r>
    </w:p>
    <w:p>
      <w:pPr>
        <w:pStyle w:val="BodyText"/>
        <w:spacing w:line="225" w:lineRule="auto" w:before="9"/>
        <w:ind w:left="262" w:right="206"/>
      </w:pPr>
      <w:r>
        <w:rPr>
          <w:spacing w:val="-4"/>
        </w:rPr>
        <w:t>（</w:t>
      </w:r>
      <w:r>
        <w:rPr>
          <w:rFonts w:ascii="Times New Roman" w:eastAsia="Times New Roman"/>
          <w:spacing w:val="-4"/>
        </w:rPr>
        <w:t>2</w:t>
      </w:r>
      <w:r>
        <w:rPr>
          <w:spacing w:val="-4"/>
        </w:rPr>
        <w:t>）</w:t>
      </w:r>
      <w:r>
        <w:rPr>
          <w:spacing w:val="-6"/>
        </w:rPr>
        <w:t>矫正视力低于 </w:t>
      </w:r>
      <w:r>
        <w:rPr>
          <w:rFonts w:ascii="Times New Roman" w:eastAsia="Times New Roman"/>
          <w:spacing w:val="-4"/>
        </w:rPr>
        <w:t>0.02</w:t>
      </w:r>
      <w:r>
        <w:rPr>
          <w:spacing w:val="-4"/>
        </w:rPr>
        <w:t>（采用国际标准视力表，如果使用其它视力表应进</w:t>
      </w:r>
      <w:r>
        <w:rPr>
          <w:spacing w:val="-4"/>
          <w:w w:val="100"/>
        </w:rPr>
        <w:t>行换算</w:t>
      </w:r>
      <w:r>
        <w:rPr>
          <w:spacing w:val="-106"/>
          <w:w w:val="100"/>
        </w:rPr>
        <w:t>）</w:t>
      </w:r>
      <w:r>
        <w:rPr>
          <w:w w:val="100"/>
        </w:rPr>
        <w:t>；</w:t>
      </w:r>
    </w:p>
    <w:p>
      <w:pPr>
        <w:pStyle w:val="BodyText"/>
        <w:spacing w:line="289" w:lineRule="exact"/>
        <w:ind w:left="262"/>
        <w:jc w:val="both"/>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spacing w:before="1"/>
        <w:ind w:left="262"/>
        <w:jc w:val="both"/>
      </w:pPr>
      <w:r>
        <w:rPr/>
        <w:t>被保险人在 3 周岁之前因疾病导致单眼视力丧失不在保障范围内。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73.</w:t>
      </w:r>
      <w:r>
        <w:rPr>
          <w:sz w:val="21"/>
        </w:rPr>
        <w:t>溶血性链球菌引起的坏疽</w:t>
      </w:r>
    </w:p>
    <w:p>
      <w:pPr>
        <w:pStyle w:val="BodyText"/>
        <w:spacing w:before="43"/>
        <w:ind w:left="262" w:right="206"/>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2"/>
        <w:ind w:left="587" w:right="0" w:hanging="3"/>
        <w:jc w:val="left"/>
        <w:rPr>
          <w:sz w:val="21"/>
        </w:rPr>
      </w:pPr>
      <w:r>
        <w:rPr>
          <w:rFonts w:ascii="Times New Roman" w:eastAsia="Times New Roman"/>
          <w:b/>
          <w:sz w:val="21"/>
        </w:rPr>
        <w:t>74.</w:t>
      </w:r>
      <w:r>
        <w:rPr>
          <w:sz w:val="21"/>
        </w:rPr>
        <w:t>严重瑞氏综合征</w:t>
      </w:r>
    </w:p>
    <w:p>
      <w:pPr>
        <w:pStyle w:val="BodyText"/>
        <w:spacing w:line="237" w:lineRule="auto" w:before="45"/>
        <w:ind w:left="262" w:right="206"/>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81" w:lineRule="exact"/>
        <w:ind w:left="262"/>
        <w:jc w:val="both"/>
      </w:pPr>
      <w:r>
        <w:rPr/>
        <w:t>（</w:t>
      </w:r>
      <w:r>
        <w:rPr>
          <w:rFonts w:ascii="Times New Roman" w:eastAsia="Times New Roman"/>
        </w:rPr>
        <w:t>1</w:t>
      </w:r>
      <w:r>
        <w:rPr/>
        <w:t>）有脑水肿和颅内压升高的脑脊液检查和影像学检查证据；</w:t>
      </w:r>
    </w:p>
    <w:p>
      <w:pPr>
        <w:pStyle w:val="BodyText"/>
        <w:spacing w:line="272" w:lineRule="exact"/>
        <w:ind w:left="262"/>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1" w:lineRule="exact"/>
        <w:ind w:left="262"/>
        <w:jc w:val="both"/>
      </w:pPr>
      <w:r>
        <w:rPr/>
        <w:t>（</w:t>
      </w:r>
      <w:r>
        <w:rPr>
          <w:rFonts w:ascii="Times New Roman" w:hAnsi="Times New Roman" w:eastAsia="Times New Roman"/>
        </w:rPr>
        <w:t>3</w:t>
      </w:r>
      <w:r>
        <w:rPr/>
        <w:t>）临床出现昏迷，病程至少达到疾病分期第Ⅲ期。</w:t>
      </w:r>
    </w:p>
    <w:p>
      <w:pPr>
        <w:spacing w:after="0" w:line="281" w:lineRule="exact"/>
        <w:jc w:val="both"/>
        <w:sectPr>
          <w:type w:val="continuous"/>
          <w:pgSz w:w="11900" w:h="16840"/>
          <w:pgMar w:top="1220" w:bottom="280" w:left="1680" w:right="1000"/>
          <w:cols w:num="2" w:equalWidth="0">
            <w:col w:w="1904" w:space="40"/>
            <w:col w:w="7276"/>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75.</w:t>
      </w:r>
      <w:r>
        <w:rPr>
          <w:sz w:val="21"/>
        </w:rPr>
        <w:t>埃博拉病毒感染</w:t>
      </w:r>
    </w:p>
    <w:p>
      <w:pPr>
        <w:pStyle w:val="BodyText"/>
        <w:spacing w:line="237" w:lineRule="auto" w:before="46"/>
        <w:ind w:left="262" w:right="63"/>
      </w:pPr>
      <w:r>
        <w:rPr/>
        <w:br w:type="column"/>
      </w:r>
      <w:r>
        <w:rPr/>
        <w:t>受埃博拉病毒感染导致出血性发热。埃博拉病必须经传染病专科医生确诊， 并且埃博拉病毒的存在必须经过实验室检查证实。该病必须从症状开始三十天后持续出现并发症。</w:t>
      </w:r>
    </w:p>
    <w:p>
      <w:pPr>
        <w:spacing w:after="0" w:line="237" w:lineRule="auto"/>
        <w:sectPr>
          <w:type w:val="continuous"/>
          <w:pgSz w:w="11900" w:h="16840"/>
          <w:pgMar w:top="1220" w:bottom="280" w:left="1680" w:right="1000"/>
          <w:cols w:num="2" w:equalWidth="0">
            <w:col w:w="1904" w:space="40"/>
            <w:col w:w="7276"/>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76.</w:t>
      </w:r>
      <w:r>
        <w:rPr>
          <w:sz w:val="21"/>
        </w:rPr>
        <w:t>肝豆状核变性</w:t>
      </w:r>
    </w:p>
    <w:p>
      <w:pPr>
        <w:pStyle w:val="BodyText"/>
        <w:spacing w:line="237" w:lineRule="auto" w:before="46"/>
        <w:ind w:left="262" w:right="206"/>
      </w:pPr>
      <w:r>
        <w:rPr/>
        <w:br w:type="column"/>
      </w:r>
      <w:r>
        <w:rPr/>
        <w:t>由于先天性铜代谢障碍所引起的一种疾病，其特点为肝硬化与双侧脑基底神经节变性同时存在。须经专科医生确认并同时具备下列情况：</w:t>
      </w:r>
    </w:p>
    <w:p>
      <w:pPr>
        <w:pStyle w:val="BodyText"/>
        <w:spacing w:line="225" w:lineRule="auto" w:before="16"/>
        <w:ind w:left="262" w:right="184"/>
      </w:pPr>
      <w:r>
        <w:rPr/>
        <w:t>（</w:t>
      </w:r>
      <w:r>
        <w:rPr>
          <w:rFonts w:ascii="Times New Roman" w:eastAsia="Times New Roman"/>
        </w:rPr>
        <w:t>1</w:t>
      </w:r>
      <w:r>
        <w:rPr/>
        <w:t>）临床表现包括：进行性加剧的肢体震颤、肌强直、吞咽及发音困难、精神异常；</w:t>
      </w:r>
    </w:p>
    <w:p>
      <w:pPr>
        <w:pStyle w:val="BodyText"/>
        <w:spacing w:line="280" w:lineRule="exact"/>
        <w:ind w:left="262"/>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line="272" w:lineRule="exact"/>
        <w:ind w:left="262"/>
      </w:pPr>
      <w:r>
        <w:rPr/>
        <w:t>（</w:t>
      </w:r>
      <w:r>
        <w:rPr>
          <w:rFonts w:ascii="Times New Roman" w:eastAsia="Times New Roman"/>
        </w:rPr>
        <w:t>3</w:t>
      </w:r>
      <w:r>
        <w:rPr/>
        <w:t>）血清铜和血清铜蓝蛋白降低，尿铜增加；</w:t>
      </w:r>
    </w:p>
    <w:p>
      <w:pPr>
        <w:pStyle w:val="BodyText"/>
        <w:spacing w:line="274" w:lineRule="exact"/>
        <w:ind w:left="262"/>
      </w:pPr>
      <w:r>
        <w:rPr/>
        <w:t>（</w:t>
      </w:r>
      <w:r>
        <w:rPr>
          <w:rFonts w:ascii="Times New Roman" w:eastAsia="Times New Roman"/>
        </w:rPr>
        <w:t>4</w:t>
      </w:r>
      <w:r>
        <w:rPr/>
        <w:t>）食管静脉曲张；</w:t>
      </w:r>
    </w:p>
    <w:p>
      <w:pPr>
        <w:pStyle w:val="BodyText"/>
        <w:spacing w:line="282" w:lineRule="exact"/>
        <w:ind w:left="262"/>
      </w:pPr>
      <w:r>
        <w:rPr/>
        <w:t>（</w:t>
      </w:r>
      <w:r>
        <w:rPr>
          <w:rFonts w:ascii="Times New Roman" w:eastAsia="Times New Roman"/>
        </w:rPr>
        <w:t>5</w:t>
      </w:r>
      <w:r>
        <w:rPr/>
        <w:t>）腹水。</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77. </w:t>
      </w:r>
      <w:r>
        <w:rPr>
          <w:sz w:val="21"/>
        </w:rPr>
        <w:t>严重原发性骨髓纤维化</w:t>
      </w:r>
    </w:p>
    <w:p>
      <w:pPr>
        <w:pStyle w:val="BodyText"/>
        <w:spacing w:line="237" w:lineRule="auto" w:before="46"/>
        <w:ind w:left="171" w:right="206"/>
        <w:jc w:val="both"/>
      </w:pPr>
      <w:r>
        <w:rPr/>
        <w:br w:type="column"/>
      </w:r>
      <w:r>
        <w:rPr/>
        <w:t>原发性骨髓纤维化为原因不明的骨髓中成纤维细胞增殖，伴有髓外造血， 表现为进行性贫血、脾肿大等症状。本病必须根据骨髓的活组织检查和周围血象检查由血液科专科医生明确诊断，至少符合下列条件中的三项，且符合条件的状态持续 </w:t>
      </w:r>
      <w:r>
        <w:rPr>
          <w:rFonts w:ascii="Times New Roman" w:eastAsia="Times New Roman"/>
        </w:rPr>
        <w:t>180 </w:t>
      </w:r>
      <w:r>
        <w:rPr/>
        <w:t>天及以上，并已经实际接受了针对此症的治疗：</w:t>
      </w:r>
    </w:p>
    <w:p>
      <w:pPr>
        <w:pStyle w:val="BodyText"/>
        <w:spacing w:line="265" w:lineRule="exact"/>
        <w:ind w:left="171"/>
        <w:jc w:val="both"/>
      </w:pPr>
      <w:r>
        <w:rPr/>
        <w:t>（</w:t>
      </w:r>
      <w:r>
        <w:rPr>
          <w:rFonts w:ascii="Times New Roman" w:eastAsia="Times New Roman"/>
        </w:rPr>
        <w:t>1</w:t>
      </w:r>
      <w:r>
        <w:rPr/>
        <w:t>）血红蛋白绝对值＜</w:t>
      </w:r>
      <w:r>
        <w:rPr>
          <w:rFonts w:ascii="Times New Roman" w:eastAsia="Times New Roman"/>
        </w:rPr>
        <w:t>100g/L</w:t>
      </w:r>
      <w:r>
        <w:rPr/>
        <w:t>；</w:t>
      </w:r>
    </w:p>
    <w:p>
      <w:pPr>
        <w:pStyle w:val="BodyText"/>
        <w:spacing w:line="274" w:lineRule="exact"/>
        <w:ind w:left="171"/>
        <w:jc w:val="both"/>
      </w:pPr>
      <w:r>
        <w:rPr/>
        <w:t>（</w:t>
      </w:r>
      <w:r>
        <w:rPr>
          <w:rFonts w:ascii="Times New Roman" w:hAnsi="Times New Roman" w:eastAsia="Times New Roman"/>
        </w:rPr>
        <w:t>2</w:t>
      </w:r>
      <w:r>
        <w:rPr/>
        <w:t>）白细胞绝对值＞</w:t>
      </w:r>
      <w:r>
        <w:rPr>
          <w:rFonts w:ascii="Times New Roman" w:hAnsi="Times New Roman" w:eastAsia="Times New Roman"/>
        </w:rPr>
        <w:t>25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171"/>
        <w:jc w:val="both"/>
      </w:pPr>
      <w:r>
        <w:rPr/>
        <w:t>（</w:t>
      </w: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line="281" w:lineRule="exact"/>
        <w:ind w:left="171"/>
        <w:jc w:val="both"/>
      </w:pPr>
      <w:r>
        <w:rPr/>
        <w:t>（</w:t>
      </w:r>
      <w:r>
        <w:rPr>
          <w:rFonts w:ascii="Times New Roman" w:hAnsi="Times New Roman" w:eastAsia="Times New Roman"/>
        </w:rPr>
        <w:t>4</w:t>
      </w:r>
      <w:r>
        <w:rPr/>
        <w:t>）血小板绝对值＜</w:t>
      </w:r>
      <w:r>
        <w:rPr>
          <w:rFonts w:ascii="Times New Roman" w:hAnsi="Times New Roman" w:eastAsia="Times New Roman"/>
        </w:rPr>
        <w:t>100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jc w:val="both"/>
        <w:sectPr>
          <w:type w:val="continuous"/>
          <w:pgSz w:w="11900" w:h="16840"/>
          <w:pgMar w:top="1220" w:bottom="280" w:left="1680" w:right="1000"/>
          <w:cols w:num="2" w:equalWidth="0">
            <w:col w:w="1995" w:space="40"/>
            <w:col w:w="7185"/>
          </w:cols>
        </w:sectPr>
      </w:pPr>
    </w:p>
    <w:p>
      <w:pPr>
        <w:pStyle w:val="BodyText"/>
        <w:spacing w:before="24"/>
        <w:ind w:left="2205"/>
      </w:pPr>
      <w:r>
        <w:rPr/>
        <w:t>任何其它病因导致的继发性骨髓纤维化不在保障范围内。</w:t>
      </w:r>
    </w:p>
    <w:p>
      <w:pPr>
        <w:pStyle w:val="BodyText"/>
        <w:spacing w:before="12"/>
        <w:rPr>
          <w:sz w:val="14"/>
        </w:rPr>
      </w:pPr>
    </w:p>
    <w:p>
      <w:pPr>
        <w:spacing w:after="0"/>
        <w:rPr>
          <w:sz w:val="14"/>
        </w:rPr>
        <w:sectPr>
          <w:pgSz w:w="11900" w:h="16840"/>
          <w:pgMar w:top="1240" w:bottom="280" w:left="1680" w:right="1100"/>
        </w:sectPr>
      </w:pPr>
    </w:p>
    <w:p>
      <w:pPr>
        <w:spacing w:line="225" w:lineRule="auto" w:before="63"/>
        <w:ind w:left="587" w:right="0" w:hanging="3"/>
        <w:jc w:val="left"/>
        <w:rPr>
          <w:sz w:val="21"/>
        </w:rPr>
      </w:pPr>
      <w:r>
        <w:rPr>
          <w:rFonts w:ascii="Times New Roman" w:eastAsia="Times New Roman"/>
          <w:b/>
          <w:sz w:val="21"/>
        </w:rPr>
        <w:t>78. </w:t>
      </w:r>
      <w:r>
        <w:rPr>
          <w:sz w:val="21"/>
        </w:rPr>
        <w:t>进行性延髓麻痹症</w:t>
      </w:r>
    </w:p>
    <w:p>
      <w:pPr>
        <w:pStyle w:val="BodyText"/>
        <w:spacing w:line="237" w:lineRule="auto" w:before="46"/>
        <w:ind w:left="171" w:right="106"/>
        <w:jc w:val="both"/>
      </w:pPr>
      <w:r>
        <w:rPr/>
        <w:br w:type="column"/>
      </w:r>
      <w:r>
        <w:rPr/>
        <w:t>指由颅神经和皮质延髓束所支配的肌肉发生进行性退化，导致咀嚼、吞咽与谈话困难。必须由专科医生明确诊断为进行性病变，并有肌电图等检查证实，必须造成神经系统永久性功能损害并且已导致被保险人自主生活能力完全丧失，无法独立完成六项基本日常生活活动中的三项或三项以上持续达 </w:t>
      </w:r>
      <w:r>
        <w:rPr>
          <w:rFonts w:ascii="Times New Roman" w:eastAsia="Times New Roman"/>
        </w:rPr>
        <w:t>180 </w:t>
      </w:r>
      <w:r>
        <w:rPr/>
        <w:t>天以上。</w:t>
      </w:r>
    </w:p>
    <w:p>
      <w:pPr>
        <w:spacing w:after="0" w:line="237" w:lineRule="auto"/>
        <w:jc w:val="both"/>
        <w:sectPr>
          <w:type w:val="continuous"/>
          <w:pgSz w:w="11900" w:h="16840"/>
          <w:pgMar w:top="1220" w:bottom="280" w:left="1680" w:right="1100"/>
          <w:cols w:num="2" w:equalWidth="0">
            <w:col w:w="1995" w:space="40"/>
            <w:col w:w="7085"/>
          </w:cols>
        </w:sectPr>
      </w:pPr>
    </w:p>
    <w:p>
      <w:pPr>
        <w:pStyle w:val="BodyText"/>
        <w:spacing w:before="9"/>
        <w:rPr>
          <w:sz w:val="13"/>
        </w:rPr>
      </w:pPr>
    </w:p>
    <w:p>
      <w:pPr>
        <w:spacing w:after="0"/>
        <w:rPr>
          <w:sz w:val="13"/>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79. </w:t>
      </w:r>
      <w:r>
        <w:rPr>
          <w:sz w:val="21"/>
        </w:rPr>
        <w:t>出血性登革热</w:t>
      </w:r>
    </w:p>
    <w:p>
      <w:pPr>
        <w:pStyle w:val="BodyText"/>
        <w:spacing w:line="232" w:lineRule="auto" w:before="52"/>
        <w:ind w:left="171" w:right="106"/>
        <w:jc w:val="both"/>
      </w:pPr>
      <w:r>
        <w:rPr/>
        <w:br w:type="column"/>
      </w:r>
      <w:r>
        <w:rPr/>
        <w:t>指因出血性登革热出现全部四种症状，包括高烧、出血现象、肝肿大和循环衰竭（登革热休克综合征，即符合世界卫生组织</w:t>
      </w:r>
      <w:r>
        <w:rPr>
          <w:rFonts w:ascii="Times New Roman" w:hAnsi="Times New Roman" w:eastAsia="Times New Roman"/>
        </w:rPr>
        <w:t>(WHO)</w:t>
      </w:r>
      <w:r>
        <w:rPr/>
        <w:t>登革热第Ⅲ级及</w:t>
      </w:r>
      <w:r>
        <w:rPr>
          <w:spacing w:val="-1"/>
        </w:rPr>
        <w:t>第Ⅳ级</w:t>
      </w:r>
      <w:r>
        <w:rPr>
          <w:spacing w:val="-106"/>
        </w:rPr>
        <w:t>）</w:t>
      </w:r>
      <w:r>
        <w:rPr>
          <w:spacing w:val="-3"/>
        </w:rPr>
        <w:t>。出血性登革热的诊断必须由医院的专科医生确诊。</w:t>
      </w:r>
    </w:p>
    <w:p>
      <w:pPr>
        <w:pStyle w:val="BodyText"/>
        <w:spacing w:before="3"/>
        <w:rPr>
          <w:sz w:val="18"/>
        </w:rPr>
      </w:pPr>
    </w:p>
    <w:p>
      <w:pPr>
        <w:pStyle w:val="BodyText"/>
        <w:ind w:left="171"/>
        <w:jc w:val="both"/>
      </w:pPr>
      <w:r>
        <w:rPr/>
        <w:t>非出血性登革热不在保障范围内。</w:t>
      </w:r>
    </w:p>
    <w:p>
      <w:pPr>
        <w:spacing w:after="0"/>
        <w:jc w:val="both"/>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80. </w:t>
      </w:r>
      <w:r>
        <w:rPr>
          <w:sz w:val="21"/>
        </w:rPr>
        <w:t>器官移植导致的 </w:t>
      </w:r>
      <w:r>
        <w:rPr>
          <w:rFonts w:ascii="Times New Roman" w:eastAsia="Times New Roman"/>
          <w:b/>
          <w:sz w:val="21"/>
        </w:rPr>
        <w:t>HIV </w:t>
      </w:r>
      <w:r>
        <w:rPr>
          <w:sz w:val="21"/>
        </w:rPr>
        <w:t>感染</w:t>
      </w:r>
    </w:p>
    <w:p>
      <w:pPr>
        <w:pStyle w:val="BodyText"/>
        <w:spacing w:line="225" w:lineRule="auto" w:before="61"/>
        <w:ind w:left="171" w:right="106"/>
        <w:jc w:val="both"/>
      </w:pPr>
      <w:r>
        <w:rPr/>
        <w:br w:type="column"/>
      </w:r>
      <w:r>
        <w:rPr>
          <w:spacing w:val="-2"/>
          <w:w w:val="100"/>
        </w:rPr>
        <w:t>指因进行器官移植而感染上人类免疫缺陷病毒</w:t>
      </w:r>
      <w:r>
        <w:rPr>
          <w:spacing w:val="-3"/>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1"/>
          <w:w w:val="100"/>
        </w:rPr>
        <w:t>，且须满足下列全部</w:t>
      </w:r>
      <w:r>
        <w:rPr>
          <w:spacing w:val="-1"/>
        </w:rPr>
        <w:t>条件：</w:t>
      </w:r>
    </w:p>
    <w:p>
      <w:pPr>
        <w:pStyle w:val="BodyText"/>
        <w:spacing w:line="225" w:lineRule="auto" w:before="16"/>
        <w:ind w:left="171" w:right="106"/>
        <w:jc w:val="both"/>
      </w:pPr>
      <w:r>
        <w:rPr>
          <w:spacing w:val="-4"/>
        </w:rPr>
        <w:t>（</w:t>
      </w:r>
      <w:r>
        <w:rPr>
          <w:rFonts w:ascii="Times New Roman" w:eastAsia="Times New Roman"/>
          <w:spacing w:val="-4"/>
        </w:rPr>
        <w:t>1</w:t>
      </w:r>
      <w:r>
        <w:rPr>
          <w:spacing w:val="-4"/>
        </w:rPr>
        <w:t>）</w:t>
      </w:r>
      <w:r>
        <w:rPr>
          <w:spacing w:val="-5"/>
        </w:rPr>
        <w:t>在本附加合同生效日之后，被保险人因治疗必需而实施器官移植，并</w:t>
      </w:r>
      <w:r>
        <w:rPr>
          <w:spacing w:val="-4"/>
        </w:rPr>
        <w:t>且因器官移植而感染人类免疫缺陷病毒；</w:t>
      </w:r>
    </w:p>
    <w:p>
      <w:pPr>
        <w:pStyle w:val="BodyText"/>
        <w:spacing w:line="232" w:lineRule="auto" w:before="4"/>
        <w:ind w:left="171" w:right="103"/>
        <w:jc w:val="both"/>
      </w:pPr>
      <w:r>
        <w:rPr>
          <w:spacing w:val="-8"/>
        </w:rPr>
        <w:t>（</w:t>
      </w:r>
      <w:r>
        <w:rPr>
          <w:rFonts w:ascii="Times New Roman" w:eastAsia="Times New Roman"/>
          <w:spacing w:val="-8"/>
        </w:rPr>
        <w:t>2</w:t>
      </w:r>
      <w:r>
        <w:rPr>
          <w:spacing w:val="-8"/>
        </w:rPr>
        <w:t>）</w:t>
      </w:r>
      <w:r>
        <w:rPr>
          <w:spacing w:val="-3"/>
        </w:rPr>
        <w:t>提供器官移植治疗的器官移植中心或医院出具的此次因器官移植感染人类免疫缺陷病毒属于医疗事故的报告，或者法院终审裁定为医疗事故并且不准上诉；</w:t>
      </w:r>
    </w:p>
    <w:p>
      <w:pPr>
        <w:pStyle w:val="BodyText"/>
        <w:spacing w:line="289" w:lineRule="exact"/>
        <w:ind w:left="171"/>
      </w:pPr>
      <w:r>
        <w:rPr/>
        <w:t>（</w:t>
      </w:r>
      <w:r>
        <w:rPr>
          <w:rFonts w:ascii="Times New Roman" w:eastAsia="Times New Roman"/>
        </w:rPr>
        <w:t>3</w:t>
      </w:r>
      <w:r>
        <w:rPr/>
        <w:t>）提供器官移植治疗的器官移植中心或医院必须拥有合法经营执照。</w:t>
      </w:r>
    </w:p>
    <w:p>
      <w:pPr>
        <w:pStyle w:val="BodyText"/>
        <w:spacing w:before="5"/>
        <w:rPr>
          <w:sz w:val="18"/>
        </w:rPr>
      </w:pPr>
    </w:p>
    <w:p>
      <w:pPr>
        <w:pStyle w:val="BodyText"/>
        <w:spacing w:line="225" w:lineRule="auto"/>
        <w:ind w:left="171" w:right="106" w:hanging="1"/>
        <w:jc w:val="both"/>
      </w:pPr>
      <w:r>
        <w:rPr>
          <w:spacing w:val="-4"/>
        </w:rPr>
        <w:t>任何因其它传播方式</w:t>
      </w:r>
      <w:r>
        <w:rPr/>
        <w:t>（</w:t>
      </w:r>
      <w:r>
        <w:rPr>
          <w:spacing w:val="-4"/>
        </w:rPr>
        <w:t>包括：性传播或静脉注射毒品</w:t>
      </w:r>
      <w:r>
        <w:rPr>
          <w:spacing w:val="-10"/>
        </w:rPr>
        <w:t>）</w:t>
      </w:r>
      <w:r>
        <w:rPr>
          <w:spacing w:val="1"/>
        </w:rPr>
        <w:t>导致的 </w:t>
      </w:r>
      <w:r>
        <w:rPr>
          <w:rFonts w:ascii="Times New Roman" w:eastAsia="Times New Roman"/>
        </w:rPr>
        <w:t>HIV </w:t>
      </w:r>
      <w:r>
        <w:rPr>
          <w:spacing w:val="-2"/>
        </w:rPr>
        <w:t>感染不</w:t>
      </w:r>
      <w:r>
        <w:rPr>
          <w:spacing w:val="-3"/>
        </w:rPr>
        <w:t>在保障范围内。</w:t>
      </w:r>
    </w:p>
    <w:sectPr>
      <w:type w:val="continuous"/>
      <w:pgSz w:w="11900" w:h="16840"/>
      <w:pgMar w:top="1220" w:bottom="280" w:left="1680" w:right="1100"/>
      <w:cols w:num="2" w:equalWidth="0">
        <w:col w:w="1995" w:space="40"/>
        <w:col w:w="708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2305" w:hanging="586"/>
        <w:jc w:val="left"/>
      </w:pPr>
      <w:rPr>
        <w:rFonts w:hint="default"/>
      </w:rPr>
    </w:lvl>
    <w:lvl w:ilvl="1">
      <w:start w:val="10"/>
      <w:numFmt w:val="decimal"/>
      <w:lvlText w:val="%1.%2"/>
      <w:lvlJc w:val="left"/>
      <w:pPr>
        <w:ind w:left="2305" w:hanging="586"/>
        <w:jc w:val="left"/>
      </w:pPr>
      <w:rPr>
        <w:rFonts w:hint="default" w:ascii="Times New Roman" w:hAnsi="Times New Roman" w:eastAsia="Times New Roman" w:cs="Times New Roman"/>
        <w:b/>
        <w:bCs/>
        <w:w w:val="100"/>
        <w:position w:val="2"/>
        <w:sz w:val="21"/>
        <w:szCs w:val="21"/>
      </w:rPr>
    </w:lvl>
    <w:lvl w:ilvl="2">
      <w:start w:val="5"/>
      <w:numFmt w:val="decimal"/>
      <w:lvlText w:val="%3."/>
      <w:lvlJc w:val="left"/>
      <w:pPr>
        <w:ind w:left="588" w:hanging="200"/>
        <w:jc w:val="left"/>
      </w:pPr>
      <w:rPr>
        <w:rFonts w:hint="default" w:ascii="Times New Roman" w:hAnsi="Times New Roman" w:eastAsia="Times New Roman" w:cs="Times New Roman"/>
        <w:b/>
        <w:bCs/>
        <w:w w:val="100"/>
        <w:sz w:val="21"/>
        <w:szCs w:val="21"/>
      </w:rPr>
    </w:lvl>
    <w:lvl w:ilvl="3">
      <w:start w:val="0"/>
      <w:numFmt w:val="bullet"/>
      <w:lvlText w:val="•"/>
      <w:lvlJc w:val="left"/>
      <w:pPr>
        <w:ind w:left="2232" w:hanging="200"/>
      </w:pPr>
      <w:rPr>
        <w:rFonts w:hint="default"/>
      </w:rPr>
    </w:lvl>
    <w:lvl w:ilvl="4">
      <w:start w:val="0"/>
      <w:numFmt w:val="bullet"/>
      <w:lvlText w:val="•"/>
      <w:lvlJc w:val="left"/>
      <w:pPr>
        <w:ind w:left="2198" w:hanging="200"/>
      </w:pPr>
      <w:rPr>
        <w:rFonts w:hint="default"/>
      </w:rPr>
    </w:lvl>
    <w:lvl w:ilvl="5">
      <w:start w:val="0"/>
      <w:numFmt w:val="bullet"/>
      <w:lvlText w:val="•"/>
      <w:lvlJc w:val="left"/>
      <w:pPr>
        <w:ind w:left="2164" w:hanging="200"/>
      </w:pPr>
      <w:rPr>
        <w:rFonts w:hint="default"/>
      </w:rPr>
    </w:lvl>
    <w:lvl w:ilvl="6">
      <w:start w:val="0"/>
      <w:numFmt w:val="bullet"/>
      <w:lvlText w:val="•"/>
      <w:lvlJc w:val="left"/>
      <w:pPr>
        <w:ind w:left="2130" w:hanging="200"/>
      </w:pPr>
      <w:rPr>
        <w:rFonts w:hint="default"/>
      </w:rPr>
    </w:lvl>
    <w:lvl w:ilvl="7">
      <w:start w:val="0"/>
      <w:numFmt w:val="bullet"/>
      <w:lvlText w:val="•"/>
      <w:lvlJc w:val="left"/>
      <w:pPr>
        <w:ind w:left="2096" w:hanging="200"/>
      </w:pPr>
      <w:rPr>
        <w:rFonts w:hint="default"/>
      </w:rPr>
    </w:lvl>
    <w:lvl w:ilvl="8">
      <w:start w:val="0"/>
      <w:numFmt w:val="bullet"/>
      <w:lvlText w:val="•"/>
      <w:lvlJc w:val="left"/>
      <w:pPr>
        <w:ind w:left="2062" w:hanging="200"/>
      </w:pPr>
      <w:rPr>
        <w:rFonts w:hint="default"/>
      </w:rPr>
    </w:lvl>
  </w:abstractNum>
  <w:abstractNum w:abstractNumId="5">
    <w:multiLevelType w:val="hybridMultilevel"/>
    <w:lvl w:ilvl="0">
      <w:start w:val="8"/>
      <w:numFmt w:val="decimal"/>
      <w:lvlText w:val="%1"/>
      <w:lvlJc w:val="left"/>
      <w:pPr>
        <w:ind w:left="2577" w:hanging="480"/>
        <w:jc w:val="left"/>
      </w:pPr>
      <w:rPr>
        <w:rFonts w:hint="default"/>
      </w:rPr>
    </w:lvl>
    <w:lvl w:ilvl="1">
      <w:start w:val="1"/>
      <w:numFmt w:val="decimal"/>
      <w:lvlText w:val="%1.%2"/>
      <w:lvlJc w:val="left"/>
      <w:pPr>
        <w:ind w:left="2577"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980" w:hanging="480"/>
      </w:pPr>
      <w:rPr>
        <w:rFonts w:hint="default"/>
      </w:rPr>
    </w:lvl>
    <w:lvl w:ilvl="3">
      <w:start w:val="0"/>
      <w:numFmt w:val="bullet"/>
      <w:lvlText w:val="•"/>
      <w:lvlJc w:val="left"/>
      <w:pPr>
        <w:ind w:left="4680" w:hanging="480"/>
      </w:pPr>
      <w:rPr>
        <w:rFonts w:hint="default"/>
      </w:rPr>
    </w:lvl>
    <w:lvl w:ilvl="4">
      <w:start w:val="0"/>
      <w:numFmt w:val="bullet"/>
      <w:lvlText w:val="•"/>
      <w:lvlJc w:val="left"/>
      <w:pPr>
        <w:ind w:left="5380" w:hanging="480"/>
      </w:pPr>
      <w:rPr>
        <w:rFonts w:hint="default"/>
      </w:rPr>
    </w:lvl>
    <w:lvl w:ilvl="5">
      <w:start w:val="0"/>
      <w:numFmt w:val="bullet"/>
      <w:lvlText w:val="•"/>
      <w:lvlJc w:val="left"/>
      <w:pPr>
        <w:ind w:left="6080" w:hanging="480"/>
      </w:pPr>
      <w:rPr>
        <w:rFonts w:hint="default"/>
      </w:rPr>
    </w:lvl>
    <w:lvl w:ilvl="6">
      <w:start w:val="0"/>
      <w:numFmt w:val="bullet"/>
      <w:lvlText w:val="•"/>
      <w:lvlJc w:val="left"/>
      <w:pPr>
        <w:ind w:left="6780" w:hanging="480"/>
      </w:pPr>
      <w:rPr>
        <w:rFonts w:hint="default"/>
      </w:rPr>
    </w:lvl>
    <w:lvl w:ilvl="7">
      <w:start w:val="0"/>
      <w:numFmt w:val="bullet"/>
      <w:lvlText w:val="•"/>
      <w:lvlJc w:val="left"/>
      <w:pPr>
        <w:ind w:left="7480" w:hanging="480"/>
      </w:pPr>
      <w:rPr>
        <w:rFonts w:hint="default"/>
      </w:rPr>
    </w:lvl>
    <w:lvl w:ilvl="8">
      <w:start w:val="0"/>
      <w:numFmt w:val="bullet"/>
      <w:lvlText w:val="•"/>
      <w:lvlJc w:val="left"/>
      <w:pPr>
        <w:ind w:left="8180" w:hanging="480"/>
      </w:pPr>
      <w:rPr>
        <w:rFonts w:hint="default"/>
      </w:rPr>
    </w:lvl>
  </w:abstractNum>
  <w:abstractNum w:abstractNumId="4">
    <w:multiLevelType w:val="hybridMultilevel"/>
    <w:lvl w:ilvl="0">
      <w:start w:val="1"/>
      <w:numFmt w:val="decimal"/>
      <w:lvlText w:val="（%1）"/>
      <w:lvlJc w:val="left"/>
      <w:pPr>
        <w:ind w:left="1032" w:hanging="720"/>
        <w:jc w:val="left"/>
      </w:pPr>
      <w:rPr>
        <w:rFonts w:hint="default" w:ascii="宋体" w:hAnsi="宋体" w:eastAsia="宋体" w:cs="宋体"/>
        <w:w w:val="100"/>
        <w:sz w:val="21"/>
        <w:szCs w:val="21"/>
      </w:rPr>
    </w:lvl>
    <w:lvl w:ilvl="1">
      <w:start w:val="0"/>
      <w:numFmt w:val="bullet"/>
      <w:lvlText w:val="•"/>
      <w:lvlJc w:val="left"/>
      <w:pPr>
        <w:ind w:left="1668" w:hanging="720"/>
      </w:pPr>
      <w:rPr>
        <w:rFonts w:hint="default"/>
      </w:rPr>
    </w:lvl>
    <w:lvl w:ilvl="2">
      <w:start w:val="0"/>
      <w:numFmt w:val="bullet"/>
      <w:lvlText w:val="•"/>
      <w:lvlJc w:val="left"/>
      <w:pPr>
        <w:ind w:left="2297" w:hanging="720"/>
      </w:pPr>
      <w:rPr>
        <w:rFonts w:hint="default"/>
      </w:rPr>
    </w:lvl>
    <w:lvl w:ilvl="3">
      <w:start w:val="0"/>
      <w:numFmt w:val="bullet"/>
      <w:lvlText w:val="•"/>
      <w:lvlJc w:val="left"/>
      <w:pPr>
        <w:ind w:left="2926" w:hanging="720"/>
      </w:pPr>
      <w:rPr>
        <w:rFonts w:hint="default"/>
      </w:rPr>
    </w:lvl>
    <w:lvl w:ilvl="4">
      <w:start w:val="0"/>
      <w:numFmt w:val="bullet"/>
      <w:lvlText w:val="•"/>
      <w:lvlJc w:val="left"/>
      <w:pPr>
        <w:ind w:left="3554" w:hanging="720"/>
      </w:pPr>
      <w:rPr>
        <w:rFonts w:hint="default"/>
      </w:rPr>
    </w:lvl>
    <w:lvl w:ilvl="5">
      <w:start w:val="0"/>
      <w:numFmt w:val="bullet"/>
      <w:lvlText w:val="•"/>
      <w:lvlJc w:val="left"/>
      <w:pPr>
        <w:ind w:left="4183" w:hanging="720"/>
      </w:pPr>
      <w:rPr>
        <w:rFonts w:hint="default"/>
      </w:rPr>
    </w:lvl>
    <w:lvl w:ilvl="6">
      <w:start w:val="0"/>
      <w:numFmt w:val="bullet"/>
      <w:lvlText w:val="•"/>
      <w:lvlJc w:val="left"/>
      <w:pPr>
        <w:ind w:left="4812" w:hanging="720"/>
      </w:pPr>
      <w:rPr>
        <w:rFonts w:hint="default"/>
      </w:rPr>
    </w:lvl>
    <w:lvl w:ilvl="7">
      <w:start w:val="0"/>
      <w:numFmt w:val="bullet"/>
      <w:lvlText w:val="•"/>
      <w:lvlJc w:val="left"/>
      <w:pPr>
        <w:ind w:left="5441" w:hanging="720"/>
      </w:pPr>
      <w:rPr>
        <w:rFonts w:hint="default"/>
      </w:rPr>
    </w:lvl>
    <w:lvl w:ilvl="8">
      <w:start w:val="0"/>
      <w:numFmt w:val="bullet"/>
      <w:lvlText w:val="•"/>
      <w:lvlJc w:val="left"/>
      <w:pPr>
        <w:ind w:left="6069" w:hanging="720"/>
      </w:pPr>
      <w:rPr>
        <w:rFonts w:hint="default"/>
      </w:rPr>
    </w:lvl>
  </w:abstractNum>
  <w:abstractNum w:abstractNumId="3">
    <w:multiLevelType w:val="hybridMultilevel"/>
    <w:lvl w:ilvl="0">
      <w:start w:val="5"/>
      <w:numFmt w:val="decimal"/>
      <w:lvlText w:val="%1"/>
      <w:lvlJc w:val="left"/>
      <w:pPr>
        <w:ind w:left="948" w:hanging="480"/>
        <w:jc w:val="left"/>
      </w:pPr>
      <w:rPr>
        <w:rFonts w:hint="default"/>
      </w:rPr>
    </w:lvl>
    <w:lvl w:ilvl="1">
      <w:start w:val="1"/>
      <w:numFmt w:val="decimal"/>
      <w:lvlText w:val="%1.%2"/>
      <w:lvlJc w:val="left"/>
      <w:pPr>
        <w:ind w:left="9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194" w:hanging="480"/>
      </w:pPr>
      <w:rPr>
        <w:rFonts w:hint="default"/>
      </w:rPr>
    </w:lvl>
    <w:lvl w:ilvl="3">
      <w:start w:val="0"/>
      <w:numFmt w:val="bullet"/>
      <w:lvlText w:val="•"/>
      <w:lvlJc w:val="left"/>
      <w:pPr>
        <w:ind w:left="1321" w:hanging="480"/>
      </w:pPr>
      <w:rPr>
        <w:rFonts w:hint="default"/>
      </w:rPr>
    </w:lvl>
    <w:lvl w:ilvl="4">
      <w:start w:val="0"/>
      <w:numFmt w:val="bullet"/>
      <w:lvlText w:val="•"/>
      <w:lvlJc w:val="left"/>
      <w:pPr>
        <w:ind w:left="1449" w:hanging="480"/>
      </w:pPr>
      <w:rPr>
        <w:rFonts w:hint="default"/>
      </w:rPr>
    </w:lvl>
    <w:lvl w:ilvl="5">
      <w:start w:val="0"/>
      <w:numFmt w:val="bullet"/>
      <w:lvlText w:val="•"/>
      <w:lvlJc w:val="left"/>
      <w:pPr>
        <w:ind w:left="1576" w:hanging="480"/>
      </w:pPr>
      <w:rPr>
        <w:rFonts w:hint="default"/>
      </w:rPr>
    </w:lvl>
    <w:lvl w:ilvl="6">
      <w:start w:val="0"/>
      <w:numFmt w:val="bullet"/>
      <w:lvlText w:val="•"/>
      <w:lvlJc w:val="left"/>
      <w:pPr>
        <w:ind w:left="1703" w:hanging="480"/>
      </w:pPr>
      <w:rPr>
        <w:rFonts w:hint="default"/>
      </w:rPr>
    </w:lvl>
    <w:lvl w:ilvl="7">
      <w:start w:val="0"/>
      <w:numFmt w:val="bullet"/>
      <w:lvlText w:val="•"/>
      <w:lvlJc w:val="left"/>
      <w:pPr>
        <w:ind w:left="1830" w:hanging="480"/>
      </w:pPr>
      <w:rPr>
        <w:rFonts w:hint="default"/>
      </w:rPr>
    </w:lvl>
    <w:lvl w:ilvl="8">
      <w:start w:val="0"/>
      <w:numFmt w:val="bullet"/>
      <w:lvlText w:val="•"/>
      <w:lvlJc w:val="left"/>
      <w:pPr>
        <w:ind w:left="1958" w:hanging="480"/>
      </w:pPr>
      <w:rPr>
        <w:rFonts w:hint="default"/>
      </w:rPr>
    </w:lvl>
  </w:abstractNum>
  <w:abstractNum w:abstractNumId="2">
    <w:multiLevelType w:val="hybridMultilevel"/>
    <w:lvl w:ilvl="0">
      <w:start w:val="2"/>
      <w:numFmt w:val="decimal"/>
      <w:lvlText w:val="%1"/>
      <w:lvlJc w:val="left"/>
      <w:pPr>
        <w:ind w:left="2565" w:hanging="481"/>
        <w:jc w:val="left"/>
      </w:pPr>
      <w:rPr>
        <w:rFonts w:hint="default"/>
      </w:rPr>
    </w:lvl>
    <w:lvl w:ilvl="1">
      <w:start w:val="1"/>
      <w:numFmt w:val="decimal"/>
      <w:lvlText w:val="%1.%2"/>
      <w:lvlJc w:val="left"/>
      <w:pPr>
        <w:ind w:left="2565"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964" w:hanging="481"/>
      </w:pPr>
      <w:rPr>
        <w:rFonts w:hint="default"/>
      </w:rPr>
    </w:lvl>
    <w:lvl w:ilvl="3">
      <w:start w:val="0"/>
      <w:numFmt w:val="bullet"/>
      <w:lvlText w:val="•"/>
      <w:lvlJc w:val="left"/>
      <w:pPr>
        <w:ind w:left="4666" w:hanging="481"/>
      </w:pPr>
      <w:rPr>
        <w:rFonts w:hint="default"/>
      </w:rPr>
    </w:lvl>
    <w:lvl w:ilvl="4">
      <w:start w:val="0"/>
      <w:numFmt w:val="bullet"/>
      <w:lvlText w:val="•"/>
      <w:lvlJc w:val="left"/>
      <w:pPr>
        <w:ind w:left="5368" w:hanging="481"/>
      </w:pPr>
      <w:rPr>
        <w:rFonts w:hint="default"/>
      </w:rPr>
    </w:lvl>
    <w:lvl w:ilvl="5">
      <w:start w:val="0"/>
      <w:numFmt w:val="bullet"/>
      <w:lvlText w:val="•"/>
      <w:lvlJc w:val="left"/>
      <w:pPr>
        <w:ind w:left="6070" w:hanging="481"/>
      </w:pPr>
      <w:rPr>
        <w:rFonts w:hint="default"/>
      </w:rPr>
    </w:lvl>
    <w:lvl w:ilvl="6">
      <w:start w:val="0"/>
      <w:numFmt w:val="bullet"/>
      <w:lvlText w:val="•"/>
      <w:lvlJc w:val="left"/>
      <w:pPr>
        <w:ind w:left="6772" w:hanging="481"/>
      </w:pPr>
      <w:rPr>
        <w:rFonts w:hint="default"/>
      </w:rPr>
    </w:lvl>
    <w:lvl w:ilvl="7">
      <w:start w:val="0"/>
      <w:numFmt w:val="bullet"/>
      <w:lvlText w:val="•"/>
      <w:lvlJc w:val="left"/>
      <w:pPr>
        <w:ind w:left="7474" w:hanging="481"/>
      </w:pPr>
      <w:rPr>
        <w:rFonts w:hint="default"/>
      </w:rPr>
    </w:lvl>
    <w:lvl w:ilvl="8">
      <w:start w:val="0"/>
      <w:numFmt w:val="bullet"/>
      <w:lvlText w:val="•"/>
      <w:lvlJc w:val="left"/>
      <w:pPr>
        <w:ind w:left="8176" w:hanging="481"/>
      </w:pPr>
      <w:rPr>
        <w:rFonts w:hint="default"/>
      </w:rPr>
    </w:lvl>
  </w:abstractNum>
  <w:abstractNum w:abstractNumId="1">
    <w:multiLevelType w:val="hybridMultilevel"/>
    <w:lvl w:ilvl="0">
      <w:start w:val="1"/>
      <w:numFmt w:val="decimal"/>
      <w:lvlText w:val="%1"/>
      <w:lvlJc w:val="left"/>
      <w:pPr>
        <w:ind w:left="948" w:hanging="480"/>
        <w:jc w:val="left"/>
      </w:pPr>
      <w:rPr>
        <w:rFonts w:hint="default"/>
      </w:rPr>
    </w:lvl>
    <w:lvl w:ilvl="1">
      <w:start w:val="1"/>
      <w:numFmt w:val="decimal"/>
      <w:lvlText w:val="%1.%2"/>
      <w:lvlJc w:val="left"/>
      <w:pPr>
        <w:ind w:left="9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194" w:hanging="480"/>
      </w:pPr>
      <w:rPr>
        <w:rFonts w:hint="default"/>
      </w:rPr>
    </w:lvl>
    <w:lvl w:ilvl="3">
      <w:start w:val="0"/>
      <w:numFmt w:val="bullet"/>
      <w:lvlText w:val="•"/>
      <w:lvlJc w:val="left"/>
      <w:pPr>
        <w:ind w:left="1321" w:hanging="480"/>
      </w:pPr>
      <w:rPr>
        <w:rFonts w:hint="default"/>
      </w:rPr>
    </w:lvl>
    <w:lvl w:ilvl="4">
      <w:start w:val="0"/>
      <w:numFmt w:val="bullet"/>
      <w:lvlText w:val="•"/>
      <w:lvlJc w:val="left"/>
      <w:pPr>
        <w:ind w:left="1449" w:hanging="480"/>
      </w:pPr>
      <w:rPr>
        <w:rFonts w:hint="default"/>
      </w:rPr>
    </w:lvl>
    <w:lvl w:ilvl="5">
      <w:start w:val="0"/>
      <w:numFmt w:val="bullet"/>
      <w:lvlText w:val="•"/>
      <w:lvlJc w:val="left"/>
      <w:pPr>
        <w:ind w:left="1576" w:hanging="480"/>
      </w:pPr>
      <w:rPr>
        <w:rFonts w:hint="default"/>
      </w:rPr>
    </w:lvl>
    <w:lvl w:ilvl="6">
      <w:start w:val="0"/>
      <w:numFmt w:val="bullet"/>
      <w:lvlText w:val="•"/>
      <w:lvlJc w:val="left"/>
      <w:pPr>
        <w:ind w:left="1703" w:hanging="480"/>
      </w:pPr>
      <w:rPr>
        <w:rFonts w:hint="default"/>
      </w:rPr>
    </w:lvl>
    <w:lvl w:ilvl="7">
      <w:start w:val="0"/>
      <w:numFmt w:val="bullet"/>
      <w:lvlText w:val="•"/>
      <w:lvlJc w:val="left"/>
      <w:pPr>
        <w:ind w:left="1830" w:hanging="480"/>
      </w:pPr>
      <w:rPr>
        <w:rFonts w:hint="default"/>
      </w:rPr>
    </w:lvl>
    <w:lvl w:ilvl="8">
      <w:start w:val="0"/>
      <w:numFmt w:val="bullet"/>
      <w:lvlText w:val="•"/>
      <w:lvlJc w:val="left"/>
      <w:pPr>
        <w:ind w:left="1958"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6"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169" w:right="3683"/>
      <w:jc w:val="center"/>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636" w:hanging="48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中英人寿附加心福传家提前给付重大疾病保险（不含批注）--Final</dc:title>
  <dcterms:created xsi:type="dcterms:W3CDTF">2018-10-19T22:26:38Z</dcterms:created>
  <dcterms:modified xsi:type="dcterms:W3CDTF">2018-10-19T22:26:38Z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2016-09-07T00:00:00Z</vt:filetime>
  </property>
  <property fmtid="{D5CDD505-2E9C-101B-9397-08002B2CF9AE}" pid="3" name="Creator">
    <vt:lpwstr>PDFCreator 1.9.1.0</vt:lpwstr>
  </property>
  <property fmtid="{D5CDD505-2E9C-101B-9397-08002B2CF9AE}" pid="4" name="LastSaved">
    <vt:filetime>2018-10-19T00:00:00Z</vt:filetime>
  </property>
</Properties>
</file>