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13" w:firstLine="0"/>
        <w:jc w:val="right"/>
        <w:rPr>
          <w:sz w:val="16"/>
        </w:rPr>
      </w:pPr>
      <w:r>
        <w:rPr/>
        <w:drawing>
          <wp:anchor distT="0" distB="0" distL="0" distR="0" allowOverlap="1" layoutInCell="1" locked="0" behindDoc="0" simplePos="0" relativeHeight="1072">
            <wp:simplePos x="0" y="0"/>
            <wp:positionH relativeFrom="page">
              <wp:posOffset>6400038</wp:posOffset>
            </wp:positionH>
            <wp:positionV relativeFrom="paragraph">
              <wp:posOffset>237160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海康人寿[2010]疾病保险 018 号</w:t>
      </w:r>
    </w:p>
    <w:p>
      <w:pPr>
        <w:pStyle w:val="BodyText"/>
        <w:ind w:left="0"/>
        <w:rPr>
          <w:sz w:val="16"/>
        </w:rPr>
      </w:pPr>
    </w:p>
    <w:p>
      <w:pPr>
        <w:pStyle w:val="BodyText"/>
        <w:ind w:left="0"/>
        <w:rPr>
          <w:sz w:val="16"/>
        </w:rPr>
      </w:pPr>
    </w:p>
    <w:p>
      <w:pPr>
        <w:pStyle w:val="Heading1"/>
        <w:spacing w:before="126"/>
      </w:pPr>
      <w:r>
        <w:rPr/>
        <w:t>海康附加「金色华年」重大疾病保险（</w:t>
      </w:r>
      <w:r>
        <w:rPr>
          <w:rFonts w:ascii="Arial" w:eastAsia="Arial"/>
        </w:rPr>
        <w:t>B </w:t>
      </w:r>
      <w:r>
        <w:rPr/>
        <w:t>款）条款</w:t>
      </w:r>
    </w:p>
    <w:p>
      <w:pPr>
        <w:pStyle w:val="BodyText"/>
        <w:spacing w:before="10"/>
        <w:ind w:left="0"/>
        <w:rPr>
          <w:rFonts w:ascii="微软雅黑"/>
          <w:b/>
          <w:sz w:val="7"/>
        </w:rPr>
      </w:pPr>
    </w:p>
    <w:p>
      <w:pPr>
        <w:spacing w:after="0"/>
        <w:rPr>
          <w:rFonts w:ascii="微软雅黑"/>
          <w:sz w:val="7"/>
        </w:rPr>
        <w:sectPr>
          <w:type w:val="continuous"/>
          <w:pgSz w:w="11910" w:h="16840"/>
          <w:pgMar w:top="560" w:bottom="280" w:left="1300" w:right="20"/>
        </w:sectPr>
      </w:pPr>
    </w:p>
    <w:p>
      <w:pPr>
        <w:spacing w:before="323"/>
        <w:ind w:left="1311" w:right="462" w:firstLine="0"/>
        <w:jc w:val="center"/>
        <w:rPr>
          <w:sz w:val="32"/>
        </w:rPr>
      </w:pPr>
      <w:r>
        <w:rPr>
          <w:sz w:val="32"/>
        </w:rPr>
        <w:t>阅 读 指 引</w:t>
      </w:r>
    </w:p>
    <w:p>
      <w:pPr>
        <w:pStyle w:val="BodyText"/>
        <w:spacing w:before="8"/>
        <w:ind w:left="0"/>
        <w:rPr>
          <w:sz w:val="34"/>
        </w:rPr>
      </w:pPr>
    </w:p>
    <w:p>
      <w:pPr>
        <w:pStyle w:val="BodyText"/>
        <w:ind w:left="1373" w:right="462"/>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BodyText"/>
        <w:spacing w:before="10"/>
        <w:ind w:left="0"/>
        <w:rPr>
          <w:sz w:val="35"/>
        </w:rPr>
      </w:pPr>
    </w:p>
    <w:p>
      <w:pPr>
        <w:spacing w:before="0"/>
        <w:ind w:left="118" w:right="0" w:firstLine="0"/>
        <w:jc w:val="left"/>
        <w:rPr>
          <w:b/>
          <w:sz w:val="24"/>
        </w:rPr>
      </w:pPr>
      <w:r>
        <w:rPr>
          <w:rFonts w:ascii="Wingdings" w:hAnsi="Wingdings" w:eastAsia="Wingdings"/>
          <w:sz w:val="24"/>
        </w:rPr>
        <w:t></w:t>
      </w:r>
      <w:r>
        <w:rPr>
          <w:rFonts w:ascii="Times New Roman" w:hAnsi="Times New Roman" w:eastAsia="Times New Roman"/>
          <w:sz w:val="24"/>
        </w:rPr>
        <w:t>  </w:t>
      </w:r>
      <w:r>
        <w:rPr>
          <w:b/>
          <w:sz w:val="24"/>
        </w:rPr>
        <w:t>您拥有的重要权益</w:t>
      </w:r>
    </w:p>
    <w:p>
      <w:pPr>
        <w:pStyle w:val="BodyText"/>
        <w:tabs>
          <w:tab w:pos="8358" w:val="right" w:leader="dot"/>
        </w:tabs>
        <w:spacing w:before="160"/>
        <w:ind w:left="118"/>
        <w:rPr>
          <w:rFonts w:ascii="Times New Roman" w:eastAsia="Times New Roman"/>
        </w:rPr>
      </w:pPr>
      <w:r>
        <w:rPr/>
        <w:t>本附加合同提供的保障.</w:t>
        <w:tab/>
      </w:r>
      <w:r>
        <w:rPr>
          <w:rFonts w:ascii="Times New Roman" w:eastAsia="Times New Roman"/>
        </w:rPr>
        <w:t>2.3</w:t>
      </w:r>
    </w:p>
    <w:p>
      <w:pPr>
        <w:pStyle w:val="BodyText"/>
        <w:tabs>
          <w:tab w:pos="8199" w:val="right" w:leader="dot"/>
        </w:tabs>
        <w:spacing w:before="20"/>
        <w:ind w:left="118"/>
        <w:rPr>
          <w:rFonts w:ascii="Times New Roman" w:eastAsia="Times New Roman"/>
        </w:rPr>
      </w:pPr>
      <w:r>
        <w:rPr/>
        <w:t>您享有的现金价值权益.</w:t>
        <w:tab/>
      </w:r>
      <w:r>
        <w:rPr>
          <w:rFonts w:ascii="Times New Roman" w:eastAsia="Times New Roman"/>
        </w:rPr>
        <w:t>4</w:t>
      </w:r>
    </w:p>
    <w:p>
      <w:pPr>
        <w:pStyle w:val="BodyText"/>
        <w:tabs>
          <w:tab w:pos="8358" w:val="right" w:leader="dot"/>
        </w:tabs>
        <w:spacing w:before="20"/>
        <w:ind w:left="118"/>
        <w:rPr>
          <w:rFonts w:ascii="Times New Roman" w:eastAsia="Times New Roman"/>
        </w:rPr>
      </w:pPr>
      <w:r>
        <w:rPr/>
        <w:t>您有解除合同的权利.</w:t>
        <w:tab/>
      </w:r>
      <w:r>
        <w:rPr>
          <w:rFonts w:ascii="Times New Roman" w:eastAsia="Times New Roman"/>
        </w:rPr>
        <w:t>5.1</w:t>
      </w:r>
    </w:p>
    <w:p>
      <w:pPr>
        <w:pStyle w:val="Heading2"/>
        <w:spacing w:before="464"/>
        <w:ind w:left="118" w:firstLine="0"/>
      </w:pPr>
      <w:r>
        <w:rPr>
          <w:rFonts w:ascii="Wingdings" w:hAnsi="Wingdings" w:eastAsia="Wingdings"/>
          <w:b w:val="0"/>
        </w:rPr>
        <w:t></w:t>
      </w:r>
      <w:r>
        <w:rPr>
          <w:rFonts w:ascii="Times New Roman" w:hAnsi="Times New Roman" w:eastAsia="Times New Roman"/>
          <w:b w:val="0"/>
        </w:rPr>
        <w:t> </w:t>
      </w:r>
      <w:r>
        <w:rPr/>
        <w:t>您应当特别注意的事项</w:t>
      </w:r>
    </w:p>
    <w:p>
      <w:pPr>
        <w:pStyle w:val="BodyText"/>
        <w:tabs>
          <w:tab w:pos="8359" w:val="right" w:leader="dot"/>
        </w:tabs>
        <w:spacing w:before="160"/>
        <w:ind w:left="118"/>
        <w:rPr>
          <w:rFonts w:ascii="Times New Roman" w:eastAsia="Times New Roman"/>
        </w:rPr>
      </w:pPr>
      <w:r>
        <w:rPr/>
        <w:t>在某些情况下，我们不承担保险责任.</w:t>
        <w:tab/>
      </w:r>
      <w:r>
        <w:rPr>
          <w:rFonts w:ascii="Times New Roman" w:eastAsia="Times New Roman"/>
        </w:rPr>
        <w:t>2.4</w:t>
      </w:r>
    </w:p>
    <w:p>
      <w:pPr>
        <w:pStyle w:val="BodyText"/>
        <w:tabs>
          <w:tab w:pos="8358" w:val="right" w:leader="dot"/>
        </w:tabs>
        <w:spacing w:before="20"/>
        <w:ind w:left="118"/>
        <w:rPr>
          <w:rFonts w:ascii="Times New Roman" w:eastAsia="Times New Roman"/>
        </w:rPr>
      </w:pPr>
      <w:r>
        <w:rPr/>
        <w:t>保险事故发生后请您及时通知我们.</w:t>
        <w:tab/>
      </w:r>
      <w:r>
        <w:rPr>
          <w:rFonts w:ascii="Times New Roman" w:eastAsia="Times New Roman"/>
        </w:rPr>
        <w:t>3.1</w:t>
      </w:r>
    </w:p>
    <w:p>
      <w:pPr>
        <w:pStyle w:val="BodyText"/>
        <w:tabs>
          <w:tab w:pos="8359" w:val="right" w:leader="dot"/>
        </w:tabs>
        <w:spacing w:before="20"/>
        <w:ind w:left="118"/>
        <w:rPr>
          <w:rFonts w:ascii="Times New Roman" w:eastAsia="Times New Roman"/>
        </w:rPr>
      </w:pPr>
      <w:r>
        <w:rPr/>
        <w:t>解除合同会给您造成一定的损失，请您慎重决策.</w:t>
        <w:tab/>
      </w:r>
      <w:r>
        <w:rPr>
          <w:rFonts w:ascii="Times New Roman" w:eastAsia="Times New Roman"/>
        </w:rPr>
        <w:t>5.1</w:t>
      </w:r>
    </w:p>
    <w:p>
      <w:pPr>
        <w:pStyle w:val="BodyText"/>
        <w:tabs>
          <w:tab w:pos="8202" w:val="right" w:leader="dot"/>
        </w:tabs>
        <w:spacing w:before="20"/>
        <w:ind w:left="118"/>
        <w:rPr>
          <w:rFonts w:ascii="Times New Roman" w:eastAsia="Times New Roman"/>
        </w:rPr>
      </w:pPr>
      <w:r>
        <w:rPr/>
        <w:t>我们对一些重要术语进行了解释，并作了显著标识，请您注意.</w:t>
        <w:tab/>
      </w:r>
      <w:r>
        <w:rPr>
          <w:rFonts w:ascii="Times New Roman" w:eastAsia="Times New Roman"/>
        </w:rPr>
        <w:t>6</w:t>
      </w:r>
    </w:p>
    <w:p>
      <w:pPr>
        <w:pStyle w:val="Heading2"/>
        <w:spacing w:before="464"/>
        <w:ind w:left="118" w:firstLine="0"/>
      </w:pPr>
      <w:r>
        <w:rPr>
          <w:rFonts w:ascii="Wingdings" w:hAnsi="Wingdings" w:eastAsia="Wingdings"/>
          <w:b w:val="0"/>
        </w:rPr>
        <w:t></w:t>
      </w:r>
      <w:r>
        <w:rPr>
          <w:rFonts w:ascii="Times New Roman" w:hAnsi="Times New Roman" w:eastAsia="Times New Roman"/>
          <w:b w:val="0"/>
          <w:spacing w:val="58"/>
        </w:rPr>
        <w:t> </w:t>
      </w:r>
      <w:r>
        <w:rPr/>
        <w:t>条款是保险合同的重要内容，为充分保障您的权益，请您仔细阅读本条款。</w:t>
      </w:r>
    </w:p>
    <w:p>
      <w:pPr>
        <w:spacing w:before="50"/>
        <w:ind w:left="92" w:right="0" w:firstLine="0"/>
        <w:jc w:val="left"/>
        <w:rPr>
          <w:sz w:val="16"/>
        </w:rPr>
      </w:pPr>
      <w:r>
        <w:rPr/>
        <w:br w:type="column"/>
      </w:r>
      <w:r>
        <w:rPr>
          <w:w w:val="95"/>
          <w:sz w:val="16"/>
        </w:rPr>
        <w:t>请扫描以查询验证条款</w:t>
      </w:r>
    </w:p>
    <w:p>
      <w:pPr>
        <w:spacing w:after="0"/>
        <w:jc w:val="left"/>
        <w:rPr>
          <w:sz w:val="16"/>
        </w:rPr>
        <w:sectPr>
          <w:type w:val="continuous"/>
          <w:pgSz w:w="11910" w:h="16840"/>
          <w:pgMar w:top="560" w:bottom="280" w:left="1300" w:right="20"/>
          <w:cols w:num="2" w:equalWidth="0">
            <w:col w:w="8418" w:space="40"/>
            <w:col w:w="2132"/>
          </w:cols>
        </w:sectPr>
      </w:pPr>
    </w:p>
    <w:p>
      <w:pPr>
        <w:pStyle w:val="BodyText"/>
        <w:spacing w:before="4"/>
        <w:ind w:left="0"/>
        <w:rPr>
          <w:sz w:val="34"/>
        </w:rPr>
      </w:pPr>
    </w:p>
    <w:p>
      <w:pPr>
        <w:spacing w:before="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条款目录</w:t>
      </w:r>
    </w:p>
    <w:p>
      <w:pPr>
        <w:pStyle w:val="BodyText"/>
        <w:spacing w:before="2"/>
        <w:ind w:left="0"/>
        <w:rPr>
          <w:b/>
          <w:sz w:val="24"/>
        </w:rPr>
      </w:pPr>
    </w:p>
    <w:p>
      <w:pPr>
        <w:pStyle w:val="Heading3"/>
        <w:numPr>
          <w:ilvl w:val="0"/>
          <w:numId w:val="1"/>
        </w:numPr>
        <w:tabs>
          <w:tab w:pos="478" w:val="left" w:leader="none"/>
          <w:tab w:pos="479" w:val="left" w:leader="none"/>
        </w:tabs>
        <w:spacing w:line="240" w:lineRule="auto" w:before="0" w:after="0"/>
        <w:ind w:left="478" w:right="0" w:hanging="360"/>
        <w:jc w:val="left"/>
      </w:pPr>
      <w:r>
        <w:rPr>
          <w:w w:val="95"/>
        </w:rPr>
        <w:t>您与我们订立的合同</w:t>
      </w:r>
    </w:p>
    <w:p>
      <w:pPr>
        <w:pStyle w:val="ListParagraph"/>
        <w:numPr>
          <w:ilvl w:val="1"/>
          <w:numId w:val="1"/>
        </w:numPr>
        <w:tabs>
          <w:tab w:pos="716" w:val="left" w:leader="none"/>
        </w:tabs>
        <w:spacing w:line="240" w:lineRule="auto" w:before="21" w:after="0"/>
        <w:ind w:left="715" w:right="0" w:hanging="420"/>
        <w:jc w:val="left"/>
        <w:rPr>
          <w:sz w:val="21"/>
        </w:rPr>
      </w:pPr>
      <w:r>
        <w:rPr>
          <w:sz w:val="21"/>
        </w:rPr>
        <w:t>合同构成</w:t>
      </w:r>
    </w:p>
    <w:p>
      <w:pPr>
        <w:pStyle w:val="ListParagraph"/>
        <w:numPr>
          <w:ilvl w:val="1"/>
          <w:numId w:val="1"/>
        </w:numPr>
        <w:tabs>
          <w:tab w:pos="716" w:val="left" w:leader="none"/>
        </w:tabs>
        <w:spacing w:line="240" w:lineRule="auto" w:before="21" w:after="0"/>
        <w:ind w:left="715" w:right="0" w:hanging="420"/>
        <w:jc w:val="left"/>
        <w:rPr>
          <w:sz w:val="21"/>
        </w:rPr>
      </w:pPr>
      <w:r>
        <w:rPr>
          <w:sz w:val="21"/>
        </w:rPr>
        <w:t>投保范围</w:t>
      </w:r>
    </w:p>
    <w:p>
      <w:pPr>
        <w:pStyle w:val="ListParagraph"/>
        <w:numPr>
          <w:ilvl w:val="1"/>
          <w:numId w:val="1"/>
        </w:numPr>
        <w:tabs>
          <w:tab w:pos="716" w:val="left" w:leader="none"/>
        </w:tabs>
        <w:spacing w:line="240" w:lineRule="auto" w:before="21" w:after="0"/>
        <w:ind w:left="715" w:right="0" w:hanging="420"/>
        <w:jc w:val="left"/>
        <w:rPr>
          <w:sz w:val="21"/>
        </w:rPr>
      </w:pPr>
      <w:r>
        <w:rPr>
          <w:sz w:val="21"/>
        </w:rPr>
        <w:t>合同成立与生效</w:t>
      </w:r>
    </w:p>
    <w:p>
      <w:pPr>
        <w:pStyle w:val="ListParagraph"/>
        <w:numPr>
          <w:ilvl w:val="1"/>
          <w:numId w:val="1"/>
        </w:numPr>
        <w:tabs>
          <w:tab w:pos="716" w:val="left" w:leader="none"/>
        </w:tabs>
        <w:spacing w:line="240" w:lineRule="auto" w:before="21" w:after="0"/>
        <w:ind w:left="715" w:right="0" w:hanging="420"/>
        <w:jc w:val="left"/>
        <w:rPr>
          <w:sz w:val="21"/>
        </w:rPr>
      </w:pPr>
      <w:r>
        <w:rPr>
          <w:sz w:val="21"/>
        </w:rPr>
        <w:t>合同终止</w:t>
      </w:r>
    </w:p>
    <w:p>
      <w:pPr>
        <w:pStyle w:val="Heading3"/>
        <w:numPr>
          <w:ilvl w:val="0"/>
          <w:numId w:val="1"/>
        </w:numPr>
        <w:tabs>
          <w:tab w:pos="478" w:val="left" w:leader="none"/>
          <w:tab w:pos="479" w:val="left" w:leader="none"/>
        </w:tabs>
        <w:spacing w:line="240" w:lineRule="auto" w:before="177" w:after="0"/>
        <w:ind w:left="478" w:right="0" w:hanging="360"/>
        <w:jc w:val="left"/>
      </w:pPr>
      <w:r>
        <w:rPr>
          <w:w w:val="95"/>
        </w:rPr>
        <w:t>我们提供的保障</w:t>
      </w:r>
    </w:p>
    <w:p>
      <w:pPr>
        <w:pStyle w:val="ListParagraph"/>
        <w:numPr>
          <w:ilvl w:val="1"/>
          <w:numId w:val="1"/>
        </w:numPr>
        <w:tabs>
          <w:tab w:pos="716" w:val="left" w:leader="none"/>
        </w:tabs>
        <w:spacing w:line="240" w:lineRule="auto" w:before="21" w:after="0"/>
        <w:ind w:left="715" w:right="0" w:hanging="420"/>
        <w:jc w:val="left"/>
        <w:rPr>
          <w:sz w:val="21"/>
        </w:rPr>
      </w:pPr>
      <w:r>
        <w:rPr>
          <w:sz w:val="21"/>
        </w:rPr>
        <w:t>基本保险金额</w:t>
      </w:r>
    </w:p>
    <w:p>
      <w:pPr>
        <w:pStyle w:val="ListParagraph"/>
        <w:numPr>
          <w:ilvl w:val="1"/>
          <w:numId w:val="1"/>
        </w:numPr>
        <w:tabs>
          <w:tab w:pos="716" w:val="left" w:leader="none"/>
        </w:tabs>
        <w:spacing w:line="240" w:lineRule="auto" w:before="21" w:after="0"/>
        <w:ind w:left="715" w:right="0" w:hanging="420"/>
        <w:jc w:val="left"/>
        <w:rPr>
          <w:sz w:val="21"/>
        </w:rPr>
      </w:pPr>
      <w:r>
        <w:rPr>
          <w:sz w:val="21"/>
        </w:rPr>
        <w:t>保险期间</w:t>
      </w:r>
    </w:p>
    <w:p>
      <w:pPr>
        <w:pStyle w:val="ListParagraph"/>
        <w:numPr>
          <w:ilvl w:val="1"/>
          <w:numId w:val="1"/>
        </w:numPr>
        <w:tabs>
          <w:tab w:pos="716" w:val="left" w:leader="none"/>
        </w:tabs>
        <w:spacing w:line="240" w:lineRule="auto" w:before="21" w:after="0"/>
        <w:ind w:left="715" w:right="0" w:hanging="420"/>
        <w:jc w:val="left"/>
        <w:rPr>
          <w:sz w:val="21"/>
        </w:rPr>
      </w:pPr>
      <w:r>
        <w:rPr>
          <w:sz w:val="21"/>
        </w:rPr>
        <w:t>保险责任</w:t>
      </w:r>
    </w:p>
    <w:p>
      <w:pPr>
        <w:pStyle w:val="ListParagraph"/>
        <w:numPr>
          <w:ilvl w:val="1"/>
          <w:numId w:val="1"/>
        </w:numPr>
        <w:tabs>
          <w:tab w:pos="716" w:val="left" w:leader="none"/>
        </w:tabs>
        <w:spacing w:line="240" w:lineRule="auto" w:before="21" w:after="0"/>
        <w:ind w:left="715" w:right="0" w:hanging="420"/>
        <w:jc w:val="left"/>
        <w:rPr>
          <w:sz w:val="21"/>
        </w:rPr>
      </w:pPr>
      <w:r>
        <w:rPr>
          <w:sz w:val="21"/>
        </w:rPr>
        <w:t>责任免除</w:t>
      </w:r>
    </w:p>
    <w:p>
      <w:pPr>
        <w:pStyle w:val="Heading3"/>
        <w:numPr>
          <w:ilvl w:val="0"/>
          <w:numId w:val="1"/>
        </w:numPr>
        <w:tabs>
          <w:tab w:pos="478" w:val="left" w:leader="none"/>
          <w:tab w:pos="479" w:val="left" w:leader="none"/>
        </w:tabs>
        <w:spacing w:line="240" w:lineRule="auto" w:before="177" w:after="0"/>
        <w:ind w:left="478" w:right="0" w:hanging="360"/>
        <w:jc w:val="left"/>
      </w:pPr>
      <w:r>
        <w:rPr>
          <w:w w:val="95"/>
        </w:rPr>
        <w:t>保险金的申请</w:t>
      </w:r>
    </w:p>
    <w:p>
      <w:pPr>
        <w:pStyle w:val="ListParagraph"/>
        <w:numPr>
          <w:ilvl w:val="1"/>
          <w:numId w:val="1"/>
        </w:numPr>
        <w:tabs>
          <w:tab w:pos="716" w:val="left" w:leader="none"/>
        </w:tabs>
        <w:spacing w:line="240" w:lineRule="auto" w:before="21" w:after="0"/>
        <w:ind w:left="715" w:right="0" w:hanging="420"/>
        <w:jc w:val="left"/>
        <w:rPr>
          <w:sz w:val="21"/>
        </w:rPr>
      </w:pPr>
      <w:r>
        <w:rPr>
          <w:sz w:val="21"/>
        </w:rPr>
        <w:t>保险事故通知</w:t>
      </w:r>
    </w:p>
    <w:p>
      <w:pPr>
        <w:pStyle w:val="ListParagraph"/>
        <w:numPr>
          <w:ilvl w:val="1"/>
          <w:numId w:val="1"/>
        </w:numPr>
        <w:tabs>
          <w:tab w:pos="716" w:val="left" w:leader="none"/>
        </w:tabs>
        <w:spacing w:line="240" w:lineRule="auto" w:before="21" w:after="0"/>
        <w:ind w:left="715" w:right="0" w:hanging="420"/>
        <w:jc w:val="left"/>
        <w:rPr>
          <w:sz w:val="21"/>
        </w:rPr>
      </w:pPr>
      <w:r>
        <w:rPr>
          <w:sz w:val="21"/>
        </w:rPr>
        <w:t>保险金申请</w:t>
      </w:r>
    </w:p>
    <w:p>
      <w:pPr>
        <w:pStyle w:val="BodyText"/>
        <w:ind w:left="0"/>
        <w:rPr>
          <w:sz w:val="22"/>
        </w:rPr>
      </w:pPr>
      <w:r>
        <w:rPr/>
        <w:br w:type="column"/>
      </w:r>
      <w:r>
        <w:rPr>
          <w:sz w:val="22"/>
        </w:rPr>
      </w:r>
    </w:p>
    <w:p>
      <w:pPr>
        <w:pStyle w:val="BodyText"/>
        <w:ind w:left="0"/>
        <w:rPr>
          <w:sz w:val="22"/>
        </w:rPr>
      </w:pPr>
    </w:p>
    <w:p>
      <w:pPr>
        <w:pStyle w:val="BodyText"/>
        <w:spacing w:before="11"/>
        <w:ind w:left="0"/>
        <w:rPr>
          <w:sz w:val="27"/>
        </w:rPr>
      </w:pPr>
    </w:p>
    <w:p>
      <w:pPr>
        <w:pStyle w:val="ListParagraph"/>
        <w:numPr>
          <w:ilvl w:val="1"/>
          <w:numId w:val="1"/>
        </w:numPr>
        <w:tabs>
          <w:tab w:pos="716" w:val="left" w:leader="none"/>
        </w:tabs>
        <w:spacing w:line="240" w:lineRule="auto" w:before="0" w:after="0"/>
        <w:ind w:left="715" w:right="0" w:hanging="420"/>
        <w:jc w:val="left"/>
        <w:rPr>
          <w:sz w:val="21"/>
        </w:rPr>
      </w:pPr>
      <w:r>
        <w:rPr>
          <w:sz w:val="21"/>
        </w:rPr>
        <w:t>诉讼时效</w:t>
      </w:r>
    </w:p>
    <w:p>
      <w:pPr>
        <w:pStyle w:val="Heading3"/>
        <w:numPr>
          <w:ilvl w:val="0"/>
          <w:numId w:val="1"/>
        </w:numPr>
        <w:tabs>
          <w:tab w:pos="478" w:val="left" w:leader="none"/>
          <w:tab w:pos="479" w:val="left" w:leader="none"/>
        </w:tabs>
        <w:spacing w:line="240" w:lineRule="auto" w:before="176" w:after="0"/>
        <w:ind w:left="478" w:right="0" w:hanging="360"/>
        <w:jc w:val="left"/>
      </w:pPr>
      <w:r>
        <w:rPr/>
        <w:pict>
          <v:line style="position:absolute;mso-position-horizontal-relative:page;mso-position-vertical-relative:paragraph;z-index:0" from="220.289993pt,-13.855762pt" to="220.289993pt,212.344238pt" stroked="true" strokeweight=".78pt" strokecolor="#000000">
            <v:stroke dashstyle="solid"/>
            <w10:wrap type="none"/>
          </v:line>
        </w:pict>
      </w:r>
      <w:r>
        <w:rPr>
          <w:w w:val="95"/>
        </w:rPr>
        <w:t>现金价值权益</w:t>
      </w:r>
    </w:p>
    <w:p>
      <w:pPr>
        <w:pStyle w:val="ListParagraph"/>
        <w:numPr>
          <w:ilvl w:val="1"/>
          <w:numId w:val="1"/>
        </w:numPr>
        <w:tabs>
          <w:tab w:pos="716" w:val="left" w:leader="none"/>
        </w:tabs>
        <w:spacing w:line="240" w:lineRule="auto" w:before="20" w:after="0"/>
        <w:ind w:left="715" w:right="0" w:hanging="420"/>
        <w:jc w:val="left"/>
        <w:rPr>
          <w:sz w:val="21"/>
        </w:rPr>
      </w:pPr>
      <w:r>
        <w:rPr>
          <w:sz w:val="21"/>
        </w:rPr>
        <w:t>现金价值</w:t>
      </w:r>
    </w:p>
    <w:p>
      <w:pPr>
        <w:pStyle w:val="Heading3"/>
        <w:numPr>
          <w:ilvl w:val="0"/>
          <w:numId w:val="1"/>
        </w:numPr>
        <w:tabs>
          <w:tab w:pos="478" w:val="left" w:leader="none"/>
          <w:tab w:pos="479" w:val="left" w:leader="none"/>
        </w:tabs>
        <w:spacing w:line="240" w:lineRule="auto" w:before="176" w:after="0"/>
        <w:ind w:left="478" w:right="0" w:hanging="360"/>
        <w:jc w:val="left"/>
      </w:pPr>
      <w:r>
        <w:rPr/>
        <w:t>解除合同</w:t>
      </w:r>
    </w:p>
    <w:p>
      <w:pPr>
        <w:pStyle w:val="ListParagraph"/>
        <w:numPr>
          <w:ilvl w:val="1"/>
          <w:numId w:val="1"/>
        </w:numPr>
        <w:tabs>
          <w:tab w:pos="716" w:val="left" w:leader="none"/>
        </w:tabs>
        <w:spacing w:line="256" w:lineRule="auto" w:before="20" w:after="0"/>
        <w:ind w:left="715" w:right="0" w:hanging="420"/>
        <w:jc w:val="left"/>
        <w:rPr>
          <w:sz w:val="21"/>
        </w:rPr>
      </w:pPr>
      <w:r>
        <w:rPr>
          <w:sz w:val="21"/>
        </w:rPr>
        <w:t>您解除合同的手续及风险</w:t>
      </w:r>
    </w:p>
    <w:p>
      <w:pPr>
        <w:pStyle w:val="Heading3"/>
        <w:numPr>
          <w:ilvl w:val="0"/>
          <w:numId w:val="1"/>
        </w:numPr>
        <w:tabs>
          <w:tab w:pos="478" w:val="left" w:leader="none"/>
          <w:tab w:pos="479" w:val="left" w:leader="none"/>
        </w:tabs>
        <w:spacing w:line="240" w:lineRule="auto" w:before="178" w:after="0"/>
        <w:ind w:left="478" w:right="0" w:hanging="360"/>
        <w:jc w:val="left"/>
      </w:pPr>
      <w:r>
        <w:rPr/>
        <w:t>释义</w:t>
      </w:r>
    </w:p>
    <w:p>
      <w:pPr>
        <w:pStyle w:val="ListParagraph"/>
        <w:numPr>
          <w:ilvl w:val="1"/>
          <w:numId w:val="1"/>
        </w:numPr>
        <w:tabs>
          <w:tab w:pos="716" w:val="left" w:leader="none"/>
        </w:tabs>
        <w:spacing w:line="240" w:lineRule="auto" w:before="21" w:after="0"/>
        <w:ind w:left="715" w:right="0" w:hanging="420"/>
        <w:jc w:val="left"/>
        <w:rPr>
          <w:sz w:val="21"/>
        </w:rPr>
      </w:pPr>
      <w:r>
        <w:rPr>
          <w:sz w:val="21"/>
        </w:rPr>
        <w:t>重大疾病</w:t>
      </w:r>
    </w:p>
    <w:p>
      <w:pPr>
        <w:pStyle w:val="ListParagraph"/>
        <w:numPr>
          <w:ilvl w:val="1"/>
          <w:numId w:val="1"/>
        </w:numPr>
        <w:tabs>
          <w:tab w:pos="716" w:val="left" w:leader="none"/>
        </w:tabs>
        <w:spacing w:line="240" w:lineRule="auto" w:before="21" w:after="0"/>
        <w:ind w:left="715" w:right="0" w:hanging="420"/>
        <w:jc w:val="left"/>
        <w:rPr>
          <w:sz w:val="21"/>
        </w:rPr>
      </w:pPr>
      <w:r>
        <w:rPr>
          <w:sz w:val="21"/>
        </w:rPr>
        <w:t>肢体机能完全丧失</w:t>
      </w:r>
    </w:p>
    <w:p>
      <w:pPr>
        <w:pStyle w:val="ListParagraph"/>
        <w:numPr>
          <w:ilvl w:val="1"/>
          <w:numId w:val="1"/>
        </w:numPr>
        <w:tabs>
          <w:tab w:pos="716" w:val="left" w:leader="none"/>
        </w:tabs>
        <w:spacing w:line="256" w:lineRule="auto" w:before="21" w:after="0"/>
        <w:ind w:left="715" w:right="0" w:hanging="420"/>
        <w:jc w:val="left"/>
        <w:rPr>
          <w:sz w:val="21"/>
        </w:rPr>
      </w:pPr>
      <w:r>
        <w:rPr>
          <w:sz w:val="21"/>
        </w:rPr>
        <w:t>语言能力或咀嚼吞咽能力完全丧失</w:t>
      </w:r>
    </w:p>
    <w:p>
      <w:pPr>
        <w:pStyle w:val="ListParagraph"/>
        <w:numPr>
          <w:ilvl w:val="1"/>
          <w:numId w:val="1"/>
        </w:numPr>
        <w:tabs>
          <w:tab w:pos="716" w:val="left" w:leader="none"/>
        </w:tabs>
        <w:spacing w:line="240" w:lineRule="auto" w:before="22" w:after="0"/>
        <w:ind w:left="715" w:right="0" w:hanging="420"/>
        <w:jc w:val="left"/>
        <w:rPr>
          <w:sz w:val="21"/>
        </w:rPr>
      </w:pPr>
      <w:r>
        <w:rPr>
          <w:sz w:val="21"/>
        </w:rPr>
        <w:t>六项基本日常生活活动</w:t>
      </w:r>
    </w:p>
    <w:p>
      <w:pPr>
        <w:pStyle w:val="ListParagraph"/>
        <w:numPr>
          <w:ilvl w:val="1"/>
          <w:numId w:val="1"/>
        </w:numPr>
        <w:tabs>
          <w:tab w:pos="716" w:val="left" w:leader="none"/>
        </w:tabs>
        <w:spacing w:line="240" w:lineRule="auto" w:before="21" w:after="0"/>
        <w:ind w:left="715" w:right="0" w:hanging="420"/>
        <w:jc w:val="left"/>
        <w:rPr>
          <w:sz w:val="21"/>
        </w:rPr>
      </w:pPr>
      <w:r>
        <w:rPr>
          <w:sz w:val="21"/>
        </w:rPr>
        <w:t>永久不可逆</w:t>
      </w:r>
    </w:p>
    <w:p>
      <w:pPr>
        <w:pStyle w:val="BodyText"/>
        <w:ind w:left="0"/>
        <w:rPr>
          <w:sz w:val="22"/>
        </w:rPr>
      </w:pPr>
      <w:r>
        <w:rPr/>
        <w:br w:type="column"/>
      </w:r>
      <w:r>
        <w:rPr>
          <w:sz w:val="22"/>
        </w:rPr>
      </w:r>
    </w:p>
    <w:p>
      <w:pPr>
        <w:pStyle w:val="BodyText"/>
        <w:ind w:left="0"/>
        <w:rPr>
          <w:sz w:val="22"/>
        </w:rPr>
      </w:pPr>
    </w:p>
    <w:p>
      <w:pPr>
        <w:pStyle w:val="BodyText"/>
        <w:spacing w:before="11"/>
        <w:ind w:left="0"/>
        <w:rPr>
          <w:sz w:val="27"/>
        </w:rPr>
      </w:pPr>
    </w:p>
    <w:p>
      <w:pPr>
        <w:pStyle w:val="ListParagraph"/>
        <w:numPr>
          <w:ilvl w:val="1"/>
          <w:numId w:val="1"/>
        </w:numPr>
        <w:tabs>
          <w:tab w:pos="539" w:val="left" w:leader="none"/>
        </w:tabs>
        <w:spacing w:line="240" w:lineRule="auto" w:before="0" w:after="0"/>
        <w:ind w:left="538" w:right="0" w:hanging="420"/>
        <w:jc w:val="left"/>
        <w:rPr>
          <w:sz w:val="21"/>
        </w:rPr>
      </w:pPr>
      <w:r>
        <w:rPr>
          <w:sz w:val="21"/>
        </w:rPr>
        <w:t>意外伤害</w:t>
      </w:r>
    </w:p>
    <w:p>
      <w:pPr>
        <w:pStyle w:val="ListParagraph"/>
        <w:numPr>
          <w:ilvl w:val="1"/>
          <w:numId w:val="1"/>
        </w:numPr>
        <w:tabs>
          <w:tab w:pos="539" w:val="left" w:leader="none"/>
        </w:tabs>
        <w:spacing w:line="240" w:lineRule="auto" w:before="20" w:after="0"/>
        <w:ind w:left="538" w:right="0" w:hanging="420"/>
        <w:jc w:val="left"/>
        <w:rPr>
          <w:sz w:val="21"/>
        </w:rPr>
      </w:pPr>
      <w:r>
        <w:rPr/>
        <w:pict>
          <v:line style="position:absolute;mso-position-horizontal-relative:page;mso-position-vertical-relative:paragraph;z-index:1048" from="374.940002pt,-13.855317pt" to="374.940002pt,212.344683pt" stroked="true" strokeweight=".72pt" strokecolor="#000000">
            <v:stroke dashstyle="solid"/>
            <w10:wrap type="none"/>
          </v:line>
        </w:pict>
      </w:r>
      <w:r>
        <w:rPr>
          <w:sz w:val="21"/>
        </w:rPr>
        <w:t>发病</w:t>
      </w:r>
    </w:p>
    <w:p>
      <w:pPr>
        <w:pStyle w:val="ListParagraph"/>
        <w:numPr>
          <w:ilvl w:val="1"/>
          <w:numId w:val="1"/>
        </w:numPr>
        <w:tabs>
          <w:tab w:pos="539" w:val="left" w:leader="none"/>
        </w:tabs>
        <w:spacing w:line="240" w:lineRule="auto" w:before="20" w:after="0"/>
        <w:ind w:left="538" w:right="0" w:hanging="420"/>
        <w:jc w:val="left"/>
        <w:rPr>
          <w:sz w:val="21"/>
        </w:rPr>
      </w:pPr>
      <w:r>
        <w:rPr>
          <w:sz w:val="21"/>
        </w:rPr>
        <w:t>指定或认可的医院</w:t>
      </w:r>
    </w:p>
    <w:p>
      <w:pPr>
        <w:pStyle w:val="ListParagraph"/>
        <w:numPr>
          <w:ilvl w:val="1"/>
          <w:numId w:val="1"/>
        </w:numPr>
        <w:tabs>
          <w:tab w:pos="539" w:val="left" w:leader="none"/>
        </w:tabs>
        <w:spacing w:line="240" w:lineRule="auto" w:before="20" w:after="0"/>
        <w:ind w:left="538" w:right="0" w:hanging="420"/>
        <w:jc w:val="left"/>
        <w:rPr>
          <w:sz w:val="21"/>
        </w:rPr>
      </w:pPr>
      <w:r>
        <w:rPr>
          <w:sz w:val="21"/>
        </w:rPr>
        <w:t>专科医生</w:t>
      </w:r>
    </w:p>
    <w:p>
      <w:pPr>
        <w:pStyle w:val="ListParagraph"/>
        <w:numPr>
          <w:ilvl w:val="1"/>
          <w:numId w:val="1"/>
        </w:numPr>
        <w:tabs>
          <w:tab w:pos="539" w:val="left" w:leader="none"/>
        </w:tabs>
        <w:spacing w:line="240" w:lineRule="auto" w:before="20" w:after="0"/>
        <w:ind w:left="538" w:right="0" w:hanging="420"/>
        <w:jc w:val="left"/>
        <w:rPr>
          <w:sz w:val="21"/>
        </w:rPr>
      </w:pPr>
      <w:r>
        <w:rPr>
          <w:sz w:val="21"/>
        </w:rPr>
        <w:t>毒品</w:t>
      </w:r>
    </w:p>
    <w:p>
      <w:pPr>
        <w:pStyle w:val="ListParagraph"/>
        <w:numPr>
          <w:ilvl w:val="1"/>
          <w:numId w:val="1"/>
        </w:numPr>
        <w:tabs>
          <w:tab w:pos="539" w:val="left" w:leader="none"/>
        </w:tabs>
        <w:spacing w:line="240" w:lineRule="auto" w:before="20" w:after="0"/>
        <w:ind w:left="538" w:right="0" w:hanging="420"/>
        <w:jc w:val="left"/>
        <w:rPr>
          <w:sz w:val="21"/>
        </w:rPr>
      </w:pPr>
      <w:r>
        <w:rPr>
          <w:sz w:val="21"/>
        </w:rPr>
        <w:t>酒后驾驶</w:t>
      </w:r>
    </w:p>
    <w:p>
      <w:pPr>
        <w:pStyle w:val="ListParagraph"/>
        <w:numPr>
          <w:ilvl w:val="1"/>
          <w:numId w:val="1"/>
        </w:numPr>
        <w:tabs>
          <w:tab w:pos="539" w:val="left" w:leader="none"/>
        </w:tabs>
        <w:spacing w:line="240" w:lineRule="auto" w:before="20" w:after="0"/>
        <w:ind w:left="538" w:right="0" w:hanging="420"/>
        <w:jc w:val="left"/>
        <w:rPr>
          <w:sz w:val="21"/>
        </w:rPr>
      </w:pPr>
      <w:r>
        <w:rPr>
          <w:sz w:val="21"/>
        </w:rPr>
        <w:t>无合法有效驾驶证驾驶</w:t>
      </w:r>
    </w:p>
    <w:p>
      <w:pPr>
        <w:pStyle w:val="ListParagraph"/>
        <w:numPr>
          <w:ilvl w:val="1"/>
          <w:numId w:val="1"/>
        </w:numPr>
        <w:tabs>
          <w:tab w:pos="539" w:val="left" w:leader="none"/>
        </w:tabs>
        <w:spacing w:line="240" w:lineRule="auto" w:before="20" w:after="0"/>
        <w:ind w:left="538" w:right="0" w:hanging="420"/>
        <w:jc w:val="left"/>
        <w:rPr>
          <w:sz w:val="21"/>
        </w:rPr>
      </w:pPr>
      <w:r>
        <w:rPr>
          <w:sz w:val="21"/>
        </w:rPr>
        <w:t>无有效行驶证</w:t>
      </w:r>
    </w:p>
    <w:p>
      <w:pPr>
        <w:pStyle w:val="ListParagraph"/>
        <w:numPr>
          <w:ilvl w:val="1"/>
          <w:numId w:val="1"/>
        </w:numPr>
        <w:tabs>
          <w:tab w:pos="539" w:val="left" w:leader="none"/>
        </w:tabs>
        <w:spacing w:line="256" w:lineRule="auto" w:before="20" w:after="0"/>
        <w:ind w:left="538" w:right="1544" w:hanging="420"/>
        <w:jc w:val="left"/>
        <w:rPr>
          <w:sz w:val="21"/>
        </w:rPr>
      </w:pPr>
      <w:r>
        <w:rPr>
          <w:sz w:val="21"/>
        </w:rPr>
        <w:t>感染艾滋病病毒或患艾滋病</w:t>
      </w:r>
    </w:p>
    <w:p>
      <w:pPr>
        <w:pStyle w:val="ListParagraph"/>
        <w:numPr>
          <w:ilvl w:val="1"/>
          <w:numId w:val="1"/>
        </w:numPr>
        <w:tabs>
          <w:tab w:pos="539" w:val="left" w:leader="none"/>
        </w:tabs>
        <w:spacing w:line="240" w:lineRule="auto" w:before="22" w:after="0"/>
        <w:ind w:left="538" w:right="0" w:hanging="420"/>
        <w:jc w:val="left"/>
        <w:rPr>
          <w:sz w:val="21"/>
        </w:rPr>
      </w:pPr>
      <w:r>
        <w:rPr>
          <w:sz w:val="21"/>
        </w:rPr>
        <w:t>遗传性疾病</w:t>
      </w:r>
    </w:p>
    <w:p>
      <w:pPr>
        <w:pStyle w:val="ListParagraph"/>
        <w:numPr>
          <w:ilvl w:val="1"/>
          <w:numId w:val="1"/>
        </w:numPr>
        <w:tabs>
          <w:tab w:pos="539" w:val="left" w:leader="none"/>
        </w:tabs>
        <w:spacing w:line="256" w:lineRule="auto" w:before="21" w:after="0"/>
        <w:ind w:left="538" w:right="1544" w:hanging="420"/>
        <w:jc w:val="left"/>
        <w:rPr>
          <w:sz w:val="21"/>
        </w:rPr>
      </w:pPr>
      <w:r>
        <w:rPr>
          <w:sz w:val="21"/>
        </w:rPr>
        <w:t>先天性畸形、变形或染色体异常</w:t>
      </w:r>
    </w:p>
    <w:p>
      <w:pPr>
        <w:spacing w:after="0" w:line="256" w:lineRule="auto"/>
        <w:jc w:val="left"/>
        <w:rPr>
          <w:sz w:val="21"/>
        </w:rPr>
        <w:sectPr>
          <w:type w:val="continuous"/>
          <w:pgSz w:w="11910" w:h="16840"/>
          <w:pgMar w:top="560" w:bottom="280" w:left="1300" w:right="20"/>
          <w:cols w:num="3" w:equalWidth="0">
            <w:col w:w="2377" w:space="715"/>
            <w:col w:w="2852" w:space="419"/>
            <w:col w:w="4227"/>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pStyle w:val="BodyText"/>
        <w:spacing w:before="35"/>
        <w:ind w:left="3521" w:right="3518"/>
        <w:jc w:val="center"/>
      </w:pPr>
      <w:r>
        <w:rPr/>
        <w:t>本 页 是 空 白</w:t>
      </w:r>
    </w:p>
    <w:p>
      <w:pPr>
        <w:spacing w:after="0"/>
        <w:jc w:val="center"/>
        <w:sectPr>
          <w:pgSz w:w="11910" w:h="16840"/>
          <w:pgMar w:top="1600" w:bottom="280" w:left="1680" w:right="1680"/>
        </w:sectPr>
      </w:pPr>
    </w:p>
    <w:p>
      <w:pPr>
        <w:pStyle w:val="Heading1"/>
        <w:spacing w:line="530" w:lineRule="exact"/>
        <w:ind w:left="704"/>
      </w:pPr>
      <w:r>
        <w:rPr/>
        <w:t>海康附加「金色华年」重大疾病保险（</w:t>
      </w:r>
      <w:r>
        <w:rPr>
          <w:rFonts w:ascii="Times New Roman" w:eastAsia="Times New Roman"/>
        </w:rPr>
        <w:t>B </w:t>
      </w:r>
      <w:r>
        <w:rPr/>
        <w:t>款）条款</w:t>
      </w:r>
    </w:p>
    <w:p>
      <w:pPr>
        <w:pStyle w:val="BodyText"/>
        <w:spacing w:line="256" w:lineRule="auto" w:before="391"/>
        <w:ind w:left="138" w:right="134" w:firstLine="1"/>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海康附加「金色华年」重大疾病保险（</w:t>
      </w:r>
      <w:r>
        <w:rPr>
          <w:rFonts w:ascii="Times New Roman" w:hAnsi="Times New Roman" w:eastAsia="Times New Roman"/>
        </w:rPr>
        <w:t>B </w:t>
      </w:r>
      <w:r>
        <w:rPr/>
        <w:t>款）</w:t>
      </w:r>
      <w:r>
        <w:rPr>
          <w:rFonts w:ascii="Times New Roman" w:hAnsi="Times New Roman" w:eastAsia="Times New Roman"/>
        </w:rPr>
        <w:t>”</w:t>
      </w:r>
      <w:r>
        <w:rPr/>
        <w:t>。</w:t>
      </w:r>
    </w:p>
    <w:p>
      <w:pPr>
        <w:pStyle w:val="BodyText"/>
        <w:spacing w:before="5"/>
        <w:ind w:left="0"/>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419998pt,19.265898pt" to="523.979998pt,19.265898pt" stroked="true" strokeweight="1.5pt" strokecolor="#000000">
            <v:stroke dashstyle="solid"/>
            <w10:wrap type="topAndBottom"/>
          </v:line>
        </w:pict>
      </w:r>
      <w:r>
        <w:rPr/>
        <w:t>您与我们订立的合同</w:t>
      </w:r>
    </w:p>
    <w:p>
      <w:pPr>
        <w:pStyle w:val="BodyText"/>
        <w:spacing w:before="4"/>
        <w:ind w:left="0"/>
        <w:rPr>
          <w:b/>
          <w:sz w:val="5"/>
        </w:rPr>
      </w:pPr>
    </w:p>
    <w:p>
      <w:pPr>
        <w:pStyle w:val="Heading3"/>
        <w:numPr>
          <w:ilvl w:val="1"/>
          <w:numId w:val="2"/>
        </w:numPr>
        <w:tabs>
          <w:tab w:pos="894" w:val="left" w:leader="none"/>
          <w:tab w:pos="895" w:val="left" w:leader="none"/>
        </w:tabs>
        <w:spacing w:line="240" w:lineRule="auto" w:before="42" w:after="0"/>
        <w:ind w:left="894" w:right="0" w:hanging="576"/>
        <w:jc w:val="left"/>
      </w:pPr>
      <w:r>
        <w:rPr/>
        <w:t>合同构成</w:t>
      </w:r>
    </w:p>
    <w:p>
      <w:pPr>
        <w:pStyle w:val="BodyText"/>
        <w:spacing w:line="266" w:lineRule="auto" w:before="176"/>
        <w:ind w:left="1608" w:right="132"/>
        <w:jc w:val="both"/>
      </w:pPr>
      <w:r>
        <w:rPr/>
        <w:t>本附加合同依您的申请，附加于您与我们订立的主保险合同《海康「金色华年」年金保险（</w:t>
      </w:r>
      <w:r>
        <w:rPr>
          <w:rFonts w:ascii="Times New Roman" w:hAnsi="Times New Roman" w:eastAsia="Times New Roman"/>
        </w:rPr>
        <w:t>B </w:t>
      </w:r>
      <w:r>
        <w:rPr/>
        <w:t>款）（分红型）》（以下简称</w:t>
      </w:r>
      <w:r>
        <w:rPr>
          <w:rFonts w:ascii="Times New Roman" w:hAnsi="Times New Roman" w:eastAsia="Times New Roman"/>
        </w:rPr>
        <w:t>“</w:t>
      </w:r>
      <w:r>
        <w:rPr/>
        <w:t>主合同</w:t>
      </w:r>
      <w:r>
        <w:rPr>
          <w:rFonts w:ascii="Times New Roman" w:hAnsi="Times New Roman" w:eastAsia="Times New Roman"/>
        </w:rPr>
        <w:t>”</w:t>
      </w:r>
      <w:r>
        <w:rPr/>
        <w:t>）之上，并经我们审核同意，在保险单或批注中列明后生效。本附加合同未约定的事项，以主合同为准；若主合同与本附加合同的条款内容互有冲突，则以本附加合同为准。</w:t>
      </w:r>
    </w:p>
    <w:p>
      <w:pPr>
        <w:pStyle w:val="Heading3"/>
        <w:numPr>
          <w:ilvl w:val="1"/>
          <w:numId w:val="2"/>
        </w:numPr>
        <w:tabs>
          <w:tab w:pos="894" w:val="left" w:leader="none"/>
          <w:tab w:pos="895" w:val="left" w:leader="none"/>
        </w:tabs>
        <w:spacing w:line="240" w:lineRule="auto" w:before="169" w:after="0"/>
        <w:ind w:left="894" w:right="0" w:hanging="576"/>
        <w:jc w:val="left"/>
      </w:pPr>
      <w:r>
        <w:rPr/>
        <w:t>投保范围</w:t>
      </w:r>
    </w:p>
    <w:p>
      <w:pPr>
        <w:pStyle w:val="BodyText"/>
        <w:spacing w:before="177"/>
        <w:ind w:left="1608"/>
      </w:pPr>
      <w:r>
        <w:rPr/>
        <w:t>本附加合同接受的被保险人的投保年龄为十八周岁至五十九周岁。</w:t>
      </w:r>
    </w:p>
    <w:p>
      <w:pPr>
        <w:pStyle w:val="BodyText"/>
        <w:spacing w:before="10"/>
        <w:ind w:left="0"/>
        <w:rPr>
          <w:sz w:val="14"/>
        </w:rPr>
      </w:pPr>
    </w:p>
    <w:p>
      <w:pPr>
        <w:pStyle w:val="Heading3"/>
        <w:numPr>
          <w:ilvl w:val="1"/>
          <w:numId w:val="2"/>
        </w:numPr>
        <w:tabs>
          <w:tab w:pos="858" w:val="left" w:leader="none"/>
          <w:tab w:pos="859" w:val="left" w:leader="none"/>
        </w:tabs>
        <w:spacing w:line="240" w:lineRule="auto" w:before="0" w:after="0"/>
        <w:ind w:left="858" w:right="0" w:hanging="540"/>
        <w:jc w:val="left"/>
      </w:pPr>
      <w:r>
        <w:rPr>
          <w:w w:val="95"/>
        </w:rPr>
        <w:t>合同成立与生效</w:t>
      </w:r>
    </w:p>
    <w:p>
      <w:pPr>
        <w:pStyle w:val="BodyText"/>
        <w:spacing w:line="273" w:lineRule="auto" w:before="177"/>
        <w:ind w:left="1608" w:right="134"/>
      </w:pPr>
      <w:r>
        <w:rPr/>
        <w:t>您于投保主合同时投保本附加合同，主合同的合同成立日与生效日分别为本附加合同的合同成立日与生效日，并在保险单上载明。</w:t>
      </w:r>
    </w:p>
    <w:p>
      <w:pPr>
        <w:pStyle w:val="Heading3"/>
        <w:numPr>
          <w:ilvl w:val="1"/>
          <w:numId w:val="2"/>
        </w:numPr>
        <w:tabs>
          <w:tab w:pos="894" w:val="left" w:leader="none"/>
          <w:tab w:pos="895" w:val="left" w:leader="none"/>
        </w:tabs>
        <w:spacing w:line="240" w:lineRule="auto" w:before="163" w:after="0"/>
        <w:ind w:left="894" w:right="0" w:hanging="576"/>
        <w:jc w:val="left"/>
      </w:pPr>
      <w:r>
        <w:rPr/>
        <w:t>合同终止</w:t>
      </w:r>
    </w:p>
    <w:p>
      <w:pPr>
        <w:pStyle w:val="BodyText"/>
        <w:spacing w:before="176"/>
        <w:ind w:left="1578"/>
        <w:jc w:val="both"/>
      </w:pPr>
      <w:r>
        <w:rPr/>
        <w:t>本附加合同因以下事项而终止效力：</w:t>
      </w:r>
    </w:p>
    <w:p>
      <w:pPr>
        <w:pStyle w:val="BodyText"/>
        <w:spacing w:before="9"/>
        <w:ind w:left="0"/>
        <w:rPr>
          <w:sz w:val="14"/>
        </w:rPr>
      </w:pPr>
    </w:p>
    <w:p>
      <w:pPr>
        <w:pStyle w:val="ListParagraph"/>
        <w:numPr>
          <w:ilvl w:val="2"/>
          <w:numId w:val="2"/>
        </w:numPr>
        <w:tabs>
          <w:tab w:pos="1897" w:val="left" w:leader="none"/>
        </w:tabs>
        <w:spacing w:line="240" w:lineRule="auto" w:before="0" w:after="0"/>
        <w:ind w:left="1896" w:right="0" w:hanging="318"/>
        <w:jc w:val="both"/>
        <w:rPr>
          <w:rFonts w:ascii="黑体" w:eastAsia="黑体" w:hint="eastAsia"/>
          <w:sz w:val="21"/>
        </w:rPr>
      </w:pPr>
      <w:r>
        <w:rPr>
          <w:rFonts w:ascii="黑体" w:eastAsia="黑体" w:hint="eastAsia"/>
          <w:sz w:val="21"/>
        </w:rPr>
        <w:t>主合同效力终止；</w:t>
      </w:r>
    </w:p>
    <w:p>
      <w:pPr>
        <w:pStyle w:val="ListParagraph"/>
        <w:numPr>
          <w:ilvl w:val="2"/>
          <w:numId w:val="2"/>
        </w:numPr>
        <w:tabs>
          <w:tab w:pos="1897" w:val="left" w:leader="none"/>
        </w:tabs>
        <w:spacing w:line="240" w:lineRule="auto" w:before="177" w:after="0"/>
        <w:ind w:left="1896" w:right="0" w:hanging="318"/>
        <w:jc w:val="both"/>
        <w:rPr>
          <w:sz w:val="21"/>
        </w:rPr>
      </w:pPr>
      <w:r>
        <w:rPr>
          <w:sz w:val="21"/>
        </w:rPr>
        <w:t>您于本附加合同有效期内向我们申请解除本附加合同；</w:t>
      </w:r>
    </w:p>
    <w:p>
      <w:pPr>
        <w:pStyle w:val="ListParagraph"/>
        <w:numPr>
          <w:ilvl w:val="2"/>
          <w:numId w:val="2"/>
        </w:numPr>
        <w:tabs>
          <w:tab w:pos="1897" w:val="left" w:leader="none"/>
        </w:tabs>
        <w:spacing w:line="240" w:lineRule="auto" w:before="177" w:after="0"/>
        <w:ind w:left="1896" w:right="0" w:hanging="318"/>
        <w:jc w:val="both"/>
        <w:rPr>
          <w:sz w:val="21"/>
        </w:rPr>
      </w:pPr>
      <w:r>
        <w:rPr>
          <w:sz w:val="21"/>
        </w:rPr>
        <w:t>本附加合同保险期间届满；</w:t>
      </w:r>
    </w:p>
    <w:p>
      <w:pPr>
        <w:pStyle w:val="ListParagraph"/>
        <w:numPr>
          <w:ilvl w:val="2"/>
          <w:numId w:val="2"/>
        </w:numPr>
        <w:tabs>
          <w:tab w:pos="1897" w:val="left" w:leader="none"/>
        </w:tabs>
        <w:spacing w:line="240" w:lineRule="auto" w:before="177" w:after="0"/>
        <w:ind w:left="1896" w:right="0" w:hanging="318"/>
        <w:jc w:val="both"/>
        <w:rPr>
          <w:sz w:val="21"/>
        </w:rPr>
      </w:pPr>
      <w:r>
        <w:rPr>
          <w:sz w:val="21"/>
        </w:rPr>
        <w:t>本附加合同因其它条款所列情况而终止。</w:t>
      </w:r>
    </w:p>
    <w:p>
      <w:pPr>
        <w:pStyle w:val="BodyText"/>
        <w:spacing w:before="9"/>
        <w:ind w:left="0"/>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20;mso-wrap-distance-left:0;mso-wrap-distance-right:0" from="69.419998pt,19.206038pt" to="523.979998pt,19.206038pt" stroked="true" strokeweight="1.5pt" strokecolor="#000000">
            <v:stroke dashstyle="solid"/>
            <w10:wrap type="topAndBottom"/>
          </v:line>
        </w:pict>
      </w:r>
      <w:r>
        <w:rPr/>
        <w:t>我们提供的保障</w:t>
      </w:r>
    </w:p>
    <w:p>
      <w:pPr>
        <w:pStyle w:val="BodyText"/>
        <w:spacing w:before="4"/>
        <w:ind w:left="0"/>
        <w:rPr>
          <w:b/>
          <w:sz w:val="5"/>
        </w:rPr>
      </w:pPr>
    </w:p>
    <w:p>
      <w:pPr>
        <w:pStyle w:val="Heading3"/>
        <w:numPr>
          <w:ilvl w:val="1"/>
          <w:numId w:val="2"/>
        </w:numPr>
        <w:tabs>
          <w:tab w:pos="894" w:val="left" w:leader="none"/>
          <w:tab w:pos="895" w:val="left" w:leader="none"/>
        </w:tabs>
        <w:spacing w:line="240" w:lineRule="auto" w:before="42" w:after="0"/>
        <w:ind w:left="894" w:right="0" w:hanging="576"/>
        <w:jc w:val="left"/>
      </w:pPr>
      <w:r>
        <w:rPr>
          <w:w w:val="95"/>
        </w:rPr>
        <w:t>基本保险金额</w:t>
      </w:r>
    </w:p>
    <w:p>
      <w:pPr>
        <w:pStyle w:val="BodyText"/>
        <w:spacing w:line="273" w:lineRule="auto" w:before="176"/>
        <w:ind w:left="1608" w:right="134"/>
        <w:jc w:val="both"/>
      </w:pPr>
      <w:r>
        <w:rPr/>
        <w:t>本附加合同所称基本保险金额是指投保单或合同批注上所载的本附加合同的金额， 若该金额经本附加合同其它条款修正而发生变更，则以变更后的金额为基本保险金额。</w:t>
      </w:r>
    </w:p>
    <w:p>
      <w:pPr>
        <w:pStyle w:val="Heading3"/>
        <w:numPr>
          <w:ilvl w:val="1"/>
          <w:numId w:val="2"/>
        </w:numPr>
        <w:tabs>
          <w:tab w:pos="894" w:val="left" w:leader="none"/>
          <w:tab w:pos="895" w:val="left" w:leader="none"/>
        </w:tabs>
        <w:spacing w:line="240" w:lineRule="auto" w:before="163" w:after="0"/>
        <w:ind w:left="894" w:right="0" w:hanging="576"/>
        <w:jc w:val="left"/>
      </w:pPr>
      <w:r>
        <w:rPr/>
        <w:t>保险期间</w:t>
      </w:r>
    </w:p>
    <w:p>
      <w:pPr>
        <w:pStyle w:val="BodyText"/>
        <w:spacing w:line="273" w:lineRule="auto" w:before="177"/>
        <w:ind w:left="1608" w:right="134"/>
        <w:jc w:val="both"/>
      </w:pPr>
      <w:r>
        <w:rPr/>
        <w:t>本附加合同的保险期间为本附加合同生效日零时起至被保险人年满六十五周岁后的首个保单周年日零时止。</w:t>
      </w:r>
    </w:p>
    <w:p>
      <w:pPr>
        <w:pStyle w:val="Heading3"/>
        <w:numPr>
          <w:ilvl w:val="1"/>
          <w:numId w:val="2"/>
        </w:numPr>
        <w:tabs>
          <w:tab w:pos="894" w:val="left" w:leader="none"/>
          <w:tab w:pos="895" w:val="left" w:leader="none"/>
        </w:tabs>
        <w:spacing w:line="240" w:lineRule="auto" w:before="163" w:after="0"/>
        <w:ind w:left="894" w:right="0" w:hanging="576"/>
        <w:jc w:val="left"/>
      </w:pPr>
      <w:r>
        <w:rPr/>
        <w:t>保险责任</w:t>
      </w:r>
    </w:p>
    <w:p>
      <w:pPr>
        <w:pStyle w:val="BodyText"/>
        <w:spacing w:line="273" w:lineRule="auto" w:before="176"/>
        <w:ind w:left="1575" w:right="131"/>
        <w:jc w:val="both"/>
      </w:pPr>
      <w:r>
        <w:rPr/>
        <w:t>在本附加合同有效期限内，若被保险人因</w:t>
      </w:r>
      <w:r>
        <w:rPr>
          <w:b/>
        </w:rPr>
        <w:t>意外伤害</w:t>
      </w:r>
      <w:r>
        <w:rPr/>
        <w:t>事故或于本附加合同生效（或最后一次复效，以较迟者为准）日起</w:t>
      </w:r>
      <w:r>
        <w:rPr>
          <w:rFonts w:ascii="黑体" w:eastAsia="黑体" w:hint="eastAsia"/>
        </w:rPr>
        <w:t>九十天</w:t>
      </w:r>
      <w:r>
        <w:rPr/>
        <w:t>后首次</w:t>
      </w:r>
      <w:r>
        <w:rPr>
          <w:b/>
        </w:rPr>
        <w:t>发病</w:t>
      </w:r>
      <w:r>
        <w:rPr/>
        <w:t>，经我们</w:t>
      </w:r>
      <w:r>
        <w:rPr>
          <w:b/>
        </w:rPr>
        <w:t>指定或认可的医院</w:t>
      </w:r>
      <w:r>
        <w:rPr/>
        <w:t>的</w:t>
      </w:r>
    </w:p>
    <w:p>
      <w:pPr>
        <w:spacing w:after="0" w:line="273" w:lineRule="auto"/>
        <w:jc w:val="both"/>
        <w:sectPr>
          <w:pgSz w:w="11910" w:h="16840"/>
          <w:pgMar w:top="1440" w:bottom="280" w:left="1280" w:right="1320"/>
        </w:sectPr>
      </w:pPr>
    </w:p>
    <w:p>
      <w:pPr>
        <w:pStyle w:val="BodyText"/>
        <w:spacing w:line="261" w:lineRule="auto" w:before="25"/>
        <w:ind w:left="1575" w:right="212"/>
        <w:jc w:val="both"/>
      </w:pPr>
      <w:r>
        <w:rPr>
          <w:b/>
        </w:rPr>
        <w:t>专科医生</w:t>
      </w:r>
      <w:r>
        <w:rPr/>
        <w:t>确诊首次罹患本附加合同约定的</w:t>
      </w:r>
      <w:r>
        <w:rPr>
          <w:b/>
        </w:rPr>
        <w:t>重大疾病</w:t>
      </w:r>
      <w:r>
        <w:rPr/>
        <w:t>，且被保险人至确诊日后</w:t>
      </w:r>
      <w:r>
        <w:rPr>
          <w:rFonts w:ascii="黑体" w:hAnsi="黑体" w:eastAsia="黑体" w:hint="eastAsia"/>
        </w:rPr>
        <w:t>的第二</w:t>
      </w:r>
      <w:r>
        <w:rPr>
          <w:rFonts w:ascii="黑体" w:hAnsi="黑体" w:eastAsia="黑体" w:hint="eastAsia"/>
          <w:spacing w:val="0"/>
        </w:rPr>
        <w:t>十八天的零时仍然Th存</w:t>
      </w:r>
      <w:r>
        <w:rPr>
          <w:rFonts w:ascii="黑体" w:hAnsi="黑体" w:eastAsia="黑体" w:hint="eastAsia"/>
          <w:spacing w:val="1"/>
        </w:rPr>
        <w:t>（</w:t>
      </w:r>
      <w:r>
        <w:rPr/>
        <w:t>确诊日的次日为第一天</w:t>
      </w:r>
      <w:r>
        <w:rPr>
          <w:spacing w:val="-104"/>
        </w:rPr>
        <w:t>）</w:t>
      </w:r>
      <w:r>
        <w:rPr>
          <w:spacing w:val="0"/>
        </w:rPr>
        <w:t>，则我们按基本保险金额给付</w:t>
      </w:r>
      <w:r>
        <w:rPr>
          <w:rFonts w:ascii="Times New Roman" w:hAnsi="Times New Roman" w:eastAsia="Times New Roman"/>
        </w:rPr>
        <w:t>“</w:t>
      </w:r>
      <w:r>
        <w:rPr/>
        <w:t>重大疾病保险金</w:t>
      </w:r>
      <w:r>
        <w:rPr>
          <w:rFonts w:ascii="Times New Roman" w:hAnsi="Times New Roman" w:eastAsia="Times New Roman"/>
          <w:spacing w:val="-11"/>
        </w:rPr>
        <w:t>”</w:t>
      </w:r>
      <w:r>
        <w:rPr>
          <w:spacing w:val="-11"/>
        </w:rPr>
        <w:t>（</w:t>
      </w:r>
      <w:r>
        <w:rPr>
          <w:rFonts w:ascii="黑体" w:hAnsi="黑体" w:eastAsia="黑体" w:hint="eastAsia"/>
        </w:rPr>
        <w:t>若被保险人同时符合一项以上</w:t>
      </w:r>
      <w:r>
        <w:rPr>
          <w:rFonts w:ascii="黑体" w:hAnsi="黑体" w:eastAsia="黑体" w:hint="eastAsia"/>
          <w:b/>
        </w:rPr>
        <w:t>重大疾病</w:t>
      </w:r>
      <w:r>
        <w:rPr>
          <w:rFonts w:ascii="黑体" w:hAnsi="黑体" w:eastAsia="黑体" w:hint="eastAsia"/>
          <w:spacing w:val="-5"/>
        </w:rPr>
        <w:t>时，该给付以一项为限</w:t>
      </w:r>
      <w:r>
        <w:rPr>
          <w:spacing w:val="-23"/>
        </w:rPr>
        <w:t>）予</w:t>
      </w:r>
      <w:r>
        <w:rPr/>
        <w:t>被保险人，本附加合同效力终止。</w:t>
      </w:r>
    </w:p>
    <w:p>
      <w:pPr>
        <w:pStyle w:val="Heading3"/>
        <w:numPr>
          <w:ilvl w:val="1"/>
          <w:numId w:val="2"/>
        </w:numPr>
        <w:tabs>
          <w:tab w:pos="894" w:val="left" w:leader="none"/>
          <w:tab w:pos="895" w:val="left" w:leader="none"/>
        </w:tabs>
        <w:spacing w:line="240" w:lineRule="auto" w:before="174" w:after="0"/>
        <w:ind w:left="894" w:right="0" w:hanging="576"/>
        <w:jc w:val="left"/>
      </w:pPr>
      <w:r>
        <w:rPr/>
        <w:t>责任免除</w:t>
      </w:r>
    </w:p>
    <w:p>
      <w:pPr>
        <w:pStyle w:val="BodyText"/>
        <w:spacing w:line="273" w:lineRule="auto" w:before="177"/>
        <w:ind w:left="1608" w:right="212"/>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w:t>
      </w:r>
      <w:r>
        <w:rPr>
          <w:rFonts w:ascii="黑体" w:hAnsi="黑体" w:eastAsia="黑体" w:hint="eastAsia"/>
          <w:b/>
          <w:w w:val="95"/>
        </w:rPr>
        <w:t>疾病</w:t>
      </w:r>
      <w:r>
        <w:rPr>
          <w:rFonts w:ascii="黑体" w:hAnsi="黑体" w:eastAsia="黑体" w:hint="eastAsia"/>
          <w:w w:val="95"/>
        </w:rPr>
        <w:t>，我们不承担给付</w:t>
      </w:r>
      <w:r>
        <w:rPr>
          <w:rFonts w:ascii="Times New Roman" w:hAnsi="Times New Roman" w:eastAsia="Times New Roman"/>
          <w:w w:val="95"/>
        </w:rPr>
        <w:t>“</w:t>
      </w:r>
      <w:r>
        <w:rPr>
          <w:rFonts w:ascii="黑体" w:hAnsi="黑体" w:eastAsia="黑体" w:hint="eastAsia"/>
          <w:w w:val="95"/>
        </w:rPr>
        <w:t>重大疾病保险金</w:t>
      </w:r>
      <w:r>
        <w:rPr>
          <w:rFonts w:ascii="Times New Roman" w:hAnsi="Times New Roman" w:eastAsia="Times New Roman"/>
          <w:w w:val="95"/>
        </w:rPr>
        <w:t>”</w:t>
      </w:r>
      <w:r>
        <w:rPr>
          <w:rFonts w:ascii="黑体" w:hAnsi="黑体" w:eastAsia="黑体" w:hint="eastAsia"/>
          <w:w w:val="95"/>
        </w:rPr>
        <w:t>的责任：</w:t>
      </w:r>
    </w:p>
    <w:p>
      <w:pPr>
        <w:pStyle w:val="ListParagraph"/>
        <w:numPr>
          <w:ilvl w:val="2"/>
          <w:numId w:val="2"/>
        </w:numPr>
        <w:tabs>
          <w:tab w:pos="1897" w:val="left" w:leader="none"/>
        </w:tabs>
        <w:spacing w:line="240" w:lineRule="auto" w:before="144" w:after="0"/>
        <w:ind w:left="1896" w:right="0" w:hanging="318"/>
        <w:jc w:val="both"/>
        <w:rPr>
          <w:rFonts w:ascii="黑体" w:eastAsia="黑体" w:hint="eastAsia"/>
          <w:sz w:val="21"/>
        </w:rPr>
      </w:pPr>
      <w:r>
        <w:rPr>
          <w:rFonts w:ascii="黑体" w:eastAsia="黑体" w:hint="eastAsia"/>
          <w:spacing w:val="-1"/>
          <w:sz w:val="21"/>
        </w:rPr>
        <w:t>您对被保险人的故意杀害、故意伤害；</w:t>
      </w:r>
    </w:p>
    <w:p>
      <w:pPr>
        <w:pStyle w:val="ListParagraph"/>
        <w:numPr>
          <w:ilvl w:val="2"/>
          <w:numId w:val="2"/>
        </w:numPr>
        <w:tabs>
          <w:tab w:pos="1897" w:val="left" w:leader="none"/>
        </w:tabs>
        <w:spacing w:line="240" w:lineRule="auto" w:before="176" w:after="0"/>
        <w:ind w:left="1896" w:right="0" w:hanging="318"/>
        <w:jc w:val="both"/>
        <w:rPr>
          <w:rFonts w:ascii="黑体" w:eastAsia="黑体" w:hint="eastAsia"/>
          <w:sz w:val="21"/>
        </w:rPr>
      </w:pPr>
      <w:r>
        <w:rPr>
          <w:rFonts w:ascii="黑体" w:eastAsia="黑体" w:hint="eastAsia"/>
          <w:sz w:val="21"/>
        </w:rPr>
        <w:t>被保险人故意自伤、故意犯罪或抗拒依法采取的刑事强制措施；</w:t>
      </w:r>
    </w:p>
    <w:p>
      <w:pPr>
        <w:pStyle w:val="ListParagraph"/>
        <w:numPr>
          <w:ilvl w:val="2"/>
          <w:numId w:val="2"/>
        </w:numPr>
        <w:tabs>
          <w:tab w:pos="1897" w:val="left" w:leader="none"/>
        </w:tabs>
        <w:spacing w:line="240" w:lineRule="auto" w:before="176" w:after="0"/>
        <w:ind w:left="1896" w:right="0" w:hanging="318"/>
        <w:jc w:val="both"/>
        <w:rPr>
          <w:rFonts w:ascii="黑体" w:eastAsia="黑体" w:hint="eastAsia"/>
          <w:sz w:val="21"/>
        </w:rPr>
      </w:pPr>
      <w:r>
        <w:rPr>
          <w:rFonts w:ascii="黑体" w:eastAsia="黑体" w:hint="eastAsia"/>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7" w:val="left" w:leader="none"/>
        </w:tabs>
        <w:spacing w:line="240" w:lineRule="auto" w:before="176" w:after="0"/>
        <w:ind w:left="1896" w:right="0" w:hanging="318"/>
        <w:jc w:val="both"/>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2"/>
          <w:numId w:val="2"/>
        </w:numPr>
        <w:tabs>
          <w:tab w:pos="1897" w:val="left" w:leader="none"/>
        </w:tabs>
        <w:spacing w:line="240" w:lineRule="auto" w:before="176" w:after="0"/>
        <w:ind w:left="1896" w:right="0" w:hanging="318"/>
        <w:jc w:val="both"/>
        <w:rPr>
          <w:rFonts w:ascii="黑体" w:eastAsia="黑体" w:hint="eastAsia"/>
          <w:sz w:val="21"/>
        </w:rPr>
      </w:pPr>
      <w:r>
        <w:rPr>
          <w:rFonts w:ascii="黑体" w:eastAsia="黑体" w:hint="eastAsia"/>
          <w:w w:val="95"/>
          <w:sz w:val="21"/>
        </w:rPr>
        <w:t>被保险人</w:t>
      </w:r>
      <w:r>
        <w:rPr>
          <w:rFonts w:ascii="黑体" w:eastAsia="黑体" w:hint="eastAsia"/>
          <w:b/>
          <w:w w:val="95"/>
          <w:sz w:val="21"/>
        </w:rPr>
        <w:t>感染艾滋病病毒或患艾滋病</w:t>
      </w:r>
      <w:r>
        <w:rPr>
          <w:rFonts w:ascii="黑体" w:eastAsia="黑体" w:hint="eastAsia"/>
          <w:w w:val="95"/>
          <w:sz w:val="21"/>
        </w:rPr>
        <w:t>；</w:t>
      </w:r>
    </w:p>
    <w:p>
      <w:pPr>
        <w:pStyle w:val="ListParagraph"/>
        <w:numPr>
          <w:ilvl w:val="2"/>
          <w:numId w:val="2"/>
        </w:numPr>
        <w:tabs>
          <w:tab w:pos="1897" w:val="left" w:leader="none"/>
        </w:tabs>
        <w:spacing w:line="240" w:lineRule="auto" w:before="176" w:after="0"/>
        <w:ind w:left="1896" w:right="0" w:hanging="318"/>
        <w:jc w:val="both"/>
        <w:rPr>
          <w:rFonts w:ascii="黑体" w:eastAsia="黑体" w:hint="eastAsia"/>
          <w:sz w:val="21"/>
        </w:rPr>
      </w:pPr>
      <w:r>
        <w:rPr>
          <w:rFonts w:ascii="黑体" w:eastAsia="黑体" w:hint="eastAsia"/>
          <w:sz w:val="21"/>
        </w:rPr>
        <w:t>战争、军事冲突、暴乱或武装叛乱；</w:t>
      </w:r>
    </w:p>
    <w:p>
      <w:pPr>
        <w:pStyle w:val="ListParagraph"/>
        <w:numPr>
          <w:ilvl w:val="2"/>
          <w:numId w:val="2"/>
        </w:numPr>
        <w:tabs>
          <w:tab w:pos="1897" w:val="left" w:leader="none"/>
        </w:tabs>
        <w:spacing w:line="240" w:lineRule="auto" w:before="176" w:after="0"/>
        <w:ind w:left="1896" w:right="0" w:hanging="318"/>
        <w:jc w:val="both"/>
        <w:rPr>
          <w:rFonts w:ascii="黑体" w:eastAsia="黑体" w:hint="eastAsia"/>
          <w:sz w:val="21"/>
        </w:rPr>
      </w:pPr>
      <w:r>
        <w:rPr>
          <w:rFonts w:ascii="黑体" w:eastAsia="黑体" w:hint="eastAsia"/>
          <w:sz w:val="21"/>
        </w:rPr>
        <w:t>核爆炸、核辐射或核污染；</w:t>
      </w:r>
    </w:p>
    <w:p>
      <w:pPr>
        <w:pStyle w:val="Heading3"/>
        <w:numPr>
          <w:ilvl w:val="2"/>
          <w:numId w:val="2"/>
        </w:numPr>
        <w:tabs>
          <w:tab w:pos="1897" w:val="left" w:leader="none"/>
        </w:tabs>
        <w:spacing w:line="240" w:lineRule="auto" w:before="176" w:after="0"/>
        <w:ind w:left="1896" w:right="0" w:hanging="318"/>
        <w:jc w:val="both"/>
        <w:rPr>
          <w:rFonts w:ascii="黑体" w:eastAsia="黑体" w:hint="eastAsia"/>
          <w:b w:val="0"/>
        </w:rPr>
      </w:pPr>
      <w:r>
        <w:rPr>
          <w:rFonts w:ascii="黑体" w:eastAsia="黑体" w:hint="eastAsia"/>
          <w:w w:val="95"/>
        </w:rPr>
        <w:t>遗传性疾病，先天性畸形、变形或染色体异常</w:t>
      </w:r>
      <w:r>
        <w:rPr>
          <w:rFonts w:ascii="黑体" w:eastAsia="黑体" w:hint="eastAsia"/>
          <w:b w:val="0"/>
          <w:w w:val="95"/>
        </w:rPr>
        <w:t>。</w:t>
      </w:r>
    </w:p>
    <w:p>
      <w:pPr>
        <w:pStyle w:val="BodyText"/>
        <w:spacing w:before="8"/>
        <w:ind w:left="0"/>
        <w:rPr>
          <w:rFonts w:ascii="黑体"/>
          <w:sz w:val="23"/>
        </w:rPr>
      </w:pPr>
    </w:p>
    <w:p>
      <w:pPr>
        <w:pStyle w:val="ListParagraph"/>
        <w:numPr>
          <w:ilvl w:val="0"/>
          <w:numId w:val="2"/>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44;mso-wrap-distance-left:0;mso-wrap-distance-right:0" from="69.419998pt,19.265928pt" to="523.979998pt,19.265928pt" stroked="true" strokeweight="1.5pt" strokecolor="#000000">
            <v:stroke dashstyle="solid"/>
            <w10:wrap type="topAndBottom"/>
          </v:line>
        </w:pict>
      </w:r>
      <w:r>
        <w:rPr>
          <w:b/>
          <w:w w:val="95"/>
          <w:sz w:val="24"/>
        </w:rPr>
        <w:t>保险金的申请</w:t>
      </w:r>
    </w:p>
    <w:p>
      <w:pPr>
        <w:pStyle w:val="BodyText"/>
        <w:spacing w:before="4"/>
        <w:ind w:left="0"/>
        <w:rPr>
          <w:b/>
          <w:sz w:val="5"/>
        </w:rPr>
      </w:pPr>
    </w:p>
    <w:p>
      <w:pPr>
        <w:pStyle w:val="ListParagraph"/>
        <w:numPr>
          <w:ilvl w:val="1"/>
          <w:numId w:val="2"/>
        </w:numPr>
        <w:tabs>
          <w:tab w:pos="894" w:val="left" w:leader="none"/>
          <w:tab w:pos="895" w:val="left" w:leader="none"/>
        </w:tabs>
        <w:spacing w:line="240" w:lineRule="auto" w:before="42" w:after="0"/>
        <w:ind w:left="894" w:right="0" w:hanging="576"/>
        <w:jc w:val="left"/>
        <w:rPr>
          <w:b/>
          <w:sz w:val="21"/>
        </w:rPr>
      </w:pPr>
      <w:r>
        <w:rPr>
          <w:b/>
          <w:w w:val="95"/>
          <w:sz w:val="21"/>
        </w:rPr>
        <w:t>保险事故通知</w:t>
      </w:r>
    </w:p>
    <w:p>
      <w:pPr>
        <w:pStyle w:val="BodyText"/>
        <w:spacing w:before="176"/>
        <w:ind w:left="1608"/>
        <w:rPr>
          <w:rFonts w:ascii="黑体" w:eastAsia="黑体" w:hint="eastAsia"/>
        </w:rPr>
      </w:pPr>
      <w:r>
        <w:rPr>
          <w:rFonts w:ascii="黑体" w:eastAsia="黑体" w:hint="eastAsia"/>
        </w:rPr>
        <w:t>您或被保险人应于知道保险事故发Th之日起十日内通知我们。</w:t>
      </w:r>
    </w:p>
    <w:p>
      <w:pPr>
        <w:pStyle w:val="BodyText"/>
        <w:spacing w:before="9"/>
        <w:ind w:left="0"/>
        <w:rPr>
          <w:rFonts w:ascii="黑体"/>
          <w:sz w:val="14"/>
        </w:rPr>
      </w:pPr>
    </w:p>
    <w:p>
      <w:pPr>
        <w:pStyle w:val="BodyText"/>
        <w:spacing w:line="273" w:lineRule="auto"/>
        <w:ind w:left="1608" w:right="214"/>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894" w:val="left" w:leader="none"/>
          <w:tab w:pos="895" w:val="left" w:leader="none"/>
        </w:tabs>
        <w:spacing w:line="240" w:lineRule="auto" w:before="163" w:after="0"/>
        <w:ind w:left="894" w:right="0" w:hanging="576"/>
        <w:jc w:val="left"/>
      </w:pPr>
      <w:r>
        <w:rPr>
          <w:w w:val="95"/>
        </w:rPr>
        <w:t>保险金申请</w:t>
      </w:r>
    </w:p>
    <w:p>
      <w:pPr>
        <w:pStyle w:val="BodyText"/>
        <w:spacing w:line="273" w:lineRule="auto" w:before="177"/>
        <w:ind w:left="1608" w:right="177"/>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2"/>
        </w:numPr>
        <w:tabs>
          <w:tab w:pos="1897" w:val="left" w:leader="none"/>
        </w:tabs>
        <w:spacing w:line="240" w:lineRule="auto" w:before="164" w:after="0"/>
        <w:ind w:left="1896" w:right="0" w:hanging="318"/>
        <w:jc w:val="left"/>
        <w:rPr>
          <w:sz w:val="21"/>
        </w:rPr>
      </w:pPr>
      <w:r>
        <w:rPr>
          <w:sz w:val="21"/>
        </w:rPr>
        <w:t>保险合同；</w:t>
      </w:r>
    </w:p>
    <w:p>
      <w:pPr>
        <w:pStyle w:val="ListParagraph"/>
        <w:numPr>
          <w:ilvl w:val="2"/>
          <w:numId w:val="2"/>
        </w:numPr>
        <w:tabs>
          <w:tab w:pos="1897" w:val="left" w:leader="none"/>
        </w:tabs>
        <w:spacing w:line="240" w:lineRule="auto" w:before="177" w:after="0"/>
        <w:ind w:left="1896" w:right="0" w:hanging="318"/>
        <w:jc w:val="left"/>
        <w:rPr>
          <w:sz w:val="21"/>
        </w:rPr>
      </w:pPr>
      <w:r>
        <w:rPr>
          <w:sz w:val="21"/>
        </w:rPr>
        <w:t>被保险人的有效身份证件；</w:t>
      </w:r>
    </w:p>
    <w:p>
      <w:pPr>
        <w:pStyle w:val="ListParagraph"/>
        <w:numPr>
          <w:ilvl w:val="2"/>
          <w:numId w:val="2"/>
        </w:numPr>
        <w:tabs>
          <w:tab w:pos="1897" w:val="left" w:leader="none"/>
        </w:tabs>
        <w:spacing w:line="256" w:lineRule="auto" w:before="177" w:after="0"/>
        <w:ind w:left="1896" w:right="212" w:hanging="318"/>
        <w:jc w:val="left"/>
        <w:rPr>
          <w:sz w:val="21"/>
        </w:rPr>
      </w:pPr>
      <w:r>
        <w:rPr>
          <w:sz w:val="21"/>
        </w:rPr>
        <w:t>由我们</w:t>
      </w:r>
      <w:r>
        <w:rPr>
          <w:b/>
          <w:sz w:val="21"/>
        </w:rPr>
        <w:t>指定或认可的医院</w:t>
      </w:r>
      <w:r>
        <w:rPr>
          <w:sz w:val="21"/>
        </w:rPr>
        <w:t>的</w:t>
      </w:r>
      <w:r>
        <w:rPr>
          <w:b/>
          <w:sz w:val="21"/>
        </w:rPr>
        <w:t>专科医生</w:t>
      </w:r>
      <w:r>
        <w:rPr>
          <w:spacing w:val="-10"/>
          <w:sz w:val="21"/>
        </w:rPr>
        <w:t>出具的病历、必须的病理检验、血液检查及其他科学诊断报告、诊断书或手术证明；</w:t>
      </w:r>
    </w:p>
    <w:p>
      <w:pPr>
        <w:pStyle w:val="ListParagraph"/>
        <w:numPr>
          <w:ilvl w:val="2"/>
          <w:numId w:val="2"/>
        </w:numPr>
        <w:tabs>
          <w:tab w:pos="1897" w:val="left" w:leader="none"/>
        </w:tabs>
        <w:spacing w:line="240" w:lineRule="auto" w:before="178" w:after="0"/>
        <w:ind w:left="1896" w:right="0" w:hanging="318"/>
        <w:jc w:val="left"/>
        <w:rPr>
          <w:sz w:val="21"/>
        </w:rPr>
      </w:pPr>
      <w:r>
        <w:rPr>
          <w:sz w:val="21"/>
        </w:rPr>
        <w:t>司法鉴定机构所出具的被保险人伤残程度鉴定报告书；</w:t>
      </w:r>
    </w:p>
    <w:p>
      <w:pPr>
        <w:pStyle w:val="ListParagraph"/>
        <w:numPr>
          <w:ilvl w:val="2"/>
          <w:numId w:val="2"/>
        </w:numPr>
        <w:tabs>
          <w:tab w:pos="1897" w:val="left" w:leader="none"/>
        </w:tabs>
        <w:spacing w:line="240" w:lineRule="auto" w:before="176" w:after="0"/>
        <w:ind w:left="1896" w:right="0" w:hanging="318"/>
        <w:jc w:val="left"/>
        <w:rPr>
          <w:sz w:val="21"/>
        </w:rPr>
      </w:pPr>
      <w:r>
        <w:rPr>
          <w:sz w:val="21"/>
        </w:rPr>
        <w:t>其它与确定保险事故的性质、原因等有关的证明和资料。</w:t>
      </w:r>
    </w:p>
    <w:p>
      <w:pPr>
        <w:pStyle w:val="BodyText"/>
        <w:spacing w:before="176"/>
        <w:ind w:left="1578"/>
      </w:pPr>
      <w:r>
        <w:rPr/>
        <w:t>以上证明和资料不完整的，我们将及时一次性通知申请人补充提供有关证明和资料。</w:t>
      </w:r>
    </w:p>
    <w:p>
      <w:pPr>
        <w:spacing w:after="0"/>
        <w:sectPr>
          <w:pgSz w:w="11910" w:h="16840"/>
          <w:pgMar w:top="1400" w:bottom="280" w:left="1280" w:right="1240"/>
        </w:sectPr>
      </w:pPr>
    </w:p>
    <w:p>
      <w:pPr>
        <w:pStyle w:val="Heading3"/>
        <w:numPr>
          <w:ilvl w:val="1"/>
          <w:numId w:val="2"/>
        </w:numPr>
        <w:tabs>
          <w:tab w:pos="894" w:val="left" w:leader="none"/>
          <w:tab w:pos="895" w:val="left" w:leader="none"/>
        </w:tabs>
        <w:spacing w:line="240" w:lineRule="auto" w:before="25" w:after="0"/>
        <w:ind w:left="894" w:right="0" w:hanging="576"/>
        <w:jc w:val="left"/>
      </w:pPr>
      <w:r>
        <w:rPr/>
        <w:t>诉讼时效</w:t>
      </w:r>
    </w:p>
    <w:p>
      <w:pPr>
        <w:pStyle w:val="BodyText"/>
        <w:spacing w:line="273" w:lineRule="auto" w:before="177"/>
        <w:ind w:left="1608" w:right="214"/>
      </w:pPr>
      <w:r>
        <w:rPr/>
        <w:t>被保险人向我们请求给付保险金的诉讼时效期间为两年，自其知道或者应当知道保险事故发生之日起计算。</w:t>
      </w:r>
    </w:p>
    <w:p>
      <w:pPr>
        <w:pStyle w:val="BodyText"/>
        <w:spacing w:before="8"/>
        <w:ind w:left="0"/>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419998pt,19.265923pt" to="523.979998pt,19.265923pt" stroked="true" strokeweight="1.5pt" strokecolor="#000000">
            <v:stroke dashstyle="solid"/>
            <w10:wrap type="topAndBottom"/>
          </v:line>
        </w:pict>
      </w:r>
      <w:r>
        <w:rPr>
          <w:w w:val="95"/>
        </w:rPr>
        <w:t>现金价值权益</w:t>
      </w:r>
    </w:p>
    <w:p>
      <w:pPr>
        <w:pStyle w:val="BodyText"/>
        <w:spacing w:before="4"/>
        <w:ind w:left="0"/>
        <w:rPr>
          <w:b/>
          <w:sz w:val="5"/>
        </w:rPr>
      </w:pPr>
    </w:p>
    <w:p>
      <w:pPr>
        <w:pStyle w:val="Heading3"/>
        <w:numPr>
          <w:ilvl w:val="1"/>
          <w:numId w:val="2"/>
        </w:numPr>
        <w:tabs>
          <w:tab w:pos="894" w:val="left" w:leader="none"/>
          <w:tab w:pos="895" w:val="left" w:leader="none"/>
        </w:tabs>
        <w:spacing w:line="240" w:lineRule="auto" w:before="42" w:after="0"/>
        <w:ind w:left="894" w:right="0" w:hanging="576"/>
        <w:jc w:val="left"/>
      </w:pPr>
      <w:r>
        <w:rPr/>
        <w:t>现金价值</w:t>
      </w:r>
    </w:p>
    <w:p>
      <w:pPr>
        <w:pStyle w:val="BodyText"/>
        <w:spacing w:before="176"/>
        <w:ind w:left="1608"/>
      </w:pPr>
      <w:r>
        <w:rPr/>
        <w:t>本附加合同的现金价值会在保险单或批注上载明。</w:t>
      </w:r>
    </w:p>
    <w:p>
      <w:pPr>
        <w:pStyle w:val="BodyText"/>
        <w:spacing w:before="11"/>
        <w:ind w:left="0"/>
        <w:rPr>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92;mso-wrap-distance-left:0;mso-wrap-distance-right:0" from="69.419998pt,19.205904pt" to="523.979998pt,19.205904pt" stroked="true" strokeweight="1.5pt" strokecolor="#000000">
            <v:stroke dashstyle="solid"/>
            <w10:wrap type="topAndBottom"/>
          </v:line>
        </w:pict>
      </w:r>
      <w:r>
        <w:rPr/>
        <w:t>解除合同</w:t>
      </w:r>
    </w:p>
    <w:p>
      <w:pPr>
        <w:pStyle w:val="BodyText"/>
        <w:spacing w:before="4"/>
        <w:ind w:left="0"/>
        <w:rPr>
          <w:b/>
          <w:sz w:val="5"/>
        </w:rPr>
      </w:pPr>
    </w:p>
    <w:p>
      <w:pPr>
        <w:pStyle w:val="Heading3"/>
        <w:numPr>
          <w:ilvl w:val="1"/>
          <w:numId w:val="2"/>
        </w:numPr>
        <w:tabs>
          <w:tab w:pos="894" w:val="left" w:leader="none"/>
          <w:tab w:pos="895" w:val="left" w:leader="none"/>
        </w:tabs>
        <w:spacing w:line="240" w:lineRule="auto" w:before="42" w:after="0"/>
        <w:ind w:left="894" w:right="0" w:hanging="576"/>
        <w:jc w:val="left"/>
      </w:pPr>
      <w:r>
        <w:rPr>
          <w:w w:val="95"/>
        </w:rPr>
        <w:t>您解除合同的手续及风险</w:t>
      </w:r>
    </w:p>
    <w:p>
      <w:pPr>
        <w:pStyle w:val="BodyText"/>
        <w:spacing w:line="273" w:lineRule="auto" w:before="176"/>
        <w:ind w:left="1608" w:right="214"/>
      </w:pPr>
      <w:r>
        <w:rPr/>
        <w:t>您于犹豫期后，可以向我们书面申请解除本附加合同，并向我们提供下列证明和资料：</w:t>
      </w:r>
    </w:p>
    <w:p>
      <w:pPr>
        <w:pStyle w:val="ListParagraph"/>
        <w:numPr>
          <w:ilvl w:val="2"/>
          <w:numId w:val="2"/>
        </w:numPr>
        <w:tabs>
          <w:tab w:pos="1897" w:val="left" w:leader="none"/>
        </w:tabs>
        <w:spacing w:line="240" w:lineRule="auto" w:before="163" w:after="0"/>
        <w:ind w:left="1896" w:right="0" w:hanging="318"/>
        <w:jc w:val="left"/>
        <w:rPr>
          <w:sz w:val="21"/>
        </w:rPr>
      </w:pPr>
      <w:r>
        <w:rPr>
          <w:sz w:val="21"/>
        </w:rPr>
        <w:t>保险合同；</w:t>
      </w:r>
    </w:p>
    <w:p>
      <w:pPr>
        <w:pStyle w:val="ListParagraph"/>
        <w:numPr>
          <w:ilvl w:val="2"/>
          <w:numId w:val="2"/>
        </w:numPr>
        <w:tabs>
          <w:tab w:pos="1897" w:val="left" w:leader="none"/>
        </w:tabs>
        <w:spacing w:line="240" w:lineRule="auto" w:before="177" w:after="0"/>
        <w:ind w:left="1896" w:right="0" w:hanging="318"/>
        <w:jc w:val="left"/>
        <w:rPr>
          <w:sz w:val="21"/>
        </w:rPr>
      </w:pPr>
      <w:r>
        <w:rPr>
          <w:sz w:val="21"/>
        </w:rPr>
        <w:t>解除合同申请书；</w:t>
      </w:r>
    </w:p>
    <w:p>
      <w:pPr>
        <w:pStyle w:val="ListParagraph"/>
        <w:numPr>
          <w:ilvl w:val="2"/>
          <w:numId w:val="2"/>
        </w:numPr>
        <w:tabs>
          <w:tab w:pos="1897" w:val="left" w:leader="none"/>
        </w:tabs>
        <w:spacing w:line="240" w:lineRule="auto" w:before="177" w:after="0"/>
        <w:ind w:left="1896" w:right="0" w:hanging="318"/>
        <w:jc w:val="left"/>
        <w:rPr>
          <w:sz w:val="21"/>
        </w:rPr>
      </w:pPr>
      <w:r>
        <w:rPr>
          <w:sz w:val="21"/>
        </w:rPr>
        <w:t>您的有效身份证件。</w:t>
      </w:r>
    </w:p>
    <w:p>
      <w:pPr>
        <w:pStyle w:val="BodyText"/>
        <w:spacing w:line="273" w:lineRule="auto" w:before="177"/>
        <w:ind w:left="1608" w:right="214"/>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3"/>
        <w:ind w:left="1608"/>
        <w:rPr>
          <w:rFonts w:ascii="黑体" w:eastAsia="黑体" w:hint="eastAsia"/>
        </w:rPr>
      </w:pPr>
      <w:r>
        <w:rPr>
          <w:rFonts w:ascii="黑体" w:eastAsia="黑体" w:hint="eastAsia"/>
        </w:rPr>
        <w:t>您犹豫期后解除合同会遭受一定损失。</w:t>
      </w:r>
    </w:p>
    <w:p>
      <w:pPr>
        <w:pStyle w:val="BodyText"/>
        <w:spacing w:before="11"/>
        <w:ind w:left="0"/>
        <w:rPr>
          <w:rFonts w:ascii="黑体"/>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216;mso-wrap-distance-left:0;mso-wrap-distance-right:0" from="69.419998pt,19.265924pt" to="523.979998pt,19.265924pt" stroked="true" strokeweight="1.5pt" strokecolor="#000000">
            <v:stroke dashstyle="solid"/>
            <w10:wrap type="topAndBottom"/>
          </v:line>
        </w:pict>
      </w:r>
      <w:r>
        <w:rPr/>
        <w:t>释义</w:t>
      </w:r>
    </w:p>
    <w:p>
      <w:pPr>
        <w:pStyle w:val="BodyText"/>
        <w:spacing w:before="4"/>
        <w:ind w:left="0"/>
        <w:rPr>
          <w:b/>
          <w:sz w:val="5"/>
        </w:rPr>
      </w:pPr>
    </w:p>
    <w:p>
      <w:pPr>
        <w:pStyle w:val="Heading3"/>
        <w:numPr>
          <w:ilvl w:val="1"/>
          <w:numId w:val="2"/>
        </w:numPr>
        <w:tabs>
          <w:tab w:pos="894" w:val="left" w:leader="none"/>
          <w:tab w:pos="895" w:val="left" w:leader="none"/>
        </w:tabs>
        <w:spacing w:line="240" w:lineRule="auto" w:before="42" w:after="0"/>
        <w:ind w:left="894" w:right="0" w:hanging="576"/>
        <w:jc w:val="left"/>
      </w:pPr>
      <w:r>
        <w:rPr/>
        <w:t>重大疾病</w:t>
      </w:r>
    </w:p>
    <w:p>
      <w:pPr>
        <w:pStyle w:val="BodyText"/>
        <w:spacing w:line="273" w:lineRule="auto" w:before="176"/>
        <w:ind w:left="1608" w:right="214"/>
      </w:pPr>
      <w:r>
        <w:rPr/>
        <w:t>重大疾病指下列所定义的三十六项疾病或手术，其中前二十五种重大疾病采用中国保险行业协会颁布的《重大疾病保险的疾病定义使用规范》中的定义。</w:t>
      </w:r>
    </w:p>
    <w:p>
      <w:pPr>
        <w:pStyle w:val="Heading3"/>
        <w:numPr>
          <w:ilvl w:val="2"/>
          <w:numId w:val="3"/>
        </w:numPr>
        <w:tabs>
          <w:tab w:pos="1398" w:val="left" w:leader="none"/>
          <w:tab w:pos="1399" w:val="left" w:leader="none"/>
        </w:tabs>
        <w:spacing w:line="240" w:lineRule="auto" w:before="163" w:after="0"/>
        <w:ind w:left="1398" w:right="0" w:hanging="720"/>
        <w:jc w:val="left"/>
      </w:pPr>
      <w:r>
        <w:rPr/>
        <w:t>恶性肿瘤</w:t>
      </w:r>
    </w:p>
    <w:p>
      <w:pPr>
        <w:pStyle w:val="BodyText"/>
        <w:spacing w:line="266" w:lineRule="auto" w:before="141"/>
        <w:ind w:left="1608" w:right="107"/>
      </w:pPr>
      <w:r>
        <w:rPr>
          <w:spacing w:val="-5"/>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）的恶性肿瘤范畴。</w:t>
      </w:r>
    </w:p>
    <w:p>
      <w:pPr>
        <w:pStyle w:val="BodyText"/>
        <w:spacing w:before="170"/>
        <w:ind w:left="1608"/>
        <w:rPr>
          <w:rFonts w:ascii="黑体" w:eastAsia="黑体" w:hint="eastAsia"/>
        </w:rPr>
      </w:pPr>
      <w:r>
        <w:rPr>
          <w:rFonts w:ascii="黑体" w:eastAsia="黑体" w:hint="eastAsia"/>
        </w:rPr>
        <w:t>下列疾病不在保障范围内：</w:t>
      </w:r>
    </w:p>
    <w:p>
      <w:pPr>
        <w:pStyle w:val="BodyText"/>
        <w:spacing w:before="10"/>
        <w:ind w:left="0"/>
        <w:rPr>
          <w:rFonts w:ascii="黑体"/>
          <w:sz w:val="14"/>
        </w:rPr>
      </w:pPr>
    </w:p>
    <w:p>
      <w:pPr>
        <w:pStyle w:val="BodyText"/>
        <w:ind w:left="1608"/>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608"/>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pStyle w:val="BodyText"/>
        <w:spacing w:before="177"/>
        <w:ind w:left="1608"/>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608"/>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spacing w:after="0"/>
        <w:rPr>
          <w:rFonts w:ascii="黑体" w:eastAsia="黑体" w:hint="eastAsia"/>
        </w:rPr>
        <w:sectPr>
          <w:pgSz w:w="11910" w:h="16840"/>
          <w:pgMar w:top="1400" w:bottom="280" w:left="1280" w:right="1240"/>
        </w:sectPr>
      </w:pPr>
    </w:p>
    <w:p>
      <w:pPr>
        <w:pStyle w:val="BodyText"/>
        <w:spacing w:before="25"/>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7"/>
        <w:ind w:left="1208"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998" w:val="left" w:leader="none"/>
          <w:tab w:pos="999" w:val="left" w:leader="none"/>
        </w:tabs>
        <w:spacing w:line="240" w:lineRule="auto" w:before="177" w:after="0"/>
        <w:ind w:left="998" w:right="0" w:hanging="720"/>
        <w:jc w:val="left"/>
      </w:pPr>
      <w:r>
        <w:rPr>
          <w:w w:val="95"/>
        </w:rPr>
        <w:t>急性心肌梗塞</w:t>
      </w:r>
    </w:p>
    <w:p>
      <w:pPr>
        <w:pStyle w:val="BodyText"/>
        <w:spacing w:line="273" w:lineRule="auto" w:before="141"/>
        <w:ind w:right="214"/>
      </w:pPr>
      <w:r>
        <w:rPr/>
        <w:t>指因冠状动脉阻塞导致的相应区域供血不足造成部分心肌坏死。须满足下列至少三项条件：</w:t>
      </w:r>
    </w:p>
    <w:p>
      <w:pPr>
        <w:pStyle w:val="BodyText"/>
        <w:spacing w:before="163"/>
      </w:pPr>
      <w:r>
        <w:rPr>
          <w:rFonts w:ascii="Times New Roman" w:eastAsia="Times New Roman"/>
        </w:rPr>
        <w:t>1</w:t>
      </w:r>
      <w:r>
        <w:rPr/>
        <w:t>． 典型临床表现，例如急性胸痛等；</w:t>
      </w:r>
    </w:p>
    <w:p>
      <w:pPr>
        <w:pStyle w:val="BodyText"/>
        <w:spacing w:before="176"/>
      </w:pPr>
      <w:r>
        <w:rPr>
          <w:rFonts w:ascii="Times New Roman" w:eastAsia="Times New Roman"/>
        </w:rPr>
        <w:t>2</w:t>
      </w:r>
      <w:r>
        <w:rPr/>
        <w:t>． 新近的心电图改变提示急性心肌梗塞；</w:t>
      </w:r>
    </w:p>
    <w:p>
      <w:pPr>
        <w:pStyle w:val="BodyText"/>
        <w:spacing w:before="176"/>
      </w:pPr>
      <w:r>
        <w:rPr>
          <w:rFonts w:ascii="Times New Roman" w:eastAsia="Times New Roman"/>
        </w:rPr>
        <w:t>3</w:t>
      </w:r>
      <w:r>
        <w:rPr/>
        <w:t>． 心肌酶或肌钙蛋白有诊断意义的升高，或呈符合急性心肌梗塞的动态性变化；</w:t>
      </w:r>
    </w:p>
    <w:p>
      <w:pPr>
        <w:pStyle w:val="BodyText"/>
        <w:spacing w:before="176"/>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3"/>
        </w:numPr>
        <w:tabs>
          <w:tab w:pos="998" w:val="left" w:leader="none"/>
          <w:tab w:pos="999" w:val="left" w:leader="none"/>
        </w:tabs>
        <w:spacing w:line="240" w:lineRule="auto" w:before="176" w:after="0"/>
        <w:ind w:left="998" w:right="0" w:hanging="720"/>
        <w:jc w:val="left"/>
      </w:pPr>
      <w:r>
        <w:rPr>
          <w:w w:val="95"/>
        </w:rPr>
        <w:t>脑中风后遗症</w:t>
      </w:r>
    </w:p>
    <w:p>
      <w:pPr>
        <w:pStyle w:val="BodyText"/>
        <w:spacing w:line="264" w:lineRule="auto" w:before="140"/>
        <w:ind w:right="212"/>
        <w:jc w:val="both"/>
      </w:pPr>
      <w:r>
        <w:rPr/>
        <w:t>指因脑血管的突发病变引起脑血管出血、栓塞或梗塞，并导致神经系统永久性的功</w:t>
      </w:r>
      <w:r>
        <w:rPr>
          <w:spacing w:val="-3"/>
        </w:rPr>
        <w:t>能障碍。神经系统永久性的功能障碍，指疾病确诊 </w:t>
      </w:r>
      <w:r>
        <w:rPr>
          <w:rFonts w:ascii="Times New Roman" w:eastAsia="Times New Roman"/>
        </w:rPr>
        <w:t>180 </w:t>
      </w:r>
      <w:r>
        <w:rPr/>
        <w:t>天后，仍遗留下列一种或一种以上障碍：</w:t>
      </w:r>
    </w:p>
    <w:p>
      <w:pPr>
        <w:spacing w:before="171"/>
        <w:ind w:left="1208"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08" w:firstLine="0"/>
      </w:pPr>
      <w:r>
        <w:rPr>
          <w:rFonts w:ascii="Times New Roman" w:eastAsia="Times New Roman"/>
          <w:b w:val="0"/>
        </w:rPr>
        <w:t>2</w:t>
      </w:r>
      <w:r>
        <w:rPr>
          <w:b w:val="0"/>
        </w:rPr>
        <w:t>． </w:t>
      </w:r>
      <w:r>
        <w:rPr/>
        <w:t>语言能力或咀嚼吞咽能力完全丧失；</w:t>
      </w:r>
    </w:p>
    <w:p>
      <w:pPr>
        <w:spacing w:line="256" w:lineRule="auto" w:before="176"/>
        <w:ind w:left="1568" w:right="211"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8" w:val="left" w:leader="none"/>
          <w:tab w:pos="999" w:val="left" w:leader="none"/>
        </w:tabs>
        <w:spacing w:line="240" w:lineRule="auto" w:before="178" w:after="0"/>
        <w:ind w:left="998" w:right="0" w:hanging="720"/>
        <w:jc w:val="left"/>
      </w:pPr>
      <w:r>
        <w:rPr>
          <w:w w:val="95"/>
        </w:rPr>
        <w:t>重大器官移植术或造血干细胞移植术</w:t>
      </w:r>
    </w:p>
    <w:p>
      <w:pPr>
        <w:pStyle w:val="BodyText"/>
        <w:spacing w:line="273" w:lineRule="auto" w:before="141"/>
        <w:ind w:right="214"/>
      </w:pPr>
      <w:r>
        <w:rPr/>
        <w:t>重大器官移植术，指因相应器官功能衰竭，已经实施了肾脏、肝脏、心脏或肺脏的异体移植手术。</w:t>
      </w:r>
    </w:p>
    <w:p>
      <w:pPr>
        <w:pStyle w:val="BodyText"/>
        <w:spacing w:line="273" w:lineRule="auto" w:before="163"/>
        <w:ind w:right="108"/>
      </w:pPr>
      <w:r>
        <w:rPr/>
        <w:t>造血干细胞移植术，指因造血功能损害或造血系统恶性肿瘤，已经实施了造血干细</w:t>
      </w:r>
      <w:r>
        <w:rPr>
          <w:spacing w:val="-35"/>
        </w:rPr>
        <w:t>胞</w:t>
      </w:r>
      <w:r>
        <w:rPr/>
        <w:t>（</w:t>
      </w:r>
      <w:r>
        <w:rPr>
          <w:spacing w:val="-4"/>
        </w:rPr>
        <w:t>包括骨髓造血干细胞、外周血造血干细胞和脐血造血干细胞</w:t>
      </w:r>
      <w:r>
        <w:rPr>
          <w:spacing w:val="-35"/>
        </w:rPr>
        <w:t>）</w:t>
      </w:r>
      <w:r>
        <w:rPr/>
        <w:t>的异体移植手术。</w:t>
      </w:r>
    </w:p>
    <w:p>
      <w:pPr>
        <w:pStyle w:val="Heading3"/>
        <w:numPr>
          <w:ilvl w:val="2"/>
          <w:numId w:val="3"/>
        </w:numPr>
        <w:tabs>
          <w:tab w:pos="998" w:val="left" w:leader="none"/>
          <w:tab w:pos="999" w:val="left" w:leader="none"/>
        </w:tabs>
        <w:spacing w:line="240" w:lineRule="auto" w:before="163" w:after="0"/>
        <w:ind w:left="998" w:right="0" w:hanging="720"/>
        <w:jc w:val="left"/>
      </w:pPr>
      <w:r>
        <w:rPr>
          <w:w w:val="95"/>
        </w:rPr>
        <w:t>冠状动脉搭桥术（或称冠状动脉旁路移植术）</w:t>
      </w:r>
    </w:p>
    <w:p>
      <w:pPr>
        <w:pStyle w:val="BodyText"/>
        <w:spacing w:before="141"/>
      </w:pPr>
      <w:r>
        <w:rPr/>
        <w:t>指为治疗严重的冠心病，实际实施了开胸进行的冠状动脉血管旁路移植的手术。</w:t>
      </w:r>
    </w:p>
    <w:p>
      <w:pPr>
        <w:pStyle w:val="BodyText"/>
        <w:spacing w:before="10"/>
        <w:ind w:left="0"/>
        <w:rPr>
          <w:sz w:val="14"/>
        </w:rPr>
      </w:pPr>
    </w:p>
    <w:p>
      <w:pPr>
        <w:pStyle w:val="BodyText"/>
        <w:spacing w:line="273" w:lineRule="auto"/>
        <w:ind w:right="107"/>
        <w:rPr>
          <w:rFonts w:ascii="黑体" w:eastAsia="黑体" w:hint="eastAsia"/>
        </w:rPr>
      </w:pPr>
      <w:r>
        <w:rPr>
          <w:rFonts w:ascii="黑体" w:eastAsia="黑体" w:hint="eastAsia"/>
          <w:spacing w:val="-9"/>
        </w:rPr>
        <w:t>冠状动脉支架植入术、心导管球囊扩张术、激光射频技术及其它非开胸的介入手术、腔镜手术不在保障范围内。</w:t>
      </w:r>
    </w:p>
    <w:p>
      <w:pPr>
        <w:pStyle w:val="Heading3"/>
        <w:numPr>
          <w:ilvl w:val="2"/>
          <w:numId w:val="3"/>
        </w:numPr>
        <w:tabs>
          <w:tab w:pos="998" w:val="left" w:leader="none"/>
          <w:tab w:pos="999" w:val="left" w:leader="none"/>
        </w:tabs>
        <w:spacing w:line="240" w:lineRule="auto" w:before="163" w:after="0"/>
        <w:ind w:left="998" w:right="0" w:hanging="720"/>
        <w:jc w:val="left"/>
      </w:pPr>
      <w:r>
        <w:rPr>
          <w:w w:val="95"/>
        </w:rPr>
        <w:t>终末期肾病（或称慢性肾功能衰竭尿毒症期）</w:t>
      </w:r>
    </w:p>
    <w:p>
      <w:pPr>
        <w:pStyle w:val="BodyText"/>
        <w:spacing w:line="256" w:lineRule="auto" w:before="140"/>
        <w:ind w:right="211"/>
      </w:pPr>
      <w:r>
        <w:rPr>
          <w:spacing w:val="-9"/>
        </w:rPr>
        <w:t>指双肾功能慢性不可逆性衰竭，达到尿毒症期，经诊断后已经进行了至少 </w:t>
      </w:r>
      <w:r>
        <w:rPr>
          <w:rFonts w:ascii="Times New Roman" w:eastAsia="Times New Roman"/>
        </w:rPr>
        <w:t>90 </w:t>
      </w:r>
      <w:r>
        <w:rPr/>
        <w:t>天的规律性透析治疗或实施了肾脏移植手术。</w:t>
      </w:r>
    </w:p>
    <w:p>
      <w:pPr>
        <w:pStyle w:val="Heading3"/>
        <w:numPr>
          <w:ilvl w:val="2"/>
          <w:numId w:val="3"/>
        </w:numPr>
        <w:tabs>
          <w:tab w:pos="998" w:val="left" w:leader="none"/>
          <w:tab w:pos="999" w:val="left" w:leader="none"/>
        </w:tabs>
        <w:spacing w:line="240" w:lineRule="auto" w:before="178" w:after="0"/>
        <w:ind w:left="998" w:right="0" w:hanging="720"/>
        <w:jc w:val="left"/>
      </w:pPr>
      <w:r>
        <w:rPr>
          <w:w w:val="95"/>
        </w:rPr>
        <w:t>多个肢体缺失</w:t>
      </w:r>
    </w:p>
    <w:p>
      <w:pPr>
        <w:pStyle w:val="BodyText"/>
        <w:spacing w:line="273" w:lineRule="auto" w:before="141"/>
        <w:ind w:right="213"/>
      </w:pPr>
      <w:r>
        <w:rPr/>
        <w:t>指因疾病或</w:t>
      </w:r>
      <w:r>
        <w:rPr>
          <w:b/>
        </w:rPr>
        <w:t>意外伤害</w:t>
      </w:r>
      <w:r>
        <w:rPr/>
        <w:t>导致两个或两个以上肢体自腕关节或踝关节近端（靠近躯干端）以上完全性断离。</w:t>
      </w:r>
    </w:p>
    <w:p>
      <w:pPr>
        <w:spacing w:after="0" w:line="273" w:lineRule="auto"/>
        <w:sectPr>
          <w:pgSz w:w="11910" w:h="16840"/>
          <w:pgMar w:top="1400" w:bottom="280" w:left="1680" w:right="1240"/>
        </w:sectPr>
      </w:pPr>
    </w:p>
    <w:p>
      <w:pPr>
        <w:pStyle w:val="Heading3"/>
        <w:numPr>
          <w:ilvl w:val="2"/>
          <w:numId w:val="3"/>
        </w:numPr>
        <w:tabs>
          <w:tab w:pos="998" w:val="left" w:leader="none"/>
          <w:tab w:pos="999" w:val="left" w:leader="none"/>
        </w:tabs>
        <w:spacing w:line="240" w:lineRule="auto" w:before="25" w:after="0"/>
        <w:ind w:left="998" w:right="0" w:hanging="720"/>
        <w:jc w:val="left"/>
      </w:pPr>
      <w:r>
        <w:rPr>
          <w:w w:val="95"/>
        </w:rPr>
        <w:t>急性或亚急性重症肝炎</w:t>
      </w:r>
    </w:p>
    <w:p>
      <w:pPr>
        <w:pStyle w:val="BodyText"/>
        <w:spacing w:line="273" w:lineRule="auto" w:before="141"/>
        <w:ind w:right="213"/>
      </w:pPr>
      <w:r>
        <w:rPr/>
        <w:t>指因肝炎病毒感染引起肝脏组织弥漫性坏死，导致急性肝功能衰竭，且经血清学或病毒学检查证实，并须满足下列全部条件：</w:t>
      </w:r>
    </w:p>
    <w:p>
      <w:pPr>
        <w:pStyle w:val="BodyText"/>
        <w:spacing w:before="163"/>
      </w:pPr>
      <w:r>
        <w:rPr>
          <w:rFonts w:ascii="Times New Roman" w:eastAsia="Times New Roman"/>
        </w:rPr>
        <w:t>1</w:t>
      </w:r>
      <w:r>
        <w:rPr/>
        <w:t>． 重度黄疸或黄疸迅速加重；</w:t>
      </w:r>
    </w:p>
    <w:p>
      <w:pPr>
        <w:pStyle w:val="BodyText"/>
        <w:spacing w:before="176"/>
      </w:pPr>
      <w:r>
        <w:rPr>
          <w:rFonts w:ascii="Times New Roman" w:eastAsia="Times New Roman"/>
        </w:rPr>
        <w:t>2</w:t>
      </w:r>
      <w:r>
        <w:rPr/>
        <w:t>． 肝性脑病；</w:t>
      </w:r>
    </w:p>
    <w:p>
      <w:pPr>
        <w:pStyle w:val="BodyText"/>
        <w:spacing w:before="176"/>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6"/>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6" w:after="0"/>
        <w:ind w:left="998" w:right="0" w:hanging="720"/>
        <w:jc w:val="left"/>
      </w:pPr>
      <w:r>
        <w:rPr>
          <w:w w:val="95"/>
        </w:rPr>
        <w:t>良性脑肿瘤</w:t>
      </w:r>
    </w:p>
    <w:p>
      <w:pPr>
        <w:pStyle w:val="BodyText"/>
        <w:spacing w:line="264" w:lineRule="auto" w:before="140"/>
        <w:ind w:right="108"/>
      </w:pPr>
      <w:r>
        <w:rPr/>
        <w:t>指脑的良性肿瘤，已经引起颅内压增高，临床表现为视神经乳头水肿、精神症状、</w:t>
      </w:r>
      <w:r>
        <w:rPr>
          <w:spacing w:val="-18"/>
        </w:rPr>
        <w:t>癫痫及运动感觉障碍等，并危及生命。须由头颅断层扫描</w:t>
      </w:r>
      <w:r>
        <w:rPr/>
        <w:t>（</w:t>
      </w:r>
      <w:r>
        <w:rPr>
          <w:rFonts w:ascii="Times New Roman" w:eastAsia="Times New Roman"/>
        </w:rPr>
        <w:t>CT</w:t>
      </w:r>
      <w:r>
        <w:rPr>
          <w:spacing w:val="-94"/>
        </w:rPr>
        <w:t>）</w:t>
      </w:r>
      <w:r>
        <w:rPr>
          <w:spacing w:val="-28"/>
        </w:rPr>
        <w:t>、核磁共振检查</w:t>
      </w:r>
      <w:r>
        <w:rPr/>
        <w:t>（</w:t>
      </w:r>
      <w:r>
        <w:rPr>
          <w:rFonts w:ascii="Times New Roman" w:eastAsia="Times New Roman"/>
        </w:rPr>
        <w:t>MRI</w:t>
      </w:r>
      <w:r>
        <w:rPr/>
        <w:t>）</w:t>
      </w:r>
      <w:r>
        <w:rPr>
          <w:spacing w:val="-1"/>
        </w:rPr>
        <w:t>或正电子发射断层扫描</w:t>
      </w:r>
      <w:r>
        <w:rPr/>
        <w:t>（</w:t>
      </w:r>
      <w:r>
        <w:rPr>
          <w:rFonts w:ascii="Times New Roman" w:eastAsia="Times New Roman"/>
        </w:rPr>
        <w:t>PET</w:t>
      </w:r>
      <w:r>
        <w:rPr/>
        <w:t>）等影像学检查证实，并须满足下列至少一项条件：</w:t>
      </w:r>
    </w:p>
    <w:p>
      <w:pPr>
        <w:pStyle w:val="BodyText"/>
        <w:spacing w:before="153"/>
      </w:pPr>
      <w:r>
        <w:rPr>
          <w:rFonts w:ascii="Times New Roman" w:eastAsia="Times New Roman"/>
        </w:rPr>
        <w:t>1</w:t>
      </w:r>
      <w:r>
        <w:rPr/>
        <w:t>． 实际实施了开颅进行的脑肿瘤完全切除或部分切除的手术；</w:t>
      </w:r>
    </w:p>
    <w:p>
      <w:pPr>
        <w:pStyle w:val="BodyText"/>
        <w:spacing w:before="177"/>
      </w:pPr>
      <w:r>
        <w:rPr>
          <w:rFonts w:ascii="Times New Roman" w:eastAsia="Times New Roman"/>
        </w:rPr>
        <w:t>2</w:t>
      </w:r>
      <w:r>
        <w:rPr/>
        <w:t>． 实际实施了对脑肿瘤进行的放射治疗。</w:t>
      </w:r>
    </w:p>
    <w:p>
      <w:pPr>
        <w:pStyle w:val="BodyText"/>
        <w:spacing w:before="177"/>
        <w:rPr>
          <w:rFonts w:ascii="黑体" w:eastAsia="黑体" w:hint="eastAsia"/>
        </w:rPr>
      </w:pPr>
      <w:r>
        <w:rPr>
          <w:rFonts w:ascii="黑体" w:eastAsia="黑体" w:hint="eastAsia"/>
        </w:rPr>
        <w:t>脑垂体瘤、脑囊肿、脑血管性疾病不在保障范围内。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w w:val="95"/>
        </w:rPr>
        <w:t>慢性肝功能衰竭失代偿期</w:t>
      </w:r>
    </w:p>
    <w:p>
      <w:pPr>
        <w:pStyle w:val="BodyText"/>
        <w:spacing w:before="140"/>
      </w:pPr>
      <w:r>
        <w:rPr/>
        <w:t>指因慢性肝脏疾病导致肝功能衰竭。须满足下列全部条件：</w:t>
      </w:r>
    </w:p>
    <w:p>
      <w:pPr>
        <w:pStyle w:val="BodyText"/>
        <w:spacing w:before="9"/>
        <w:ind w:left="0"/>
        <w:rPr>
          <w:sz w:val="14"/>
        </w:rPr>
      </w:pPr>
    </w:p>
    <w:p>
      <w:pPr>
        <w:pStyle w:val="BodyText"/>
      </w:pPr>
      <w:r>
        <w:rPr>
          <w:rFonts w:ascii="Times New Roman" w:eastAsia="Times New Roman"/>
        </w:rPr>
        <w:t>1</w:t>
      </w:r>
      <w:r>
        <w:rPr/>
        <w:t>． 持续性黄疸；</w:t>
      </w:r>
    </w:p>
    <w:p>
      <w:pPr>
        <w:pStyle w:val="BodyText"/>
        <w:spacing w:before="177"/>
      </w:pPr>
      <w:r>
        <w:rPr>
          <w:rFonts w:ascii="Times New Roman" w:eastAsia="Times New Roman"/>
        </w:rPr>
        <w:t>2</w:t>
      </w:r>
      <w:r>
        <w:rPr/>
        <w:t>． 腹水；</w:t>
      </w:r>
    </w:p>
    <w:p>
      <w:pPr>
        <w:pStyle w:val="BodyText"/>
        <w:spacing w:before="177"/>
      </w:pPr>
      <w:r>
        <w:rPr>
          <w:rFonts w:ascii="Times New Roman" w:eastAsia="Times New Roman"/>
        </w:rPr>
        <w:t>3</w:t>
      </w:r>
      <w:r>
        <w:rPr/>
        <w:t>． 肝性脑病；</w:t>
      </w:r>
    </w:p>
    <w:p>
      <w:pPr>
        <w:pStyle w:val="BodyText"/>
        <w:spacing w:before="177"/>
      </w:pPr>
      <w:r>
        <w:rPr>
          <w:rFonts w:ascii="Times New Roman" w:eastAsia="Times New Roman"/>
        </w:rPr>
        <w:t>4</w:t>
      </w:r>
      <w:r>
        <w:rPr/>
        <w:t>． 充血性脾肿大伴脾功能亢进或食管胃底静脉曲张。</w:t>
      </w:r>
    </w:p>
    <w:p>
      <w:pPr>
        <w:pStyle w:val="BodyText"/>
        <w:spacing w:before="177"/>
        <w:rPr>
          <w:rFonts w:ascii="黑体" w:eastAsia="黑体" w:hint="eastAsia"/>
        </w:rPr>
      </w:pPr>
      <w:r>
        <w:rPr>
          <w:rFonts w:ascii="黑体" w:eastAsia="黑体" w:hint="eastAsia"/>
        </w:rPr>
        <w:t>因酗酒或药物滥用导致的肝功能衰竭不在保障范围内。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w w:val="95"/>
        </w:rPr>
        <w:t>脑炎后遗症或脑膜炎后遗症</w:t>
      </w:r>
    </w:p>
    <w:p>
      <w:pPr>
        <w:pStyle w:val="BodyText"/>
        <w:spacing w:line="273" w:lineRule="auto" w:before="140"/>
        <w:ind w:right="21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08"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8" w:firstLine="0"/>
      </w:pPr>
      <w:r>
        <w:rPr>
          <w:rFonts w:ascii="Times New Roman" w:eastAsia="Times New Roman"/>
          <w:b w:val="0"/>
        </w:rPr>
        <w:t>2</w:t>
      </w:r>
      <w:r>
        <w:rPr>
          <w:b w:val="0"/>
        </w:rPr>
        <w:t>． </w:t>
      </w:r>
      <w:r>
        <w:rPr/>
        <w:t>语言能力或咀嚼吞咽能力完全丧失；</w:t>
      </w:r>
    </w:p>
    <w:p>
      <w:pPr>
        <w:spacing w:line="256" w:lineRule="auto" w:before="177"/>
        <w:ind w:left="1568" w:right="211"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深度昏迷</w:t>
      </w:r>
    </w:p>
    <w:p>
      <w:pPr>
        <w:pStyle w:val="BodyText"/>
        <w:spacing w:line="256" w:lineRule="auto" w:before="141"/>
        <w:ind w:right="211" w:hanging="1"/>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2"/>
        </w:rPr>
        <w:t>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4"/>
        </w:rPr>
        <w:t>分以下，且已经持续使用</w:t>
      </w:r>
      <w:r>
        <w:rPr>
          <w:spacing w:val="-8"/>
        </w:rPr>
        <w:t>呼吸机及其它生命维持系统 </w:t>
      </w:r>
      <w:r>
        <w:rPr>
          <w:rFonts w:ascii="Times New Roman" w:eastAsia="Times New Roman"/>
        </w:rPr>
        <w:t>96 </w:t>
      </w:r>
      <w:r>
        <w:rPr/>
        <w:t>小时以上。</w:t>
      </w:r>
    </w:p>
    <w:p>
      <w:pPr>
        <w:spacing w:after="0" w:line="256" w:lineRule="auto"/>
        <w:jc w:val="both"/>
        <w:sectPr>
          <w:pgSz w:w="11910" w:h="16840"/>
          <w:pgMar w:top="1400" w:bottom="280" w:left="1680" w:right="1240"/>
        </w:sectPr>
      </w:pPr>
    </w:p>
    <w:p>
      <w:pPr>
        <w:pStyle w:val="BodyText"/>
        <w:spacing w:before="25"/>
        <w:rPr>
          <w:rFonts w:ascii="黑体" w:eastAsia="黑体" w:hint="eastAsia"/>
        </w:rPr>
      </w:pPr>
      <w:r>
        <w:rPr>
          <w:rFonts w:ascii="黑体" w:eastAsia="黑体" w:hint="eastAsia"/>
        </w:rPr>
        <w:t>因酗酒或药物滥用导致的深度昏迷不在保障范围内。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1" w:after="0"/>
        <w:ind w:left="998" w:right="0" w:hanging="720"/>
        <w:jc w:val="left"/>
      </w:pPr>
      <w:r>
        <w:rPr/>
        <w:t>双耳失聪</w:t>
      </w:r>
    </w:p>
    <w:p>
      <w:pPr>
        <w:spacing w:before="141"/>
        <w:ind w:left="1208"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1"/>
        <w:ind w:right="212"/>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Heading3"/>
        <w:numPr>
          <w:ilvl w:val="2"/>
          <w:numId w:val="3"/>
        </w:numPr>
        <w:tabs>
          <w:tab w:pos="999" w:val="left" w:leader="none"/>
        </w:tabs>
        <w:spacing w:line="240" w:lineRule="auto" w:before="178" w:after="0"/>
        <w:ind w:left="998" w:right="0" w:hanging="720"/>
        <w:jc w:val="left"/>
      </w:pPr>
      <w:r>
        <w:rPr/>
        <w:t>双目失明</w:t>
      </w:r>
    </w:p>
    <w:p>
      <w:pPr>
        <w:spacing w:line="273" w:lineRule="auto" w:before="140"/>
        <w:ind w:left="1208" w:right="212"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pPr>
      <w:r>
        <w:rPr>
          <w:rFonts w:ascii="Times New Roman" w:eastAsia="Times New Roman"/>
        </w:rPr>
        <w:t>1</w:t>
      </w:r>
      <w:r>
        <w:rPr/>
        <w:t>． 眼球缺失或摘除；</w:t>
      </w:r>
    </w:p>
    <w:p>
      <w:pPr>
        <w:pStyle w:val="BodyText"/>
        <w:spacing w:before="177"/>
      </w:pPr>
      <w:r>
        <w:rPr>
          <w:rFonts w:ascii="Times New Roman" w:eastAsia="Times New Roman"/>
        </w:rPr>
        <w:t>2</w:t>
      </w:r>
      <w:r>
        <w:rPr>
          <w:spacing w:val="-14"/>
        </w:rPr>
        <w:t>． 矫正视力低于 </w:t>
      </w:r>
      <w:r>
        <w:rPr>
          <w:rFonts w:ascii="Times New Roman" w:eastAsia="Times New Roman"/>
          <w:spacing w:val="-3"/>
        </w:rPr>
        <w:t>0.02</w:t>
      </w:r>
      <w:r>
        <w:rPr>
          <w:spacing w:val="-3"/>
        </w:rPr>
        <w:t>（</w:t>
      </w:r>
      <w:r>
        <w:rPr>
          <w:spacing w:val="-2"/>
        </w:rPr>
        <w:t>采用国际标准视力表，如果使用其它视力表应进行换算</w:t>
      </w:r>
      <w:r>
        <w:rPr>
          <w:spacing w:val="-8"/>
        </w:rPr>
        <w:t>）；</w:t>
      </w:r>
    </w:p>
    <w:p>
      <w:pPr>
        <w:pStyle w:val="BodyText"/>
        <w:spacing w:before="177"/>
      </w:pPr>
      <w:r>
        <w:rPr>
          <w:rFonts w:ascii="Times New Roman" w:eastAsia="Times New Roman"/>
        </w:rPr>
        <w:t>3</w:t>
      </w:r>
      <w:r>
        <w:rPr/>
        <w:t>． 视野半径小于 </w:t>
      </w:r>
      <w:r>
        <w:rPr>
          <w:rFonts w:ascii="Times New Roman" w:eastAsia="Times New Roman"/>
        </w:rPr>
        <w:t>5 </w:t>
      </w:r>
      <w:r>
        <w:rPr/>
        <w:t>度。</w:t>
      </w:r>
    </w:p>
    <w:p>
      <w:pPr>
        <w:pStyle w:val="Heading3"/>
        <w:numPr>
          <w:ilvl w:val="2"/>
          <w:numId w:val="3"/>
        </w:numPr>
        <w:tabs>
          <w:tab w:pos="999" w:val="left" w:leader="none"/>
        </w:tabs>
        <w:spacing w:line="240" w:lineRule="auto" w:before="177" w:after="0"/>
        <w:ind w:left="998" w:right="0" w:hanging="720"/>
        <w:jc w:val="left"/>
      </w:pPr>
      <w:r>
        <w:rPr/>
        <w:t>瘫痪</w:t>
      </w:r>
    </w:p>
    <w:p>
      <w:pPr>
        <w:pStyle w:val="BodyText"/>
        <w:spacing w:line="264" w:lineRule="auto" w:before="141"/>
        <w:ind w:right="212"/>
        <w:jc w:val="both"/>
      </w:pPr>
      <w:r>
        <w:rPr/>
        <w:t>指因疾病或</w:t>
      </w:r>
      <w:r>
        <w:rPr>
          <w:b/>
        </w:rPr>
        <w:t>意外伤害</w:t>
      </w:r>
      <w:r>
        <w:rPr>
          <w:spacing w:val="-1"/>
        </w:rPr>
        <w:t>导致两肢或两肢以上肢体机能永久完全丧失。肢体机能永久完</w:t>
      </w:r>
      <w:r>
        <w:rPr>
          <w:spacing w:val="-7"/>
        </w:rPr>
        <w:t>全丧失，指疾病确诊 </w:t>
      </w:r>
      <w:r>
        <w:rPr>
          <w:rFonts w:ascii="Times New Roman" w:eastAsia="Times New Roman"/>
        </w:rPr>
        <w:t>180 </w:t>
      </w:r>
      <w:r>
        <w:rPr/>
        <w:t>天后或</w:t>
      </w:r>
      <w:r>
        <w:rPr>
          <w:b/>
        </w:rPr>
        <w:t>意外伤害</w:t>
      </w:r>
      <w:r>
        <w:rPr>
          <w:spacing w:val="-19"/>
        </w:rPr>
        <w:t>发生 </w:t>
      </w:r>
      <w:r>
        <w:rPr>
          <w:rFonts w:ascii="Times New Roman" w:eastAsia="Times New Roman"/>
        </w:rPr>
        <w:t>180 </w:t>
      </w:r>
      <w:r>
        <w:rPr/>
        <w:t>天后，每肢三大关节中的两大关节仍然完全僵硬，或不能随意识活动。</w:t>
      </w:r>
    </w:p>
    <w:p>
      <w:pPr>
        <w:pStyle w:val="Heading3"/>
        <w:numPr>
          <w:ilvl w:val="2"/>
          <w:numId w:val="3"/>
        </w:numPr>
        <w:tabs>
          <w:tab w:pos="999" w:val="left" w:leader="none"/>
        </w:tabs>
        <w:spacing w:line="240" w:lineRule="auto" w:before="172" w:after="0"/>
        <w:ind w:left="998" w:right="0" w:hanging="720"/>
        <w:jc w:val="left"/>
      </w:pPr>
      <w:r>
        <w:rPr>
          <w:w w:val="95"/>
        </w:rPr>
        <w:t>心脏瓣膜手术</w:t>
      </w:r>
    </w:p>
    <w:p>
      <w:pPr>
        <w:pStyle w:val="BodyText"/>
        <w:spacing w:before="141"/>
      </w:pPr>
      <w:r>
        <w:rPr/>
        <w:t>指为治疗心脏瓣膜疾病，实际实施了开胸进行的心脏瓣膜置换或修复的手术。</w:t>
      </w:r>
    </w:p>
    <w:p>
      <w:pPr>
        <w:pStyle w:val="BodyText"/>
        <w:spacing w:before="9"/>
        <w:ind w:left="0"/>
        <w:rPr>
          <w:sz w:val="14"/>
        </w:rPr>
      </w:pPr>
    </w:p>
    <w:p>
      <w:pPr>
        <w:pStyle w:val="Heading3"/>
        <w:numPr>
          <w:ilvl w:val="2"/>
          <w:numId w:val="3"/>
        </w:numPr>
        <w:tabs>
          <w:tab w:pos="999" w:val="left" w:leader="none"/>
        </w:tabs>
        <w:spacing w:line="240" w:lineRule="auto" w:before="0" w:after="0"/>
        <w:ind w:left="998" w:right="0" w:hanging="720"/>
        <w:jc w:val="left"/>
      </w:pPr>
      <w:r>
        <w:rPr>
          <w:w w:val="95"/>
        </w:rPr>
        <w:t>严重阿尔茨海默病</w:t>
      </w:r>
    </w:p>
    <w:p>
      <w:pPr>
        <w:pStyle w:val="BodyText"/>
        <w:spacing w:line="268" w:lineRule="auto" w:before="140"/>
        <w:ind w:right="212"/>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rPr>
          <w:rFonts w:ascii="黑体" w:eastAsia="黑体" w:hint="eastAsia"/>
        </w:rPr>
      </w:pPr>
      <w:r>
        <w:rPr>
          <w:rFonts w:ascii="黑体" w:eastAsia="黑体" w:hint="eastAsia"/>
        </w:rPr>
        <w:t>神经官能症和精神疾病不在保障范围内。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w w:val="95"/>
        </w:rPr>
        <w:t>严重脑损伤</w:t>
      </w:r>
    </w:p>
    <w:p>
      <w:pPr>
        <w:pStyle w:val="BodyText"/>
        <w:spacing w:line="261" w:lineRule="auto" w:before="140"/>
        <w:ind w:right="107"/>
      </w:pPr>
      <w:r>
        <w:rPr>
          <w:spacing w:val="-8"/>
        </w:rPr>
        <w:t>指因头部遭受机械性外力，引起脑重要部位损伤，导致神经系统永久性的功能障碍。须由头颅断层扫描（</w:t>
      </w:r>
      <w:r>
        <w:rPr>
          <w:rFonts w:ascii="Times New Roman" w:eastAsia="Times New Roman"/>
          <w:spacing w:val="-8"/>
        </w:rPr>
        <w:t>CT</w:t>
      </w:r>
      <w:r>
        <w:rPr>
          <w:spacing w:val="-8"/>
        </w:rPr>
        <w:t>）、核磁共振检查（</w:t>
      </w:r>
      <w:r>
        <w:rPr>
          <w:rFonts w:ascii="Times New Roman" w:eastAsia="Times New Roman"/>
          <w:spacing w:val="-8"/>
        </w:rPr>
        <w:t>MRI</w:t>
      </w:r>
      <w:r>
        <w:rPr>
          <w:spacing w:val="-8"/>
        </w:rPr>
        <w:t>）或正电子发射断层扫描（</w:t>
      </w:r>
      <w:r>
        <w:rPr>
          <w:rFonts w:ascii="Times New Roman" w:eastAsia="Times New Roman"/>
          <w:spacing w:val="-8"/>
        </w:rPr>
        <w:t>PET</w:t>
      </w:r>
      <w:r>
        <w:rPr>
          <w:spacing w:val="-8"/>
        </w:rPr>
        <w:t>） </w:t>
      </w:r>
      <w:r>
        <w:rPr>
          <w:spacing w:val="-10"/>
        </w:rPr>
        <w:t>等影像学检查证实。神经系统永久性的功能障碍，指脑损伤 </w:t>
      </w:r>
      <w:r>
        <w:rPr>
          <w:rFonts w:ascii="Times New Roman" w:eastAsia="Times New Roman"/>
        </w:rPr>
        <w:t>180 </w:t>
      </w:r>
      <w:r>
        <w:rPr/>
        <w:t>天后，仍遗留下列一种或一种以上障碍：</w:t>
      </w:r>
    </w:p>
    <w:p>
      <w:pPr>
        <w:spacing w:before="173"/>
        <w:ind w:left="1208"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8" w:firstLine="0"/>
      </w:pPr>
      <w:r>
        <w:rPr>
          <w:rFonts w:ascii="Times New Roman" w:eastAsia="Times New Roman"/>
          <w:b w:val="0"/>
        </w:rPr>
        <w:t>2</w:t>
      </w:r>
      <w:r>
        <w:rPr>
          <w:b w:val="0"/>
        </w:rPr>
        <w:t>． </w:t>
      </w:r>
      <w:r>
        <w:rPr/>
        <w:t>语言能力或咀嚼吞咽能力完全丧失；</w:t>
      </w:r>
    </w:p>
    <w:p>
      <w:pPr>
        <w:spacing w:line="256" w:lineRule="auto" w:before="177"/>
        <w:ind w:left="1568" w:right="211"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w w:val="95"/>
        </w:rPr>
        <w:t>严重帕金森病</w:t>
      </w:r>
    </w:p>
    <w:p>
      <w:pPr>
        <w:pStyle w:val="BodyText"/>
        <w:spacing w:before="141"/>
      </w:pPr>
      <w:r>
        <w:rPr/>
        <w:t>是一种中枢神经系统的退行性疾病，临床表现为震颤麻痹、共济失调等。须满足下</w:t>
      </w:r>
    </w:p>
    <w:p>
      <w:pPr>
        <w:spacing w:after="0"/>
        <w:sectPr>
          <w:pgSz w:w="11910" w:h="16840"/>
          <w:pgMar w:top="1400" w:bottom="280" w:left="1680" w:right="1240"/>
        </w:sectPr>
      </w:pPr>
    </w:p>
    <w:p>
      <w:pPr>
        <w:pStyle w:val="BodyText"/>
        <w:spacing w:before="25"/>
      </w:pPr>
      <w:r>
        <w:rPr/>
        <w:t>列全部条件：</w:t>
      </w:r>
    </w:p>
    <w:p>
      <w:pPr>
        <w:pStyle w:val="BodyText"/>
        <w:spacing w:before="9"/>
        <w:ind w:left="0"/>
        <w:rPr>
          <w:sz w:val="14"/>
        </w:rPr>
      </w:pPr>
    </w:p>
    <w:p>
      <w:pPr>
        <w:pStyle w:val="BodyText"/>
        <w:spacing w:before="1"/>
      </w:pPr>
      <w:r>
        <w:rPr>
          <w:rFonts w:ascii="Times New Roman" w:eastAsia="Times New Roman"/>
        </w:rPr>
        <w:t>1</w:t>
      </w:r>
      <w:r>
        <w:rPr/>
        <w:t>． 药物治疗无法控制病情；</w:t>
      </w:r>
    </w:p>
    <w:p>
      <w:pPr>
        <w:spacing w:line="256" w:lineRule="auto" w:before="177"/>
        <w:ind w:left="1568" w:right="211" w:hanging="361"/>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rPr>
          <w:rFonts w:ascii="黑体" w:eastAsia="黑体" w:hint="eastAsia"/>
        </w:rPr>
      </w:pPr>
      <w:r>
        <w:rPr>
          <w:rFonts w:ascii="黑体" w:eastAsia="黑体" w:hint="eastAsia"/>
        </w:rPr>
        <w:t>继发性帕金森综合征不在保障范围内。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1" w:after="0"/>
        <w:ind w:left="998" w:right="0" w:hanging="720"/>
        <w:jc w:val="left"/>
      </w:pPr>
      <w:r>
        <w:rPr>
          <w:w w:val="95"/>
        </w:rPr>
        <w:t>严重</w:t>
      </w:r>
      <w:r>
        <w:rPr>
          <w:rFonts w:ascii="新宋体" w:hAnsi="新宋体" w:eastAsia="新宋体" w:hint="eastAsia"/>
          <w:w w:val="95"/>
        </w:rPr>
        <w:t>Ⅲ</w:t>
      </w:r>
      <w:r>
        <w:rPr>
          <w:w w:val="95"/>
        </w:rPr>
        <w:t>度烧伤</w:t>
      </w:r>
    </w:p>
    <w:p>
      <w:pPr>
        <w:pStyle w:val="BodyText"/>
        <w:spacing w:line="256" w:lineRule="auto" w:before="141"/>
        <w:ind w:right="212"/>
      </w:pPr>
      <w:r>
        <w:rPr>
          <w:spacing w:val="-4"/>
        </w:rPr>
        <w:t>指烧伤程度为Ⅲ度，且Ⅲ度烧伤的面积达到全身体表面积的 </w:t>
      </w:r>
      <w:r>
        <w:rPr>
          <w:rFonts w:ascii="Times New Roman" w:hAnsi="Times New Roman" w:eastAsia="Times New Roman"/>
        </w:rPr>
        <w:t>20%</w:t>
      </w:r>
      <w:r>
        <w:rPr>
          <w:spacing w:val="-28"/>
        </w:rPr>
        <w:t>或 </w:t>
      </w:r>
      <w:r>
        <w:rPr>
          <w:rFonts w:ascii="Times New Roman" w:hAnsi="Times New Roman" w:eastAsia="Times New Roman"/>
        </w:rPr>
        <w:t>20%</w:t>
      </w:r>
      <w:r>
        <w:rPr>
          <w:spacing w:val="-4"/>
        </w:rPr>
        <w:t>以上。体表面积根据《中国新九分法》计算。</w:t>
      </w:r>
    </w:p>
    <w:p>
      <w:pPr>
        <w:pStyle w:val="Heading3"/>
        <w:numPr>
          <w:ilvl w:val="2"/>
          <w:numId w:val="3"/>
        </w:numPr>
        <w:tabs>
          <w:tab w:pos="999" w:val="left" w:leader="none"/>
        </w:tabs>
        <w:spacing w:line="240" w:lineRule="auto" w:before="178" w:after="0"/>
        <w:ind w:left="998" w:right="0" w:hanging="720"/>
        <w:jc w:val="left"/>
      </w:pPr>
      <w:r>
        <w:rPr>
          <w:w w:val="95"/>
        </w:rPr>
        <w:t>严重原发性肺动脉高压</w:t>
      </w:r>
    </w:p>
    <w:p>
      <w:pPr>
        <w:pStyle w:val="BodyText"/>
        <w:spacing w:line="264" w:lineRule="auto" w:before="141"/>
        <w:ind w:right="38"/>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54" w:after="0"/>
        <w:ind w:left="998" w:right="0" w:hanging="720"/>
        <w:jc w:val="left"/>
      </w:pPr>
      <w:r>
        <w:rPr>
          <w:w w:val="95"/>
        </w:rPr>
        <w:t>严重运动神经元病</w:t>
      </w:r>
    </w:p>
    <w:p>
      <w:pPr>
        <w:pStyle w:val="BodyText"/>
        <w:spacing w:line="273" w:lineRule="auto" w:before="141"/>
        <w:ind w:right="214"/>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w:t>
      </w:r>
      <w:r>
        <w:rPr>
          <w:b/>
          <w:w w:val="95"/>
        </w:rPr>
        <w:t>六项基本日常生活活动</w:t>
      </w:r>
      <w:r>
        <w:rPr>
          <w:w w:val="95"/>
        </w:rPr>
        <w:t>中的三项或三项以上的条件。</w:t>
      </w:r>
    </w:p>
    <w:p>
      <w:pPr>
        <w:pStyle w:val="Heading3"/>
        <w:numPr>
          <w:ilvl w:val="2"/>
          <w:numId w:val="3"/>
        </w:numPr>
        <w:tabs>
          <w:tab w:pos="999" w:val="left" w:leader="none"/>
        </w:tabs>
        <w:spacing w:line="240" w:lineRule="auto" w:before="163" w:after="0"/>
        <w:ind w:left="998" w:right="0" w:hanging="720"/>
        <w:jc w:val="left"/>
      </w:pPr>
      <w:r>
        <w:rPr>
          <w:w w:val="95"/>
        </w:rPr>
        <w:t>语言能力丧失</w:t>
      </w:r>
    </w:p>
    <w:p>
      <w:pPr>
        <w:pStyle w:val="BodyText"/>
        <w:spacing w:line="256" w:lineRule="auto" w:before="141"/>
        <w:ind w:right="212"/>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before="178"/>
        <w:rPr>
          <w:rFonts w:ascii="黑体" w:eastAsia="黑体" w:hint="eastAsia"/>
        </w:rPr>
      </w:pPr>
      <w:r>
        <w:rPr>
          <w:rFonts w:ascii="黑体" w:eastAsia="黑体" w:hint="eastAsia"/>
        </w:rPr>
        <w:t>精神心理因素所致的语言能力丧失不在保障范围内。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w w:val="95"/>
        </w:rPr>
        <w:t>重型再生障碍性贫血</w:t>
      </w:r>
    </w:p>
    <w:p>
      <w:pPr>
        <w:pStyle w:val="BodyText"/>
        <w:spacing w:line="273" w:lineRule="auto" w:before="141"/>
        <w:ind w:right="214"/>
      </w:pPr>
      <w:r>
        <w:rPr/>
        <w:t>指因骨髓造血功能慢性持续性衰竭导致的贫血、中性粒细胞减少及血小板减少。须满足下列全部条件：</w:t>
      </w:r>
    </w:p>
    <w:p>
      <w:pPr>
        <w:pStyle w:val="BodyText"/>
        <w:spacing w:before="164"/>
      </w:pPr>
      <w:r>
        <w:rPr>
          <w:rFonts w:ascii="Times New Roman" w:eastAsia="Times New Roman"/>
        </w:rPr>
        <w:t>1</w:t>
      </w:r>
      <w:r>
        <w:rPr/>
        <w:t>． 骨髓穿刺检查或骨髓活检结果支持诊断；</w:t>
      </w:r>
    </w:p>
    <w:p>
      <w:pPr>
        <w:pStyle w:val="BodyText"/>
        <w:spacing w:before="177"/>
      </w:pPr>
      <w:r>
        <w:rPr>
          <w:rFonts w:ascii="Times New Roman" w:eastAsia="Times New Roman"/>
        </w:rPr>
        <w:t>2</w:t>
      </w:r>
      <w:r>
        <w:rPr/>
        <w:t>． 外周血象须具备以下三项条件：</w:t>
      </w:r>
    </w:p>
    <w:p>
      <w:pPr>
        <w:pStyle w:val="BodyText"/>
        <w:tabs>
          <w:tab w:pos="2078" w:val="left" w:leader="none"/>
        </w:tabs>
        <w:spacing w:before="177"/>
        <w:ind w:left="1538"/>
      </w:pPr>
      <w:r>
        <w:rPr>
          <w:rFonts w:ascii="Times New Roman" w:hAnsi="Times New Roman" w:eastAsia="Times New Roman"/>
        </w:rPr>
        <w:t>i</w:t>
      </w:r>
      <w:r>
        <w:rPr/>
        <w:t>．</w:t>
        <w:tab/>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spacing w:val="45"/>
          <w:vertAlign w:val="baseline"/>
        </w:rPr>
        <w:t> </w:t>
      </w:r>
      <w:r>
        <w:rPr>
          <w:vertAlign w:val="baseline"/>
        </w:rPr>
        <w:t>；</w:t>
      </w:r>
    </w:p>
    <w:p>
      <w:pPr>
        <w:pStyle w:val="BodyText"/>
        <w:tabs>
          <w:tab w:pos="2078" w:val="left" w:leader="none"/>
        </w:tabs>
        <w:spacing w:before="177"/>
        <w:ind w:left="1538"/>
      </w:pPr>
      <w:r>
        <w:rPr>
          <w:rFonts w:ascii="Times New Roman" w:eastAsia="Times New Roman"/>
        </w:rPr>
        <w:t>ii</w:t>
      </w:r>
      <w:r>
        <w:rPr/>
        <w:t>．</w:t>
        <w:tab/>
        <w:t>网织红细胞＜</w:t>
      </w:r>
      <w:r>
        <w:rPr>
          <w:rFonts w:ascii="Times New Roman" w:eastAsia="Times New Roman"/>
        </w:rPr>
        <w:t>1%</w:t>
      </w:r>
      <w:r>
        <w:rPr/>
        <w:t>；</w:t>
      </w:r>
    </w:p>
    <w:p>
      <w:pPr>
        <w:pStyle w:val="BodyText"/>
        <w:spacing w:before="177"/>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999" w:val="left" w:leader="none"/>
        </w:tabs>
        <w:spacing w:line="240" w:lineRule="auto" w:before="177" w:after="0"/>
        <w:ind w:left="998" w:right="0" w:hanging="720"/>
        <w:jc w:val="left"/>
      </w:pPr>
      <w:r>
        <w:rPr>
          <w:w w:val="95"/>
        </w:rPr>
        <w:t>主动脉手术</w:t>
      </w:r>
    </w:p>
    <w:p>
      <w:pPr>
        <w:pStyle w:val="BodyText"/>
        <w:spacing w:line="273" w:lineRule="auto" w:before="141"/>
        <w:ind w:right="214"/>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4"/>
        <w:rPr>
          <w:rFonts w:ascii="黑体" w:eastAsia="黑体" w:hint="eastAsia"/>
        </w:rPr>
      </w:pPr>
      <w:r>
        <w:rPr>
          <w:rFonts w:ascii="黑体" w:eastAsia="黑体" w:hint="eastAsia"/>
        </w:rPr>
        <w:t>动脉内血管成形术不在保障范围内。</w:t>
      </w:r>
    </w:p>
    <w:p>
      <w:pPr>
        <w:spacing w:after="0"/>
        <w:rPr>
          <w:rFonts w:ascii="黑体" w:eastAsia="黑体" w:hint="eastAsia"/>
        </w:rPr>
        <w:sectPr>
          <w:pgSz w:w="11910" w:h="16840"/>
          <w:pgMar w:top="1400" w:bottom="280" w:left="1680" w:right="1240"/>
        </w:sectPr>
      </w:pPr>
    </w:p>
    <w:p>
      <w:pPr>
        <w:pStyle w:val="Heading3"/>
        <w:numPr>
          <w:ilvl w:val="2"/>
          <w:numId w:val="3"/>
        </w:numPr>
        <w:tabs>
          <w:tab w:pos="999" w:val="left" w:leader="none"/>
        </w:tabs>
        <w:spacing w:line="240" w:lineRule="auto" w:before="25" w:after="0"/>
        <w:ind w:left="998" w:right="0" w:hanging="720"/>
        <w:jc w:val="left"/>
      </w:pPr>
      <w:r>
        <w:rPr>
          <w:w w:val="95"/>
        </w:rPr>
        <w:t>多发性硬化症</w:t>
      </w:r>
    </w:p>
    <w:p>
      <w:pPr>
        <w:pStyle w:val="BodyText"/>
        <w:spacing w:line="268" w:lineRule="auto" w:before="141"/>
        <w:ind w:right="205"/>
        <w:jc w:val="both"/>
      </w:pPr>
      <w:r>
        <w:rPr/>
        <w:t>多发性硬化症为中枢神经系统白质多灶性脱髓鞘病变，病变有时累及灰质。多发性硬化症必须由我们</w:t>
      </w:r>
      <w:r>
        <w:rPr>
          <w:b/>
        </w:rPr>
        <w:t>指定或认可的医院</w:t>
      </w:r>
      <w:r>
        <w:rPr/>
        <w:t>的神经</w:t>
      </w:r>
      <w:r>
        <w:rPr>
          <w:b/>
        </w:rPr>
        <w:t>专科医生</w:t>
      </w:r>
      <w:r>
        <w:rPr>
          <w:spacing w:val="-3"/>
        </w:rPr>
        <w:t>确诊。必须伴有典型的脱髓鞘</w:t>
      </w:r>
      <w:r>
        <w:rPr>
          <w:spacing w:val="-6"/>
        </w:rPr>
        <w:t>症状和运动及感觉功能障碍的证据并有 </w:t>
      </w:r>
      <w:r>
        <w:rPr>
          <w:rFonts w:ascii="Times New Roman" w:eastAsia="Times New Roman"/>
        </w:rPr>
        <w:t>MRI </w:t>
      </w:r>
      <w:r>
        <w:rPr>
          <w:spacing w:val="-6"/>
        </w:rPr>
        <w:t>和脑脊液检查的典型阳性改变。多发性硬化症必须造成神经系统永久性功能损害并且已导致被保险人自主生活能力完全丧失，无法独立完成</w:t>
      </w:r>
      <w:r>
        <w:rPr>
          <w:b/>
          <w:spacing w:val="-6"/>
        </w:rPr>
        <w:t>六项基本日常生活活动</w:t>
      </w:r>
      <w:r>
        <w:rPr>
          <w:spacing w:val="-10"/>
        </w:rPr>
        <w:t>中的三项或三项以上持续达 </w:t>
      </w:r>
      <w:r>
        <w:rPr>
          <w:rFonts w:ascii="Times New Roman" w:eastAsia="Times New Roman"/>
        </w:rPr>
        <w:t>180 </w:t>
      </w:r>
      <w:r>
        <w:rPr/>
        <w:t>天以上。</w:t>
      </w:r>
    </w:p>
    <w:p>
      <w:pPr>
        <w:pStyle w:val="Heading3"/>
        <w:numPr>
          <w:ilvl w:val="2"/>
          <w:numId w:val="3"/>
        </w:numPr>
        <w:tabs>
          <w:tab w:pos="999" w:val="left" w:leader="none"/>
        </w:tabs>
        <w:spacing w:line="240" w:lineRule="auto" w:before="149" w:after="0"/>
        <w:ind w:left="998" w:right="0" w:hanging="720"/>
        <w:jc w:val="left"/>
      </w:pPr>
      <w:r>
        <w:rPr>
          <w:w w:val="95"/>
        </w:rPr>
        <w:t>系统性红斑狼疮（严重的狼疮性肾炎）</w:t>
      </w:r>
    </w:p>
    <w:p>
      <w:pPr>
        <w:pStyle w:val="BodyText"/>
        <w:spacing w:line="264" w:lineRule="auto" w:before="141"/>
        <w:ind w:right="108"/>
      </w:pPr>
      <w:r>
        <w:rPr/>
        <w:t>红斑狼疮是指由于自身抗体和免疫复合物的沉积破坏了血管和细胞而导致的累及多系统损害的一种自体免疫性疾病。本保障仅限于被保险人因系统性红斑狼疮并发狼</w:t>
      </w:r>
      <w:r>
        <w:rPr>
          <w:spacing w:val="-11"/>
        </w:rPr>
        <w:t>疮性肾炎并引起肾功能损害，且肾脏病理诊断符合以下列明的世界卫生组织</w:t>
      </w:r>
      <w:r>
        <w:rPr/>
        <w:t>（</w:t>
      </w:r>
      <w:r>
        <w:rPr>
          <w:rFonts w:ascii="Times New Roman" w:eastAsia="Times New Roman"/>
        </w:rPr>
        <w:t>WHO</w:t>
      </w:r>
      <w:r>
        <w:rPr/>
        <w:t>） </w:t>
      </w:r>
      <w:r>
        <w:rPr>
          <w:spacing w:val="-5"/>
        </w:rPr>
        <w:t>对狼疮性肾炎所分类中的第 </w:t>
      </w:r>
      <w:r>
        <w:rPr>
          <w:rFonts w:ascii="Times New Roman" w:eastAsia="Times New Roman"/>
        </w:rPr>
        <w:t>III</w:t>
      </w:r>
      <w:r>
        <w:rPr>
          <w:spacing w:val="-17"/>
        </w:rPr>
        <w:t>、</w:t>
      </w:r>
      <w:r>
        <w:rPr>
          <w:rFonts w:ascii="Times New Roman" w:eastAsia="Times New Roman"/>
        </w:rPr>
        <w:t>IV</w:t>
      </w:r>
      <w:r>
        <w:rPr>
          <w:spacing w:val="-17"/>
        </w:rPr>
        <w:t>、</w:t>
      </w:r>
      <w:r>
        <w:rPr>
          <w:rFonts w:ascii="Times New Roman" w:eastAsia="Times New Roman"/>
        </w:rPr>
        <w:t>V</w:t>
      </w:r>
      <w:r>
        <w:rPr>
          <w:spacing w:val="-17"/>
        </w:rPr>
        <w:t>、</w:t>
      </w:r>
      <w:r>
        <w:rPr>
          <w:rFonts w:ascii="Times New Roman" w:eastAsia="Times New Roman"/>
        </w:rPr>
        <w:t>VI </w:t>
      </w:r>
      <w:r>
        <w:rPr>
          <w:spacing w:val="-4"/>
        </w:rPr>
        <w:t>型。诊断须由有资格的风湿和免疫病</w:t>
      </w:r>
      <w:r>
        <w:rPr>
          <w:b/>
        </w:rPr>
        <w:t>专</w:t>
      </w:r>
      <w:r>
        <w:rPr>
          <w:b/>
          <w:w w:val="95"/>
        </w:rPr>
        <w:t>科医生</w:t>
      </w:r>
      <w:r>
        <w:rPr>
          <w:w w:val="95"/>
        </w:rPr>
        <w:t>确认。</w:t>
      </w:r>
    </w:p>
    <w:p>
      <w:pPr>
        <w:pStyle w:val="BodyText"/>
        <w:spacing w:before="172"/>
      </w:pPr>
      <w:r>
        <w:rPr/>
        <w:t>世界卫生组织（</w:t>
      </w:r>
      <w:r>
        <w:rPr>
          <w:rFonts w:ascii="Times New Roman" w:eastAsia="Times New Roman"/>
        </w:rPr>
        <w:t>WHO</w:t>
      </w:r>
      <w:r>
        <w:rPr/>
        <w:t>）对狼疮性肾炎的分类标准：</w:t>
      </w:r>
    </w:p>
    <w:p>
      <w:pPr>
        <w:pStyle w:val="BodyText"/>
        <w:spacing w:before="177"/>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spacing w:before="177"/>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spacing w:before="177"/>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spacing w:before="177"/>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spacing w:before="177"/>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spacing w:before="177"/>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3"/>
        </w:numPr>
        <w:tabs>
          <w:tab w:pos="999" w:val="left" w:leader="none"/>
        </w:tabs>
        <w:spacing w:line="240" w:lineRule="auto" w:before="177" w:after="0"/>
        <w:ind w:left="998" w:right="0" w:hanging="720"/>
        <w:jc w:val="left"/>
      </w:pPr>
      <w:r>
        <w:rPr/>
        <w:t>象皮病</w:t>
      </w:r>
    </w:p>
    <w:p>
      <w:pPr>
        <w:pStyle w:val="BodyText"/>
        <w:spacing w:line="273" w:lineRule="auto" w:before="141"/>
        <w:ind w:right="213"/>
        <w:jc w:val="both"/>
        <w:rPr>
          <w:rFonts w:ascii="黑体" w:eastAsia="黑体" w:hint="eastAsia"/>
        </w:rPr>
      </w:pPr>
      <w:r>
        <w:rPr/>
        <w:t>指末期丝虫病，其性质为身体组织因血液循环受阻或淋巴管堵塞而肿大。必须由保险公司认可的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pStyle w:val="Heading3"/>
        <w:numPr>
          <w:ilvl w:val="2"/>
          <w:numId w:val="3"/>
        </w:numPr>
        <w:tabs>
          <w:tab w:pos="999" w:val="left" w:leader="none"/>
        </w:tabs>
        <w:spacing w:line="240" w:lineRule="auto" w:before="163" w:after="0"/>
        <w:ind w:left="998" w:right="0" w:hanging="720"/>
        <w:jc w:val="left"/>
      </w:pPr>
      <w:r>
        <w:rPr>
          <w:w w:val="95"/>
        </w:rPr>
        <w:t>原发性心肌病</w:t>
      </w:r>
    </w:p>
    <w:p>
      <w:pPr>
        <w:pStyle w:val="BodyText"/>
        <w:spacing w:line="273" w:lineRule="auto" w:before="140"/>
        <w:ind w:right="108"/>
        <w:rPr>
          <w:rFonts w:ascii="黑体" w:eastAsia="黑体" w:hint="eastAsia"/>
        </w:rPr>
      </w:pPr>
      <w:r>
        <w:rPr/>
        <w:t>是指不明原因引起的一类心肌病变，包括原发性扩张型心肌病、原发性肥厚型心肌病及原发性限制型心肌病三种，病变必须已造成事实上心室功能障碍而出现明显的</w:t>
      </w:r>
      <w:r>
        <w:rPr>
          <w:spacing w:val="-10"/>
        </w:rPr>
        <w:t>心功能衰竭，达到美国纽约心脏病协会心功能状态分级 </w:t>
      </w:r>
      <w:r>
        <w:rPr/>
        <w:t>IV</w:t>
      </w:r>
      <w:r>
        <w:rPr>
          <w:spacing w:val="-12"/>
        </w:rPr>
        <w:t> 级，且有相关医疗记录显</w:t>
      </w:r>
      <w:r>
        <w:rPr>
          <w:spacing w:val="-34"/>
        </w:rPr>
        <w:t>示 </w:t>
      </w:r>
      <w:r>
        <w:rPr/>
        <w:t>IV</w:t>
      </w:r>
      <w:r>
        <w:rPr>
          <w:spacing w:val="-12"/>
        </w:rPr>
        <w:t> 级心功能状态持续至少 </w:t>
      </w:r>
      <w:r>
        <w:rPr/>
        <w:t>180</w:t>
      </w:r>
      <w:r>
        <w:rPr>
          <w:spacing w:val="-8"/>
        </w:rPr>
        <w:t> 天。该疾病索赔时须要经</w:t>
      </w:r>
      <w:r>
        <w:rPr>
          <w:b/>
        </w:rPr>
        <w:t>专科医生</w:t>
      </w:r>
      <w:r>
        <w:rPr/>
        <w:t>做出明确诊断。</w:t>
      </w:r>
      <w:r>
        <w:rPr>
          <w:rFonts w:ascii="黑体" w:eastAsia="黑体" w:hint="eastAsia"/>
        </w:rPr>
        <w:t>继发于全身性疾病或其它器官系统疾病的不属本保障范围.</w:t>
      </w:r>
    </w:p>
    <w:p>
      <w:pPr>
        <w:pStyle w:val="Heading3"/>
        <w:numPr>
          <w:ilvl w:val="2"/>
          <w:numId w:val="3"/>
        </w:numPr>
        <w:tabs>
          <w:tab w:pos="999" w:val="left" w:leader="none"/>
        </w:tabs>
        <w:spacing w:line="240" w:lineRule="auto" w:before="163" w:after="0"/>
        <w:ind w:left="998" w:right="0" w:hanging="720"/>
        <w:jc w:val="left"/>
      </w:pPr>
      <w:r>
        <w:rPr>
          <w:w w:val="95"/>
        </w:rPr>
        <w:t>肾髓质囊性病</w:t>
      </w:r>
    </w:p>
    <w:p>
      <w:pPr>
        <w:pStyle w:val="BodyText"/>
        <w:spacing w:before="141"/>
      </w:pPr>
      <w:r>
        <w:rPr/>
        <w:t>肾髓质囊性病的诊断必须同时符合下列要求：</w:t>
      </w:r>
    </w:p>
    <w:p>
      <w:pPr>
        <w:pStyle w:val="BodyText"/>
        <w:spacing w:before="9"/>
        <w:ind w:left="0"/>
        <w:rPr>
          <w:sz w:val="14"/>
        </w:rPr>
      </w:pPr>
    </w:p>
    <w:p>
      <w:pPr>
        <w:pStyle w:val="BodyText"/>
        <w:spacing w:before="1"/>
      </w:pPr>
      <w:r>
        <w:rPr>
          <w:rFonts w:ascii="Times New Roman" w:eastAsia="Times New Roman"/>
        </w:rPr>
        <w:t>1</w:t>
      </w:r>
      <w:r>
        <w:rPr/>
        <w:t>． 同时存在肾髓质囊肿、肾小管萎缩和间质纤维化的病理改变；</w:t>
      </w:r>
    </w:p>
    <w:p>
      <w:pPr>
        <w:pStyle w:val="BodyText"/>
        <w:spacing w:before="177"/>
      </w:pPr>
      <w:r>
        <w:rPr>
          <w:rFonts w:ascii="Times New Roman" w:eastAsia="Times New Roman"/>
        </w:rPr>
        <w:t>2</w:t>
      </w:r>
      <w:r>
        <w:rPr/>
        <w:t>． 贫血、多尿及肾功能衰竭等临床表现；</w:t>
      </w:r>
    </w:p>
    <w:p>
      <w:pPr>
        <w:pStyle w:val="BodyText"/>
        <w:spacing w:before="177"/>
      </w:pPr>
      <w:r>
        <w:rPr>
          <w:rFonts w:ascii="Times New Roman" w:eastAsia="Times New Roman"/>
        </w:rPr>
        <w:t>3</w:t>
      </w:r>
      <w:r>
        <w:rPr/>
        <w:t>． 诊断须由肾组织活检确定。</w:t>
      </w:r>
    </w:p>
    <w:p>
      <w:pPr>
        <w:spacing w:after="0"/>
        <w:sectPr>
          <w:pgSz w:w="11910" w:h="16840"/>
          <w:pgMar w:top="1400" w:bottom="280" w:left="1680" w:right="1240"/>
        </w:sectPr>
      </w:pPr>
    </w:p>
    <w:p>
      <w:pPr>
        <w:pStyle w:val="Heading3"/>
        <w:numPr>
          <w:ilvl w:val="2"/>
          <w:numId w:val="3"/>
        </w:numPr>
        <w:tabs>
          <w:tab w:pos="999" w:val="left" w:leader="none"/>
        </w:tabs>
        <w:spacing w:line="240" w:lineRule="auto" w:before="25" w:after="0"/>
        <w:ind w:left="998" w:right="0" w:hanging="720"/>
        <w:jc w:val="left"/>
      </w:pPr>
      <w:r>
        <w:rPr>
          <w:w w:val="95"/>
        </w:rPr>
        <w:t>脊髓灰质炎后遗症</w:t>
      </w:r>
    </w:p>
    <w:p>
      <w:pPr>
        <w:pStyle w:val="BodyText"/>
        <w:spacing w:line="273" w:lineRule="auto" w:before="141"/>
        <w:ind w:right="112"/>
        <w:jc w:val="both"/>
      </w:pPr>
      <w:r>
        <w:rPr/>
        <w:t>是指由于急性脊髓灰质炎病毒感染所导致的运动功能障碍或呼吸功能减弱的瘫痪性</w:t>
      </w:r>
      <w:r>
        <w:rPr>
          <w:spacing w:val="-1"/>
        </w:rPr>
        <w:t>疾病。诊断必须由我们认可的神经科</w:t>
      </w:r>
      <w:r>
        <w:rPr>
          <w:b/>
        </w:rPr>
        <w:t>专科医生</w:t>
      </w:r>
      <w:r>
        <w:rPr/>
        <w:t>确诊并提供相关的脊髓灰质炎病毒感染的证据（例如：脑脊液检查或血清学抗体检查报告）。</w:t>
      </w:r>
      <w:r>
        <w:rPr>
          <w:rFonts w:ascii="黑体" w:eastAsia="黑体" w:hint="eastAsia"/>
        </w:rPr>
        <w:t>未导致肢体瘫痪及其它病</w:t>
      </w:r>
      <w:r>
        <w:rPr>
          <w:rFonts w:ascii="黑体" w:eastAsia="黑体" w:hint="eastAsia"/>
          <w:spacing w:val="-1"/>
        </w:rPr>
        <w:t>因所致的瘫痪，例如格林一巴利综合症(急性感染性多神经炎)则不在此保障范围以内</w:t>
      </w:r>
      <w:r>
        <w:rPr>
          <w:spacing w:val="-1"/>
        </w:rPr>
        <w:t>。瘫痪指两肢或两肢以上肢体机能永久完全丧失。肢体机能永久完全丧失，指疾</w:t>
      </w:r>
      <w:r>
        <w:rPr>
          <w:spacing w:val="-14"/>
        </w:rPr>
        <w:t>病确诊 </w:t>
      </w:r>
      <w:r>
        <w:rPr/>
        <w:t>180</w:t>
      </w:r>
      <w:r>
        <w:rPr>
          <w:spacing w:val="-8"/>
        </w:rPr>
        <w:t> 天后，每肢三大关节中的两大关节仍然完全僵硬，或不能随意识活动。</w:t>
      </w:r>
    </w:p>
    <w:p>
      <w:pPr>
        <w:pStyle w:val="Heading3"/>
        <w:numPr>
          <w:ilvl w:val="2"/>
          <w:numId w:val="3"/>
        </w:numPr>
        <w:tabs>
          <w:tab w:pos="999" w:val="left" w:leader="none"/>
        </w:tabs>
        <w:spacing w:line="240" w:lineRule="auto" w:before="163" w:after="0"/>
        <w:ind w:left="998" w:right="0" w:hanging="720"/>
        <w:jc w:val="left"/>
      </w:pPr>
      <w:r>
        <w:rPr>
          <w:w w:val="95"/>
        </w:rPr>
        <w:t>慢性复发性胰腺炎</w:t>
      </w:r>
    </w:p>
    <w:p>
      <w:pPr>
        <w:pStyle w:val="BodyText"/>
        <w:spacing w:line="273" w:lineRule="auto" w:before="140"/>
        <w:ind w:right="112"/>
        <w:jc w:val="both"/>
      </w:pPr>
      <w:r>
        <w:rPr/>
        <w:t>有腹痛等典型症状的胰腺炎反复发作，导致胰腺进行性破坏，并导致胰腺功能紊乱</w:t>
      </w:r>
      <w:r>
        <w:rPr>
          <w:spacing w:val="-3"/>
        </w:rPr>
        <w:t>而导致严重糖尿病以及营养不良、恶液质。</w:t>
      </w:r>
      <w:r>
        <w:rPr/>
        <w:t>CT</w:t>
      </w:r>
      <w:r>
        <w:rPr>
          <w:spacing w:val="-10"/>
        </w:rPr>
        <w:t> 检查证实胰腺存在广泛钙化，且必须</w:t>
      </w:r>
      <w:r>
        <w:rPr>
          <w:spacing w:val="-12"/>
        </w:rPr>
        <w:t>接受并已经接受了酶替代以及胰岛素替代治疗均达 </w:t>
      </w:r>
      <w:r>
        <w:rPr/>
        <w:t>6</w:t>
      </w:r>
      <w:r>
        <w:rPr>
          <w:spacing w:val="-8"/>
        </w:rPr>
        <w:t> 个月以上。诊断必须由消化科</w:t>
      </w:r>
      <w:r>
        <w:rPr>
          <w:b/>
          <w:spacing w:val="-8"/>
          <w:w w:val="95"/>
        </w:rPr>
        <w:t>专科医生</w:t>
      </w:r>
      <w:r>
        <w:rPr>
          <w:spacing w:val="-8"/>
          <w:w w:val="95"/>
        </w:rPr>
        <w:t>确诊。</w:t>
      </w:r>
    </w:p>
    <w:p>
      <w:pPr>
        <w:pStyle w:val="BodyText"/>
        <w:spacing w:before="163"/>
        <w:rPr>
          <w:rFonts w:ascii="黑体" w:eastAsia="黑体" w:hint="eastAsia"/>
        </w:rPr>
      </w:pPr>
      <w:r>
        <w:rPr>
          <w:rFonts w:ascii="黑体" w:eastAsia="黑体" w:hint="eastAsia"/>
        </w:rPr>
        <w:t>酒精导致的慢性复发性胰腺炎除外。</w:t>
      </w:r>
    </w:p>
    <w:p>
      <w:pPr>
        <w:pStyle w:val="BodyText"/>
        <w:spacing w:before="9"/>
        <w:ind w:left="0"/>
        <w:rPr>
          <w:rFonts w:ascii="黑体"/>
          <w:sz w:val="14"/>
        </w:rPr>
      </w:pPr>
    </w:p>
    <w:p>
      <w:pPr>
        <w:pStyle w:val="Heading3"/>
        <w:numPr>
          <w:ilvl w:val="2"/>
          <w:numId w:val="3"/>
        </w:numPr>
        <w:tabs>
          <w:tab w:pos="999" w:val="left" w:leader="none"/>
        </w:tabs>
        <w:spacing w:line="240" w:lineRule="auto" w:before="1" w:after="0"/>
        <w:ind w:left="998" w:right="0" w:hanging="720"/>
        <w:jc w:val="left"/>
      </w:pPr>
      <w:r>
        <w:rPr>
          <w:w w:val="95"/>
        </w:rPr>
        <w:t>严重类风湿关节炎</w:t>
      </w:r>
    </w:p>
    <w:p>
      <w:pPr>
        <w:pStyle w:val="BodyText"/>
        <w:spacing w:line="273" w:lineRule="auto" w:before="141"/>
        <w:ind w:right="112"/>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w:t>
      </w:r>
      <w:r>
        <w:rPr>
          <w:spacing w:val="-6"/>
        </w:rPr>
        <w:t>湿性关节炎功能分级 </w:t>
      </w:r>
      <w:r>
        <w:rPr/>
        <w:t>III</w:t>
      </w:r>
      <w:r>
        <w:rPr>
          <w:spacing w:val="-8"/>
        </w:rPr>
        <w:t> 级以上的功能障碍</w:t>
      </w:r>
      <w:r>
        <w:rPr/>
        <w:t>（关节活动严重限制，不能完成大部分的日常工作和活动）并且满足下列全部条件：</w:t>
      </w:r>
    </w:p>
    <w:p>
      <w:pPr>
        <w:pStyle w:val="BodyText"/>
        <w:spacing w:before="163"/>
        <w:jc w:val="both"/>
      </w:pPr>
      <w:r>
        <w:rPr>
          <w:rFonts w:ascii="Times New Roman" w:eastAsia="Times New Roman"/>
        </w:rPr>
        <w:t>1</w:t>
      </w:r>
      <w:r>
        <w:rPr/>
        <w:t>． 晨僵；</w:t>
      </w:r>
    </w:p>
    <w:p>
      <w:pPr>
        <w:pStyle w:val="BodyText"/>
        <w:spacing w:before="177"/>
        <w:jc w:val="both"/>
      </w:pPr>
      <w:r>
        <w:rPr>
          <w:rFonts w:ascii="Times New Roman" w:eastAsia="Times New Roman"/>
        </w:rPr>
        <w:t>2</w:t>
      </w:r>
      <w:r>
        <w:rPr/>
        <w:t>． 对称性关节炎；</w:t>
      </w:r>
    </w:p>
    <w:p>
      <w:pPr>
        <w:pStyle w:val="BodyText"/>
        <w:spacing w:before="177"/>
        <w:jc w:val="both"/>
      </w:pPr>
      <w:r>
        <w:rPr>
          <w:rFonts w:ascii="Times New Roman" w:eastAsia="Times New Roman"/>
        </w:rPr>
        <w:t>3</w:t>
      </w:r>
      <w:r>
        <w:rPr/>
        <w:t>． 类风湿性皮下结节；</w:t>
      </w:r>
    </w:p>
    <w:p>
      <w:pPr>
        <w:pStyle w:val="BodyText"/>
        <w:spacing w:before="177"/>
        <w:jc w:val="both"/>
      </w:pPr>
      <w:r>
        <w:rPr>
          <w:rFonts w:ascii="Times New Roman" w:eastAsia="Times New Roman"/>
        </w:rPr>
        <w:t>4</w:t>
      </w:r>
      <w:r>
        <w:rPr/>
        <w:t>． 类风湿因子滴度升高；</w:t>
      </w:r>
    </w:p>
    <w:p>
      <w:pPr>
        <w:pStyle w:val="BodyText"/>
        <w:spacing w:before="177"/>
        <w:jc w:val="both"/>
      </w:pPr>
      <w:r>
        <w:rPr>
          <w:rFonts w:ascii="Times New Roman" w:eastAsia="Times New Roman"/>
        </w:rPr>
        <w:t>5</w:t>
      </w:r>
      <w:r>
        <w:rPr/>
        <w:t>． </w:t>
      </w:r>
      <w:r>
        <w:rPr>
          <w:rFonts w:ascii="Times New Roman" w:eastAsia="Times New Roman"/>
        </w:rPr>
        <w:t>X </w:t>
      </w:r>
      <w:r>
        <w:rPr/>
        <w:t>线显示严重的关节（软骨和骨）破坏和关节畸形。</w:t>
      </w:r>
    </w:p>
    <w:p>
      <w:pPr>
        <w:pStyle w:val="Heading3"/>
        <w:numPr>
          <w:ilvl w:val="2"/>
          <w:numId w:val="3"/>
        </w:numPr>
        <w:tabs>
          <w:tab w:pos="999" w:val="left" w:leader="none"/>
        </w:tabs>
        <w:spacing w:line="240" w:lineRule="auto" w:before="177" w:after="0"/>
        <w:ind w:left="998" w:right="0" w:hanging="720"/>
        <w:jc w:val="left"/>
      </w:pPr>
      <w:r>
        <w:rPr>
          <w:w w:val="95"/>
        </w:rPr>
        <w:t>冠状动脉粥样斑块切除术</w:t>
      </w:r>
    </w:p>
    <w:p>
      <w:pPr>
        <w:pStyle w:val="BodyText"/>
        <w:spacing w:line="273" w:lineRule="auto" w:before="141"/>
        <w:ind w:right="112"/>
        <w:jc w:val="both"/>
      </w:pPr>
      <w:r>
        <w:rPr>
          <w:spacing w:val="-8"/>
        </w:rPr>
        <w:t>是指有心绞痛等心脏不适症状，经过血管造影技术检查证实同时存在两支(其中一支</w:t>
      </w:r>
      <w:r>
        <w:rPr>
          <w:spacing w:val="-11"/>
        </w:rPr>
        <w:t>为左冠状动脉主干、左前降支或左回旋支)或更多支的冠状动脉血管发生严重的狭窄</w:t>
      </w:r>
    </w:p>
    <w:p>
      <w:pPr>
        <w:pStyle w:val="BodyText"/>
        <w:spacing w:line="273" w:lineRule="auto" w:before="7"/>
        <w:ind w:right="113"/>
        <w:jc w:val="both"/>
      </w:pPr>
      <w:r>
        <w:rPr/>
        <w:t>（狭窄程度在 70%以上），需要并且已实施冠状动脉粥样斑块切除术以改善血管的血流状况。索赔时必须提供血管造影的影像资料、报告、手术记录和病历。</w:t>
      </w:r>
    </w:p>
    <w:p>
      <w:pPr>
        <w:pStyle w:val="Heading3"/>
        <w:numPr>
          <w:ilvl w:val="2"/>
          <w:numId w:val="3"/>
        </w:numPr>
        <w:tabs>
          <w:tab w:pos="999" w:val="left" w:leader="none"/>
        </w:tabs>
        <w:spacing w:line="240" w:lineRule="auto" w:before="163" w:after="0"/>
        <w:ind w:left="998" w:right="0" w:hanging="720"/>
        <w:jc w:val="left"/>
      </w:pPr>
      <w:r>
        <w:rPr>
          <w:w w:val="95"/>
        </w:rPr>
        <w:t>植物人状态</w:t>
      </w:r>
    </w:p>
    <w:p>
      <w:pPr>
        <w:pStyle w:val="BodyText"/>
        <w:spacing w:line="273" w:lineRule="auto" w:before="141"/>
        <w:ind w:right="112"/>
        <w:jc w:val="both"/>
      </w:pPr>
      <w:r>
        <w:rPr/>
        <w:t>指经神经科医生确诊，CT、MRI 等证实大脑皮质全面坏死。患者临床表现意识完全丧失，但脑干功能仍保持完好，且此情况持续一个月或一个月以上。</w:t>
      </w:r>
    </w:p>
    <w:p>
      <w:pPr>
        <w:pStyle w:val="Heading3"/>
        <w:numPr>
          <w:ilvl w:val="2"/>
          <w:numId w:val="3"/>
        </w:numPr>
        <w:tabs>
          <w:tab w:pos="999" w:val="left" w:leader="none"/>
        </w:tabs>
        <w:spacing w:line="240" w:lineRule="auto" w:before="164" w:after="0"/>
        <w:ind w:left="998" w:right="0" w:hanging="720"/>
        <w:jc w:val="left"/>
      </w:pPr>
      <w:r>
        <w:rPr>
          <w:w w:val="95"/>
        </w:rPr>
        <w:t>终末期肺病</w:t>
      </w:r>
    </w:p>
    <w:p>
      <w:pPr>
        <w:spacing w:line="273" w:lineRule="auto" w:before="141"/>
        <w:ind w:left="1208" w:right="106" w:firstLine="0"/>
        <w:jc w:val="both"/>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确诊患有慢性肺部疾病而出现慢性呼吸功能衰竭。</w:t>
      </w:r>
    </w:p>
    <w:p>
      <w:pPr>
        <w:pStyle w:val="BodyText"/>
        <w:spacing w:before="163"/>
        <w:jc w:val="both"/>
      </w:pPr>
      <w:r>
        <w:rPr/>
        <w:t>终末期肺病必须同时满足以下四项标准并持续 3 个月或以上没有改善：</w:t>
      </w:r>
    </w:p>
    <w:p>
      <w:pPr>
        <w:spacing w:after="0"/>
        <w:jc w:val="both"/>
        <w:sectPr>
          <w:pgSz w:w="11910" w:h="16840"/>
          <w:pgMar w:top="1400" w:bottom="280" w:left="1680" w:right="1340"/>
        </w:sectPr>
      </w:pPr>
    </w:p>
    <w:p>
      <w:pPr>
        <w:pStyle w:val="BodyText"/>
        <w:spacing w:before="25"/>
        <w:ind w:left="1408"/>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spacing w:before="177"/>
        <w:ind w:left="1408"/>
      </w:pPr>
      <w:r>
        <w:rPr>
          <w:rFonts w:ascii="Times New Roman" w:eastAsia="Times New Roman"/>
        </w:rPr>
        <w:t>2</w:t>
      </w:r>
      <w:r>
        <w:rPr/>
        <w:t>． 血氧不足必须接受持续输氧治疗；</w:t>
      </w:r>
    </w:p>
    <w:p>
      <w:pPr>
        <w:pStyle w:val="BodyText"/>
        <w:spacing w:before="177"/>
        <w:ind w:left="1408"/>
      </w:pPr>
      <w:r>
        <w:rPr>
          <w:rFonts w:ascii="Times New Roman" w:eastAsia="Times New Roman"/>
        </w:rPr>
        <w:t>3</w:t>
      </w:r>
      <w:r>
        <w:rPr/>
        <w:t>． 动脉血气分析氧分压等于或低于 </w:t>
      </w:r>
      <w:r>
        <w:rPr>
          <w:rFonts w:ascii="Times New Roman" w:eastAsia="Times New Roman"/>
        </w:rPr>
        <w:t>55mmHg</w:t>
      </w:r>
      <w:r>
        <w:rPr/>
        <w:t>；</w:t>
      </w:r>
    </w:p>
    <w:p>
      <w:pPr>
        <w:pStyle w:val="BodyText"/>
        <w:spacing w:before="177"/>
        <w:ind w:left="1408"/>
      </w:pPr>
      <w:r>
        <w:rPr>
          <w:rFonts w:ascii="Times New Roman" w:eastAsia="Times New Roman"/>
        </w:rPr>
        <w:t>4</w:t>
      </w:r>
      <w:r>
        <w:rPr/>
        <w:t>． 休息时出现呼吸困难。</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w w:val="95"/>
        </w:rPr>
        <w:t>肢体机能完全丧失</w:t>
      </w:r>
    </w:p>
    <w:p>
      <w:pPr>
        <w:pStyle w:val="BodyText"/>
        <w:spacing w:line="273" w:lineRule="auto" w:before="177"/>
        <w:ind w:left="1408" w:right="214"/>
      </w:pPr>
      <w:r>
        <w:rPr/>
        <w:t>指肢体的三大关节中的两大关节僵硬，或不能随意识活动。肢体是指包括肩关节的整个上肢或包括髋关节的整个下肢。</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w w:val="95"/>
        </w:rPr>
        <w:t>语言能力或咀嚼吞咽能力完全丧失</w:t>
      </w:r>
    </w:p>
    <w:p>
      <w:pPr>
        <w:pStyle w:val="BodyText"/>
        <w:spacing w:line="273" w:lineRule="auto" w:before="176"/>
        <w:ind w:left="1408" w:right="108"/>
      </w:pPr>
      <w:r>
        <w:rPr>
          <w:spacing w:val="-5"/>
        </w:rPr>
        <w:t>语言能力完全丧失，指无法发出四种语音</w:t>
      </w:r>
      <w:r>
        <w:rPr/>
        <w:t>（</w:t>
      </w:r>
      <w:r>
        <w:rPr>
          <w:spacing w:val="-8"/>
        </w:rPr>
        <w:t>包括口唇音、齿舌音、口盖音和喉头音</w:t>
      </w:r>
      <w:r>
        <w:rPr/>
        <w:t>） 中的任何三种、或声带全部切除，或因大脑语言中枢受伤害而患失语症。</w:t>
      </w:r>
    </w:p>
    <w:p>
      <w:pPr>
        <w:pStyle w:val="BodyText"/>
        <w:spacing w:line="273" w:lineRule="auto" w:before="163"/>
        <w:ind w:left="1408" w:right="214"/>
      </w:pPr>
      <w:r>
        <w:rPr/>
        <w:t>咀嚼吞咽能力完全丧失，指因牙齿以外的原因导致器质障碍或机能障碍，以致不能作咀嚼吞咽运动，除流质食物外不能摄取或吞咽的状态。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w w:val="95"/>
        </w:rPr>
        <w:t>六项基本日常生活活动</w:t>
      </w:r>
    </w:p>
    <w:p>
      <w:pPr>
        <w:pStyle w:val="BodyText"/>
        <w:spacing w:before="176"/>
        <w:ind w:left="1408"/>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0"/>
        <w:ind w:left="1408" w:right="107"/>
      </w:pPr>
      <w:r>
        <w:rPr>
          <w:spacing w:val="-8"/>
        </w:rPr>
        <w:t>（</w:t>
      </w:r>
      <w:r>
        <w:rPr>
          <w:rFonts w:ascii="Times New Roman" w:eastAsia="Times New Roman"/>
          <w:spacing w:val="-8"/>
        </w:rPr>
        <w:t>3</w:t>
      </w:r>
      <w:r>
        <w:rPr>
          <w:spacing w:val="-8"/>
        </w:rPr>
        <w:t>）</w:t>
      </w:r>
      <w:r>
        <w:rPr>
          <w:spacing w:val="-6"/>
        </w:rPr>
        <w:t>行动：自己上下床或上下轮椅；</w:t>
      </w:r>
      <w:r>
        <w:rPr>
          <w:spacing w:val="-18"/>
        </w:rPr>
        <w:t>（</w:t>
      </w:r>
      <w:r>
        <w:rPr>
          <w:rFonts w:ascii="Times New Roman" w:eastAsia="Times New Roman"/>
          <w:spacing w:val="-18"/>
        </w:rPr>
        <w:t>4</w:t>
      </w:r>
      <w:r>
        <w:rPr>
          <w:spacing w:val="-18"/>
        </w:rPr>
        <w:t>）</w:t>
      </w:r>
      <w:r>
        <w:rPr>
          <w:spacing w:val="-6"/>
        </w:rPr>
        <w:t>如厕：自己控制进行大小便；</w:t>
      </w:r>
      <w:r>
        <w:rPr>
          <w:spacing w:val="-18"/>
        </w:rPr>
        <w:t>（</w:t>
      </w:r>
      <w:r>
        <w:rPr>
          <w:rFonts w:ascii="Times New Roman" w:eastAsia="Times New Roman"/>
          <w:spacing w:val="-18"/>
        </w:rPr>
        <w:t>5</w:t>
      </w:r>
      <w:r>
        <w:rPr>
          <w:spacing w:val="-18"/>
        </w:rPr>
        <w:t>）</w:t>
      </w:r>
      <w:r>
        <w:rPr/>
        <w:t>进食： </w:t>
      </w:r>
      <w:r>
        <w:rPr>
          <w:spacing w:val="-1"/>
        </w:rPr>
        <w:t>自己从已准备好的碗或碟中取食物放入口中</w:t>
      </w:r>
      <w:r>
        <w:rPr/>
        <w:t>；（</w:t>
      </w:r>
      <w:r>
        <w:rPr>
          <w:rFonts w:ascii="Times New Roman" w:eastAsia="Times New Roman"/>
        </w:rPr>
        <w:t>6</w:t>
      </w:r>
      <w:r>
        <w:rPr/>
        <w:t>）洗澡：自己进行淋浴或盆浴。</w:t>
      </w:r>
    </w:p>
    <w:p>
      <w:pPr>
        <w:pStyle w:val="Heading3"/>
        <w:numPr>
          <w:ilvl w:val="1"/>
          <w:numId w:val="3"/>
        </w:numPr>
        <w:tabs>
          <w:tab w:pos="694" w:val="left" w:leader="none"/>
          <w:tab w:pos="695" w:val="left" w:leader="none"/>
        </w:tabs>
        <w:spacing w:line="240" w:lineRule="auto" w:before="160" w:after="0"/>
        <w:ind w:left="694" w:right="0" w:hanging="576"/>
        <w:jc w:val="left"/>
        <w:rPr>
          <w:rFonts w:ascii="Times New Roman" w:eastAsia="Times New Roman"/>
        </w:rPr>
      </w:pPr>
      <w:r>
        <w:rPr>
          <w:w w:val="95"/>
        </w:rPr>
        <w:t>永久不可逆</w:t>
      </w:r>
    </w:p>
    <w:p>
      <w:pPr>
        <w:pStyle w:val="BodyText"/>
        <w:spacing w:line="256" w:lineRule="auto" w:before="177"/>
        <w:ind w:left="1408" w:right="149"/>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r>
        <w:rPr/>
        <w:t>意外伤害</w:t>
      </w:r>
    </w:p>
    <w:p>
      <w:pPr>
        <w:pStyle w:val="BodyText"/>
        <w:spacing w:before="176"/>
        <w:ind w:left="1408"/>
      </w:pPr>
      <w:r>
        <w:rPr/>
        <w:t>指遭受外来的、突发的、非本意的、非疾病的客观事件直接致使身体受到的伤害。</w:t>
      </w:r>
    </w:p>
    <w:p>
      <w:pPr>
        <w:pStyle w:val="BodyText"/>
        <w:spacing w:before="9"/>
        <w:ind w:left="0"/>
        <w:rPr>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r>
        <w:rPr/>
        <w:t>发病</w:t>
      </w:r>
    </w:p>
    <w:p>
      <w:pPr>
        <w:pStyle w:val="BodyText"/>
        <w:spacing w:line="273" w:lineRule="auto" w:before="177"/>
        <w:ind w:left="1408" w:right="214"/>
      </w:pPr>
      <w:r>
        <w:rPr/>
        <w:t>指出现疾病的前兆或异常的身体状况，或已经显现足以促使一般普通谨慎人士引起注意、寻求诊断、治疗或护理的病症。</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w w:val="95"/>
        </w:rPr>
        <w:t>指定或认可的医院</w:t>
      </w:r>
    </w:p>
    <w:p>
      <w:pPr>
        <w:pStyle w:val="BodyText"/>
        <w:spacing w:before="176"/>
        <w:ind w:left="1408"/>
      </w:pPr>
      <w:r>
        <w:rPr/>
        <w:t>本附加合同所称的指定或认可的医院应符合下列所有条件：</w:t>
      </w:r>
    </w:p>
    <w:p>
      <w:pPr>
        <w:pStyle w:val="BodyText"/>
        <w:spacing w:before="9"/>
        <w:ind w:left="0"/>
        <w:rPr>
          <w:sz w:val="14"/>
        </w:rPr>
      </w:pPr>
    </w:p>
    <w:p>
      <w:pPr>
        <w:pStyle w:val="BodyText"/>
        <w:ind w:left="1408"/>
      </w:pPr>
      <w:r>
        <w:rPr>
          <w:rFonts w:ascii="Times New Roman" w:eastAsia="Times New Roman"/>
        </w:rPr>
        <w:t>1</w:t>
      </w:r>
      <w:r>
        <w:rPr/>
        <w:t>． 拥有合法经营执照；</w:t>
      </w:r>
    </w:p>
    <w:p>
      <w:pPr>
        <w:pStyle w:val="BodyText"/>
        <w:spacing w:before="177"/>
        <w:ind w:left="1408"/>
      </w:pPr>
      <w:r>
        <w:rPr>
          <w:rFonts w:ascii="Times New Roman" w:eastAsia="Times New Roman"/>
        </w:rPr>
        <w:t>2</w:t>
      </w:r>
      <w:r>
        <w:rPr/>
        <w:t>． 设立的主要目的为向受伤者和患病者提供留院治疗和护理服务；</w:t>
      </w:r>
    </w:p>
    <w:p>
      <w:pPr>
        <w:pStyle w:val="BodyText"/>
        <w:spacing w:line="256" w:lineRule="auto" w:before="177"/>
        <w:ind w:left="1768" w:right="133" w:hanging="361"/>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768" w:right="209"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408"/>
      </w:pPr>
      <w:r>
        <w:rPr>
          <w:rFonts w:ascii="Times New Roman" w:eastAsia="Times New Roman"/>
        </w:rPr>
        <w:t>5</w:t>
      </w:r>
      <w:r>
        <w:rPr/>
        <w:t>． 非主要作为康复医院、诊所、护理、疗养、戒酒、戒毒或类似的医疗机构。</w:t>
      </w:r>
    </w:p>
    <w:p>
      <w:pPr>
        <w:spacing w:after="0"/>
        <w:sectPr>
          <w:pgSz w:w="11910" w:h="16840"/>
          <w:pgMar w:top="1400" w:bottom="280" w:left="1480" w:right="1240"/>
        </w:sectPr>
      </w:pPr>
    </w:p>
    <w:p>
      <w:pPr>
        <w:pStyle w:val="Heading3"/>
        <w:numPr>
          <w:ilvl w:val="1"/>
          <w:numId w:val="3"/>
        </w:numPr>
        <w:tabs>
          <w:tab w:pos="694" w:val="left" w:leader="none"/>
          <w:tab w:pos="695" w:val="left" w:leader="none"/>
        </w:tabs>
        <w:spacing w:line="240" w:lineRule="auto" w:before="25" w:after="0"/>
        <w:ind w:left="694" w:right="0" w:hanging="576"/>
        <w:jc w:val="left"/>
        <w:rPr>
          <w:rFonts w:ascii="Times New Roman" w:eastAsia="Times New Roman"/>
        </w:rPr>
      </w:pPr>
      <w:r>
        <w:rPr/>
        <w:t>专科医生</w:t>
      </w:r>
    </w:p>
    <w:p>
      <w:pPr>
        <w:pStyle w:val="BodyText"/>
        <w:spacing w:before="177"/>
        <w:ind w:left="1408"/>
        <w:jc w:val="both"/>
      </w:pPr>
      <w:r>
        <w:rPr/>
        <w:t>专科医生应当同时满足以下四项资格条件：</w:t>
      </w:r>
    </w:p>
    <w:p>
      <w:pPr>
        <w:pStyle w:val="BodyText"/>
        <w:spacing w:before="9"/>
        <w:ind w:left="0"/>
        <w:rPr>
          <w:sz w:val="14"/>
        </w:rPr>
      </w:pPr>
    </w:p>
    <w:p>
      <w:pPr>
        <w:pStyle w:val="BodyText"/>
        <w:spacing w:before="1"/>
        <w:ind w:left="1408"/>
        <w:jc w:val="both"/>
      </w:pPr>
      <w:r>
        <w:rPr>
          <w:rFonts w:ascii="Times New Roman" w:eastAsia="Times New Roman"/>
        </w:rPr>
        <w:t>1</w:t>
      </w:r>
      <w:r>
        <w:rPr/>
        <w:t>． 具有有效的中华人民共和国《医师资格证书》；</w:t>
      </w:r>
    </w:p>
    <w:p>
      <w:pPr>
        <w:pStyle w:val="BodyText"/>
        <w:spacing w:before="177"/>
        <w:ind w:left="1408"/>
        <w:jc w:val="both"/>
      </w:pPr>
      <w:r>
        <w:rPr>
          <w:rFonts w:ascii="Times New Roman" w:eastAsia="Times New Roman"/>
        </w:rPr>
        <w:t>2</w:t>
      </w:r>
      <w:r>
        <w:rPr/>
        <w:t>． 具有有效的中华人民共和国《医师执业证书》，并按期到相关部门登记注册；</w:t>
      </w:r>
    </w:p>
    <w:p>
      <w:pPr>
        <w:pStyle w:val="BodyText"/>
        <w:spacing w:before="177"/>
        <w:ind w:left="1408"/>
        <w:jc w:val="both"/>
      </w:pPr>
      <w:r>
        <w:rPr>
          <w:rFonts w:ascii="Times New Roman" w:eastAsia="Times New Roman"/>
        </w:rPr>
        <w:t>3</w:t>
      </w:r>
      <w:r>
        <w:rPr/>
        <w:t>． 具有有效的中华人民共和国主治医师或主治医师以上职称的《医师职称证书》；</w:t>
      </w:r>
    </w:p>
    <w:p>
      <w:pPr>
        <w:pStyle w:val="BodyText"/>
        <w:spacing w:before="177"/>
        <w:ind w:left="1408"/>
        <w:jc w:val="both"/>
      </w:pPr>
      <w:r>
        <w:rPr>
          <w:rFonts w:ascii="Times New Roman" w:eastAsia="Times New Roman"/>
        </w:rPr>
        <w:t>4</w:t>
      </w:r>
      <w:r>
        <w:rPr/>
        <w:t>． 在二级或二级以上医院的相应科室从事临床工作三年以上。</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毒品</w:t>
      </w:r>
    </w:p>
    <w:p>
      <w:pPr>
        <w:pStyle w:val="BodyText"/>
        <w:spacing w:line="273" w:lineRule="auto" w:before="177"/>
        <w:ind w:left="1408" w:right="213"/>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酒后驾驶</w:t>
      </w:r>
    </w:p>
    <w:p>
      <w:pPr>
        <w:pStyle w:val="BodyText"/>
        <w:spacing w:line="273" w:lineRule="auto" w:before="177"/>
        <w:ind w:left="1408" w:right="213"/>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w w:val="95"/>
        </w:rPr>
        <w:t>无合法有效驾驶证驾驶</w:t>
      </w:r>
    </w:p>
    <w:p>
      <w:pPr>
        <w:pStyle w:val="BodyText"/>
        <w:spacing w:before="177"/>
        <w:ind w:left="1408"/>
        <w:jc w:val="both"/>
      </w:pPr>
      <w:r>
        <w:rPr/>
        <w:t>指下列情形之一：</w:t>
      </w:r>
    </w:p>
    <w:p>
      <w:pPr>
        <w:pStyle w:val="BodyText"/>
        <w:spacing w:before="9"/>
        <w:ind w:left="0"/>
        <w:rPr>
          <w:sz w:val="14"/>
        </w:rPr>
      </w:pPr>
    </w:p>
    <w:p>
      <w:pPr>
        <w:pStyle w:val="ListParagraph"/>
        <w:numPr>
          <w:ilvl w:val="0"/>
          <w:numId w:val="4"/>
        </w:numPr>
        <w:tabs>
          <w:tab w:pos="1673" w:val="left" w:leader="none"/>
        </w:tabs>
        <w:spacing w:line="240" w:lineRule="auto" w:before="0" w:after="0"/>
        <w:ind w:left="1672" w:right="0" w:hanging="264"/>
        <w:jc w:val="both"/>
        <w:rPr>
          <w:sz w:val="21"/>
        </w:rPr>
      </w:pPr>
      <w:r>
        <w:rPr>
          <w:spacing w:val="-1"/>
          <w:sz w:val="21"/>
        </w:rPr>
        <w:t>没有取得驾驶资格；</w:t>
      </w:r>
    </w:p>
    <w:p>
      <w:pPr>
        <w:pStyle w:val="ListParagraph"/>
        <w:numPr>
          <w:ilvl w:val="0"/>
          <w:numId w:val="4"/>
        </w:numPr>
        <w:tabs>
          <w:tab w:pos="1673" w:val="left" w:leader="none"/>
        </w:tabs>
        <w:spacing w:line="240" w:lineRule="auto" w:before="177" w:after="0"/>
        <w:ind w:left="1672" w:right="0" w:hanging="264"/>
        <w:jc w:val="both"/>
        <w:rPr>
          <w:sz w:val="21"/>
        </w:rPr>
      </w:pPr>
      <w:r>
        <w:rPr>
          <w:spacing w:val="-1"/>
          <w:sz w:val="21"/>
        </w:rPr>
        <w:t>驾驶与驾驶证准驾车型不相符合的车辆；</w:t>
      </w:r>
    </w:p>
    <w:p>
      <w:pPr>
        <w:pStyle w:val="ListParagraph"/>
        <w:numPr>
          <w:ilvl w:val="0"/>
          <w:numId w:val="4"/>
        </w:numPr>
        <w:tabs>
          <w:tab w:pos="1673" w:val="left" w:leader="none"/>
        </w:tabs>
        <w:spacing w:line="240" w:lineRule="auto" w:before="177" w:after="0"/>
        <w:ind w:left="1672" w:right="0" w:hanging="264"/>
        <w:jc w:val="both"/>
        <w:rPr>
          <w:sz w:val="21"/>
        </w:rPr>
      </w:pPr>
      <w:r>
        <w:rPr>
          <w:spacing w:val="-1"/>
          <w:sz w:val="21"/>
        </w:rPr>
        <w:t>持审验不合格的驾驶证驾驶；</w:t>
      </w:r>
    </w:p>
    <w:p>
      <w:pPr>
        <w:pStyle w:val="BodyText"/>
        <w:spacing w:before="177"/>
        <w:ind w:left="1408"/>
        <w:jc w:val="both"/>
      </w:pPr>
      <w:r>
        <w:rPr>
          <w:rFonts w:ascii="Times New Roman" w:eastAsia="Times New Roman"/>
          <w:spacing w:val="-27"/>
        </w:rPr>
        <w:t>4</w:t>
      </w:r>
      <w:r>
        <w:rPr>
          <w:spacing w:val="-14"/>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w w:val="95"/>
        </w:rPr>
        <w:t>无有效行驶证</w:t>
      </w:r>
    </w:p>
    <w:p>
      <w:pPr>
        <w:pStyle w:val="BodyText"/>
        <w:spacing w:before="177"/>
        <w:ind w:left="1408"/>
        <w:jc w:val="both"/>
      </w:pPr>
      <w:r>
        <w:rPr/>
        <w:t>指下列情形之一：</w:t>
      </w:r>
    </w:p>
    <w:p>
      <w:pPr>
        <w:pStyle w:val="BodyText"/>
        <w:spacing w:before="10"/>
        <w:ind w:left="0"/>
        <w:rPr>
          <w:sz w:val="14"/>
        </w:rPr>
      </w:pPr>
    </w:p>
    <w:p>
      <w:pPr>
        <w:pStyle w:val="ListParagraph"/>
        <w:numPr>
          <w:ilvl w:val="0"/>
          <w:numId w:val="5"/>
        </w:numPr>
        <w:tabs>
          <w:tab w:pos="1739" w:val="left" w:leader="none"/>
        </w:tabs>
        <w:spacing w:line="240" w:lineRule="auto" w:before="0" w:after="0"/>
        <w:ind w:left="1738" w:right="0" w:hanging="360"/>
        <w:jc w:val="both"/>
        <w:rPr>
          <w:sz w:val="21"/>
        </w:rPr>
      </w:pPr>
      <w:r>
        <w:rPr>
          <w:sz w:val="21"/>
        </w:rPr>
        <w:t>机动车被依法注销登记的；</w:t>
      </w:r>
    </w:p>
    <w:p>
      <w:pPr>
        <w:pStyle w:val="ListParagraph"/>
        <w:numPr>
          <w:ilvl w:val="0"/>
          <w:numId w:val="5"/>
        </w:numPr>
        <w:tabs>
          <w:tab w:pos="1739" w:val="left" w:leader="none"/>
        </w:tabs>
        <w:spacing w:line="240" w:lineRule="auto" w:before="177" w:after="0"/>
        <w:ind w:left="1738" w:right="0" w:hanging="360"/>
        <w:jc w:val="both"/>
        <w:rPr>
          <w:sz w:val="21"/>
        </w:rPr>
      </w:pPr>
      <w:r>
        <w:rPr>
          <w:sz w:val="21"/>
        </w:rPr>
        <w:t>未依法按时进行或通过机动车安全技术检验。</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w w:val="95"/>
        </w:rPr>
        <w:t>感染艾滋病病毒或患艾滋病</w:t>
      </w:r>
    </w:p>
    <w:p>
      <w:pPr>
        <w:pStyle w:val="BodyText"/>
        <w:spacing w:line="256" w:lineRule="auto" w:before="177"/>
        <w:ind w:left="1408" w:right="147"/>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1"/>
        <w:ind w:left="1408" w:right="108"/>
      </w:pPr>
      <w:r>
        <w:rPr/>
        <w:t>在人体血液或其它样本中检测到艾滋病病毒或其抗体呈阳性，没有出现临床症状或</w:t>
      </w:r>
      <w:r>
        <w:rPr>
          <w:spacing w:val="-10"/>
        </w:rPr>
        <w:t>体征的，为感染艾滋病病毒；如果同时出现了明显临床症状或体征的，为患艾滋病。</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w w:val="95"/>
        </w:rPr>
        <w:t>遗传性疾病</w:t>
      </w:r>
    </w:p>
    <w:p>
      <w:pPr>
        <w:pStyle w:val="BodyText"/>
        <w:spacing w:line="273" w:lineRule="auto" w:before="177"/>
        <w:ind w:left="1408" w:right="213"/>
      </w:pPr>
      <w:r>
        <w:rPr/>
        <w:t>指生殖细胞或受精卵的遗传物质（染色体和基因）发生突变或畸变所引起的疾病， 通常具有由亲代传至后代的垂直传递的特征。</w:t>
      </w:r>
    </w:p>
    <w:p>
      <w:pPr>
        <w:spacing w:after="0" w:line="273" w:lineRule="auto"/>
        <w:sectPr>
          <w:pgSz w:w="11910" w:h="16840"/>
          <w:pgMar w:top="1400" w:bottom="280" w:left="1480" w:right="1240"/>
        </w:sectPr>
      </w:pPr>
    </w:p>
    <w:p>
      <w:pPr>
        <w:pStyle w:val="Heading3"/>
        <w:numPr>
          <w:ilvl w:val="1"/>
          <w:numId w:val="3"/>
        </w:numPr>
        <w:tabs>
          <w:tab w:pos="694" w:val="left" w:leader="none"/>
          <w:tab w:pos="695" w:val="left" w:leader="none"/>
        </w:tabs>
        <w:spacing w:line="240" w:lineRule="auto" w:before="25" w:after="0"/>
        <w:ind w:left="694" w:right="0" w:hanging="576"/>
        <w:jc w:val="left"/>
        <w:rPr>
          <w:rFonts w:ascii="Times New Roman" w:eastAsia="Times New Roman"/>
        </w:rPr>
      </w:pPr>
      <w:r>
        <w:rPr>
          <w:w w:val="95"/>
        </w:rPr>
        <w:t>先天性畸形、变形或染色体异常</w:t>
      </w:r>
    </w:p>
    <w:p>
      <w:pPr>
        <w:pStyle w:val="BodyText"/>
        <w:spacing w:line="273" w:lineRule="auto" w:before="177"/>
        <w:ind w:left="1408" w:right="113"/>
      </w:pPr>
      <w:r>
        <w:rPr/>
        <w:t>指被保险人出生时就具有的畸形、变形或染色体异常。先天性畸形、变形和染色体异常依照世界卫生组织《疾病和有关健康问题的国际统计分类》（ICD-10）确定。</w:t>
      </w:r>
    </w:p>
    <w:sectPr>
      <w:pgSz w:w="11910" w:h="16840"/>
      <w:pgMar w:top="1400" w:bottom="280" w:left="14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新宋体">
    <w:altName w:val="新宋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738" w:hanging="361"/>
        <w:jc w:val="left"/>
      </w:pPr>
      <w:rPr>
        <w:rFonts w:hint="default" w:ascii="Times New Roman" w:hAnsi="Times New Roman" w:eastAsia="Times New Roman" w:cs="Times New Roman"/>
        <w:spacing w:val="-9"/>
        <w:w w:val="100"/>
        <w:sz w:val="21"/>
        <w:szCs w:val="21"/>
      </w:rPr>
    </w:lvl>
    <w:lvl w:ilvl="1">
      <w:start w:val="0"/>
      <w:numFmt w:val="bullet"/>
      <w:lvlText w:val="•"/>
      <w:lvlJc w:val="left"/>
      <w:pPr>
        <w:ind w:left="2484" w:hanging="361"/>
      </w:pPr>
      <w:rPr>
        <w:rFonts w:hint="default"/>
      </w:rPr>
    </w:lvl>
    <w:lvl w:ilvl="2">
      <w:start w:val="0"/>
      <w:numFmt w:val="bullet"/>
      <w:lvlText w:val="•"/>
      <w:lvlJc w:val="left"/>
      <w:pPr>
        <w:ind w:left="3228" w:hanging="361"/>
      </w:pPr>
      <w:rPr>
        <w:rFonts w:hint="default"/>
      </w:rPr>
    </w:lvl>
    <w:lvl w:ilvl="3">
      <w:start w:val="0"/>
      <w:numFmt w:val="bullet"/>
      <w:lvlText w:val="•"/>
      <w:lvlJc w:val="left"/>
      <w:pPr>
        <w:ind w:left="3973" w:hanging="361"/>
      </w:pPr>
      <w:rPr>
        <w:rFonts w:hint="default"/>
      </w:rPr>
    </w:lvl>
    <w:lvl w:ilvl="4">
      <w:start w:val="0"/>
      <w:numFmt w:val="bullet"/>
      <w:lvlText w:val="•"/>
      <w:lvlJc w:val="left"/>
      <w:pPr>
        <w:ind w:left="4717" w:hanging="361"/>
      </w:pPr>
      <w:rPr>
        <w:rFonts w:hint="default"/>
      </w:rPr>
    </w:lvl>
    <w:lvl w:ilvl="5">
      <w:start w:val="0"/>
      <w:numFmt w:val="bullet"/>
      <w:lvlText w:val="•"/>
      <w:lvlJc w:val="left"/>
      <w:pPr>
        <w:ind w:left="5462" w:hanging="361"/>
      </w:pPr>
      <w:rPr>
        <w:rFonts w:hint="default"/>
      </w:rPr>
    </w:lvl>
    <w:lvl w:ilvl="6">
      <w:start w:val="0"/>
      <w:numFmt w:val="bullet"/>
      <w:lvlText w:val="•"/>
      <w:lvlJc w:val="left"/>
      <w:pPr>
        <w:ind w:left="6206" w:hanging="361"/>
      </w:pPr>
      <w:rPr>
        <w:rFonts w:hint="default"/>
      </w:rPr>
    </w:lvl>
    <w:lvl w:ilvl="7">
      <w:start w:val="0"/>
      <w:numFmt w:val="bullet"/>
      <w:lvlText w:val="•"/>
      <w:lvlJc w:val="left"/>
      <w:pPr>
        <w:ind w:left="6951" w:hanging="361"/>
      </w:pPr>
      <w:rPr>
        <w:rFonts w:hint="default"/>
      </w:rPr>
    </w:lvl>
    <w:lvl w:ilvl="8">
      <w:start w:val="0"/>
      <w:numFmt w:val="bullet"/>
      <w:lvlText w:val="•"/>
      <w:lvlJc w:val="left"/>
      <w:pPr>
        <w:ind w:left="7695" w:hanging="361"/>
      </w:pPr>
      <w:rPr>
        <w:rFonts w:hint="default"/>
      </w:rPr>
    </w:lvl>
  </w:abstractNum>
  <w:abstractNum w:abstractNumId="3">
    <w:multiLevelType w:val="hybridMultilevel"/>
    <w:lvl w:ilvl="0">
      <w:start w:val="1"/>
      <w:numFmt w:val="decimal"/>
      <w:lvlText w:val="%1."/>
      <w:lvlJc w:val="left"/>
      <w:pPr>
        <w:ind w:left="1672" w:hanging="264"/>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2430" w:hanging="264"/>
      </w:pPr>
      <w:rPr>
        <w:rFonts w:hint="default"/>
      </w:rPr>
    </w:lvl>
    <w:lvl w:ilvl="2">
      <w:start w:val="0"/>
      <w:numFmt w:val="bullet"/>
      <w:lvlText w:val="•"/>
      <w:lvlJc w:val="left"/>
      <w:pPr>
        <w:ind w:left="3180" w:hanging="264"/>
      </w:pPr>
      <w:rPr>
        <w:rFonts w:hint="default"/>
      </w:rPr>
    </w:lvl>
    <w:lvl w:ilvl="3">
      <w:start w:val="0"/>
      <w:numFmt w:val="bullet"/>
      <w:lvlText w:val="•"/>
      <w:lvlJc w:val="left"/>
      <w:pPr>
        <w:ind w:left="3931" w:hanging="264"/>
      </w:pPr>
      <w:rPr>
        <w:rFonts w:hint="default"/>
      </w:rPr>
    </w:lvl>
    <w:lvl w:ilvl="4">
      <w:start w:val="0"/>
      <w:numFmt w:val="bullet"/>
      <w:lvlText w:val="•"/>
      <w:lvlJc w:val="left"/>
      <w:pPr>
        <w:ind w:left="4681" w:hanging="264"/>
      </w:pPr>
      <w:rPr>
        <w:rFonts w:hint="default"/>
      </w:rPr>
    </w:lvl>
    <w:lvl w:ilvl="5">
      <w:start w:val="0"/>
      <w:numFmt w:val="bullet"/>
      <w:lvlText w:val="•"/>
      <w:lvlJc w:val="left"/>
      <w:pPr>
        <w:ind w:left="5432" w:hanging="264"/>
      </w:pPr>
      <w:rPr>
        <w:rFonts w:hint="default"/>
      </w:rPr>
    </w:lvl>
    <w:lvl w:ilvl="6">
      <w:start w:val="0"/>
      <w:numFmt w:val="bullet"/>
      <w:lvlText w:val="•"/>
      <w:lvlJc w:val="left"/>
      <w:pPr>
        <w:ind w:left="6182" w:hanging="264"/>
      </w:pPr>
      <w:rPr>
        <w:rFonts w:hint="default"/>
      </w:rPr>
    </w:lvl>
    <w:lvl w:ilvl="7">
      <w:start w:val="0"/>
      <w:numFmt w:val="bullet"/>
      <w:lvlText w:val="•"/>
      <w:lvlJc w:val="left"/>
      <w:pPr>
        <w:ind w:left="6933" w:hanging="264"/>
      </w:pPr>
      <w:rPr>
        <w:rFonts w:hint="default"/>
      </w:rPr>
    </w:lvl>
    <w:lvl w:ilvl="8">
      <w:start w:val="0"/>
      <w:numFmt w:val="bullet"/>
      <w:lvlText w:val="•"/>
      <w:lvlJc w:val="left"/>
      <w:pPr>
        <w:ind w:left="7683" w:hanging="264"/>
      </w:pPr>
      <w:rPr>
        <w:rFonts w:hint="default"/>
      </w:rPr>
    </w:lvl>
  </w:abstractNum>
  <w:abstractNum w:abstractNumId="2">
    <w:multiLevelType w:val="hybridMultilevel"/>
    <w:lvl w:ilvl="0">
      <w:start w:val="6"/>
      <w:numFmt w:val="decimal"/>
      <w:lvlText w:val="%1"/>
      <w:lvlJc w:val="left"/>
      <w:pPr>
        <w:ind w:left="1398" w:hanging="721"/>
        <w:jc w:val="left"/>
      </w:pPr>
      <w:rPr>
        <w:rFonts w:hint="default"/>
      </w:rPr>
    </w:lvl>
    <w:lvl w:ilvl="1">
      <w:start w:val="1"/>
      <w:numFmt w:val="decimal"/>
      <w:lvlText w:val="%1.%2"/>
      <w:lvlJc w:val="left"/>
      <w:pPr>
        <w:ind w:left="1398" w:hanging="721"/>
        <w:jc w:val="right"/>
      </w:pPr>
      <w:rPr>
        <w:rFonts w:hint="default"/>
      </w:rPr>
    </w:lvl>
    <w:lvl w:ilvl="2">
      <w:start w:val="1"/>
      <w:numFmt w:val="decimal"/>
      <w:lvlText w:val="%1.%2.%3"/>
      <w:lvlJc w:val="left"/>
      <w:pPr>
        <w:ind w:left="1398" w:hanging="721"/>
        <w:jc w:val="right"/>
      </w:pPr>
      <w:rPr>
        <w:rFonts w:hint="default" w:ascii="Times New Roman" w:hAnsi="Times New Roman" w:eastAsia="Times New Roman" w:cs="Times New Roman"/>
        <w:b/>
        <w:bCs/>
        <w:spacing w:val="-1"/>
        <w:w w:val="99"/>
        <w:sz w:val="21"/>
        <w:szCs w:val="21"/>
      </w:rPr>
    </w:lvl>
    <w:lvl w:ilvl="3">
      <w:start w:val="0"/>
      <w:numFmt w:val="bullet"/>
      <w:lvlText w:val="•"/>
      <w:lvlJc w:val="left"/>
      <w:pPr>
        <w:ind w:left="3795" w:hanging="721"/>
      </w:pPr>
      <w:rPr>
        <w:rFonts w:hint="default"/>
      </w:rPr>
    </w:lvl>
    <w:lvl w:ilvl="4">
      <w:start w:val="0"/>
      <w:numFmt w:val="bullet"/>
      <w:lvlText w:val="•"/>
      <w:lvlJc w:val="left"/>
      <w:pPr>
        <w:ind w:left="4593" w:hanging="721"/>
      </w:pPr>
      <w:rPr>
        <w:rFonts w:hint="default"/>
      </w:rPr>
    </w:lvl>
    <w:lvl w:ilvl="5">
      <w:start w:val="0"/>
      <w:numFmt w:val="bullet"/>
      <w:lvlText w:val="•"/>
      <w:lvlJc w:val="left"/>
      <w:pPr>
        <w:ind w:left="5392" w:hanging="721"/>
      </w:pPr>
      <w:rPr>
        <w:rFonts w:hint="default"/>
      </w:rPr>
    </w:lvl>
    <w:lvl w:ilvl="6">
      <w:start w:val="0"/>
      <w:numFmt w:val="bullet"/>
      <w:lvlText w:val="•"/>
      <w:lvlJc w:val="left"/>
      <w:pPr>
        <w:ind w:left="6190" w:hanging="721"/>
      </w:pPr>
      <w:rPr>
        <w:rFonts w:hint="default"/>
      </w:rPr>
    </w:lvl>
    <w:lvl w:ilvl="7">
      <w:start w:val="0"/>
      <w:numFmt w:val="bullet"/>
      <w:lvlText w:val="•"/>
      <w:lvlJc w:val="left"/>
      <w:pPr>
        <w:ind w:left="6989" w:hanging="721"/>
      </w:pPr>
      <w:rPr>
        <w:rFonts w:hint="default"/>
      </w:rPr>
    </w:lvl>
    <w:lvl w:ilvl="8">
      <w:start w:val="0"/>
      <w:numFmt w:val="bullet"/>
      <w:lvlText w:val="•"/>
      <w:lvlJc w:val="left"/>
      <w:pPr>
        <w:ind w:left="7787" w:hanging="721"/>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576"/>
        <w:jc w:val="left"/>
      </w:pPr>
      <w:rPr>
        <w:rFonts w:hint="default" w:ascii="Times New Roman" w:hAnsi="Times New Roman" w:eastAsia="Times New Roman" w:cs="Times New Roman"/>
        <w:b/>
        <w:bCs/>
        <w:w w:val="99"/>
        <w:sz w:val="21"/>
        <w:szCs w:val="21"/>
      </w:rPr>
    </w:lvl>
    <w:lvl w:ilvl="2">
      <w:start w:val="1"/>
      <w:numFmt w:val="decimal"/>
      <w:lvlText w:val="%3."/>
      <w:lvlJc w:val="left"/>
      <w:pPr>
        <w:ind w:left="1896" w:hanging="319"/>
        <w:jc w:val="left"/>
      </w:pPr>
      <w:rPr>
        <w:rFonts w:hint="default" w:ascii="Times New Roman" w:hAnsi="Times New Roman" w:eastAsia="Times New Roman" w:cs="Times New Roman"/>
        <w:w w:val="100"/>
        <w:sz w:val="21"/>
        <w:szCs w:val="21"/>
      </w:rPr>
    </w:lvl>
    <w:lvl w:ilvl="3">
      <w:start w:val="0"/>
      <w:numFmt w:val="bullet"/>
      <w:lvlText w:val="•"/>
      <w:lvlJc w:val="left"/>
      <w:pPr>
        <w:ind w:left="2825" w:hanging="319"/>
      </w:pPr>
      <w:rPr>
        <w:rFonts w:hint="default"/>
      </w:rPr>
    </w:lvl>
    <w:lvl w:ilvl="4">
      <w:start w:val="0"/>
      <w:numFmt w:val="bullet"/>
      <w:lvlText w:val="•"/>
      <w:lvlJc w:val="left"/>
      <w:pPr>
        <w:ind w:left="3751" w:hanging="319"/>
      </w:pPr>
      <w:rPr>
        <w:rFonts w:hint="default"/>
      </w:rPr>
    </w:lvl>
    <w:lvl w:ilvl="5">
      <w:start w:val="0"/>
      <w:numFmt w:val="bullet"/>
      <w:lvlText w:val="•"/>
      <w:lvlJc w:val="left"/>
      <w:pPr>
        <w:ind w:left="4676" w:hanging="319"/>
      </w:pPr>
      <w:rPr>
        <w:rFonts w:hint="default"/>
      </w:rPr>
    </w:lvl>
    <w:lvl w:ilvl="6">
      <w:start w:val="0"/>
      <w:numFmt w:val="bullet"/>
      <w:lvlText w:val="•"/>
      <w:lvlJc w:val="left"/>
      <w:pPr>
        <w:ind w:left="5602" w:hanging="319"/>
      </w:pPr>
      <w:rPr>
        <w:rFonts w:hint="default"/>
      </w:rPr>
    </w:lvl>
    <w:lvl w:ilvl="7">
      <w:start w:val="0"/>
      <w:numFmt w:val="bullet"/>
      <w:lvlText w:val="•"/>
      <w:lvlJc w:val="left"/>
      <w:pPr>
        <w:ind w:left="6527" w:hanging="319"/>
      </w:pPr>
      <w:rPr>
        <w:rFonts w:hint="default"/>
      </w:rPr>
    </w:lvl>
    <w:lvl w:ilvl="8">
      <w:start w:val="0"/>
      <w:numFmt w:val="bullet"/>
      <w:lvlText w:val="•"/>
      <w:lvlJc w:val="left"/>
      <w:pPr>
        <w:ind w:left="7453" w:hanging="319"/>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99"/>
        <w:sz w:val="21"/>
        <w:szCs w:val="21"/>
      </w:rPr>
    </w:lvl>
    <w:lvl w:ilvl="1">
      <w:start w:val="1"/>
      <w:numFmt w:val="decimal"/>
      <w:lvlText w:val="%1.%2"/>
      <w:lvlJc w:val="left"/>
      <w:pPr>
        <w:ind w:left="715"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560" w:hanging="420"/>
      </w:pPr>
      <w:rPr>
        <w:rFonts w:hint="default"/>
      </w:rPr>
    </w:lvl>
    <w:lvl w:ilvl="3">
      <w:start w:val="0"/>
      <w:numFmt w:val="bullet"/>
      <w:lvlText w:val="•"/>
      <w:lvlJc w:val="left"/>
      <w:pPr>
        <w:ind w:left="400" w:hanging="420"/>
      </w:pPr>
      <w:rPr>
        <w:rFonts w:hint="default"/>
      </w:rPr>
    </w:lvl>
    <w:lvl w:ilvl="4">
      <w:start w:val="0"/>
      <w:numFmt w:val="bullet"/>
      <w:lvlText w:val="•"/>
      <w:lvlJc w:val="left"/>
      <w:pPr>
        <w:ind w:left="241" w:hanging="420"/>
      </w:pPr>
      <w:rPr>
        <w:rFonts w:hint="default"/>
      </w:rPr>
    </w:lvl>
    <w:lvl w:ilvl="5">
      <w:start w:val="0"/>
      <w:numFmt w:val="bullet"/>
      <w:lvlText w:val="•"/>
      <w:lvlJc w:val="left"/>
      <w:pPr>
        <w:ind w:left="81" w:hanging="420"/>
      </w:pPr>
      <w:rPr>
        <w:rFonts w:hint="default"/>
      </w:rPr>
    </w:lvl>
    <w:lvl w:ilvl="6">
      <w:start w:val="0"/>
      <w:numFmt w:val="bullet"/>
      <w:lvlText w:val="•"/>
      <w:lvlJc w:val="left"/>
      <w:pPr>
        <w:ind w:left="-78" w:hanging="420"/>
      </w:pPr>
      <w:rPr>
        <w:rFonts w:hint="default"/>
      </w:rPr>
    </w:lvl>
    <w:lvl w:ilvl="7">
      <w:start w:val="0"/>
      <w:numFmt w:val="bullet"/>
      <w:lvlText w:val="•"/>
      <w:lvlJc w:val="left"/>
      <w:pPr>
        <w:ind w:left="-238" w:hanging="420"/>
      </w:pPr>
      <w:rPr>
        <w:rFonts w:hint="default"/>
      </w:rPr>
    </w:lvl>
    <w:lvl w:ilvl="8">
      <w:start w:val="0"/>
      <w:numFmt w:val="bullet"/>
      <w:lvlText w:val="•"/>
      <w:lvlJc w:val="left"/>
      <w:pPr>
        <w:ind w:left="-397"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08"/>
    </w:pPr>
    <w:rPr>
      <w:rFonts w:ascii="宋体" w:hAnsi="宋体" w:eastAsia="宋体" w:cs="宋体"/>
      <w:sz w:val="21"/>
      <w:szCs w:val="21"/>
    </w:rPr>
  </w:style>
  <w:style w:styleId="Heading1" w:type="paragraph">
    <w:name w:val="Heading 1"/>
    <w:basedOn w:val="Normal"/>
    <w:uiPriority w:val="1"/>
    <w:qFormat/>
    <w:pPr>
      <w:ind w:left="675"/>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ind w:left="998"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Raymondsong</dc:creator>
  <dc:title>&lt;4D6963726F736F667420576F7264202D20BAA3BFB5B8BDBCD3A1B8BDF0C9ABBBAAC4EAA1B9D6D8B4F3BCB2B2A1B1A3CFD55F42BFEE5F5F43495230365F&gt;</dc:title>
  <dcterms:created xsi:type="dcterms:W3CDTF">2018-10-20T00:03:37Z</dcterms:created>
  <dcterms:modified xsi:type="dcterms:W3CDTF">2018-10-20T00:03:37Z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PScript5.dll Version 5.2.2</vt:lpwstr>
  </property>
  <property fmtid="{D5CDD505-2E9C-101B-9397-08002B2CF9AE}" pid="4" name="LastSaved">
    <vt:filetime>2018-10-19T00:00:00Z</vt:filetime>
  </property>
</Properties>
</file>