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99" w:firstLine="0"/>
        <w:jc w:val="right"/>
        <w:rPr>
          <w:rFonts w:ascii="仿宋" w:eastAsia="仿宋" w:hint="eastAsia"/>
          <w:sz w:val="12"/>
        </w:rPr>
      </w:pPr>
      <w:r>
        <w:rPr/>
        <w:drawing>
          <wp:anchor distT="0" distB="0" distL="0" distR="0" allowOverlap="1" layoutInCell="1" locked="0" behindDoc="0" simplePos="0" relativeHeight="1120">
            <wp:simplePos x="0" y="0"/>
            <wp:positionH relativeFrom="page">
              <wp:posOffset>6458584</wp:posOffset>
            </wp:positionH>
            <wp:positionV relativeFrom="paragraph">
              <wp:posOffset>179931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rFonts w:ascii="仿宋" w:eastAsia="仿宋" w:hint="eastAsia"/>
          <w:sz w:val="12"/>
        </w:rPr>
        <w:t>国联人寿〔2015〕疾病保险 011 号</w:t>
      </w: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4"/>
        <w:rPr>
          <w:rFonts w:ascii="仿宋"/>
          <w:sz w:val="16"/>
        </w:rPr>
      </w:pPr>
    </w:p>
    <w:p>
      <w:pPr>
        <w:spacing w:after="0"/>
        <w:rPr>
          <w:rFonts w:ascii="仿宋"/>
          <w:sz w:val="16"/>
        </w:rPr>
        <w:sectPr>
          <w:type w:val="continuous"/>
          <w:pgSz w:w="11910" w:h="16840"/>
          <w:pgMar w:top="120" w:bottom="280" w:left="1340" w:right="160"/>
        </w:sectPr>
      </w:pPr>
    </w:p>
    <w:p>
      <w:pPr>
        <w:pStyle w:val="Heading1"/>
        <w:spacing w:line="223" w:lineRule="auto"/>
        <w:ind w:firstLine="0"/>
        <w:jc w:val="center"/>
      </w:pPr>
      <w:r>
        <w:rPr>
          <w:w w:val="95"/>
        </w:rPr>
        <w:t>国联人寿保险股份有限公司团体重大疾病保险条款</w:t>
      </w:r>
    </w:p>
    <w:p>
      <w:pPr>
        <w:spacing w:before="108"/>
        <w:ind w:left="2687" w:right="592" w:firstLine="0"/>
        <w:jc w:val="center"/>
        <w:rPr>
          <w:rFonts w:ascii="黑体" w:eastAsia="黑体" w:hint="eastAsia"/>
          <w:b/>
          <w:sz w:val="28"/>
        </w:rPr>
      </w:pPr>
      <w:r>
        <w:rPr>
          <w:rFonts w:ascii="黑体" w:eastAsia="黑体" w:hint="eastAsia"/>
          <w:b/>
          <w:sz w:val="28"/>
        </w:rPr>
        <w:t>阅 读 指 引</w:t>
      </w:r>
    </w:p>
    <w:p>
      <w:pPr>
        <w:spacing w:before="12"/>
        <w:ind w:left="2094" w:right="0" w:firstLine="0"/>
        <w:jc w:val="center"/>
        <w:rPr>
          <w:sz w:val="18"/>
        </w:rPr>
      </w:pPr>
      <w:r>
        <w:rPr>
          <w:spacing w:val="-128"/>
          <w:sz w:val="18"/>
        </w:rPr>
        <w:t>本</w:t>
      </w:r>
      <w:r>
        <w:rPr>
          <w:rFonts w:ascii="宋体" w:eastAsia="宋体" w:hint="eastAsia"/>
          <w:spacing w:val="-53"/>
          <w:position w:val="-6"/>
          <w:sz w:val="18"/>
        </w:rPr>
        <w:t>．</w:t>
      </w:r>
      <w:r>
        <w:rPr>
          <w:spacing w:val="-128"/>
          <w:sz w:val="18"/>
        </w:rPr>
        <w:t>阅</w:t>
      </w:r>
      <w:r>
        <w:rPr>
          <w:rFonts w:ascii="宋体" w:eastAsia="宋体" w:hint="eastAsia"/>
          <w:spacing w:val="-53"/>
          <w:position w:val="-6"/>
          <w:sz w:val="18"/>
        </w:rPr>
        <w:t>．</w:t>
      </w:r>
      <w:r>
        <w:rPr>
          <w:spacing w:val="-127"/>
          <w:sz w:val="18"/>
        </w:rPr>
        <w:t>读</w:t>
      </w:r>
      <w:r>
        <w:rPr>
          <w:rFonts w:ascii="宋体" w:eastAsia="宋体" w:hint="eastAsia"/>
          <w:spacing w:val="-54"/>
          <w:position w:val="-6"/>
          <w:sz w:val="18"/>
        </w:rPr>
        <w:t>．</w:t>
      </w:r>
      <w:r>
        <w:rPr>
          <w:spacing w:val="-127"/>
          <w:sz w:val="18"/>
        </w:rPr>
        <w:t>指</w:t>
      </w:r>
      <w:r>
        <w:rPr>
          <w:rFonts w:ascii="宋体" w:eastAsia="宋体" w:hint="eastAsia"/>
          <w:spacing w:val="-54"/>
          <w:position w:val="-6"/>
          <w:sz w:val="18"/>
        </w:rPr>
        <w:t>．</w:t>
      </w:r>
      <w:r>
        <w:rPr>
          <w:spacing w:val="-127"/>
          <w:sz w:val="18"/>
        </w:rPr>
        <w:t>引</w:t>
      </w:r>
      <w:r>
        <w:rPr>
          <w:rFonts w:ascii="宋体" w:eastAsia="宋体" w:hint="eastAsia"/>
          <w:spacing w:val="-54"/>
          <w:position w:val="-6"/>
          <w:sz w:val="18"/>
        </w:rPr>
        <w:t>．</w:t>
      </w:r>
      <w:r>
        <w:rPr>
          <w:spacing w:val="-127"/>
          <w:sz w:val="18"/>
        </w:rPr>
        <w:t>有</w:t>
      </w:r>
      <w:r>
        <w:rPr>
          <w:rFonts w:ascii="宋体" w:eastAsia="宋体" w:hint="eastAsia"/>
          <w:spacing w:val="-54"/>
          <w:position w:val="-6"/>
          <w:sz w:val="18"/>
        </w:rPr>
        <w:t>．</w:t>
      </w:r>
      <w:r>
        <w:rPr>
          <w:spacing w:val="-127"/>
          <w:sz w:val="18"/>
        </w:rPr>
        <w:t>助</w:t>
      </w:r>
      <w:r>
        <w:rPr>
          <w:rFonts w:ascii="宋体" w:eastAsia="宋体" w:hint="eastAsia"/>
          <w:spacing w:val="-54"/>
          <w:position w:val="-6"/>
          <w:sz w:val="18"/>
        </w:rPr>
        <w:t>．</w:t>
      </w:r>
      <w:r>
        <w:rPr>
          <w:spacing w:val="-127"/>
          <w:sz w:val="18"/>
        </w:rPr>
        <w:t>于</w:t>
      </w:r>
      <w:r>
        <w:rPr>
          <w:rFonts w:ascii="宋体" w:eastAsia="宋体" w:hint="eastAsia"/>
          <w:spacing w:val="-54"/>
          <w:position w:val="-6"/>
          <w:sz w:val="18"/>
        </w:rPr>
        <w:t>．</w:t>
      </w:r>
      <w:r>
        <w:rPr>
          <w:spacing w:val="-127"/>
          <w:sz w:val="18"/>
        </w:rPr>
        <w:t>理</w:t>
      </w:r>
      <w:r>
        <w:rPr>
          <w:rFonts w:ascii="宋体" w:eastAsia="宋体" w:hint="eastAsia"/>
          <w:spacing w:val="-54"/>
          <w:position w:val="-6"/>
          <w:sz w:val="18"/>
        </w:rPr>
        <w:t>．</w:t>
      </w:r>
      <w:r>
        <w:rPr>
          <w:spacing w:val="-127"/>
          <w:sz w:val="18"/>
        </w:rPr>
        <w:t>解</w:t>
      </w:r>
      <w:r>
        <w:rPr>
          <w:rFonts w:ascii="宋体" w:eastAsia="宋体" w:hint="eastAsia"/>
          <w:spacing w:val="-54"/>
          <w:position w:val="-6"/>
          <w:sz w:val="18"/>
        </w:rPr>
        <w:t>．</w:t>
      </w:r>
      <w:r>
        <w:rPr>
          <w:spacing w:val="-127"/>
          <w:sz w:val="18"/>
        </w:rPr>
        <w:t>条</w:t>
      </w:r>
      <w:r>
        <w:rPr>
          <w:rFonts w:ascii="宋体" w:eastAsia="宋体" w:hint="eastAsia"/>
          <w:spacing w:val="-54"/>
          <w:position w:val="-6"/>
          <w:sz w:val="18"/>
        </w:rPr>
        <w:t>．</w:t>
      </w:r>
      <w:r>
        <w:rPr>
          <w:spacing w:val="-127"/>
          <w:sz w:val="18"/>
        </w:rPr>
        <w:t>款</w:t>
      </w:r>
      <w:r>
        <w:rPr>
          <w:rFonts w:ascii="宋体" w:eastAsia="宋体" w:hint="eastAsia"/>
          <w:spacing w:val="-54"/>
          <w:position w:val="-6"/>
          <w:sz w:val="18"/>
        </w:rPr>
        <w:t>．</w:t>
      </w:r>
      <w:r>
        <w:rPr>
          <w:spacing w:val="-127"/>
          <w:sz w:val="18"/>
        </w:rPr>
        <w:t>，</w:t>
      </w:r>
      <w:r>
        <w:rPr>
          <w:rFonts w:ascii="宋体" w:eastAsia="宋体" w:hint="eastAsia"/>
          <w:spacing w:val="-54"/>
          <w:position w:val="-6"/>
          <w:sz w:val="18"/>
        </w:rPr>
        <w:t>．</w:t>
      </w:r>
      <w:r>
        <w:rPr>
          <w:spacing w:val="-127"/>
          <w:sz w:val="18"/>
        </w:rPr>
        <w:t>对</w:t>
      </w:r>
      <w:r>
        <w:rPr>
          <w:rFonts w:ascii="宋体" w:eastAsia="宋体" w:hint="eastAsia"/>
          <w:spacing w:val="-54"/>
          <w:position w:val="-6"/>
          <w:sz w:val="18"/>
        </w:rPr>
        <w:t>．</w:t>
      </w:r>
      <w:r>
        <w:rPr>
          <w:spacing w:val="-127"/>
          <w:sz w:val="18"/>
        </w:rPr>
        <w:t>本</w:t>
      </w:r>
      <w:r>
        <w:rPr>
          <w:rFonts w:ascii="宋体" w:eastAsia="宋体" w:hint="eastAsia"/>
          <w:spacing w:val="-54"/>
          <w:position w:val="-6"/>
          <w:sz w:val="18"/>
        </w:rPr>
        <w:t>．</w:t>
      </w:r>
      <w:r>
        <w:rPr>
          <w:spacing w:val="-127"/>
          <w:sz w:val="18"/>
        </w:rPr>
        <w:t>合</w:t>
      </w:r>
      <w:r>
        <w:rPr>
          <w:rFonts w:ascii="宋体" w:eastAsia="宋体" w:hint="eastAsia"/>
          <w:spacing w:val="-54"/>
          <w:position w:val="-6"/>
          <w:sz w:val="18"/>
        </w:rPr>
        <w:t>．</w:t>
      </w:r>
      <w:r>
        <w:rPr>
          <w:spacing w:val="-127"/>
          <w:sz w:val="18"/>
        </w:rPr>
        <w:t>同</w:t>
      </w:r>
      <w:r>
        <w:rPr>
          <w:rFonts w:ascii="宋体" w:eastAsia="宋体" w:hint="eastAsia"/>
          <w:spacing w:val="-54"/>
          <w:position w:val="-6"/>
          <w:sz w:val="18"/>
        </w:rPr>
        <w:t>．</w:t>
      </w:r>
      <w:r>
        <w:rPr>
          <w:spacing w:val="-127"/>
          <w:sz w:val="18"/>
        </w:rPr>
        <w:t>内</w:t>
      </w:r>
      <w:r>
        <w:rPr>
          <w:rFonts w:ascii="宋体" w:eastAsia="宋体" w:hint="eastAsia"/>
          <w:spacing w:val="-54"/>
          <w:position w:val="-6"/>
          <w:sz w:val="18"/>
        </w:rPr>
        <w:t>．</w:t>
      </w:r>
      <w:r>
        <w:rPr>
          <w:spacing w:val="-127"/>
          <w:sz w:val="18"/>
        </w:rPr>
        <w:t>容</w:t>
      </w:r>
      <w:r>
        <w:rPr>
          <w:rFonts w:ascii="宋体" w:eastAsia="宋体" w:hint="eastAsia"/>
          <w:spacing w:val="-54"/>
          <w:position w:val="-6"/>
          <w:sz w:val="18"/>
        </w:rPr>
        <w:t>．</w:t>
      </w:r>
      <w:r>
        <w:rPr>
          <w:spacing w:val="-127"/>
          <w:sz w:val="18"/>
        </w:rPr>
        <w:t>的</w:t>
      </w:r>
      <w:r>
        <w:rPr>
          <w:rFonts w:ascii="宋体" w:eastAsia="宋体" w:hint="eastAsia"/>
          <w:spacing w:val="-54"/>
          <w:position w:val="-6"/>
          <w:sz w:val="18"/>
        </w:rPr>
        <w:t>．</w:t>
      </w:r>
      <w:r>
        <w:rPr>
          <w:spacing w:val="-127"/>
          <w:sz w:val="18"/>
        </w:rPr>
        <w:t>解</w:t>
      </w:r>
      <w:r>
        <w:rPr>
          <w:rFonts w:ascii="宋体" w:eastAsia="宋体" w:hint="eastAsia"/>
          <w:spacing w:val="-54"/>
          <w:position w:val="-6"/>
          <w:sz w:val="18"/>
        </w:rPr>
        <w:t>．</w:t>
      </w:r>
      <w:r>
        <w:rPr>
          <w:spacing w:val="-127"/>
          <w:sz w:val="18"/>
        </w:rPr>
        <w:t>释</w:t>
      </w:r>
      <w:r>
        <w:rPr>
          <w:rFonts w:ascii="宋体" w:eastAsia="宋体" w:hint="eastAsia"/>
          <w:spacing w:val="-54"/>
          <w:position w:val="-6"/>
          <w:sz w:val="18"/>
        </w:rPr>
        <w:t>．</w:t>
      </w:r>
      <w:r>
        <w:rPr>
          <w:spacing w:val="-127"/>
          <w:sz w:val="18"/>
        </w:rPr>
        <w:t>以</w:t>
      </w:r>
      <w:r>
        <w:rPr>
          <w:rFonts w:ascii="宋体" w:eastAsia="宋体" w:hint="eastAsia"/>
          <w:spacing w:val="-54"/>
          <w:position w:val="-6"/>
          <w:sz w:val="18"/>
        </w:rPr>
        <w:t>．</w:t>
      </w:r>
      <w:r>
        <w:rPr>
          <w:spacing w:val="-127"/>
          <w:sz w:val="18"/>
        </w:rPr>
        <w:t>条</w:t>
      </w:r>
      <w:r>
        <w:rPr>
          <w:rFonts w:ascii="宋体" w:eastAsia="宋体" w:hint="eastAsia"/>
          <w:spacing w:val="-54"/>
          <w:position w:val="-6"/>
          <w:sz w:val="18"/>
        </w:rPr>
        <w:t>．</w:t>
      </w:r>
      <w:r>
        <w:rPr>
          <w:spacing w:val="-127"/>
          <w:sz w:val="18"/>
        </w:rPr>
        <w:t>款</w:t>
      </w:r>
      <w:r>
        <w:rPr>
          <w:rFonts w:ascii="宋体" w:eastAsia="宋体" w:hint="eastAsia"/>
          <w:spacing w:val="-54"/>
          <w:position w:val="-6"/>
          <w:sz w:val="18"/>
        </w:rPr>
        <w:t>．</w:t>
      </w:r>
      <w:r>
        <w:rPr>
          <w:spacing w:val="-127"/>
          <w:sz w:val="18"/>
        </w:rPr>
        <w:t>为</w:t>
      </w:r>
      <w:r>
        <w:rPr>
          <w:rFonts w:ascii="宋体" w:eastAsia="宋体" w:hint="eastAsia"/>
          <w:spacing w:val="-54"/>
          <w:position w:val="-6"/>
          <w:sz w:val="18"/>
        </w:rPr>
        <w:t>．</w:t>
      </w:r>
      <w:r>
        <w:rPr>
          <w:spacing w:val="-127"/>
          <w:sz w:val="18"/>
        </w:rPr>
        <w:t>准</w:t>
      </w:r>
      <w:r>
        <w:rPr>
          <w:rFonts w:ascii="宋体" w:eastAsia="宋体" w:hint="eastAsia"/>
          <w:spacing w:val="-53"/>
          <w:position w:val="-6"/>
          <w:sz w:val="18"/>
        </w:rPr>
        <w:t>．</w:t>
      </w:r>
      <w:r>
        <w:rPr>
          <w:sz w:val="18"/>
        </w:rPr>
        <w:t>。</w:t>
      </w:r>
    </w:p>
    <w:p>
      <w:pPr>
        <w:pStyle w:val="Heading2"/>
        <w:tabs>
          <w:tab w:pos="762" w:val="left" w:leader="none"/>
        </w:tabs>
        <w:spacing w:line="524" w:lineRule="exact" w:before="126"/>
      </w:pPr>
      <w:r>
        <w:rPr/>
        <w:drawing>
          <wp:anchor distT="0" distB="0" distL="0" distR="0" allowOverlap="1" layoutInCell="1" locked="0" behindDoc="1" simplePos="0" relativeHeight="268400783">
            <wp:simplePos x="0" y="0"/>
            <wp:positionH relativeFrom="page">
              <wp:posOffset>1202740</wp:posOffset>
            </wp:positionH>
            <wp:positionV relativeFrom="paragraph">
              <wp:posOffset>222653</wp:posOffset>
            </wp:positionV>
            <wp:extent cx="265175" cy="1798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w w:val="105"/>
          <w:position w:val="-11"/>
          <w:sz w:val="48"/>
        </w:rPr>
        <w:t></w:t>
        <w:tab/>
      </w:r>
      <w:r>
        <w:rPr>
          <w:spacing w:val="-1"/>
        </w:rPr>
        <w:t>投保人拥有的重要权益</w:t>
      </w:r>
    </w:p>
    <w:p>
      <w:pPr>
        <w:pStyle w:val="BodyText"/>
        <w:rPr>
          <w:rFonts w:ascii="黑体"/>
          <w:b/>
          <w:sz w:val="12"/>
        </w:rPr>
      </w:pPr>
      <w:r>
        <w:rPr/>
        <w:br w:type="column"/>
      </w:r>
      <w:r>
        <w:rPr>
          <w:rFonts w:ascii="黑体"/>
          <w:b/>
          <w:sz w:val="12"/>
        </w:rPr>
      </w:r>
    </w:p>
    <w:p>
      <w:pPr>
        <w:pStyle w:val="BodyText"/>
        <w:spacing w:before="3"/>
        <w:rPr>
          <w:rFonts w:ascii="黑体"/>
          <w:b/>
          <w:sz w:val="8"/>
        </w:rPr>
      </w:pPr>
    </w:p>
    <w:p>
      <w:pPr>
        <w:spacing w:before="0"/>
        <w:ind w:left="100" w:right="0" w:firstLine="0"/>
        <w:jc w:val="left"/>
        <w:rPr>
          <w:rFonts w:ascii="仿宋" w:eastAsia="仿宋" w:hint="eastAsia"/>
          <w:sz w:val="12"/>
        </w:rPr>
      </w:pPr>
      <w:r>
        <w:rPr>
          <w:rFonts w:ascii="仿宋" w:eastAsia="仿宋" w:hint="eastAsia"/>
          <w:sz w:val="12"/>
        </w:rPr>
        <w:t>请扫描以查询验证条款</w:t>
      </w:r>
    </w:p>
    <w:p>
      <w:pPr>
        <w:spacing w:after="0"/>
        <w:jc w:val="left"/>
        <w:rPr>
          <w:rFonts w:ascii="仿宋" w:eastAsia="仿宋" w:hint="eastAsia"/>
          <w:sz w:val="12"/>
        </w:rPr>
        <w:sectPr>
          <w:type w:val="continuous"/>
          <w:pgSz w:w="11910" w:h="16840"/>
          <w:pgMar w:top="120" w:bottom="280" w:left="1340" w:right="160"/>
          <w:cols w:num="2" w:equalWidth="0">
            <w:col w:w="7136" w:space="1565"/>
            <w:col w:w="1709"/>
          </w:cols>
        </w:sectPr>
      </w:pPr>
    </w:p>
    <w:p>
      <w:pPr>
        <w:pStyle w:val="ListParagraph"/>
        <w:numPr>
          <w:ilvl w:val="0"/>
          <w:numId w:val="1"/>
        </w:numPr>
        <w:tabs>
          <w:tab w:pos="823" w:val="left" w:leader="none"/>
          <w:tab w:pos="9287" w:val="right" w:leader="dot"/>
        </w:tabs>
        <w:spacing w:line="199" w:lineRule="exact" w:before="0" w:after="0"/>
        <w:ind w:left="822" w:right="0" w:hanging="357"/>
        <w:jc w:val="left"/>
        <w:rPr>
          <w:sz w:val="18"/>
        </w:rPr>
      </w:pPr>
      <w:r>
        <w:rPr>
          <w:sz w:val="18"/>
        </w:rPr>
        <w:t>本合同提供的保障在保险责任条款中列明</w:t>
        <w:tab/>
        <w:t>2.3</w:t>
      </w:r>
    </w:p>
    <w:p>
      <w:pPr>
        <w:pStyle w:val="ListParagraph"/>
        <w:numPr>
          <w:ilvl w:val="0"/>
          <w:numId w:val="1"/>
        </w:numPr>
        <w:tabs>
          <w:tab w:pos="823" w:val="left" w:leader="none"/>
          <w:tab w:pos="9289" w:val="right" w:leader="dot"/>
        </w:tabs>
        <w:spacing w:line="235" w:lineRule="exact" w:before="85" w:after="0"/>
        <w:ind w:left="822" w:right="0" w:hanging="357"/>
        <w:jc w:val="left"/>
        <w:rPr>
          <w:sz w:val="18"/>
        </w:rPr>
      </w:pPr>
      <w:r>
        <w:rPr>
          <w:sz w:val="18"/>
        </w:rPr>
        <w:t>投保人有退保的权利</w:t>
        <w:tab/>
        <w:t>6.1</w:t>
      </w:r>
    </w:p>
    <w:p>
      <w:pPr>
        <w:pStyle w:val="Heading2"/>
        <w:tabs>
          <w:tab w:pos="762" w:val="left" w:leader="none"/>
        </w:tabs>
        <w:spacing w:line="485" w:lineRule="exact"/>
      </w:pPr>
      <w:r>
        <w:rPr/>
        <w:drawing>
          <wp:anchor distT="0" distB="0" distL="0" distR="0" allowOverlap="1" layoutInCell="1" locked="0" behindDoc="1" simplePos="0" relativeHeight="268400807">
            <wp:simplePos x="0" y="0"/>
            <wp:positionH relativeFrom="page">
              <wp:posOffset>1202740</wp:posOffset>
            </wp:positionH>
            <wp:positionV relativeFrom="paragraph">
              <wp:posOffset>133942</wp:posOffset>
            </wp:positionV>
            <wp:extent cx="265175" cy="17983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w w:val="105"/>
          <w:position w:val="-11"/>
          <w:sz w:val="48"/>
        </w:rPr>
        <w:t></w:t>
        <w:tab/>
      </w:r>
      <w:r>
        <w:rPr>
          <w:spacing w:val="-1"/>
        </w:rPr>
        <w:t>投保人应当特别注意的事项</w:t>
      </w:r>
    </w:p>
    <w:p>
      <w:pPr>
        <w:pStyle w:val="ListParagraph"/>
        <w:numPr>
          <w:ilvl w:val="0"/>
          <w:numId w:val="1"/>
        </w:numPr>
        <w:tabs>
          <w:tab w:pos="823" w:val="left" w:leader="none"/>
          <w:tab w:pos="9287" w:val="right" w:leader="dot"/>
        </w:tabs>
        <w:spacing w:line="195" w:lineRule="exact" w:before="0" w:after="0"/>
        <w:ind w:left="822" w:right="0" w:hanging="357"/>
        <w:jc w:val="left"/>
        <w:rPr>
          <w:sz w:val="18"/>
        </w:rPr>
      </w:pPr>
      <w:r>
        <w:rPr>
          <w:sz w:val="18"/>
        </w:rPr>
        <w:t>本合同有责任免除条款，请注意</w:t>
        <w:tab/>
        <w:t>2.4</w:t>
      </w:r>
    </w:p>
    <w:p>
      <w:pPr>
        <w:pStyle w:val="ListParagraph"/>
        <w:numPr>
          <w:ilvl w:val="0"/>
          <w:numId w:val="1"/>
        </w:numPr>
        <w:tabs>
          <w:tab w:pos="823" w:val="left" w:leader="none"/>
          <w:tab w:pos="9287" w:val="right" w:leader="dot"/>
        </w:tabs>
        <w:spacing w:line="240" w:lineRule="auto" w:before="71" w:after="0"/>
        <w:ind w:left="822" w:right="0" w:hanging="357"/>
        <w:jc w:val="left"/>
        <w:rPr>
          <w:sz w:val="18"/>
        </w:rPr>
      </w:pPr>
      <w:r>
        <w:rPr>
          <w:sz w:val="18"/>
        </w:rPr>
        <w:t>保险事故发生后，请投保人及时通知本公司</w:t>
        <w:tab/>
        <w:t>3.2</w:t>
      </w:r>
    </w:p>
    <w:p>
      <w:pPr>
        <w:pStyle w:val="ListParagraph"/>
        <w:numPr>
          <w:ilvl w:val="0"/>
          <w:numId w:val="1"/>
        </w:numPr>
        <w:tabs>
          <w:tab w:pos="823" w:val="left" w:leader="none"/>
          <w:tab w:pos="9289" w:val="right" w:leader="dot"/>
        </w:tabs>
        <w:spacing w:line="240" w:lineRule="auto" w:before="70" w:after="0"/>
        <w:ind w:left="822" w:right="0" w:hanging="357"/>
        <w:jc w:val="left"/>
        <w:rPr>
          <w:sz w:val="18"/>
        </w:rPr>
      </w:pPr>
      <w:r>
        <w:rPr>
          <w:sz w:val="18"/>
        </w:rPr>
        <w:t>退保会给投保人造成一定的损失，请慎重决策</w:t>
        <w:tab/>
        <w:t>6.1</w:t>
      </w:r>
    </w:p>
    <w:p>
      <w:pPr>
        <w:pStyle w:val="ListParagraph"/>
        <w:numPr>
          <w:ilvl w:val="0"/>
          <w:numId w:val="1"/>
        </w:numPr>
        <w:tabs>
          <w:tab w:pos="823" w:val="left" w:leader="none"/>
          <w:tab w:pos="9289" w:val="right" w:leader="dot"/>
        </w:tabs>
        <w:spacing w:line="240" w:lineRule="auto" w:before="72" w:after="0"/>
        <w:ind w:left="822" w:right="0" w:hanging="357"/>
        <w:jc w:val="left"/>
        <w:rPr>
          <w:sz w:val="18"/>
        </w:rPr>
      </w:pPr>
      <w:r>
        <w:rPr>
          <w:sz w:val="18"/>
        </w:rPr>
        <w:t>投保人有如实告知的义务</w:t>
        <w:tab/>
        <w:t>7.1</w:t>
      </w:r>
    </w:p>
    <w:p>
      <w:pPr>
        <w:pStyle w:val="ListParagraph"/>
        <w:numPr>
          <w:ilvl w:val="0"/>
          <w:numId w:val="1"/>
        </w:numPr>
        <w:tabs>
          <w:tab w:pos="823" w:val="left" w:leader="none"/>
          <w:tab w:pos="9287" w:val="right" w:leader="dot"/>
        </w:tabs>
        <w:spacing w:line="231" w:lineRule="exact" w:before="70" w:after="0"/>
        <w:ind w:left="822" w:right="0" w:hanging="357"/>
        <w:jc w:val="left"/>
        <w:rPr>
          <w:sz w:val="18"/>
        </w:rPr>
      </w:pPr>
      <w:r>
        <w:rPr>
          <w:sz w:val="18"/>
        </w:rPr>
        <w:t>本公司对一些重要术语进行了解释，并作了显著标识，请注意</w:t>
        <w:tab/>
        <w:t>9</w:t>
      </w:r>
    </w:p>
    <w:p>
      <w:pPr>
        <w:pStyle w:val="Heading2"/>
        <w:tabs>
          <w:tab w:pos="762" w:val="left" w:leader="none"/>
        </w:tabs>
        <w:spacing w:line="429" w:lineRule="exact"/>
      </w:pPr>
      <w:r>
        <w:rPr/>
        <w:drawing>
          <wp:anchor distT="0" distB="0" distL="0" distR="0" allowOverlap="1" layoutInCell="1" locked="0" behindDoc="1" simplePos="0" relativeHeight="268400831">
            <wp:simplePos x="0" y="0"/>
            <wp:positionH relativeFrom="page">
              <wp:posOffset>1201216</wp:posOffset>
            </wp:positionH>
            <wp:positionV relativeFrom="paragraph">
              <wp:posOffset>159088</wp:posOffset>
            </wp:positionV>
            <wp:extent cx="268224" cy="134111"/>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268224" cy="134111"/>
                    </a:xfrm>
                    <a:prstGeom prst="rect">
                      <a:avLst/>
                    </a:prstGeom>
                  </pic:spPr>
                </pic:pic>
              </a:graphicData>
            </a:graphic>
          </wp:anchor>
        </w:drawing>
      </w:r>
      <w:r>
        <w:rPr>
          <w:rFonts w:ascii="Arial" w:hAnsi="Arial" w:eastAsia="Arial"/>
          <w:w w:val="105"/>
          <w:position w:val="-11"/>
          <w:sz w:val="48"/>
        </w:rPr>
        <w:t></w:t>
        <w:tab/>
      </w:r>
      <w:r>
        <w:rPr>
          <w:spacing w:val="-3"/>
        </w:rPr>
        <w:t>保险条款是保险合同的重要内容，为充分保障投保人的权益，请仔细阅读本保险条款。</w:t>
      </w:r>
    </w:p>
    <w:p>
      <w:pPr>
        <w:tabs>
          <w:tab w:pos="762" w:val="left" w:leader="none"/>
        </w:tabs>
        <w:spacing w:line="446" w:lineRule="exact" w:before="0"/>
        <w:ind w:left="100" w:right="0" w:firstLine="0"/>
        <w:jc w:val="left"/>
        <w:rPr>
          <w:rFonts w:ascii="黑体" w:hAnsi="黑体" w:eastAsia="黑体" w:hint="eastAsia"/>
          <w:b/>
          <w:sz w:val="21"/>
        </w:rPr>
      </w:pPr>
      <w:r>
        <w:rPr/>
        <w:drawing>
          <wp:anchor distT="0" distB="0" distL="0" distR="0" allowOverlap="1" layoutInCell="1" locked="0" behindDoc="1" simplePos="0" relativeHeight="268400855">
            <wp:simplePos x="0" y="0"/>
            <wp:positionH relativeFrom="page">
              <wp:posOffset>1202740</wp:posOffset>
            </wp:positionH>
            <wp:positionV relativeFrom="paragraph">
              <wp:posOffset>75601</wp:posOffset>
            </wp:positionV>
            <wp:extent cx="265175" cy="179832"/>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265175" cy="17983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4.543999pt;margin-top:14.712881pt;width:440.75pt;height:230.6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283"/>
                    <w:gridCol w:w="2976"/>
                    <w:gridCol w:w="3428"/>
                  </w:tblGrid>
                  <w:tr>
                    <w:trPr>
                      <w:trHeight w:val="312" w:hRule="atLeast"/>
                    </w:trPr>
                    <w:tc>
                      <w:tcPr>
                        <w:tcW w:w="2126" w:type="dxa"/>
                        <w:shd w:val="clear" w:color="auto" w:fill="A6A6A6"/>
                      </w:tcPr>
                      <w:p>
                        <w:pPr>
                          <w:pStyle w:val="TableParagraph"/>
                          <w:spacing w:before="8"/>
                          <w:ind w:left="108"/>
                          <w:rPr>
                            <w:rFonts w:ascii="黑体" w:eastAsia="黑体" w:hint="eastAsia"/>
                            <w:sz w:val="18"/>
                          </w:rPr>
                        </w:pPr>
                        <w:r>
                          <w:rPr>
                            <w:rFonts w:ascii="黑体" w:eastAsia="黑体" w:hint="eastAsia"/>
                            <w:sz w:val="18"/>
                          </w:rPr>
                          <w:t>1．双方订立的合同</w:t>
                        </w:r>
                      </w:p>
                    </w:tc>
                    <w:tc>
                      <w:tcPr>
                        <w:tcW w:w="283" w:type="dxa"/>
                      </w:tcPr>
                      <w:p>
                        <w:pPr>
                          <w:pStyle w:val="TableParagraph"/>
                          <w:ind w:left="0"/>
                          <w:rPr>
                            <w:rFonts w:ascii="Times New Roman"/>
                            <w:sz w:val="18"/>
                          </w:rPr>
                        </w:pPr>
                      </w:p>
                    </w:tc>
                    <w:tc>
                      <w:tcPr>
                        <w:tcW w:w="2976" w:type="dxa"/>
                        <w:shd w:val="clear" w:color="auto" w:fill="A6A6A6"/>
                      </w:tcPr>
                      <w:p>
                        <w:pPr>
                          <w:pStyle w:val="TableParagraph"/>
                          <w:spacing w:before="8"/>
                          <w:ind w:left="109"/>
                          <w:rPr>
                            <w:rFonts w:ascii="黑体" w:eastAsia="黑体" w:hint="eastAsia"/>
                            <w:sz w:val="18"/>
                          </w:rPr>
                        </w:pPr>
                        <w:r>
                          <w:rPr>
                            <w:rFonts w:ascii="黑体" w:eastAsia="黑体" w:hint="eastAsia"/>
                            <w:sz w:val="18"/>
                          </w:rPr>
                          <w:t>4．保险费的支付</w:t>
                        </w:r>
                      </w:p>
                    </w:tc>
                    <w:tc>
                      <w:tcPr>
                        <w:tcW w:w="3428" w:type="dxa"/>
                      </w:tcPr>
                      <w:p>
                        <w:pPr>
                          <w:pStyle w:val="TableParagraph"/>
                          <w:spacing w:before="8"/>
                          <w:ind w:left="395"/>
                          <w:rPr>
                            <w:rFonts w:ascii="黑体" w:eastAsia="黑体" w:hint="eastAsia"/>
                            <w:sz w:val="18"/>
                          </w:rPr>
                        </w:pPr>
                        <w:r>
                          <w:rPr>
                            <w:rFonts w:ascii="黑体" w:eastAsia="黑体" w:hint="eastAsia"/>
                            <w:sz w:val="18"/>
                          </w:rPr>
                          <w:t>8.2 重大疾病的范围及定义</w:t>
                        </w:r>
                      </w:p>
                    </w:tc>
                  </w:tr>
                  <w:tr>
                    <w:trPr>
                      <w:trHeight w:val="309" w:hRule="atLeast"/>
                    </w:trPr>
                    <w:tc>
                      <w:tcPr>
                        <w:tcW w:w="2126" w:type="dxa"/>
                      </w:tcPr>
                      <w:p>
                        <w:pPr>
                          <w:pStyle w:val="TableParagraph"/>
                          <w:spacing w:before="8"/>
                          <w:ind w:left="108"/>
                          <w:rPr>
                            <w:rFonts w:ascii="黑体" w:eastAsia="黑体" w:hint="eastAsia"/>
                            <w:sz w:val="18"/>
                          </w:rPr>
                        </w:pPr>
                        <w:r>
                          <w:rPr>
                            <w:rFonts w:ascii="黑体" w:eastAsia="黑体" w:hint="eastAsia"/>
                            <w:sz w:val="18"/>
                          </w:rPr>
                          <w:t>1.1 合同构成</w:t>
                        </w:r>
                      </w:p>
                    </w:tc>
                    <w:tc>
                      <w:tcPr>
                        <w:tcW w:w="283" w:type="dxa"/>
                      </w:tcPr>
                      <w:p>
                        <w:pPr>
                          <w:pStyle w:val="TableParagraph"/>
                          <w:ind w:left="0"/>
                          <w:rPr>
                            <w:rFonts w:ascii="Times New Roman"/>
                            <w:sz w:val="18"/>
                          </w:rPr>
                        </w:pPr>
                      </w:p>
                    </w:tc>
                    <w:tc>
                      <w:tcPr>
                        <w:tcW w:w="2976" w:type="dxa"/>
                      </w:tcPr>
                      <w:p>
                        <w:pPr>
                          <w:pStyle w:val="TableParagraph"/>
                          <w:spacing w:before="8"/>
                          <w:ind w:left="109"/>
                          <w:rPr>
                            <w:rFonts w:ascii="黑体" w:eastAsia="黑体" w:hint="eastAsia"/>
                            <w:sz w:val="18"/>
                          </w:rPr>
                        </w:pPr>
                        <w:r>
                          <w:rPr>
                            <w:rFonts w:ascii="黑体" w:eastAsia="黑体" w:hint="eastAsia"/>
                            <w:sz w:val="18"/>
                          </w:rPr>
                          <w:t>4.1 保险费的支付</w:t>
                        </w:r>
                      </w:p>
                    </w:tc>
                    <w:tc>
                      <w:tcPr>
                        <w:tcW w:w="3428" w:type="dxa"/>
                      </w:tcPr>
                      <w:p>
                        <w:pPr>
                          <w:pStyle w:val="TableParagraph"/>
                          <w:tabs>
                            <w:tab w:pos="3541" w:val="left" w:leader="none"/>
                          </w:tabs>
                          <w:spacing w:before="8"/>
                          <w:ind w:left="287" w:right="-116"/>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9．释义</w:t>
                          <w:tab/>
                        </w:r>
                      </w:p>
                    </w:tc>
                  </w:tr>
                  <w:tr>
                    <w:trPr>
                      <w:trHeight w:val="311"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1.2 合同成立与Th效</w:t>
                        </w:r>
                      </w:p>
                    </w:tc>
                    <w:tc>
                      <w:tcPr>
                        <w:tcW w:w="283" w:type="dxa"/>
                      </w:tcPr>
                      <w:p>
                        <w:pPr>
                          <w:pStyle w:val="TableParagraph"/>
                          <w:ind w:left="0"/>
                          <w:rPr>
                            <w:rFonts w:ascii="Times New Roman"/>
                            <w:sz w:val="18"/>
                          </w:rPr>
                        </w:pPr>
                      </w:p>
                    </w:tc>
                    <w:tc>
                      <w:tcPr>
                        <w:tcW w:w="2976" w:type="dxa"/>
                      </w:tcPr>
                      <w:p>
                        <w:pPr>
                          <w:pStyle w:val="TableParagraph"/>
                          <w:tabs>
                            <w:tab w:pos="2977" w:val="left" w:leader="none"/>
                          </w:tabs>
                          <w:spacing w:before="10"/>
                          <w:ind w:left="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 被保险人变动</w:t>
                          <w:tab/>
                        </w:r>
                      </w:p>
                    </w:tc>
                    <w:tc>
                      <w:tcPr>
                        <w:tcW w:w="3428" w:type="dxa"/>
                      </w:tcPr>
                      <w:p>
                        <w:pPr>
                          <w:pStyle w:val="TableParagraph"/>
                          <w:spacing w:before="10"/>
                          <w:ind w:left="395"/>
                          <w:rPr>
                            <w:rFonts w:ascii="黑体" w:eastAsia="黑体" w:hint="eastAsia"/>
                            <w:sz w:val="18"/>
                          </w:rPr>
                        </w:pPr>
                        <w:r>
                          <w:rPr>
                            <w:rFonts w:ascii="黑体" w:eastAsia="黑体" w:hint="eastAsia"/>
                            <w:sz w:val="18"/>
                          </w:rPr>
                          <w:t>9.1 意外伤害</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1.3 投保范围</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5.1 被保险人变动</w:t>
                        </w:r>
                      </w:p>
                    </w:tc>
                    <w:tc>
                      <w:tcPr>
                        <w:tcW w:w="3428" w:type="dxa"/>
                      </w:tcPr>
                      <w:p>
                        <w:pPr>
                          <w:pStyle w:val="TableParagraph"/>
                          <w:spacing w:before="10"/>
                          <w:ind w:left="395"/>
                          <w:rPr>
                            <w:rFonts w:ascii="黑体" w:eastAsia="黑体" w:hint="eastAsia"/>
                            <w:sz w:val="18"/>
                          </w:rPr>
                        </w:pPr>
                        <w:r>
                          <w:rPr>
                            <w:rFonts w:ascii="黑体" w:eastAsia="黑体" w:hint="eastAsia"/>
                            <w:sz w:val="18"/>
                          </w:rPr>
                          <w:t>9.2 毒品</w:t>
                        </w:r>
                      </w:p>
                    </w:tc>
                  </w:tr>
                  <w:tr>
                    <w:trPr>
                      <w:trHeight w:val="312" w:hRule="atLeast"/>
                    </w:trPr>
                    <w:tc>
                      <w:tcPr>
                        <w:tcW w:w="2126" w:type="dxa"/>
                      </w:tcPr>
                      <w:p>
                        <w:pPr>
                          <w:pStyle w:val="TableParagraph"/>
                          <w:tabs>
                            <w:tab w:pos="2126" w:val="left" w:leader="none"/>
                          </w:tabs>
                          <w:spacing w:before="10"/>
                          <w:ind w:left="0"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2．本公司提供的保障</w:t>
                          <w:tab/>
                        </w:r>
                      </w:p>
                    </w:tc>
                    <w:tc>
                      <w:tcPr>
                        <w:tcW w:w="283" w:type="dxa"/>
                      </w:tcPr>
                      <w:p>
                        <w:pPr>
                          <w:pStyle w:val="TableParagraph"/>
                          <w:ind w:left="0"/>
                          <w:rPr>
                            <w:rFonts w:ascii="Times New Roman"/>
                            <w:sz w:val="18"/>
                          </w:rPr>
                        </w:pPr>
                      </w:p>
                    </w:tc>
                    <w:tc>
                      <w:tcPr>
                        <w:tcW w:w="2976" w:type="dxa"/>
                      </w:tcPr>
                      <w:p>
                        <w:pPr>
                          <w:pStyle w:val="TableParagraph"/>
                          <w:tabs>
                            <w:tab w:pos="2977" w:val="left" w:leader="none"/>
                          </w:tabs>
                          <w:spacing w:before="10"/>
                          <w:ind w:left="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6．合同解除</w:t>
                          <w:tab/>
                        </w:r>
                      </w:p>
                    </w:tc>
                    <w:tc>
                      <w:tcPr>
                        <w:tcW w:w="3428" w:type="dxa"/>
                      </w:tcPr>
                      <w:p>
                        <w:pPr>
                          <w:pStyle w:val="TableParagraph"/>
                          <w:spacing w:before="10"/>
                          <w:ind w:left="395"/>
                          <w:rPr>
                            <w:rFonts w:ascii="黑体" w:eastAsia="黑体" w:hint="eastAsia"/>
                            <w:sz w:val="18"/>
                          </w:rPr>
                        </w:pPr>
                        <w:r>
                          <w:rPr>
                            <w:rFonts w:ascii="黑体" w:eastAsia="黑体" w:hint="eastAsia"/>
                            <w:sz w:val="18"/>
                          </w:rPr>
                          <w:t>9.3 酒后驾驶</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2.1 保险金额</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6.1 投保人解除合同的手续及风险</w:t>
                        </w:r>
                      </w:p>
                    </w:tc>
                    <w:tc>
                      <w:tcPr>
                        <w:tcW w:w="3428" w:type="dxa"/>
                      </w:tcPr>
                      <w:p>
                        <w:pPr>
                          <w:pStyle w:val="TableParagraph"/>
                          <w:spacing w:before="10"/>
                          <w:ind w:left="395"/>
                          <w:rPr>
                            <w:rFonts w:ascii="黑体" w:eastAsia="黑体" w:hint="eastAsia"/>
                            <w:sz w:val="18"/>
                          </w:rPr>
                        </w:pPr>
                        <w:r>
                          <w:rPr>
                            <w:rFonts w:ascii="黑体" w:eastAsia="黑体" w:hint="eastAsia"/>
                            <w:sz w:val="18"/>
                          </w:rPr>
                          <w:t>9.4 无合法有效驾驶证驾驶</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2.2 保险期间</w:t>
                        </w:r>
                      </w:p>
                    </w:tc>
                    <w:tc>
                      <w:tcPr>
                        <w:tcW w:w="283" w:type="dxa"/>
                      </w:tcPr>
                      <w:p>
                        <w:pPr>
                          <w:pStyle w:val="TableParagraph"/>
                          <w:ind w:left="0"/>
                          <w:rPr>
                            <w:rFonts w:ascii="Times New Roman"/>
                            <w:sz w:val="18"/>
                          </w:rPr>
                        </w:pPr>
                      </w:p>
                    </w:tc>
                    <w:tc>
                      <w:tcPr>
                        <w:tcW w:w="2976" w:type="dxa"/>
                      </w:tcPr>
                      <w:p>
                        <w:pPr>
                          <w:pStyle w:val="TableParagraph"/>
                          <w:tabs>
                            <w:tab w:pos="2977" w:val="left" w:leader="none"/>
                          </w:tabs>
                          <w:spacing w:before="10"/>
                          <w:ind w:left="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7．其他需要关注的事项</w:t>
                          <w:tab/>
                        </w:r>
                      </w:p>
                    </w:tc>
                    <w:tc>
                      <w:tcPr>
                        <w:tcW w:w="3428" w:type="dxa"/>
                      </w:tcPr>
                      <w:p>
                        <w:pPr>
                          <w:pStyle w:val="TableParagraph"/>
                          <w:spacing w:before="10"/>
                          <w:ind w:left="395"/>
                          <w:rPr>
                            <w:rFonts w:ascii="黑体" w:eastAsia="黑体" w:hint="eastAsia"/>
                            <w:sz w:val="18"/>
                          </w:rPr>
                        </w:pPr>
                        <w:r>
                          <w:rPr>
                            <w:rFonts w:ascii="黑体" w:eastAsia="黑体" w:hint="eastAsia"/>
                            <w:sz w:val="18"/>
                          </w:rPr>
                          <w:t>9.5 无有效行驶证</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2.3 保险责任</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7.1 明确说明与如实告知</w:t>
                        </w:r>
                      </w:p>
                    </w:tc>
                    <w:tc>
                      <w:tcPr>
                        <w:tcW w:w="3428" w:type="dxa"/>
                      </w:tcPr>
                      <w:p>
                        <w:pPr>
                          <w:pStyle w:val="TableParagraph"/>
                          <w:spacing w:before="10"/>
                          <w:ind w:left="395"/>
                          <w:rPr>
                            <w:rFonts w:ascii="黑体" w:eastAsia="黑体" w:hint="eastAsia"/>
                            <w:sz w:val="18"/>
                          </w:rPr>
                        </w:pPr>
                        <w:r>
                          <w:rPr>
                            <w:rFonts w:ascii="黑体" w:eastAsia="黑体" w:hint="eastAsia"/>
                            <w:sz w:val="18"/>
                          </w:rPr>
                          <w:t>9.6 机动车</w:t>
                        </w:r>
                      </w:p>
                    </w:tc>
                  </w:tr>
                  <w:tr>
                    <w:trPr>
                      <w:trHeight w:val="311"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2.4 责任免除</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7.2 本公司合同解除权的限制</w:t>
                        </w:r>
                      </w:p>
                    </w:tc>
                    <w:tc>
                      <w:tcPr>
                        <w:tcW w:w="3428" w:type="dxa"/>
                      </w:tcPr>
                      <w:p>
                        <w:pPr>
                          <w:pStyle w:val="TableParagraph"/>
                          <w:spacing w:before="10"/>
                          <w:ind w:left="395"/>
                          <w:rPr>
                            <w:rFonts w:ascii="黑体" w:eastAsia="黑体" w:hint="eastAsia"/>
                            <w:sz w:val="18"/>
                          </w:rPr>
                        </w:pPr>
                        <w:r>
                          <w:rPr>
                            <w:rFonts w:ascii="黑体" w:eastAsia="黑体" w:hint="eastAsia"/>
                            <w:sz w:val="18"/>
                          </w:rPr>
                          <w:t>9.7 遗传性疾病</w:t>
                        </w:r>
                      </w:p>
                    </w:tc>
                  </w:tr>
                  <w:tr>
                    <w:trPr>
                      <w:trHeight w:val="311" w:hRule="atLeast"/>
                    </w:trPr>
                    <w:tc>
                      <w:tcPr>
                        <w:tcW w:w="2126" w:type="dxa"/>
                      </w:tcPr>
                      <w:p>
                        <w:pPr>
                          <w:pStyle w:val="TableParagraph"/>
                          <w:tabs>
                            <w:tab w:pos="2126" w:val="left" w:leader="none"/>
                          </w:tabs>
                          <w:spacing w:before="10"/>
                          <w:ind w:left="0"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3．保险金的申请</w:t>
                          <w:tab/>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7.3 年龄和性别确定与错误处理</w:t>
                        </w:r>
                      </w:p>
                    </w:tc>
                    <w:tc>
                      <w:tcPr>
                        <w:tcW w:w="3428" w:type="dxa"/>
                      </w:tcPr>
                      <w:p>
                        <w:pPr>
                          <w:pStyle w:val="TableParagraph"/>
                          <w:spacing w:before="10"/>
                          <w:ind w:left="395"/>
                          <w:rPr>
                            <w:rFonts w:ascii="黑体" w:eastAsia="黑体" w:hint="eastAsia"/>
                            <w:sz w:val="18"/>
                          </w:rPr>
                        </w:pPr>
                        <w:r>
                          <w:rPr>
                            <w:rFonts w:ascii="黑体" w:eastAsia="黑体" w:hint="eastAsia"/>
                            <w:sz w:val="18"/>
                          </w:rPr>
                          <w:t>9.8 先天性畸形、变形或染色体异常</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3.1 受益人</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7.4 合同内容变更</w:t>
                        </w:r>
                      </w:p>
                    </w:tc>
                    <w:tc>
                      <w:tcPr>
                        <w:tcW w:w="3428" w:type="dxa"/>
                      </w:tcPr>
                      <w:p>
                        <w:pPr>
                          <w:pStyle w:val="TableParagraph"/>
                          <w:spacing w:before="10"/>
                          <w:ind w:left="395"/>
                          <w:rPr>
                            <w:rFonts w:ascii="黑体" w:eastAsia="黑体" w:hint="eastAsia"/>
                            <w:sz w:val="18"/>
                          </w:rPr>
                        </w:pPr>
                        <w:r>
                          <w:rPr>
                            <w:rFonts w:ascii="黑体" w:eastAsia="黑体" w:hint="eastAsia"/>
                            <w:sz w:val="18"/>
                          </w:rPr>
                          <w:t>9.9 感染艾滋病病毒或患艾滋病</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3.2 保险事故通知</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7.5 联系方式变更</w:t>
                        </w:r>
                      </w:p>
                    </w:tc>
                    <w:tc>
                      <w:tcPr>
                        <w:tcW w:w="3428" w:type="dxa"/>
                      </w:tcPr>
                      <w:p>
                        <w:pPr>
                          <w:pStyle w:val="TableParagraph"/>
                          <w:spacing w:before="10"/>
                          <w:ind w:left="395"/>
                          <w:rPr>
                            <w:rFonts w:ascii="黑体" w:eastAsia="黑体" w:hint="eastAsia"/>
                            <w:sz w:val="18"/>
                          </w:rPr>
                        </w:pPr>
                        <w:r>
                          <w:rPr>
                            <w:rFonts w:ascii="黑体" w:eastAsia="黑体" w:hint="eastAsia"/>
                            <w:sz w:val="18"/>
                          </w:rPr>
                          <w:t>9.10 有效身份证件</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3.3 保险金申请</w:t>
                        </w:r>
                      </w:p>
                    </w:tc>
                    <w:tc>
                      <w:tcPr>
                        <w:tcW w:w="283" w:type="dxa"/>
                      </w:tcPr>
                      <w:p>
                        <w:pPr>
                          <w:pStyle w:val="TableParagraph"/>
                          <w:ind w:left="0"/>
                          <w:rPr>
                            <w:rFonts w:ascii="Times New Roman"/>
                            <w:sz w:val="18"/>
                          </w:rPr>
                        </w:pPr>
                      </w:p>
                    </w:tc>
                    <w:tc>
                      <w:tcPr>
                        <w:tcW w:w="2976" w:type="dxa"/>
                      </w:tcPr>
                      <w:p>
                        <w:pPr>
                          <w:pStyle w:val="TableParagraph"/>
                          <w:spacing w:before="10"/>
                          <w:ind w:left="109"/>
                          <w:rPr>
                            <w:rFonts w:ascii="黑体" w:eastAsia="黑体" w:hint="eastAsia"/>
                            <w:sz w:val="18"/>
                          </w:rPr>
                        </w:pPr>
                        <w:r>
                          <w:rPr>
                            <w:rFonts w:ascii="黑体" w:eastAsia="黑体" w:hint="eastAsia"/>
                            <w:sz w:val="18"/>
                          </w:rPr>
                          <w:t>7.6 争议处理</w:t>
                        </w:r>
                      </w:p>
                    </w:tc>
                    <w:tc>
                      <w:tcPr>
                        <w:tcW w:w="3428" w:type="dxa"/>
                      </w:tcPr>
                      <w:p>
                        <w:pPr>
                          <w:pStyle w:val="TableParagraph"/>
                          <w:spacing w:before="10"/>
                          <w:ind w:left="395"/>
                          <w:rPr>
                            <w:rFonts w:ascii="黑体" w:eastAsia="黑体" w:hint="eastAsia"/>
                            <w:sz w:val="18"/>
                          </w:rPr>
                        </w:pPr>
                        <w:r>
                          <w:rPr>
                            <w:rFonts w:ascii="黑体" w:eastAsia="黑体" w:hint="eastAsia"/>
                            <w:sz w:val="18"/>
                          </w:rPr>
                          <w:t>9.11 现金价值</w:t>
                        </w:r>
                      </w:p>
                    </w:tc>
                  </w:tr>
                  <w:tr>
                    <w:trPr>
                      <w:trHeight w:val="311"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3.4 保险金给付</w:t>
                        </w:r>
                      </w:p>
                    </w:tc>
                    <w:tc>
                      <w:tcPr>
                        <w:tcW w:w="283" w:type="dxa"/>
                      </w:tcPr>
                      <w:p>
                        <w:pPr>
                          <w:pStyle w:val="TableParagraph"/>
                          <w:ind w:left="0"/>
                          <w:rPr>
                            <w:rFonts w:ascii="Times New Roman"/>
                            <w:sz w:val="18"/>
                          </w:rPr>
                        </w:pPr>
                      </w:p>
                    </w:tc>
                    <w:tc>
                      <w:tcPr>
                        <w:tcW w:w="2976" w:type="dxa"/>
                      </w:tcPr>
                      <w:p>
                        <w:pPr>
                          <w:pStyle w:val="TableParagraph"/>
                          <w:tabs>
                            <w:tab w:pos="2977" w:val="left" w:leader="none"/>
                          </w:tabs>
                          <w:spacing w:before="10"/>
                          <w:ind w:left="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pacing w:val="-1"/>
                            <w:sz w:val="18"/>
                            <w:shd w:fill="A6A6A6" w:color="auto" w:val="clear"/>
                          </w:rPr>
                          <w:t>8.</w:t>
                        </w:r>
                        <w:r>
                          <w:rPr>
                            <w:rFonts w:ascii="黑体" w:eastAsia="黑体" w:hint="eastAsia"/>
                            <w:sz w:val="18"/>
                            <w:shd w:fill="A6A6A6" w:color="auto" w:val="clear"/>
                          </w:rPr>
                          <w:t>保障方案及重大疾病</w:t>
                          <w:tab/>
                        </w:r>
                      </w:p>
                    </w:tc>
                    <w:tc>
                      <w:tcPr>
                        <w:tcW w:w="3428" w:type="dxa"/>
                      </w:tcPr>
                      <w:p>
                        <w:pPr>
                          <w:pStyle w:val="TableParagraph"/>
                          <w:ind w:left="0"/>
                          <w:rPr>
                            <w:rFonts w:ascii="Times New Roman"/>
                            <w:sz w:val="18"/>
                          </w:rPr>
                        </w:pPr>
                      </w:p>
                    </w:tc>
                  </w:tr>
                  <w:tr>
                    <w:trPr>
                      <w:trHeight w:val="246" w:hRule="atLeast"/>
                    </w:trPr>
                    <w:tc>
                      <w:tcPr>
                        <w:tcW w:w="2126" w:type="dxa"/>
                      </w:tcPr>
                      <w:p>
                        <w:pPr>
                          <w:pStyle w:val="TableParagraph"/>
                          <w:spacing w:line="216" w:lineRule="exact" w:before="10"/>
                          <w:ind w:left="108"/>
                          <w:rPr>
                            <w:rFonts w:ascii="黑体" w:eastAsia="黑体" w:hint="eastAsia"/>
                            <w:sz w:val="18"/>
                          </w:rPr>
                        </w:pPr>
                        <w:r>
                          <w:rPr>
                            <w:rFonts w:ascii="黑体" w:eastAsia="黑体" w:hint="eastAsia"/>
                            <w:sz w:val="18"/>
                          </w:rPr>
                          <w:t>3.5 诉讼时效</w:t>
                        </w:r>
                      </w:p>
                    </w:tc>
                    <w:tc>
                      <w:tcPr>
                        <w:tcW w:w="283" w:type="dxa"/>
                      </w:tcPr>
                      <w:p>
                        <w:pPr>
                          <w:pStyle w:val="TableParagraph"/>
                          <w:ind w:left="0"/>
                          <w:rPr>
                            <w:rFonts w:ascii="Times New Roman"/>
                            <w:sz w:val="16"/>
                          </w:rPr>
                        </w:pPr>
                      </w:p>
                    </w:tc>
                    <w:tc>
                      <w:tcPr>
                        <w:tcW w:w="2976" w:type="dxa"/>
                      </w:tcPr>
                      <w:p>
                        <w:pPr>
                          <w:pStyle w:val="TableParagraph"/>
                          <w:spacing w:line="216" w:lineRule="exact" w:before="10"/>
                          <w:ind w:left="109"/>
                          <w:rPr>
                            <w:rFonts w:ascii="黑体" w:eastAsia="黑体" w:hint="eastAsia"/>
                            <w:sz w:val="18"/>
                          </w:rPr>
                        </w:pPr>
                        <w:r>
                          <w:rPr>
                            <w:rFonts w:ascii="黑体" w:eastAsia="黑体" w:hint="eastAsia"/>
                            <w:sz w:val="18"/>
                          </w:rPr>
                          <w:t>8.1 保障方案</w:t>
                        </w:r>
                      </w:p>
                    </w:tc>
                    <w:tc>
                      <w:tcPr>
                        <w:tcW w:w="3428" w:type="dxa"/>
                      </w:tcPr>
                      <w:p>
                        <w:pPr>
                          <w:pStyle w:val="TableParagraph"/>
                          <w:ind w:left="0"/>
                          <w:rPr>
                            <w:rFonts w:ascii="Times New Roman"/>
                            <w:sz w:val="16"/>
                          </w:rPr>
                        </w:pP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20" w:bottom="280" w:left="1340" w:right="160"/>
        </w:sectPr>
      </w:pPr>
    </w:p>
    <w:p>
      <w:pPr>
        <w:pStyle w:val="Heading1"/>
        <w:spacing w:line="206" w:lineRule="auto" w:before="33"/>
        <w:ind w:left="3485" w:right="3165"/>
      </w:pPr>
      <w:r>
        <w:rPr/>
        <w:t>国联人寿保险股份有限公司</w:t>
      </w:r>
      <w:r>
        <w:rPr>
          <w:w w:val="95"/>
        </w:rPr>
        <w:t>团体重大疾病保险条款</w:t>
      </w:r>
    </w:p>
    <w:p>
      <w:pPr>
        <w:pStyle w:val="BodyText"/>
        <w:spacing w:before="3"/>
        <w:rPr>
          <w:rFonts w:ascii="黑体"/>
          <w:b/>
          <w:sz w:val="39"/>
        </w:rPr>
      </w:pPr>
    </w:p>
    <w:p>
      <w:pPr>
        <w:pStyle w:val="BodyText"/>
        <w:spacing w:line="278" w:lineRule="auto"/>
        <w:ind w:left="272" w:right="367" w:firstLine="526"/>
      </w:pPr>
      <w:r>
        <w:rPr>
          <w:spacing w:val="-17"/>
          <w:w w:val="100"/>
        </w:rPr>
        <w:t>在本保险条款中，“本公司”指国联人寿保险股份有限公司，“本合同”指投保人与本公司之间订立</w:t>
      </w:r>
      <w:r>
        <w:rPr>
          <w:spacing w:val="-14"/>
        </w:rPr>
        <w:t>的“团体重大疾病保险合同”。</w:t>
      </w:r>
    </w:p>
    <w:p>
      <w:pPr>
        <w:pStyle w:val="BodyText"/>
        <w:rPr>
          <w:sz w:val="20"/>
        </w:rPr>
      </w:pPr>
    </w:p>
    <w:p>
      <w:pPr>
        <w:pStyle w:val="BodyText"/>
        <w:spacing w:before="4"/>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79"/>
        <w:gridCol w:w="7272"/>
      </w:tblGrid>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1．</w:t>
            </w:r>
          </w:p>
        </w:tc>
        <w:tc>
          <w:tcPr>
            <w:tcW w:w="1979"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双方订立的合同</w:t>
            </w:r>
          </w:p>
        </w:tc>
        <w:tc>
          <w:tcPr>
            <w:tcW w:w="7272" w:type="dxa"/>
            <w:shd w:val="clear" w:color="auto" w:fill="A6A6A6"/>
          </w:tcPr>
          <w:p>
            <w:pPr>
              <w:pStyle w:val="TableParagraph"/>
              <w:ind w:left="0"/>
              <w:rPr>
                <w:rFonts w:ascii="Times New Roman"/>
                <w:sz w:val="20"/>
              </w:rPr>
            </w:pPr>
          </w:p>
        </w:tc>
      </w:tr>
      <w:tr>
        <w:trPr>
          <w:trHeight w:val="1194" w:hRule="atLeast"/>
        </w:trPr>
        <w:tc>
          <w:tcPr>
            <w:tcW w:w="713" w:type="dxa"/>
          </w:tcPr>
          <w:p>
            <w:pPr>
              <w:pStyle w:val="TableParagraph"/>
              <w:spacing w:before="153"/>
              <w:ind w:left="107"/>
              <w:rPr>
                <w:rFonts w:ascii="黑体"/>
                <w:sz w:val="21"/>
              </w:rPr>
            </w:pPr>
            <w:r>
              <w:rPr>
                <w:rFonts w:ascii="黑体"/>
                <w:sz w:val="21"/>
              </w:rPr>
              <w:t>1.1</w:t>
            </w:r>
          </w:p>
        </w:tc>
        <w:tc>
          <w:tcPr>
            <w:tcW w:w="1979" w:type="dxa"/>
          </w:tcPr>
          <w:p>
            <w:pPr>
              <w:pStyle w:val="TableParagraph"/>
              <w:spacing w:before="153"/>
              <w:ind w:left="288"/>
              <w:rPr>
                <w:rFonts w:ascii="黑体" w:eastAsia="黑体" w:hint="eastAsia"/>
                <w:sz w:val="21"/>
              </w:rPr>
            </w:pPr>
            <w:r>
              <w:rPr>
                <w:rFonts w:ascii="黑体" w:eastAsia="黑体" w:hint="eastAsia"/>
                <w:sz w:val="21"/>
              </w:rPr>
              <w:t>合同构成</w:t>
            </w:r>
          </w:p>
        </w:tc>
        <w:tc>
          <w:tcPr>
            <w:tcW w:w="7272" w:type="dxa"/>
          </w:tcPr>
          <w:p>
            <w:pPr>
              <w:pStyle w:val="TableParagraph"/>
              <w:spacing w:line="280" w:lineRule="auto" w:before="153"/>
              <w:ind w:left="217" w:right="100"/>
              <w:jc w:val="both"/>
              <w:rPr>
                <w:sz w:val="21"/>
              </w:rPr>
            </w:pPr>
            <w:r>
              <w:rPr>
                <w:sz w:val="21"/>
              </w:rPr>
              <w:t>本合同是投保人与本公司约定保险权利义务关系的协议，包括本保险条款、保险单或其他保险凭证、投保单、与本合同有关的其他投保文件、合法有效的声明、批注、批单及其他书面协议。</w:t>
            </w:r>
          </w:p>
        </w:tc>
      </w:tr>
      <w:tr>
        <w:trPr>
          <w:trHeight w:val="1102" w:hRule="atLeast"/>
        </w:trPr>
        <w:tc>
          <w:tcPr>
            <w:tcW w:w="713" w:type="dxa"/>
          </w:tcPr>
          <w:p>
            <w:pPr>
              <w:pStyle w:val="TableParagraph"/>
              <w:spacing w:before="61"/>
              <w:ind w:left="107"/>
              <w:rPr>
                <w:rFonts w:ascii="黑体"/>
                <w:sz w:val="21"/>
              </w:rPr>
            </w:pPr>
            <w:r>
              <w:rPr>
                <w:rFonts w:ascii="黑体"/>
                <w:sz w:val="21"/>
              </w:rPr>
              <w:t>1.2</w:t>
            </w:r>
          </w:p>
        </w:tc>
        <w:tc>
          <w:tcPr>
            <w:tcW w:w="1979" w:type="dxa"/>
          </w:tcPr>
          <w:p>
            <w:pPr>
              <w:pStyle w:val="TableParagraph"/>
              <w:spacing w:before="61"/>
              <w:ind w:left="288"/>
              <w:rPr>
                <w:rFonts w:ascii="黑体" w:eastAsia="黑体" w:hint="eastAsia"/>
                <w:sz w:val="21"/>
              </w:rPr>
            </w:pPr>
            <w:r>
              <w:rPr>
                <w:rFonts w:ascii="黑体" w:eastAsia="黑体" w:hint="eastAsia"/>
                <w:sz w:val="21"/>
              </w:rPr>
              <w:t>合同成立与Th效</w:t>
            </w:r>
          </w:p>
        </w:tc>
        <w:tc>
          <w:tcPr>
            <w:tcW w:w="7272" w:type="dxa"/>
          </w:tcPr>
          <w:p>
            <w:pPr>
              <w:pStyle w:val="TableParagraph"/>
              <w:spacing w:before="61"/>
              <w:ind w:left="217"/>
              <w:rPr>
                <w:sz w:val="21"/>
              </w:rPr>
            </w:pPr>
            <w:r>
              <w:rPr>
                <w:sz w:val="21"/>
              </w:rPr>
              <w:t>投保人提出保险申请、本公司同意承保，本合同成立。</w:t>
            </w:r>
          </w:p>
          <w:p>
            <w:pPr>
              <w:pStyle w:val="TableParagraph"/>
              <w:spacing w:line="278" w:lineRule="auto" w:before="46"/>
              <w:ind w:left="217" w:right="100"/>
              <w:rPr>
                <w:sz w:val="21"/>
              </w:rPr>
            </w:pPr>
            <w:r>
              <w:rPr>
                <w:sz w:val="21"/>
              </w:rPr>
              <w:t>本合同自本公司同意承保、收取保险费并签发保险单后生效，具体生效日以保险单所载的日期为准。</w:t>
            </w:r>
          </w:p>
        </w:tc>
      </w:tr>
      <w:tr>
        <w:trPr>
          <w:trHeight w:val="974" w:hRule="atLeast"/>
        </w:trPr>
        <w:tc>
          <w:tcPr>
            <w:tcW w:w="713" w:type="dxa"/>
          </w:tcPr>
          <w:p>
            <w:pPr>
              <w:pStyle w:val="TableParagraph"/>
              <w:spacing w:before="62"/>
              <w:ind w:left="107"/>
              <w:rPr>
                <w:rFonts w:ascii="黑体"/>
                <w:sz w:val="21"/>
              </w:rPr>
            </w:pPr>
            <w:r>
              <w:rPr>
                <w:rFonts w:ascii="黑体"/>
                <w:sz w:val="21"/>
              </w:rPr>
              <w:t>1.3</w:t>
            </w:r>
          </w:p>
        </w:tc>
        <w:tc>
          <w:tcPr>
            <w:tcW w:w="1979" w:type="dxa"/>
          </w:tcPr>
          <w:p>
            <w:pPr>
              <w:pStyle w:val="TableParagraph"/>
              <w:spacing w:before="62"/>
              <w:ind w:left="288"/>
              <w:rPr>
                <w:rFonts w:ascii="黑体" w:eastAsia="黑体" w:hint="eastAsia"/>
                <w:sz w:val="21"/>
              </w:rPr>
            </w:pPr>
            <w:r>
              <w:rPr>
                <w:rFonts w:ascii="黑体" w:eastAsia="黑体" w:hint="eastAsia"/>
                <w:sz w:val="21"/>
              </w:rPr>
              <w:t>投保范围</w:t>
            </w:r>
          </w:p>
        </w:tc>
        <w:tc>
          <w:tcPr>
            <w:tcW w:w="7272" w:type="dxa"/>
          </w:tcPr>
          <w:p>
            <w:pPr>
              <w:pStyle w:val="TableParagraph"/>
              <w:spacing w:line="278" w:lineRule="auto" w:before="62"/>
              <w:ind w:left="217" w:right="-15"/>
              <w:rPr>
                <w:sz w:val="21"/>
              </w:rPr>
            </w:pPr>
            <w:r>
              <w:rPr>
                <w:spacing w:val="-3"/>
                <w:sz w:val="21"/>
              </w:rPr>
              <w:t>团体可作为投保人，为其成员及成员配偶、子女向本公司投保本保险。投保</w:t>
            </w:r>
            <w:r>
              <w:rPr>
                <w:spacing w:val="-11"/>
                <w:sz w:val="21"/>
              </w:rPr>
              <w:t>时，参加本保险的成员及成员配偶、子女须符合本公司当时规定的投保条件。</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2．</w:t>
            </w:r>
          </w:p>
        </w:tc>
        <w:tc>
          <w:tcPr>
            <w:tcW w:w="1979"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本公司提供的保障</w:t>
            </w:r>
          </w:p>
        </w:tc>
        <w:tc>
          <w:tcPr>
            <w:tcW w:w="7272" w:type="dxa"/>
            <w:shd w:val="clear" w:color="auto" w:fill="A6A6A6"/>
          </w:tcPr>
          <w:p>
            <w:pPr>
              <w:pStyle w:val="TableParagraph"/>
              <w:ind w:left="0"/>
              <w:rPr>
                <w:rFonts w:ascii="Times New Roman"/>
                <w:sz w:val="20"/>
              </w:rPr>
            </w:pPr>
          </w:p>
        </w:tc>
      </w:tr>
      <w:tr>
        <w:trPr>
          <w:trHeight w:val="530" w:hRule="atLeast"/>
        </w:trPr>
        <w:tc>
          <w:tcPr>
            <w:tcW w:w="713" w:type="dxa"/>
          </w:tcPr>
          <w:p>
            <w:pPr>
              <w:pStyle w:val="TableParagraph"/>
              <w:spacing w:before="153"/>
              <w:ind w:left="107"/>
              <w:rPr>
                <w:rFonts w:ascii="黑体"/>
                <w:sz w:val="21"/>
              </w:rPr>
            </w:pPr>
            <w:r>
              <w:rPr>
                <w:rFonts w:ascii="黑体"/>
                <w:sz w:val="21"/>
              </w:rPr>
              <w:t>2.1</w:t>
            </w:r>
          </w:p>
        </w:tc>
        <w:tc>
          <w:tcPr>
            <w:tcW w:w="1979" w:type="dxa"/>
          </w:tcPr>
          <w:p>
            <w:pPr>
              <w:pStyle w:val="TableParagraph"/>
              <w:spacing w:before="153"/>
              <w:ind w:left="288"/>
              <w:rPr>
                <w:rFonts w:ascii="黑体" w:eastAsia="黑体" w:hint="eastAsia"/>
                <w:sz w:val="21"/>
              </w:rPr>
            </w:pPr>
            <w:r>
              <w:rPr>
                <w:rFonts w:ascii="黑体" w:eastAsia="黑体" w:hint="eastAsia"/>
                <w:sz w:val="21"/>
              </w:rPr>
              <w:t>保险金额</w:t>
            </w:r>
          </w:p>
        </w:tc>
        <w:tc>
          <w:tcPr>
            <w:tcW w:w="7272" w:type="dxa"/>
          </w:tcPr>
          <w:p>
            <w:pPr>
              <w:pStyle w:val="TableParagraph"/>
              <w:spacing w:before="153"/>
              <w:ind w:left="217"/>
              <w:rPr>
                <w:sz w:val="21"/>
              </w:rPr>
            </w:pPr>
            <w:r>
              <w:rPr>
                <w:sz w:val="21"/>
              </w:rPr>
              <w:t>本合同的保险金额由投保人与本公司约定，并在保险单上载明。</w:t>
            </w:r>
          </w:p>
        </w:tc>
      </w:tr>
      <w:tr>
        <w:trPr>
          <w:trHeight w:val="710" w:hRule="atLeast"/>
        </w:trPr>
        <w:tc>
          <w:tcPr>
            <w:tcW w:w="713" w:type="dxa"/>
          </w:tcPr>
          <w:p>
            <w:pPr>
              <w:pStyle w:val="TableParagraph"/>
              <w:spacing w:before="84"/>
              <w:ind w:left="107"/>
              <w:rPr>
                <w:rFonts w:ascii="黑体"/>
                <w:sz w:val="21"/>
              </w:rPr>
            </w:pPr>
            <w:r>
              <w:rPr>
                <w:rFonts w:ascii="黑体"/>
                <w:sz w:val="21"/>
              </w:rPr>
              <w:t>2.2</w:t>
            </w:r>
          </w:p>
        </w:tc>
        <w:tc>
          <w:tcPr>
            <w:tcW w:w="1979" w:type="dxa"/>
          </w:tcPr>
          <w:p>
            <w:pPr>
              <w:pStyle w:val="TableParagraph"/>
              <w:spacing w:before="84"/>
              <w:ind w:left="288"/>
              <w:rPr>
                <w:rFonts w:ascii="黑体" w:eastAsia="黑体" w:hint="eastAsia"/>
                <w:sz w:val="21"/>
              </w:rPr>
            </w:pPr>
            <w:r>
              <w:rPr>
                <w:rFonts w:ascii="黑体" w:eastAsia="黑体" w:hint="eastAsia"/>
                <w:sz w:val="21"/>
              </w:rPr>
              <w:t>保险期间</w:t>
            </w:r>
          </w:p>
        </w:tc>
        <w:tc>
          <w:tcPr>
            <w:tcW w:w="7272" w:type="dxa"/>
          </w:tcPr>
          <w:p>
            <w:pPr>
              <w:pStyle w:val="TableParagraph"/>
              <w:spacing w:before="38"/>
              <w:ind w:left="217" w:right="101"/>
              <w:rPr>
                <w:sz w:val="21"/>
              </w:rPr>
            </w:pPr>
            <w:r>
              <w:rPr>
                <w:sz w:val="21"/>
              </w:rPr>
              <w:t>除另有约定外，本合同的保险期间为一年，自本合同生效之日起至约定终止日 24 时止，具体期间由投保人在投保时与本公司约定并在保险单上载明。</w:t>
            </w:r>
          </w:p>
        </w:tc>
      </w:tr>
      <w:tr>
        <w:trPr>
          <w:trHeight w:val="1095" w:hRule="atLeast"/>
        </w:trPr>
        <w:tc>
          <w:tcPr>
            <w:tcW w:w="713" w:type="dxa"/>
          </w:tcPr>
          <w:p>
            <w:pPr>
              <w:pStyle w:val="TableParagraph"/>
              <w:spacing w:before="60"/>
              <w:ind w:left="107"/>
              <w:rPr>
                <w:rFonts w:ascii="黑体"/>
                <w:sz w:val="21"/>
              </w:rPr>
            </w:pPr>
            <w:r>
              <w:rPr>
                <w:rFonts w:ascii="黑体"/>
                <w:sz w:val="21"/>
              </w:rPr>
              <w:t>2.3</w:t>
            </w:r>
          </w:p>
        </w:tc>
        <w:tc>
          <w:tcPr>
            <w:tcW w:w="1979" w:type="dxa"/>
          </w:tcPr>
          <w:p>
            <w:pPr>
              <w:pStyle w:val="TableParagraph"/>
              <w:spacing w:before="60"/>
              <w:ind w:left="288"/>
              <w:rPr>
                <w:rFonts w:ascii="黑体" w:eastAsia="黑体" w:hint="eastAsia"/>
                <w:sz w:val="21"/>
              </w:rPr>
            </w:pPr>
            <w:r>
              <w:rPr>
                <w:rFonts w:ascii="黑体" w:eastAsia="黑体" w:hint="eastAsia"/>
                <w:sz w:val="21"/>
              </w:rPr>
              <w:t>保险责任</w:t>
            </w:r>
          </w:p>
        </w:tc>
        <w:tc>
          <w:tcPr>
            <w:tcW w:w="7272" w:type="dxa"/>
          </w:tcPr>
          <w:p>
            <w:pPr>
              <w:pStyle w:val="TableParagraph"/>
              <w:spacing w:line="280" w:lineRule="auto" w:before="60"/>
              <w:ind w:left="217" w:right="100"/>
              <w:jc w:val="both"/>
              <w:rPr>
                <w:sz w:val="21"/>
              </w:rPr>
            </w:pPr>
            <w:r>
              <w:rPr>
                <w:sz w:val="21"/>
              </w:rPr>
              <w:t>本合同提供基本保障、重要保障、全面保障三种保障方案。投保人可以选择其中一种方案，一旦选定并在保险单中载明，在保险期间内不得变更。在本合同的有效期内，本公司按以下约定承担保险责任：</w:t>
            </w:r>
          </w:p>
        </w:tc>
      </w:tr>
      <w:tr>
        <w:trPr>
          <w:trHeight w:val="1422" w:hRule="atLeast"/>
        </w:trPr>
        <w:tc>
          <w:tcPr>
            <w:tcW w:w="713" w:type="dxa"/>
          </w:tcPr>
          <w:p>
            <w:pPr>
              <w:pStyle w:val="TableParagraph"/>
              <w:ind w:left="0"/>
              <w:rPr>
                <w:rFonts w:ascii="Times New Roman"/>
                <w:sz w:val="20"/>
              </w:rPr>
            </w:pPr>
          </w:p>
        </w:tc>
        <w:tc>
          <w:tcPr>
            <w:tcW w:w="1979" w:type="dxa"/>
          </w:tcPr>
          <w:p>
            <w:pPr>
              <w:pStyle w:val="TableParagraph"/>
              <w:spacing w:before="54"/>
              <w:ind w:left="288"/>
              <w:rPr>
                <w:rFonts w:ascii="黑体" w:eastAsia="黑体" w:hint="eastAsia"/>
                <w:i/>
                <w:sz w:val="22"/>
              </w:rPr>
            </w:pPr>
            <w:r>
              <w:rPr>
                <w:rFonts w:ascii="黑体" w:eastAsia="黑体" w:hint="eastAsia"/>
                <w:i/>
                <w:w w:val="95"/>
                <w:sz w:val="22"/>
              </w:rPr>
              <w:t>等待期</w:t>
            </w:r>
          </w:p>
        </w:tc>
        <w:tc>
          <w:tcPr>
            <w:tcW w:w="7272" w:type="dxa"/>
          </w:tcPr>
          <w:p>
            <w:pPr>
              <w:pStyle w:val="TableParagraph"/>
              <w:spacing w:line="278" w:lineRule="auto" w:before="66"/>
              <w:ind w:left="217" w:right="100"/>
              <w:jc w:val="both"/>
              <w:rPr>
                <w:sz w:val="21"/>
              </w:rPr>
            </w:pPr>
            <w:r>
              <w:rPr>
                <w:spacing w:val="-6"/>
                <w:sz w:val="21"/>
              </w:rPr>
              <w:t>被保险人在本公司对其开始承担保险责任起 </w:t>
            </w:r>
            <w:r>
              <w:rPr>
                <w:sz w:val="21"/>
              </w:rPr>
              <w:t>30</w:t>
            </w:r>
            <w:r>
              <w:rPr>
                <w:spacing w:val="-42"/>
                <w:sz w:val="21"/>
              </w:rPr>
              <w:t> 日</w:t>
            </w:r>
            <w:r>
              <w:rPr>
                <w:sz w:val="21"/>
              </w:rPr>
              <w:t>（30</w:t>
            </w:r>
            <w:r>
              <w:rPr>
                <w:spacing w:val="-8"/>
                <w:sz w:val="21"/>
              </w:rPr>
              <w:t> 日为等待期,经本公司</w:t>
            </w:r>
            <w:r>
              <w:rPr>
                <w:spacing w:val="-5"/>
                <w:sz w:val="21"/>
              </w:rPr>
              <w:t>审核同意续保的,续保时无等待期</w:t>
            </w:r>
            <w:r>
              <w:rPr>
                <w:spacing w:val="-92"/>
                <w:sz w:val="21"/>
              </w:rPr>
              <w:t>）</w:t>
            </w:r>
            <w:r>
              <w:rPr>
                <w:spacing w:val="-3"/>
                <w:sz w:val="21"/>
              </w:rPr>
              <w:t>内被确诊初次患投保人选择的保障方案所保障的重大疾病（</w:t>
            </w:r>
            <w:r>
              <w:rPr>
                <w:spacing w:val="-1"/>
                <w:sz w:val="21"/>
              </w:rPr>
              <w:t>无论一种或多种</w:t>
            </w:r>
            <w:r>
              <w:rPr>
                <w:spacing w:val="-3"/>
                <w:sz w:val="21"/>
              </w:rPr>
              <w:t>）的，本公司不承担给付保险金的责任， 对该被保险人的保险责任终止，同时返还该被保险人对应的保险费。</w:t>
            </w:r>
          </w:p>
        </w:tc>
      </w:tr>
      <w:tr>
        <w:trPr>
          <w:trHeight w:val="1108" w:hRule="atLeast"/>
        </w:trPr>
        <w:tc>
          <w:tcPr>
            <w:tcW w:w="713" w:type="dxa"/>
          </w:tcPr>
          <w:p>
            <w:pPr>
              <w:pStyle w:val="TableParagraph"/>
              <w:ind w:left="0"/>
              <w:rPr>
                <w:rFonts w:ascii="Times New Roman"/>
                <w:sz w:val="20"/>
              </w:rPr>
            </w:pPr>
          </w:p>
        </w:tc>
        <w:tc>
          <w:tcPr>
            <w:tcW w:w="1979" w:type="dxa"/>
          </w:tcPr>
          <w:p>
            <w:pPr>
              <w:pStyle w:val="TableParagraph"/>
              <w:spacing w:before="55"/>
              <w:ind w:left="288"/>
              <w:rPr>
                <w:rFonts w:ascii="黑体" w:eastAsia="黑体" w:hint="eastAsia"/>
                <w:i/>
                <w:sz w:val="22"/>
              </w:rPr>
            </w:pPr>
            <w:r>
              <w:rPr>
                <w:rFonts w:ascii="黑体" w:eastAsia="黑体" w:hint="eastAsia"/>
                <w:i/>
                <w:w w:val="95"/>
                <w:sz w:val="22"/>
              </w:rPr>
              <w:t>重大疾病保险金</w:t>
            </w:r>
          </w:p>
        </w:tc>
        <w:tc>
          <w:tcPr>
            <w:tcW w:w="7272" w:type="dxa"/>
          </w:tcPr>
          <w:p>
            <w:pPr>
              <w:pStyle w:val="TableParagraph"/>
              <w:spacing w:line="280" w:lineRule="auto" w:before="67"/>
              <w:ind w:left="217" w:right="-15"/>
              <w:jc w:val="both"/>
              <w:rPr>
                <w:sz w:val="21"/>
              </w:rPr>
            </w:pPr>
            <w:r>
              <w:rPr>
                <w:spacing w:val="-3"/>
                <w:sz w:val="21"/>
              </w:rPr>
              <w:t>被保险人因遭受</w:t>
            </w:r>
            <w:r>
              <w:rPr>
                <w:b/>
                <w:sz w:val="21"/>
              </w:rPr>
              <w:t>意外伤害（见释义）</w:t>
            </w:r>
            <w:r>
              <w:rPr>
                <w:spacing w:val="-3"/>
                <w:sz w:val="21"/>
              </w:rPr>
              <w:t>或在等待期后因意外伤害以外的原因被</w:t>
            </w:r>
            <w:r>
              <w:rPr>
                <w:spacing w:val="-6"/>
                <w:sz w:val="21"/>
              </w:rPr>
              <w:t>确诊初次患本合同约定的重大疾病</w:t>
            </w:r>
            <w:r>
              <w:rPr>
                <w:spacing w:val="-3"/>
                <w:sz w:val="21"/>
              </w:rPr>
              <w:t>（无论一种或多种</w:t>
            </w:r>
            <w:r>
              <w:rPr>
                <w:spacing w:val="-76"/>
                <w:sz w:val="21"/>
              </w:rPr>
              <w:t>）</w:t>
            </w:r>
            <w:r>
              <w:rPr>
                <w:spacing w:val="-10"/>
                <w:sz w:val="21"/>
              </w:rPr>
              <w:t>，本公司按该被保险人</w:t>
            </w:r>
            <w:r>
              <w:rPr>
                <w:spacing w:val="-11"/>
                <w:sz w:val="21"/>
              </w:rPr>
              <w:t>对应的保险金额给付重大疾病保险金，本公司对该被保险人的保险责任终止。</w:t>
            </w:r>
          </w:p>
        </w:tc>
      </w:tr>
      <w:tr>
        <w:trPr>
          <w:trHeight w:val="2575" w:hRule="atLeast"/>
        </w:trPr>
        <w:tc>
          <w:tcPr>
            <w:tcW w:w="713" w:type="dxa"/>
          </w:tcPr>
          <w:p>
            <w:pPr>
              <w:pStyle w:val="TableParagraph"/>
              <w:spacing w:before="61"/>
              <w:ind w:left="107"/>
              <w:rPr>
                <w:rFonts w:ascii="黑体"/>
                <w:sz w:val="21"/>
              </w:rPr>
            </w:pPr>
            <w:r>
              <w:rPr>
                <w:rFonts w:ascii="黑体"/>
                <w:sz w:val="21"/>
              </w:rPr>
              <w:t>2.4</w:t>
            </w:r>
          </w:p>
        </w:tc>
        <w:tc>
          <w:tcPr>
            <w:tcW w:w="1979" w:type="dxa"/>
          </w:tcPr>
          <w:p>
            <w:pPr>
              <w:pStyle w:val="TableParagraph"/>
              <w:spacing w:before="61"/>
              <w:ind w:left="288"/>
              <w:rPr>
                <w:rFonts w:ascii="黑体" w:eastAsia="黑体" w:hint="eastAsia"/>
                <w:sz w:val="21"/>
              </w:rPr>
            </w:pPr>
            <w:r>
              <w:rPr>
                <w:rFonts w:ascii="黑体" w:eastAsia="黑体" w:hint="eastAsia"/>
                <w:sz w:val="21"/>
              </w:rPr>
              <w:t>责任免除</w:t>
            </w:r>
          </w:p>
        </w:tc>
        <w:tc>
          <w:tcPr>
            <w:tcW w:w="7272" w:type="dxa"/>
          </w:tcPr>
          <w:p>
            <w:pPr>
              <w:pStyle w:val="TableParagraph"/>
              <w:spacing w:before="61"/>
              <w:ind w:left="217"/>
              <w:rPr>
                <w:sz w:val="21"/>
              </w:rPr>
            </w:pPr>
            <w:r>
              <w:rPr>
                <w:sz w:val="21"/>
                <w:shd w:fill="A6A6A6" w:color="auto" w:val="clear"/>
              </w:rPr>
              <w:t>因下列情形之一，导致被保险人发生保险事故的，本公司不承担保险责任：</w:t>
            </w:r>
          </w:p>
          <w:p>
            <w:pPr>
              <w:pStyle w:val="TableParagraph"/>
              <w:spacing w:before="44"/>
              <w:ind w:left="217"/>
              <w:rPr>
                <w:sz w:val="21"/>
              </w:rPr>
            </w:pPr>
            <w:r>
              <w:rPr>
                <w:sz w:val="21"/>
                <w:shd w:fill="A6A6A6" w:color="auto" w:val="clear"/>
              </w:rPr>
              <w:t>(1)被保险人故意自伤、故意犯罪或者抗拒依法采取的刑事强制措施；</w:t>
            </w:r>
          </w:p>
          <w:p>
            <w:pPr>
              <w:pStyle w:val="TableParagraph"/>
              <w:spacing w:before="46"/>
              <w:ind w:left="217"/>
              <w:rPr>
                <w:sz w:val="21"/>
              </w:rPr>
            </w:pPr>
            <w:r>
              <w:rPr>
                <w:w w:val="100"/>
                <w:sz w:val="21"/>
                <w:shd w:fill="A6A6A6" w:color="auto" w:val="clear"/>
              </w:rPr>
              <w:t>(2)</w:t>
            </w:r>
            <w:r>
              <w:rPr>
                <w:spacing w:val="-3"/>
                <w:w w:val="100"/>
                <w:sz w:val="21"/>
                <w:shd w:fill="A6A6A6" w:color="auto" w:val="clear"/>
              </w:rPr>
              <w:t>被保险人服用、吸食或注射</w:t>
            </w:r>
            <w:r>
              <w:rPr>
                <w:b/>
                <w:w w:val="100"/>
                <w:sz w:val="21"/>
                <w:shd w:fill="A6A6A6" w:color="auto" w:val="clear"/>
              </w:rPr>
              <w:t>毒品（见释义</w:t>
            </w:r>
            <w:r>
              <w:rPr>
                <w:b/>
                <w:spacing w:val="-106"/>
                <w:w w:val="100"/>
                <w:sz w:val="21"/>
                <w:shd w:fill="A6A6A6" w:color="auto" w:val="clear"/>
              </w:rPr>
              <w:t>）</w:t>
            </w:r>
            <w:r>
              <w:rPr>
                <w:w w:val="100"/>
                <w:sz w:val="21"/>
                <w:shd w:fill="A6A6A6" w:color="auto" w:val="clear"/>
              </w:rPr>
              <w:t>；</w:t>
            </w:r>
          </w:p>
          <w:p>
            <w:pPr>
              <w:pStyle w:val="TableParagraph"/>
              <w:spacing w:line="278" w:lineRule="auto" w:before="44"/>
              <w:ind w:left="217" w:right="98"/>
              <w:rPr>
                <w:sz w:val="21"/>
              </w:rPr>
            </w:pPr>
            <w:r>
              <w:rPr>
                <w:w w:val="100"/>
                <w:sz w:val="21"/>
                <w:shd w:fill="A6A6A6" w:color="auto" w:val="clear"/>
              </w:rPr>
              <w:t>(3)被保险人</w:t>
            </w:r>
            <w:r>
              <w:rPr>
                <w:b/>
                <w:w w:val="100"/>
                <w:sz w:val="21"/>
                <w:shd w:fill="A6A6A6" w:color="auto" w:val="clear"/>
              </w:rPr>
              <w:t>酒后驾驶</w:t>
            </w:r>
            <w:r>
              <w:rPr>
                <w:b/>
                <w:spacing w:val="1"/>
                <w:w w:val="100"/>
                <w:sz w:val="21"/>
                <w:shd w:fill="A6A6A6" w:color="auto" w:val="clear"/>
              </w:rPr>
              <w:t>（见释义</w:t>
            </w:r>
            <w:r>
              <w:rPr>
                <w:b/>
                <w:spacing w:val="-102"/>
                <w:w w:val="100"/>
                <w:sz w:val="21"/>
                <w:shd w:fill="A6A6A6" w:color="auto" w:val="clear"/>
              </w:rPr>
              <w:t>）</w:t>
            </w:r>
            <w:r>
              <w:rPr>
                <w:spacing w:val="1"/>
                <w:w w:val="100"/>
                <w:sz w:val="21"/>
                <w:shd w:fill="A6A6A6" w:color="auto" w:val="clear"/>
              </w:rPr>
              <w:t>，</w:t>
            </w:r>
            <w:r>
              <w:rPr>
                <w:b/>
                <w:w w:val="100"/>
                <w:sz w:val="21"/>
                <w:shd w:fill="A6A6A6" w:color="auto" w:val="clear"/>
              </w:rPr>
              <w:t>无合法有效驾驶证驾驶</w:t>
            </w:r>
            <w:r>
              <w:rPr>
                <w:b/>
                <w:spacing w:val="1"/>
                <w:w w:val="100"/>
                <w:sz w:val="21"/>
                <w:shd w:fill="A6A6A6" w:color="auto" w:val="clear"/>
              </w:rPr>
              <w:t>（见释义</w:t>
            </w:r>
            <w:r>
              <w:rPr>
                <w:b/>
                <w:spacing w:val="-101"/>
                <w:w w:val="100"/>
                <w:sz w:val="21"/>
                <w:shd w:fill="A6A6A6" w:color="auto" w:val="clear"/>
              </w:rPr>
              <w:t>）</w:t>
            </w:r>
            <w:r>
              <w:rPr>
                <w:spacing w:val="1"/>
                <w:w w:val="100"/>
                <w:sz w:val="21"/>
                <w:shd w:fill="A6A6A6" w:color="auto" w:val="clear"/>
              </w:rPr>
              <w:t>，或驾</w:t>
            </w:r>
            <w:r>
              <w:rPr>
                <w:spacing w:val="-3"/>
                <w:w w:val="100"/>
                <w:sz w:val="21"/>
                <w:shd w:fill="A6A6A6" w:color="auto" w:val="clear"/>
              </w:rPr>
              <w:t>驶</w:t>
            </w:r>
            <w:r>
              <w:rPr>
                <w:b/>
                <w:w w:val="100"/>
                <w:sz w:val="21"/>
                <w:shd w:fill="A6A6A6" w:color="auto" w:val="clear"/>
              </w:rPr>
              <w:t>无有效行驶证（</w:t>
            </w:r>
            <w:r>
              <w:rPr>
                <w:b/>
                <w:spacing w:val="-1"/>
                <w:w w:val="100"/>
                <w:sz w:val="21"/>
                <w:shd w:fill="A6A6A6" w:color="auto" w:val="clear"/>
              </w:rPr>
              <w:t>见释义</w:t>
            </w:r>
            <w:r>
              <w:rPr>
                <w:b/>
                <w:spacing w:val="-208"/>
                <w:w w:val="100"/>
                <w:sz w:val="21"/>
                <w:shd w:fill="A6A6A6" w:color="auto" w:val="clear"/>
              </w:rPr>
              <w:t>）</w:t>
            </w:r>
            <w:r>
              <w:rPr>
                <w:spacing w:val="-3"/>
                <w:w w:val="100"/>
                <w:sz w:val="21"/>
                <w:shd w:fill="A6A6A6" w:color="auto" w:val="clear"/>
              </w:rPr>
              <w:t>的</w:t>
            </w:r>
            <w:r>
              <w:rPr>
                <w:b/>
                <w:w w:val="100"/>
                <w:sz w:val="21"/>
                <w:shd w:fill="A6A6A6" w:color="auto" w:val="clear"/>
              </w:rPr>
              <w:t>机动车（见释义</w:t>
            </w:r>
            <w:r>
              <w:rPr>
                <w:b/>
                <w:spacing w:val="-106"/>
                <w:w w:val="100"/>
                <w:sz w:val="21"/>
                <w:shd w:fill="A6A6A6" w:color="auto" w:val="clear"/>
              </w:rPr>
              <w:t>）</w:t>
            </w:r>
            <w:r>
              <w:rPr>
                <w:w w:val="100"/>
                <w:sz w:val="21"/>
                <w:shd w:fill="A6A6A6" w:color="auto" w:val="clear"/>
              </w:rPr>
              <w:t>；</w:t>
            </w:r>
          </w:p>
          <w:p>
            <w:pPr>
              <w:pStyle w:val="TableParagraph"/>
              <w:spacing w:line="278" w:lineRule="auto" w:before="13"/>
              <w:ind w:left="217" w:right="105"/>
              <w:rPr>
                <w:sz w:val="21"/>
              </w:rPr>
            </w:pPr>
            <w:r>
              <w:rPr>
                <w:sz w:val="21"/>
                <w:shd w:fill="A6A6A6" w:color="auto" w:val="clear"/>
              </w:rPr>
              <w:t>(4)</w:t>
            </w:r>
            <w:r>
              <w:rPr>
                <w:spacing w:val="-3"/>
                <w:sz w:val="21"/>
                <w:shd w:fill="A6A6A6" w:color="auto" w:val="clear"/>
              </w:rPr>
              <w:t>被保险人所患</w:t>
            </w:r>
            <w:r>
              <w:rPr>
                <w:b/>
                <w:spacing w:val="-11"/>
                <w:sz w:val="21"/>
                <w:shd w:fill="A6A6A6" w:color="auto" w:val="clear"/>
              </w:rPr>
              <w:t>遗传性疾病</w:t>
            </w:r>
            <w:r>
              <w:rPr>
                <w:b/>
                <w:sz w:val="21"/>
                <w:shd w:fill="A6A6A6" w:color="auto" w:val="clear"/>
              </w:rPr>
              <w:t>（见释义</w:t>
            </w:r>
            <w:r>
              <w:rPr>
                <w:b/>
                <w:spacing w:val="-81"/>
                <w:sz w:val="21"/>
                <w:shd w:fill="A6A6A6" w:color="auto" w:val="clear"/>
              </w:rPr>
              <w:t>）</w:t>
            </w:r>
            <w:r>
              <w:rPr>
                <w:spacing w:val="-81"/>
                <w:sz w:val="21"/>
                <w:shd w:fill="A6A6A6" w:color="auto" w:val="clear"/>
              </w:rPr>
              <w:t>，</w:t>
            </w:r>
            <w:r>
              <w:rPr>
                <w:b/>
                <w:spacing w:val="-12"/>
                <w:sz w:val="21"/>
                <w:shd w:fill="A6A6A6" w:color="auto" w:val="clear"/>
              </w:rPr>
              <w:t>先天性畸形、变形或染色体异常</w:t>
            </w:r>
            <w:r>
              <w:rPr>
                <w:b/>
                <w:spacing w:val="-3"/>
                <w:sz w:val="21"/>
                <w:shd w:fill="A6A6A6" w:color="auto" w:val="clear"/>
              </w:rPr>
              <w:t>（</w:t>
            </w:r>
            <w:r>
              <w:rPr>
                <w:b/>
                <w:spacing w:val="-107"/>
                <w:sz w:val="21"/>
                <w:shd w:fill="A6A6A6" w:color="auto" w:val="clear"/>
              </w:rPr>
              <w:t>见释</w:t>
            </w:r>
            <w:r>
              <w:rPr>
                <w:b/>
                <w:w w:val="100"/>
                <w:sz w:val="21"/>
                <w:shd w:fill="A6A6A6" w:color="auto" w:val="clear"/>
              </w:rPr>
              <w:t>义</w:t>
            </w:r>
            <w:r>
              <w:rPr>
                <w:b/>
                <w:spacing w:val="-106"/>
                <w:w w:val="100"/>
                <w:sz w:val="21"/>
                <w:shd w:fill="A6A6A6" w:color="auto" w:val="clear"/>
              </w:rPr>
              <w:t>）</w:t>
            </w:r>
            <w:r>
              <w:rPr>
                <w:w w:val="100"/>
                <w:sz w:val="21"/>
                <w:shd w:fill="A6A6A6" w:color="auto" w:val="clear"/>
              </w:rPr>
              <w:t>；</w:t>
            </w:r>
          </w:p>
          <w:p>
            <w:pPr>
              <w:pStyle w:val="TableParagraph"/>
              <w:spacing w:line="255" w:lineRule="exact" w:before="10"/>
              <w:ind w:left="217"/>
              <w:rPr>
                <w:sz w:val="21"/>
              </w:rPr>
            </w:pPr>
            <w:r>
              <w:rPr>
                <w:sz w:val="21"/>
                <w:shd w:fill="A6A6A6" w:color="auto" w:val="clear"/>
              </w:rPr>
              <w:t>(5)被保险人</w:t>
            </w:r>
            <w:r>
              <w:rPr>
                <w:b/>
                <w:sz w:val="21"/>
                <w:shd w:fill="A6A6A6" w:color="auto" w:val="clear"/>
              </w:rPr>
              <w:t>感染艾滋病病毒或患艾滋病（见释义）</w:t>
            </w:r>
            <w:r>
              <w:rPr>
                <w:sz w:val="21"/>
                <w:shd w:fill="A6A6A6" w:color="auto" w:val="clear"/>
              </w:rPr>
              <w:t>期间；</w:t>
            </w:r>
          </w:p>
        </w:tc>
      </w:tr>
    </w:tbl>
    <w:p>
      <w:pPr>
        <w:spacing w:after="0" w:line="255" w:lineRule="exact"/>
        <w:rPr>
          <w:sz w:val="21"/>
        </w:rPr>
        <w:sectPr>
          <w:pgSz w:w="11910" w:h="16840"/>
          <w:pgMar w:top="134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4"/>
        <w:gridCol w:w="7168"/>
      </w:tblGrid>
      <w:tr>
        <w:trPr>
          <w:trHeight w:val="848"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07" w:lineRule="exact"/>
              <w:ind w:left="112"/>
              <w:rPr>
                <w:sz w:val="21"/>
              </w:rPr>
            </w:pPr>
            <w:r>
              <w:rPr>
                <w:sz w:val="21"/>
                <w:shd w:fill="A6A6A6" w:color="auto" w:val="clear"/>
              </w:rPr>
              <w:t>(6)战争、军事冲突、暴乱或武装叛乱；</w:t>
            </w:r>
          </w:p>
          <w:p>
            <w:pPr>
              <w:pStyle w:val="TableParagraph"/>
              <w:spacing w:before="44"/>
              <w:ind w:left="112"/>
              <w:rPr>
                <w:sz w:val="21"/>
              </w:rPr>
            </w:pPr>
            <w:r>
              <w:rPr>
                <w:sz w:val="21"/>
                <w:shd w:fill="A6A6A6" w:color="auto" w:val="clear"/>
              </w:rPr>
              <w:t>(7)核爆炸、核辐射或核污染。</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3．</w:t>
            </w:r>
          </w:p>
        </w:tc>
        <w:tc>
          <w:tcPr>
            <w:tcW w:w="2084"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保险金的申请</w:t>
            </w:r>
          </w:p>
        </w:tc>
        <w:tc>
          <w:tcPr>
            <w:tcW w:w="7168" w:type="dxa"/>
            <w:shd w:val="clear" w:color="auto" w:fill="A6A6A6"/>
          </w:tcPr>
          <w:p>
            <w:pPr>
              <w:pStyle w:val="TableParagraph"/>
              <w:ind w:left="0"/>
              <w:rPr>
                <w:rFonts w:ascii="Times New Roman"/>
                <w:sz w:val="20"/>
              </w:rPr>
            </w:pPr>
          </w:p>
        </w:tc>
      </w:tr>
      <w:tr>
        <w:trPr>
          <w:trHeight w:val="552" w:hRule="atLeast"/>
        </w:trPr>
        <w:tc>
          <w:tcPr>
            <w:tcW w:w="713" w:type="dxa"/>
          </w:tcPr>
          <w:p>
            <w:pPr>
              <w:pStyle w:val="TableParagraph"/>
              <w:spacing w:before="149"/>
              <w:ind w:left="107"/>
              <w:rPr>
                <w:rFonts w:ascii="黑体"/>
                <w:sz w:val="21"/>
              </w:rPr>
            </w:pPr>
            <w:r>
              <w:rPr>
                <w:rFonts w:ascii="黑体"/>
                <w:sz w:val="21"/>
              </w:rPr>
              <w:t>3.1</w:t>
            </w:r>
          </w:p>
        </w:tc>
        <w:tc>
          <w:tcPr>
            <w:tcW w:w="2084" w:type="dxa"/>
          </w:tcPr>
          <w:p>
            <w:pPr>
              <w:pStyle w:val="TableParagraph"/>
              <w:spacing w:before="149"/>
              <w:ind w:left="288"/>
              <w:rPr>
                <w:rFonts w:ascii="黑体" w:eastAsia="黑体" w:hint="eastAsia"/>
                <w:sz w:val="21"/>
              </w:rPr>
            </w:pPr>
            <w:r>
              <w:rPr>
                <w:rFonts w:ascii="黑体" w:eastAsia="黑体" w:hint="eastAsia"/>
                <w:sz w:val="21"/>
              </w:rPr>
              <w:t>受益人</w:t>
            </w:r>
          </w:p>
        </w:tc>
        <w:tc>
          <w:tcPr>
            <w:tcW w:w="7168" w:type="dxa"/>
          </w:tcPr>
          <w:p>
            <w:pPr>
              <w:pStyle w:val="TableParagraph"/>
              <w:spacing w:before="149"/>
              <w:ind w:left="112"/>
              <w:rPr>
                <w:sz w:val="21"/>
              </w:rPr>
            </w:pPr>
            <w:r>
              <w:rPr>
                <w:sz w:val="21"/>
              </w:rPr>
              <w:t>除另有指定外，本合同保险金的受益人为被保险人本人。</w:t>
            </w:r>
          </w:p>
        </w:tc>
      </w:tr>
      <w:tr>
        <w:trPr>
          <w:trHeight w:val="391" w:hRule="atLeast"/>
        </w:trPr>
        <w:tc>
          <w:tcPr>
            <w:tcW w:w="713" w:type="dxa"/>
          </w:tcPr>
          <w:p>
            <w:pPr>
              <w:pStyle w:val="TableParagraph"/>
              <w:spacing w:before="56"/>
              <w:ind w:left="107"/>
              <w:rPr>
                <w:rFonts w:ascii="黑体"/>
                <w:sz w:val="21"/>
              </w:rPr>
            </w:pPr>
            <w:r>
              <w:rPr>
                <w:rFonts w:ascii="黑体"/>
                <w:sz w:val="21"/>
              </w:rPr>
              <w:t>3.2</w:t>
            </w:r>
          </w:p>
        </w:tc>
        <w:tc>
          <w:tcPr>
            <w:tcW w:w="2084" w:type="dxa"/>
          </w:tcPr>
          <w:p>
            <w:pPr>
              <w:pStyle w:val="TableParagraph"/>
              <w:spacing w:before="56"/>
              <w:ind w:left="288"/>
              <w:rPr>
                <w:rFonts w:ascii="黑体" w:eastAsia="黑体" w:hint="eastAsia"/>
                <w:sz w:val="21"/>
              </w:rPr>
            </w:pPr>
            <w:r>
              <w:rPr>
                <w:rFonts w:ascii="黑体" w:eastAsia="黑体" w:hint="eastAsia"/>
                <w:sz w:val="21"/>
              </w:rPr>
              <w:t>保险事故通知</w:t>
            </w:r>
          </w:p>
        </w:tc>
        <w:tc>
          <w:tcPr>
            <w:tcW w:w="7168" w:type="dxa"/>
          </w:tcPr>
          <w:p>
            <w:pPr>
              <w:pStyle w:val="TableParagraph"/>
              <w:spacing w:before="56"/>
              <w:ind w:left="112"/>
              <w:rPr>
                <w:sz w:val="21"/>
              </w:rPr>
            </w:pPr>
            <w:r>
              <w:rPr>
                <w:sz w:val="21"/>
              </w:rPr>
              <w:t>投保人或受益人知道保险事故后应当在 10 日内通知本公司。</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ight="-15"/>
              <w:rPr>
                <w:sz w:val="21"/>
              </w:rPr>
            </w:pPr>
            <w:r>
              <w:rPr>
                <w:spacing w:val="-7"/>
                <w:sz w:val="21"/>
                <w:shd w:fill="A6A6A6" w:color="auto" w:val="clear"/>
              </w:rPr>
              <w:t>如果投保人或受益人故意或者因重大过失未及时通知，致使保险事故的性质、</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shd w:fill="A6A6A6" w:color="auto" w:val="clear"/>
              </w:rPr>
              <w:t>原因、损失程度等难以确定的，本公司对无法确定的部分，不承担给付保险</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shd w:fill="A6A6A6" w:color="auto" w:val="clear"/>
              </w:rPr>
              <w:t>金的责任，</w:t>
            </w:r>
            <w:r>
              <w:rPr>
                <w:sz w:val="21"/>
              </w:rPr>
              <w:t>但本公司通过其他途径已经及时知道或者应当及时知道保险事故</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z w:val="21"/>
              </w:rPr>
              <w:t>发生或者虽未及时通知但不影响本公司确定保险事故的性质、原因、损失程</w:t>
            </w:r>
          </w:p>
        </w:tc>
      </w:tr>
      <w:tr>
        <w:trPr>
          <w:trHeight w:val="391"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度的除外。</w:t>
            </w:r>
          </w:p>
        </w:tc>
      </w:tr>
      <w:tr>
        <w:trPr>
          <w:trHeight w:val="457" w:hRule="atLeast"/>
        </w:trPr>
        <w:tc>
          <w:tcPr>
            <w:tcW w:w="713" w:type="dxa"/>
          </w:tcPr>
          <w:p>
            <w:pPr>
              <w:pStyle w:val="TableParagraph"/>
              <w:spacing w:before="58"/>
              <w:ind w:left="107"/>
              <w:rPr>
                <w:rFonts w:ascii="黑体"/>
                <w:sz w:val="21"/>
              </w:rPr>
            </w:pPr>
            <w:r>
              <w:rPr>
                <w:rFonts w:ascii="黑体"/>
                <w:sz w:val="21"/>
              </w:rPr>
              <w:t>3.3</w:t>
            </w:r>
          </w:p>
        </w:tc>
        <w:tc>
          <w:tcPr>
            <w:tcW w:w="2084" w:type="dxa"/>
          </w:tcPr>
          <w:p>
            <w:pPr>
              <w:pStyle w:val="TableParagraph"/>
              <w:spacing w:before="58"/>
              <w:ind w:left="288"/>
              <w:rPr>
                <w:rFonts w:ascii="黑体" w:eastAsia="黑体" w:hint="eastAsia"/>
                <w:sz w:val="21"/>
              </w:rPr>
            </w:pPr>
            <w:r>
              <w:rPr>
                <w:rFonts w:ascii="黑体" w:eastAsia="黑体" w:hint="eastAsia"/>
                <w:sz w:val="21"/>
              </w:rPr>
              <w:t>保险金申请</w:t>
            </w:r>
          </w:p>
        </w:tc>
        <w:tc>
          <w:tcPr>
            <w:tcW w:w="7168" w:type="dxa"/>
          </w:tcPr>
          <w:p>
            <w:pPr>
              <w:pStyle w:val="TableParagraph"/>
              <w:spacing w:before="58"/>
              <w:ind w:left="112"/>
              <w:rPr>
                <w:sz w:val="21"/>
              </w:rPr>
            </w:pPr>
            <w:r>
              <w:rPr>
                <w:sz w:val="21"/>
              </w:rPr>
              <w:t>在申请保险金时，请按照下列方式办理：</w:t>
            </w:r>
          </w:p>
        </w:tc>
      </w:tr>
      <w:tr>
        <w:trPr>
          <w:trHeight w:val="716" w:hRule="atLeast"/>
        </w:trPr>
        <w:tc>
          <w:tcPr>
            <w:tcW w:w="713" w:type="dxa"/>
          </w:tcPr>
          <w:p>
            <w:pPr>
              <w:pStyle w:val="TableParagraph"/>
              <w:ind w:left="0"/>
              <w:rPr>
                <w:rFonts w:ascii="Times New Roman"/>
                <w:sz w:val="20"/>
              </w:rPr>
            </w:pPr>
          </w:p>
        </w:tc>
        <w:tc>
          <w:tcPr>
            <w:tcW w:w="2084" w:type="dxa"/>
          </w:tcPr>
          <w:p>
            <w:pPr>
              <w:pStyle w:val="TableParagraph"/>
              <w:spacing w:line="266" w:lineRule="auto" w:before="50"/>
              <w:ind w:left="288" w:right="111"/>
              <w:rPr>
                <w:rFonts w:ascii="黑体" w:eastAsia="黑体" w:hint="eastAsia"/>
                <w:i/>
                <w:sz w:val="22"/>
              </w:rPr>
            </w:pPr>
            <w:r>
              <w:rPr>
                <w:rFonts w:ascii="黑体" w:eastAsia="黑体" w:hint="eastAsia"/>
                <w:i/>
                <w:w w:val="95"/>
                <w:sz w:val="22"/>
              </w:rPr>
              <w:t>重大疾病保险金的申请</w:t>
            </w:r>
          </w:p>
        </w:tc>
        <w:tc>
          <w:tcPr>
            <w:tcW w:w="7168" w:type="dxa"/>
          </w:tcPr>
          <w:p>
            <w:pPr>
              <w:pStyle w:val="TableParagraph"/>
              <w:spacing w:before="61"/>
              <w:ind w:left="112"/>
              <w:rPr>
                <w:sz w:val="21"/>
              </w:rPr>
            </w:pPr>
            <w:r>
              <w:rPr>
                <w:sz w:val="21"/>
              </w:rPr>
              <w:t>受益人须填写保险金给付申请书，并提供下列证明和资料：</w:t>
            </w:r>
          </w:p>
          <w:p>
            <w:pPr>
              <w:pStyle w:val="TableParagraph"/>
              <w:spacing w:before="43"/>
              <w:ind w:left="112"/>
              <w:rPr>
                <w:sz w:val="21"/>
              </w:rPr>
            </w:pPr>
            <w:r>
              <w:rPr>
                <w:sz w:val="21"/>
              </w:rPr>
              <w:t>(1)保险合同或保险凭证；</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w w:val="100"/>
                <w:sz w:val="21"/>
              </w:rPr>
              <w:t>(2)</w:t>
            </w:r>
            <w:r>
              <w:rPr>
                <w:spacing w:val="-3"/>
                <w:w w:val="100"/>
                <w:sz w:val="21"/>
              </w:rPr>
              <w:t>受益人的</w:t>
            </w:r>
            <w:r>
              <w:rPr>
                <w:b/>
                <w:spacing w:val="-1"/>
                <w:w w:val="100"/>
                <w:sz w:val="21"/>
              </w:rPr>
              <w:t>有效身份证件</w:t>
            </w:r>
            <w:r>
              <w:rPr>
                <w:b/>
                <w:w w:val="100"/>
                <w:sz w:val="21"/>
              </w:rPr>
              <w:t>（见释义</w:t>
            </w:r>
            <w:r>
              <w:rPr>
                <w:b/>
                <w:spacing w:val="-106"/>
                <w:w w:val="100"/>
                <w:sz w:val="21"/>
              </w:rPr>
              <w:t>）</w:t>
            </w:r>
            <w:r>
              <w:rPr>
                <w:w w:val="100"/>
                <w:sz w:val="21"/>
              </w:rPr>
              <w:t>；</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(3)卫生行政部门认定的二级以上公立医院出具的附有病理显微镜检查、血液</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检验及其它科学方法检验报告的疾病诊断证明书；</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z w:val="21"/>
              </w:rPr>
              <w:t>(4)所能提供的与确认保险事故的性质、原因等有关的其他证明和资料。</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若申请人为未成年人或无民事行为能力人时，由其合法监护人代其申请领取</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保险金，其合法监护人还必须提供申请人为未成年人或无民事行为能力人的</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z w:val="21"/>
              </w:rPr>
              <w:t>证明和监护人具有合法监护权的证明。</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以上保险金申请的证明和资料不完整的，本公司将及时一次性通知受益人补</w:t>
            </w:r>
          </w:p>
        </w:tc>
      </w:tr>
      <w:tr>
        <w:trPr>
          <w:trHeight w:val="391"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充提供有关证明和资料。</w:t>
            </w:r>
          </w:p>
        </w:tc>
      </w:tr>
      <w:tr>
        <w:trPr>
          <w:trHeight w:val="391" w:hRule="atLeast"/>
        </w:trPr>
        <w:tc>
          <w:tcPr>
            <w:tcW w:w="713" w:type="dxa"/>
          </w:tcPr>
          <w:p>
            <w:pPr>
              <w:pStyle w:val="TableParagraph"/>
              <w:spacing w:before="58"/>
              <w:ind w:left="107"/>
              <w:rPr>
                <w:rFonts w:ascii="黑体"/>
                <w:sz w:val="21"/>
              </w:rPr>
            </w:pPr>
            <w:r>
              <w:rPr>
                <w:rFonts w:ascii="黑体"/>
                <w:sz w:val="21"/>
              </w:rPr>
              <w:t>3.4</w:t>
            </w:r>
          </w:p>
        </w:tc>
        <w:tc>
          <w:tcPr>
            <w:tcW w:w="2084" w:type="dxa"/>
          </w:tcPr>
          <w:p>
            <w:pPr>
              <w:pStyle w:val="TableParagraph"/>
              <w:spacing w:before="58"/>
              <w:ind w:left="288"/>
              <w:rPr>
                <w:rFonts w:ascii="黑体" w:eastAsia="黑体" w:hint="eastAsia"/>
                <w:sz w:val="21"/>
              </w:rPr>
            </w:pPr>
            <w:r>
              <w:rPr>
                <w:rFonts w:ascii="黑体" w:eastAsia="黑体" w:hint="eastAsia"/>
                <w:sz w:val="21"/>
              </w:rPr>
              <w:t>保险金给付</w:t>
            </w:r>
          </w:p>
        </w:tc>
        <w:tc>
          <w:tcPr>
            <w:tcW w:w="7168" w:type="dxa"/>
          </w:tcPr>
          <w:p>
            <w:pPr>
              <w:pStyle w:val="TableParagraph"/>
              <w:spacing w:before="58"/>
              <w:ind w:left="112"/>
              <w:rPr>
                <w:sz w:val="21"/>
              </w:rPr>
            </w:pPr>
            <w:r>
              <w:rPr>
                <w:sz w:val="21"/>
              </w:rPr>
              <w:t>本公司在收到保险金给付申请书及合同约定的证明和资料后，将在 5 日内作</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pacing w:val="-11"/>
                <w:sz w:val="21"/>
              </w:rPr>
              <w:t>出核定；情形复杂的，在 </w:t>
            </w:r>
            <w:r>
              <w:rPr>
                <w:sz w:val="21"/>
              </w:rPr>
              <w:t>30</w:t>
            </w:r>
            <w:r>
              <w:rPr>
                <w:spacing w:val="-11"/>
                <w:sz w:val="21"/>
              </w:rPr>
              <w:t> 日内作出核定。对属于保险责任的，本公司在与</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z w:val="21"/>
              </w:rPr>
              <w:t>受益人达成给付保险金的协议后 10 日内，履行给付保险金义务。</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本公司未及时履行前款规定义务的，除支付保险金外，应当赔偿受益人因此</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受到的损失。前述“损失”是指根据中国人民银行公布的同期人民币活期存</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z w:val="21"/>
              </w:rPr>
              <w:t>款基准利率计算的利息损失。</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对不属于保险责任的，本公司自作出核定之日起 3 日内向受益人发出拒绝给</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付保险金通知书并说明理由。</w:t>
            </w:r>
          </w:p>
        </w:tc>
      </w:tr>
      <w:tr>
        <w:trPr>
          <w:trHeight w:val="320"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2" w:lineRule="exact"/>
              <w:ind w:left="112"/>
              <w:rPr>
                <w:sz w:val="21"/>
              </w:rPr>
            </w:pPr>
            <w:r>
              <w:rPr>
                <w:spacing w:val="-5"/>
                <w:sz w:val="21"/>
              </w:rPr>
              <w:t>本公司在收到保险金给付申请书及有关证明和资料之日起 </w:t>
            </w:r>
            <w:r>
              <w:rPr>
                <w:sz w:val="21"/>
              </w:rPr>
              <w:t>60</w:t>
            </w:r>
            <w:r>
              <w:rPr>
                <w:spacing w:val="-19"/>
                <w:sz w:val="21"/>
              </w:rPr>
              <w:t> 日内，对给付保</w:t>
            </w:r>
          </w:p>
        </w:tc>
      </w:tr>
      <w:tr>
        <w:trPr>
          <w:trHeight w:val="319"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险金的数额不能确定的，根据已有证明和资料可以确定的数额先予支付；本</w:t>
            </w:r>
          </w:p>
        </w:tc>
      </w:tr>
      <w:tr>
        <w:trPr>
          <w:trHeight w:val="391"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公司最终确定给付保险金的数额后，将支付相应的差额。</w:t>
            </w:r>
          </w:p>
        </w:tc>
      </w:tr>
      <w:tr>
        <w:trPr>
          <w:trHeight w:val="391" w:hRule="atLeast"/>
        </w:trPr>
        <w:tc>
          <w:tcPr>
            <w:tcW w:w="713" w:type="dxa"/>
          </w:tcPr>
          <w:p>
            <w:pPr>
              <w:pStyle w:val="TableParagraph"/>
              <w:spacing w:before="58"/>
              <w:ind w:left="107"/>
              <w:rPr>
                <w:rFonts w:ascii="黑体"/>
                <w:sz w:val="21"/>
              </w:rPr>
            </w:pPr>
            <w:r>
              <w:rPr>
                <w:rFonts w:ascii="黑体"/>
                <w:sz w:val="21"/>
              </w:rPr>
              <w:t>3.5</w:t>
            </w:r>
          </w:p>
        </w:tc>
        <w:tc>
          <w:tcPr>
            <w:tcW w:w="2084" w:type="dxa"/>
          </w:tcPr>
          <w:p>
            <w:pPr>
              <w:pStyle w:val="TableParagraph"/>
              <w:spacing w:before="58"/>
              <w:ind w:left="288"/>
              <w:rPr>
                <w:rFonts w:ascii="黑体" w:eastAsia="黑体" w:hint="eastAsia"/>
                <w:sz w:val="21"/>
              </w:rPr>
            </w:pPr>
            <w:r>
              <w:rPr>
                <w:rFonts w:ascii="黑体" w:eastAsia="黑体" w:hint="eastAsia"/>
                <w:sz w:val="21"/>
              </w:rPr>
              <w:t>诉讼时效</w:t>
            </w:r>
          </w:p>
        </w:tc>
        <w:tc>
          <w:tcPr>
            <w:tcW w:w="7168" w:type="dxa"/>
          </w:tcPr>
          <w:p>
            <w:pPr>
              <w:pStyle w:val="TableParagraph"/>
              <w:spacing w:before="58"/>
              <w:ind w:left="112"/>
              <w:rPr>
                <w:sz w:val="21"/>
              </w:rPr>
            </w:pPr>
            <w:r>
              <w:rPr>
                <w:sz w:val="21"/>
              </w:rPr>
              <w:t>受益人向本公司请求给付保险金的诉讼时效期间为 2 年，自其知道或者应当</w:t>
            </w:r>
          </w:p>
        </w:tc>
      </w:tr>
      <w:tr>
        <w:trPr>
          <w:trHeight w:val="583"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line="261" w:lineRule="exact"/>
              <w:ind w:left="112"/>
              <w:rPr>
                <w:sz w:val="21"/>
              </w:rPr>
            </w:pPr>
            <w:r>
              <w:rPr>
                <w:sz w:val="21"/>
              </w:rPr>
              <w:t>知道保险事故发生之日起计算。</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4．</w:t>
            </w:r>
          </w:p>
        </w:tc>
        <w:tc>
          <w:tcPr>
            <w:tcW w:w="2084"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保险费的支付</w:t>
            </w:r>
          </w:p>
        </w:tc>
        <w:tc>
          <w:tcPr>
            <w:tcW w:w="7168" w:type="dxa"/>
            <w:shd w:val="clear" w:color="auto" w:fill="A6A6A6"/>
          </w:tcPr>
          <w:p>
            <w:pPr>
              <w:pStyle w:val="TableParagraph"/>
              <w:ind w:left="0"/>
              <w:rPr>
                <w:rFonts w:ascii="Times New Roman"/>
                <w:sz w:val="20"/>
              </w:rPr>
            </w:pPr>
          </w:p>
        </w:tc>
      </w:tr>
      <w:tr>
        <w:trPr>
          <w:trHeight w:val="482" w:hRule="atLeast"/>
        </w:trPr>
        <w:tc>
          <w:tcPr>
            <w:tcW w:w="713" w:type="dxa"/>
          </w:tcPr>
          <w:p>
            <w:pPr>
              <w:pStyle w:val="TableParagraph"/>
              <w:spacing w:before="149"/>
              <w:ind w:left="107"/>
              <w:rPr>
                <w:rFonts w:ascii="黑体"/>
                <w:sz w:val="21"/>
              </w:rPr>
            </w:pPr>
            <w:r>
              <w:rPr>
                <w:rFonts w:ascii="黑体"/>
                <w:sz w:val="21"/>
              </w:rPr>
              <w:t>4.1</w:t>
            </w:r>
          </w:p>
        </w:tc>
        <w:tc>
          <w:tcPr>
            <w:tcW w:w="2084" w:type="dxa"/>
          </w:tcPr>
          <w:p>
            <w:pPr>
              <w:pStyle w:val="TableParagraph"/>
              <w:spacing w:before="149"/>
              <w:ind w:left="288"/>
              <w:rPr>
                <w:rFonts w:ascii="黑体" w:eastAsia="黑体" w:hint="eastAsia"/>
                <w:sz w:val="21"/>
              </w:rPr>
            </w:pPr>
            <w:r>
              <w:rPr>
                <w:rFonts w:ascii="黑体" w:eastAsia="黑体" w:hint="eastAsia"/>
                <w:sz w:val="21"/>
              </w:rPr>
              <w:t>保险费的支付</w:t>
            </w:r>
          </w:p>
        </w:tc>
        <w:tc>
          <w:tcPr>
            <w:tcW w:w="7168" w:type="dxa"/>
          </w:tcPr>
          <w:p>
            <w:pPr>
              <w:pStyle w:val="TableParagraph"/>
              <w:spacing w:before="149"/>
              <w:ind w:left="112"/>
              <w:rPr>
                <w:sz w:val="21"/>
              </w:rPr>
            </w:pPr>
            <w:r>
              <w:rPr>
                <w:sz w:val="21"/>
              </w:rPr>
              <w:t>投保人应于投保时一次性交清全部保险费或按本公司约定的其他方式支付保</w:t>
            </w:r>
          </w:p>
        </w:tc>
      </w:tr>
      <w:tr>
        <w:trPr>
          <w:trHeight w:val="265" w:hRule="atLeast"/>
        </w:trPr>
        <w:tc>
          <w:tcPr>
            <w:tcW w:w="713" w:type="dxa"/>
          </w:tcPr>
          <w:p>
            <w:pPr>
              <w:pStyle w:val="TableParagraph"/>
              <w:ind w:left="0"/>
              <w:rPr>
                <w:rFonts w:ascii="Times New Roman"/>
                <w:sz w:val="18"/>
              </w:rPr>
            </w:pPr>
          </w:p>
        </w:tc>
        <w:tc>
          <w:tcPr>
            <w:tcW w:w="2084" w:type="dxa"/>
          </w:tcPr>
          <w:p>
            <w:pPr>
              <w:pStyle w:val="TableParagraph"/>
              <w:ind w:left="0"/>
              <w:rPr>
                <w:rFonts w:ascii="Times New Roman"/>
                <w:sz w:val="18"/>
              </w:rPr>
            </w:pPr>
          </w:p>
        </w:tc>
        <w:tc>
          <w:tcPr>
            <w:tcW w:w="7168" w:type="dxa"/>
          </w:tcPr>
          <w:p>
            <w:pPr>
              <w:pStyle w:val="TableParagraph"/>
              <w:spacing w:line="245" w:lineRule="exact"/>
              <w:ind w:left="112"/>
              <w:rPr>
                <w:sz w:val="21"/>
              </w:rPr>
            </w:pPr>
            <w:r>
              <w:rPr>
                <w:sz w:val="21"/>
              </w:rPr>
              <w:t>险费。</w:t>
            </w:r>
          </w:p>
        </w:tc>
      </w:tr>
    </w:tbl>
    <w:p>
      <w:pPr>
        <w:spacing w:after="0" w:line="245" w:lineRule="exact"/>
        <w:rPr>
          <w:sz w:val="21"/>
        </w:rPr>
        <w:sectPr>
          <w:pgSz w:w="11910" w:h="16840"/>
          <w:pgMar w:top="148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4"/>
        <w:gridCol w:w="7168"/>
      </w:tblGrid>
      <w:tr>
        <w:trPr>
          <w:trHeight w:val="319" w:hRule="atLeast"/>
        </w:trPr>
        <w:tc>
          <w:tcPr>
            <w:tcW w:w="713" w:type="dxa"/>
            <w:shd w:val="clear" w:color="auto" w:fill="A6A6A6"/>
          </w:tcPr>
          <w:p>
            <w:pPr>
              <w:pStyle w:val="TableParagraph"/>
              <w:spacing w:before="12"/>
              <w:ind w:left="107"/>
              <w:rPr>
                <w:rFonts w:ascii="黑体" w:eastAsia="黑体" w:hint="eastAsia"/>
                <w:b/>
                <w:sz w:val="21"/>
              </w:rPr>
            </w:pPr>
            <w:r>
              <w:rPr>
                <w:rFonts w:ascii="黑体" w:eastAsia="黑体" w:hint="eastAsia"/>
                <w:b/>
                <w:sz w:val="21"/>
              </w:rPr>
              <w:t>5．</w:t>
            </w:r>
          </w:p>
        </w:tc>
        <w:tc>
          <w:tcPr>
            <w:tcW w:w="2084" w:type="dxa"/>
            <w:shd w:val="clear" w:color="auto" w:fill="A6A6A6"/>
          </w:tcPr>
          <w:p>
            <w:pPr>
              <w:pStyle w:val="TableParagraph"/>
              <w:spacing w:before="12"/>
              <w:ind w:left="288"/>
              <w:rPr>
                <w:rFonts w:ascii="黑体" w:eastAsia="黑体" w:hint="eastAsia"/>
                <w:b/>
                <w:sz w:val="21"/>
              </w:rPr>
            </w:pPr>
            <w:r>
              <w:rPr>
                <w:rFonts w:ascii="黑体" w:eastAsia="黑体" w:hint="eastAsia"/>
                <w:b/>
                <w:sz w:val="21"/>
              </w:rPr>
              <w:t>被保险人的变动</w:t>
            </w:r>
          </w:p>
        </w:tc>
        <w:tc>
          <w:tcPr>
            <w:tcW w:w="7168" w:type="dxa"/>
            <w:shd w:val="clear" w:color="auto" w:fill="A6A6A6"/>
          </w:tcPr>
          <w:p>
            <w:pPr>
              <w:pStyle w:val="TableParagraph"/>
              <w:ind w:left="0"/>
              <w:rPr>
                <w:rFonts w:ascii="Times New Roman"/>
                <w:sz w:val="20"/>
              </w:rPr>
            </w:pPr>
          </w:p>
        </w:tc>
      </w:tr>
      <w:tr>
        <w:trPr>
          <w:trHeight w:val="4265" w:hRule="atLeast"/>
        </w:trPr>
        <w:tc>
          <w:tcPr>
            <w:tcW w:w="713" w:type="dxa"/>
          </w:tcPr>
          <w:p>
            <w:pPr>
              <w:pStyle w:val="TableParagraph"/>
              <w:spacing w:before="153"/>
              <w:ind w:left="107"/>
              <w:rPr>
                <w:rFonts w:ascii="黑体"/>
                <w:sz w:val="21"/>
              </w:rPr>
            </w:pPr>
            <w:r>
              <w:rPr>
                <w:rFonts w:ascii="黑体"/>
                <w:sz w:val="21"/>
              </w:rPr>
              <w:t>5.1</w:t>
            </w:r>
          </w:p>
        </w:tc>
        <w:tc>
          <w:tcPr>
            <w:tcW w:w="2084" w:type="dxa"/>
          </w:tcPr>
          <w:p>
            <w:pPr>
              <w:pStyle w:val="TableParagraph"/>
              <w:spacing w:before="153"/>
              <w:ind w:left="288"/>
              <w:rPr>
                <w:rFonts w:ascii="黑体" w:eastAsia="黑体" w:hint="eastAsia"/>
                <w:sz w:val="21"/>
              </w:rPr>
            </w:pPr>
            <w:r>
              <w:rPr>
                <w:rFonts w:ascii="黑体" w:eastAsia="黑体" w:hint="eastAsia"/>
                <w:sz w:val="21"/>
              </w:rPr>
              <w:t>被保险人变动</w:t>
            </w:r>
          </w:p>
        </w:tc>
        <w:tc>
          <w:tcPr>
            <w:tcW w:w="7168" w:type="dxa"/>
          </w:tcPr>
          <w:p>
            <w:pPr>
              <w:pStyle w:val="TableParagraph"/>
              <w:spacing w:line="280" w:lineRule="auto" w:before="153"/>
              <w:ind w:left="112" w:right="101"/>
              <w:jc w:val="both"/>
              <w:rPr>
                <w:sz w:val="21"/>
              </w:rPr>
            </w:pPr>
            <w:r>
              <w:rPr>
                <w:sz w:val="21"/>
              </w:rPr>
              <w:t>(1)</w:t>
            </w:r>
            <w:r>
              <w:rPr>
                <w:spacing w:val="-11"/>
                <w:sz w:val="21"/>
              </w:rPr>
              <w:t>在保险合同有效期内，投保人因参加本保险的团体成员变动需要增加被保</w:t>
            </w:r>
            <w:r>
              <w:rPr>
                <w:spacing w:val="-8"/>
                <w:sz w:val="21"/>
              </w:rPr>
              <w:t>险人的，应书面通知本公司，本公司审核同意并收取保险费的次日零时起， </w:t>
            </w:r>
            <w:r>
              <w:rPr>
                <w:spacing w:val="-5"/>
                <w:sz w:val="21"/>
              </w:rPr>
              <w:t>开始对新增的被保险人承担保险责任。</w:t>
            </w:r>
          </w:p>
          <w:p>
            <w:pPr>
              <w:pStyle w:val="TableParagraph"/>
              <w:spacing w:line="278" w:lineRule="auto" w:before="8"/>
              <w:ind w:left="112" w:right="101"/>
              <w:jc w:val="both"/>
              <w:rPr>
                <w:sz w:val="21"/>
              </w:rPr>
            </w:pPr>
            <w:r>
              <w:rPr>
                <w:sz w:val="21"/>
              </w:rPr>
              <w:t>(2)</w:t>
            </w:r>
            <w:r>
              <w:rPr>
                <w:spacing w:val="-11"/>
                <w:sz w:val="21"/>
              </w:rPr>
              <w:t>在保险合同有效期内，投保人因被保险人离职或其他原因需要减少被保险</w:t>
            </w:r>
            <w:r>
              <w:rPr>
                <w:spacing w:val="-8"/>
                <w:sz w:val="21"/>
              </w:rPr>
              <w:t>人的，应书面通知本公司，本公司对相应被保险人的保险责任自通知到达时</w:t>
            </w:r>
            <w:r>
              <w:rPr>
                <w:spacing w:val="-6"/>
                <w:sz w:val="21"/>
              </w:rPr>
              <w:t>终止。若该被保险人未发生理赔，本公司将向投保人退回该被保险人对应的</w:t>
            </w:r>
            <w:r>
              <w:rPr>
                <w:b/>
                <w:spacing w:val="-13"/>
                <w:sz w:val="21"/>
              </w:rPr>
              <w:t>现金价值</w:t>
            </w:r>
            <w:r>
              <w:rPr>
                <w:b/>
                <w:sz w:val="21"/>
              </w:rPr>
              <w:t>（</w:t>
            </w:r>
            <w:r>
              <w:rPr>
                <w:b/>
                <w:spacing w:val="-2"/>
                <w:sz w:val="21"/>
              </w:rPr>
              <w:t>见释义</w:t>
            </w:r>
            <w:r>
              <w:rPr>
                <w:b/>
                <w:spacing w:val="-70"/>
                <w:sz w:val="21"/>
              </w:rPr>
              <w:t>）</w:t>
            </w:r>
            <w:r>
              <w:rPr>
                <w:spacing w:val="-12"/>
                <w:sz w:val="21"/>
              </w:rPr>
              <w:t>；若该被保险人已发生理赔给付，本公司将不退回该被保</w:t>
            </w:r>
            <w:r>
              <w:rPr>
                <w:spacing w:val="-6"/>
                <w:sz w:val="21"/>
              </w:rPr>
              <w:t>险人对应的现金价值。</w:t>
            </w:r>
          </w:p>
          <w:p>
            <w:pPr>
              <w:pStyle w:val="TableParagraph"/>
              <w:spacing w:line="280" w:lineRule="auto" w:before="12"/>
              <w:ind w:left="112" w:right="101"/>
              <w:jc w:val="both"/>
              <w:rPr>
                <w:sz w:val="21"/>
              </w:rPr>
            </w:pPr>
            <w:r>
              <w:rPr>
                <w:sz w:val="21"/>
              </w:rPr>
              <w:t>(3)</w:t>
            </w:r>
            <w:r>
              <w:rPr>
                <w:spacing w:val="-6"/>
                <w:sz w:val="21"/>
              </w:rPr>
              <w:t>本合同的参保人数或参保比例不符合保险监督管理机构的相关规定时，本</w:t>
            </w:r>
            <w:r>
              <w:rPr>
                <w:spacing w:val="-5"/>
                <w:sz w:val="21"/>
              </w:rPr>
              <w:t>公司有权解除本合同。若该被保险人未发生理赔，本公司将向投保人退回该被保险人对应的现金价值；若该被保险人已发生理赔，本公司将不退回该被</w:t>
            </w:r>
            <w:r>
              <w:rPr>
                <w:spacing w:val="-4"/>
                <w:sz w:val="21"/>
              </w:rPr>
              <w:t>保险人对应的现金价值。</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6．</w:t>
            </w:r>
          </w:p>
        </w:tc>
        <w:tc>
          <w:tcPr>
            <w:tcW w:w="2084"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合同解除</w:t>
            </w:r>
          </w:p>
        </w:tc>
        <w:tc>
          <w:tcPr>
            <w:tcW w:w="7168" w:type="dxa"/>
            <w:shd w:val="clear" w:color="auto" w:fill="A6A6A6"/>
          </w:tcPr>
          <w:p>
            <w:pPr>
              <w:pStyle w:val="TableParagraph"/>
              <w:ind w:left="0"/>
              <w:rPr>
                <w:rFonts w:ascii="Times New Roman"/>
                <w:sz w:val="20"/>
              </w:rPr>
            </w:pPr>
          </w:p>
        </w:tc>
      </w:tr>
      <w:tr>
        <w:trPr>
          <w:trHeight w:val="2347" w:hRule="atLeast"/>
        </w:trPr>
        <w:tc>
          <w:tcPr>
            <w:tcW w:w="713" w:type="dxa"/>
          </w:tcPr>
          <w:p>
            <w:pPr>
              <w:pStyle w:val="TableParagraph"/>
              <w:spacing w:before="155"/>
              <w:ind w:left="107"/>
              <w:rPr>
                <w:rFonts w:ascii="黑体"/>
                <w:sz w:val="21"/>
              </w:rPr>
            </w:pPr>
            <w:r>
              <w:rPr>
                <w:rFonts w:ascii="黑体"/>
                <w:sz w:val="21"/>
              </w:rPr>
              <w:t>6.1</w:t>
            </w:r>
          </w:p>
        </w:tc>
        <w:tc>
          <w:tcPr>
            <w:tcW w:w="2084" w:type="dxa"/>
          </w:tcPr>
          <w:p>
            <w:pPr>
              <w:pStyle w:val="TableParagraph"/>
              <w:spacing w:line="278" w:lineRule="auto" w:before="155"/>
              <w:ind w:left="288" w:right="111"/>
              <w:rPr>
                <w:rFonts w:ascii="黑体" w:eastAsia="黑体" w:hint="eastAsia"/>
                <w:sz w:val="21"/>
              </w:rPr>
            </w:pPr>
            <w:r>
              <w:rPr>
                <w:rFonts w:ascii="黑体" w:eastAsia="黑体" w:hint="eastAsia"/>
                <w:sz w:val="21"/>
              </w:rPr>
              <w:t>投保人解除合同的手续及风险</w:t>
            </w:r>
          </w:p>
        </w:tc>
        <w:tc>
          <w:tcPr>
            <w:tcW w:w="7168" w:type="dxa"/>
          </w:tcPr>
          <w:p>
            <w:pPr>
              <w:pStyle w:val="TableParagraph"/>
              <w:spacing w:before="155"/>
              <w:ind w:left="112"/>
              <w:rPr>
                <w:sz w:val="21"/>
              </w:rPr>
            </w:pPr>
            <w:r>
              <w:rPr>
                <w:spacing w:val="-11"/>
                <w:sz w:val="21"/>
              </w:rPr>
              <w:t>如投保人申请解除本合同，请填写解除合同申请书并向本公司提供下列资料：</w:t>
            </w:r>
          </w:p>
          <w:p>
            <w:pPr>
              <w:pStyle w:val="TableParagraph"/>
              <w:spacing w:before="44"/>
              <w:ind w:left="112"/>
              <w:rPr>
                <w:sz w:val="21"/>
              </w:rPr>
            </w:pPr>
            <w:r>
              <w:rPr>
                <w:sz w:val="21"/>
              </w:rPr>
              <w:t>(1)保险合同；</w:t>
            </w:r>
          </w:p>
          <w:p>
            <w:pPr>
              <w:pStyle w:val="TableParagraph"/>
              <w:spacing w:before="44"/>
              <w:ind w:left="112"/>
              <w:rPr>
                <w:sz w:val="21"/>
              </w:rPr>
            </w:pPr>
            <w:r>
              <w:rPr>
                <w:sz w:val="21"/>
              </w:rPr>
              <w:t>(2)投保人有效身份证件。</w:t>
            </w:r>
          </w:p>
          <w:p>
            <w:pPr>
              <w:pStyle w:val="TableParagraph"/>
              <w:spacing w:line="278" w:lineRule="auto" w:before="46"/>
              <w:ind w:left="112" w:right="116"/>
              <w:rPr>
                <w:sz w:val="21"/>
              </w:rPr>
            </w:pPr>
            <w:r>
              <w:rPr>
                <w:sz w:val="21"/>
              </w:rPr>
              <w:t>自本公司收到解除合同申请书时起，本合同终止。本公司自收到解除合同申请书之日起 30 日内向投保人退还保险单的现金价值。</w:t>
            </w:r>
          </w:p>
          <w:p>
            <w:pPr>
              <w:pStyle w:val="TableParagraph"/>
              <w:spacing w:before="11"/>
              <w:ind w:left="112"/>
              <w:rPr>
                <w:sz w:val="21"/>
              </w:rPr>
            </w:pPr>
            <w:r>
              <w:rPr>
                <w:sz w:val="21"/>
              </w:rPr>
              <w:t>投保人解除合同会遭受一定损失。</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7．</w:t>
            </w:r>
          </w:p>
        </w:tc>
        <w:tc>
          <w:tcPr>
            <w:tcW w:w="9252" w:type="dxa"/>
            <w:gridSpan w:val="2"/>
            <w:shd w:val="clear" w:color="auto" w:fill="A6A6A6"/>
          </w:tcPr>
          <w:p>
            <w:pPr>
              <w:pStyle w:val="TableParagraph"/>
              <w:spacing w:before="11"/>
              <w:ind w:left="288"/>
              <w:rPr>
                <w:rFonts w:ascii="黑体" w:eastAsia="黑体" w:hint="eastAsia"/>
                <w:b/>
                <w:sz w:val="21"/>
              </w:rPr>
            </w:pPr>
            <w:r>
              <w:rPr>
                <w:rFonts w:ascii="黑体" w:eastAsia="黑体" w:hint="eastAsia"/>
                <w:b/>
                <w:sz w:val="21"/>
              </w:rPr>
              <w:t>其他需要关注的事项</w:t>
            </w:r>
          </w:p>
        </w:tc>
      </w:tr>
      <w:tr>
        <w:trPr>
          <w:trHeight w:val="5869" w:hRule="atLeast"/>
        </w:trPr>
        <w:tc>
          <w:tcPr>
            <w:tcW w:w="713" w:type="dxa"/>
          </w:tcPr>
          <w:p>
            <w:pPr>
              <w:pStyle w:val="TableParagraph"/>
              <w:spacing w:before="153"/>
              <w:ind w:left="107"/>
              <w:rPr>
                <w:rFonts w:ascii="黑体"/>
                <w:sz w:val="21"/>
              </w:rPr>
            </w:pPr>
            <w:r>
              <w:rPr>
                <w:rFonts w:ascii="黑体"/>
                <w:sz w:val="21"/>
              </w:rPr>
              <w:t>7.1</w:t>
            </w:r>
          </w:p>
        </w:tc>
        <w:tc>
          <w:tcPr>
            <w:tcW w:w="2084" w:type="dxa"/>
          </w:tcPr>
          <w:p>
            <w:pPr>
              <w:pStyle w:val="TableParagraph"/>
              <w:spacing w:line="278" w:lineRule="auto" w:before="153"/>
              <w:ind w:left="288" w:right="111"/>
              <w:rPr>
                <w:rFonts w:ascii="黑体" w:eastAsia="黑体" w:hint="eastAsia"/>
                <w:sz w:val="21"/>
              </w:rPr>
            </w:pPr>
            <w:r>
              <w:rPr>
                <w:rFonts w:ascii="黑体" w:eastAsia="黑体" w:hint="eastAsia"/>
                <w:sz w:val="21"/>
              </w:rPr>
              <w:t>明确说明与如实告知</w:t>
            </w:r>
          </w:p>
        </w:tc>
        <w:tc>
          <w:tcPr>
            <w:tcW w:w="7168" w:type="dxa"/>
          </w:tcPr>
          <w:p>
            <w:pPr>
              <w:pStyle w:val="TableParagraph"/>
              <w:spacing w:before="153"/>
              <w:ind w:left="112"/>
              <w:rPr>
                <w:sz w:val="21"/>
              </w:rPr>
            </w:pPr>
            <w:r>
              <w:rPr>
                <w:sz w:val="21"/>
              </w:rPr>
              <w:t>订立本合同时，本公司应向投保人说明本合同的内容。</w:t>
            </w:r>
          </w:p>
          <w:p>
            <w:pPr>
              <w:pStyle w:val="TableParagraph"/>
              <w:spacing w:line="278" w:lineRule="auto" w:before="44"/>
              <w:ind w:left="112" w:right="-15"/>
              <w:rPr>
                <w:sz w:val="21"/>
              </w:rPr>
            </w:pPr>
            <w:r>
              <w:rPr>
                <w:spacing w:val="-3"/>
                <w:sz w:val="21"/>
              </w:rPr>
              <w:t>对保险条款中免除本公司责任的条款，本公司在订立合同时应当在投保单、保险单或者其他保险凭证上作出足以引起投保人注意的提示，并对该条款的</w:t>
            </w:r>
            <w:r>
              <w:rPr>
                <w:spacing w:val="-7"/>
                <w:sz w:val="21"/>
              </w:rPr>
              <w:t>内容以书面或者口头形式向投保人作出明确说明，未作提示或者明确说明的， </w:t>
            </w:r>
            <w:r>
              <w:rPr>
                <w:spacing w:val="-5"/>
                <w:sz w:val="21"/>
              </w:rPr>
              <w:t>该条款不产生效力。</w:t>
            </w:r>
          </w:p>
          <w:p>
            <w:pPr>
              <w:pStyle w:val="TableParagraph"/>
              <w:spacing w:line="280" w:lineRule="auto" w:before="13"/>
              <w:ind w:left="112" w:right="116"/>
              <w:rPr>
                <w:sz w:val="21"/>
              </w:rPr>
            </w:pPr>
            <w:r>
              <w:rPr>
                <w:spacing w:val="-3"/>
                <w:sz w:val="21"/>
              </w:rPr>
              <w:t>本公司就投保人和被保险人的有关情况提出询问，投保人应当如实告知。 如果投保人故意或者因重大过失未履行前款规定的如实告知义务，足以影响本公司决定是否同意承保或者提高保险费率的，本公司有权解除本合同或终止对该被保险人的保险责任。</w:t>
            </w:r>
          </w:p>
          <w:p>
            <w:pPr>
              <w:pStyle w:val="TableParagraph"/>
              <w:spacing w:line="280" w:lineRule="auto" w:before="8"/>
              <w:ind w:left="112" w:right="102"/>
              <w:jc w:val="both"/>
              <w:rPr>
                <w:sz w:val="21"/>
              </w:rPr>
            </w:pPr>
            <w:r>
              <w:rPr>
                <w:spacing w:val="-3"/>
                <w:sz w:val="21"/>
                <w:shd w:fill="A6A6A6" w:color="auto" w:val="clear"/>
              </w:rPr>
              <w:t>如果投保人故意不履行如实告知义务，对于本合同解除前或终止对该被保险人的保险责任前发生的保险事故，本</w:t>
            </w:r>
            <w:r>
              <w:rPr>
                <w:spacing w:val="-212"/>
                <w:sz w:val="21"/>
                <w:shd w:fill="A6A6A6" w:color="auto" w:val="clear"/>
              </w:rPr>
              <w:t>公</w:t>
            </w:r>
            <w:r>
              <w:rPr>
                <w:spacing w:val="-3"/>
                <w:sz w:val="21"/>
                <w:shd w:fill="A6A6A6" w:color="auto" w:val="clear"/>
              </w:rPr>
              <w:t>司不承担给付保险金的责任，并不退还</w:t>
            </w:r>
            <w:r>
              <w:rPr>
                <w:spacing w:val="-2"/>
                <w:sz w:val="21"/>
                <w:shd w:fill="A6A6A6" w:color="auto" w:val="clear"/>
              </w:rPr>
              <w:t>保险费。</w:t>
            </w:r>
          </w:p>
          <w:p>
            <w:pPr>
              <w:pStyle w:val="TableParagraph"/>
              <w:spacing w:line="280" w:lineRule="auto" w:before="8"/>
              <w:ind w:left="112" w:right="102"/>
              <w:jc w:val="both"/>
              <w:rPr>
                <w:sz w:val="21"/>
              </w:rPr>
            </w:pPr>
            <w:r>
              <w:rPr>
                <w:spacing w:val="-3"/>
                <w:sz w:val="21"/>
                <w:shd w:fill="A6A6A6" w:color="auto" w:val="clear"/>
              </w:rPr>
              <w:t>如果投保人因重大过失未履行如实告知义务，对保险事故的发生有严重影响的，对于本合同解</w:t>
            </w:r>
            <w:r>
              <w:rPr>
                <w:spacing w:val="-212"/>
                <w:sz w:val="21"/>
                <w:shd w:fill="A6A6A6" w:color="auto" w:val="clear"/>
              </w:rPr>
              <w:t>除</w:t>
            </w:r>
            <w:r>
              <w:rPr>
                <w:spacing w:val="-3"/>
                <w:sz w:val="21"/>
                <w:shd w:fill="A6A6A6" w:color="auto" w:val="clear"/>
              </w:rPr>
              <w:t>前或终止对该被保险人的保险责任前发生的保险事故，本公司不承担给付保险金的责任，但应当退还保险费。</w:t>
            </w:r>
          </w:p>
          <w:p>
            <w:pPr>
              <w:pStyle w:val="TableParagraph"/>
              <w:spacing w:line="278" w:lineRule="auto" w:before="8"/>
              <w:ind w:left="112" w:right="102"/>
              <w:rPr>
                <w:sz w:val="21"/>
              </w:rPr>
            </w:pPr>
            <w:r>
              <w:rPr>
                <w:sz w:val="21"/>
              </w:rPr>
              <w:t>本公司在合同订立时已经知道投保人未如实告知的情况的，本公司不得解除合同或终止对该被保险人的保险责任；发生保险事故的，本公司承担给付保</w:t>
            </w:r>
          </w:p>
          <w:p>
            <w:pPr>
              <w:pStyle w:val="TableParagraph"/>
              <w:spacing w:line="255" w:lineRule="exact" w:before="13"/>
              <w:ind w:left="112"/>
              <w:rPr>
                <w:sz w:val="21"/>
              </w:rPr>
            </w:pPr>
            <w:r>
              <w:rPr>
                <w:sz w:val="21"/>
              </w:rPr>
              <w:t>险金的责任。</w:t>
            </w:r>
          </w:p>
        </w:tc>
      </w:tr>
    </w:tbl>
    <w:p>
      <w:pPr>
        <w:spacing w:after="0" w:line="255" w:lineRule="exact"/>
        <w:rPr>
          <w:sz w:val="21"/>
        </w:rPr>
        <w:sectPr>
          <w:pgSz w:w="11910" w:h="16840"/>
          <w:pgMar w:top="1540" w:bottom="280" w:left="860" w:right="860"/>
        </w:sectPr>
      </w:pPr>
    </w:p>
    <w:p>
      <w:pPr>
        <w:pStyle w:val="ListParagraph"/>
        <w:numPr>
          <w:ilvl w:val="1"/>
          <w:numId w:val="2"/>
        </w:numPr>
        <w:tabs>
          <w:tab w:pos="1113" w:val="left" w:leader="none"/>
          <w:tab w:pos="1114" w:val="left" w:leader="none"/>
        </w:tabs>
        <w:spacing w:line="278" w:lineRule="auto" w:before="12" w:after="0"/>
        <w:ind w:left="1113" w:right="0" w:hanging="893"/>
        <w:jc w:val="left"/>
        <w:rPr>
          <w:rFonts w:ascii="黑体" w:eastAsia="黑体" w:hint="eastAsia"/>
          <w:sz w:val="21"/>
        </w:rPr>
      </w:pPr>
      <w:r>
        <w:rPr>
          <w:rFonts w:ascii="黑体" w:eastAsia="黑体" w:hint="eastAsia"/>
          <w:spacing w:val="-3"/>
          <w:sz w:val="21"/>
        </w:rPr>
        <w:t>本公司合同解除权的限制</w:t>
      </w:r>
    </w:p>
    <w:p>
      <w:pPr>
        <w:pStyle w:val="BodyText"/>
        <w:spacing w:line="278" w:lineRule="auto" w:before="12"/>
        <w:ind w:left="185" w:right="211"/>
      </w:pPr>
      <w:r>
        <w:rPr/>
        <w:br w:type="column"/>
      </w:r>
      <w:r>
        <w:rPr/>
        <w:t>本保险条款“明确说明与如实告知”规定的合同解除权，自本公司知道有解除事由之日起，超过 30 日不行使而消灭。</w:t>
      </w:r>
    </w:p>
    <w:p>
      <w:pPr>
        <w:spacing w:after="0" w:line="278" w:lineRule="auto"/>
        <w:sectPr>
          <w:pgSz w:w="11910" w:h="16840"/>
          <w:pgMar w:top="1400" w:bottom="280" w:left="860" w:right="860"/>
          <w:cols w:num="2" w:equalWidth="0">
            <w:col w:w="2796" w:space="40"/>
            <w:col w:w="7354"/>
          </w:cols>
        </w:sectPr>
      </w:pPr>
    </w:p>
    <w:p>
      <w:pPr>
        <w:pStyle w:val="BodyText"/>
        <w:rPr>
          <w:sz w:val="9"/>
        </w:rPr>
      </w:pPr>
    </w:p>
    <w:p>
      <w:pPr>
        <w:spacing w:after="0"/>
        <w:rPr>
          <w:sz w:val="9"/>
        </w:rPr>
        <w:sectPr>
          <w:type w:val="continuous"/>
          <w:pgSz w:w="11910" w:h="16840"/>
          <w:pgMar w:top="120" w:bottom="280" w:left="860" w:right="860"/>
        </w:sectPr>
      </w:pPr>
    </w:p>
    <w:p>
      <w:pPr>
        <w:pStyle w:val="ListParagraph"/>
        <w:numPr>
          <w:ilvl w:val="1"/>
          <w:numId w:val="2"/>
        </w:numPr>
        <w:tabs>
          <w:tab w:pos="1115" w:val="left" w:leader="none"/>
          <w:tab w:pos="1116" w:val="left" w:leader="none"/>
        </w:tabs>
        <w:spacing w:line="278" w:lineRule="auto" w:before="37" w:after="0"/>
        <w:ind w:left="1115" w:right="0" w:hanging="895"/>
        <w:jc w:val="left"/>
        <w:rPr>
          <w:rFonts w:ascii="黑体" w:eastAsia="黑体" w:hint="eastAsia"/>
          <w:sz w:val="21"/>
        </w:rPr>
      </w:pPr>
      <w:r>
        <w:rPr>
          <w:rFonts w:ascii="黑体" w:eastAsia="黑体" w:hint="eastAsia"/>
          <w:spacing w:val="-3"/>
          <w:sz w:val="21"/>
        </w:rPr>
        <w:t>年龄和性别确定与错误处理</w:t>
      </w:r>
    </w:p>
    <w:p>
      <w:pPr>
        <w:pStyle w:val="BodyText"/>
        <w:spacing w:line="278" w:lineRule="auto" w:before="37"/>
        <w:ind w:left="183" w:right="213" w:firstLine="2"/>
        <w:jc w:val="both"/>
      </w:pPr>
      <w:r>
        <w:rPr/>
        <w:br w:type="column"/>
      </w:r>
      <w:r>
        <w:rPr/>
        <w:t>投保人在申请投保时，应将与有效身份证件相符的被保险人的出生日期和性别在投保单上填明，如果发生错误按照下列方式办理：</w:t>
      </w:r>
    </w:p>
    <w:p>
      <w:pPr>
        <w:pStyle w:val="BodyText"/>
        <w:spacing w:line="278" w:lineRule="auto" w:before="10"/>
        <w:ind w:left="183" w:right="211"/>
        <w:jc w:val="both"/>
      </w:pPr>
      <w:r>
        <w:rPr/>
        <w:t>(1)</w:t>
      </w:r>
      <w:r>
        <w:rPr>
          <w:spacing w:val="-9"/>
          <w:shd w:fill="A6A6A6" w:color="auto" w:val="clear"/>
        </w:rPr>
        <w:t>投保人申报的被保险人年龄不真实，并且其真实年龄不符合本合同约定投</w:t>
      </w:r>
      <w:r>
        <w:rPr>
          <w:spacing w:val="-206"/>
          <w:shd w:fill="A6A6A6" w:color="auto" w:val="clear"/>
        </w:rPr>
        <w:t>保</w:t>
      </w:r>
      <w:r>
        <w:rPr>
          <w:spacing w:val="-3"/>
          <w:shd w:fill="A6A6A6" w:color="auto" w:val="clear"/>
        </w:rPr>
        <w:t>年龄限制的，在保险事故发生之前本公司有权解除合同或终止对该被保险人的保险责任，并向投保人退还相应的现金价值。</w:t>
      </w:r>
      <w:r>
        <w:rPr>
          <w:spacing w:val="-2"/>
        </w:rPr>
        <w:t>本公司行使合同解除权适用</w:t>
      </w:r>
      <w:r>
        <w:rPr>
          <w:spacing w:val="-3"/>
        </w:rPr>
        <w:t>本保险条款“本公司合同解除权的限制”的规定。</w:t>
      </w:r>
    </w:p>
    <w:p>
      <w:pPr>
        <w:pStyle w:val="BodyText"/>
        <w:spacing w:line="278" w:lineRule="auto" w:before="12"/>
        <w:ind w:left="183" w:right="211"/>
        <w:jc w:val="both"/>
      </w:pPr>
      <w:r>
        <w:rPr/>
        <w:t>(2)</w:t>
      </w:r>
      <w:r>
        <w:rPr>
          <w:spacing w:val="-8"/>
        </w:rPr>
        <w:t>投保人申报的被保险人年龄或性别不真实，致使投保人实付保险费少于应</w:t>
      </w:r>
      <w:r>
        <w:rPr>
          <w:spacing w:val="-6"/>
        </w:rPr>
        <w:t>付保险费的，本公司有权作相应的更正并要求投保人补交保险费差额。若已</w:t>
      </w:r>
      <w:r>
        <w:rPr>
          <w:spacing w:val="-4"/>
        </w:rPr>
        <w:t>经发生保险事故，在给付保险金时按实付保险费和应付保险费的比例给付。</w:t>
      </w:r>
    </w:p>
    <w:p>
      <w:pPr>
        <w:pStyle w:val="BodyText"/>
        <w:spacing w:line="278" w:lineRule="auto" w:before="12"/>
        <w:ind w:left="214" w:right="302"/>
        <w:jc w:val="both"/>
      </w:pPr>
      <w:r>
        <w:rPr/>
        <w:t>(3)投保人申报的被保险人年龄或性别不真实，致使投保人实付保险费多于应付保险费的，本公司会将多收的保险费退还给投保人。</w:t>
      </w:r>
    </w:p>
    <w:p>
      <w:pPr>
        <w:spacing w:after="0" w:line="278" w:lineRule="auto"/>
        <w:jc w:val="both"/>
        <w:sectPr>
          <w:type w:val="continuous"/>
          <w:pgSz w:w="11910" w:h="16840"/>
          <w:pgMar w:top="120" w:bottom="280" w:left="860" w:right="860"/>
          <w:cols w:num="2" w:equalWidth="0">
            <w:col w:w="2799" w:space="40"/>
            <w:col w:w="7351"/>
          </w:cols>
        </w:sectPr>
      </w:pPr>
    </w:p>
    <w:p>
      <w:pPr>
        <w:pStyle w:val="BodyText"/>
        <w:rPr>
          <w:sz w:val="9"/>
        </w:rPr>
      </w:pPr>
    </w:p>
    <w:p>
      <w:pPr>
        <w:pStyle w:val="ListParagraph"/>
        <w:numPr>
          <w:ilvl w:val="1"/>
          <w:numId w:val="2"/>
        </w:numPr>
        <w:tabs>
          <w:tab w:pos="1114" w:val="left" w:leader="none"/>
        </w:tabs>
        <w:spacing w:line="278" w:lineRule="auto" w:before="36" w:after="0"/>
        <w:ind w:left="3021" w:right="225" w:hanging="2801"/>
        <w:jc w:val="both"/>
        <w:rPr>
          <w:sz w:val="21"/>
        </w:rPr>
      </w:pPr>
      <w:r>
        <w:rPr>
          <w:rFonts w:ascii="黑体" w:eastAsia="黑体" w:hint="eastAsia"/>
          <w:spacing w:val="2"/>
          <w:sz w:val="21"/>
        </w:rPr>
        <w:t>合同内容变更     </w:t>
      </w:r>
      <w:r>
        <w:rPr>
          <w:spacing w:val="-3"/>
          <w:sz w:val="21"/>
        </w:rPr>
        <w:t>在本合同有效期内，经投保人与本公司协商一致，可以变更本合同的有关内容。变更本合同的，应当由本公司在保险单或者其他保险凭证上批注或者附贴批单。</w:t>
      </w:r>
    </w:p>
    <w:p>
      <w:pPr>
        <w:pStyle w:val="ListParagraph"/>
        <w:numPr>
          <w:ilvl w:val="1"/>
          <w:numId w:val="2"/>
        </w:numPr>
        <w:tabs>
          <w:tab w:pos="1114" w:val="left" w:leader="none"/>
        </w:tabs>
        <w:spacing w:line="278" w:lineRule="auto" w:before="154" w:after="0"/>
        <w:ind w:left="3021" w:right="211" w:hanging="2801"/>
        <w:jc w:val="both"/>
        <w:rPr>
          <w:sz w:val="21"/>
        </w:rPr>
      </w:pPr>
      <w:r>
        <w:rPr>
          <w:rFonts w:ascii="黑体" w:eastAsia="黑体" w:hint="eastAsia"/>
          <w:spacing w:val="2"/>
          <w:sz w:val="21"/>
        </w:rPr>
        <w:t>联系方式变更     </w:t>
      </w:r>
      <w:r>
        <w:rPr>
          <w:spacing w:val="-3"/>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通讯地址或电话等联系方式发送的有关通知，均视为已送达给投保人。</w:t>
      </w:r>
    </w:p>
    <w:p>
      <w:pPr>
        <w:pStyle w:val="ListParagraph"/>
        <w:numPr>
          <w:ilvl w:val="1"/>
          <w:numId w:val="2"/>
        </w:numPr>
        <w:tabs>
          <w:tab w:pos="1114" w:val="left" w:leader="none"/>
        </w:tabs>
        <w:spacing w:line="280" w:lineRule="auto" w:before="152" w:after="0"/>
        <w:ind w:left="3021" w:right="211" w:hanging="2801"/>
        <w:jc w:val="both"/>
        <w:rPr>
          <w:sz w:val="21"/>
        </w:rPr>
      </w:pPr>
      <w:r>
        <w:rPr>
          <w:rFonts w:ascii="黑体" w:eastAsia="黑体" w:hint="eastAsia"/>
          <w:spacing w:val="2"/>
          <w:sz w:val="21"/>
        </w:rPr>
        <w:t>争议处理         </w:t>
      </w:r>
      <w:r>
        <w:rPr>
          <w:spacing w:val="-3"/>
          <w:sz w:val="21"/>
        </w:rPr>
        <w:t>本合同履行过程中，双方发生争议不能协商解决的，可以达成仲裁协议通过仲裁解决，也可依法直接向法院提起诉讼。</w:t>
      </w:r>
    </w:p>
    <w:p>
      <w:pPr>
        <w:pStyle w:val="BodyText"/>
        <w:spacing w:before="7"/>
        <w:rPr>
          <w:sz w:val="19"/>
        </w:rPr>
      </w:pPr>
      <w:r>
        <w:rPr/>
        <w:pict>
          <v:shape style="position:absolute;margin-left:48.599998pt;margin-top:14.022425pt;width:498.25pt;height:16pt;mso-position-horizontal-relative:page;mso-position-vertical-relative:paragraph;z-index:1168;mso-wrap-distance-left:0;mso-wrap-distance-right:0" type="#_x0000_t202" filled="true" fillcolor="#a6a6a6" stroked="false">
            <v:textbox inset="0,0,0,0">
              <w:txbxContent>
                <w:p>
                  <w:pPr>
                    <w:tabs>
                      <w:tab w:pos="1001" w:val="left" w:leader="none"/>
                    </w:tabs>
                    <w:spacing w:before="11"/>
                    <w:ind w:left="107" w:right="0" w:firstLine="0"/>
                    <w:jc w:val="left"/>
                    <w:rPr>
                      <w:rFonts w:ascii="黑体" w:eastAsia="黑体" w:hint="eastAsia"/>
                      <w:b/>
                      <w:sz w:val="21"/>
                    </w:rPr>
                  </w:pPr>
                  <w:r>
                    <w:rPr>
                      <w:rFonts w:ascii="黑体" w:eastAsia="黑体" w:hint="eastAsia"/>
                      <w:b/>
                      <w:sz w:val="21"/>
                    </w:rPr>
                    <w:t>8．</w:t>
                    <w:tab/>
                    <w:t>保障方案及重大疾病</w:t>
                  </w:r>
                </w:p>
              </w:txbxContent>
            </v:textbox>
            <v:fill type="solid"/>
            <w10:wrap type="topAndBottom"/>
          </v:shape>
        </w:pict>
      </w:r>
    </w:p>
    <w:p>
      <w:pPr>
        <w:pStyle w:val="BodyText"/>
        <w:spacing w:before="10"/>
        <w:rPr>
          <w:sz w:val="7"/>
        </w:rPr>
      </w:pPr>
    </w:p>
    <w:p>
      <w:pPr>
        <w:pStyle w:val="ListParagraph"/>
        <w:numPr>
          <w:ilvl w:val="1"/>
          <w:numId w:val="3"/>
        </w:numPr>
        <w:tabs>
          <w:tab w:pos="1113" w:val="left" w:leader="none"/>
          <w:tab w:pos="1114" w:val="left" w:leader="none"/>
          <w:tab w:pos="3021" w:val="left" w:leader="none"/>
        </w:tabs>
        <w:spacing w:line="240" w:lineRule="auto" w:before="36" w:after="35"/>
        <w:ind w:left="993" w:right="0" w:hanging="773"/>
        <w:jc w:val="left"/>
        <w:rPr>
          <w:sz w:val="21"/>
        </w:rPr>
      </w:pPr>
      <w:r>
        <w:rPr>
          <w:rFonts w:ascii="黑体" w:eastAsia="黑体" w:hint="eastAsia"/>
          <w:sz w:val="21"/>
        </w:rPr>
        <w:t>保障</w:t>
      </w:r>
      <w:r>
        <w:rPr>
          <w:rFonts w:ascii="黑体" w:eastAsia="黑体" w:hint="eastAsia"/>
          <w:spacing w:val="-3"/>
          <w:sz w:val="21"/>
        </w:rPr>
        <w:t>方</w:t>
      </w:r>
      <w:r>
        <w:rPr>
          <w:rFonts w:ascii="黑体" w:eastAsia="黑体" w:hint="eastAsia"/>
          <w:sz w:val="21"/>
        </w:rPr>
        <w:t>案</w:t>
        <w:tab/>
      </w:r>
      <w:r>
        <w:rPr>
          <w:b/>
          <w:sz w:val="21"/>
        </w:rPr>
        <w:t>基本保障</w:t>
      </w:r>
      <w:r>
        <w:rPr>
          <w:sz w:val="21"/>
        </w:rPr>
        <w:t>：</w:t>
      </w:r>
    </w:p>
    <w:tbl>
      <w:tblPr>
        <w:tblW w:w="0" w:type="auto"/>
        <w:jc w:val="left"/>
        <w:tblInd w:w="3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243"/>
      </w:tblGrid>
      <w:tr>
        <w:trPr>
          <w:trHeight w:val="638" w:hRule="atLeast"/>
        </w:trPr>
        <w:tc>
          <w:tcPr>
            <w:tcW w:w="3168" w:type="dxa"/>
          </w:tcPr>
          <w:p>
            <w:pPr>
              <w:pStyle w:val="TableParagraph"/>
              <w:spacing w:before="18"/>
              <w:ind w:left="107"/>
              <w:rPr>
                <w:sz w:val="21"/>
              </w:rPr>
            </w:pPr>
            <w:r>
              <w:rPr>
                <w:sz w:val="21"/>
              </w:rPr>
              <w:t>（一）恶性肿瘤</w:t>
            </w:r>
          </w:p>
        </w:tc>
        <w:tc>
          <w:tcPr>
            <w:tcW w:w="3243" w:type="dxa"/>
          </w:tcPr>
          <w:p>
            <w:pPr>
              <w:pStyle w:val="TableParagraph"/>
              <w:spacing w:line="320" w:lineRule="exact"/>
              <w:ind w:left="108" w:right="95"/>
              <w:rPr>
                <w:sz w:val="21"/>
              </w:rPr>
            </w:pPr>
            <w:r>
              <w:rPr>
                <w:sz w:val="21"/>
              </w:rPr>
              <w:t>（四）重大器官移植术或造血干细胞移植术</w:t>
            </w:r>
          </w:p>
        </w:tc>
      </w:tr>
      <w:tr>
        <w:trPr>
          <w:trHeight w:val="638" w:hRule="atLeast"/>
        </w:trPr>
        <w:tc>
          <w:tcPr>
            <w:tcW w:w="3168" w:type="dxa"/>
          </w:tcPr>
          <w:p>
            <w:pPr>
              <w:pStyle w:val="TableParagraph"/>
              <w:spacing w:before="18"/>
              <w:ind w:left="107"/>
              <w:rPr>
                <w:sz w:val="21"/>
              </w:rPr>
            </w:pPr>
            <w:r>
              <w:rPr>
                <w:sz w:val="21"/>
              </w:rPr>
              <w:t>（二）急性心肌梗塞</w:t>
            </w:r>
          </w:p>
        </w:tc>
        <w:tc>
          <w:tcPr>
            <w:tcW w:w="3243" w:type="dxa"/>
          </w:tcPr>
          <w:p>
            <w:pPr>
              <w:pStyle w:val="TableParagraph"/>
              <w:spacing w:line="320" w:lineRule="exact"/>
              <w:ind w:left="108" w:right="95"/>
              <w:rPr>
                <w:sz w:val="21"/>
              </w:rPr>
            </w:pPr>
            <w:r>
              <w:rPr>
                <w:sz w:val="21"/>
              </w:rPr>
              <w:t>（五）冠状动脉搭桥术（或称冠状动脉旁路移植术）</w:t>
            </w:r>
          </w:p>
        </w:tc>
      </w:tr>
      <w:tr>
        <w:trPr>
          <w:trHeight w:val="638" w:hRule="atLeast"/>
        </w:trPr>
        <w:tc>
          <w:tcPr>
            <w:tcW w:w="3168" w:type="dxa"/>
          </w:tcPr>
          <w:p>
            <w:pPr>
              <w:pStyle w:val="TableParagraph"/>
              <w:spacing w:before="19"/>
              <w:ind w:left="107"/>
              <w:rPr>
                <w:sz w:val="21"/>
              </w:rPr>
            </w:pPr>
            <w:r>
              <w:rPr>
                <w:sz w:val="21"/>
              </w:rPr>
              <w:t>（三）脑中风后遗症</w:t>
            </w:r>
          </w:p>
        </w:tc>
        <w:tc>
          <w:tcPr>
            <w:tcW w:w="3243" w:type="dxa"/>
          </w:tcPr>
          <w:p>
            <w:pPr>
              <w:pStyle w:val="TableParagraph"/>
              <w:spacing w:before="9"/>
              <w:ind w:left="108"/>
              <w:rPr>
                <w:sz w:val="21"/>
              </w:rPr>
            </w:pPr>
            <w:r>
              <w:rPr>
                <w:sz w:val="21"/>
              </w:rPr>
              <w:t>（六）终末期肾病（或称慢性肾</w:t>
            </w:r>
          </w:p>
          <w:p>
            <w:pPr>
              <w:pStyle w:val="TableParagraph"/>
              <w:spacing w:before="46"/>
              <w:ind w:left="108"/>
              <w:rPr>
                <w:sz w:val="21"/>
              </w:rPr>
            </w:pPr>
            <w:r>
              <w:rPr>
                <w:sz w:val="21"/>
              </w:rPr>
              <w:t>功能衰竭尿毒症期）</w:t>
            </w:r>
          </w:p>
        </w:tc>
      </w:tr>
    </w:tbl>
    <w:p>
      <w:pPr>
        <w:pStyle w:val="Heading2"/>
        <w:spacing w:before="153" w:after="35"/>
        <w:ind w:left="3021"/>
        <w:rPr>
          <w:rFonts w:ascii="楷体" w:eastAsia="楷体" w:hint="eastAsia"/>
        </w:rPr>
      </w:pPr>
      <w:r>
        <w:rPr>
          <w:rFonts w:ascii="楷体" w:eastAsia="楷体" w:hint="eastAsia"/>
        </w:rPr>
        <w:t>重要保障：</w:t>
      </w:r>
    </w:p>
    <w:tbl>
      <w:tblPr>
        <w:tblW w:w="0" w:type="auto"/>
        <w:jc w:val="left"/>
        <w:tblInd w:w="3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243"/>
      </w:tblGrid>
      <w:tr>
        <w:trPr>
          <w:trHeight w:val="640" w:hRule="atLeast"/>
        </w:trPr>
        <w:tc>
          <w:tcPr>
            <w:tcW w:w="3168" w:type="dxa"/>
          </w:tcPr>
          <w:p>
            <w:pPr>
              <w:pStyle w:val="TableParagraph"/>
              <w:spacing w:before="18"/>
              <w:ind w:left="107"/>
              <w:rPr>
                <w:sz w:val="21"/>
              </w:rPr>
            </w:pPr>
            <w:r>
              <w:rPr>
                <w:sz w:val="21"/>
              </w:rPr>
              <w:t>（一）恶性肿瘤</w:t>
            </w:r>
          </w:p>
        </w:tc>
        <w:tc>
          <w:tcPr>
            <w:tcW w:w="3243" w:type="dxa"/>
          </w:tcPr>
          <w:p>
            <w:pPr>
              <w:pStyle w:val="TableParagraph"/>
              <w:spacing w:line="320" w:lineRule="exact"/>
              <w:ind w:left="108" w:right="177"/>
              <w:rPr>
                <w:sz w:val="21"/>
              </w:rPr>
            </w:pPr>
            <w:r>
              <w:rPr>
                <w:sz w:val="21"/>
              </w:rPr>
              <w:t>（十一）脑炎后遗症或脑膜炎后遗症</w:t>
            </w:r>
          </w:p>
        </w:tc>
      </w:tr>
      <w:tr>
        <w:trPr>
          <w:trHeight w:val="467" w:hRule="atLeast"/>
        </w:trPr>
        <w:tc>
          <w:tcPr>
            <w:tcW w:w="3168" w:type="dxa"/>
          </w:tcPr>
          <w:p>
            <w:pPr>
              <w:pStyle w:val="TableParagraph"/>
              <w:spacing w:before="160"/>
              <w:ind w:left="107"/>
              <w:rPr>
                <w:sz w:val="21"/>
              </w:rPr>
            </w:pPr>
            <w:r>
              <w:rPr>
                <w:sz w:val="21"/>
              </w:rPr>
              <w:t>（二）急性心肌梗塞</w:t>
            </w:r>
          </w:p>
        </w:tc>
        <w:tc>
          <w:tcPr>
            <w:tcW w:w="3243" w:type="dxa"/>
          </w:tcPr>
          <w:p>
            <w:pPr>
              <w:pStyle w:val="TableParagraph"/>
              <w:spacing w:before="160"/>
              <w:ind w:left="108"/>
              <w:rPr>
                <w:sz w:val="21"/>
              </w:rPr>
            </w:pPr>
            <w:r>
              <w:rPr>
                <w:sz w:val="21"/>
              </w:rPr>
              <w:t>（十二）深度昏迷</w:t>
            </w:r>
          </w:p>
        </w:tc>
      </w:tr>
      <w:tr>
        <w:trPr>
          <w:trHeight w:val="470" w:hRule="atLeast"/>
        </w:trPr>
        <w:tc>
          <w:tcPr>
            <w:tcW w:w="3168" w:type="dxa"/>
          </w:tcPr>
          <w:p>
            <w:pPr>
              <w:pStyle w:val="TableParagraph"/>
              <w:spacing w:before="160"/>
              <w:ind w:left="107"/>
              <w:rPr>
                <w:sz w:val="21"/>
              </w:rPr>
            </w:pPr>
            <w:r>
              <w:rPr>
                <w:sz w:val="21"/>
              </w:rPr>
              <w:t>（三）脑中风后遗症</w:t>
            </w:r>
          </w:p>
        </w:tc>
        <w:tc>
          <w:tcPr>
            <w:tcW w:w="3243" w:type="dxa"/>
          </w:tcPr>
          <w:p>
            <w:pPr>
              <w:pStyle w:val="TableParagraph"/>
              <w:spacing w:before="160"/>
              <w:ind w:left="108"/>
              <w:rPr>
                <w:sz w:val="21"/>
              </w:rPr>
            </w:pPr>
            <w:r>
              <w:rPr>
                <w:sz w:val="21"/>
              </w:rPr>
              <w:t>（十三）双耳失聪</w:t>
            </w:r>
          </w:p>
        </w:tc>
      </w:tr>
      <w:tr>
        <w:trPr>
          <w:trHeight w:val="640" w:hRule="atLeast"/>
        </w:trPr>
        <w:tc>
          <w:tcPr>
            <w:tcW w:w="3168" w:type="dxa"/>
          </w:tcPr>
          <w:p>
            <w:pPr>
              <w:pStyle w:val="TableParagraph"/>
              <w:spacing w:line="320" w:lineRule="exact"/>
              <w:ind w:left="107" w:right="93"/>
              <w:rPr>
                <w:sz w:val="21"/>
              </w:rPr>
            </w:pPr>
            <w:r>
              <w:rPr>
                <w:sz w:val="21"/>
              </w:rPr>
              <w:t>（四）重大器官移植术或造血干细胞移植术</w:t>
            </w:r>
          </w:p>
        </w:tc>
        <w:tc>
          <w:tcPr>
            <w:tcW w:w="3243" w:type="dxa"/>
          </w:tcPr>
          <w:p>
            <w:pPr>
              <w:pStyle w:val="TableParagraph"/>
              <w:spacing w:before="11"/>
              <w:ind w:left="108"/>
              <w:rPr>
                <w:sz w:val="21"/>
              </w:rPr>
            </w:pPr>
            <w:r>
              <w:rPr>
                <w:sz w:val="21"/>
              </w:rPr>
              <w:t>（十四）双目失明</w:t>
            </w:r>
          </w:p>
        </w:tc>
      </w:tr>
      <w:tr>
        <w:trPr>
          <w:trHeight w:val="457" w:hRule="atLeast"/>
        </w:trPr>
        <w:tc>
          <w:tcPr>
            <w:tcW w:w="3168" w:type="dxa"/>
          </w:tcPr>
          <w:p>
            <w:pPr>
              <w:pStyle w:val="TableParagraph"/>
              <w:spacing w:before="160"/>
              <w:ind w:left="107"/>
              <w:rPr>
                <w:sz w:val="21"/>
              </w:rPr>
            </w:pPr>
            <w:r>
              <w:rPr>
                <w:sz w:val="21"/>
              </w:rPr>
              <w:t>（五）冠状动脉搭桥术（或称冠</w:t>
            </w:r>
          </w:p>
        </w:tc>
        <w:tc>
          <w:tcPr>
            <w:tcW w:w="3243" w:type="dxa"/>
          </w:tcPr>
          <w:p>
            <w:pPr>
              <w:pStyle w:val="TableParagraph"/>
              <w:spacing w:before="160"/>
              <w:ind w:left="108"/>
              <w:rPr>
                <w:sz w:val="21"/>
              </w:rPr>
            </w:pPr>
            <w:r>
              <w:rPr>
                <w:sz w:val="21"/>
              </w:rPr>
              <w:t>（十五）瘫痪</w:t>
            </w:r>
          </w:p>
        </w:tc>
      </w:tr>
    </w:tbl>
    <w:p>
      <w:pPr>
        <w:spacing w:after="0"/>
        <w:rPr>
          <w:sz w:val="21"/>
        </w:rPr>
        <w:sectPr>
          <w:type w:val="continuous"/>
          <w:pgSz w:w="11910" w:h="16840"/>
          <w:pgMar w:top="120" w:bottom="280" w:left="860" w:right="860"/>
        </w:sectPr>
      </w:pPr>
    </w:p>
    <w:tbl>
      <w:tblPr>
        <w:tblW w:w="0" w:type="auto"/>
        <w:jc w:val="left"/>
        <w:tblInd w:w="2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243"/>
      </w:tblGrid>
      <w:tr>
        <w:trPr>
          <w:trHeight w:val="467" w:hRule="atLeast"/>
        </w:trPr>
        <w:tc>
          <w:tcPr>
            <w:tcW w:w="3168" w:type="dxa"/>
          </w:tcPr>
          <w:p>
            <w:pPr>
              <w:pStyle w:val="TableParagraph"/>
              <w:spacing w:before="11"/>
              <w:ind w:left="107"/>
              <w:rPr>
                <w:sz w:val="21"/>
              </w:rPr>
            </w:pPr>
            <w:r>
              <w:rPr>
                <w:sz w:val="21"/>
              </w:rPr>
              <w:t>状动脉旁路移植术）</w:t>
            </w:r>
          </w:p>
        </w:tc>
        <w:tc>
          <w:tcPr>
            <w:tcW w:w="3243" w:type="dxa"/>
          </w:tcPr>
          <w:p>
            <w:pPr>
              <w:pStyle w:val="TableParagraph"/>
              <w:ind w:left="0"/>
              <w:rPr>
                <w:rFonts w:ascii="Times New Roman"/>
                <w:sz w:val="20"/>
              </w:rPr>
            </w:pPr>
          </w:p>
        </w:tc>
      </w:tr>
      <w:tr>
        <w:trPr>
          <w:trHeight w:val="640" w:hRule="atLeast"/>
        </w:trPr>
        <w:tc>
          <w:tcPr>
            <w:tcW w:w="3168" w:type="dxa"/>
          </w:tcPr>
          <w:p>
            <w:pPr>
              <w:pStyle w:val="TableParagraph"/>
              <w:spacing w:line="320" w:lineRule="exact" w:before="3"/>
              <w:ind w:left="107" w:right="93"/>
              <w:rPr>
                <w:sz w:val="21"/>
              </w:rPr>
            </w:pPr>
            <w:r>
              <w:rPr>
                <w:sz w:val="21"/>
              </w:rPr>
              <w:t>（六）终末期肾病（或称慢性肾功能衰竭尿毒症期）</w:t>
            </w:r>
          </w:p>
        </w:tc>
        <w:tc>
          <w:tcPr>
            <w:tcW w:w="3243" w:type="dxa"/>
          </w:tcPr>
          <w:p>
            <w:pPr>
              <w:pStyle w:val="TableParagraph"/>
              <w:spacing w:before="13"/>
              <w:ind w:left="108"/>
              <w:rPr>
                <w:sz w:val="21"/>
              </w:rPr>
            </w:pPr>
            <w:r>
              <w:rPr>
                <w:sz w:val="21"/>
              </w:rPr>
              <w:t>（十六）心脏瓣膜手术</w:t>
            </w:r>
          </w:p>
        </w:tc>
      </w:tr>
      <w:tr>
        <w:trPr>
          <w:trHeight w:val="467" w:hRule="atLeast"/>
        </w:trPr>
        <w:tc>
          <w:tcPr>
            <w:tcW w:w="3168" w:type="dxa"/>
          </w:tcPr>
          <w:p>
            <w:pPr>
              <w:pStyle w:val="TableParagraph"/>
              <w:spacing w:before="158"/>
              <w:ind w:left="107"/>
              <w:rPr>
                <w:sz w:val="21"/>
              </w:rPr>
            </w:pPr>
            <w:r>
              <w:rPr>
                <w:sz w:val="21"/>
              </w:rPr>
              <w:t>（七）多个肢体缺失</w:t>
            </w:r>
          </w:p>
        </w:tc>
        <w:tc>
          <w:tcPr>
            <w:tcW w:w="3243" w:type="dxa"/>
          </w:tcPr>
          <w:p>
            <w:pPr>
              <w:pStyle w:val="TableParagraph"/>
              <w:spacing w:before="158"/>
              <w:ind w:left="108"/>
              <w:rPr>
                <w:sz w:val="21"/>
              </w:rPr>
            </w:pPr>
            <w:r>
              <w:rPr>
                <w:sz w:val="21"/>
              </w:rPr>
              <w:t>（十七）严重阿尔茨海默病</w:t>
            </w:r>
          </w:p>
        </w:tc>
      </w:tr>
      <w:tr>
        <w:trPr>
          <w:trHeight w:val="467" w:hRule="atLeast"/>
        </w:trPr>
        <w:tc>
          <w:tcPr>
            <w:tcW w:w="3168" w:type="dxa"/>
          </w:tcPr>
          <w:p>
            <w:pPr>
              <w:pStyle w:val="TableParagraph"/>
              <w:spacing w:before="160"/>
              <w:ind w:left="107"/>
              <w:rPr>
                <w:sz w:val="21"/>
              </w:rPr>
            </w:pPr>
            <w:r>
              <w:rPr>
                <w:sz w:val="21"/>
              </w:rPr>
              <w:t>（八）急性或亚急性重症肝炎</w:t>
            </w:r>
          </w:p>
        </w:tc>
        <w:tc>
          <w:tcPr>
            <w:tcW w:w="3243" w:type="dxa"/>
          </w:tcPr>
          <w:p>
            <w:pPr>
              <w:pStyle w:val="TableParagraph"/>
              <w:spacing w:before="160"/>
              <w:ind w:left="108"/>
              <w:rPr>
                <w:sz w:val="21"/>
              </w:rPr>
            </w:pPr>
            <w:r>
              <w:rPr>
                <w:sz w:val="21"/>
              </w:rPr>
              <w:t>（十八）严重脑损伤</w:t>
            </w:r>
          </w:p>
        </w:tc>
      </w:tr>
      <w:tr>
        <w:trPr>
          <w:trHeight w:val="470" w:hRule="atLeast"/>
        </w:trPr>
        <w:tc>
          <w:tcPr>
            <w:tcW w:w="3168" w:type="dxa"/>
          </w:tcPr>
          <w:p>
            <w:pPr>
              <w:pStyle w:val="TableParagraph"/>
              <w:spacing w:before="162"/>
              <w:ind w:left="107"/>
              <w:rPr>
                <w:sz w:val="21"/>
              </w:rPr>
            </w:pPr>
            <w:r>
              <w:rPr>
                <w:sz w:val="21"/>
              </w:rPr>
              <w:t>（九）良性脑肿瘤</w:t>
            </w:r>
          </w:p>
        </w:tc>
        <w:tc>
          <w:tcPr>
            <w:tcW w:w="3243" w:type="dxa"/>
          </w:tcPr>
          <w:p>
            <w:pPr>
              <w:pStyle w:val="TableParagraph"/>
              <w:spacing w:before="162"/>
              <w:ind w:left="108"/>
              <w:rPr>
                <w:sz w:val="21"/>
              </w:rPr>
            </w:pPr>
            <w:r>
              <w:rPr>
                <w:sz w:val="21"/>
              </w:rPr>
              <w:t>（十九）严重帕金森病</w:t>
            </w:r>
          </w:p>
        </w:tc>
      </w:tr>
      <w:tr>
        <w:trPr>
          <w:trHeight w:val="470" w:hRule="atLeast"/>
        </w:trPr>
        <w:tc>
          <w:tcPr>
            <w:tcW w:w="3168" w:type="dxa"/>
          </w:tcPr>
          <w:p>
            <w:pPr>
              <w:pStyle w:val="TableParagraph"/>
              <w:spacing w:before="160"/>
              <w:ind w:left="107"/>
              <w:rPr>
                <w:sz w:val="21"/>
              </w:rPr>
            </w:pPr>
            <w:r>
              <w:rPr>
                <w:sz w:val="21"/>
              </w:rPr>
              <w:t>（十）慢性肝功能衰竭失代偿期</w:t>
            </w:r>
          </w:p>
        </w:tc>
        <w:tc>
          <w:tcPr>
            <w:tcW w:w="3243" w:type="dxa"/>
          </w:tcPr>
          <w:p>
            <w:pPr>
              <w:pStyle w:val="TableParagraph"/>
              <w:spacing w:before="160"/>
              <w:ind w:left="108"/>
              <w:rPr>
                <w:sz w:val="21"/>
              </w:rPr>
            </w:pPr>
            <w:r>
              <w:rPr>
                <w:sz w:val="21"/>
              </w:rPr>
              <w:t>（二十）严重Ⅲ度烧伤</w:t>
            </w:r>
          </w:p>
        </w:tc>
      </w:tr>
    </w:tbl>
    <w:p>
      <w:pPr>
        <w:pStyle w:val="BodyText"/>
        <w:spacing w:before="12"/>
        <w:rPr>
          <w:b/>
          <w:sz w:val="8"/>
        </w:rPr>
      </w:pPr>
    </w:p>
    <w:p>
      <w:pPr>
        <w:spacing w:before="36" w:after="33"/>
        <w:ind w:left="2901" w:right="0" w:firstLine="0"/>
        <w:jc w:val="left"/>
        <w:rPr>
          <w:b/>
          <w:sz w:val="21"/>
        </w:rPr>
      </w:pPr>
      <w:r>
        <w:rPr>
          <w:b/>
          <w:sz w:val="21"/>
        </w:rPr>
        <w:t>全面保障：</w:t>
      </w:r>
    </w:p>
    <w:tbl>
      <w:tblPr>
        <w:tblW w:w="0" w:type="auto"/>
        <w:jc w:val="left"/>
        <w:tblInd w:w="2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243"/>
      </w:tblGrid>
      <w:tr>
        <w:trPr>
          <w:trHeight w:val="469" w:hRule="atLeast"/>
        </w:trPr>
        <w:tc>
          <w:tcPr>
            <w:tcW w:w="3168" w:type="dxa"/>
          </w:tcPr>
          <w:p>
            <w:pPr>
              <w:pStyle w:val="TableParagraph"/>
              <w:spacing w:before="160"/>
              <w:ind w:left="107"/>
              <w:rPr>
                <w:sz w:val="21"/>
              </w:rPr>
            </w:pPr>
            <w:r>
              <w:rPr>
                <w:sz w:val="21"/>
              </w:rPr>
              <w:t>（一）恶性肿瘤</w:t>
            </w:r>
          </w:p>
        </w:tc>
        <w:tc>
          <w:tcPr>
            <w:tcW w:w="3243" w:type="dxa"/>
          </w:tcPr>
          <w:p>
            <w:pPr>
              <w:pStyle w:val="TableParagraph"/>
              <w:spacing w:before="160"/>
              <w:ind w:left="108"/>
              <w:rPr>
                <w:sz w:val="21"/>
              </w:rPr>
            </w:pPr>
            <w:r>
              <w:rPr>
                <w:sz w:val="21"/>
              </w:rPr>
              <w:t>（十六）心脏瓣膜手术</w:t>
            </w:r>
          </w:p>
        </w:tc>
      </w:tr>
      <w:tr>
        <w:trPr>
          <w:trHeight w:val="467" w:hRule="atLeast"/>
        </w:trPr>
        <w:tc>
          <w:tcPr>
            <w:tcW w:w="3168" w:type="dxa"/>
          </w:tcPr>
          <w:p>
            <w:pPr>
              <w:pStyle w:val="TableParagraph"/>
              <w:spacing w:before="160"/>
              <w:ind w:left="107"/>
              <w:rPr>
                <w:sz w:val="21"/>
              </w:rPr>
            </w:pPr>
            <w:r>
              <w:rPr>
                <w:sz w:val="21"/>
              </w:rPr>
              <w:t>（二）急性心肌梗塞</w:t>
            </w:r>
          </w:p>
        </w:tc>
        <w:tc>
          <w:tcPr>
            <w:tcW w:w="3243" w:type="dxa"/>
          </w:tcPr>
          <w:p>
            <w:pPr>
              <w:pStyle w:val="TableParagraph"/>
              <w:spacing w:before="160"/>
              <w:ind w:left="108"/>
              <w:rPr>
                <w:sz w:val="21"/>
              </w:rPr>
            </w:pPr>
            <w:r>
              <w:rPr>
                <w:sz w:val="21"/>
              </w:rPr>
              <w:t>（十七）严重阿尔茨海默病</w:t>
            </w:r>
          </w:p>
        </w:tc>
      </w:tr>
      <w:tr>
        <w:trPr>
          <w:trHeight w:val="470" w:hRule="atLeast"/>
        </w:trPr>
        <w:tc>
          <w:tcPr>
            <w:tcW w:w="3168" w:type="dxa"/>
          </w:tcPr>
          <w:p>
            <w:pPr>
              <w:pStyle w:val="TableParagraph"/>
              <w:spacing w:before="162"/>
              <w:ind w:left="107"/>
              <w:rPr>
                <w:sz w:val="21"/>
              </w:rPr>
            </w:pPr>
            <w:r>
              <w:rPr>
                <w:sz w:val="21"/>
              </w:rPr>
              <w:t>（三）脑中风后遗症</w:t>
            </w:r>
          </w:p>
        </w:tc>
        <w:tc>
          <w:tcPr>
            <w:tcW w:w="3243" w:type="dxa"/>
          </w:tcPr>
          <w:p>
            <w:pPr>
              <w:pStyle w:val="TableParagraph"/>
              <w:spacing w:before="162"/>
              <w:ind w:left="108"/>
              <w:rPr>
                <w:sz w:val="21"/>
              </w:rPr>
            </w:pPr>
            <w:r>
              <w:rPr>
                <w:sz w:val="21"/>
              </w:rPr>
              <w:t>（十八）严重脑损伤</w:t>
            </w:r>
          </w:p>
        </w:tc>
      </w:tr>
      <w:tr>
        <w:trPr>
          <w:trHeight w:val="640" w:hRule="atLeast"/>
        </w:trPr>
        <w:tc>
          <w:tcPr>
            <w:tcW w:w="3168" w:type="dxa"/>
          </w:tcPr>
          <w:p>
            <w:pPr>
              <w:pStyle w:val="TableParagraph"/>
              <w:spacing w:line="320" w:lineRule="exact"/>
              <w:ind w:left="107" w:right="93"/>
              <w:rPr>
                <w:sz w:val="21"/>
              </w:rPr>
            </w:pPr>
            <w:r>
              <w:rPr>
                <w:sz w:val="21"/>
              </w:rPr>
              <w:t>（四）重大器官移植术或造血干细胞移植术</w:t>
            </w:r>
          </w:p>
        </w:tc>
        <w:tc>
          <w:tcPr>
            <w:tcW w:w="3243" w:type="dxa"/>
          </w:tcPr>
          <w:p>
            <w:pPr>
              <w:pStyle w:val="TableParagraph"/>
              <w:spacing w:before="11"/>
              <w:ind w:left="108"/>
              <w:rPr>
                <w:sz w:val="21"/>
              </w:rPr>
            </w:pPr>
            <w:r>
              <w:rPr>
                <w:sz w:val="21"/>
              </w:rPr>
              <w:t>（十九）严重帕金森病</w:t>
            </w:r>
          </w:p>
        </w:tc>
      </w:tr>
      <w:tr>
        <w:trPr>
          <w:trHeight w:val="640" w:hRule="atLeast"/>
        </w:trPr>
        <w:tc>
          <w:tcPr>
            <w:tcW w:w="3168" w:type="dxa"/>
          </w:tcPr>
          <w:p>
            <w:pPr>
              <w:pStyle w:val="TableParagraph"/>
              <w:spacing w:line="320" w:lineRule="exact"/>
              <w:ind w:left="107" w:right="93"/>
              <w:rPr>
                <w:sz w:val="21"/>
              </w:rPr>
            </w:pPr>
            <w:r>
              <w:rPr>
                <w:sz w:val="21"/>
              </w:rPr>
              <w:t>（五）冠状动脉搭桥术（或称冠状动脉旁路移植术）</w:t>
            </w:r>
          </w:p>
        </w:tc>
        <w:tc>
          <w:tcPr>
            <w:tcW w:w="3243" w:type="dxa"/>
          </w:tcPr>
          <w:p>
            <w:pPr>
              <w:pStyle w:val="TableParagraph"/>
              <w:spacing w:before="11"/>
              <w:ind w:left="108"/>
              <w:rPr>
                <w:sz w:val="21"/>
              </w:rPr>
            </w:pPr>
            <w:r>
              <w:rPr>
                <w:sz w:val="21"/>
              </w:rPr>
              <w:t>（二十）严重Ⅲ度烧伤</w:t>
            </w:r>
          </w:p>
        </w:tc>
      </w:tr>
      <w:tr>
        <w:trPr>
          <w:trHeight w:val="638" w:hRule="atLeast"/>
        </w:trPr>
        <w:tc>
          <w:tcPr>
            <w:tcW w:w="3168" w:type="dxa"/>
          </w:tcPr>
          <w:p>
            <w:pPr>
              <w:pStyle w:val="TableParagraph"/>
              <w:spacing w:line="320" w:lineRule="exact"/>
              <w:ind w:left="107" w:right="93"/>
              <w:rPr>
                <w:sz w:val="21"/>
              </w:rPr>
            </w:pPr>
            <w:r>
              <w:rPr>
                <w:sz w:val="21"/>
              </w:rPr>
              <w:t>（六）终末期肾病（或称慢性肾功能衰竭尿毒症期）</w:t>
            </w:r>
          </w:p>
        </w:tc>
        <w:tc>
          <w:tcPr>
            <w:tcW w:w="3243" w:type="dxa"/>
          </w:tcPr>
          <w:p>
            <w:pPr>
              <w:pStyle w:val="TableParagraph"/>
              <w:spacing w:line="320" w:lineRule="exact"/>
              <w:ind w:left="108" w:right="177"/>
              <w:rPr>
                <w:sz w:val="21"/>
              </w:rPr>
            </w:pPr>
            <w:r>
              <w:rPr>
                <w:sz w:val="21"/>
              </w:rPr>
              <w:t>（二十一）严重原发性肺动脉高压</w:t>
            </w:r>
          </w:p>
        </w:tc>
      </w:tr>
      <w:tr>
        <w:trPr>
          <w:trHeight w:val="468" w:hRule="atLeast"/>
        </w:trPr>
        <w:tc>
          <w:tcPr>
            <w:tcW w:w="3168" w:type="dxa"/>
          </w:tcPr>
          <w:p>
            <w:pPr>
              <w:pStyle w:val="TableParagraph"/>
              <w:spacing w:before="160"/>
              <w:ind w:left="107"/>
              <w:rPr>
                <w:sz w:val="21"/>
              </w:rPr>
            </w:pPr>
            <w:r>
              <w:rPr>
                <w:sz w:val="21"/>
              </w:rPr>
              <w:t>（七）多个肢体缺失</w:t>
            </w:r>
          </w:p>
        </w:tc>
        <w:tc>
          <w:tcPr>
            <w:tcW w:w="3243" w:type="dxa"/>
          </w:tcPr>
          <w:p>
            <w:pPr>
              <w:pStyle w:val="TableParagraph"/>
              <w:spacing w:before="160"/>
              <w:ind w:left="108"/>
              <w:rPr>
                <w:sz w:val="21"/>
              </w:rPr>
            </w:pPr>
            <w:r>
              <w:rPr>
                <w:sz w:val="21"/>
              </w:rPr>
              <w:t>（二十二）严重运动神经元病</w:t>
            </w:r>
          </w:p>
        </w:tc>
      </w:tr>
      <w:tr>
        <w:trPr>
          <w:trHeight w:val="470" w:hRule="atLeast"/>
        </w:trPr>
        <w:tc>
          <w:tcPr>
            <w:tcW w:w="3168" w:type="dxa"/>
          </w:tcPr>
          <w:p>
            <w:pPr>
              <w:pStyle w:val="TableParagraph"/>
              <w:spacing w:before="160"/>
              <w:ind w:left="107"/>
              <w:rPr>
                <w:sz w:val="21"/>
              </w:rPr>
            </w:pPr>
            <w:r>
              <w:rPr>
                <w:sz w:val="21"/>
              </w:rPr>
              <w:t>（八）急性或亚急性重症肝炎</w:t>
            </w:r>
          </w:p>
        </w:tc>
        <w:tc>
          <w:tcPr>
            <w:tcW w:w="3243" w:type="dxa"/>
          </w:tcPr>
          <w:p>
            <w:pPr>
              <w:pStyle w:val="TableParagraph"/>
              <w:spacing w:before="160"/>
              <w:ind w:left="108"/>
              <w:rPr>
                <w:sz w:val="21"/>
              </w:rPr>
            </w:pPr>
            <w:r>
              <w:rPr>
                <w:sz w:val="21"/>
              </w:rPr>
              <w:t>（二十三）语言能力丧失</w:t>
            </w:r>
          </w:p>
        </w:tc>
      </w:tr>
      <w:tr>
        <w:trPr>
          <w:trHeight w:val="467" w:hRule="atLeast"/>
        </w:trPr>
        <w:tc>
          <w:tcPr>
            <w:tcW w:w="3168" w:type="dxa"/>
          </w:tcPr>
          <w:p>
            <w:pPr>
              <w:pStyle w:val="TableParagraph"/>
              <w:spacing w:before="160"/>
              <w:ind w:left="107"/>
              <w:rPr>
                <w:sz w:val="21"/>
              </w:rPr>
            </w:pPr>
            <w:r>
              <w:rPr>
                <w:sz w:val="21"/>
              </w:rPr>
              <w:t>（九）良性脑肿瘤</w:t>
            </w:r>
          </w:p>
        </w:tc>
        <w:tc>
          <w:tcPr>
            <w:tcW w:w="3243" w:type="dxa"/>
          </w:tcPr>
          <w:p>
            <w:pPr>
              <w:pStyle w:val="TableParagraph"/>
              <w:spacing w:before="160"/>
              <w:ind w:left="108"/>
              <w:rPr>
                <w:sz w:val="21"/>
              </w:rPr>
            </w:pPr>
            <w:r>
              <w:rPr>
                <w:sz w:val="21"/>
              </w:rPr>
              <w:t>（二十四）重型再生障碍性贫血</w:t>
            </w:r>
          </w:p>
        </w:tc>
      </w:tr>
      <w:tr>
        <w:trPr>
          <w:trHeight w:val="470" w:hRule="atLeast"/>
        </w:trPr>
        <w:tc>
          <w:tcPr>
            <w:tcW w:w="3168" w:type="dxa"/>
          </w:tcPr>
          <w:p>
            <w:pPr>
              <w:pStyle w:val="TableParagraph"/>
              <w:spacing w:before="160"/>
              <w:ind w:left="107"/>
              <w:rPr>
                <w:sz w:val="21"/>
              </w:rPr>
            </w:pPr>
            <w:r>
              <w:rPr>
                <w:sz w:val="21"/>
              </w:rPr>
              <w:t>（十）慢性肝功能衰竭失代偿期</w:t>
            </w:r>
          </w:p>
        </w:tc>
        <w:tc>
          <w:tcPr>
            <w:tcW w:w="3243" w:type="dxa"/>
          </w:tcPr>
          <w:p>
            <w:pPr>
              <w:pStyle w:val="TableParagraph"/>
              <w:spacing w:before="160"/>
              <w:ind w:left="108"/>
              <w:rPr>
                <w:sz w:val="21"/>
              </w:rPr>
            </w:pPr>
            <w:r>
              <w:rPr>
                <w:sz w:val="21"/>
              </w:rPr>
              <w:t>（二十五）主动脉手术</w:t>
            </w:r>
          </w:p>
        </w:tc>
      </w:tr>
      <w:tr>
        <w:trPr>
          <w:trHeight w:val="640" w:hRule="atLeast"/>
        </w:trPr>
        <w:tc>
          <w:tcPr>
            <w:tcW w:w="3168" w:type="dxa"/>
          </w:tcPr>
          <w:p>
            <w:pPr>
              <w:pStyle w:val="TableParagraph"/>
              <w:spacing w:line="320" w:lineRule="exact"/>
              <w:ind w:left="107" w:right="103"/>
              <w:rPr>
                <w:sz w:val="21"/>
              </w:rPr>
            </w:pPr>
            <w:r>
              <w:rPr>
                <w:sz w:val="21"/>
              </w:rPr>
              <w:t>（十一）脑炎后遗症或脑膜炎后遗症</w:t>
            </w:r>
          </w:p>
        </w:tc>
        <w:tc>
          <w:tcPr>
            <w:tcW w:w="3243" w:type="dxa"/>
          </w:tcPr>
          <w:p>
            <w:pPr>
              <w:pStyle w:val="TableParagraph"/>
              <w:spacing w:before="11"/>
              <w:ind w:left="108"/>
              <w:rPr>
                <w:sz w:val="21"/>
              </w:rPr>
            </w:pPr>
            <w:r>
              <w:rPr>
                <w:sz w:val="21"/>
              </w:rPr>
              <w:t>（二十六）多发性硬化症</w:t>
            </w:r>
          </w:p>
        </w:tc>
      </w:tr>
      <w:tr>
        <w:trPr>
          <w:trHeight w:val="467" w:hRule="atLeast"/>
        </w:trPr>
        <w:tc>
          <w:tcPr>
            <w:tcW w:w="3168" w:type="dxa"/>
          </w:tcPr>
          <w:p>
            <w:pPr>
              <w:pStyle w:val="TableParagraph"/>
              <w:spacing w:before="160"/>
              <w:ind w:left="107"/>
              <w:rPr>
                <w:sz w:val="21"/>
              </w:rPr>
            </w:pPr>
            <w:r>
              <w:rPr>
                <w:sz w:val="21"/>
              </w:rPr>
              <w:t>（十二）深度昏迷</w:t>
            </w:r>
          </w:p>
        </w:tc>
        <w:tc>
          <w:tcPr>
            <w:tcW w:w="3243" w:type="dxa"/>
          </w:tcPr>
          <w:p>
            <w:pPr>
              <w:pStyle w:val="TableParagraph"/>
              <w:spacing w:before="160"/>
              <w:ind w:left="108"/>
              <w:rPr>
                <w:sz w:val="21"/>
              </w:rPr>
            </w:pPr>
            <w:r>
              <w:rPr>
                <w:sz w:val="21"/>
              </w:rPr>
              <w:t>（二十七）严重狼疮性肾炎</w:t>
            </w:r>
          </w:p>
        </w:tc>
      </w:tr>
      <w:tr>
        <w:trPr>
          <w:trHeight w:val="470" w:hRule="atLeast"/>
        </w:trPr>
        <w:tc>
          <w:tcPr>
            <w:tcW w:w="3168" w:type="dxa"/>
          </w:tcPr>
          <w:p>
            <w:pPr>
              <w:pStyle w:val="TableParagraph"/>
              <w:spacing w:before="160"/>
              <w:ind w:left="107"/>
              <w:rPr>
                <w:sz w:val="21"/>
              </w:rPr>
            </w:pPr>
            <w:r>
              <w:rPr>
                <w:sz w:val="21"/>
              </w:rPr>
              <w:t>（十三）双耳失聪</w:t>
            </w:r>
          </w:p>
        </w:tc>
        <w:tc>
          <w:tcPr>
            <w:tcW w:w="3243" w:type="dxa"/>
          </w:tcPr>
          <w:p>
            <w:pPr>
              <w:pStyle w:val="TableParagraph"/>
              <w:spacing w:before="160"/>
              <w:ind w:left="108"/>
              <w:rPr>
                <w:sz w:val="21"/>
              </w:rPr>
            </w:pPr>
            <w:r>
              <w:rPr>
                <w:sz w:val="21"/>
              </w:rPr>
              <w:t>（二十八）严重哮喘</w:t>
            </w:r>
          </w:p>
        </w:tc>
      </w:tr>
      <w:tr>
        <w:trPr>
          <w:trHeight w:val="318" w:hRule="atLeast"/>
        </w:trPr>
        <w:tc>
          <w:tcPr>
            <w:tcW w:w="3168" w:type="dxa"/>
          </w:tcPr>
          <w:p>
            <w:pPr>
              <w:pStyle w:val="TableParagraph"/>
              <w:spacing w:before="11"/>
              <w:ind w:left="107"/>
              <w:rPr>
                <w:sz w:val="21"/>
              </w:rPr>
            </w:pPr>
            <w:r>
              <w:rPr>
                <w:sz w:val="21"/>
              </w:rPr>
              <w:t>（十四）双目失明</w:t>
            </w:r>
          </w:p>
        </w:tc>
        <w:tc>
          <w:tcPr>
            <w:tcW w:w="3243" w:type="dxa"/>
          </w:tcPr>
          <w:p>
            <w:pPr>
              <w:pStyle w:val="TableParagraph"/>
              <w:spacing w:before="11"/>
              <w:ind w:left="108"/>
              <w:rPr>
                <w:sz w:val="21"/>
              </w:rPr>
            </w:pPr>
            <w:r>
              <w:rPr>
                <w:sz w:val="21"/>
              </w:rPr>
              <w:t>（二十九）严重的Ｉ型糖尿病</w:t>
            </w:r>
          </w:p>
        </w:tc>
      </w:tr>
      <w:tr>
        <w:trPr>
          <w:trHeight w:val="321" w:hRule="atLeast"/>
        </w:trPr>
        <w:tc>
          <w:tcPr>
            <w:tcW w:w="3168" w:type="dxa"/>
          </w:tcPr>
          <w:p>
            <w:pPr>
              <w:pStyle w:val="TableParagraph"/>
              <w:spacing w:before="11"/>
              <w:ind w:left="107"/>
              <w:rPr>
                <w:sz w:val="21"/>
              </w:rPr>
            </w:pPr>
            <w:r>
              <w:rPr>
                <w:sz w:val="21"/>
              </w:rPr>
              <w:t>（十五）瘫痪</w:t>
            </w:r>
          </w:p>
        </w:tc>
        <w:tc>
          <w:tcPr>
            <w:tcW w:w="3243" w:type="dxa"/>
          </w:tcPr>
          <w:p>
            <w:pPr>
              <w:pStyle w:val="TableParagraph"/>
              <w:spacing w:before="11"/>
              <w:ind w:left="108"/>
              <w:rPr>
                <w:sz w:val="21"/>
              </w:rPr>
            </w:pPr>
            <w:r>
              <w:rPr>
                <w:sz w:val="21"/>
              </w:rPr>
              <w:t>（三十）植物人状态</w:t>
            </w:r>
          </w:p>
        </w:tc>
      </w:tr>
    </w:tbl>
    <w:p>
      <w:pPr>
        <w:pStyle w:val="BodyText"/>
        <w:spacing w:before="12"/>
        <w:rPr>
          <w:b/>
          <w:sz w:val="8"/>
        </w:rPr>
      </w:pPr>
    </w:p>
    <w:p>
      <w:pPr>
        <w:spacing w:after="0"/>
        <w:rPr>
          <w:sz w:val="8"/>
        </w:rPr>
        <w:sectPr>
          <w:pgSz w:w="11910" w:h="16840"/>
          <w:pgMar w:top="1400" w:bottom="280" w:left="980" w:right="960"/>
        </w:sectPr>
      </w:pPr>
    </w:p>
    <w:p>
      <w:pPr>
        <w:pStyle w:val="ListParagraph"/>
        <w:numPr>
          <w:ilvl w:val="1"/>
          <w:numId w:val="3"/>
        </w:numPr>
        <w:tabs>
          <w:tab w:pos="993" w:val="left" w:leader="none"/>
          <w:tab w:pos="994" w:val="left" w:leader="none"/>
        </w:tabs>
        <w:spacing w:line="278" w:lineRule="auto" w:before="36" w:after="0"/>
        <w:ind w:left="993" w:right="0" w:hanging="893"/>
        <w:jc w:val="left"/>
        <w:rPr>
          <w:rFonts w:ascii="黑体" w:eastAsia="黑体" w:hint="eastAsia"/>
          <w:sz w:val="21"/>
        </w:rPr>
      </w:pPr>
      <w:r>
        <w:rPr>
          <w:rFonts w:ascii="黑体" w:eastAsia="黑体" w:hint="eastAsia"/>
          <w:spacing w:val="-3"/>
          <w:sz w:val="21"/>
        </w:rPr>
        <w:t>重大疾病的范围及定义</w:t>
      </w:r>
    </w:p>
    <w:p>
      <w:pPr>
        <w:pStyle w:val="BodyText"/>
        <w:spacing w:line="280" w:lineRule="auto" w:before="36"/>
        <w:ind w:left="100" w:right="111"/>
        <w:jc w:val="both"/>
      </w:pPr>
      <w:r>
        <w:rPr/>
        <w:br w:type="column"/>
      </w:r>
      <w:r>
        <w:rPr>
          <w:spacing w:val="-3"/>
        </w:rPr>
        <w:t>指被保险人初次发生符合下列定义的疾病，或初次接受符合下列所定义的手术。该疾病或手术由</w:t>
      </w:r>
      <w:r>
        <w:rPr>
          <w:b/>
        </w:rPr>
        <w:t>专科医生</w:t>
      </w:r>
      <w:r>
        <w:rPr>
          <w:spacing w:val="-3"/>
        </w:rPr>
        <w:t>明确诊断。以下是本合同所附三十种重大疾病</w:t>
      </w:r>
      <w:r>
        <w:rPr>
          <w:spacing w:val="-15"/>
        </w:rPr>
        <w:t>的定义，其中第一种至第二十五种重大疾病是中国保险业行业协会制定的《重</w:t>
      </w:r>
      <w:r>
        <w:rPr>
          <w:spacing w:val="-9"/>
        </w:rPr>
        <w:t>大疾病保险的疾病定义使用规范》中列明的疾病，第二十六种至第三十种重</w:t>
      </w:r>
      <w:r>
        <w:rPr>
          <w:spacing w:val="-6"/>
        </w:rPr>
        <w:t>大疾病是本公司在中国保险行业协会与中国医师协会制定了规范定义的疾病</w:t>
      </w:r>
      <w:r>
        <w:rPr>
          <w:spacing w:val="-4"/>
        </w:rPr>
        <w:t>范围之外增加的疾病。</w:t>
      </w:r>
    </w:p>
    <w:p>
      <w:pPr>
        <w:pStyle w:val="BodyText"/>
        <w:spacing w:before="150"/>
        <w:ind w:left="100"/>
        <w:jc w:val="both"/>
      </w:pPr>
      <w:r>
        <w:rPr/>
        <w:t>（一）恶性肿瘤</w:t>
      </w:r>
    </w:p>
    <w:p>
      <w:pPr>
        <w:pStyle w:val="BodyText"/>
        <w:spacing w:before="46"/>
        <w:ind w:left="100"/>
        <w:jc w:val="both"/>
      </w:pPr>
      <w:r>
        <w:rPr/>
        <w:t>指恶性细胞不受控制的进行性增长和扩散，浸润和破坏周围正常组织，可以</w:t>
      </w:r>
    </w:p>
    <w:p>
      <w:pPr>
        <w:spacing w:after="0"/>
        <w:jc w:val="both"/>
        <w:sectPr>
          <w:type w:val="continuous"/>
          <w:pgSz w:w="11910" w:h="16840"/>
          <w:pgMar w:top="120" w:bottom="280" w:left="980" w:right="960"/>
          <w:cols w:num="2" w:equalWidth="0">
            <w:col w:w="2676" w:space="125"/>
            <w:col w:w="7169"/>
          </w:cols>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5"/>
      </w:tblGrid>
      <w:tr>
        <w:trPr>
          <w:trHeight w:val="3216" w:hRule="atLeast"/>
        </w:trPr>
        <w:tc>
          <w:tcPr>
            <w:tcW w:w="7455" w:type="dxa"/>
          </w:tcPr>
          <w:p>
            <w:pPr>
              <w:pStyle w:val="TableParagraph"/>
              <w:spacing w:line="207" w:lineRule="exact"/>
              <w:rPr>
                <w:sz w:val="21"/>
              </w:rPr>
            </w:pPr>
            <w:r>
              <w:rPr>
                <w:sz w:val="21"/>
              </w:rPr>
              <w:t>经血管、淋巴管和体腔扩散转移到身体其他部位的疾病。经病理学检查结果</w:t>
            </w:r>
          </w:p>
          <w:p>
            <w:pPr>
              <w:pStyle w:val="TableParagraph"/>
              <w:spacing w:line="278" w:lineRule="auto" w:before="44"/>
              <w:ind w:right="301"/>
              <w:rPr>
                <w:sz w:val="21"/>
              </w:rPr>
            </w:pPr>
            <w:r>
              <w:rPr>
                <w:spacing w:val="-3"/>
                <w:sz w:val="21"/>
              </w:rPr>
              <w:t>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2"/>
              <w:rPr>
                <w:sz w:val="21"/>
              </w:rPr>
            </w:pPr>
            <w:r>
              <w:rPr>
                <w:sz w:val="21"/>
                <w:shd w:fill="A6A6A6" w:color="auto" w:val="clear"/>
              </w:rPr>
              <w:t>下列疾病不在保障范围内：</w:t>
            </w:r>
          </w:p>
          <w:p>
            <w:pPr>
              <w:pStyle w:val="TableParagraph"/>
              <w:spacing w:before="43"/>
              <w:rPr>
                <w:sz w:val="21"/>
              </w:rPr>
            </w:pPr>
            <w:r>
              <w:rPr>
                <w:sz w:val="21"/>
                <w:shd w:fill="A6A6A6" w:color="auto" w:val="clear"/>
              </w:rPr>
              <w:t>(1)原位癌；</w:t>
            </w:r>
          </w:p>
          <w:p>
            <w:pPr>
              <w:pStyle w:val="TableParagraph"/>
              <w:spacing w:before="43"/>
              <w:rPr>
                <w:sz w:val="21"/>
              </w:rPr>
            </w:pPr>
            <w:r>
              <w:rPr>
                <w:sz w:val="21"/>
                <w:shd w:fill="A6A6A6" w:color="auto" w:val="clear"/>
              </w:rPr>
              <w:t>(2)相当于 Binet 分期方案 A 期程度的慢性淋巴细胞白血病；</w:t>
            </w:r>
          </w:p>
          <w:p>
            <w:pPr>
              <w:pStyle w:val="TableParagraph"/>
              <w:spacing w:before="46"/>
              <w:rPr>
                <w:sz w:val="21"/>
              </w:rPr>
            </w:pPr>
            <w:r>
              <w:rPr>
                <w:sz w:val="21"/>
                <w:shd w:fill="A6A6A6" w:color="auto" w:val="clear"/>
              </w:rPr>
              <w:t>(3)相当于 Ann Arbor 分期方案 I 期程度的何杰金氏病；</w:t>
            </w:r>
          </w:p>
          <w:p>
            <w:pPr>
              <w:pStyle w:val="TableParagraph"/>
              <w:spacing w:before="44"/>
              <w:rPr>
                <w:sz w:val="21"/>
              </w:rPr>
            </w:pPr>
            <w:r>
              <w:rPr>
                <w:w w:val="100"/>
                <w:sz w:val="21"/>
                <w:shd w:fill="A6A6A6" w:color="auto" w:val="clear"/>
              </w:rPr>
              <w:t>(4)</w:t>
            </w:r>
            <w:r>
              <w:rPr>
                <w:spacing w:val="-3"/>
                <w:w w:val="100"/>
                <w:sz w:val="21"/>
                <w:shd w:fill="A6A6A6" w:color="auto" w:val="clear"/>
              </w:rPr>
              <w:t>皮肤癌</w:t>
            </w:r>
            <w:r>
              <w:rPr>
                <w:w w:val="100"/>
                <w:sz w:val="21"/>
                <w:shd w:fill="A6A6A6" w:color="auto" w:val="clear"/>
              </w:rPr>
              <w:t>（</w:t>
            </w:r>
            <w:r>
              <w:rPr>
                <w:spacing w:val="-3"/>
                <w:w w:val="100"/>
                <w:sz w:val="21"/>
                <w:shd w:fill="A6A6A6" w:color="auto" w:val="clear"/>
              </w:rPr>
              <w:t>不包括恶性黑色素瘤及已发生转移的皮肤癌</w:t>
            </w:r>
            <w:r>
              <w:rPr>
                <w:spacing w:val="-108"/>
                <w:w w:val="100"/>
                <w:sz w:val="21"/>
                <w:shd w:fill="A6A6A6" w:color="auto" w:val="clear"/>
              </w:rPr>
              <w:t>）</w:t>
            </w:r>
            <w:r>
              <w:rPr>
                <w:w w:val="100"/>
                <w:sz w:val="21"/>
                <w:shd w:fill="A6A6A6" w:color="auto" w:val="clear"/>
              </w:rPr>
              <w:t>；</w:t>
            </w:r>
          </w:p>
          <w:p>
            <w:pPr>
              <w:pStyle w:val="TableParagraph"/>
              <w:spacing w:before="44"/>
              <w:rPr>
                <w:sz w:val="21"/>
              </w:rPr>
            </w:pPr>
            <w:r>
              <w:rPr>
                <w:sz w:val="21"/>
                <w:shd w:fill="A6A6A6" w:color="auto" w:val="clear"/>
              </w:rPr>
              <w:t>(5)TNM 分期为 T1N0M0 期或更轻分期的前列腺癌；</w:t>
            </w:r>
          </w:p>
          <w:p>
            <w:pPr>
              <w:pStyle w:val="TableParagraph"/>
              <w:spacing w:before="46"/>
              <w:rPr>
                <w:sz w:val="21"/>
              </w:rPr>
            </w:pPr>
            <w:r>
              <w:rPr>
                <w:sz w:val="21"/>
                <w:shd w:fill="A6A6A6" w:color="auto" w:val="clear"/>
              </w:rPr>
              <w:t>(6)感染艾滋病病毒或患艾滋病期间所患恶性肿瘤。</w:t>
            </w:r>
          </w:p>
        </w:tc>
      </w:tr>
      <w:tr>
        <w:trPr>
          <w:trHeight w:val="2702" w:hRule="atLeast"/>
        </w:trPr>
        <w:tc>
          <w:tcPr>
            <w:tcW w:w="7455" w:type="dxa"/>
          </w:tcPr>
          <w:p>
            <w:pPr>
              <w:pStyle w:val="TableParagraph"/>
              <w:spacing w:before="57"/>
              <w:rPr>
                <w:sz w:val="21"/>
              </w:rPr>
            </w:pPr>
            <w:r>
              <w:rPr>
                <w:sz w:val="21"/>
              </w:rPr>
              <w:t>（二）急性心肌梗塞</w:t>
            </w:r>
          </w:p>
          <w:p>
            <w:pPr>
              <w:pStyle w:val="TableParagraph"/>
              <w:spacing w:line="278" w:lineRule="auto" w:before="46"/>
              <w:ind w:right="301"/>
              <w:rPr>
                <w:sz w:val="21"/>
              </w:rPr>
            </w:pPr>
            <w:r>
              <w:rPr>
                <w:sz w:val="21"/>
              </w:rPr>
              <w:t>指因冠状动脉阻塞导致的相应区域供血不足造成部分心肌坏死。须满足下列至少三项条件：</w:t>
            </w:r>
          </w:p>
          <w:p>
            <w:pPr>
              <w:pStyle w:val="TableParagraph"/>
              <w:spacing w:before="10"/>
              <w:rPr>
                <w:sz w:val="21"/>
              </w:rPr>
            </w:pPr>
            <w:r>
              <w:rPr>
                <w:sz w:val="21"/>
              </w:rPr>
              <w:t>(1)典型临床表现，例如急性胸痛等；</w:t>
            </w:r>
          </w:p>
          <w:p>
            <w:pPr>
              <w:pStyle w:val="TableParagraph"/>
              <w:spacing w:before="46"/>
              <w:rPr>
                <w:sz w:val="21"/>
              </w:rPr>
            </w:pPr>
            <w:r>
              <w:rPr>
                <w:sz w:val="21"/>
              </w:rPr>
              <w:t>(2)新近的心电图改变提示急性心肌梗塞；</w:t>
            </w:r>
          </w:p>
          <w:p>
            <w:pPr>
              <w:pStyle w:val="TableParagraph"/>
              <w:spacing w:line="278" w:lineRule="auto" w:before="43"/>
              <w:ind w:left="514" w:right="303" w:hanging="315"/>
              <w:rPr>
                <w:sz w:val="21"/>
              </w:rPr>
            </w:pPr>
            <w:r>
              <w:rPr>
                <w:sz w:val="21"/>
              </w:rPr>
              <w:t>(3)</w:t>
            </w:r>
            <w:r>
              <w:rPr>
                <w:spacing w:val="-9"/>
                <w:sz w:val="21"/>
              </w:rPr>
              <w:t>心肌酶或肌钙蛋白有诊断意义的升高，或呈符合急性心肌梗塞的动态性变化；</w:t>
            </w:r>
          </w:p>
          <w:p>
            <w:pPr>
              <w:pStyle w:val="TableParagraph"/>
              <w:spacing w:before="12"/>
              <w:rPr>
                <w:sz w:val="21"/>
              </w:rPr>
            </w:pPr>
            <w:r>
              <w:rPr>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702" w:hRule="atLeast"/>
        </w:trPr>
        <w:tc>
          <w:tcPr>
            <w:tcW w:w="7455" w:type="dxa"/>
          </w:tcPr>
          <w:p>
            <w:pPr>
              <w:pStyle w:val="TableParagraph"/>
              <w:spacing w:before="56"/>
              <w:rPr>
                <w:sz w:val="21"/>
              </w:rPr>
            </w:pPr>
            <w:r>
              <w:rPr>
                <w:sz w:val="21"/>
              </w:rPr>
              <w:t>（三）脑中风后遗症</w:t>
            </w:r>
          </w:p>
          <w:p>
            <w:pPr>
              <w:pStyle w:val="TableParagraph"/>
              <w:spacing w:line="278" w:lineRule="auto" w:before="46"/>
              <w:ind w:right="301"/>
              <w:jc w:val="both"/>
              <w:rPr>
                <w:sz w:val="21"/>
              </w:rPr>
            </w:pPr>
            <w:r>
              <w:rPr>
                <w:spacing w:val="-3"/>
                <w:sz w:val="21"/>
              </w:rPr>
              <w:t>指因脑血管的突发病变引起脑血管出血、栓塞或梗塞，并导致神经系统永久</w:t>
            </w:r>
            <w:r>
              <w:rPr>
                <w:spacing w:val="-5"/>
                <w:sz w:val="21"/>
              </w:rPr>
              <w:t>性的功能障碍。神经系统永久性的功能障碍，指疾病确诊 </w:t>
            </w:r>
            <w:r>
              <w:rPr>
                <w:sz w:val="21"/>
              </w:rPr>
              <w:t>180</w:t>
            </w:r>
            <w:r>
              <w:rPr>
                <w:spacing w:val="-7"/>
                <w:sz w:val="21"/>
              </w:rPr>
              <w:t> 天后，仍遗留</w:t>
            </w:r>
            <w:r>
              <w:rPr>
                <w:spacing w:val="-5"/>
                <w:sz w:val="21"/>
              </w:rPr>
              <w:t>下列一种或一种以上障碍：</w:t>
            </w:r>
          </w:p>
          <w:p>
            <w:pPr>
              <w:pStyle w:val="TableParagraph"/>
              <w:spacing w:before="13"/>
              <w:rPr>
                <w:sz w:val="21"/>
              </w:rPr>
            </w:pPr>
            <w:r>
              <w:rPr>
                <w:sz w:val="21"/>
              </w:rPr>
              <w:t>(1)一肢或一肢以上</w:t>
            </w:r>
            <w:r>
              <w:rPr>
                <w:b/>
                <w:sz w:val="21"/>
              </w:rPr>
              <w:t>肢体机能完全丧失</w:t>
            </w:r>
            <w:r>
              <w:rPr>
                <w:sz w:val="21"/>
              </w:rPr>
              <w:t>；</w:t>
            </w:r>
          </w:p>
          <w:p>
            <w:pPr>
              <w:pStyle w:val="TableParagraph"/>
              <w:spacing w:before="44"/>
              <w:rPr>
                <w:sz w:val="21"/>
              </w:rPr>
            </w:pPr>
            <w:r>
              <w:rPr>
                <w:sz w:val="21"/>
              </w:rPr>
              <w:t>(2)</w:t>
            </w:r>
            <w:r>
              <w:rPr>
                <w:b/>
                <w:sz w:val="21"/>
              </w:rPr>
              <w:t>语言能力或咀嚼吞咽能力完全丧失</w:t>
            </w:r>
            <w:r>
              <w:rPr>
                <w:sz w:val="21"/>
              </w:rPr>
              <w:t>；</w:t>
            </w:r>
          </w:p>
          <w:p>
            <w:pPr>
              <w:pStyle w:val="TableParagraph"/>
              <w:spacing w:line="280" w:lineRule="auto" w:before="44"/>
              <w:ind w:right="303"/>
              <w:rPr>
                <w:sz w:val="21"/>
              </w:rPr>
            </w:pPr>
            <w:r>
              <w:rPr>
                <w:sz w:val="21"/>
              </w:rPr>
              <w:t>(3)</w:t>
            </w:r>
            <w:r>
              <w:rPr>
                <w:spacing w:val="-11"/>
                <w:sz w:val="21"/>
              </w:rPr>
              <w:t>自主生活能力完全丧失，无法独立完成</w:t>
            </w:r>
            <w:r>
              <w:rPr>
                <w:b/>
                <w:spacing w:val="-1"/>
                <w:sz w:val="21"/>
              </w:rPr>
              <w:t>六项基本日常生活活动</w:t>
            </w:r>
            <w:r>
              <w:rPr>
                <w:spacing w:val="-3"/>
                <w:sz w:val="21"/>
              </w:rPr>
              <w:t>中的三项或三项以上。</w:t>
            </w:r>
          </w:p>
        </w:tc>
      </w:tr>
      <w:tr>
        <w:trPr>
          <w:trHeight w:val="2062" w:hRule="atLeast"/>
        </w:trPr>
        <w:tc>
          <w:tcPr>
            <w:tcW w:w="7455" w:type="dxa"/>
          </w:tcPr>
          <w:p>
            <w:pPr>
              <w:pStyle w:val="TableParagraph"/>
              <w:spacing w:before="56"/>
              <w:rPr>
                <w:sz w:val="21"/>
              </w:rPr>
            </w:pPr>
            <w:r>
              <w:rPr>
                <w:sz w:val="21"/>
              </w:rPr>
              <w:t>（四）重大器官移植术或造血干细胞移植术</w:t>
            </w:r>
          </w:p>
          <w:p>
            <w:pPr>
              <w:pStyle w:val="TableParagraph"/>
              <w:spacing w:line="280" w:lineRule="auto" w:before="43"/>
              <w:ind w:right="301"/>
              <w:jc w:val="both"/>
              <w:rPr>
                <w:sz w:val="21"/>
              </w:rPr>
            </w:pPr>
            <w:r>
              <w:rPr>
                <w:sz w:val="21"/>
              </w:rPr>
              <w:t>重大器官移植术，指因相应器官功能衰竭，已经实施了肾脏、肝脏、心脏或肺脏的异体移植手术。</w:t>
            </w:r>
          </w:p>
          <w:p>
            <w:pPr>
              <w:pStyle w:val="TableParagraph"/>
              <w:spacing w:line="280" w:lineRule="auto" w:before="8"/>
              <w:ind w:right="30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42" w:hRule="atLeast"/>
        </w:trPr>
        <w:tc>
          <w:tcPr>
            <w:tcW w:w="7455" w:type="dxa"/>
          </w:tcPr>
          <w:p>
            <w:pPr>
              <w:pStyle w:val="TableParagraph"/>
              <w:spacing w:before="56"/>
              <w:rPr>
                <w:sz w:val="21"/>
              </w:rPr>
            </w:pPr>
            <w:r>
              <w:rPr>
                <w:sz w:val="21"/>
              </w:rPr>
              <w:t>（五）冠状动脉搭桥术（或称冠状动脉旁路移植术）</w:t>
            </w:r>
          </w:p>
          <w:p>
            <w:pPr>
              <w:pStyle w:val="TableParagraph"/>
              <w:spacing w:line="278" w:lineRule="auto" w:before="46"/>
              <w:ind w:right="301"/>
              <w:rPr>
                <w:sz w:val="21"/>
              </w:rPr>
            </w:pPr>
            <w:r>
              <w:rPr>
                <w:sz w:val="21"/>
              </w:rPr>
              <w:t>指为治疗严重的冠心病，实际实施了开胸进行的冠状动脉血管旁路移植的手术。</w:t>
            </w:r>
          </w:p>
          <w:p>
            <w:pPr>
              <w:pStyle w:val="TableParagraph"/>
              <w:spacing w:line="280" w:lineRule="auto" w:before="10"/>
              <w:ind w:right="301"/>
              <w:rPr>
                <w:sz w:val="21"/>
              </w:rPr>
            </w:pPr>
            <w:r>
              <w:rPr>
                <w:spacing w:val="-3"/>
                <w:sz w:val="21"/>
                <w:shd w:fill="A6A6A6" w:color="auto" w:val="clear"/>
              </w:rPr>
              <w:t>冠状动脉支架植入术、心导管球囊扩张术、激光射频技术及其他非开胸的介入手术、腔镜手术不在保障范围</w:t>
            </w:r>
            <w:r>
              <w:rPr>
                <w:spacing w:val="-212"/>
                <w:sz w:val="21"/>
                <w:shd w:fill="A6A6A6" w:color="auto" w:val="clear"/>
              </w:rPr>
              <w:t>内</w:t>
            </w:r>
            <w:r>
              <w:rPr>
                <w:sz w:val="21"/>
                <w:shd w:fill="A6A6A6" w:color="auto" w:val="clear"/>
              </w:rPr>
              <w:t>。</w:t>
            </w:r>
          </w:p>
        </w:tc>
      </w:tr>
      <w:tr>
        <w:trPr>
          <w:trHeight w:val="1101" w:hRule="atLeast"/>
        </w:trPr>
        <w:tc>
          <w:tcPr>
            <w:tcW w:w="7455" w:type="dxa"/>
          </w:tcPr>
          <w:p>
            <w:pPr>
              <w:pStyle w:val="TableParagraph"/>
              <w:spacing w:before="56"/>
              <w:rPr>
                <w:sz w:val="21"/>
              </w:rPr>
            </w:pPr>
            <w:r>
              <w:rPr>
                <w:sz w:val="21"/>
              </w:rPr>
              <w:t>（六）终末期肾病（或称慢性肾功能衰竭尿毒症期）</w:t>
            </w:r>
          </w:p>
          <w:p>
            <w:pPr>
              <w:pStyle w:val="TableParagraph"/>
              <w:spacing w:line="280" w:lineRule="auto" w:before="43"/>
              <w:ind w:right="306"/>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335" w:hRule="atLeast"/>
        </w:trPr>
        <w:tc>
          <w:tcPr>
            <w:tcW w:w="7455" w:type="dxa"/>
          </w:tcPr>
          <w:p>
            <w:pPr>
              <w:pStyle w:val="TableParagraph"/>
              <w:spacing w:line="259" w:lineRule="exact" w:before="56"/>
              <w:rPr>
                <w:sz w:val="21"/>
              </w:rPr>
            </w:pPr>
            <w:r>
              <w:rPr>
                <w:sz w:val="21"/>
              </w:rPr>
              <w:t>（七）多个肢体缺失</w:t>
            </w:r>
          </w:p>
        </w:tc>
      </w:tr>
    </w:tbl>
    <w:p>
      <w:pPr>
        <w:rPr>
          <w:sz w:val="2"/>
          <w:szCs w:val="2"/>
        </w:rPr>
      </w:pPr>
      <w:r>
        <w:rPr/>
        <w:drawing>
          <wp:anchor distT="0" distB="0" distL="0" distR="0" allowOverlap="1" layoutInCell="1" locked="0" behindDoc="1" simplePos="0" relativeHeight="268400951">
            <wp:simplePos x="0" y="0"/>
            <wp:positionH relativeFrom="page">
              <wp:posOffset>6744969</wp:posOffset>
            </wp:positionH>
            <wp:positionV relativeFrom="page">
              <wp:posOffset>4513960</wp:posOffset>
            </wp:positionV>
            <wp:extent cx="62865" cy="9429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62865" cy="94297"/>
                    </a:xfrm>
                    <a:prstGeom prst="rect">
                      <a:avLst/>
                    </a:prstGeom>
                  </pic:spPr>
                </pic:pic>
              </a:graphicData>
            </a:graphic>
          </wp:anchor>
        </w:drawing>
      </w:r>
    </w:p>
    <w:p>
      <w:pPr>
        <w:spacing w:after="0"/>
        <w:rPr>
          <w:sz w:val="2"/>
          <w:szCs w:val="2"/>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656" w:hRule="atLeast"/>
        </w:trPr>
        <w:tc>
          <w:tcPr>
            <w:tcW w:w="7352" w:type="dxa"/>
          </w:tcPr>
          <w:p>
            <w:pPr>
              <w:pStyle w:val="TableParagraph"/>
              <w:spacing w:line="207" w:lineRule="exact"/>
              <w:rPr>
                <w:sz w:val="21"/>
              </w:rPr>
            </w:pPr>
            <w:r>
              <w:rPr>
                <w:sz w:val="21"/>
              </w:rPr>
              <w:t>指因疾病或意外伤害导致两个或两个以上肢体自腕关节或踝关节近端（靠近</w:t>
            </w:r>
          </w:p>
          <w:p>
            <w:pPr>
              <w:pStyle w:val="TableParagraph"/>
              <w:spacing w:before="44"/>
              <w:rPr>
                <w:sz w:val="21"/>
              </w:rPr>
            </w:pPr>
            <w:r>
              <w:rPr>
                <w:sz w:val="21"/>
              </w:rPr>
              <w:t>躯干端）以上完全性断离。</w:t>
            </w:r>
          </w:p>
        </w:tc>
      </w:tr>
      <w:tr>
        <w:trPr>
          <w:trHeight w:val="2381" w:hRule="atLeast"/>
        </w:trPr>
        <w:tc>
          <w:tcPr>
            <w:tcW w:w="7352" w:type="dxa"/>
          </w:tcPr>
          <w:p>
            <w:pPr>
              <w:pStyle w:val="TableParagraph"/>
              <w:spacing w:before="58"/>
              <w:rPr>
                <w:sz w:val="21"/>
              </w:rPr>
            </w:pPr>
            <w:r>
              <w:rPr>
                <w:sz w:val="21"/>
              </w:rPr>
              <w:t>（八）急性或亚急性重症肝炎</w:t>
            </w:r>
          </w:p>
          <w:p>
            <w:pPr>
              <w:pStyle w:val="TableParagraph"/>
              <w:spacing w:line="278" w:lineRule="auto" w:before="44"/>
              <w:ind w:right="198"/>
              <w:rPr>
                <w:sz w:val="21"/>
              </w:rPr>
            </w:pPr>
            <w:r>
              <w:rPr>
                <w:sz w:val="21"/>
              </w:rPr>
              <w:t>指因肝炎病毒感染引起肝脏组织弥漫性坏死，导致急性肝功能衰竭，且经血清学或病毒学检查证实，并须满足下列全部条件：</w:t>
            </w:r>
          </w:p>
          <w:p>
            <w:pPr>
              <w:pStyle w:val="TableParagraph"/>
              <w:spacing w:before="12"/>
              <w:rPr>
                <w:sz w:val="21"/>
              </w:rPr>
            </w:pPr>
            <w:r>
              <w:rPr>
                <w:sz w:val="21"/>
              </w:rPr>
              <w:t>(1)重度黄疸或黄疸迅速加重；</w:t>
            </w:r>
          </w:p>
          <w:p>
            <w:pPr>
              <w:pStyle w:val="TableParagraph"/>
              <w:spacing w:before="43"/>
              <w:rPr>
                <w:sz w:val="21"/>
              </w:rPr>
            </w:pPr>
            <w:r>
              <w:rPr>
                <w:sz w:val="21"/>
              </w:rPr>
              <w:t>(2)肝性脑病；</w:t>
            </w:r>
          </w:p>
          <w:p>
            <w:pPr>
              <w:pStyle w:val="TableParagraph"/>
              <w:spacing w:before="43"/>
              <w:rPr>
                <w:sz w:val="21"/>
              </w:rPr>
            </w:pPr>
            <w:r>
              <w:rPr>
                <w:sz w:val="21"/>
              </w:rPr>
              <w:t>(3)B 超或其他影像学检查显示肝脏体积急速萎缩；</w:t>
            </w:r>
          </w:p>
          <w:p>
            <w:pPr>
              <w:pStyle w:val="TableParagraph"/>
              <w:spacing w:before="46"/>
              <w:rPr>
                <w:sz w:val="21"/>
              </w:rPr>
            </w:pPr>
            <w:r>
              <w:rPr>
                <w:sz w:val="21"/>
              </w:rPr>
              <w:t>(4)肝功能指标进行性恶化。</w:t>
            </w:r>
          </w:p>
        </w:tc>
      </w:tr>
      <w:tr>
        <w:trPr>
          <w:trHeight w:val="2703" w:hRule="atLeast"/>
        </w:trPr>
        <w:tc>
          <w:tcPr>
            <w:tcW w:w="7352" w:type="dxa"/>
          </w:tcPr>
          <w:p>
            <w:pPr>
              <w:pStyle w:val="TableParagraph"/>
              <w:spacing w:before="56"/>
              <w:rPr>
                <w:sz w:val="21"/>
              </w:rPr>
            </w:pPr>
            <w:r>
              <w:rPr>
                <w:sz w:val="21"/>
              </w:rPr>
              <w:t>（九）良性脑肿瘤</w:t>
            </w:r>
          </w:p>
          <w:p>
            <w:pPr>
              <w:pStyle w:val="TableParagraph"/>
              <w:spacing w:line="278" w:lineRule="auto" w:before="46"/>
              <w:ind w:right="198"/>
              <w:jc w:val="both"/>
              <w:rPr>
                <w:sz w:val="21"/>
              </w:rPr>
            </w:pPr>
            <w:r>
              <w:rPr>
                <w:spacing w:val="-3"/>
                <w:sz w:val="21"/>
              </w:rPr>
              <w:t>指脑的良性肿瘤，已经引起颅内压增高，临床表现为视神经乳头水肿、精神</w:t>
            </w:r>
            <w:r>
              <w:rPr>
                <w:spacing w:val="-9"/>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7"/>
                <w:w w:val="100"/>
                <w:sz w:val="21"/>
              </w:rPr>
              <w:t>、核磁</w:t>
            </w:r>
            <w:r>
              <w:rPr>
                <w:spacing w:val="-1"/>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0"/>
              <w:jc w:val="both"/>
              <w:rPr>
                <w:sz w:val="21"/>
              </w:rPr>
            </w:pPr>
            <w:r>
              <w:rPr>
                <w:sz w:val="21"/>
              </w:rPr>
              <w:t>(1)实际实施了开颅进行的脑肿瘤完全切除或部分切除的手术；</w:t>
            </w:r>
          </w:p>
          <w:p>
            <w:pPr>
              <w:pStyle w:val="TableParagraph"/>
              <w:spacing w:before="44"/>
              <w:jc w:val="both"/>
              <w:rPr>
                <w:sz w:val="21"/>
              </w:rPr>
            </w:pPr>
            <w:r>
              <w:rPr>
                <w:sz w:val="21"/>
              </w:rPr>
              <w:t>(2)实际实施了对脑肿瘤进行的放射治疗。</w:t>
            </w:r>
          </w:p>
          <w:p>
            <w:pPr>
              <w:pStyle w:val="TableParagraph"/>
              <w:spacing w:before="46"/>
              <w:jc w:val="both"/>
              <w:rPr>
                <w:sz w:val="21"/>
              </w:rPr>
            </w:pPr>
            <w:r>
              <w:rPr>
                <w:sz w:val="21"/>
                <w:shd w:fill="A6A6A6" w:color="auto" w:val="clear"/>
              </w:rPr>
              <w:t>脑垂体瘤、脑囊肿、脑血管性疾病不在保障范围内。</w:t>
            </w:r>
          </w:p>
        </w:tc>
      </w:tr>
      <w:tr>
        <w:trPr>
          <w:trHeight w:val="2382" w:hRule="atLeast"/>
        </w:trPr>
        <w:tc>
          <w:tcPr>
            <w:tcW w:w="7352" w:type="dxa"/>
          </w:tcPr>
          <w:p>
            <w:pPr>
              <w:pStyle w:val="TableParagraph"/>
              <w:spacing w:before="56"/>
              <w:rPr>
                <w:sz w:val="21"/>
              </w:rPr>
            </w:pPr>
            <w:r>
              <w:rPr>
                <w:sz w:val="21"/>
              </w:rPr>
              <w:t>（十）慢性肝功能衰竭失代偿期</w:t>
            </w:r>
          </w:p>
          <w:p>
            <w:pPr>
              <w:pStyle w:val="TableParagraph"/>
              <w:spacing w:before="43"/>
              <w:rPr>
                <w:sz w:val="21"/>
              </w:rPr>
            </w:pPr>
            <w:r>
              <w:rPr>
                <w:sz w:val="21"/>
              </w:rPr>
              <w:t>指因慢性肝脏疾病导致肝功能衰竭。须满足下列全部条件：</w:t>
            </w:r>
          </w:p>
          <w:p>
            <w:pPr>
              <w:pStyle w:val="TableParagraph"/>
              <w:spacing w:before="46"/>
              <w:rPr>
                <w:sz w:val="21"/>
              </w:rPr>
            </w:pPr>
            <w:r>
              <w:rPr>
                <w:sz w:val="21"/>
              </w:rPr>
              <w:t>(1)持续性黄疸；</w:t>
            </w:r>
          </w:p>
          <w:p>
            <w:pPr>
              <w:pStyle w:val="TableParagraph"/>
              <w:spacing w:before="44"/>
              <w:rPr>
                <w:sz w:val="21"/>
              </w:rPr>
            </w:pPr>
            <w:r>
              <w:rPr>
                <w:sz w:val="21"/>
              </w:rPr>
              <w:t>(2)腹水；</w:t>
            </w:r>
          </w:p>
          <w:p>
            <w:pPr>
              <w:pStyle w:val="TableParagraph"/>
              <w:spacing w:before="44"/>
              <w:rPr>
                <w:sz w:val="21"/>
              </w:rPr>
            </w:pPr>
            <w:r>
              <w:rPr>
                <w:sz w:val="21"/>
              </w:rPr>
              <w:t>(3)肝性脑病；</w:t>
            </w:r>
          </w:p>
          <w:p>
            <w:pPr>
              <w:pStyle w:val="TableParagraph"/>
              <w:spacing w:line="278" w:lineRule="auto" w:before="46"/>
              <w:ind w:right="2104"/>
              <w:rPr>
                <w:sz w:val="21"/>
              </w:rPr>
            </w:pPr>
            <w:r>
              <w:rPr>
                <w:sz w:val="21"/>
              </w:rPr>
              <w:t>(4)充血性脾肿大伴脾功能亢进或食管胃底静脉曲张。</w:t>
            </w:r>
            <w:r>
              <w:rPr>
                <w:sz w:val="21"/>
                <w:shd w:fill="A6A6A6" w:color="auto" w:val="clear"/>
              </w:rPr>
              <w:t>因酗酒或药物滥用导致的肝功能衰竭不在保障范围内。</w:t>
            </w:r>
          </w:p>
        </w:tc>
      </w:tr>
      <w:tr>
        <w:trPr>
          <w:trHeight w:val="2382" w:hRule="atLeast"/>
        </w:trPr>
        <w:tc>
          <w:tcPr>
            <w:tcW w:w="7352" w:type="dxa"/>
          </w:tcPr>
          <w:p>
            <w:pPr>
              <w:pStyle w:val="TableParagraph"/>
              <w:spacing w:before="58"/>
              <w:rPr>
                <w:sz w:val="21"/>
              </w:rPr>
            </w:pPr>
            <w:r>
              <w:rPr>
                <w:sz w:val="21"/>
              </w:rPr>
              <w:t>（十一）脑炎后遗症或脑膜炎后遗症</w:t>
            </w:r>
          </w:p>
          <w:p>
            <w:pPr>
              <w:pStyle w:val="TableParagraph"/>
              <w:spacing w:line="278" w:lineRule="auto" w:before="44"/>
              <w:ind w:right="21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2"/>
              <w:rPr>
                <w:sz w:val="21"/>
              </w:rPr>
            </w:pPr>
            <w:r>
              <w:rPr>
                <w:sz w:val="21"/>
              </w:rPr>
              <w:t>(1)一肢或一肢以上肢体机能完全丧失；</w:t>
            </w:r>
          </w:p>
          <w:p>
            <w:pPr>
              <w:pStyle w:val="TableParagraph"/>
              <w:spacing w:before="43"/>
              <w:rPr>
                <w:sz w:val="21"/>
              </w:rPr>
            </w:pPr>
            <w:r>
              <w:rPr>
                <w:sz w:val="21"/>
              </w:rPr>
              <w:t>(2)语言能力或咀嚼吞咽能力完全丧失；</w:t>
            </w:r>
          </w:p>
          <w:p>
            <w:pPr>
              <w:pStyle w:val="TableParagraph"/>
              <w:spacing w:line="280" w:lineRule="auto" w:before="44"/>
              <w:ind w:right="200"/>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1741" w:hRule="atLeast"/>
        </w:trPr>
        <w:tc>
          <w:tcPr>
            <w:tcW w:w="7352" w:type="dxa"/>
          </w:tcPr>
          <w:p>
            <w:pPr>
              <w:pStyle w:val="TableParagraph"/>
              <w:spacing w:before="56"/>
              <w:rPr>
                <w:sz w:val="21"/>
              </w:rPr>
            </w:pPr>
            <w:r>
              <w:rPr>
                <w:sz w:val="21"/>
              </w:rPr>
              <w:t>（十二）深度昏迷</w:t>
            </w:r>
          </w:p>
          <w:p>
            <w:pPr>
              <w:pStyle w:val="TableParagraph"/>
              <w:spacing w:line="280" w:lineRule="auto" w:before="43"/>
              <w:ind w:right="19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4"/>
                <w:sz w:val="21"/>
              </w:rPr>
              <w:t> 分或 </w:t>
            </w:r>
            <w:r>
              <w:rPr>
                <w:sz w:val="21"/>
              </w:rPr>
              <w:t>5</w:t>
            </w:r>
            <w:r>
              <w:rPr>
                <w:spacing w:val="-11"/>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8"/>
              <w:jc w:val="both"/>
              <w:rPr>
                <w:sz w:val="21"/>
              </w:rPr>
            </w:pPr>
            <w:r>
              <w:rPr>
                <w:sz w:val="21"/>
                <w:shd w:fill="A6A6A6" w:color="auto" w:val="clear"/>
              </w:rPr>
              <w:t>因酗酒或药物滥用导致的深度昏迷不在保障范围内。</w:t>
            </w:r>
          </w:p>
        </w:tc>
      </w:tr>
      <w:tr>
        <w:trPr>
          <w:trHeight w:val="1616" w:hRule="atLeast"/>
        </w:trPr>
        <w:tc>
          <w:tcPr>
            <w:tcW w:w="7352" w:type="dxa"/>
          </w:tcPr>
          <w:p>
            <w:pPr>
              <w:pStyle w:val="TableParagraph"/>
              <w:spacing w:before="58"/>
              <w:rPr>
                <w:sz w:val="21"/>
              </w:rPr>
            </w:pPr>
            <w:r>
              <w:rPr>
                <w:sz w:val="21"/>
              </w:rPr>
              <w:t>（十三）双耳失聪</w:t>
            </w:r>
          </w:p>
          <w:p>
            <w:pPr>
              <w:pStyle w:val="TableParagraph"/>
              <w:spacing w:line="280" w:lineRule="auto" w:before="44"/>
              <w:ind w:right="198"/>
              <w:jc w:val="both"/>
              <w:rPr>
                <w:sz w:val="21"/>
              </w:rPr>
            </w:pPr>
            <w:r>
              <w:rPr>
                <w:spacing w:val="-3"/>
                <w:sz w:val="21"/>
              </w:rPr>
              <w:t>指因疾病或意外伤害导致双耳听力</w:t>
            </w:r>
            <w:r>
              <w:rPr>
                <w:b/>
                <w:sz w:val="21"/>
              </w:rPr>
              <w:t>永久不可逆</w:t>
            </w:r>
            <w:r>
              <w:rPr>
                <w:spacing w:val="-13"/>
                <w:sz w:val="21"/>
              </w:rPr>
              <w:t>性丧失，在 </w:t>
            </w:r>
            <w:r>
              <w:rPr>
                <w:sz w:val="21"/>
              </w:rPr>
              <w:t>500</w:t>
            </w:r>
            <w:r>
              <w:rPr>
                <w:spacing w:val="-18"/>
                <w:sz w:val="21"/>
              </w:rPr>
              <w:t> 赫兹、</w:t>
            </w:r>
            <w:r>
              <w:rPr>
                <w:sz w:val="21"/>
              </w:rPr>
              <w:t>1000</w:t>
            </w:r>
            <w:r>
              <w:rPr>
                <w:spacing w:val="-23"/>
                <w:sz w:val="21"/>
              </w:rPr>
              <w:t> 赫</w:t>
            </w:r>
            <w:r>
              <w:rPr>
                <w:spacing w:val="-30"/>
                <w:sz w:val="21"/>
              </w:rPr>
              <w:t>兹和 </w:t>
            </w:r>
            <w:r>
              <w:rPr>
                <w:sz w:val="21"/>
              </w:rPr>
              <w:t>2000</w:t>
            </w:r>
            <w:r>
              <w:rPr>
                <w:spacing w:val="-11"/>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line="259" w:lineRule="exact" w:before="8"/>
              <w:jc w:val="both"/>
              <w:rPr>
                <w:sz w:val="21"/>
              </w:rPr>
            </w:pPr>
            <w:r>
              <w:rPr>
                <w:sz w:val="21"/>
                <w:shd w:fill="A6A6A6" w:color="auto" w:val="clear"/>
              </w:rPr>
              <w:t>被保险人申请理赔时年龄必须在三周岁以上，并且提供理赔当时双耳失聪的</w:t>
            </w:r>
          </w:p>
        </w:tc>
      </w:tr>
    </w:tbl>
    <w:p>
      <w:pPr>
        <w:spacing w:after="0" w:line="259" w:lineRule="exact"/>
        <w:jc w:val="both"/>
        <w:rPr>
          <w:sz w:val="21"/>
        </w:rPr>
        <w:sectPr>
          <w:pgSz w:w="11910" w:h="16840"/>
          <w:pgMar w:top="1480" w:bottom="280" w:left="1680" w:right="7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5"/>
      </w:tblGrid>
      <w:tr>
        <w:trPr>
          <w:trHeight w:val="336" w:hRule="atLeast"/>
        </w:trPr>
        <w:tc>
          <w:tcPr>
            <w:tcW w:w="7455" w:type="dxa"/>
          </w:tcPr>
          <w:p>
            <w:pPr>
              <w:pStyle w:val="TableParagraph"/>
              <w:spacing w:line="207" w:lineRule="exact"/>
              <w:rPr>
                <w:sz w:val="21"/>
              </w:rPr>
            </w:pPr>
            <w:r>
              <w:rPr>
                <w:sz w:val="21"/>
                <w:shd w:fill="A6A6A6" w:color="auto" w:val="clear"/>
              </w:rPr>
              <w:t>诊断及检查证明和资料。</w:t>
            </w:r>
          </w:p>
        </w:tc>
      </w:tr>
      <w:tr>
        <w:trPr>
          <w:trHeight w:val="3023" w:hRule="atLeast"/>
        </w:trPr>
        <w:tc>
          <w:tcPr>
            <w:tcW w:w="7455" w:type="dxa"/>
          </w:tcPr>
          <w:p>
            <w:pPr>
              <w:pStyle w:val="TableParagraph"/>
              <w:spacing w:before="56"/>
              <w:rPr>
                <w:sz w:val="21"/>
              </w:rPr>
            </w:pPr>
            <w:r>
              <w:rPr>
                <w:sz w:val="21"/>
              </w:rPr>
              <w:t>（十四）双目失明</w:t>
            </w:r>
          </w:p>
          <w:p>
            <w:pPr>
              <w:pStyle w:val="TableParagraph"/>
              <w:spacing w:line="278" w:lineRule="auto" w:before="46"/>
              <w:ind w:right="301"/>
              <w:rPr>
                <w:sz w:val="21"/>
              </w:rPr>
            </w:pPr>
            <w:r>
              <w:rPr>
                <w:sz w:val="21"/>
              </w:rPr>
              <w:t>指因疾病或意外伤害导致双眼视力永久不可逆性丧失，双眼中较好眼须满足下列至少一项条件：</w:t>
            </w:r>
          </w:p>
          <w:p>
            <w:pPr>
              <w:pStyle w:val="TableParagraph"/>
              <w:spacing w:before="10"/>
              <w:rPr>
                <w:sz w:val="21"/>
              </w:rPr>
            </w:pPr>
            <w:r>
              <w:rPr>
                <w:sz w:val="21"/>
              </w:rPr>
              <w:t>(1)眼球缺失或摘除；</w:t>
            </w:r>
          </w:p>
          <w:p>
            <w:pPr>
              <w:pStyle w:val="TableParagraph"/>
              <w:spacing w:line="278" w:lineRule="auto" w:before="46"/>
              <w:ind w:left="514" w:right="302" w:hanging="315"/>
              <w:rPr>
                <w:sz w:val="21"/>
              </w:rPr>
            </w:pPr>
            <w:r>
              <w:rPr>
                <w:sz w:val="21"/>
              </w:rPr>
              <w:t>(2)</w:t>
            </w:r>
            <w:r>
              <w:rPr>
                <w:spacing w:val="2"/>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before="10"/>
              <w:rPr>
                <w:sz w:val="21"/>
              </w:rPr>
            </w:pPr>
            <w:r>
              <w:rPr>
                <w:sz w:val="21"/>
              </w:rPr>
              <w:t>(3)视野半径小于 5 度。</w:t>
            </w:r>
          </w:p>
          <w:p>
            <w:pPr>
              <w:pStyle w:val="TableParagraph"/>
              <w:spacing w:line="278" w:lineRule="auto" w:before="46"/>
              <w:ind w:right="301"/>
              <w:rPr>
                <w:sz w:val="21"/>
              </w:rPr>
            </w:pPr>
            <w:r>
              <w:rPr>
                <w:sz w:val="21"/>
                <w:shd w:fill="A6A6A6" w:color="auto" w:val="clear"/>
              </w:rPr>
              <w:t>被保险人申请理赔时年龄必须在三周岁以上，并且提供理赔当时双目失明的诊断及检查证明和资料。</w:t>
            </w:r>
          </w:p>
        </w:tc>
      </w:tr>
      <w:tr>
        <w:trPr>
          <w:trHeight w:val="1422" w:hRule="atLeast"/>
        </w:trPr>
        <w:tc>
          <w:tcPr>
            <w:tcW w:w="7455" w:type="dxa"/>
          </w:tcPr>
          <w:p>
            <w:pPr>
              <w:pStyle w:val="TableParagraph"/>
              <w:spacing w:before="58"/>
              <w:rPr>
                <w:sz w:val="21"/>
              </w:rPr>
            </w:pPr>
            <w:r>
              <w:rPr>
                <w:sz w:val="21"/>
              </w:rPr>
              <w:t>（十五）瘫痪</w:t>
            </w:r>
          </w:p>
          <w:p>
            <w:pPr>
              <w:pStyle w:val="TableParagraph"/>
              <w:spacing w:line="280" w:lineRule="auto" w:before="44"/>
              <w:ind w:right="301"/>
              <w:jc w:val="both"/>
              <w:rPr>
                <w:sz w:val="21"/>
              </w:rPr>
            </w:pPr>
            <w:r>
              <w:rPr>
                <w:spacing w:val="-3"/>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781" w:hRule="atLeast"/>
        </w:trPr>
        <w:tc>
          <w:tcPr>
            <w:tcW w:w="7455" w:type="dxa"/>
          </w:tcPr>
          <w:p>
            <w:pPr>
              <w:pStyle w:val="TableParagraph"/>
              <w:spacing w:before="56"/>
              <w:rPr>
                <w:sz w:val="21"/>
              </w:rPr>
            </w:pPr>
            <w:r>
              <w:rPr>
                <w:sz w:val="21"/>
              </w:rPr>
              <w:t>（十六）心脏瓣膜手术</w:t>
            </w:r>
          </w:p>
          <w:p>
            <w:pPr>
              <w:pStyle w:val="TableParagraph"/>
              <w:spacing w:before="43"/>
              <w:rPr>
                <w:sz w:val="21"/>
              </w:rPr>
            </w:pPr>
            <w:r>
              <w:rPr>
                <w:sz w:val="21"/>
              </w:rPr>
              <w:t>指为治疗心脏瓣膜疾病，实际实施了开胸进行的心脏瓣膜置换或修复的手术。</w:t>
            </w:r>
          </w:p>
        </w:tc>
      </w:tr>
      <w:tr>
        <w:trPr>
          <w:trHeight w:val="2382" w:hRule="atLeast"/>
        </w:trPr>
        <w:tc>
          <w:tcPr>
            <w:tcW w:w="7455" w:type="dxa"/>
          </w:tcPr>
          <w:p>
            <w:pPr>
              <w:pStyle w:val="TableParagraph"/>
              <w:spacing w:before="58"/>
              <w:rPr>
                <w:sz w:val="21"/>
              </w:rPr>
            </w:pPr>
            <w:r>
              <w:rPr>
                <w:sz w:val="21"/>
              </w:rPr>
              <w:t>（十七）严重阿尔茨海默病</w:t>
            </w:r>
          </w:p>
          <w:p>
            <w:pPr>
              <w:pStyle w:val="TableParagraph"/>
              <w:spacing w:line="280" w:lineRule="auto" w:before="44"/>
              <w:ind w:right="301"/>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6"/>
                <w:w w:val="100"/>
                <w:sz w:val="21"/>
              </w:rPr>
              <w:t>）</w:t>
            </w:r>
            <w:r>
              <w:rPr>
                <w:spacing w:val="-2"/>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2"/>
                <w:w w:val="100"/>
                <w:sz w:val="21"/>
              </w:rPr>
              <w:t>或正电子发射断层扫</w:t>
            </w:r>
            <w:r>
              <w:rPr>
                <w:spacing w:val="-22"/>
                <w:sz w:val="21"/>
              </w:rPr>
              <w:t>描</w:t>
            </w:r>
            <w:r>
              <w:rPr>
                <w:spacing w:val="-6"/>
                <w:sz w:val="21"/>
              </w:rPr>
              <w:t>（PET）</w:t>
            </w:r>
            <w:r>
              <w:rPr>
                <w:spacing w:val="-7"/>
                <w:sz w:val="21"/>
              </w:rPr>
              <w:t>等影像学检查证实，且自主生活能力完全丧失，无法独立完成六项</w:t>
            </w:r>
            <w:r>
              <w:rPr>
                <w:spacing w:val="-5"/>
                <w:sz w:val="21"/>
              </w:rPr>
              <w:t>基本日常生活活动中的三项或三项以上。</w:t>
            </w:r>
          </w:p>
          <w:p>
            <w:pPr>
              <w:pStyle w:val="TableParagraph"/>
              <w:spacing w:before="8"/>
              <w:jc w:val="both"/>
              <w:rPr>
                <w:sz w:val="21"/>
              </w:rPr>
            </w:pPr>
            <w:r>
              <w:rPr>
                <w:sz w:val="21"/>
                <w:shd w:fill="A6A6A6" w:color="auto" w:val="clear"/>
              </w:rPr>
              <w:t>神经官能症和精神疾病不在保障范围内。</w:t>
            </w:r>
          </w:p>
        </w:tc>
      </w:tr>
      <w:tr>
        <w:trPr>
          <w:trHeight w:val="3023" w:hRule="atLeast"/>
        </w:trPr>
        <w:tc>
          <w:tcPr>
            <w:tcW w:w="7455" w:type="dxa"/>
          </w:tcPr>
          <w:p>
            <w:pPr>
              <w:pStyle w:val="TableParagraph"/>
              <w:spacing w:before="56"/>
              <w:rPr>
                <w:sz w:val="21"/>
              </w:rPr>
            </w:pPr>
            <w:r>
              <w:rPr>
                <w:sz w:val="21"/>
              </w:rPr>
              <w:t>（十八）严重脑损伤</w:t>
            </w:r>
          </w:p>
          <w:p>
            <w:pPr>
              <w:pStyle w:val="TableParagraph"/>
              <w:spacing w:line="278" w:lineRule="auto" w:before="46"/>
              <w:ind w:right="301"/>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7"/>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0"/>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78" w:lineRule="auto" w:before="46"/>
              <w:ind w:right="303"/>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2382" w:hRule="atLeast"/>
        </w:trPr>
        <w:tc>
          <w:tcPr>
            <w:tcW w:w="7455" w:type="dxa"/>
          </w:tcPr>
          <w:p>
            <w:pPr>
              <w:pStyle w:val="TableParagraph"/>
              <w:spacing w:before="58"/>
              <w:rPr>
                <w:sz w:val="21"/>
              </w:rPr>
            </w:pPr>
            <w:r>
              <w:rPr>
                <w:sz w:val="21"/>
              </w:rPr>
              <w:t>（十九）严重帕金森病</w:t>
            </w:r>
          </w:p>
          <w:p>
            <w:pPr>
              <w:pStyle w:val="TableParagraph"/>
              <w:spacing w:line="278" w:lineRule="auto" w:before="44"/>
              <w:ind w:right="301"/>
              <w:rPr>
                <w:sz w:val="21"/>
              </w:rPr>
            </w:pPr>
            <w:r>
              <w:rPr>
                <w:sz w:val="21"/>
              </w:rPr>
              <w:t>是一种中枢神经系统的退行性疾病，临床表现为震颤麻痹、共济失调等。须满足下列全部条件：</w:t>
            </w:r>
          </w:p>
          <w:p>
            <w:pPr>
              <w:pStyle w:val="TableParagraph"/>
              <w:spacing w:before="12"/>
              <w:rPr>
                <w:sz w:val="21"/>
              </w:rPr>
            </w:pPr>
            <w:r>
              <w:rPr>
                <w:sz w:val="21"/>
              </w:rPr>
              <w:t>(1)药物治疗无法控制病情；</w:t>
            </w:r>
          </w:p>
          <w:p>
            <w:pPr>
              <w:pStyle w:val="TableParagraph"/>
              <w:spacing w:line="278" w:lineRule="auto" w:before="43"/>
              <w:ind w:left="514" w:right="303" w:hanging="315"/>
              <w:rPr>
                <w:sz w:val="21"/>
              </w:rPr>
            </w:pPr>
            <w:r>
              <w:rPr>
                <w:sz w:val="21"/>
              </w:rPr>
              <w:t>(2)</w:t>
            </w:r>
            <w:r>
              <w:rPr>
                <w:spacing w:val="-11"/>
                <w:sz w:val="21"/>
              </w:rPr>
              <w:t>自主生活能力完全丧失，无法独立完成六项基本日常生活活动中的三项或</w:t>
            </w:r>
            <w:r>
              <w:rPr>
                <w:spacing w:val="-6"/>
                <w:sz w:val="21"/>
              </w:rPr>
              <w:t>三项以上。</w:t>
            </w:r>
          </w:p>
          <w:p>
            <w:pPr>
              <w:pStyle w:val="TableParagraph"/>
              <w:spacing w:before="12"/>
              <w:rPr>
                <w:sz w:val="21"/>
              </w:rPr>
            </w:pPr>
            <w:r>
              <w:rPr>
                <w:sz w:val="21"/>
                <w:shd w:fill="A6A6A6" w:color="auto" w:val="clear"/>
              </w:rPr>
              <w:t>继发性帕金森综合征不在保障范围内。</w:t>
            </w:r>
          </w:p>
        </w:tc>
      </w:tr>
      <w:tr>
        <w:trPr>
          <w:trHeight w:val="336" w:hRule="atLeast"/>
        </w:trPr>
        <w:tc>
          <w:tcPr>
            <w:tcW w:w="7455" w:type="dxa"/>
          </w:tcPr>
          <w:p>
            <w:pPr>
              <w:pStyle w:val="TableParagraph"/>
              <w:spacing w:line="259" w:lineRule="exact" w:before="57"/>
              <w:rPr>
                <w:sz w:val="21"/>
              </w:rPr>
            </w:pPr>
            <w:r>
              <w:rPr>
                <w:sz w:val="21"/>
              </w:rPr>
              <w:t>（二十）严重Ⅲ度烧伤</w:t>
            </w:r>
          </w:p>
        </w:tc>
      </w:tr>
    </w:tbl>
    <w:p>
      <w:pPr>
        <w:spacing w:after="0" w:line="259" w:lineRule="exact"/>
        <w:rPr>
          <w:sz w:val="21"/>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7"/>
      </w:tblGrid>
      <w:tr>
        <w:trPr>
          <w:trHeight w:val="656" w:hRule="atLeast"/>
        </w:trPr>
        <w:tc>
          <w:tcPr>
            <w:tcW w:w="7457" w:type="dxa"/>
          </w:tcPr>
          <w:p>
            <w:pPr>
              <w:pStyle w:val="TableParagraph"/>
              <w:spacing w:line="207" w:lineRule="exact"/>
              <w:rPr>
                <w:sz w:val="21"/>
              </w:rPr>
            </w:pPr>
            <w:r>
              <w:rPr>
                <w:sz w:val="21"/>
              </w:rPr>
              <w:t>指烧伤程度为Ⅲ度，且Ⅲ度烧伤的面积达到全身体表面积的 20％或 20％以</w:t>
            </w:r>
          </w:p>
          <w:p>
            <w:pPr>
              <w:pStyle w:val="TableParagraph"/>
              <w:spacing w:before="44"/>
              <w:rPr>
                <w:sz w:val="21"/>
              </w:rPr>
            </w:pPr>
            <w:r>
              <w:rPr>
                <w:sz w:val="21"/>
              </w:rPr>
              <w:t>上。体表面积根据《中国新九分法》计算。</w:t>
            </w:r>
          </w:p>
        </w:tc>
      </w:tr>
      <w:tr>
        <w:trPr>
          <w:trHeight w:val="1421" w:hRule="atLeast"/>
        </w:trPr>
        <w:tc>
          <w:tcPr>
            <w:tcW w:w="7457" w:type="dxa"/>
          </w:tcPr>
          <w:p>
            <w:pPr>
              <w:pStyle w:val="TableParagraph"/>
              <w:spacing w:before="58"/>
              <w:rPr>
                <w:sz w:val="21"/>
              </w:rPr>
            </w:pPr>
            <w:r>
              <w:rPr>
                <w:sz w:val="21"/>
              </w:rPr>
              <w:t>（二十一）严重原发性肺动脉高压</w:t>
            </w:r>
          </w:p>
          <w:p>
            <w:pPr>
              <w:pStyle w:val="TableParagraph"/>
              <w:spacing w:line="280" w:lineRule="auto" w:before="44"/>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743" w:hRule="atLeast"/>
        </w:trPr>
        <w:tc>
          <w:tcPr>
            <w:tcW w:w="7457" w:type="dxa"/>
          </w:tcPr>
          <w:p>
            <w:pPr>
              <w:pStyle w:val="TableParagraph"/>
              <w:spacing w:before="56"/>
              <w:rPr>
                <w:sz w:val="21"/>
              </w:rPr>
            </w:pPr>
            <w:r>
              <w:rPr>
                <w:sz w:val="21"/>
              </w:rPr>
              <w:t>（二十二）严重运动神经元病</w:t>
            </w:r>
          </w:p>
          <w:p>
            <w:pPr>
              <w:pStyle w:val="TableParagraph"/>
              <w:spacing w:line="280" w:lineRule="auto" w:before="46"/>
              <w:ind w:right="197"/>
              <w:rPr>
                <w:sz w:val="21"/>
              </w:rPr>
            </w:pPr>
            <w:r>
              <w:rPr>
                <w:spacing w:val="-7"/>
                <w:sz w:val="21"/>
              </w:rPr>
              <w:t>是一组中枢神经系统运动神经元的进行性变性疾病，包括进行性脊肌萎缩症、</w:t>
            </w:r>
            <w:r>
              <w:rPr>
                <w:spacing w:val="-6"/>
                <w:sz w:val="21"/>
              </w:rPr>
              <w:t>进行性延髓麻痹症、原发性侧索硬化症、肌萎缩性侧索硬化症。须满足自主</w:t>
            </w:r>
            <w:r>
              <w:rPr>
                <w:spacing w:val="-5"/>
                <w:sz w:val="21"/>
              </w:rPr>
              <w:t>生活能力完全丧失，无法独立完成六项基本日常生活活动中的三项或三项以</w:t>
            </w:r>
            <w:r>
              <w:rPr>
                <w:spacing w:val="-4"/>
                <w:sz w:val="21"/>
              </w:rPr>
              <w:t>上的条件。</w:t>
            </w:r>
          </w:p>
        </w:tc>
      </w:tr>
      <w:tr>
        <w:trPr>
          <w:trHeight w:val="2061" w:hRule="atLeast"/>
        </w:trPr>
        <w:tc>
          <w:tcPr>
            <w:tcW w:w="7457" w:type="dxa"/>
          </w:tcPr>
          <w:p>
            <w:pPr>
              <w:pStyle w:val="TableParagraph"/>
              <w:spacing w:before="56"/>
              <w:rPr>
                <w:sz w:val="21"/>
              </w:rPr>
            </w:pPr>
            <w:r>
              <w:rPr>
                <w:sz w:val="21"/>
              </w:rPr>
              <w:t>（二十三）语言能力丧失</w:t>
            </w:r>
          </w:p>
          <w:p>
            <w:pPr>
              <w:pStyle w:val="TableParagraph"/>
              <w:spacing w:line="280" w:lineRule="auto" w:before="43"/>
              <w:ind w:right="303"/>
              <w:rPr>
                <w:sz w:val="21"/>
              </w:rPr>
            </w:pPr>
            <w:r>
              <w:rPr>
                <w:spacing w:val="-8"/>
                <w:sz w:val="21"/>
              </w:rPr>
              <w:t>指因疾病或意外伤害导致完全丧失语言能力，经过积极治疗至少 </w:t>
            </w:r>
            <w:r>
              <w:rPr>
                <w:sz w:val="21"/>
              </w:rPr>
              <w:t>12</w:t>
            </w:r>
            <w:r>
              <w:rPr>
                <w:spacing w:val="-2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shd w:fill="A6A6A6" w:color="auto" w:val="clear"/>
              </w:rPr>
              <w:t>精神心理因素所致的语言能力丧失不在保障范围内。</w:t>
            </w:r>
          </w:p>
          <w:p>
            <w:pPr>
              <w:pStyle w:val="TableParagraph"/>
              <w:spacing w:line="280" w:lineRule="auto" w:before="44"/>
              <w:ind w:right="303"/>
              <w:rPr>
                <w:sz w:val="21"/>
              </w:rPr>
            </w:pPr>
            <w:r>
              <w:rPr>
                <w:spacing w:val="-3"/>
                <w:sz w:val="21"/>
                <w:shd w:fill="A6A6A6" w:color="auto" w:val="clear"/>
              </w:rPr>
              <w:t>被保险人申请理赔时年龄必须在三周岁以上，并且提供理赔当时语言能力丧</w:t>
            </w:r>
            <w:r>
              <w:rPr>
                <w:spacing w:val="-212"/>
                <w:sz w:val="21"/>
                <w:shd w:fill="A6A6A6" w:color="auto" w:val="clear"/>
              </w:rPr>
              <w:t>失</w:t>
            </w:r>
            <w:r>
              <w:rPr>
                <w:spacing w:val="-3"/>
                <w:sz w:val="21"/>
                <w:shd w:fill="A6A6A6" w:color="auto" w:val="clear"/>
              </w:rPr>
              <w:t>的诊断及检查证明和资料。</w:t>
            </w:r>
          </w:p>
        </w:tc>
      </w:tr>
      <w:tr>
        <w:trPr>
          <w:trHeight w:val="2702" w:hRule="atLeast"/>
        </w:trPr>
        <w:tc>
          <w:tcPr>
            <w:tcW w:w="7457" w:type="dxa"/>
          </w:tcPr>
          <w:p>
            <w:pPr>
              <w:pStyle w:val="TableParagraph"/>
              <w:spacing w:before="56"/>
              <w:rPr>
                <w:sz w:val="21"/>
              </w:rPr>
            </w:pPr>
            <w:r>
              <w:rPr>
                <w:sz w:val="21"/>
              </w:rPr>
              <w:t>（二十四）重型再生障碍性贫血</w:t>
            </w:r>
          </w:p>
          <w:p>
            <w:pPr>
              <w:pStyle w:val="TableParagraph"/>
              <w:spacing w:line="278" w:lineRule="auto" w:before="46"/>
              <w:ind w:right="303"/>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6"/>
              <w:rPr>
                <w:sz w:val="21"/>
              </w:rPr>
            </w:pPr>
            <w:r>
              <w:rPr>
                <w:sz w:val="21"/>
              </w:rPr>
              <w:t>(2)外周血象须具备以下三项条件：</w:t>
            </w:r>
          </w:p>
          <w:p>
            <w:pPr>
              <w:pStyle w:val="TableParagraph"/>
              <w:spacing w:before="44"/>
              <w:ind w:left="514"/>
              <w:rPr>
                <w:sz w:val="21"/>
              </w:rPr>
            </w:pPr>
            <w:r>
              <w:rPr>
                <w:sz w:val="21"/>
              </w:rPr>
              <w:t>①中性粒细胞绝对值≤0.5×10</w:t>
            </w:r>
            <w:r>
              <w:rPr>
                <w:position w:val="11"/>
                <w:sz w:val="11"/>
              </w:rPr>
              <w:t>9</w:t>
            </w:r>
            <w:r>
              <w:rPr>
                <w:sz w:val="21"/>
              </w:rPr>
              <w:t>/L ；</w:t>
            </w:r>
          </w:p>
          <w:p>
            <w:pPr>
              <w:pStyle w:val="TableParagraph"/>
              <w:spacing w:before="44"/>
              <w:ind w:left="514"/>
              <w:rPr>
                <w:sz w:val="21"/>
              </w:rPr>
            </w:pPr>
            <w:r>
              <w:rPr>
                <w:sz w:val="21"/>
              </w:rPr>
              <w:t>②网织红细胞＜1％；</w:t>
            </w:r>
          </w:p>
          <w:p>
            <w:pPr>
              <w:pStyle w:val="TableParagraph"/>
              <w:spacing w:before="46"/>
              <w:rPr>
                <w:sz w:val="21"/>
              </w:rPr>
            </w:pPr>
            <w:r>
              <w:rPr>
                <w:sz w:val="21"/>
              </w:rPr>
              <w:t>③血小板绝对值≤20×10</w:t>
            </w:r>
            <w:r>
              <w:rPr>
                <w:position w:val="11"/>
                <w:sz w:val="11"/>
              </w:rPr>
              <w:t>9</w:t>
            </w:r>
            <w:r>
              <w:rPr>
                <w:sz w:val="21"/>
              </w:rPr>
              <w:t>/L。</w:t>
            </w:r>
          </w:p>
        </w:tc>
      </w:tr>
      <w:tr>
        <w:trPr>
          <w:trHeight w:val="1741" w:hRule="atLeast"/>
        </w:trPr>
        <w:tc>
          <w:tcPr>
            <w:tcW w:w="7457" w:type="dxa"/>
          </w:tcPr>
          <w:p>
            <w:pPr>
              <w:pStyle w:val="TableParagraph"/>
              <w:spacing w:before="56"/>
              <w:rPr>
                <w:sz w:val="21"/>
              </w:rPr>
            </w:pPr>
            <w:r>
              <w:rPr>
                <w:sz w:val="21"/>
              </w:rPr>
              <w:t>（二十五）主动脉手术</w:t>
            </w:r>
          </w:p>
          <w:p>
            <w:pPr>
              <w:pStyle w:val="TableParagraph"/>
              <w:spacing w:line="280" w:lineRule="auto" w:before="43"/>
              <w:ind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shd w:fill="A6A6A6" w:color="auto" w:val="clear"/>
              </w:rPr>
              <w:t>动脉内血管成形术不在保障范围内。</w:t>
            </w:r>
          </w:p>
        </w:tc>
      </w:tr>
      <w:tr>
        <w:trPr>
          <w:trHeight w:val="2702" w:hRule="atLeast"/>
        </w:trPr>
        <w:tc>
          <w:tcPr>
            <w:tcW w:w="7457" w:type="dxa"/>
          </w:tcPr>
          <w:p>
            <w:pPr>
              <w:pStyle w:val="TableParagraph"/>
              <w:spacing w:before="58"/>
              <w:rPr>
                <w:sz w:val="21"/>
              </w:rPr>
            </w:pPr>
            <w:r>
              <w:rPr>
                <w:sz w:val="21"/>
              </w:rPr>
              <w:t>（二十六）多发性硬化症</w:t>
            </w:r>
          </w:p>
          <w:p>
            <w:pPr>
              <w:pStyle w:val="TableParagraph"/>
              <w:spacing w:line="280" w:lineRule="auto" w:before="44"/>
              <w:ind w:right="303"/>
              <w:jc w:val="both"/>
              <w:rPr>
                <w:sz w:val="21"/>
              </w:rPr>
            </w:pPr>
            <w:r>
              <w:rPr>
                <w:spacing w:val="-3"/>
                <w:sz w:val="21"/>
              </w:rPr>
              <w:t>指因中枢神经系统脱髓鞘而导致的不可逆的身体部位的功能障碍，需由神经</w:t>
            </w:r>
            <w:r>
              <w:rPr>
                <w:spacing w:val="-6"/>
                <w:sz w:val="21"/>
              </w:rPr>
              <w:t>专科医生提供确诊，并有计算机断层扫描（CT）</w:t>
            </w:r>
            <w:r>
              <w:rPr>
                <w:spacing w:val="-7"/>
                <w:sz w:val="21"/>
              </w:rPr>
              <w:t>或核磁共振</w:t>
            </w:r>
            <w:r>
              <w:rPr>
                <w:spacing w:val="-5"/>
                <w:sz w:val="21"/>
              </w:rPr>
              <w:t>（MRI）</w:t>
            </w:r>
            <w:r>
              <w:rPr>
                <w:spacing w:val="-3"/>
                <w:sz w:val="21"/>
              </w:rPr>
              <w:t>结果报告</w:t>
            </w:r>
            <w:r>
              <w:rPr>
                <w:spacing w:val="-5"/>
                <w:sz w:val="21"/>
              </w:rPr>
              <w:t>支持本诊断。此不可逆的身体部位功能障碍需持续 </w:t>
            </w:r>
            <w:r>
              <w:rPr>
                <w:sz w:val="21"/>
              </w:rPr>
              <w:t>180</w:t>
            </w:r>
            <w:r>
              <w:rPr>
                <w:spacing w:val="-9"/>
                <w:sz w:val="21"/>
              </w:rPr>
              <w:t> 天以上。</w:t>
            </w:r>
          </w:p>
          <w:p>
            <w:pPr>
              <w:pStyle w:val="TableParagraph"/>
              <w:spacing w:before="8"/>
              <w:jc w:val="both"/>
              <w:rPr>
                <w:sz w:val="21"/>
              </w:rPr>
            </w:pPr>
            <w:r>
              <w:rPr>
                <w:sz w:val="21"/>
              </w:rPr>
              <w:t>由神经专科医生提供确诊必须包含下列内容：</w:t>
            </w:r>
          </w:p>
          <w:p>
            <w:pPr>
              <w:pStyle w:val="TableParagraph"/>
              <w:spacing w:before="46"/>
              <w:jc w:val="both"/>
              <w:rPr>
                <w:sz w:val="21"/>
              </w:rPr>
            </w:pPr>
            <w:r>
              <w:rPr>
                <w:sz w:val="21"/>
              </w:rPr>
              <w:t>(1)明确出现因视神经、脑干或脊髓损伤而导致的临床表现；</w:t>
            </w:r>
          </w:p>
          <w:p>
            <w:pPr>
              <w:pStyle w:val="TableParagraph"/>
              <w:spacing w:before="44"/>
              <w:jc w:val="both"/>
              <w:rPr>
                <w:sz w:val="21"/>
              </w:rPr>
            </w:pPr>
            <w:r>
              <w:rPr>
                <w:sz w:val="21"/>
              </w:rPr>
              <w:t>(2)散在的身体损伤的多样性；</w:t>
            </w:r>
          </w:p>
          <w:p>
            <w:pPr>
              <w:pStyle w:val="TableParagraph"/>
              <w:spacing w:before="44"/>
              <w:jc w:val="both"/>
              <w:rPr>
                <w:sz w:val="21"/>
              </w:rPr>
            </w:pPr>
            <w:r>
              <w:rPr>
                <w:sz w:val="21"/>
              </w:rPr>
              <w:t>(3)有明确的上述症状及神经损伤反复恶化与减轻的病史记录。</w:t>
            </w:r>
          </w:p>
        </w:tc>
      </w:tr>
      <w:tr>
        <w:trPr>
          <w:trHeight w:val="656" w:hRule="atLeast"/>
        </w:trPr>
        <w:tc>
          <w:tcPr>
            <w:tcW w:w="7457" w:type="dxa"/>
          </w:tcPr>
          <w:p>
            <w:pPr>
              <w:pStyle w:val="TableParagraph"/>
              <w:spacing w:before="58"/>
              <w:rPr>
                <w:sz w:val="21"/>
              </w:rPr>
            </w:pPr>
            <w:r>
              <w:rPr>
                <w:sz w:val="21"/>
              </w:rPr>
              <w:t>（二十七）严重狼疮性肾炎</w:t>
            </w:r>
          </w:p>
          <w:p>
            <w:pPr>
              <w:pStyle w:val="TableParagraph"/>
              <w:spacing w:line="259" w:lineRule="exact" w:before="44"/>
              <w:rPr>
                <w:sz w:val="21"/>
              </w:rPr>
            </w:pPr>
            <w:r>
              <w:rPr>
                <w:sz w:val="21"/>
              </w:rPr>
              <w:t>狼疮性肾炎是系统性红斑狼疮的一种并发症。系统性红斑狼疮是由多种因素</w:t>
            </w:r>
          </w:p>
        </w:tc>
      </w:tr>
    </w:tbl>
    <w:p>
      <w:pPr>
        <w:spacing w:after="0" w:line="259" w:lineRule="exact"/>
        <w:rPr>
          <w:sz w:val="21"/>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4176" w:hRule="atLeast"/>
        </w:trPr>
        <w:tc>
          <w:tcPr>
            <w:tcW w:w="7352" w:type="dxa"/>
          </w:tcPr>
          <w:p>
            <w:pPr>
              <w:pStyle w:val="TableParagraph"/>
              <w:spacing w:line="207" w:lineRule="exact"/>
              <w:rPr>
                <w:sz w:val="21"/>
              </w:rPr>
            </w:pPr>
            <w:r>
              <w:rPr>
                <w:sz w:val="21"/>
              </w:rPr>
              <w:t>引起，累及多系统的自身免疫性疾病，其特点是生成自身抗体对抗多种自身</w:t>
            </w:r>
          </w:p>
          <w:p>
            <w:pPr>
              <w:pStyle w:val="TableParagraph"/>
              <w:spacing w:line="278" w:lineRule="auto" w:before="44"/>
              <w:ind w:right="212"/>
              <w:rPr>
                <w:sz w:val="21"/>
              </w:rPr>
            </w:pPr>
            <w:r>
              <w:rPr>
                <w:sz w:val="21"/>
              </w:rPr>
              <w:t>抗原。狼疮性肾炎是指系统性红斑狼疮患者并发狼疮性肾炎而影响和损害肾脏功能。世界卫生组织（WHO）对狼疮性肾炎分型如下：</w:t>
            </w:r>
          </w:p>
          <w:p>
            <w:pPr>
              <w:pStyle w:val="TableParagraph"/>
              <w:numPr>
                <w:ilvl w:val="0"/>
                <w:numId w:val="4"/>
              </w:numPr>
              <w:tabs>
                <w:tab w:pos="359" w:val="left" w:leader="none"/>
              </w:tabs>
              <w:spacing w:line="240" w:lineRule="auto" w:before="12" w:after="0"/>
              <w:ind w:left="358" w:right="0" w:hanging="158"/>
              <w:jc w:val="both"/>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4"/>
              </w:numPr>
              <w:tabs>
                <w:tab w:pos="464" w:val="left" w:leader="none"/>
              </w:tabs>
              <w:spacing w:line="240" w:lineRule="auto" w:before="43" w:after="0"/>
              <w:ind w:left="464" w:right="0" w:hanging="264"/>
              <w:jc w:val="both"/>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3"/>
                <w:sz w:val="21"/>
              </w:rPr>
              <w:t> </w:t>
            </w:r>
            <w:r>
              <w:rPr>
                <w:spacing w:val="-3"/>
                <w:w w:val="100"/>
                <w:sz w:val="21"/>
              </w:rPr>
              <w:t>中度蛋白尿，偶有尿沉渣改变</w:t>
            </w:r>
          </w:p>
          <w:p>
            <w:pPr>
              <w:pStyle w:val="TableParagraph"/>
              <w:numPr>
                <w:ilvl w:val="0"/>
                <w:numId w:val="4"/>
              </w:numPr>
              <w:tabs>
                <w:tab w:pos="570" w:val="left" w:leader="none"/>
              </w:tabs>
              <w:spacing w:line="240" w:lineRule="auto" w:before="43" w:after="0"/>
              <w:ind w:left="569" w:right="0" w:hanging="369"/>
              <w:jc w:val="both"/>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4"/>
              </w:numPr>
              <w:tabs>
                <w:tab w:pos="464" w:val="left" w:leader="none"/>
              </w:tabs>
              <w:spacing w:line="240" w:lineRule="auto" w:before="46" w:after="0"/>
              <w:ind w:left="464" w:right="0" w:hanging="264"/>
              <w:jc w:val="both"/>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3"/>
                <w:sz w:val="21"/>
              </w:rPr>
              <w:t> </w:t>
            </w:r>
            <w:r>
              <w:rPr>
                <w:spacing w:val="-3"/>
                <w:w w:val="100"/>
                <w:sz w:val="21"/>
              </w:rPr>
              <w:t>急性肾炎伴有尿沉渣改变及／或肾病综合征</w:t>
            </w:r>
          </w:p>
          <w:p>
            <w:pPr>
              <w:pStyle w:val="TableParagraph"/>
              <w:numPr>
                <w:ilvl w:val="0"/>
                <w:numId w:val="4"/>
              </w:numPr>
              <w:tabs>
                <w:tab w:pos="359" w:val="left" w:leader="none"/>
              </w:tabs>
              <w:spacing w:line="240" w:lineRule="auto" w:before="44" w:after="0"/>
              <w:ind w:left="358" w:right="0" w:hanging="158"/>
              <w:jc w:val="both"/>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44"/>
              <w:jc w:val="both"/>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line="280" w:lineRule="auto" w:before="46"/>
              <w:ind w:right="198"/>
              <w:jc w:val="both"/>
              <w:rPr>
                <w:sz w:val="21"/>
              </w:rPr>
            </w:pPr>
            <w:r>
              <w:rPr>
                <w:spacing w:val="-5"/>
                <w:sz w:val="21"/>
              </w:rPr>
              <w:t>严重狼疮性肾炎是指经肾脏活检确认的，符合 </w:t>
            </w:r>
            <w:r>
              <w:rPr>
                <w:sz w:val="21"/>
              </w:rPr>
              <w:t>WHO</w:t>
            </w:r>
            <w:r>
              <w:rPr>
                <w:spacing w:val="-13"/>
                <w:sz w:val="21"/>
              </w:rPr>
              <w:t> 诊断标准定义 </w:t>
            </w:r>
            <w:r>
              <w:rPr>
                <w:sz w:val="21"/>
              </w:rPr>
              <w:t>III</w:t>
            </w:r>
            <w:r>
              <w:rPr>
                <w:spacing w:val="-15"/>
                <w:sz w:val="21"/>
              </w:rPr>
              <w:t> 型、</w:t>
            </w:r>
            <w:r>
              <w:rPr>
                <w:sz w:val="21"/>
              </w:rPr>
              <w:t>IV 型、V</w:t>
            </w:r>
            <w:r>
              <w:rPr>
                <w:spacing w:val="-8"/>
                <w:sz w:val="21"/>
              </w:rPr>
              <w:t> 型和Ⅵ型的狼疮性肾炎,且肌酐清除率持续低于 </w:t>
            </w:r>
            <w:r>
              <w:rPr>
                <w:sz w:val="21"/>
              </w:rPr>
              <w:t>30ml/</w:t>
            </w:r>
            <w:r>
              <w:rPr>
                <w:spacing w:val="-2"/>
                <w:sz w:val="21"/>
              </w:rPr>
              <w:t>分。</w:t>
            </w:r>
            <w:r>
              <w:rPr>
                <w:spacing w:val="-3"/>
                <w:sz w:val="21"/>
                <w:shd w:fill="A6A6A6" w:color="auto" w:val="clear"/>
              </w:rPr>
              <w:t>其他类型的</w:t>
            </w:r>
            <w:r>
              <w:rPr>
                <w:spacing w:val="-206"/>
                <w:sz w:val="21"/>
                <w:shd w:fill="A6A6A6" w:color="auto" w:val="clear"/>
              </w:rPr>
              <w:t>红</w:t>
            </w:r>
            <w:r>
              <w:rPr>
                <w:spacing w:val="-3"/>
                <w:sz w:val="21"/>
                <w:shd w:fill="A6A6A6" w:color="auto" w:val="clear"/>
              </w:rPr>
              <w:t>斑性狼疮，如盘状狼疮、仅累及血液及关节的狼疮不在本主险合同保障范围</w:t>
            </w:r>
            <w:r>
              <w:rPr>
                <w:rFonts w:ascii="宋体" w:hAnsi="宋体" w:eastAsia="宋体" w:hint="eastAsia"/>
                <w:spacing w:val="-3"/>
                <w:sz w:val="21"/>
                <w:shd w:fill="A6A6A6" w:color="auto" w:val="clear"/>
              </w:rPr>
              <w:t>內</w:t>
            </w:r>
            <w:r>
              <w:rPr>
                <w:spacing w:val="-3"/>
                <w:sz w:val="21"/>
              </w:rPr>
              <w:t>。本病必须由免疫和风湿科专科医生确诊。</w:t>
            </w:r>
          </w:p>
        </w:tc>
      </w:tr>
      <w:tr>
        <w:trPr>
          <w:trHeight w:val="2382" w:hRule="atLeast"/>
        </w:trPr>
        <w:tc>
          <w:tcPr>
            <w:tcW w:w="7352" w:type="dxa"/>
          </w:tcPr>
          <w:p>
            <w:pPr>
              <w:pStyle w:val="TableParagraph"/>
              <w:spacing w:before="56"/>
              <w:rPr>
                <w:sz w:val="21"/>
              </w:rPr>
            </w:pPr>
            <w:r>
              <w:rPr>
                <w:sz w:val="21"/>
              </w:rPr>
              <w:t>（二十八）严重哮喘</w:t>
            </w:r>
          </w:p>
          <w:p>
            <w:pPr>
              <w:pStyle w:val="TableParagraph"/>
              <w:spacing w:line="278" w:lineRule="auto" w:before="46"/>
              <w:ind w:right="212"/>
              <w:rPr>
                <w:sz w:val="21"/>
              </w:rPr>
            </w:pPr>
            <w:r>
              <w:rPr>
                <w:sz w:val="21"/>
              </w:rPr>
              <w:t>被保险人必须在过去两年内曾发生哮喘持续状态住院治疗，并符合以下其中两项标准，本公司才承担保险责任：</w:t>
            </w:r>
          </w:p>
          <w:p>
            <w:pPr>
              <w:pStyle w:val="TableParagraph"/>
              <w:numPr>
                <w:ilvl w:val="0"/>
                <w:numId w:val="5"/>
              </w:numPr>
              <w:tabs>
                <w:tab w:pos="623" w:val="left" w:leader="none"/>
              </w:tabs>
              <w:spacing w:line="240" w:lineRule="auto" w:before="10" w:after="0"/>
              <w:ind w:left="622" w:right="0" w:hanging="422"/>
              <w:jc w:val="left"/>
              <w:rPr>
                <w:sz w:val="21"/>
              </w:rPr>
            </w:pPr>
            <w:r>
              <w:rPr>
                <w:spacing w:val="-3"/>
                <w:sz w:val="21"/>
              </w:rPr>
              <w:t>运动耐受力永久并持续地减少并且轻微的运动能引起气促；</w:t>
            </w:r>
          </w:p>
          <w:p>
            <w:pPr>
              <w:pStyle w:val="TableParagraph"/>
              <w:numPr>
                <w:ilvl w:val="0"/>
                <w:numId w:val="5"/>
              </w:numPr>
              <w:tabs>
                <w:tab w:pos="623" w:val="left" w:leader="none"/>
              </w:tabs>
              <w:spacing w:line="240" w:lineRule="auto" w:before="46" w:after="0"/>
              <w:ind w:left="622" w:right="0" w:hanging="422"/>
              <w:jc w:val="left"/>
              <w:rPr>
                <w:sz w:val="21"/>
              </w:rPr>
            </w:pPr>
            <w:r>
              <w:rPr>
                <w:spacing w:val="-3"/>
                <w:sz w:val="21"/>
              </w:rPr>
              <w:t>长期胸腔过度膨胀而导致胸腔畸形；</w:t>
            </w:r>
          </w:p>
          <w:p>
            <w:pPr>
              <w:pStyle w:val="TableParagraph"/>
              <w:numPr>
                <w:ilvl w:val="0"/>
                <w:numId w:val="5"/>
              </w:numPr>
              <w:tabs>
                <w:tab w:pos="623" w:val="left" w:leader="none"/>
              </w:tabs>
              <w:spacing w:line="240" w:lineRule="auto" w:before="44" w:after="0"/>
              <w:ind w:left="622" w:right="0" w:hanging="422"/>
              <w:jc w:val="left"/>
              <w:rPr>
                <w:sz w:val="21"/>
              </w:rPr>
            </w:pPr>
            <w:r>
              <w:rPr>
                <w:spacing w:val="-3"/>
                <w:sz w:val="21"/>
              </w:rPr>
              <w:t>在家及在静息状态下需要吸氧；</w:t>
            </w:r>
          </w:p>
          <w:p>
            <w:pPr>
              <w:pStyle w:val="TableParagraph"/>
              <w:numPr>
                <w:ilvl w:val="0"/>
                <w:numId w:val="5"/>
              </w:numPr>
              <w:tabs>
                <w:tab w:pos="623" w:val="left" w:leader="none"/>
              </w:tabs>
              <w:spacing w:line="240" w:lineRule="auto" w:before="44" w:after="0"/>
              <w:ind w:left="622" w:right="0" w:hanging="422"/>
              <w:jc w:val="left"/>
              <w:rPr>
                <w:sz w:val="21"/>
              </w:rPr>
            </w:pPr>
            <w:r>
              <w:rPr>
                <w:spacing w:val="-3"/>
                <w:sz w:val="21"/>
              </w:rPr>
              <w:t>持续的每天服用类固醇药物(至少持续六个月以上)。</w:t>
            </w:r>
          </w:p>
        </w:tc>
      </w:tr>
      <w:tr>
        <w:trPr>
          <w:trHeight w:val="2702" w:hRule="atLeast"/>
        </w:trPr>
        <w:tc>
          <w:tcPr>
            <w:tcW w:w="7352" w:type="dxa"/>
          </w:tcPr>
          <w:p>
            <w:pPr>
              <w:pStyle w:val="TableParagraph"/>
              <w:spacing w:before="58"/>
              <w:rPr>
                <w:sz w:val="21"/>
              </w:rPr>
            </w:pPr>
            <w:r>
              <w:rPr>
                <w:sz w:val="21"/>
              </w:rPr>
              <w:t>（二十九）严重的Ｉ型糖尿病</w:t>
            </w:r>
          </w:p>
          <w:p>
            <w:pPr>
              <w:pStyle w:val="TableParagraph"/>
              <w:spacing w:line="278" w:lineRule="auto" w:before="44"/>
              <w:ind w:right="198"/>
              <w:jc w:val="both"/>
              <w:rPr>
                <w:sz w:val="21"/>
              </w:rPr>
            </w:pPr>
            <w:r>
              <w:rPr>
                <w:spacing w:val="-3"/>
                <w:sz w:val="21"/>
              </w:rPr>
              <w:t>严重的Ｉ型糖尿病为由于胰岛素分泌绝对不足引起的慢性血糖升高，且已经</w:t>
            </w:r>
            <w:r>
              <w:rPr>
                <w:spacing w:val="-6"/>
                <w:sz w:val="21"/>
              </w:rPr>
              <w:t>持续性地依赖外源性胰岛素维持 </w:t>
            </w:r>
            <w:r>
              <w:rPr>
                <w:sz w:val="21"/>
              </w:rPr>
              <w:t>180</w:t>
            </w:r>
            <w:r>
              <w:rPr>
                <w:spacing w:val="-14"/>
                <w:sz w:val="21"/>
              </w:rPr>
              <w:t> 天以上。须经血胰岛素测定、血 </w:t>
            </w:r>
            <w:r>
              <w:rPr>
                <w:sz w:val="21"/>
              </w:rPr>
              <w:t>C</w:t>
            </w:r>
            <w:r>
              <w:rPr>
                <w:spacing w:val="2"/>
                <w:sz w:val="21"/>
              </w:rPr>
              <w:t> 肽测</w:t>
            </w:r>
            <w:r>
              <w:rPr>
                <w:spacing w:val="-11"/>
                <w:sz w:val="21"/>
              </w:rPr>
              <w:t>定或尿 </w:t>
            </w:r>
            <w:r>
              <w:rPr>
                <w:sz w:val="21"/>
              </w:rPr>
              <w:t>C</w:t>
            </w:r>
            <w:r>
              <w:rPr>
                <w:spacing w:val="-6"/>
                <w:sz w:val="21"/>
              </w:rPr>
              <w:t> 肽测定，结果异常，并由内分泌科专科医生明确诊断。并须在本合</w:t>
            </w:r>
            <w:r>
              <w:rPr>
                <w:spacing w:val="-8"/>
                <w:sz w:val="21"/>
              </w:rPr>
              <w:t>同有效期内，满足下述至少 </w:t>
            </w:r>
            <w:r>
              <w:rPr>
                <w:sz w:val="21"/>
              </w:rPr>
              <w:t>1 个条件：</w:t>
            </w:r>
          </w:p>
          <w:p>
            <w:pPr>
              <w:pStyle w:val="TableParagraph"/>
              <w:spacing w:before="13"/>
              <w:jc w:val="both"/>
              <w:rPr>
                <w:sz w:val="21"/>
              </w:rPr>
            </w:pPr>
            <w:r>
              <w:rPr>
                <w:sz w:val="21"/>
              </w:rPr>
              <w:t>(1)已出现增殖性视网膜病变；</w:t>
            </w:r>
          </w:p>
          <w:p>
            <w:pPr>
              <w:pStyle w:val="TableParagraph"/>
              <w:spacing w:before="44"/>
              <w:jc w:val="both"/>
              <w:rPr>
                <w:sz w:val="21"/>
              </w:rPr>
            </w:pPr>
            <w:r>
              <w:rPr>
                <w:sz w:val="21"/>
              </w:rPr>
              <w:t>(2)因严重心律失常已植入心脏起搏器进行治疗；</w:t>
            </w:r>
          </w:p>
          <w:p>
            <w:pPr>
              <w:pStyle w:val="TableParagraph"/>
              <w:spacing w:before="44"/>
              <w:jc w:val="both"/>
              <w:rPr>
                <w:sz w:val="21"/>
              </w:rPr>
            </w:pPr>
            <w:r>
              <w:rPr>
                <w:sz w:val="21"/>
              </w:rPr>
              <w:t>(3)因坏疽需切除至少一个脚趾。</w:t>
            </w:r>
          </w:p>
        </w:tc>
      </w:tr>
      <w:tr>
        <w:trPr>
          <w:trHeight w:val="2382" w:hRule="atLeast"/>
        </w:trPr>
        <w:tc>
          <w:tcPr>
            <w:tcW w:w="7352" w:type="dxa"/>
          </w:tcPr>
          <w:p>
            <w:pPr>
              <w:pStyle w:val="TableParagraph"/>
              <w:spacing w:before="58"/>
              <w:rPr>
                <w:sz w:val="21"/>
              </w:rPr>
            </w:pPr>
            <w:r>
              <w:rPr>
                <w:sz w:val="21"/>
              </w:rPr>
              <w:t>（三十）植物人状态</w:t>
            </w:r>
          </w:p>
          <w:p>
            <w:pPr>
              <w:pStyle w:val="TableParagraph"/>
              <w:spacing w:line="278" w:lineRule="auto" w:before="44"/>
              <w:ind w:right="198"/>
              <w:jc w:val="both"/>
              <w:rPr>
                <w:sz w:val="21"/>
              </w:rPr>
            </w:pPr>
            <w:r>
              <w:rPr>
                <w:spacing w:val="-3"/>
                <w:sz w:val="21"/>
              </w:rPr>
              <w:t>一种丧失生理、意识和交流功能后的临床依赖状态。可以是由脑外伤、缺氧持续状态、严重的脑炎或某种神经毒素造成。患者无法从事主动或有目的的活动，而只能对疼痛刺激产生反应。被保险人需要在我们认可的医疗机构使</w:t>
            </w:r>
            <w:r>
              <w:rPr>
                <w:spacing w:val="-4"/>
                <w:sz w:val="21"/>
              </w:rPr>
              <w:t>用辅助机器维持生命。申请理赔需被保险人因植物人状态住院 </w:t>
            </w:r>
            <w:r>
              <w:rPr>
                <w:sz w:val="21"/>
              </w:rPr>
              <w:t>180</w:t>
            </w:r>
            <w:r>
              <w:rPr>
                <w:spacing w:val="-8"/>
                <w:sz w:val="21"/>
              </w:rPr>
              <w:t> 天以上并</w:t>
            </w:r>
            <w:r>
              <w:rPr>
                <w:spacing w:val="-5"/>
                <w:sz w:val="21"/>
              </w:rPr>
              <w:t>且必须有神经专科医生的医学诊断证明。</w:t>
            </w:r>
          </w:p>
          <w:p>
            <w:pPr>
              <w:pStyle w:val="TableParagraph"/>
              <w:spacing w:before="12"/>
              <w:jc w:val="both"/>
              <w:rPr>
                <w:sz w:val="21"/>
              </w:rPr>
            </w:pPr>
            <w:r>
              <w:rPr>
                <w:sz w:val="21"/>
                <w:shd w:fill="A6A6A6" w:color="auto" w:val="clear"/>
              </w:rPr>
              <w:t>由于酗酒或滥用药物所致的植物人状态除外。</w:t>
            </w:r>
          </w:p>
        </w:tc>
      </w:tr>
      <w:tr>
        <w:trPr>
          <w:trHeight w:val="462" w:hRule="atLeast"/>
        </w:trPr>
        <w:tc>
          <w:tcPr>
            <w:tcW w:w="7352" w:type="dxa"/>
          </w:tcPr>
          <w:p>
            <w:pPr>
              <w:pStyle w:val="TableParagraph"/>
              <w:spacing w:before="56"/>
              <w:rPr>
                <w:sz w:val="21"/>
              </w:rPr>
            </w:pPr>
            <w:r>
              <w:rPr>
                <w:sz w:val="21"/>
              </w:rPr>
              <w:t>上述重大疾病定义中部分术语释义如下：</w:t>
            </w:r>
          </w:p>
        </w:tc>
      </w:tr>
      <w:tr>
        <w:trPr>
          <w:trHeight w:val="1616" w:hRule="atLeast"/>
        </w:trPr>
        <w:tc>
          <w:tcPr>
            <w:tcW w:w="7352" w:type="dxa"/>
          </w:tcPr>
          <w:p>
            <w:pPr>
              <w:pStyle w:val="TableParagraph"/>
              <w:spacing w:before="58"/>
              <w:rPr>
                <w:sz w:val="21"/>
              </w:rPr>
            </w:pPr>
            <w:r>
              <w:rPr>
                <w:sz w:val="21"/>
              </w:rPr>
              <w:t>（一）专科医生</w:t>
            </w:r>
          </w:p>
          <w:p>
            <w:pPr>
              <w:pStyle w:val="TableParagraph"/>
              <w:spacing w:before="44"/>
              <w:rPr>
                <w:sz w:val="21"/>
              </w:rPr>
            </w:pPr>
            <w:r>
              <w:rPr>
                <w:sz w:val="21"/>
              </w:rPr>
              <w:t>专科医生应当同时满足以下四项资格条件：</w:t>
            </w:r>
          </w:p>
          <w:p>
            <w:pPr>
              <w:pStyle w:val="TableParagraph"/>
              <w:spacing w:before="44"/>
              <w:rPr>
                <w:sz w:val="21"/>
              </w:rPr>
            </w:pPr>
            <w:r>
              <w:rPr>
                <w:sz w:val="21"/>
              </w:rPr>
              <w:t>(1)具有有效的中华人民共和国《医师资格证书》；</w:t>
            </w:r>
          </w:p>
          <w:p>
            <w:pPr>
              <w:pStyle w:val="TableParagraph"/>
              <w:spacing w:line="320" w:lineRule="atLeast" w:before="2"/>
              <w:ind w:right="217"/>
              <w:rPr>
                <w:sz w:val="21"/>
              </w:rPr>
            </w:pPr>
            <w:r>
              <w:rPr>
                <w:sz w:val="21"/>
              </w:rPr>
              <w:t>(2)</w:t>
            </w:r>
            <w:r>
              <w:rPr>
                <w:spacing w:val="-9"/>
                <w:sz w:val="21"/>
              </w:rPr>
              <w:t>具有有效的中华人民共和国《医师执业证书》，并按期到相关部门登记注册；</w:t>
            </w:r>
          </w:p>
        </w:tc>
      </w:tr>
    </w:tbl>
    <w:p>
      <w:pPr>
        <w:spacing w:after="0" w:line="320" w:lineRule="atLeast"/>
        <w:rPr>
          <w:sz w:val="21"/>
        </w:rPr>
        <w:sectPr>
          <w:pgSz w:w="11910" w:h="16840"/>
          <w:pgMar w:top="1480" w:bottom="280" w:left="168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3"/>
        <w:gridCol w:w="7167"/>
      </w:tblGrid>
      <w:tr>
        <w:trPr>
          <w:trHeight w:val="975"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line="207" w:lineRule="exact"/>
              <w:ind w:left="113"/>
              <w:rPr>
                <w:sz w:val="21"/>
              </w:rPr>
            </w:pPr>
            <w:r>
              <w:rPr>
                <w:sz w:val="21"/>
              </w:rPr>
              <w:t>(3)具有有效的中华人民共和国主治医师或主治医师以上职称的《医师职称证</w:t>
            </w:r>
          </w:p>
          <w:p>
            <w:pPr>
              <w:pStyle w:val="TableParagraph"/>
              <w:spacing w:before="44"/>
              <w:ind w:left="113"/>
              <w:rPr>
                <w:sz w:val="21"/>
              </w:rPr>
            </w:pPr>
            <w:r>
              <w:rPr>
                <w:sz w:val="21"/>
              </w:rPr>
              <w:t>书》；</w:t>
            </w:r>
          </w:p>
          <w:p>
            <w:pPr>
              <w:pStyle w:val="TableParagraph"/>
              <w:spacing w:before="44"/>
              <w:ind w:left="113"/>
              <w:rPr>
                <w:sz w:val="21"/>
              </w:rPr>
            </w:pPr>
            <w:r>
              <w:rPr>
                <w:sz w:val="21"/>
              </w:rPr>
              <w:t>(4)在二级或二级以上医院的相应科室从事临床工作三年以上。</w:t>
            </w:r>
          </w:p>
        </w:tc>
      </w:tr>
      <w:tr>
        <w:trPr>
          <w:trHeight w:val="1102"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before="58"/>
              <w:ind w:left="113"/>
              <w:rPr>
                <w:sz w:val="21"/>
              </w:rPr>
            </w:pPr>
            <w:r>
              <w:rPr>
                <w:sz w:val="21"/>
              </w:rPr>
              <w:t>（二）肢体机能完全丧失</w:t>
            </w:r>
          </w:p>
          <w:p>
            <w:pPr>
              <w:pStyle w:val="TableParagraph"/>
              <w:spacing w:line="280" w:lineRule="auto" w:before="44"/>
              <w:ind w:left="113" w:right="100"/>
              <w:rPr>
                <w:sz w:val="21"/>
              </w:rPr>
            </w:pPr>
            <w:r>
              <w:rPr>
                <w:sz w:val="21"/>
              </w:rPr>
              <w:t>指肢体的三大关节中的两大关节僵硬，或不能随意识活动。肢体是指包括肩关节的整个上肢或包括髋关节的整个下肢。</w:t>
            </w:r>
          </w:p>
        </w:tc>
      </w:tr>
      <w:tr>
        <w:trPr>
          <w:trHeight w:val="2062"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before="56"/>
              <w:ind w:left="113"/>
              <w:rPr>
                <w:sz w:val="21"/>
              </w:rPr>
            </w:pPr>
            <w:r>
              <w:rPr>
                <w:sz w:val="21"/>
              </w:rPr>
              <w:t>（三）语言能力或咀嚼吞咽能力完全丧失</w:t>
            </w:r>
          </w:p>
          <w:p>
            <w:pPr>
              <w:pStyle w:val="TableParagraph"/>
              <w:spacing w:line="278" w:lineRule="auto" w:before="46"/>
              <w:ind w:left="113" w:right="114"/>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8" w:lineRule="auto" w:before="13"/>
              <w:ind w:left="113" w:right="10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702"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line="280" w:lineRule="auto" w:before="56"/>
              <w:ind w:left="113" w:right="4317"/>
              <w:rPr>
                <w:sz w:val="21"/>
              </w:rPr>
            </w:pPr>
            <w:r>
              <w:rPr>
                <w:sz w:val="21"/>
              </w:rPr>
              <w:t>（四）六项基本日常生活活动六项基本日常生活活动是指：</w:t>
            </w:r>
          </w:p>
          <w:p>
            <w:pPr>
              <w:pStyle w:val="TableParagraph"/>
              <w:spacing w:before="8"/>
              <w:ind w:left="113"/>
              <w:rPr>
                <w:sz w:val="21"/>
              </w:rPr>
            </w:pPr>
            <w:r>
              <w:rPr>
                <w:sz w:val="21"/>
              </w:rPr>
              <w:t>(1)穿衣：自己能够穿衣及脱衣；</w:t>
            </w:r>
          </w:p>
          <w:p>
            <w:pPr>
              <w:pStyle w:val="TableParagraph"/>
              <w:spacing w:before="44"/>
              <w:ind w:left="113"/>
              <w:rPr>
                <w:sz w:val="21"/>
              </w:rPr>
            </w:pPr>
            <w:r>
              <w:rPr>
                <w:sz w:val="21"/>
              </w:rPr>
              <w:t>(2)移动：自己从一个房间到另一个房间；</w:t>
            </w:r>
          </w:p>
          <w:p>
            <w:pPr>
              <w:pStyle w:val="TableParagraph"/>
              <w:spacing w:before="46"/>
              <w:ind w:left="113"/>
              <w:rPr>
                <w:sz w:val="21"/>
              </w:rPr>
            </w:pPr>
            <w:r>
              <w:rPr>
                <w:sz w:val="21"/>
              </w:rPr>
              <w:t>(3)行动：自己上下床或上下轮椅；</w:t>
            </w:r>
          </w:p>
          <w:p>
            <w:pPr>
              <w:pStyle w:val="TableParagraph"/>
              <w:spacing w:before="44"/>
              <w:ind w:left="113"/>
              <w:rPr>
                <w:sz w:val="21"/>
              </w:rPr>
            </w:pPr>
            <w:r>
              <w:rPr>
                <w:sz w:val="21"/>
              </w:rPr>
              <w:t>(4)如厕：自己控制进行大小便；</w:t>
            </w:r>
          </w:p>
          <w:p>
            <w:pPr>
              <w:pStyle w:val="TableParagraph"/>
              <w:spacing w:before="44"/>
              <w:ind w:left="113"/>
              <w:rPr>
                <w:sz w:val="21"/>
              </w:rPr>
            </w:pPr>
            <w:r>
              <w:rPr>
                <w:sz w:val="21"/>
              </w:rPr>
              <w:t>(5)进食：自己从已准备好的碗或碟中取食物放入口中；</w:t>
            </w:r>
          </w:p>
          <w:p>
            <w:pPr>
              <w:pStyle w:val="TableParagraph"/>
              <w:spacing w:before="47"/>
              <w:ind w:left="113"/>
              <w:rPr>
                <w:sz w:val="21"/>
              </w:rPr>
            </w:pPr>
            <w:r>
              <w:rPr>
                <w:sz w:val="21"/>
              </w:rPr>
              <w:t>(6)洗澡：自己进行淋浴或盆浴。</w:t>
            </w:r>
          </w:p>
        </w:tc>
      </w:tr>
      <w:tr>
        <w:trPr>
          <w:trHeight w:val="1151"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before="56"/>
              <w:ind w:left="113"/>
              <w:rPr>
                <w:sz w:val="21"/>
              </w:rPr>
            </w:pPr>
            <w:r>
              <w:rPr>
                <w:sz w:val="21"/>
              </w:rPr>
              <w:t>（五）永久不可逆</w:t>
            </w:r>
          </w:p>
          <w:p>
            <w:pPr>
              <w:pStyle w:val="TableParagraph"/>
              <w:spacing w:line="278" w:lineRule="auto" w:before="46"/>
              <w:ind w:left="113" w:right="99"/>
              <w:rPr>
                <w:sz w:val="21"/>
              </w:rPr>
            </w:pPr>
            <w:r>
              <w:rPr>
                <w:spacing w:val="-5"/>
                <w:sz w:val="21"/>
              </w:rPr>
              <w:t>指自疾病确诊或意外伤害发生之日起，经过积极治疗 </w:t>
            </w:r>
            <w:r>
              <w:rPr>
                <w:sz w:val="21"/>
              </w:rPr>
              <w:t>180</w:t>
            </w:r>
            <w:r>
              <w:rPr>
                <w:spacing w:val="-7"/>
                <w:sz w:val="21"/>
              </w:rPr>
              <w:t> 天后，仍无法通过</w:t>
            </w:r>
            <w:r>
              <w:rPr>
                <w:spacing w:val="-5"/>
                <w:sz w:val="21"/>
              </w:rPr>
              <w:t>现有医疗手段恢复。</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9．</w:t>
            </w:r>
          </w:p>
        </w:tc>
        <w:tc>
          <w:tcPr>
            <w:tcW w:w="2083"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释义</w:t>
            </w:r>
          </w:p>
        </w:tc>
        <w:tc>
          <w:tcPr>
            <w:tcW w:w="7167" w:type="dxa"/>
            <w:shd w:val="clear" w:color="auto" w:fill="A6A6A6"/>
          </w:tcPr>
          <w:p>
            <w:pPr>
              <w:pStyle w:val="TableParagraph"/>
              <w:ind w:left="0"/>
              <w:rPr>
                <w:rFonts w:ascii="Times New Roman"/>
                <w:sz w:val="20"/>
              </w:rPr>
            </w:pPr>
          </w:p>
        </w:tc>
      </w:tr>
      <w:tr>
        <w:trPr>
          <w:trHeight w:val="874" w:hRule="atLeast"/>
        </w:trPr>
        <w:tc>
          <w:tcPr>
            <w:tcW w:w="713" w:type="dxa"/>
          </w:tcPr>
          <w:p>
            <w:pPr>
              <w:pStyle w:val="TableParagraph"/>
              <w:spacing w:before="149"/>
              <w:ind w:left="107"/>
              <w:rPr>
                <w:rFonts w:ascii="黑体"/>
                <w:sz w:val="21"/>
              </w:rPr>
            </w:pPr>
            <w:r>
              <w:rPr>
                <w:rFonts w:ascii="黑体"/>
                <w:sz w:val="21"/>
              </w:rPr>
              <w:t>9.1</w:t>
            </w:r>
          </w:p>
        </w:tc>
        <w:tc>
          <w:tcPr>
            <w:tcW w:w="2083" w:type="dxa"/>
          </w:tcPr>
          <w:p>
            <w:pPr>
              <w:pStyle w:val="TableParagraph"/>
              <w:spacing w:before="149"/>
              <w:ind w:left="288"/>
              <w:rPr>
                <w:rFonts w:ascii="黑体" w:eastAsia="黑体" w:hint="eastAsia"/>
                <w:sz w:val="21"/>
              </w:rPr>
            </w:pPr>
            <w:r>
              <w:rPr>
                <w:rFonts w:ascii="黑体" w:eastAsia="黑体" w:hint="eastAsia"/>
                <w:sz w:val="21"/>
              </w:rPr>
              <w:t>意外伤害</w:t>
            </w:r>
          </w:p>
        </w:tc>
        <w:tc>
          <w:tcPr>
            <w:tcW w:w="7167" w:type="dxa"/>
          </w:tcPr>
          <w:p>
            <w:pPr>
              <w:pStyle w:val="TableParagraph"/>
              <w:spacing w:line="280" w:lineRule="auto" w:before="149"/>
              <w:ind w:left="113" w:right="100"/>
              <w:rPr>
                <w:sz w:val="21"/>
              </w:rPr>
            </w:pPr>
            <w:r>
              <w:rPr>
                <w:sz w:val="21"/>
              </w:rPr>
              <w:t>指遭受外来的、突发的、非本意的、非疾病的客观事件直接致使身体受到的伤害。</w:t>
            </w:r>
          </w:p>
        </w:tc>
      </w:tr>
      <w:tr>
        <w:trPr>
          <w:trHeight w:val="1422" w:hRule="atLeast"/>
        </w:trPr>
        <w:tc>
          <w:tcPr>
            <w:tcW w:w="713" w:type="dxa"/>
          </w:tcPr>
          <w:p>
            <w:pPr>
              <w:pStyle w:val="TableParagraph"/>
              <w:spacing w:before="56"/>
              <w:ind w:left="107"/>
              <w:rPr>
                <w:rFonts w:ascii="黑体"/>
                <w:sz w:val="21"/>
              </w:rPr>
            </w:pPr>
            <w:r>
              <w:rPr>
                <w:rFonts w:ascii="黑体"/>
                <w:sz w:val="21"/>
              </w:rPr>
              <w:t>9.2</w:t>
            </w:r>
          </w:p>
        </w:tc>
        <w:tc>
          <w:tcPr>
            <w:tcW w:w="2083" w:type="dxa"/>
          </w:tcPr>
          <w:p>
            <w:pPr>
              <w:pStyle w:val="TableParagraph"/>
              <w:spacing w:before="56"/>
              <w:ind w:left="288"/>
              <w:rPr>
                <w:rFonts w:ascii="黑体" w:eastAsia="黑体" w:hint="eastAsia"/>
                <w:sz w:val="21"/>
              </w:rPr>
            </w:pPr>
            <w:r>
              <w:rPr>
                <w:rFonts w:ascii="黑体" w:eastAsia="黑体" w:hint="eastAsia"/>
                <w:sz w:val="21"/>
              </w:rPr>
              <w:t>毒品</w:t>
            </w:r>
          </w:p>
        </w:tc>
        <w:tc>
          <w:tcPr>
            <w:tcW w:w="7167" w:type="dxa"/>
          </w:tcPr>
          <w:p>
            <w:pPr>
              <w:pStyle w:val="TableParagraph"/>
              <w:spacing w:line="280" w:lineRule="auto" w:before="56"/>
              <w:ind w:left="113" w:right="-15"/>
              <w:rPr>
                <w:sz w:val="21"/>
              </w:rPr>
            </w:pPr>
            <w:r>
              <w:rPr>
                <w:spacing w:val="-14"/>
                <w:sz w:val="21"/>
              </w:rPr>
              <w:t>指《中华人民共和国刑法》规定的鸦片、海洛因、甲基苯丙胺</w:t>
            </w:r>
            <w:r>
              <w:rPr>
                <w:spacing w:val="-3"/>
                <w:sz w:val="21"/>
              </w:rPr>
              <w:t>（</w:t>
            </w:r>
            <w:r>
              <w:rPr>
                <w:spacing w:val="-2"/>
                <w:sz w:val="21"/>
              </w:rPr>
              <w:t>冰毒</w:t>
            </w:r>
            <w:r>
              <w:rPr>
                <w:spacing w:val="-108"/>
                <w:sz w:val="21"/>
              </w:rPr>
              <w:t>）</w:t>
            </w:r>
            <w:r>
              <w:rPr>
                <w:spacing w:val="-9"/>
                <w:sz w:val="21"/>
              </w:rPr>
              <w:t>、吗啡、</w:t>
            </w:r>
            <w:r>
              <w:rPr>
                <w:spacing w:val="-6"/>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101" w:hRule="atLeast"/>
        </w:trPr>
        <w:tc>
          <w:tcPr>
            <w:tcW w:w="713" w:type="dxa"/>
          </w:tcPr>
          <w:p>
            <w:pPr>
              <w:pStyle w:val="TableParagraph"/>
              <w:spacing w:before="58"/>
              <w:ind w:left="107"/>
              <w:rPr>
                <w:rFonts w:ascii="黑体"/>
                <w:sz w:val="21"/>
              </w:rPr>
            </w:pPr>
            <w:r>
              <w:rPr>
                <w:rFonts w:ascii="黑体"/>
                <w:sz w:val="21"/>
              </w:rPr>
              <w:t>9.3</w:t>
            </w:r>
          </w:p>
        </w:tc>
        <w:tc>
          <w:tcPr>
            <w:tcW w:w="2083" w:type="dxa"/>
          </w:tcPr>
          <w:p>
            <w:pPr>
              <w:pStyle w:val="TableParagraph"/>
              <w:spacing w:before="58"/>
              <w:ind w:left="288"/>
              <w:rPr>
                <w:rFonts w:ascii="黑体" w:eastAsia="黑体" w:hint="eastAsia"/>
                <w:sz w:val="21"/>
              </w:rPr>
            </w:pPr>
            <w:r>
              <w:rPr>
                <w:rFonts w:ascii="黑体" w:eastAsia="黑体" w:hint="eastAsia"/>
                <w:sz w:val="21"/>
              </w:rPr>
              <w:t>酒后驾驶</w:t>
            </w:r>
          </w:p>
        </w:tc>
        <w:tc>
          <w:tcPr>
            <w:tcW w:w="7167" w:type="dxa"/>
          </w:tcPr>
          <w:p>
            <w:pPr>
              <w:pStyle w:val="TableParagraph"/>
              <w:spacing w:line="278" w:lineRule="auto" w:before="58"/>
              <w:ind w:left="113" w:right="1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38" w:hRule="atLeast"/>
        </w:trPr>
        <w:tc>
          <w:tcPr>
            <w:tcW w:w="713" w:type="dxa"/>
          </w:tcPr>
          <w:p>
            <w:pPr>
              <w:pStyle w:val="TableParagraph"/>
              <w:spacing w:before="58"/>
              <w:ind w:left="107"/>
              <w:rPr>
                <w:rFonts w:ascii="黑体"/>
                <w:sz w:val="21"/>
              </w:rPr>
            </w:pPr>
            <w:r>
              <w:rPr>
                <w:rFonts w:ascii="黑体"/>
                <w:sz w:val="21"/>
              </w:rPr>
              <w:t>9.4</w:t>
            </w:r>
          </w:p>
        </w:tc>
        <w:tc>
          <w:tcPr>
            <w:tcW w:w="2083" w:type="dxa"/>
          </w:tcPr>
          <w:p>
            <w:pPr>
              <w:pStyle w:val="TableParagraph"/>
              <w:spacing w:line="278" w:lineRule="auto" w:before="58"/>
              <w:ind w:left="288" w:right="110"/>
              <w:rPr>
                <w:rFonts w:ascii="黑体" w:eastAsia="黑体" w:hint="eastAsia"/>
                <w:sz w:val="21"/>
              </w:rPr>
            </w:pPr>
            <w:r>
              <w:rPr>
                <w:rFonts w:ascii="黑体" w:eastAsia="黑体" w:hint="eastAsia"/>
                <w:sz w:val="21"/>
              </w:rPr>
              <w:t>无合法有效驾驶证驾驶</w:t>
            </w:r>
          </w:p>
        </w:tc>
        <w:tc>
          <w:tcPr>
            <w:tcW w:w="7167" w:type="dxa"/>
          </w:tcPr>
          <w:p>
            <w:pPr>
              <w:pStyle w:val="TableParagraph"/>
              <w:spacing w:before="58"/>
              <w:ind w:left="113"/>
              <w:rPr>
                <w:sz w:val="21"/>
              </w:rPr>
            </w:pPr>
            <w:r>
              <w:rPr>
                <w:sz w:val="21"/>
              </w:rPr>
              <w:t>指下列情形之一：</w:t>
            </w:r>
          </w:p>
          <w:p>
            <w:pPr>
              <w:pStyle w:val="TableParagraph"/>
              <w:spacing w:before="44"/>
              <w:ind w:left="113"/>
              <w:rPr>
                <w:sz w:val="21"/>
              </w:rPr>
            </w:pPr>
            <w:r>
              <w:rPr>
                <w:sz w:val="21"/>
              </w:rPr>
              <w:t>(1)没有取得驾驶资格；</w:t>
            </w:r>
          </w:p>
          <w:p>
            <w:pPr>
              <w:pStyle w:val="TableParagraph"/>
              <w:spacing w:before="46"/>
              <w:ind w:left="113"/>
              <w:rPr>
                <w:sz w:val="21"/>
              </w:rPr>
            </w:pPr>
            <w:r>
              <w:rPr>
                <w:sz w:val="21"/>
              </w:rPr>
              <w:t>(2)驾驶与驾驶证准驾车型不相符合的车辆；</w:t>
            </w:r>
          </w:p>
          <w:p>
            <w:pPr>
              <w:pStyle w:val="TableParagraph"/>
              <w:spacing w:before="44"/>
              <w:ind w:left="113"/>
              <w:rPr>
                <w:sz w:val="21"/>
              </w:rPr>
            </w:pPr>
            <w:r>
              <w:rPr>
                <w:sz w:val="21"/>
              </w:rPr>
              <w:t>(3)持审验不合格的驾驶证驾驶；</w:t>
            </w:r>
          </w:p>
          <w:p>
            <w:pPr>
              <w:pStyle w:val="TableParagraph"/>
              <w:spacing w:line="322" w:lineRule="exact" w:before="32"/>
              <w:ind w:left="113" w:right="102"/>
              <w:rPr>
                <w:sz w:val="21"/>
              </w:rPr>
            </w:pPr>
            <w:r>
              <w:rPr>
                <w:sz w:val="21"/>
              </w:rPr>
              <w:t>(4)</w:t>
            </w:r>
            <w:r>
              <w:rPr>
                <w:spacing w:val="-9"/>
                <w:sz w:val="21"/>
              </w:rPr>
              <w:t>持学习驾驶证学习驾车时，无教练员随车指导，或不按指定时间、路线学</w:t>
            </w:r>
            <w:r>
              <w:rPr>
                <w:spacing w:val="-6"/>
                <w:sz w:val="21"/>
              </w:rPr>
              <w:t>习驾车。</w:t>
            </w:r>
          </w:p>
        </w:tc>
      </w:tr>
    </w:tbl>
    <w:p>
      <w:pPr>
        <w:spacing w:after="0" w:line="322" w:lineRule="exact"/>
        <w:rPr>
          <w:sz w:val="21"/>
        </w:rPr>
        <w:sectPr>
          <w:pgSz w:w="11910" w:h="16840"/>
          <w:pgMar w:top="1480" w:bottom="280" w:left="86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2031"/>
        <w:gridCol w:w="7368"/>
      </w:tblGrid>
      <w:tr>
        <w:trPr>
          <w:trHeight w:val="1296" w:hRule="atLeast"/>
        </w:trPr>
        <w:tc>
          <w:tcPr>
            <w:tcW w:w="858" w:type="dxa"/>
          </w:tcPr>
          <w:p>
            <w:pPr>
              <w:pStyle w:val="TableParagraph"/>
              <w:spacing w:line="207" w:lineRule="exact"/>
              <w:rPr>
                <w:rFonts w:ascii="黑体"/>
                <w:sz w:val="21"/>
              </w:rPr>
            </w:pPr>
            <w:r>
              <w:rPr>
                <w:rFonts w:ascii="黑体"/>
                <w:sz w:val="21"/>
              </w:rPr>
              <w:t>9.5</w:t>
            </w:r>
          </w:p>
        </w:tc>
        <w:tc>
          <w:tcPr>
            <w:tcW w:w="2031" w:type="dxa"/>
          </w:tcPr>
          <w:p>
            <w:pPr>
              <w:pStyle w:val="TableParagraph"/>
              <w:spacing w:line="207" w:lineRule="exact"/>
              <w:ind w:left="235"/>
              <w:rPr>
                <w:rFonts w:ascii="黑体" w:eastAsia="黑体" w:hint="eastAsia"/>
                <w:sz w:val="21"/>
              </w:rPr>
            </w:pPr>
            <w:r>
              <w:rPr>
                <w:rFonts w:ascii="黑体" w:eastAsia="黑体" w:hint="eastAsia"/>
                <w:sz w:val="21"/>
              </w:rPr>
              <w:t>无有效行驶证</w:t>
            </w:r>
          </w:p>
        </w:tc>
        <w:tc>
          <w:tcPr>
            <w:tcW w:w="7368" w:type="dxa"/>
          </w:tcPr>
          <w:p>
            <w:pPr>
              <w:pStyle w:val="TableParagraph"/>
              <w:spacing w:line="207" w:lineRule="exact"/>
              <w:ind w:left="112"/>
              <w:rPr>
                <w:sz w:val="21"/>
              </w:rPr>
            </w:pPr>
            <w:r>
              <w:rPr>
                <w:sz w:val="21"/>
              </w:rPr>
              <w:t>指下列情形之一：</w:t>
            </w:r>
          </w:p>
          <w:p>
            <w:pPr>
              <w:pStyle w:val="TableParagraph"/>
              <w:spacing w:before="44"/>
              <w:ind w:left="112"/>
              <w:rPr>
                <w:sz w:val="21"/>
              </w:rPr>
            </w:pPr>
            <w:r>
              <w:rPr>
                <w:sz w:val="21"/>
              </w:rPr>
              <w:t>(1)未取得行驶证；</w:t>
            </w:r>
          </w:p>
          <w:p>
            <w:pPr>
              <w:pStyle w:val="TableParagraph"/>
              <w:spacing w:before="44"/>
              <w:ind w:left="112"/>
              <w:rPr>
                <w:sz w:val="21"/>
              </w:rPr>
            </w:pPr>
            <w:r>
              <w:rPr>
                <w:sz w:val="21"/>
              </w:rPr>
              <w:t>(2)机动车被依法注销登记的；</w:t>
            </w:r>
          </w:p>
          <w:p>
            <w:pPr>
              <w:pStyle w:val="TableParagraph"/>
              <w:spacing w:before="46"/>
              <w:ind w:left="112"/>
              <w:rPr>
                <w:sz w:val="21"/>
              </w:rPr>
            </w:pPr>
            <w:r>
              <w:rPr>
                <w:sz w:val="21"/>
              </w:rPr>
              <w:t>(3)未依法按时进行或通过机动车安全技术检验。</w:t>
            </w:r>
          </w:p>
        </w:tc>
      </w:tr>
      <w:tr>
        <w:trPr>
          <w:trHeight w:val="782" w:hRule="atLeast"/>
        </w:trPr>
        <w:tc>
          <w:tcPr>
            <w:tcW w:w="858" w:type="dxa"/>
          </w:tcPr>
          <w:p>
            <w:pPr>
              <w:pStyle w:val="TableParagraph"/>
              <w:spacing w:before="56"/>
              <w:rPr>
                <w:rFonts w:ascii="黑体"/>
                <w:sz w:val="21"/>
              </w:rPr>
            </w:pPr>
            <w:r>
              <w:rPr>
                <w:rFonts w:ascii="黑体"/>
                <w:sz w:val="21"/>
              </w:rPr>
              <w:t>9.6</w:t>
            </w:r>
          </w:p>
        </w:tc>
        <w:tc>
          <w:tcPr>
            <w:tcW w:w="2031" w:type="dxa"/>
          </w:tcPr>
          <w:p>
            <w:pPr>
              <w:pStyle w:val="TableParagraph"/>
              <w:spacing w:before="56"/>
              <w:ind w:left="235"/>
              <w:rPr>
                <w:rFonts w:ascii="黑体" w:eastAsia="黑体" w:hint="eastAsia"/>
                <w:sz w:val="21"/>
              </w:rPr>
            </w:pPr>
            <w:r>
              <w:rPr>
                <w:rFonts w:ascii="黑体" w:eastAsia="黑体" w:hint="eastAsia"/>
                <w:sz w:val="21"/>
              </w:rPr>
              <w:t>机动车</w:t>
            </w:r>
          </w:p>
        </w:tc>
        <w:tc>
          <w:tcPr>
            <w:tcW w:w="7368" w:type="dxa"/>
          </w:tcPr>
          <w:p>
            <w:pPr>
              <w:pStyle w:val="TableParagraph"/>
              <w:spacing w:line="280" w:lineRule="auto" w:before="56"/>
              <w:ind w:left="112" w:right="302"/>
              <w:rPr>
                <w:sz w:val="21"/>
              </w:rPr>
            </w:pPr>
            <w:r>
              <w:rPr>
                <w:sz w:val="21"/>
              </w:rPr>
              <w:t>指以动力装置驱动或者牵引，上道路行驶的供人员乘用或者用于运送物品以及进行工程专项作业的轮式车辆。</w:t>
            </w:r>
          </w:p>
        </w:tc>
      </w:tr>
      <w:tr>
        <w:trPr>
          <w:trHeight w:val="782" w:hRule="atLeast"/>
        </w:trPr>
        <w:tc>
          <w:tcPr>
            <w:tcW w:w="858" w:type="dxa"/>
          </w:tcPr>
          <w:p>
            <w:pPr>
              <w:pStyle w:val="TableParagraph"/>
              <w:spacing w:before="56"/>
              <w:rPr>
                <w:rFonts w:ascii="黑体"/>
                <w:sz w:val="21"/>
              </w:rPr>
            </w:pPr>
            <w:r>
              <w:rPr>
                <w:rFonts w:ascii="黑体"/>
                <w:sz w:val="21"/>
              </w:rPr>
              <w:t>9.7</w:t>
            </w:r>
          </w:p>
        </w:tc>
        <w:tc>
          <w:tcPr>
            <w:tcW w:w="2031" w:type="dxa"/>
          </w:tcPr>
          <w:p>
            <w:pPr>
              <w:pStyle w:val="TableParagraph"/>
              <w:spacing w:before="56"/>
              <w:ind w:left="235"/>
              <w:rPr>
                <w:rFonts w:ascii="黑体" w:eastAsia="黑体" w:hint="eastAsia"/>
                <w:sz w:val="21"/>
              </w:rPr>
            </w:pPr>
            <w:r>
              <w:rPr>
                <w:rFonts w:ascii="黑体" w:eastAsia="黑体" w:hint="eastAsia"/>
                <w:sz w:val="21"/>
              </w:rPr>
              <w:t>遗传性疾病</w:t>
            </w:r>
          </w:p>
        </w:tc>
        <w:tc>
          <w:tcPr>
            <w:tcW w:w="7368" w:type="dxa"/>
          </w:tcPr>
          <w:p>
            <w:pPr>
              <w:pStyle w:val="TableParagraph"/>
              <w:spacing w:line="280" w:lineRule="auto" w:before="56"/>
              <w:ind w:left="112" w:right="302"/>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858" w:type="dxa"/>
          </w:tcPr>
          <w:p>
            <w:pPr>
              <w:pStyle w:val="TableParagraph"/>
              <w:spacing w:before="56"/>
              <w:rPr>
                <w:rFonts w:ascii="黑体"/>
                <w:sz w:val="21"/>
              </w:rPr>
            </w:pPr>
            <w:r>
              <w:rPr>
                <w:rFonts w:ascii="黑体"/>
                <w:sz w:val="21"/>
              </w:rPr>
              <w:t>9.8</w:t>
            </w:r>
          </w:p>
        </w:tc>
        <w:tc>
          <w:tcPr>
            <w:tcW w:w="2031" w:type="dxa"/>
          </w:tcPr>
          <w:p>
            <w:pPr>
              <w:pStyle w:val="TableParagraph"/>
              <w:spacing w:line="278" w:lineRule="auto" w:before="56"/>
              <w:ind w:left="235" w:right="111"/>
              <w:rPr>
                <w:rFonts w:ascii="黑体" w:eastAsia="黑体" w:hint="eastAsia"/>
                <w:sz w:val="21"/>
              </w:rPr>
            </w:pPr>
            <w:r>
              <w:rPr>
                <w:rFonts w:ascii="黑体" w:eastAsia="黑体" w:hint="eastAsia"/>
                <w:sz w:val="21"/>
              </w:rPr>
              <w:t>先天性畸形、变形或染色体异常</w:t>
            </w:r>
          </w:p>
        </w:tc>
        <w:tc>
          <w:tcPr>
            <w:tcW w:w="7368" w:type="dxa"/>
          </w:tcPr>
          <w:p>
            <w:pPr>
              <w:pStyle w:val="TableParagraph"/>
              <w:spacing w:line="278" w:lineRule="auto" w:before="56"/>
              <w:ind w:left="112" w:right="199"/>
              <w:rPr>
                <w:sz w:val="21"/>
              </w:rPr>
            </w:pPr>
            <w:r>
              <w:rPr>
                <w:spacing w:val="-3"/>
                <w:sz w:val="21"/>
              </w:rPr>
              <w:t>指被保险人出生时就具有的畸形、变形或染色体异常。先天性畸形、变形和</w:t>
            </w:r>
            <w:r>
              <w:rPr>
                <w:spacing w:val="13"/>
                <w:sz w:val="21"/>
              </w:rPr>
              <w:t>染色体异常依照世界卫生组织《疾病和有关健康问题的国际统计分类》</w:t>
            </w:r>
          </w:p>
          <w:p>
            <w:pPr>
              <w:pStyle w:val="TableParagraph"/>
              <w:spacing w:before="12"/>
              <w:ind w:left="112"/>
              <w:rPr>
                <w:sz w:val="21"/>
              </w:rPr>
            </w:pPr>
            <w:r>
              <w:rPr>
                <w:sz w:val="21"/>
              </w:rPr>
              <w:t>（ICD-10）确定。</w:t>
            </w:r>
          </w:p>
        </w:tc>
      </w:tr>
      <w:tr>
        <w:trPr>
          <w:trHeight w:val="1742" w:hRule="atLeast"/>
        </w:trPr>
        <w:tc>
          <w:tcPr>
            <w:tcW w:w="858" w:type="dxa"/>
          </w:tcPr>
          <w:p>
            <w:pPr>
              <w:pStyle w:val="TableParagraph"/>
              <w:spacing w:before="56"/>
              <w:rPr>
                <w:rFonts w:ascii="黑体"/>
                <w:sz w:val="21"/>
              </w:rPr>
            </w:pPr>
            <w:r>
              <w:rPr>
                <w:rFonts w:ascii="黑体"/>
                <w:sz w:val="21"/>
              </w:rPr>
              <w:t>9.9</w:t>
            </w:r>
          </w:p>
        </w:tc>
        <w:tc>
          <w:tcPr>
            <w:tcW w:w="2031" w:type="dxa"/>
          </w:tcPr>
          <w:p>
            <w:pPr>
              <w:pStyle w:val="TableParagraph"/>
              <w:spacing w:line="280" w:lineRule="auto" w:before="56"/>
              <w:ind w:left="235" w:right="111"/>
              <w:rPr>
                <w:rFonts w:ascii="黑体" w:eastAsia="黑体" w:hint="eastAsia"/>
                <w:sz w:val="21"/>
              </w:rPr>
            </w:pPr>
            <w:r>
              <w:rPr>
                <w:rFonts w:ascii="黑体" w:eastAsia="黑体" w:hint="eastAsia"/>
                <w:sz w:val="21"/>
              </w:rPr>
              <w:t>感染艾滋病病毒或患艾滋病</w:t>
            </w:r>
          </w:p>
        </w:tc>
        <w:tc>
          <w:tcPr>
            <w:tcW w:w="7368" w:type="dxa"/>
          </w:tcPr>
          <w:p>
            <w:pPr>
              <w:pStyle w:val="TableParagraph"/>
              <w:spacing w:line="280" w:lineRule="auto" w:before="56"/>
              <w:ind w:left="112" w:right="302"/>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12" w:right="198"/>
              <w:rPr>
                <w:sz w:val="21"/>
              </w:rPr>
            </w:pPr>
            <w:r>
              <w:rPr>
                <w:spacing w:val="-3"/>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781" w:hRule="atLeast"/>
        </w:trPr>
        <w:tc>
          <w:tcPr>
            <w:tcW w:w="858" w:type="dxa"/>
          </w:tcPr>
          <w:p>
            <w:pPr>
              <w:pStyle w:val="TableParagraph"/>
              <w:spacing w:before="56"/>
              <w:rPr>
                <w:rFonts w:ascii="黑体"/>
                <w:sz w:val="21"/>
              </w:rPr>
            </w:pPr>
            <w:r>
              <w:rPr>
                <w:rFonts w:ascii="黑体"/>
                <w:sz w:val="21"/>
              </w:rPr>
              <w:t>9.10</w:t>
            </w:r>
          </w:p>
        </w:tc>
        <w:tc>
          <w:tcPr>
            <w:tcW w:w="2031" w:type="dxa"/>
          </w:tcPr>
          <w:p>
            <w:pPr>
              <w:pStyle w:val="TableParagraph"/>
              <w:spacing w:before="56"/>
              <w:ind w:left="235"/>
              <w:rPr>
                <w:rFonts w:ascii="黑体" w:eastAsia="黑体" w:hint="eastAsia"/>
                <w:sz w:val="21"/>
              </w:rPr>
            </w:pPr>
            <w:r>
              <w:rPr>
                <w:rFonts w:ascii="黑体" w:eastAsia="黑体" w:hint="eastAsia"/>
                <w:sz w:val="21"/>
              </w:rPr>
              <w:t>有效身份证件</w:t>
            </w:r>
          </w:p>
        </w:tc>
        <w:tc>
          <w:tcPr>
            <w:tcW w:w="7368" w:type="dxa"/>
          </w:tcPr>
          <w:p>
            <w:pPr>
              <w:pStyle w:val="TableParagraph"/>
              <w:spacing w:line="278" w:lineRule="auto" w:before="56"/>
              <w:ind w:left="112" w:right="302"/>
              <w:rPr>
                <w:sz w:val="21"/>
              </w:rPr>
            </w:pPr>
            <w:r>
              <w:rPr>
                <w:sz w:val="21"/>
              </w:rPr>
              <w:t>指由政府主管部门规定的证明其身份的证件，如：居民身份证、按规定可使用的有效护照、军官证、警官证、士兵证等证件。</w:t>
            </w:r>
          </w:p>
        </w:tc>
      </w:tr>
      <w:tr>
        <w:trPr>
          <w:trHeight w:val="1297" w:hRule="atLeast"/>
        </w:trPr>
        <w:tc>
          <w:tcPr>
            <w:tcW w:w="858" w:type="dxa"/>
          </w:tcPr>
          <w:p>
            <w:pPr>
              <w:pStyle w:val="TableParagraph"/>
              <w:spacing w:before="58"/>
              <w:rPr>
                <w:rFonts w:ascii="黑体"/>
                <w:sz w:val="21"/>
              </w:rPr>
            </w:pPr>
            <w:r>
              <w:rPr>
                <w:rFonts w:ascii="黑体"/>
                <w:sz w:val="21"/>
              </w:rPr>
              <w:t>9.11</w:t>
            </w:r>
          </w:p>
        </w:tc>
        <w:tc>
          <w:tcPr>
            <w:tcW w:w="2031" w:type="dxa"/>
          </w:tcPr>
          <w:p>
            <w:pPr>
              <w:pStyle w:val="TableParagraph"/>
              <w:spacing w:before="58"/>
              <w:ind w:left="235"/>
              <w:rPr>
                <w:rFonts w:ascii="黑体" w:eastAsia="黑体" w:hint="eastAsia"/>
                <w:sz w:val="21"/>
              </w:rPr>
            </w:pPr>
            <w:r>
              <w:rPr>
                <w:rFonts w:ascii="黑体" w:eastAsia="黑体" w:hint="eastAsia"/>
                <w:sz w:val="21"/>
              </w:rPr>
              <w:t>现金价值</w:t>
            </w:r>
          </w:p>
        </w:tc>
        <w:tc>
          <w:tcPr>
            <w:tcW w:w="7368" w:type="dxa"/>
          </w:tcPr>
          <w:p>
            <w:pPr>
              <w:pStyle w:val="TableParagraph"/>
              <w:spacing w:line="280" w:lineRule="auto" w:before="58"/>
              <w:ind w:left="112" w:right="302"/>
              <w:jc w:val="both"/>
              <w:rPr>
                <w:sz w:val="21"/>
              </w:rPr>
            </w:pPr>
            <w:r>
              <w:rPr>
                <w:spacing w:val="-3"/>
                <w:sz w:val="21"/>
              </w:rPr>
              <w:t>指本合同保险单所具有的价值，通常体现为解除合同时，根据精算原理计算</w:t>
            </w:r>
            <w:r>
              <w:rPr>
                <w:spacing w:val="-14"/>
                <w:w w:val="100"/>
                <w:sz w:val="21"/>
              </w:rPr>
              <w:t>的，由本公司退还的那部分金额。现金价值</w:t>
            </w:r>
            <w:r>
              <w:rPr>
                <w:w w:val="100"/>
                <w:sz w:val="21"/>
              </w:rPr>
              <w:t>＝</w:t>
            </w:r>
            <w:r>
              <w:rPr>
                <w:spacing w:val="-3"/>
                <w:w w:val="100"/>
                <w:sz w:val="21"/>
              </w:rPr>
              <w:t>当期保险费</w:t>
            </w:r>
            <w:r>
              <w:rPr>
                <w:w w:val="100"/>
                <w:sz w:val="21"/>
              </w:rPr>
              <w:t>×7</w:t>
            </w:r>
            <w:r>
              <w:rPr>
                <w:spacing w:val="-3"/>
                <w:w w:val="100"/>
                <w:sz w:val="21"/>
              </w:rPr>
              <w:t>5</w:t>
            </w:r>
            <w:r>
              <w:rPr>
                <w:spacing w:val="-34"/>
                <w:w w:val="100"/>
                <w:sz w:val="21"/>
              </w:rPr>
              <w:t>％×</w:t>
            </w:r>
            <w:r>
              <w:rPr>
                <w:spacing w:val="-1"/>
                <w:w w:val="100"/>
                <w:sz w:val="21"/>
              </w:rPr>
              <w:t>（</w:t>
            </w:r>
            <w:r>
              <w:rPr>
                <w:spacing w:val="-3"/>
                <w:w w:val="100"/>
                <w:sz w:val="21"/>
              </w:rPr>
              <w:t>1</w:t>
            </w:r>
            <w:r>
              <w:rPr>
                <w:w w:val="100"/>
                <w:sz w:val="21"/>
              </w:rPr>
              <w:t>－n/</w:t>
            </w:r>
            <w:r>
              <w:rPr>
                <w:spacing w:val="-3"/>
                <w:w w:val="100"/>
                <w:sz w:val="21"/>
              </w:rPr>
              <w:t>m</w:t>
            </w:r>
            <w:r>
              <w:rPr>
                <w:spacing w:val="-106"/>
                <w:w w:val="100"/>
                <w:sz w:val="21"/>
              </w:rPr>
              <w:t>），</w:t>
            </w:r>
            <w:r>
              <w:rPr>
                <w:spacing w:val="-7"/>
                <w:sz w:val="21"/>
              </w:rPr>
              <w:t>其中 </w:t>
            </w:r>
            <w:r>
              <w:rPr>
                <w:sz w:val="21"/>
              </w:rPr>
              <w:t>n</w:t>
            </w:r>
            <w:r>
              <w:rPr>
                <w:spacing w:val="-5"/>
                <w:sz w:val="21"/>
              </w:rPr>
              <w:t> 为当期保险费所在交费期间已经过的天数，</w:t>
            </w:r>
            <w:r>
              <w:rPr>
                <w:sz w:val="21"/>
              </w:rPr>
              <w:t>m</w:t>
            </w:r>
            <w:r>
              <w:rPr>
                <w:spacing w:val="-5"/>
                <w:sz w:val="21"/>
              </w:rPr>
              <w:t> 为当期保险费所在交费</w:t>
            </w:r>
          </w:p>
          <w:p>
            <w:pPr>
              <w:pStyle w:val="TableParagraph"/>
              <w:spacing w:line="259" w:lineRule="exact" w:before="8"/>
              <w:ind w:left="112"/>
              <w:jc w:val="both"/>
              <w:rPr>
                <w:sz w:val="21"/>
              </w:rPr>
            </w:pPr>
            <w:r>
              <w:rPr>
                <w:sz w:val="21"/>
              </w:rPr>
              <w:t>期间的天数。合同已生效的天数不足一天的不计。</w:t>
            </w:r>
          </w:p>
        </w:tc>
      </w:tr>
    </w:tbl>
    <w:sectPr>
      <w:pgSz w:w="11910" w:h="16840"/>
      <w:pgMar w:top="1480" w:bottom="28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22" w:hanging="423"/>
        <w:jc w:val="left"/>
      </w:pPr>
      <w:rPr>
        <w:rFonts w:hint="default" w:ascii="楷体" w:hAnsi="楷体" w:eastAsia="楷体" w:cs="楷体"/>
        <w:w w:val="100"/>
        <w:sz w:val="21"/>
        <w:szCs w:val="21"/>
      </w:rPr>
    </w:lvl>
    <w:lvl w:ilvl="1">
      <w:start w:val="0"/>
      <w:numFmt w:val="bullet"/>
      <w:lvlText w:val="•"/>
      <w:lvlJc w:val="left"/>
      <w:pPr>
        <w:ind w:left="1293" w:hanging="423"/>
      </w:pPr>
      <w:rPr>
        <w:rFonts w:hint="default"/>
      </w:rPr>
    </w:lvl>
    <w:lvl w:ilvl="2">
      <w:start w:val="0"/>
      <w:numFmt w:val="bullet"/>
      <w:lvlText w:val="•"/>
      <w:lvlJc w:val="left"/>
      <w:pPr>
        <w:ind w:left="1966" w:hanging="423"/>
      </w:pPr>
      <w:rPr>
        <w:rFonts w:hint="default"/>
      </w:rPr>
    </w:lvl>
    <w:lvl w:ilvl="3">
      <w:start w:val="0"/>
      <w:numFmt w:val="bullet"/>
      <w:lvlText w:val="•"/>
      <w:lvlJc w:val="left"/>
      <w:pPr>
        <w:ind w:left="2639" w:hanging="423"/>
      </w:pPr>
      <w:rPr>
        <w:rFonts w:hint="default"/>
      </w:rPr>
    </w:lvl>
    <w:lvl w:ilvl="4">
      <w:start w:val="0"/>
      <w:numFmt w:val="bullet"/>
      <w:lvlText w:val="•"/>
      <w:lvlJc w:val="left"/>
      <w:pPr>
        <w:ind w:left="3312" w:hanging="423"/>
      </w:pPr>
      <w:rPr>
        <w:rFonts w:hint="default"/>
      </w:rPr>
    </w:lvl>
    <w:lvl w:ilvl="5">
      <w:start w:val="0"/>
      <w:numFmt w:val="bullet"/>
      <w:lvlText w:val="•"/>
      <w:lvlJc w:val="left"/>
      <w:pPr>
        <w:ind w:left="3986" w:hanging="423"/>
      </w:pPr>
      <w:rPr>
        <w:rFonts w:hint="default"/>
      </w:rPr>
    </w:lvl>
    <w:lvl w:ilvl="6">
      <w:start w:val="0"/>
      <w:numFmt w:val="bullet"/>
      <w:lvlText w:val="•"/>
      <w:lvlJc w:val="left"/>
      <w:pPr>
        <w:ind w:left="4659" w:hanging="423"/>
      </w:pPr>
      <w:rPr>
        <w:rFonts w:hint="default"/>
      </w:rPr>
    </w:lvl>
    <w:lvl w:ilvl="7">
      <w:start w:val="0"/>
      <w:numFmt w:val="bullet"/>
      <w:lvlText w:val="•"/>
      <w:lvlJc w:val="left"/>
      <w:pPr>
        <w:ind w:left="5332" w:hanging="423"/>
      </w:pPr>
      <w:rPr>
        <w:rFonts w:hint="default"/>
      </w:rPr>
    </w:lvl>
    <w:lvl w:ilvl="8">
      <w:start w:val="0"/>
      <w:numFmt w:val="bullet"/>
      <w:lvlText w:val="•"/>
      <w:lvlJc w:val="left"/>
      <w:pPr>
        <w:ind w:left="6005" w:hanging="423"/>
      </w:pPr>
      <w:rPr>
        <w:rFonts w:hint="default"/>
      </w:rPr>
    </w:lvl>
  </w:abstractNum>
  <w:abstractNum w:abstractNumId="3">
    <w:multiLevelType w:val="hybridMultilevel"/>
    <w:lvl w:ilvl="0">
      <w:start w:val="1"/>
      <w:numFmt w:val="upperRoman"/>
      <w:lvlText w:val="%1"/>
      <w:lvlJc w:val="left"/>
      <w:pPr>
        <w:ind w:left="358" w:hanging="159"/>
        <w:jc w:val="left"/>
      </w:pPr>
      <w:rPr>
        <w:rFonts w:hint="default" w:ascii="楷体" w:hAnsi="楷体" w:eastAsia="楷体" w:cs="楷体"/>
        <w:w w:val="100"/>
        <w:sz w:val="21"/>
        <w:szCs w:val="21"/>
      </w:rPr>
    </w:lvl>
    <w:lvl w:ilvl="1">
      <w:start w:val="0"/>
      <w:numFmt w:val="bullet"/>
      <w:lvlText w:val="•"/>
      <w:lvlJc w:val="left"/>
      <w:pPr>
        <w:ind w:left="1059" w:hanging="159"/>
      </w:pPr>
      <w:rPr>
        <w:rFonts w:hint="default"/>
      </w:rPr>
    </w:lvl>
    <w:lvl w:ilvl="2">
      <w:start w:val="0"/>
      <w:numFmt w:val="bullet"/>
      <w:lvlText w:val="•"/>
      <w:lvlJc w:val="left"/>
      <w:pPr>
        <w:ind w:left="1758" w:hanging="159"/>
      </w:pPr>
      <w:rPr>
        <w:rFonts w:hint="default"/>
      </w:rPr>
    </w:lvl>
    <w:lvl w:ilvl="3">
      <w:start w:val="0"/>
      <w:numFmt w:val="bullet"/>
      <w:lvlText w:val="•"/>
      <w:lvlJc w:val="left"/>
      <w:pPr>
        <w:ind w:left="2457" w:hanging="159"/>
      </w:pPr>
      <w:rPr>
        <w:rFonts w:hint="default"/>
      </w:rPr>
    </w:lvl>
    <w:lvl w:ilvl="4">
      <w:start w:val="0"/>
      <w:numFmt w:val="bullet"/>
      <w:lvlText w:val="•"/>
      <w:lvlJc w:val="left"/>
      <w:pPr>
        <w:ind w:left="3156" w:hanging="159"/>
      </w:pPr>
      <w:rPr>
        <w:rFonts w:hint="default"/>
      </w:rPr>
    </w:lvl>
    <w:lvl w:ilvl="5">
      <w:start w:val="0"/>
      <w:numFmt w:val="bullet"/>
      <w:lvlText w:val="•"/>
      <w:lvlJc w:val="left"/>
      <w:pPr>
        <w:ind w:left="3856" w:hanging="159"/>
      </w:pPr>
      <w:rPr>
        <w:rFonts w:hint="default"/>
      </w:rPr>
    </w:lvl>
    <w:lvl w:ilvl="6">
      <w:start w:val="0"/>
      <w:numFmt w:val="bullet"/>
      <w:lvlText w:val="•"/>
      <w:lvlJc w:val="left"/>
      <w:pPr>
        <w:ind w:left="4555" w:hanging="159"/>
      </w:pPr>
      <w:rPr>
        <w:rFonts w:hint="default"/>
      </w:rPr>
    </w:lvl>
    <w:lvl w:ilvl="7">
      <w:start w:val="0"/>
      <w:numFmt w:val="bullet"/>
      <w:lvlText w:val="•"/>
      <w:lvlJc w:val="left"/>
      <w:pPr>
        <w:ind w:left="5254" w:hanging="159"/>
      </w:pPr>
      <w:rPr>
        <w:rFonts w:hint="default"/>
      </w:rPr>
    </w:lvl>
    <w:lvl w:ilvl="8">
      <w:start w:val="0"/>
      <w:numFmt w:val="bullet"/>
      <w:lvlText w:val="•"/>
      <w:lvlJc w:val="left"/>
      <w:pPr>
        <w:ind w:left="5953" w:hanging="159"/>
      </w:pPr>
      <w:rPr>
        <w:rFonts w:hint="default"/>
      </w:rPr>
    </w:lvl>
  </w:abstractNum>
  <w:abstractNum w:abstractNumId="2">
    <w:multiLevelType w:val="hybridMultilevel"/>
    <w:lvl w:ilvl="0">
      <w:start w:val="8"/>
      <w:numFmt w:val="decimal"/>
      <w:lvlText w:val="%1"/>
      <w:lvlJc w:val="left"/>
      <w:pPr>
        <w:ind w:left="993" w:hanging="894"/>
        <w:jc w:val="left"/>
      </w:pPr>
      <w:rPr>
        <w:rFonts w:hint="default"/>
      </w:rPr>
    </w:lvl>
    <w:lvl w:ilvl="1">
      <w:start w:val="1"/>
      <w:numFmt w:val="decimal"/>
      <w:lvlText w:val="%1.%2"/>
      <w:lvlJc w:val="left"/>
      <w:pPr>
        <w:ind w:left="993" w:hanging="894"/>
        <w:jc w:val="right"/>
      </w:pPr>
      <w:rPr>
        <w:rFonts w:hint="default" w:ascii="黑体" w:hAnsi="黑体" w:eastAsia="黑体" w:cs="黑体"/>
        <w:w w:val="100"/>
        <w:sz w:val="21"/>
        <w:szCs w:val="21"/>
      </w:rPr>
    </w:lvl>
    <w:lvl w:ilvl="2">
      <w:start w:val="0"/>
      <w:numFmt w:val="bullet"/>
      <w:lvlText w:val="•"/>
      <w:lvlJc w:val="left"/>
      <w:pPr>
        <w:ind w:left="2837" w:hanging="894"/>
      </w:pPr>
      <w:rPr>
        <w:rFonts w:hint="default"/>
      </w:rPr>
    </w:lvl>
    <w:lvl w:ilvl="3">
      <w:start w:val="0"/>
      <w:numFmt w:val="bullet"/>
      <w:lvlText w:val="•"/>
      <w:lvlJc w:val="left"/>
      <w:pPr>
        <w:ind w:left="3755" w:hanging="894"/>
      </w:pPr>
      <w:rPr>
        <w:rFonts w:hint="default"/>
      </w:rPr>
    </w:lvl>
    <w:lvl w:ilvl="4">
      <w:start w:val="0"/>
      <w:numFmt w:val="bullet"/>
      <w:lvlText w:val="•"/>
      <w:lvlJc w:val="left"/>
      <w:pPr>
        <w:ind w:left="4674" w:hanging="894"/>
      </w:pPr>
      <w:rPr>
        <w:rFonts w:hint="default"/>
      </w:rPr>
    </w:lvl>
    <w:lvl w:ilvl="5">
      <w:start w:val="0"/>
      <w:numFmt w:val="bullet"/>
      <w:lvlText w:val="•"/>
      <w:lvlJc w:val="left"/>
      <w:pPr>
        <w:ind w:left="5593" w:hanging="894"/>
      </w:pPr>
      <w:rPr>
        <w:rFonts w:hint="default"/>
      </w:rPr>
    </w:lvl>
    <w:lvl w:ilvl="6">
      <w:start w:val="0"/>
      <w:numFmt w:val="bullet"/>
      <w:lvlText w:val="•"/>
      <w:lvlJc w:val="left"/>
      <w:pPr>
        <w:ind w:left="6511" w:hanging="894"/>
      </w:pPr>
      <w:rPr>
        <w:rFonts w:hint="default"/>
      </w:rPr>
    </w:lvl>
    <w:lvl w:ilvl="7">
      <w:start w:val="0"/>
      <w:numFmt w:val="bullet"/>
      <w:lvlText w:val="•"/>
      <w:lvlJc w:val="left"/>
      <w:pPr>
        <w:ind w:left="7430" w:hanging="894"/>
      </w:pPr>
      <w:rPr>
        <w:rFonts w:hint="default"/>
      </w:rPr>
    </w:lvl>
    <w:lvl w:ilvl="8">
      <w:start w:val="0"/>
      <w:numFmt w:val="bullet"/>
      <w:lvlText w:val="•"/>
      <w:lvlJc w:val="left"/>
      <w:pPr>
        <w:ind w:left="8349" w:hanging="894"/>
      </w:pPr>
      <w:rPr>
        <w:rFonts w:hint="default"/>
      </w:rPr>
    </w:lvl>
  </w:abstractNum>
  <w:abstractNum w:abstractNumId="1">
    <w:multiLevelType w:val="hybridMultilevel"/>
    <w:lvl w:ilvl="0">
      <w:start w:val="7"/>
      <w:numFmt w:val="decimal"/>
      <w:lvlText w:val="%1"/>
      <w:lvlJc w:val="left"/>
      <w:pPr>
        <w:ind w:left="1113" w:hanging="894"/>
        <w:jc w:val="left"/>
      </w:pPr>
      <w:rPr>
        <w:rFonts w:hint="default"/>
      </w:rPr>
    </w:lvl>
    <w:lvl w:ilvl="1">
      <w:start w:val="2"/>
      <w:numFmt w:val="decimal"/>
      <w:lvlText w:val="%1.%2"/>
      <w:lvlJc w:val="left"/>
      <w:pPr>
        <w:ind w:left="1113" w:hanging="894"/>
        <w:jc w:val="left"/>
      </w:pPr>
      <w:rPr>
        <w:rFonts w:hint="default" w:ascii="黑体" w:hAnsi="黑体" w:eastAsia="黑体" w:cs="黑体"/>
        <w:w w:val="100"/>
        <w:sz w:val="21"/>
        <w:szCs w:val="21"/>
      </w:rPr>
    </w:lvl>
    <w:lvl w:ilvl="2">
      <w:start w:val="0"/>
      <w:numFmt w:val="bullet"/>
      <w:lvlText w:val="•"/>
      <w:lvlJc w:val="left"/>
      <w:pPr>
        <w:ind w:left="1455" w:hanging="894"/>
      </w:pPr>
      <w:rPr>
        <w:rFonts w:hint="default"/>
      </w:rPr>
    </w:lvl>
    <w:lvl w:ilvl="3">
      <w:start w:val="0"/>
      <w:numFmt w:val="bullet"/>
      <w:lvlText w:val="•"/>
      <w:lvlJc w:val="left"/>
      <w:pPr>
        <w:ind w:left="1622" w:hanging="894"/>
      </w:pPr>
      <w:rPr>
        <w:rFonts w:hint="default"/>
      </w:rPr>
    </w:lvl>
    <w:lvl w:ilvl="4">
      <w:start w:val="0"/>
      <w:numFmt w:val="bullet"/>
      <w:lvlText w:val="•"/>
      <w:lvlJc w:val="left"/>
      <w:pPr>
        <w:ind w:left="1790" w:hanging="894"/>
      </w:pPr>
      <w:rPr>
        <w:rFonts w:hint="default"/>
      </w:rPr>
    </w:lvl>
    <w:lvl w:ilvl="5">
      <w:start w:val="0"/>
      <w:numFmt w:val="bullet"/>
      <w:lvlText w:val="•"/>
      <w:lvlJc w:val="left"/>
      <w:pPr>
        <w:ind w:left="1957" w:hanging="894"/>
      </w:pPr>
      <w:rPr>
        <w:rFonts w:hint="default"/>
      </w:rPr>
    </w:lvl>
    <w:lvl w:ilvl="6">
      <w:start w:val="0"/>
      <w:numFmt w:val="bullet"/>
      <w:lvlText w:val="•"/>
      <w:lvlJc w:val="left"/>
      <w:pPr>
        <w:ind w:left="2125" w:hanging="894"/>
      </w:pPr>
      <w:rPr>
        <w:rFonts w:hint="default"/>
      </w:rPr>
    </w:lvl>
    <w:lvl w:ilvl="7">
      <w:start w:val="0"/>
      <w:numFmt w:val="bullet"/>
      <w:lvlText w:val="•"/>
      <w:lvlJc w:val="left"/>
      <w:pPr>
        <w:ind w:left="2293" w:hanging="894"/>
      </w:pPr>
      <w:rPr>
        <w:rFonts w:hint="default"/>
      </w:rPr>
    </w:lvl>
    <w:lvl w:ilvl="8">
      <w:start w:val="0"/>
      <w:numFmt w:val="bullet"/>
      <w:lvlText w:val="•"/>
      <w:lvlJc w:val="left"/>
      <w:pPr>
        <w:ind w:left="2460" w:hanging="894"/>
      </w:pPr>
      <w:rPr>
        <w:rFonts w:hint="default"/>
      </w:rPr>
    </w:lvl>
  </w:abstractNum>
  <w:abstractNum w:abstractNumId="0">
    <w:multiLevelType w:val="hybridMultilevel"/>
    <w:lvl w:ilvl="0">
      <w:start w:val="0"/>
      <w:numFmt w:val="bullet"/>
      <w:lvlText w:val=""/>
      <w:lvlJc w:val="left"/>
      <w:pPr>
        <w:ind w:left="822" w:hanging="358"/>
      </w:pPr>
      <w:rPr>
        <w:rFonts w:hint="default" w:ascii="Wingdings" w:hAnsi="Wingdings" w:eastAsia="Wingdings" w:cs="Wingdings"/>
        <w:w w:val="100"/>
        <w:sz w:val="18"/>
        <w:szCs w:val="18"/>
      </w:rPr>
    </w:lvl>
    <w:lvl w:ilvl="1">
      <w:start w:val="0"/>
      <w:numFmt w:val="bullet"/>
      <w:lvlText w:val="•"/>
      <w:lvlJc w:val="left"/>
      <w:pPr>
        <w:ind w:left="1778" w:hanging="358"/>
      </w:pPr>
      <w:rPr>
        <w:rFonts w:hint="default"/>
      </w:rPr>
    </w:lvl>
    <w:lvl w:ilvl="2">
      <w:start w:val="0"/>
      <w:numFmt w:val="bullet"/>
      <w:lvlText w:val="•"/>
      <w:lvlJc w:val="left"/>
      <w:pPr>
        <w:ind w:left="2737" w:hanging="358"/>
      </w:pPr>
      <w:rPr>
        <w:rFonts w:hint="default"/>
      </w:rPr>
    </w:lvl>
    <w:lvl w:ilvl="3">
      <w:start w:val="0"/>
      <w:numFmt w:val="bullet"/>
      <w:lvlText w:val="•"/>
      <w:lvlJc w:val="left"/>
      <w:pPr>
        <w:ind w:left="3695" w:hanging="358"/>
      </w:pPr>
      <w:rPr>
        <w:rFonts w:hint="default"/>
      </w:rPr>
    </w:lvl>
    <w:lvl w:ilvl="4">
      <w:start w:val="0"/>
      <w:numFmt w:val="bullet"/>
      <w:lvlText w:val="•"/>
      <w:lvlJc w:val="left"/>
      <w:pPr>
        <w:ind w:left="4654" w:hanging="358"/>
      </w:pPr>
      <w:rPr>
        <w:rFonts w:hint="default"/>
      </w:rPr>
    </w:lvl>
    <w:lvl w:ilvl="5">
      <w:start w:val="0"/>
      <w:numFmt w:val="bullet"/>
      <w:lvlText w:val="•"/>
      <w:lvlJc w:val="left"/>
      <w:pPr>
        <w:ind w:left="5613" w:hanging="358"/>
      </w:pPr>
      <w:rPr>
        <w:rFonts w:hint="default"/>
      </w:rPr>
    </w:lvl>
    <w:lvl w:ilvl="6">
      <w:start w:val="0"/>
      <w:numFmt w:val="bullet"/>
      <w:lvlText w:val="•"/>
      <w:lvlJc w:val="left"/>
      <w:pPr>
        <w:ind w:left="6571" w:hanging="358"/>
      </w:pPr>
      <w:rPr>
        <w:rFonts w:hint="default"/>
      </w:rPr>
    </w:lvl>
    <w:lvl w:ilvl="7">
      <w:start w:val="0"/>
      <w:numFmt w:val="bullet"/>
      <w:lvlText w:val="•"/>
      <w:lvlJc w:val="left"/>
      <w:pPr>
        <w:ind w:left="7530" w:hanging="358"/>
      </w:pPr>
      <w:rPr>
        <w:rFonts w:hint="default"/>
      </w:rPr>
    </w:lvl>
    <w:lvl w:ilvl="8">
      <w:start w:val="0"/>
      <w:numFmt w:val="bullet"/>
      <w:lvlText w:val="•"/>
      <w:lvlJc w:val="left"/>
      <w:pPr>
        <w:ind w:left="8489" w:hanging="35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rPr>
      <w:rFonts w:ascii="楷体" w:hAnsi="楷体" w:eastAsia="楷体" w:cs="楷体"/>
      <w:sz w:val="21"/>
      <w:szCs w:val="21"/>
    </w:rPr>
  </w:style>
  <w:style w:styleId="Heading1" w:type="paragraph">
    <w:name w:val="Heading 1"/>
    <w:basedOn w:val="Normal"/>
    <w:uiPriority w:val="1"/>
    <w:qFormat/>
    <w:pPr>
      <w:spacing w:before="30"/>
      <w:ind w:left="2688" w:right="592" w:hanging="320"/>
      <w:outlineLvl w:val="1"/>
    </w:pPr>
    <w:rPr>
      <w:rFonts w:ascii="黑体" w:hAnsi="黑体" w:eastAsia="黑体" w:cs="黑体"/>
      <w:b/>
      <w:bCs/>
      <w:sz w:val="32"/>
      <w:szCs w:val="32"/>
    </w:rPr>
  </w:style>
  <w:style w:styleId="Heading2" w:type="paragraph">
    <w:name w:val="Heading 2"/>
    <w:basedOn w:val="Normal"/>
    <w:uiPriority w:val="1"/>
    <w:qFormat/>
    <w:pPr>
      <w:ind w:left="100"/>
      <w:outlineLvl w:val="2"/>
    </w:pPr>
    <w:rPr>
      <w:rFonts w:ascii="黑体" w:hAnsi="黑体" w:eastAsia="黑体" w:cs="黑体"/>
      <w:b/>
      <w:bCs/>
      <w:sz w:val="21"/>
      <w:szCs w:val="21"/>
    </w:rPr>
  </w:style>
  <w:style w:styleId="ListParagraph" w:type="paragraph">
    <w:name w:val="List Paragraph"/>
    <w:basedOn w:val="Normal"/>
    <w:uiPriority w:val="1"/>
    <w:qFormat/>
    <w:pPr>
      <w:spacing w:before="36"/>
      <w:ind w:left="822" w:hanging="357"/>
    </w:pPr>
    <w:rPr>
      <w:rFonts w:ascii="楷体" w:hAnsi="楷体" w:eastAsia="楷体" w:cs="楷体"/>
    </w:rPr>
  </w:style>
  <w:style w:styleId="TableParagraph" w:type="paragraph">
    <w:name w:val="Table Paragraph"/>
    <w:basedOn w:val="Normal"/>
    <w:uiPriority w:val="1"/>
    <w:qFormat/>
    <w:pPr>
      <w:ind w:left="20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cpic</dc:creator>
  <dc:title>中国太平洋人寿保险股份有限公司</dc:title>
  <dcterms:created xsi:type="dcterms:W3CDTF">2018-10-20T00:04:32Z</dcterms:created>
  <dcterms:modified xsi:type="dcterms:W3CDTF">2018-10-20T00:04:32Z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Word 2010</vt:lpwstr>
  </property>
  <property fmtid="{D5CDD505-2E9C-101B-9397-08002B2CF9AE}" pid="4" name="LastSaved">
    <vt:filetime>2018-10-19T00:00:00Z</vt:filetime>
  </property>
</Properties>
</file>