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right="390"/>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华泰人寿[2013]疾病保险 002 号</w:t>
      </w:r>
    </w:p>
    <w:p>
      <w:pPr>
        <w:pStyle w:val="BodyText"/>
        <w:spacing w:before="10"/>
        <w:ind w:right="705"/>
        <w:jc w:val="right"/>
      </w:pPr>
      <w:r>
        <w:rPr/>
        <w:t>请扫描以查询验证条款</w:t>
      </w:r>
    </w:p>
    <w:p>
      <w:pPr>
        <w:pStyle w:val="Heading1"/>
        <w:spacing w:line="218" w:lineRule="auto" w:before="55"/>
        <w:ind w:left="4192" w:right="2966" w:hanging="1362"/>
      </w:pPr>
      <w:r>
        <w:rPr/>
        <w:t>附加福康相伴重大疾病保险条款阅  读  指 引</w:t>
      </w:r>
    </w:p>
    <w:p>
      <w:pPr>
        <w:pStyle w:val="BodyText"/>
        <w:spacing w:before="13"/>
        <w:rPr>
          <w:rFonts w:ascii="微软雅黑"/>
          <w:b/>
          <w:sz w:val="10"/>
        </w:rPr>
      </w:pPr>
    </w:p>
    <w:p>
      <w:pPr>
        <w:pStyle w:val="BodyText"/>
        <w:spacing w:before="36"/>
        <w:ind w:left="1817"/>
      </w:pPr>
      <w:r>
        <w:rPr/>
        <w:pict>
          <v:group style="position:absolute;margin-left:49.16pt;margin-top:20.923506pt;width:503.1pt;height:490.9pt;mso-position-horizontal-relative:page;mso-position-vertical-relative:paragraph;z-index:-24784" coordorigin="983,418" coordsize="10062,9818">
            <v:shape style="position:absolute;left:983;top:418;width:10062;height:9818" type="#_x0000_t75" stroked="false">
              <v:imagedata r:id="rId7" o:title=""/>
            </v:shape>
            <v:shape style="position:absolute;left:1134;top:529;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1763;top:667;width:8711;height:1347" type="#_x0000_t202" filled="false" stroked="false">
              <v:textbox inset="0,0,0,0">
                <w:txbxContent>
                  <w:p>
                    <w:pPr>
                      <w:spacing w:line="210" w:lineRule="exact" w:before="0"/>
                      <w:ind w:left="380" w:right="0" w:firstLine="0"/>
                      <w:jc w:val="left"/>
                      <w:rPr>
                        <w:b/>
                        <w:sz w:val="21"/>
                      </w:rPr>
                    </w:pPr>
                    <w:r>
                      <w:rPr>
                        <w:b/>
                        <w:w w:val="95"/>
                        <w:sz w:val="21"/>
                      </w:rPr>
                      <w:t>您拥有的重要权益</w:t>
                    </w:r>
                  </w:p>
                  <w:p>
                    <w:pPr>
                      <w:spacing w:line="240" w:lineRule="auto" w:before="0"/>
                      <w:rPr>
                        <w:sz w:val="17"/>
                      </w:rPr>
                    </w:pPr>
                  </w:p>
                  <w:p>
                    <w:pPr>
                      <w:numPr>
                        <w:ilvl w:val="0"/>
                        <w:numId w:val="1"/>
                      </w:numPr>
                      <w:tabs>
                        <w:tab w:pos="397" w:val="left" w:leader="none"/>
                        <w:tab w:pos="398" w:val="left" w:leader="none"/>
                      </w:tabs>
                      <w:spacing w:before="0"/>
                      <w:ind w:left="397"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numPr>
                        <w:ilvl w:val="0"/>
                        <w:numId w:val="1"/>
                      </w:numPr>
                      <w:tabs>
                        <w:tab w:pos="397" w:val="left" w:leader="none"/>
                        <w:tab w:pos="398" w:val="left" w:leader="none"/>
                        <w:tab w:pos="8688" w:val="right" w:leader="dot"/>
                      </w:tabs>
                      <w:spacing w:before="36"/>
                      <w:ind w:left="397" w:right="0" w:hanging="397"/>
                      <w:jc w:val="left"/>
                      <w:rPr>
                        <w:sz w:val="21"/>
                      </w:rPr>
                    </w:pPr>
                    <w:r>
                      <w:rPr>
                        <w:sz w:val="21"/>
                      </w:rPr>
                      <w:t>本附加合同提供的保障在保险责任条款中列明.</w:t>
                      <w:tab/>
                      <w:t>2.3</w:t>
                    </w:r>
                  </w:p>
                  <w:p>
                    <w:pPr>
                      <w:numPr>
                        <w:ilvl w:val="0"/>
                        <w:numId w:val="1"/>
                      </w:numPr>
                      <w:tabs>
                        <w:tab w:pos="396" w:val="left" w:leader="none"/>
                        <w:tab w:pos="398" w:val="left" w:leader="none"/>
                        <w:tab w:pos="8687" w:val="right" w:leader="dot"/>
                      </w:tabs>
                      <w:spacing w:before="36"/>
                      <w:ind w:left="397" w:right="0" w:hanging="397"/>
                      <w:jc w:val="left"/>
                      <w:rPr>
                        <w:sz w:val="21"/>
                      </w:rPr>
                    </w:pPr>
                    <w:r>
                      <w:rPr>
                        <w:sz w:val="21"/>
                      </w:rPr>
                      <w:t>您有退保的权利.</w:t>
                      <w:tab/>
                      <w:t>6.1</w:t>
                    </w:r>
                  </w:p>
                </w:txbxContent>
              </v:textbox>
              <w10:wrap type="none"/>
            </v:shape>
            <v:shape style="position:absolute;left:1134;top:2089;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2144;top:2227;width:2129;height:210" type="#_x0000_t202" filled="false" stroked="false">
              <v:textbox inset="0,0,0,0">
                <w:txbxContent>
                  <w:p>
                    <w:pPr>
                      <w:spacing w:line="210" w:lineRule="exact" w:before="0"/>
                      <w:ind w:left="0" w:right="0" w:firstLine="0"/>
                      <w:jc w:val="left"/>
                      <w:rPr>
                        <w:b/>
                        <w:sz w:val="21"/>
                      </w:rPr>
                    </w:pPr>
                    <w:r>
                      <w:rPr>
                        <w:b/>
                        <w:w w:val="95"/>
                        <w:sz w:val="21"/>
                      </w:rPr>
                      <w:t>您应当特别注意的事项</w:t>
                    </w:r>
                  </w:p>
                </w:txbxContent>
              </v:textbox>
              <w10:wrap type="none"/>
            </v:shape>
            <v:shape style="position:absolute;left:1763;top:2716;width:8710;height:1170" type="#_x0000_t202" filled="false" stroked="false">
              <v:textbox inset="0,0,0,0">
                <w:txbxContent>
                  <w:p>
                    <w:pPr>
                      <w:numPr>
                        <w:ilvl w:val="0"/>
                        <w:numId w:val="2"/>
                      </w:numPr>
                      <w:tabs>
                        <w:tab w:pos="397" w:val="left" w:leader="none"/>
                        <w:tab w:pos="398" w:val="left" w:leader="none"/>
                        <w:tab w:pos="8689" w:val="right" w:leader="dot"/>
                      </w:tabs>
                      <w:spacing w:line="218" w:lineRule="exact" w:before="0"/>
                      <w:ind w:left="397" w:right="0" w:hanging="397"/>
                      <w:jc w:val="left"/>
                      <w:rPr>
                        <w:sz w:val="21"/>
                      </w:rPr>
                    </w:pPr>
                    <w:r>
                      <w:rPr>
                        <w:sz w:val="21"/>
                      </w:rPr>
                      <w:t>在某些情况下，我们不承担保险责任.</w:t>
                      <w:tab/>
                      <w:t>2.4</w:t>
                    </w:r>
                  </w:p>
                  <w:p>
                    <w:pPr>
                      <w:numPr>
                        <w:ilvl w:val="0"/>
                        <w:numId w:val="2"/>
                      </w:numPr>
                      <w:tabs>
                        <w:tab w:pos="396" w:val="left" w:leader="none"/>
                        <w:tab w:pos="398" w:val="left" w:leader="none"/>
                        <w:tab w:pos="8687" w:val="right" w:leader="dot"/>
                      </w:tabs>
                      <w:spacing w:before="37"/>
                      <w:ind w:left="397" w:right="0" w:hanging="397"/>
                      <w:jc w:val="left"/>
                      <w:rPr>
                        <w:sz w:val="21"/>
                      </w:rPr>
                    </w:pPr>
                    <w:r>
                      <w:rPr>
                        <w:sz w:val="21"/>
                      </w:rPr>
                      <w:t>您应当按时交纳保险费.</w:t>
                      <w:tab/>
                      <w:t>4.1</w:t>
                    </w:r>
                  </w:p>
                  <w:p>
                    <w:pPr>
                      <w:numPr>
                        <w:ilvl w:val="0"/>
                        <w:numId w:val="2"/>
                      </w:numPr>
                      <w:tabs>
                        <w:tab w:pos="397" w:val="left" w:leader="none"/>
                        <w:tab w:pos="398" w:val="left" w:leader="none"/>
                        <w:tab w:pos="8688" w:val="right" w:leader="dot"/>
                      </w:tabs>
                      <w:spacing w:before="37"/>
                      <w:ind w:left="397" w:right="0" w:hanging="397"/>
                      <w:jc w:val="left"/>
                      <w:rPr>
                        <w:sz w:val="21"/>
                      </w:rPr>
                    </w:pPr>
                    <w:r>
                      <w:rPr>
                        <w:sz w:val="21"/>
                      </w:rPr>
                      <w:t>退保会给您造成一定的损失，请您慎重决策.</w:t>
                      <w:tab/>
                      <w:t>6.1</w:t>
                    </w:r>
                  </w:p>
                  <w:p>
                    <w:pPr>
                      <w:numPr>
                        <w:ilvl w:val="0"/>
                        <w:numId w:val="2"/>
                      </w:numPr>
                      <w:tabs>
                        <w:tab w:pos="397" w:val="left" w:leader="none"/>
                        <w:tab w:pos="398" w:val="left" w:leader="none"/>
                        <w:tab w:pos="8479" w:val="right" w:leader="dot"/>
                      </w:tabs>
                      <w:spacing w:before="37"/>
                      <w:ind w:left="397" w:right="0" w:hanging="397"/>
                      <w:jc w:val="left"/>
                      <w:rPr>
                        <w:sz w:val="21"/>
                      </w:rPr>
                    </w:pPr>
                    <w:r>
                      <w:rPr>
                        <w:sz w:val="21"/>
                      </w:rPr>
                      <w:t>我们对一些重要术语进行了解释，并作了显著标识，请您注意.</w:t>
                      <w:tab/>
                      <w:t>7</w:t>
                    </w:r>
                  </w:p>
                </w:txbxContent>
              </v:textbox>
              <w10:wrap type="none"/>
            </v:shape>
            <v:shape style="position:absolute;left:1134;top:3961;width:510;height:11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p>
                    <w:pPr>
                      <w:spacing w:line="597" w:lineRule="exact" w:before="26"/>
                      <w:ind w:left="0" w:right="0" w:firstLine="0"/>
                      <w:jc w:val="left"/>
                      <w:rPr>
                        <w:rFonts w:ascii="Arial" w:hAnsi="Arial"/>
                        <w:b/>
                        <w:sz w:val="52"/>
                      </w:rPr>
                    </w:pPr>
                    <w:r>
                      <w:rPr>
                        <w:rFonts w:ascii="Arial" w:hAnsi="Arial"/>
                        <w:b/>
                        <w:w w:val="169"/>
                        <w:sz w:val="52"/>
                      </w:rPr>
                      <w:t>¤</w:t>
                    </w:r>
                  </w:p>
                </w:txbxContent>
              </v:textbox>
              <w10:wrap type="none"/>
            </v:shape>
            <v:shape style="position:absolute;left:2144;top:4099;width:6973;height:210" type="#_x0000_t202" filled="false" stroked="false">
              <v:textbox inset="0,0,0,0">
                <w:txbxContent>
                  <w:p>
                    <w:pPr>
                      <w:spacing w:line="210" w:lineRule="exact" w:before="0"/>
                      <w:ind w:left="0" w:right="0" w:firstLine="0"/>
                      <w:jc w:val="left"/>
                      <w:rPr>
                        <w:b/>
                        <w:sz w:val="21"/>
                      </w:rPr>
                    </w:pPr>
                    <w:r>
                      <w:rPr>
                        <w:b/>
                        <w:w w:val="95"/>
                        <w:sz w:val="21"/>
                      </w:rPr>
                      <w:t>条款是保险合同的重要内容，为充分保障您的权益，请您仔细阅读本条款。</w:t>
                    </w:r>
                  </w:p>
                </w:txbxContent>
              </v:textbox>
              <w10:wrap type="none"/>
            </v:shape>
            <v:shape style="position:absolute;left:2144;top:4723;width:864;height:210" type="#_x0000_t202" filled="false" stroked="false">
              <v:textbox inset="0,0,0,0">
                <w:txbxContent>
                  <w:p>
                    <w:pPr>
                      <w:spacing w:line="210" w:lineRule="exact" w:before="0"/>
                      <w:ind w:left="0" w:right="0" w:firstLine="0"/>
                      <w:jc w:val="left"/>
                      <w:rPr>
                        <w:b/>
                        <w:sz w:val="21"/>
                      </w:rPr>
                    </w:pPr>
                    <w:r>
                      <w:rPr>
                        <w:b/>
                        <w:w w:val="95"/>
                        <w:sz w:val="21"/>
                      </w:rPr>
                      <w:t>条款目录</w:t>
                    </w:r>
                  </w:p>
                </w:txbxContent>
              </v:textbox>
              <w10:wrap type="non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tbl>
      <w:tblPr>
        <w:tblW w:w="0" w:type="auto"/>
        <w:jc w:val="left"/>
        <w:tblInd w:w="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3198"/>
        <w:gridCol w:w="632"/>
        <w:gridCol w:w="3075"/>
      </w:tblGrid>
      <w:tr>
        <w:trPr>
          <w:trHeight w:val="261" w:hRule="atLeast"/>
        </w:trPr>
        <w:tc>
          <w:tcPr>
            <w:tcW w:w="2417" w:type="dxa"/>
          </w:tcPr>
          <w:p>
            <w:pPr>
              <w:pStyle w:val="TableParagraph"/>
              <w:spacing w:line="210" w:lineRule="exact"/>
              <w:ind w:left="50"/>
              <w:rPr>
                <w:b/>
                <w:sz w:val="21"/>
              </w:rPr>
            </w:pPr>
            <w:r>
              <w:rPr>
                <w:b/>
                <w:sz w:val="21"/>
              </w:rPr>
              <w:t>1. 您与我们订立的合同</w:t>
            </w:r>
          </w:p>
        </w:tc>
        <w:tc>
          <w:tcPr>
            <w:tcW w:w="3198" w:type="dxa"/>
          </w:tcPr>
          <w:p>
            <w:pPr>
              <w:pStyle w:val="TableParagraph"/>
              <w:spacing w:line="210" w:lineRule="exact"/>
              <w:ind w:left="153"/>
              <w:rPr>
                <w:b/>
                <w:sz w:val="21"/>
              </w:rPr>
            </w:pPr>
            <w:r>
              <w:rPr>
                <w:b/>
                <w:w w:val="95"/>
                <w:sz w:val="21"/>
              </w:rPr>
              <w:t>4.保险费的交纳</w:t>
            </w:r>
          </w:p>
        </w:tc>
        <w:tc>
          <w:tcPr>
            <w:tcW w:w="632" w:type="dxa"/>
          </w:tcPr>
          <w:p>
            <w:pPr>
              <w:pStyle w:val="TableParagraph"/>
              <w:spacing w:line="210" w:lineRule="exact"/>
              <w:rPr>
                <w:sz w:val="21"/>
              </w:rPr>
            </w:pPr>
            <w:r>
              <w:rPr>
                <w:sz w:val="21"/>
              </w:rPr>
              <w:t>7.7</w:t>
            </w:r>
          </w:p>
        </w:tc>
        <w:tc>
          <w:tcPr>
            <w:tcW w:w="3075" w:type="dxa"/>
          </w:tcPr>
          <w:p>
            <w:pPr>
              <w:pStyle w:val="TableParagraph"/>
              <w:spacing w:line="210" w:lineRule="exact"/>
              <w:ind w:left="-1"/>
              <w:rPr>
                <w:sz w:val="21"/>
              </w:rPr>
            </w:pPr>
            <w:r>
              <w:rPr>
                <w:sz w:val="21"/>
              </w:rPr>
              <w:t>医院</w:t>
            </w:r>
          </w:p>
        </w:tc>
      </w:tr>
      <w:tr>
        <w:trPr>
          <w:trHeight w:val="311" w:hRule="atLeast"/>
        </w:trPr>
        <w:tc>
          <w:tcPr>
            <w:tcW w:w="2417" w:type="dxa"/>
          </w:tcPr>
          <w:p>
            <w:pPr>
              <w:pStyle w:val="TableParagraph"/>
              <w:ind w:left="155"/>
              <w:rPr>
                <w:sz w:val="21"/>
              </w:rPr>
            </w:pPr>
            <w:r>
              <w:rPr>
                <w:sz w:val="21"/>
              </w:rPr>
              <w:t>1.1 合同构成</w:t>
            </w:r>
          </w:p>
        </w:tc>
        <w:tc>
          <w:tcPr>
            <w:tcW w:w="3198" w:type="dxa"/>
          </w:tcPr>
          <w:p>
            <w:pPr>
              <w:pStyle w:val="TableParagraph"/>
              <w:ind w:left="258"/>
              <w:rPr>
                <w:sz w:val="21"/>
              </w:rPr>
            </w:pPr>
            <w:r>
              <w:rPr>
                <w:sz w:val="21"/>
              </w:rPr>
              <w:t>4.1 保险费的交纳</w:t>
            </w:r>
          </w:p>
        </w:tc>
        <w:tc>
          <w:tcPr>
            <w:tcW w:w="632" w:type="dxa"/>
          </w:tcPr>
          <w:p>
            <w:pPr>
              <w:pStyle w:val="TableParagraph"/>
              <w:rPr>
                <w:sz w:val="21"/>
              </w:rPr>
            </w:pPr>
            <w:r>
              <w:rPr>
                <w:sz w:val="21"/>
              </w:rPr>
              <w:t>7.8</w:t>
            </w:r>
          </w:p>
        </w:tc>
        <w:tc>
          <w:tcPr>
            <w:tcW w:w="3075" w:type="dxa"/>
          </w:tcPr>
          <w:p>
            <w:pPr>
              <w:pStyle w:val="TableParagraph"/>
              <w:ind w:left="-1"/>
              <w:rPr>
                <w:sz w:val="21"/>
              </w:rPr>
            </w:pPr>
            <w:r>
              <w:rPr>
                <w:sz w:val="21"/>
              </w:rPr>
              <w:t>专科医生</w:t>
            </w:r>
          </w:p>
        </w:tc>
      </w:tr>
      <w:tr>
        <w:trPr>
          <w:trHeight w:val="311" w:hRule="atLeast"/>
        </w:trPr>
        <w:tc>
          <w:tcPr>
            <w:tcW w:w="2417" w:type="dxa"/>
          </w:tcPr>
          <w:p>
            <w:pPr>
              <w:pStyle w:val="TableParagraph"/>
              <w:ind w:left="155"/>
              <w:rPr>
                <w:sz w:val="21"/>
              </w:rPr>
            </w:pPr>
            <w:r>
              <w:rPr>
                <w:sz w:val="21"/>
              </w:rPr>
              <w:t>1.2 合同成立及生效</w:t>
            </w:r>
          </w:p>
        </w:tc>
        <w:tc>
          <w:tcPr>
            <w:tcW w:w="3198" w:type="dxa"/>
          </w:tcPr>
          <w:p>
            <w:pPr>
              <w:pStyle w:val="TableParagraph"/>
              <w:ind w:left="258"/>
              <w:rPr>
                <w:sz w:val="21"/>
              </w:rPr>
            </w:pPr>
            <w:r>
              <w:rPr>
                <w:sz w:val="21"/>
              </w:rPr>
              <w:t>4.2 宽限期</w:t>
            </w:r>
          </w:p>
        </w:tc>
        <w:tc>
          <w:tcPr>
            <w:tcW w:w="632" w:type="dxa"/>
          </w:tcPr>
          <w:p>
            <w:pPr>
              <w:pStyle w:val="TableParagraph"/>
              <w:rPr>
                <w:sz w:val="21"/>
              </w:rPr>
            </w:pPr>
            <w:r>
              <w:rPr>
                <w:sz w:val="21"/>
              </w:rPr>
              <w:t>7.9</w:t>
            </w:r>
          </w:p>
        </w:tc>
        <w:tc>
          <w:tcPr>
            <w:tcW w:w="3075" w:type="dxa"/>
          </w:tcPr>
          <w:p>
            <w:pPr>
              <w:pStyle w:val="TableParagraph"/>
              <w:ind w:left="-1"/>
              <w:rPr>
                <w:sz w:val="21"/>
              </w:rPr>
            </w:pPr>
            <w:r>
              <w:rPr>
                <w:sz w:val="21"/>
              </w:rPr>
              <w:t>毒品</w:t>
            </w:r>
          </w:p>
        </w:tc>
      </w:tr>
      <w:tr>
        <w:trPr>
          <w:trHeight w:val="311" w:hRule="atLeast"/>
        </w:trPr>
        <w:tc>
          <w:tcPr>
            <w:tcW w:w="2417" w:type="dxa"/>
          </w:tcPr>
          <w:p>
            <w:pPr>
              <w:pStyle w:val="TableParagraph"/>
              <w:ind w:left="155"/>
              <w:rPr>
                <w:sz w:val="21"/>
              </w:rPr>
            </w:pPr>
            <w:r>
              <w:rPr>
                <w:sz w:val="21"/>
              </w:rPr>
              <w:t>1.3 投保年龄</w:t>
            </w:r>
          </w:p>
        </w:tc>
        <w:tc>
          <w:tcPr>
            <w:tcW w:w="3198" w:type="dxa"/>
          </w:tcPr>
          <w:p>
            <w:pPr>
              <w:pStyle w:val="TableParagraph"/>
              <w:ind w:left="153"/>
              <w:rPr>
                <w:b/>
                <w:sz w:val="21"/>
              </w:rPr>
            </w:pPr>
            <w:r>
              <w:rPr>
                <w:b/>
                <w:sz w:val="21"/>
              </w:rPr>
              <w:t>5. 现金价值权益</w:t>
            </w:r>
          </w:p>
        </w:tc>
        <w:tc>
          <w:tcPr>
            <w:tcW w:w="632" w:type="dxa"/>
          </w:tcPr>
          <w:p>
            <w:pPr>
              <w:pStyle w:val="TableParagraph"/>
              <w:rPr>
                <w:sz w:val="21"/>
              </w:rPr>
            </w:pPr>
            <w:r>
              <w:rPr>
                <w:sz w:val="21"/>
              </w:rPr>
              <w:t>7.10</w:t>
            </w:r>
          </w:p>
        </w:tc>
        <w:tc>
          <w:tcPr>
            <w:tcW w:w="3075" w:type="dxa"/>
          </w:tcPr>
          <w:p>
            <w:pPr>
              <w:pStyle w:val="TableParagraph"/>
              <w:ind w:left="103"/>
              <w:rPr>
                <w:sz w:val="21"/>
              </w:rPr>
            </w:pPr>
            <w:r>
              <w:rPr>
                <w:sz w:val="21"/>
              </w:rPr>
              <w:t>酒后驾驶</w:t>
            </w:r>
          </w:p>
        </w:tc>
      </w:tr>
      <w:tr>
        <w:trPr>
          <w:trHeight w:val="311" w:hRule="atLeast"/>
        </w:trPr>
        <w:tc>
          <w:tcPr>
            <w:tcW w:w="2417" w:type="dxa"/>
          </w:tcPr>
          <w:p>
            <w:pPr>
              <w:pStyle w:val="TableParagraph"/>
              <w:ind w:left="155"/>
              <w:rPr>
                <w:sz w:val="21"/>
              </w:rPr>
            </w:pPr>
            <w:r>
              <w:rPr>
                <w:sz w:val="21"/>
              </w:rPr>
              <w:t>1.4 犹豫期</w:t>
            </w:r>
          </w:p>
        </w:tc>
        <w:tc>
          <w:tcPr>
            <w:tcW w:w="3198" w:type="dxa"/>
          </w:tcPr>
          <w:p>
            <w:pPr>
              <w:pStyle w:val="TableParagraph"/>
              <w:ind w:left="258"/>
              <w:rPr>
                <w:sz w:val="21"/>
              </w:rPr>
            </w:pPr>
            <w:r>
              <w:rPr>
                <w:sz w:val="21"/>
              </w:rPr>
              <w:t>5.1 现金价值</w:t>
            </w:r>
          </w:p>
        </w:tc>
        <w:tc>
          <w:tcPr>
            <w:tcW w:w="632" w:type="dxa"/>
          </w:tcPr>
          <w:p>
            <w:pPr>
              <w:pStyle w:val="TableParagraph"/>
              <w:rPr>
                <w:sz w:val="21"/>
              </w:rPr>
            </w:pPr>
            <w:r>
              <w:rPr>
                <w:sz w:val="21"/>
              </w:rPr>
              <w:t>7.11</w:t>
            </w:r>
          </w:p>
        </w:tc>
        <w:tc>
          <w:tcPr>
            <w:tcW w:w="3075" w:type="dxa"/>
          </w:tcPr>
          <w:p>
            <w:pPr>
              <w:pStyle w:val="TableParagraph"/>
              <w:ind w:left="103"/>
              <w:rPr>
                <w:sz w:val="21"/>
              </w:rPr>
            </w:pPr>
            <w:r>
              <w:rPr>
                <w:sz w:val="21"/>
              </w:rPr>
              <w:t>无合法有效驾驶证驾驶</w:t>
            </w:r>
          </w:p>
        </w:tc>
      </w:tr>
      <w:tr>
        <w:trPr>
          <w:trHeight w:val="311" w:hRule="atLeast"/>
        </w:trPr>
        <w:tc>
          <w:tcPr>
            <w:tcW w:w="2417" w:type="dxa"/>
          </w:tcPr>
          <w:p>
            <w:pPr>
              <w:pStyle w:val="TableParagraph"/>
              <w:ind w:left="50"/>
              <w:rPr>
                <w:b/>
                <w:sz w:val="21"/>
              </w:rPr>
            </w:pPr>
            <w:r>
              <w:rPr>
                <w:b/>
                <w:sz w:val="21"/>
              </w:rPr>
              <w:t>2. 我们提供的保障</w:t>
            </w:r>
          </w:p>
        </w:tc>
        <w:tc>
          <w:tcPr>
            <w:tcW w:w="3198" w:type="dxa"/>
          </w:tcPr>
          <w:p>
            <w:pPr>
              <w:pStyle w:val="TableParagraph"/>
              <w:ind w:left="258"/>
              <w:rPr>
                <w:sz w:val="21"/>
              </w:rPr>
            </w:pPr>
            <w:r>
              <w:rPr>
                <w:sz w:val="21"/>
              </w:rPr>
              <w:t>5.2 减少基本保险金额</w:t>
            </w:r>
          </w:p>
        </w:tc>
        <w:tc>
          <w:tcPr>
            <w:tcW w:w="632" w:type="dxa"/>
          </w:tcPr>
          <w:p>
            <w:pPr>
              <w:pStyle w:val="TableParagraph"/>
              <w:rPr>
                <w:sz w:val="21"/>
              </w:rPr>
            </w:pPr>
            <w:r>
              <w:rPr>
                <w:sz w:val="21"/>
              </w:rPr>
              <w:t>7.12</w:t>
            </w:r>
          </w:p>
        </w:tc>
        <w:tc>
          <w:tcPr>
            <w:tcW w:w="3075" w:type="dxa"/>
          </w:tcPr>
          <w:p>
            <w:pPr>
              <w:pStyle w:val="TableParagraph"/>
              <w:ind w:left="103"/>
              <w:rPr>
                <w:sz w:val="21"/>
              </w:rPr>
            </w:pPr>
            <w:r>
              <w:rPr>
                <w:sz w:val="21"/>
              </w:rPr>
              <w:t>无有效行驶证</w:t>
            </w:r>
          </w:p>
        </w:tc>
      </w:tr>
      <w:tr>
        <w:trPr>
          <w:trHeight w:val="311" w:hRule="atLeast"/>
        </w:trPr>
        <w:tc>
          <w:tcPr>
            <w:tcW w:w="2417" w:type="dxa"/>
          </w:tcPr>
          <w:p>
            <w:pPr>
              <w:pStyle w:val="TableParagraph"/>
              <w:ind w:left="155"/>
              <w:rPr>
                <w:sz w:val="21"/>
              </w:rPr>
            </w:pPr>
            <w:r>
              <w:rPr>
                <w:sz w:val="21"/>
              </w:rPr>
              <w:t>2.1 基本保险金额</w:t>
            </w:r>
          </w:p>
        </w:tc>
        <w:tc>
          <w:tcPr>
            <w:tcW w:w="3198" w:type="dxa"/>
          </w:tcPr>
          <w:p>
            <w:pPr>
              <w:pStyle w:val="TableParagraph"/>
              <w:ind w:left="153"/>
              <w:rPr>
                <w:b/>
                <w:sz w:val="21"/>
              </w:rPr>
            </w:pPr>
            <w:r>
              <w:rPr>
                <w:b/>
                <w:sz w:val="21"/>
              </w:rPr>
              <w:t>6. 合同解除</w:t>
            </w:r>
          </w:p>
        </w:tc>
        <w:tc>
          <w:tcPr>
            <w:tcW w:w="632" w:type="dxa"/>
          </w:tcPr>
          <w:p>
            <w:pPr>
              <w:pStyle w:val="TableParagraph"/>
              <w:rPr>
                <w:sz w:val="21"/>
              </w:rPr>
            </w:pPr>
            <w:r>
              <w:rPr>
                <w:sz w:val="21"/>
              </w:rPr>
              <w:t>7.13</w:t>
            </w:r>
          </w:p>
        </w:tc>
        <w:tc>
          <w:tcPr>
            <w:tcW w:w="3075" w:type="dxa"/>
          </w:tcPr>
          <w:p>
            <w:pPr>
              <w:pStyle w:val="TableParagraph"/>
              <w:ind w:left="103"/>
              <w:rPr>
                <w:sz w:val="21"/>
              </w:rPr>
            </w:pPr>
            <w:r>
              <w:rPr>
                <w:sz w:val="21"/>
              </w:rPr>
              <w:t>机动车</w:t>
            </w:r>
          </w:p>
        </w:tc>
      </w:tr>
      <w:tr>
        <w:trPr>
          <w:trHeight w:val="311" w:hRule="atLeast"/>
        </w:trPr>
        <w:tc>
          <w:tcPr>
            <w:tcW w:w="2417" w:type="dxa"/>
          </w:tcPr>
          <w:p>
            <w:pPr>
              <w:pStyle w:val="TableParagraph"/>
              <w:ind w:left="155"/>
              <w:rPr>
                <w:sz w:val="21"/>
              </w:rPr>
            </w:pPr>
            <w:r>
              <w:rPr>
                <w:sz w:val="21"/>
              </w:rPr>
              <w:t>2.2 保险期间</w:t>
            </w:r>
          </w:p>
        </w:tc>
        <w:tc>
          <w:tcPr>
            <w:tcW w:w="3198" w:type="dxa"/>
          </w:tcPr>
          <w:p>
            <w:pPr>
              <w:pStyle w:val="TableParagraph"/>
              <w:ind w:left="258"/>
              <w:rPr>
                <w:sz w:val="21"/>
              </w:rPr>
            </w:pPr>
            <w:r>
              <w:rPr>
                <w:sz w:val="21"/>
              </w:rPr>
              <w:t>6.1 您解除合同的手续及风险</w:t>
            </w:r>
          </w:p>
        </w:tc>
        <w:tc>
          <w:tcPr>
            <w:tcW w:w="632" w:type="dxa"/>
          </w:tcPr>
          <w:p>
            <w:pPr>
              <w:pStyle w:val="TableParagraph"/>
              <w:rPr>
                <w:sz w:val="21"/>
              </w:rPr>
            </w:pPr>
            <w:r>
              <w:rPr>
                <w:sz w:val="21"/>
              </w:rPr>
              <w:t>7.14</w:t>
            </w:r>
          </w:p>
        </w:tc>
        <w:tc>
          <w:tcPr>
            <w:tcW w:w="3075" w:type="dxa"/>
          </w:tcPr>
          <w:p>
            <w:pPr>
              <w:pStyle w:val="TableParagraph"/>
              <w:ind w:left="103"/>
              <w:rPr>
                <w:sz w:val="21"/>
              </w:rPr>
            </w:pPr>
            <w:r>
              <w:rPr>
                <w:sz w:val="21"/>
              </w:rPr>
              <w:t>感染艾滋病病毒或患艾滋病</w:t>
            </w:r>
          </w:p>
        </w:tc>
      </w:tr>
      <w:tr>
        <w:trPr>
          <w:trHeight w:val="311" w:hRule="atLeast"/>
        </w:trPr>
        <w:tc>
          <w:tcPr>
            <w:tcW w:w="2417" w:type="dxa"/>
          </w:tcPr>
          <w:p>
            <w:pPr>
              <w:pStyle w:val="TableParagraph"/>
              <w:ind w:left="155"/>
              <w:rPr>
                <w:sz w:val="21"/>
              </w:rPr>
            </w:pPr>
            <w:r>
              <w:rPr>
                <w:sz w:val="21"/>
              </w:rPr>
              <w:t>2.3 保险责任</w:t>
            </w:r>
          </w:p>
        </w:tc>
        <w:tc>
          <w:tcPr>
            <w:tcW w:w="3198" w:type="dxa"/>
          </w:tcPr>
          <w:p>
            <w:pPr>
              <w:pStyle w:val="TableParagraph"/>
              <w:ind w:left="153"/>
              <w:rPr>
                <w:b/>
                <w:sz w:val="21"/>
              </w:rPr>
            </w:pPr>
            <w:r>
              <w:rPr>
                <w:b/>
                <w:sz w:val="21"/>
              </w:rPr>
              <w:t>7. 释义</w:t>
            </w:r>
          </w:p>
        </w:tc>
        <w:tc>
          <w:tcPr>
            <w:tcW w:w="632" w:type="dxa"/>
          </w:tcPr>
          <w:p>
            <w:pPr>
              <w:pStyle w:val="TableParagraph"/>
              <w:rPr>
                <w:sz w:val="21"/>
              </w:rPr>
            </w:pPr>
            <w:r>
              <w:rPr>
                <w:sz w:val="21"/>
              </w:rPr>
              <w:t>7.15</w:t>
            </w:r>
          </w:p>
        </w:tc>
        <w:tc>
          <w:tcPr>
            <w:tcW w:w="3075" w:type="dxa"/>
          </w:tcPr>
          <w:p>
            <w:pPr>
              <w:pStyle w:val="TableParagraph"/>
              <w:ind w:left="103"/>
              <w:rPr>
                <w:sz w:val="21"/>
              </w:rPr>
            </w:pPr>
            <w:r>
              <w:rPr>
                <w:sz w:val="21"/>
              </w:rPr>
              <w:t>遗传性疾病</w:t>
            </w:r>
          </w:p>
        </w:tc>
      </w:tr>
      <w:tr>
        <w:trPr>
          <w:trHeight w:val="311" w:hRule="atLeast"/>
        </w:trPr>
        <w:tc>
          <w:tcPr>
            <w:tcW w:w="2417" w:type="dxa"/>
          </w:tcPr>
          <w:p>
            <w:pPr>
              <w:pStyle w:val="TableParagraph"/>
              <w:ind w:left="155"/>
              <w:rPr>
                <w:sz w:val="21"/>
              </w:rPr>
            </w:pPr>
            <w:r>
              <w:rPr>
                <w:sz w:val="21"/>
              </w:rPr>
              <w:t>2.4 责任免除</w:t>
            </w:r>
          </w:p>
        </w:tc>
        <w:tc>
          <w:tcPr>
            <w:tcW w:w="3198" w:type="dxa"/>
          </w:tcPr>
          <w:p>
            <w:pPr>
              <w:pStyle w:val="TableParagraph"/>
              <w:ind w:left="258"/>
              <w:rPr>
                <w:sz w:val="21"/>
              </w:rPr>
            </w:pPr>
            <w:r>
              <w:rPr>
                <w:sz w:val="21"/>
              </w:rPr>
              <w:t>7.1 周岁</w:t>
            </w:r>
          </w:p>
        </w:tc>
        <w:tc>
          <w:tcPr>
            <w:tcW w:w="632" w:type="dxa"/>
          </w:tcPr>
          <w:p>
            <w:pPr>
              <w:pStyle w:val="TableParagraph"/>
              <w:rPr>
                <w:sz w:val="21"/>
              </w:rPr>
            </w:pPr>
            <w:r>
              <w:rPr>
                <w:sz w:val="21"/>
              </w:rPr>
              <w:t>7.16</w:t>
            </w:r>
          </w:p>
        </w:tc>
        <w:tc>
          <w:tcPr>
            <w:tcW w:w="3075" w:type="dxa"/>
          </w:tcPr>
          <w:p>
            <w:pPr>
              <w:pStyle w:val="TableParagraph"/>
              <w:ind w:left="103"/>
              <w:rPr>
                <w:sz w:val="21"/>
              </w:rPr>
            </w:pPr>
            <w:r>
              <w:rPr>
                <w:sz w:val="21"/>
              </w:rPr>
              <w:t>先天性畸形、变形或染色体异常</w:t>
            </w:r>
          </w:p>
        </w:tc>
      </w:tr>
      <w:tr>
        <w:trPr>
          <w:trHeight w:val="311" w:hRule="atLeast"/>
        </w:trPr>
        <w:tc>
          <w:tcPr>
            <w:tcW w:w="2417" w:type="dxa"/>
          </w:tcPr>
          <w:p>
            <w:pPr>
              <w:pStyle w:val="TableParagraph"/>
              <w:ind w:left="50"/>
              <w:rPr>
                <w:b/>
                <w:sz w:val="21"/>
              </w:rPr>
            </w:pPr>
            <w:r>
              <w:rPr>
                <w:b/>
                <w:sz w:val="21"/>
              </w:rPr>
              <w:t>3. 保险金的申请</w:t>
            </w:r>
          </w:p>
        </w:tc>
        <w:tc>
          <w:tcPr>
            <w:tcW w:w="3198" w:type="dxa"/>
          </w:tcPr>
          <w:p>
            <w:pPr>
              <w:pStyle w:val="TableParagraph"/>
              <w:ind w:left="258"/>
              <w:rPr>
                <w:sz w:val="21"/>
              </w:rPr>
            </w:pPr>
            <w:r>
              <w:rPr>
                <w:sz w:val="21"/>
              </w:rPr>
              <w:t>7.2 有效身份证件</w:t>
            </w:r>
          </w:p>
        </w:tc>
        <w:tc>
          <w:tcPr>
            <w:tcW w:w="632" w:type="dxa"/>
          </w:tcPr>
          <w:p>
            <w:pPr>
              <w:pStyle w:val="TableParagraph"/>
              <w:rPr>
                <w:sz w:val="21"/>
              </w:rPr>
            </w:pPr>
            <w:r>
              <w:rPr>
                <w:sz w:val="21"/>
              </w:rPr>
              <w:t>7.17</w:t>
            </w:r>
          </w:p>
        </w:tc>
        <w:tc>
          <w:tcPr>
            <w:tcW w:w="3075" w:type="dxa"/>
          </w:tcPr>
          <w:p>
            <w:pPr>
              <w:pStyle w:val="TableParagraph"/>
              <w:ind w:left="103"/>
              <w:rPr>
                <w:sz w:val="21"/>
              </w:rPr>
            </w:pPr>
            <w:r>
              <w:rPr>
                <w:sz w:val="21"/>
              </w:rPr>
              <w:t>永久不可逆</w:t>
            </w:r>
          </w:p>
        </w:tc>
      </w:tr>
      <w:tr>
        <w:trPr>
          <w:trHeight w:val="311" w:hRule="atLeast"/>
        </w:trPr>
        <w:tc>
          <w:tcPr>
            <w:tcW w:w="2417" w:type="dxa"/>
          </w:tcPr>
          <w:p>
            <w:pPr>
              <w:pStyle w:val="TableParagraph"/>
              <w:ind w:left="155"/>
              <w:rPr>
                <w:sz w:val="21"/>
              </w:rPr>
            </w:pPr>
            <w:r>
              <w:rPr>
                <w:sz w:val="21"/>
              </w:rPr>
              <w:t>3.1 受益人</w:t>
            </w:r>
          </w:p>
        </w:tc>
        <w:tc>
          <w:tcPr>
            <w:tcW w:w="3198" w:type="dxa"/>
          </w:tcPr>
          <w:p>
            <w:pPr>
              <w:pStyle w:val="TableParagraph"/>
              <w:ind w:left="258"/>
              <w:rPr>
                <w:sz w:val="21"/>
              </w:rPr>
            </w:pPr>
            <w:r>
              <w:rPr>
                <w:sz w:val="21"/>
              </w:rPr>
              <w:t>7.3 轻型重疾</w:t>
            </w:r>
          </w:p>
        </w:tc>
        <w:tc>
          <w:tcPr>
            <w:tcW w:w="632" w:type="dxa"/>
          </w:tcPr>
          <w:p>
            <w:pPr>
              <w:pStyle w:val="TableParagraph"/>
              <w:rPr>
                <w:sz w:val="21"/>
              </w:rPr>
            </w:pPr>
            <w:r>
              <w:rPr>
                <w:sz w:val="21"/>
              </w:rPr>
              <w:t>7.18</w:t>
            </w:r>
          </w:p>
        </w:tc>
        <w:tc>
          <w:tcPr>
            <w:tcW w:w="3075" w:type="dxa"/>
          </w:tcPr>
          <w:p>
            <w:pPr>
              <w:pStyle w:val="TableParagraph"/>
              <w:ind w:left="52"/>
              <w:rPr>
                <w:sz w:val="21"/>
              </w:rPr>
            </w:pPr>
            <w:r>
              <w:rPr>
                <w:sz w:val="21"/>
              </w:rPr>
              <w:t>肢体机能完全丧失</w:t>
            </w:r>
          </w:p>
        </w:tc>
      </w:tr>
      <w:tr>
        <w:trPr>
          <w:trHeight w:val="311" w:hRule="atLeast"/>
        </w:trPr>
        <w:tc>
          <w:tcPr>
            <w:tcW w:w="2417" w:type="dxa"/>
          </w:tcPr>
          <w:p>
            <w:pPr>
              <w:pStyle w:val="TableParagraph"/>
              <w:ind w:left="155"/>
              <w:rPr>
                <w:sz w:val="21"/>
              </w:rPr>
            </w:pPr>
            <w:r>
              <w:rPr>
                <w:sz w:val="21"/>
              </w:rPr>
              <w:t>3.2 保险金申请</w:t>
            </w:r>
          </w:p>
        </w:tc>
        <w:tc>
          <w:tcPr>
            <w:tcW w:w="3198" w:type="dxa"/>
          </w:tcPr>
          <w:p>
            <w:pPr>
              <w:pStyle w:val="TableParagraph"/>
              <w:ind w:left="258"/>
              <w:rPr>
                <w:sz w:val="21"/>
              </w:rPr>
            </w:pPr>
            <w:r>
              <w:rPr>
                <w:sz w:val="21"/>
              </w:rPr>
              <w:t>7.4 特定重大疾病</w:t>
            </w:r>
          </w:p>
        </w:tc>
        <w:tc>
          <w:tcPr>
            <w:tcW w:w="632" w:type="dxa"/>
          </w:tcPr>
          <w:p>
            <w:pPr>
              <w:pStyle w:val="TableParagraph"/>
              <w:rPr>
                <w:sz w:val="21"/>
              </w:rPr>
            </w:pPr>
            <w:r>
              <w:rPr>
                <w:sz w:val="21"/>
              </w:rPr>
              <w:t>7.19</w:t>
            </w:r>
          </w:p>
        </w:tc>
        <w:tc>
          <w:tcPr>
            <w:tcW w:w="3075" w:type="dxa"/>
          </w:tcPr>
          <w:p>
            <w:pPr>
              <w:pStyle w:val="TableParagraph"/>
              <w:ind w:left="103"/>
              <w:rPr>
                <w:sz w:val="21"/>
              </w:rPr>
            </w:pPr>
            <w:r>
              <w:rPr>
                <w:sz w:val="21"/>
              </w:rPr>
              <w:t>语言能力或咀嚼吞咽能力完全</w:t>
            </w:r>
          </w:p>
        </w:tc>
      </w:tr>
      <w:tr>
        <w:trPr>
          <w:trHeight w:val="311" w:hRule="atLeast"/>
        </w:trPr>
        <w:tc>
          <w:tcPr>
            <w:tcW w:w="2417" w:type="dxa"/>
          </w:tcPr>
          <w:p>
            <w:pPr>
              <w:pStyle w:val="TableParagraph"/>
              <w:ind w:left="155"/>
              <w:rPr>
                <w:sz w:val="21"/>
              </w:rPr>
            </w:pPr>
            <w:r>
              <w:rPr>
                <w:sz w:val="21"/>
              </w:rPr>
              <w:t>3.3 保险金给付</w:t>
            </w:r>
          </w:p>
        </w:tc>
        <w:tc>
          <w:tcPr>
            <w:tcW w:w="3198" w:type="dxa"/>
          </w:tcPr>
          <w:p>
            <w:pPr>
              <w:pStyle w:val="TableParagraph"/>
              <w:ind w:left="258"/>
              <w:rPr>
                <w:sz w:val="21"/>
              </w:rPr>
            </w:pPr>
            <w:r>
              <w:rPr>
                <w:sz w:val="21"/>
              </w:rPr>
              <w:t>7.5 重大疾病</w:t>
            </w:r>
          </w:p>
        </w:tc>
        <w:tc>
          <w:tcPr>
            <w:tcW w:w="632" w:type="dxa"/>
          </w:tcPr>
          <w:p>
            <w:pPr>
              <w:pStyle w:val="TableParagraph"/>
              <w:spacing w:line="240" w:lineRule="auto"/>
              <w:ind w:left="0"/>
              <w:rPr>
                <w:rFonts w:ascii="Times New Roman"/>
                <w:sz w:val="20"/>
              </w:rPr>
            </w:pPr>
          </w:p>
        </w:tc>
        <w:tc>
          <w:tcPr>
            <w:tcW w:w="3075" w:type="dxa"/>
          </w:tcPr>
          <w:p>
            <w:pPr>
              <w:pStyle w:val="TableParagraph"/>
              <w:ind w:left="103"/>
              <w:rPr>
                <w:sz w:val="21"/>
              </w:rPr>
            </w:pPr>
            <w:r>
              <w:rPr>
                <w:sz w:val="21"/>
              </w:rPr>
              <w:t>丧失</w:t>
            </w:r>
          </w:p>
        </w:tc>
      </w:tr>
      <w:tr>
        <w:trPr>
          <w:trHeight w:val="261" w:hRule="atLeast"/>
        </w:trPr>
        <w:tc>
          <w:tcPr>
            <w:tcW w:w="2417" w:type="dxa"/>
          </w:tcPr>
          <w:p>
            <w:pPr>
              <w:pStyle w:val="TableParagraph"/>
              <w:spacing w:line="241" w:lineRule="exact"/>
              <w:ind w:left="155"/>
              <w:rPr>
                <w:sz w:val="21"/>
              </w:rPr>
            </w:pPr>
            <w:r>
              <w:rPr>
                <w:sz w:val="21"/>
              </w:rPr>
              <w:t>3.4 诉讼时效</w:t>
            </w:r>
          </w:p>
        </w:tc>
        <w:tc>
          <w:tcPr>
            <w:tcW w:w="3198" w:type="dxa"/>
          </w:tcPr>
          <w:p>
            <w:pPr>
              <w:pStyle w:val="TableParagraph"/>
              <w:spacing w:line="241" w:lineRule="exact"/>
              <w:ind w:left="258"/>
              <w:rPr>
                <w:sz w:val="21"/>
              </w:rPr>
            </w:pPr>
            <w:r>
              <w:rPr>
                <w:sz w:val="21"/>
              </w:rPr>
              <w:t>7.6 意外伤害事故</w:t>
            </w:r>
          </w:p>
        </w:tc>
        <w:tc>
          <w:tcPr>
            <w:tcW w:w="632" w:type="dxa"/>
          </w:tcPr>
          <w:p>
            <w:pPr>
              <w:pStyle w:val="TableParagraph"/>
              <w:spacing w:line="241" w:lineRule="exact"/>
              <w:rPr>
                <w:sz w:val="21"/>
              </w:rPr>
            </w:pPr>
            <w:r>
              <w:rPr>
                <w:sz w:val="21"/>
              </w:rPr>
              <w:t>7.20</w:t>
            </w:r>
          </w:p>
        </w:tc>
        <w:tc>
          <w:tcPr>
            <w:tcW w:w="3075" w:type="dxa"/>
          </w:tcPr>
          <w:p>
            <w:pPr>
              <w:pStyle w:val="TableParagraph"/>
              <w:spacing w:line="241" w:lineRule="exact"/>
              <w:ind w:left="103"/>
              <w:rPr>
                <w:sz w:val="21"/>
              </w:rPr>
            </w:pPr>
            <w:r>
              <w:rPr>
                <w:sz w:val="21"/>
              </w:rPr>
              <w:t>六项基本日常生活活动</w:t>
            </w:r>
          </w:p>
        </w:tc>
      </w:tr>
    </w:tbl>
    <w:p>
      <w:pPr>
        <w:spacing w:after="0" w:line="241" w:lineRule="exact"/>
        <w:rPr>
          <w:sz w:val="21"/>
        </w:rPr>
        <w:sectPr>
          <w:footerReference w:type="default" r:id="rId5"/>
          <w:type w:val="continuous"/>
          <w:pgSz w:w="11910" w:h="16840"/>
          <w:pgMar w:footer="1008" w:top="1600" w:bottom="1200" w:left="880" w:right="740"/>
          <w:pgNumType w:start="1"/>
        </w:sectPr>
      </w:pPr>
    </w:p>
    <w:p>
      <w:pPr>
        <w:pStyle w:val="Heading1"/>
        <w:spacing w:line="478" w:lineRule="exact"/>
        <w:ind w:left="3017"/>
      </w:pPr>
      <w:r>
        <w:rPr/>
        <w:t>华泰人寿保险股份有限公司</w:t>
      </w:r>
    </w:p>
    <w:p>
      <w:pPr>
        <w:spacing w:before="71"/>
        <w:ind w:left="2696" w:right="0" w:firstLine="0"/>
        <w:jc w:val="left"/>
        <w:rPr>
          <w:rFonts w:ascii="微软雅黑" w:eastAsia="微软雅黑" w:hint="eastAsia"/>
          <w:b/>
          <w:sz w:val="32"/>
        </w:rPr>
      </w:pPr>
      <w:r>
        <w:rPr>
          <w:rFonts w:ascii="微软雅黑" w:eastAsia="微软雅黑" w:hint="eastAsia"/>
          <w:b/>
          <w:sz w:val="32"/>
        </w:rPr>
        <w:t>附加福康相伴重大疾病保险条款</w:t>
      </w:r>
    </w:p>
    <w:p>
      <w:pPr>
        <w:pStyle w:val="BodyText"/>
        <w:spacing w:before="10"/>
        <w:rPr>
          <w:rFonts w:ascii="微软雅黑"/>
          <w:b/>
          <w:sz w:val="55"/>
        </w:rPr>
      </w:pPr>
    </w:p>
    <w:p>
      <w:pPr>
        <w:pStyle w:val="BodyText"/>
        <w:spacing w:line="273" w:lineRule="auto"/>
        <w:ind w:left="213" w:right="298"/>
        <w:jc w:val="both"/>
      </w:pPr>
      <w:r>
        <w:rPr/>
        <w:t>在本条款中，“您”指投保人，“我们”、“本公司”均指在保险单上签章的华泰人寿保险股份有限公司，“本附加合同”指您与我们之间订立的“附加福康相伴重大疾病保险保险合同”，“被保险人”指本附加合同的被保险人，投保人、被保险人的姓名在保险单上载明。</w:t>
      </w:r>
    </w:p>
    <w:p>
      <w:pPr>
        <w:pStyle w:val="BodyText"/>
        <w:spacing w:before="7"/>
        <w:rPr>
          <w:sz w:val="28"/>
        </w:rPr>
      </w:pPr>
    </w:p>
    <w:p>
      <w:pPr>
        <w:pStyle w:val="Heading2"/>
        <w:numPr>
          <w:ilvl w:val="0"/>
          <w:numId w:val="3"/>
        </w:numPr>
        <w:tabs>
          <w:tab w:pos="1003" w:val="left" w:leader="none"/>
        </w:tabs>
        <w:spacing w:line="240" w:lineRule="auto" w:before="0" w:after="0"/>
        <w:ind w:left="1002" w:right="0" w:hanging="792"/>
        <w:jc w:val="both"/>
      </w:pPr>
      <w:r>
        <w:rPr/>
        <w:t>您与我们订立的合同</w:t>
      </w:r>
    </w:p>
    <w:p>
      <w:pPr>
        <w:pStyle w:val="BodyText"/>
        <w:spacing w:before="7"/>
        <w:rPr>
          <w:b/>
          <w:sz w:val="10"/>
        </w:rPr>
      </w:pPr>
      <w:r>
        <w:rPr/>
        <w:pict>
          <v:line style="position:absolute;mso-position-horizontal-relative:page;mso-position-vertical-relative:paragraph;z-index:1264;mso-wrap-distance-left:0;mso-wrap-distance-right:0" from="51.119999pt,9.141327pt" to="538.799999pt,9.141327pt" stroked="true" strokeweight=".47998pt" strokecolor="#000000">
            <v:stroke dashstyle="solid"/>
            <w10:wrap type="topAndBottom"/>
          </v:line>
        </w:pict>
      </w:r>
    </w:p>
    <w:p>
      <w:pPr>
        <w:pStyle w:val="ListParagraph"/>
        <w:numPr>
          <w:ilvl w:val="1"/>
          <w:numId w:val="3"/>
        </w:numPr>
        <w:tabs>
          <w:tab w:pos="1003" w:val="left" w:leader="none"/>
        </w:tabs>
        <w:spacing w:line="271" w:lineRule="auto" w:before="83" w:after="0"/>
        <w:ind w:left="2533" w:right="288" w:hanging="2323"/>
        <w:jc w:val="both"/>
        <w:rPr>
          <w:sz w:val="21"/>
        </w:rPr>
      </w:pPr>
      <w:r>
        <w:rPr>
          <w:b/>
          <w:spacing w:val="5"/>
          <w:sz w:val="21"/>
        </w:rPr>
        <w:t>合同构成     </w:t>
      </w:r>
      <w:r>
        <w:rPr>
          <w:sz w:val="21"/>
        </w:rPr>
        <w:t>本附加合同包括本保险条款、保险单或其他保险凭证、投保单、与本附加保险合同有关的投保文件、合法有效的声明、批注、批单及其他约定您和我们之间权利义务关系的书面文件。</w:t>
      </w:r>
    </w:p>
    <w:p>
      <w:pPr>
        <w:pStyle w:val="BodyText"/>
        <w:spacing w:line="273" w:lineRule="auto" w:before="165"/>
        <w:ind w:left="2533" w:right="184"/>
      </w:pPr>
      <w:r>
        <w:rPr/>
        <w:t>福康相伴两全保险（分红型</w:t>
      </w:r>
      <w:r>
        <w:rPr>
          <w:spacing w:val="-105"/>
        </w:rPr>
        <w:t>）</w:t>
      </w:r>
      <w:r>
        <w:rPr/>
        <w:t>（</w:t>
      </w:r>
      <w:r>
        <w:rPr>
          <w:spacing w:val="-1"/>
        </w:rPr>
        <w:t>以下简称主合同</w:t>
      </w:r>
      <w:r>
        <w:rPr/>
        <w:t>）的条款也适用于本附加合同，若主合同与本附加合同的条款互有抵触，则以本附加合同为准。</w:t>
      </w:r>
    </w:p>
    <w:p>
      <w:pPr>
        <w:pStyle w:val="BodyText"/>
        <w:spacing w:before="163"/>
        <w:ind w:left="2533"/>
      </w:pPr>
      <w:r>
        <w:rPr/>
        <w:t>阅读指引和条款目录仅供辅助理解使用，不构成保险合同的组成部分。</w:t>
      </w:r>
    </w:p>
    <w:p>
      <w:pPr>
        <w:pStyle w:val="BodyText"/>
        <w:spacing w:before="6"/>
        <w:rPr>
          <w:sz w:val="22"/>
        </w:rPr>
      </w:pPr>
    </w:p>
    <w:p>
      <w:pPr>
        <w:spacing w:after="0"/>
        <w:rPr>
          <w:sz w:val="22"/>
        </w:rPr>
        <w:sectPr>
          <w:pgSz w:w="11910" w:h="16840"/>
          <w:pgMar w:header="0" w:footer="1008" w:top="1240" w:bottom="1200" w:left="920" w:right="1020"/>
        </w:sectPr>
      </w:pPr>
    </w:p>
    <w:p>
      <w:pPr>
        <w:pStyle w:val="Heading3"/>
        <w:numPr>
          <w:ilvl w:val="1"/>
          <w:numId w:val="3"/>
        </w:numPr>
        <w:tabs>
          <w:tab w:pos="1002" w:val="left" w:leader="none"/>
          <w:tab w:pos="1003" w:val="left" w:leader="none"/>
        </w:tabs>
        <w:spacing w:line="273" w:lineRule="auto" w:before="36" w:after="0"/>
        <w:ind w:left="1002" w:right="0" w:hanging="792"/>
        <w:jc w:val="left"/>
      </w:pPr>
      <w:r>
        <w:rPr>
          <w:w w:val="95"/>
        </w:rPr>
        <w:t>合同成立及生</w:t>
      </w:r>
      <w:r>
        <w:rPr/>
        <w:t>效</w:t>
      </w:r>
    </w:p>
    <w:p>
      <w:pPr>
        <w:pStyle w:val="BodyText"/>
        <w:spacing w:before="36"/>
        <w:ind w:left="210"/>
      </w:pPr>
      <w:r>
        <w:rPr/>
        <w:br w:type="column"/>
      </w:r>
      <w:r>
        <w:rPr/>
        <w:t>您向我们提出保险申请，我们同意承保，本附加合同成立。</w:t>
      </w:r>
    </w:p>
    <w:p>
      <w:pPr>
        <w:pStyle w:val="BodyText"/>
        <w:spacing w:before="9"/>
        <w:rPr>
          <w:sz w:val="14"/>
        </w:rPr>
      </w:pPr>
    </w:p>
    <w:p>
      <w:pPr>
        <w:pStyle w:val="BodyText"/>
        <w:spacing w:line="273" w:lineRule="auto" w:before="1"/>
        <w:ind w:left="210" w:right="288"/>
      </w:pPr>
      <w:r>
        <w:rPr/>
        <w:t>本附加合同必须与主合同同时投保，且以主合同的生效日为本附加合同的生效日。</w:t>
      </w:r>
    </w:p>
    <w:p>
      <w:pPr>
        <w:pStyle w:val="BodyText"/>
        <w:spacing w:line="273" w:lineRule="auto" w:before="164"/>
        <w:ind w:left="210" w:right="288"/>
      </w:pPr>
      <w:r>
        <w:rPr/>
        <w:t>本附加合同的生效日期以保险单记载的日期为准。保险单年度、保险费约定交纳日、保险单满期日均以该日期计算。</w:t>
      </w:r>
    </w:p>
    <w:p>
      <w:pPr>
        <w:spacing w:after="0" w:line="273" w:lineRule="auto"/>
        <w:sectPr>
          <w:type w:val="continuous"/>
          <w:pgSz w:w="11910" w:h="16840"/>
          <w:pgMar w:top="1600" w:bottom="1200" w:left="920" w:right="1020"/>
          <w:cols w:num="2" w:equalWidth="0">
            <w:col w:w="2267" w:space="57"/>
            <w:col w:w="7646"/>
          </w:cols>
        </w:sectPr>
      </w:pPr>
    </w:p>
    <w:p>
      <w:pPr>
        <w:pStyle w:val="BodyText"/>
        <w:spacing w:before="2"/>
        <w:rPr>
          <w:sz w:val="20"/>
        </w:rPr>
      </w:pPr>
    </w:p>
    <w:p>
      <w:pPr>
        <w:pStyle w:val="ListParagraph"/>
        <w:numPr>
          <w:ilvl w:val="1"/>
          <w:numId w:val="3"/>
        </w:numPr>
        <w:tabs>
          <w:tab w:pos="1002" w:val="left" w:leader="none"/>
          <w:tab w:pos="1003" w:val="left" w:leader="none"/>
          <w:tab w:pos="2533" w:val="left" w:leader="none"/>
        </w:tabs>
        <w:spacing w:line="240" w:lineRule="auto" w:before="35" w:after="0"/>
        <w:ind w:left="1002" w:right="0" w:hanging="792"/>
        <w:jc w:val="left"/>
        <w:rPr>
          <w:sz w:val="21"/>
        </w:rPr>
      </w:pPr>
      <w:r>
        <w:rPr>
          <w:b/>
          <w:sz w:val="21"/>
        </w:rPr>
        <w:t>投保年龄</w:t>
        <w:tab/>
      </w:r>
      <w:r>
        <w:rPr>
          <w:sz w:val="21"/>
        </w:rPr>
        <w:t>投保年龄以</w:t>
      </w:r>
      <w:r>
        <w:rPr>
          <w:b/>
          <w:sz w:val="21"/>
        </w:rPr>
        <w:t>周岁</w:t>
      </w:r>
      <w:r>
        <w:rPr>
          <w:sz w:val="21"/>
        </w:rPr>
        <w:t>（见</w:t>
      </w:r>
      <w:r>
        <w:rPr>
          <w:spacing w:val="-79"/>
          <w:sz w:val="21"/>
        </w:rPr>
        <w:t> </w:t>
      </w:r>
      <w:r>
        <w:rPr>
          <w:sz w:val="21"/>
        </w:rPr>
        <w:t>7.1）计算，投保本附加合同时被保险人的年龄须为：</w:t>
      </w:r>
    </w:p>
    <w:p>
      <w:pPr>
        <w:pStyle w:val="BodyText"/>
        <w:spacing w:before="10" w:after="1"/>
        <w:rPr>
          <w:sz w:val="15"/>
        </w:rPr>
      </w:pPr>
    </w:p>
    <w:tbl>
      <w:tblPr>
        <w:tblW w:w="0" w:type="auto"/>
        <w:jc w:val="left"/>
        <w:tblInd w:w="2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8"/>
        <w:gridCol w:w="1371"/>
        <w:gridCol w:w="3315"/>
      </w:tblGrid>
      <w:tr>
        <w:trPr>
          <w:trHeight w:val="467" w:hRule="atLeast"/>
        </w:trPr>
        <w:tc>
          <w:tcPr>
            <w:tcW w:w="2638" w:type="dxa"/>
          </w:tcPr>
          <w:p>
            <w:pPr>
              <w:pStyle w:val="TableParagraph"/>
              <w:spacing w:line="260" w:lineRule="exact"/>
              <w:ind w:left="39" w:right="28"/>
              <w:jc w:val="center"/>
              <w:rPr>
                <w:sz w:val="21"/>
              </w:rPr>
            </w:pPr>
            <w:r>
              <w:rPr>
                <w:sz w:val="21"/>
              </w:rPr>
              <w:t>交费期间</w:t>
            </w:r>
          </w:p>
        </w:tc>
        <w:tc>
          <w:tcPr>
            <w:tcW w:w="1371" w:type="dxa"/>
          </w:tcPr>
          <w:p>
            <w:pPr>
              <w:pStyle w:val="TableParagraph"/>
              <w:spacing w:line="260" w:lineRule="exact"/>
              <w:ind w:left="34" w:right="26"/>
              <w:jc w:val="center"/>
              <w:rPr>
                <w:sz w:val="21"/>
              </w:rPr>
            </w:pPr>
            <w:r>
              <w:rPr>
                <w:sz w:val="21"/>
              </w:rPr>
              <w:t>保险期间</w:t>
            </w:r>
          </w:p>
        </w:tc>
        <w:tc>
          <w:tcPr>
            <w:tcW w:w="3315" w:type="dxa"/>
          </w:tcPr>
          <w:p>
            <w:pPr>
              <w:pStyle w:val="TableParagraph"/>
              <w:spacing w:line="260" w:lineRule="exact"/>
              <w:ind w:left="93" w:right="84"/>
              <w:jc w:val="center"/>
              <w:rPr>
                <w:sz w:val="21"/>
              </w:rPr>
            </w:pPr>
            <w:r>
              <w:rPr>
                <w:sz w:val="21"/>
              </w:rPr>
              <w:t>投保年龄</w:t>
            </w:r>
          </w:p>
        </w:tc>
      </w:tr>
      <w:tr>
        <w:trPr>
          <w:trHeight w:val="468" w:hRule="atLeast"/>
        </w:trPr>
        <w:tc>
          <w:tcPr>
            <w:tcW w:w="2638" w:type="dxa"/>
          </w:tcPr>
          <w:p>
            <w:pPr>
              <w:pStyle w:val="TableParagraph"/>
              <w:ind w:left="39" w:right="28"/>
              <w:jc w:val="center"/>
              <w:rPr>
                <w:sz w:val="21"/>
              </w:rPr>
            </w:pPr>
            <w:r>
              <w:rPr>
                <w:sz w:val="21"/>
              </w:rPr>
              <w:t>一次性交清</w:t>
            </w:r>
          </w:p>
        </w:tc>
        <w:tc>
          <w:tcPr>
            <w:tcW w:w="1371" w:type="dxa"/>
          </w:tcPr>
          <w:p>
            <w:pPr>
              <w:pStyle w:val="TableParagraph"/>
              <w:ind w:left="35" w:right="25"/>
              <w:jc w:val="center"/>
              <w:rPr>
                <w:sz w:val="21"/>
              </w:rPr>
            </w:pPr>
            <w:r>
              <w:rPr>
                <w:sz w:val="21"/>
              </w:rPr>
              <w:t>10 年</w:t>
            </w:r>
          </w:p>
        </w:tc>
        <w:tc>
          <w:tcPr>
            <w:tcW w:w="3315" w:type="dxa"/>
          </w:tcPr>
          <w:p>
            <w:pPr>
              <w:pStyle w:val="TableParagraph"/>
              <w:ind w:left="93" w:right="83"/>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54</w:t>
            </w:r>
            <w:r>
              <w:rPr>
                <w:spacing w:val="-18"/>
                <w:sz w:val="21"/>
              </w:rPr>
              <w:t> 周岁</w:t>
            </w:r>
          </w:p>
        </w:tc>
      </w:tr>
      <w:tr>
        <w:trPr>
          <w:trHeight w:val="779" w:hRule="atLeast"/>
        </w:trPr>
        <w:tc>
          <w:tcPr>
            <w:tcW w:w="2638" w:type="dxa"/>
          </w:tcPr>
          <w:p>
            <w:pPr>
              <w:pStyle w:val="TableParagraph"/>
              <w:spacing w:line="260" w:lineRule="exact"/>
              <w:ind w:left="39" w:right="28"/>
              <w:jc w:val="center"/>
              <w:rPr>
                <w:sz w:val="21"/>
              </w:rPr>
            </w:pPr>
            <w:r>
              <w:rPr>
                <w:sz w:val="21"/>
              </w:rPr>
              <w:t>一次性交清、3 年交、5 年</w:t>
            </w:r>
          </w:p>
          <w:p>
            <w:pPr>
              <w:pStyle w:val="TableParagraph"/>
              <w:spacing w:line="240" w:lineRule="auto" w:before="37"/>
              <w:ind w:left="10"/>
              <w:jc w:val="center"/>
              <w:rPr>
                <w:sz w:val="21"/>
              </w:rPr>
            </w:pPr>
            <w:r>
              <w:rPr>
                <w:sz w:val="21"/>
              </w:rPr>
              <w:t>交</w:t>
            </w:r>
          </w:p>
        </w:tc>
        <w:tc>
          <w:tcPr>
            <w:tcW w:w="1371" w:type="dxa"/>
          </w:tcPr>
          <w:p>
            <w:pPr>
              <w:pStyle w:val="TableParagraph"/>
              <w:spacing w:line="240" w:lineRule="auto" w:before="141"/>
              <w:ind w:left="34" w:right="26"/>
              <w:jc w:val="center"/>
              <w:rPr>
                <w:sz w:val="21"/>
              </w:rPr>
            </w:pPr>
            <w:r>
              <w:rPr>
                <w:sz w:val="21"/>
              </w:rPr>
              <w:t>20 年</w:t>
            </w:r>
          </w:p>
        </w:tc>
        <w:tc>
          <w:tcPr>
            <w:tcW w:w="3315" w:type="dxa"/>
          </w:tcPr>
          <w:p>
            <w:pPr>
              <w:pStyle w:val="TableParagraph"/>
              <w:spacing w:line="240" w:lineRule="auto" w:before="141"/>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54</w:t>
            </w:r>
            <w:r>
              <w:rPr>
                <w:spacing w:val="-18"/>
                <w:sz w:val="21"/>
              </w:rPr>
              <w:t> 周岁</w:t>
            </w:r>
          </w:p>
        </w:tc>
      </w:tr>
      <w:tr>
        <w:trPr>
          <w:trHeight w:val="467" w:hRule="atLeast"/>
        </w:trPr>
        <w:tc>
          <w:tcPr>
            <w:tcW w:w="2638" w:type="dxa"/>
          </w:tcPr>
          <w:p>
            <w:pPr>
              <w:pStyle w:val="TableParagraph"/>
              <w:spacing w:line="260" w:lineRule="exact"/>
              <w:ind w:left="39" w:right="28"/>
              <w:jc w:val="center"/>
              <w:rPr>
                <w:sz w:val="21"/>
              </w:rPr>
            </w:pPr>
            <w:r>
              <w:rPr>
                <w:sz w:val="21"/>
              </w:rPr>
              <w:t>10 年交</w:t>
            </w:r>
          </w:p>
        </w:tc>
        <w:tc>
          <w:tcPr>
            <w:tcW w:w="1371" w:type="dxa"/>
          </w:tcPr>
          <w:p>
            <w:pPr>
              <w:pStyle w:val="TableParagraph"/>
              <w:spacing w:line="260" w:lineRule="exact"/>
              <w:ind w:left="34" w:right="26"/>
              <w:jc w:val="center"/>
              <w:rPr>
                <w:sz w:val="21"/>
              </w:rPr>
            </w:pPr>
            <w:r>
              <w:rPr>
                <w:sz w:val="21"/>
              </w:rPr>
              <w:t>20 年</w:t>
            </w:r>
          </w:p>
        </w:tc>
        <w:tc>
          <w:tcPr>
            <w:tcW w:w="3315" w:type="dxa"/>
          </w:tcPr>
          <w:p>
            <w:pPr>
              <w:pStyle w:val="TableParagraph"/>
              <w:spacing w:line="260" w:lineRule="exact"/>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50</w:t>
            </w:r>
            <w:r>
              <w:rPr>
                <w:spacing w:val="-18"/>
                <w:sz w:val="21"/>
              </w:rPr>
              <w:t> 周岁</w:t>
            </w:r>
          </w:p>
        </w:tc>
      </w:tr>
      <w:tr>
        <w:trPr>
          <w:trHeight w:val="780" w:hRule="atLeast"/>
        </w:trPr>
        <w:tc>
          <w:tcPr>
            <w:tcW w:w="2638" w:type="dxa"/>
          </w:tcPr>
          <w:p>
            <w:pPr>
              <w:pStyle w:val="TableParagraph"/>
              <w:ind w:left="39" w:right="28"/>
              <w:jc w:val="center"/>
              <w:rPr>
                <w:sz w:val="21"/>
              </w:rPr>
            </w:pPr>
            <w:r>
              <w:rPr>
                <w:sz w:val="21"/>
              </w:rPr>
              <w:t>一次性交清、3 年交、5 年</w:t>
            </w:r>
          </w:p>
          <w:p>
            <w:pPr>
              <w:pStyle w:val="TableParagraph"/>
              <w:spacing w:line="240" w:lineRule="auto" w:before="37"/>
              <w:ind w:left="39" w:right="28"/>
              <w:jc w:val="center"/>
              <w:rPr>
                <w:sz w:val="21"/>
              </w:rPr>
            </w:pPr>
            <w:r>
              <w:rPr>
                <w:sz w:val="21"/>
              </w:rPr>
              <w:t>交、10 年交、20 年交</w:t>
            </w:r>
          </w:p>
        </w:tc>
        <w:tc>
          <w:tcPr>
            <w:tcW w:w="1371" w:type="dxa"/>
          </w:tcPr>
          <w:p>
            <w:pPr>
              <w:pStyle w:val="TableParagraph"/>
              <w:spacing w:line="240" w:lineRule="auto" w:before="142"/>
              <w:ind w:left="35" w:right="26"/>
              <w:jc w:val="center"/>
              <w:rPr>
                <w:sz w:val="21"/>
              </w:rPr>
            </w:pPr>
            <w:r>
              <w:rPr>
                <w:sz w:val="21"/>
              </w:rPr>
              <w:t>30 年</w:t>
            </w:r>
          </w:p>
        </w:tc>
        <w:tc>
          <w:tcPr>
            <w:tcW w:w="3315" w:type="dxa"/>
          </w:tcPr>
          <w:p>
            <w:pPr>
              <w:pStyle w:val="TableParagraph"/>
              <w:spacing w:line="240" w:lineRule="auto" w:before="142"/>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44</w:t>
            </w:r>
            <w:r>
              <w:rPr>
                <w:spacing w:val="-18"/>
                <w:sz w:val="21"/>
              </w:rPr>
              <w:t> 周岁</w:t>
            </w:r>
          </w:p>
        </w:tc>
      </w:tr>
      <w:tr>
        <w:trPr>
          <w:trHeight w:val="467" w:hRule="atLeast"/>
        </w:trPr>
        <w:tc>
          <w:tcPr>
            <w:tcW w:w="2638" w:type="dxa"/>
          </w:tcPr>
          <w:p>
            <w:pPr>
              <w:pStyle w:val="TableParagraph"/>
              <w:spacing w:line="260" w:lineRule="exact"/>
              <w:ind w:left="39" w:right="28"/>
              <w:jc w:val="center"/>
              <w:rPr>
                <w:sz w:val="21"/>
              </w:rPr>
            </w:pPr>
            <w:r>
              <w:rPr>
                <w:sz w:val="21"/>
              </w:rPr>
              <w:t>一次性交清、3 年交</w:t>
            </w:r>
          </w:p>
        </w:tc>
        <w:tc>
          <w:tcPr>
            <w:tcW w:w="1371" w:type="dxa"/>
          </w:tcPr>
          <w:p>
            <w:pPr>
              <w:pStyle w:val="TableParagraph"/>
              <w:spacing w:line="260" w:lineRule="exact"/>
              <w:ind w:left="35" w:right="26"/>
              <w:jc w:val="center"/>
              <w:rPr>
                <w:sz w:val="21"/>
              </w:rPr>
            </w:pPr>
            <w:r>
              <w:rPr>
                <w:sz w:val="21"/>
              </w:rPr>
              <w:t>保至 75 周岁</w:t>
            </w:r>
          </w:p>
        </w:tc>
        <w:tc>
          <w:tcPr>
            <w:tcW w:w="3315" w:type="dxa"/>
          </w:tcPr>
          <w:p>
            <w:pPr>
              <w:pStyle w:val="TableParagraph"/>
              <w:spacing w:line="260" w:lineRule="exact"/>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54</w:t>
            </w:r>
            <w:r>
              <w:rPr>
                <w:spacing w:val="-18"/>
                <w:sz w:val="21"/>
              </w:rPr>
              <w:t> 周岁</w:t>
            </w:r>
          </w:p>
        </w:tc>
      </w:tr>
      <w:tr>
        <w:trPr>
          <w:trHeight w:val="467" w:hRule="atLeast"/>
        </w:trPr>
        <w:tc>
          <w:tcPr>
            <w:tcW w:w="2638" w:type="dxa"/>
          </w:tcPr>
          <w:p>
            <w:pPr>
              <w:pStyle w:val="TableParagraph"/>
              <w:spacing w:line="260" w:lineRule="exact"/>
              <w:ind w:left="39" w:right="28"/>
              <w:jc w:val="center"/>
              <w:rPr>
                <w:sz w:val="21"/>
              </w:rPr>
            </w:pPr>
            <w:r>
              <w:rPr>
                <w:sz w:val="21"/>
              </w:rPr>
              <w:t>5 年交</w:t>
            </w:r>
          </w:p>
        </w:tc>
        <w:tc>
          <w:tcPr>
            <w:tcW w:w="1371" w:type="dxa"/>
          </w:tcPr>
          <w:p>
            <w:pPr>
              <w:pStyle w:val="TableParagraph"/>
              <w:spacing w:line="260" w:lineRule="exact"/>
              <w:ind w:left="35" w:right="26"/>
              <w:jc w:val="center"/>
              <w:rPr>
                <w:sz w:val="21"/>
              </w:rPr>
            </w:pPr>
            <w:r>
              <w:rPr>
                <w:sz w:val="21"/>
              </w:rPr>
              <w:t>保至 75 周岁</w:t>
            </w:r>
          </w:p>
        </w:tc>
        <w:tc>
          <w:tcPr>
            <w:tcW w:w="3315" w:type="dxa"/>
          </w:tcPr>
          <w:p>
            <w:pPr>
              <w:pStyle w:val="TableParagraph"/>
              <w:spacing w:line="260" w:lineRule="exact"/>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53</w:t>
            </w:r>
            <w:r>
              <w:rPr>
                <w:spacing w:val="-18"/>
                <w:sz w:val="21"/>
              </w:rPr>
              <w:t> 周岁</w:t>
            </w:r>
          </w:p>
        </w:tc>
      </w:tr>
      <w:tr>
        <w:trPr>
          <w:trHeight w:val="468" w:hRule="atLeast"/>
        </w:trPr>
        <w:tc>
          <w:tcPr>
            <w:tcW w:w="2638" w:type="dxa"/>
          </w:tcPr>
          <w:p>
            <w:pPr>
              <w:pStyle w:val="TableParagraph"/>
              <w:ind w:left="39" w:right="28"/>
              <w:jc w:val="center"/>
              <w:rPr>
                <w:sz w:val="21"/>
              </w:rPr>
            </w:pPr>
            <w:r>
              <w:rPr>
                <w:sz w:val="21"/>
              </w:rPr>
              <w:t>10 年交</w:t>
            </w:r>
          </w:p>
        </w:tc>
        <w:tc>
          <w:tcPr>
            <w:tcW w:w="1371" w:type="dxa"/>
          </w:tcPr>
          <w:p>
            <w:pPr>
              <w:pStyle w:val="TableParagraph"/>
              <w:ind w:left="35" w:right="26"/>
              <w:jc w:val="center"/>
              <w:rPr>
                <w:sz w:val="21"/>
              </w:rPr>
            </w:pPr>
            <w:r>
              <w:rPr>
                <w:sz w:val="21"/>
              </w:rPr>
              <w:t>保至 75 周岁</w:t>
            </w:r>
          </w:p>
        </w:tc>
        <w:tc>
          <w:tcPr>
            <w:tcW w:w="3315" w:type="dxa"/>
          </w:tcPr>
          <w:p>
            <w:pPr>
              <w:pStyle w:val="TableParagraph"/>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50</w:t>
            </w:r>
            <w:r>
              <w:rPr>
                <w:spacing w:val="-18"/>
                <w:sz w:val="21"/>
              </w:rPr>
              <w:t> 周岁</w:t>
            </w:r>
          </w:p>
        </w:tc>
      </w:tr>
      <w:tr>
        <w:trPr>
          <w:trHeight w:val="467" w:hRule="atLeast"/>
        </w:trPr>
        <w:tc>
          <w:tcPr>
            <w:tcW w:w="2638" w:type="dxa"/>
          </w:tcPr>
          <w:p>
            <w:pPr>
              <w:pStyle w:val="TableParagraph"/>
              <w:spacing w:line="260" w:lineRule="exact"/>
              <w:ind w:left="39" w:right="28"/>
              <w:jc w:val="center"/>
              <w:rPr>
                <w:sz w:val="21"/>
              </w:rPr>
            </w:pPr>
            <w:r>
              <w:rPr>
                <w:sz w:val="21"/>
              </w:rPr>
              <w:t>20 年交</w:t>
            </w:r>
          </w:p>
        </w:tc>
        <w:tc>
          <w:tcPr>
            <w:tcW w:w="1371" w:type="dxa"/>
          </w:tcPr>
          <w:p>
            <w:pPr>
              <w:pStyle w:val="TableParagraph"/>
              <w:spacing w:line="260" w:lineRule="exact"/>
              <w:ind w:left="35" w:right="26"/>
              <w:jc w:val="center"/>
              <w:rPr>
                <w:sz w:val="21"/>
              </w:rPr>
            </w:pPr>
            <w:r>
              <w:rPr>
                <w:sz w:val="21"/>
              </w:rPr>
              <w:t>保至 75 周岁</w:t>
            </w:r>
          </w:p>
        </w:tc>
        <w:tc>
          <w:tcPr>
            <w:tcW w:w="3315" w:type="dxa"/>
          </w:tcPr>
          <w:p>
            <w:pPr>
              <w:pStyle w:val="TableParagraph"/>
              <w:spacing w:line="260" w:lineRule="exact"/>
              <w:ind w:left="93" w:right="84"/>
              <w:jc w:val="center"/>
              <w:rPr>
                <w:sz w:val="21"/>
              </w:rPr>
            </w:pPr>
            <w:r>
              <w:rPr>
                <w:sz w:val="21"/>
              </w:rPr>
              <w:t>0</w:t>
            </w:r>
            <w:r>
              <w:rPr>
                <w:spacing w:val="-18"/>
                <w:sz w:val="21"/>
              </w:rPr>
              <w:t> 周岁</w:t>
            </w:r>
            <w:r>
              <w:rPr>
                <w:sz w:val="21"/>
              </w:rPr>
              <w:t>（</w:t>
            </w:r>
            <w:r>
              <w:rPr>
                <w:spacing w:val="-14"/>
                <w:sz w:val="21"/>
              </w:rPr>
              <w:t>出生满 </w:t>
            </w:r>
            <w:r>
              <w:rPr>
                <w:sz w:val="21"/>
              </w:rPr>
              <w:t>30</w:t>
            </w:r>
            <w:r>
              <w:rPr>
                <w:spacing w:val="-27"/>
                <w:sz w:val="21"/>
              </w:rPr>
              <w:t> 天</w:t>
            </w:r>
            <w:r>
              <w:rPr>
                <w:sz w:val="21"/>
              </w:rPr>
              <w:t>）</w:t>
            </w:r>
            <w:r>
              <w:rPr>
                <w:spacing w:val="-28"/>
                <w:sz w:val="21"/>
              </w:rPr>
              <w:t>至 </w:t>
            </w:r>
            <w:r>
              <w:rPr>
                <w:sz w:val="21"/>
              </w:rPr>
              <w:t>44</w:t>
            </w:r>
            <w:r>
              <w:rPr>
                <w:spacing w:val="-18"/>
                <w:sz w:val="21"/>
              </w:rPr>
              <w:t> 周岁</w:t>
            </w:r>
          </w:p>
        </w:tc>
      </w:tr>
    </w:tbl>
    <w:p>
      <w:pPr>
        <w:spacing w:after="0" w:line="260" w:lineRule="exact"/>
        <w:jc w:val="center"/>
        <w:rPr>
          <w:sz w:val="21"/>
        </w:rPr>
        <w:sectPr>
          <w:type w:val="continuous"/>
          <w:pgSz w:w="11910" w:h="16840"/>
          <w:pgMar w:top="1600" w:bottom="1200" w:left="920" w:right="1020"/>
        </w:sectPr>
      </w:pPr>
    </w:p>
    <w:p>
      <w:pPr>
        <w:pStyle w:val="ListParagraph"/>
        <w:numPr>
          <w:ilvl w:val="1"/>
          <w:numId w:val="3"/>
        </w:numPr>
        <w:tabs>
          <w:tab w:pos="1002" w:val="left" w:leader="none"/>
          <w:tab w:pos="1003" w:val="left" w:leader="none"/>
          <w:tab w:pos="2533" w:val="left" w:leader="none"/>
        </w:tabs>
        <w:spacing w:line="273" w:lineRule="auto" w:before="19" w:after="0"/>
        <w:ind w:left="2533" w:right="215" w:hanging="2323"/>
        <w:jc w:val="left"/>
        <w:rPr>
          <w:sz w:val="21"/>
        </w:rPr>
      </w:pPr>
      <w:r>
        <w:rPr>
          <w:b/>
          <w:sz w:val="21"/>
        </w:rPr>
        <w:t>犹豫期</w:t>
        <w:tab/>
      </w:r>
      <w:r>
        <w:rPr>
          <w:sz w:val="21"/>
        </w:rPr>
        <w:t>自您签收本附加合同之日起</w:t>
      </w:r>
      <w:r>
        <w:rPr>
          <w:spacing w:val="-7"/>
          <w:sz w:val="21"/>
        </w:rPr>
        <w:t>，</w:t>
      </w:r>
      <w:r>
        <w:rPr>
          <w:sz w:val="21"/>
        </w:rPr>
        <w:t>有</w:t>
      </w:r>
      <w:r>
        <w:rPr>
          <w:spacing w:val="-55"/>
          <w:sz w:val="21"/>
        </w:rPr>
        <w:t> </w:t>
      </w:r>
      <w:r>
        <w:rPr>
          <w:sz w:val="21"/>
        </w:rPr>
        <w:t>10</w:t>
      </w:r>
      <w:r>
        <w:rPr>
          <w:spacing w:val="-55"/>
          <w:sz w:val="21"/>
        </w:rPr>
        <w:t> </w:t>
      </w:r>
      <w:r>
        <w:rPr>
          <w:spacing w:val="-7"/>
          <w:sz w:val="21"/>
        </w:rPr>
        <w:t>天</w:t>
      </w:r>
      <w:r>
        <w:rPr>
          <w:sz w:val="21"/>
        </w:rPr>
        <w:t>（含</w:t>
      </w:r>
      <w:r>
        <w:rPr>
          <w:spacing w:val="-7"/>
          <w:sz w:val="21"/>
        </w:rPr>
        <w:t>）</w:t>
      </w:r>
      <w:r>
        <w:rPr>
          <w:sz w:val="21"/>
        </w:rPr>
        <w:t>的犹豫期</w:t>
      </w:r>
      <w:r>
        <w:rPr>
          <w:spacing w:val="-7"/>
          <w:sz w:val="21"/>
        </w:rPr>
        <w:t>。</w:t>
      </w:r>
      <w:r>
        <w:rPr>
          <w:sz w:val="21"/>
        </w:rPr>
        <w:t>在此期间</w:t>
      </w:r>
      <w:r>
        <w:rPr>
          <w:spacing w:val="-7"/>
          <w:sz w:val="21"/>
        </w:rPr>
        <w:t>，</w:t>
      </w:r>
      <w:r>
        <w:rPr>
          <w:sz w:val="21"/>
        </w:rPr>
        <w:t>请您认真阅读本附加合同，您可以在此期间提出解除本附加合同，我们将无息退还您所交纳的保险费。</w:t>
      </w:r>
    </w:p>
    <w:p>
      <w:pPr>
        <w:spacing w:line="273" w:lineRule="auto" w:before="163"/>
        <w:ind w:left="2533" w:right="215" w:firstLine="0"/>
        <w:jc w:val="left"/>
        <w:rPr>
          <w:b/>
          <w:sz w:val="21"/>
        </w:rPr>
      </w:pPr>
      <w:r>
        <w:rPr>
          <w:sz w:val="21"/>
        </w:rPr>
        <w:t>在犹豫期内解除本附加合同时，您需要填写申请书，并提供本附加合同、交费凭证及</w:t>
      </w:r>
      <w:r>
        <w:rPr>
          <w:b/>
          <w:w w:val="99"/>
          <w:sz w:val="21"/>
        </w:rPr>
        <w:t>有效身份证件</w:t>
      </w:r>
      <w:r>
        <w:rPr>
          <w:spacing w:val="-2"/>
          <w:sz w:val="21"/>
        </w:rPr>
        <w:t>（</w:t>
      </w:r>
      <w:r>
        <w:rPr>
          <w:spacing w:val="-27"/>
          <w:sz w:val="21"/>
        </w:rPr>
        <w:t>见 </w:t>
      </w:r>
      <w:r>
        <w:rPr>
          <w:sz w:val="21"/>
        </w:rPr>
        <w:t>7</w:t>
      </w:r>
      <w:r>
        <w:rPr>
          <w:spacing w:val="-1"/>
          <w:sz w:val="21"/>
        </w:rPr>
        <w:t>.</w:t>
      </w:r>
      <w:r>
        <w:rPr>
          <w:sz w:val="21"/>
        </w:rPr>
        <w:t>2</w:t>
      </w:r>
      <w:r>
        <w:rPr>
          <w:spacing w:val="-105"/>
          <w:sz w:val="21"/>
        </w:rPr>
        <w:t>）</w:t>
      </w:r>
      <w:r>
        <w:rPr>
          <w:spacing w:val="-2"/>
          <w:sz w:val="21"/>
        </w:rPr>
        <w:t>。</w:t>
      </w:r>
      <w:r>
        <w:rPr>
          <w:b/>
          <w:w w:val="99"/>
          <w:sz w:val="21"/>
        </w:rPr>
        <w:t>自我们收到您解除合同的书面申请时起，本附</w:t>
      </w:r>
      <w:r>
        <w:rPr>
          <w:b/>
          <w:w w:val="95"/>
          <w:sz w:val="21"/>
        </w:rPr>
        <w:t>加合同即被解除，合同解除前发生的保险事故我们不承担责任。</w:t>
      </w:r>
    </w:p>
    <w:p>
      <w:pPr>
        <w:pStyle w:val="BodyText"/>
        <w:spacing w:before="5"/>
        <w:rPr>
          <w:b/>
          <w:sz w:val="16"/>
        </w:rPr>
      </w:pPr>
    </w:p>
    <w:p>
      <w:pPr>
        <w:pStyle w:val="Heading2"/>
        <w:numPr>
          <w:ilvl w:val="0"/>
          <w:numId w:val="3"/>
        </w:numPr>
        <w:tabs>
          <w:tab w:pos="1002" w:val="left" w:leader="none"/>
          <w:tab w:pos="1003" w:val="left" w:leader="none"/>
        </w:tabs>
        <w:spacing w:line="240" w:lineRule="auto" w:before="0" w:after="0"/>
        <w:ind w:left="1002" w:right="0" w:hanging="792"/>
        <w:jc w:val="left"/>
      </w:pPr>
      <w:r>
        <w:rPr/>
        <w:t>我们提供的保障</w:t>
      </w:r>
    </w:p>
    <w:p>
      <w:pPr>
        <w:pStyle w:val="BodyText"/>
        <w:spacing w:before="9"/>
        <w:rPr>
          <w:b/>
          <w:sz w:val="10"/>
        </w:rPr>
      </w:pPr>
      <w:r>
        <w:rPr/>
        <w:pict>
          <v:line style="position:absolute;mso-position-horizontal-relative:page;mso-position-vertical-relative:paragraph;z-index:1288;mso-wrap-distance-left:0;mso-wrap-distance-right:0" from="51.119999pt,9.227527pt" to="538.799999pt,9.227527pt" stroked="true" strokeweight=".47998pt" strokecolor="#000000">
            <v:stroke dashstyle="solid"/>
            <w10:wrap type="topAndBottom"/>
          </v:line>
        </w:pict>
      </w:r>
    </w:p>
    <w:p>
      <w:pPr>
        <w:pStyle w:val="ListParagraph"/>
        <w:numPr>
          <w:ilvl w:val="1"/>
          <w:numId w:val="3"/>
        </w:numPr>
        <w:tabs>
          <w:tab w:pos="1002" w:val="left" w:leader="none"/>
          <w:tab w:pos="1003" w:val="left" w:leader="none"/>
          <w:tab w:pos="2533" w:val="left" w:leader="none"/>
        </w:tabs>
        <w:spacing w:line="240" w:lineRule="auto" w:before="82" w:after="0"/>
        <w:ind w:left="1002" w:right="0" w:hanging="792"/>
        <w:jc w:val="left"/>
        <w:rPr>
          <w:sz w:val="21"/>
        </w:rPr>
      </w:pPr>
      <w:r>
        <w:rPr>
          <w:b/>
          <w:sz w:val="21"/>
        </w:rPr>
        <w:t>基本保险金额</w:t>
        <w:tab/>
      </w:r>
      <w:r>
        <w:rPr>
          <w:sz w:val="21"/>
        </w:rPr>
        <w:t>本附加合同的基本保险金额为主合同的基本保险金额，并在保险合同上载明。</w:t>
      </w:r>
    </w:p>
    <w:p>
      <w:pPr>
        <w:pStyle w:val="BodyText"/>
        <w:spacing w:before="1"/>
        <w:rPr>
          <w:sz w:val="25"/>
        </w:rPr>
      </w:pPr>
    </w:p>
    <w:p>
      <w:pPr>
        <w:pStyle w:val="ListParagraph"/>
        <w:numPr>
          <w:ilvl w:val="1"/>
          <w:numId w:val="3"/>
        </w:numPr>
        <w:tabs>
          <w:tab w:pos="1002" w:val="left" w:leader="none"/>
          <w:tab w:pos="1003" w:val="left" w:leader="none"/>
          <w:tab w:pos="2533" w:val="left" w:leader="none"/>
        </w:tabs>
        <w:spacing w:line="240" w:lineRule="auto" w:before="0" w:after="0"/>
        <w:ind w:left="1002" w:right="0" w:hanging="792"/>
        <w:jc w:val="left"/>
        <w:rPr>
          <w:sz w:val="21"/>
        </w:rPr>
      </w:pPr>
      <w:r>
        <w:rPr>
          <w:b/>
          <w:sz w:val="21"/>
        </w:rPr>
        <w:t>保险期间</w:t>
        <w:tab/>
      </w:r>
      <w:r>
        <w:rPr>
          <w:sz w:val="21"/>
        </w:rPr>
        <w:t>除合同另有约定外，本附加合同的保险期间与主合同的保险期间相同。</w:t>
      </w:r>
    </w:p>
    <w:p>
      <w:pPr>
        <w:pStyle w:val="BodyText"/>
        <w:spacing w:before="2"/>
        <w:rPr>
          <w:sz w:val="25"/>
        </w:rPr>
      </w:pPr>
    </w:p>
    <w:p>
      <w:pPr>
        <w:pStyle w:val="ListParagraph"/>
        <w:numPr>
          <w:ilvl w:val="1"/>
          <w:numId w:val="3"/>
        </w:numPr>
        <w:tabs>
          <w:tab w:pos="1002" w:val="left" w:leader="none"/>
          <w:tab w:pos="1003" w:val="left" w:leader="none"/>
          <w:tab w:pos="2533" w:val="left" w:leader="none"/>
        </w:tabs>
        <w:spacing w:line="240" w:lineRule="auto" w:before="0" w:after="0"/>
        <w:ind w:left="1002" w:right="0" w:hanging="792"/>
        <w:jc w:val="left"/>
        <w:rPr>
          <w:sz w:val="21"/>
        </w:rPr>
      </w:pPr>
      <w:r>
        <w:rPr>
          <w:b/>
          <w:sz w:val="21"/>
        </w:rPr>
        <w:t>保险责任</w:t>
        <w:tab/>
      </w:r>
      <w:r>
        <w:rPr>
          <w:sz w:val="21"/>
        </w:rPr>
        <w:t>在本附加合同保险期间内，我们按以下约定承担保险责任：</w:t>
      </w:r>
    </w:p>
    <w:p>
      <w:pPr>
        <w:pStyle w:val="BodyText"/>
        <w:spacing w:before="9"/>
        <w:rPr>
          <w:sz w:val="14"/>
        </w:rPr>
      </w:pPr>
    </w:p>
    <w:p>
      <w:pPr>
        <w:pStyle w:val="BodyText"/>
        <w:spacing w:before="1"/>
        <w:ind w:left="2533"/>
      </w:pPr>
      <w:r>
        <w:rPr/>
        <w:t>若被保险人于本附加合同生效之日或最后复效之日（以较迟者为准）起 180 天</w:t>
      </w:r>
    </w:p>
    <w:p>
      <w:pPr>
        <w:pStyle w:val="BodyText"/>
        <w:spacing w:line="273" w:lineRule="auto" w:before="37"/>
        <w:ind w:left="2533" w:right="216"/>
      </w:pPr>
      <w:r>
        <w:rPr/>
        <w:t>（含</w:t>
      </w:r>
      <w:r>
        <w:rPr>
          <w:spacing w:val="-144"/>
        </w:rPr>
        <w:t>）</w:t>
      </w:r>
      <w:r>
        <w:rPr>
          <w:spacing w:val="-1"/>
        </w:rPr>
        <w:t>（</w:t>
      </w:r>
      <w:r>
        <w:rPr>
          <w:spacing w:val="-27"/>
        </w:rPr>
        <w:t>此 </w:t>
      </w:r>
      <w:r>
        <w:rPr>
          <w:spacing w:val="-1"/>
        </w:rPr>
        <w:t>18</w:t>
      </w:r>
      <w:r>
        <w:rPr/>
        <w:t>0</w:t>
      </w:r>
      <w:r>
        <w:rPr>
          <w:spacing w:val="-15"/>
        </w:rPr>
        <w:t> 天称为</w:t>
      </w:r>
      <w:r>
        <w:rPr>
          <w:b/>
          <w:w w:val="99"/>
        </w:rPr>
        <w:t>等待期</w:t>
      </w:r>
      <w:r>
        <w:rPr>
          <w:spacing w:val="-40"/>
        </w:rPr>
        <w:t>）</w:t>
      </w:r>
      <w:r>
        <w:rPr/>
        <w:t>内因</w:t>
      </w:r>
      <w:r>
        <w:rPr>
          <w:b/>
          <w:spacing w:val="-7"/>
          <w:w w:val="99"/>
        </w:rPr>
        <w:t>意外伤害事故</w:t>
      </w:r>
      <w:r>
        <w:rPr>
          <w:spacing w:val="-2"/>
        </w:rPr>
        <w:t>（</w:t>
      </w:r>
      <w:r>
        <w:rPr>
          <w:spacing w:val="-27"/>
        </w:rPr>
        <w:t>见 </w:t>
      </w:r>
      <w:r>
        <w:rPr/>
        <w:t>7.6</w:t>
      </w:r>
      <w:r>
        <w:rPr>
          <w:spacing w:val="-40"/>
        </w:rPr>
        <w:t>）</w:t>
      </w:r>
      <w:r>
        <w:rPr>
          <w:spacing w:val="-7"/>
        </w:rPr>
        <w:t>之外的原因发生“</w:t>
      </w:r>
      <w:r>
        <w:rPr>
          <w:b/>
          <w:w w:val="99"/>
        </w:rPr>
        <w:t>轻</w:t>
      </w:r>
      <w:r>
        <w:rPr>
          <w:b/>
          <w:spacing w:val="0"/>
          <w:w w:val="99"/>
        </w:rPr>
        <w:t>型重疾</w:t>
      </w:r>
      <w:r>
        <w:rPr>
          <w:spacing w:val="-1"/>
        </w:rPr>
        <w:t>（</w:t>
      </w:r>
      <w:r>
        <w:rPr>
          <w:spacing w:val="-27"/>
        </w:rPr>
        <w:t>见 </w:t>
      </w:r>
      <w:r>
        <w:rPr>
          <w:spacing w:val="-1"/>
        </w:rPr>
        <w:t>7</w:t>
      </w:r>
      <w:r>
        <w:rPr/>
        <w:t>.</w:t>
      </w:r>
      <w:r>
        <w:rPr>
          <w:spacing w:val="-1"/>
        </w:rPr>
        <w:t>3</w:t>
      </w:r>
      <w:r>
        <w:rPr>
          <w:spacing w:val="-105"/>
        </w:rPr>
        <w:t>）</w:t>
      </w:r>
      <w:r>
        <w:rPr/>
        <w:t>”或“</w:t>
      </w:r>
      <w:r>
        <w:rPr>
          <w:b/>
          <w:w w:val="99"/>
        </w:rPr>
        <w:t>特定重大疾病</w:t>
      </w:r>
      <w:r>
        <w:rPr/>
        <w:t>（</w:t>
      </w:r>
      <w:r>
        <w:rPr>
          <w:spacing w:val="-27"/>
        </w:rPr>
        <w:t>见 </w:t>
      </w:r>
      <w:r>
        <w:rPr/>
        <w:t>7</w:t>
      </w:r>
      <w:r>
        <w:rPr>
          <w:spacing w:val="-1"/>
        </w:rPr>
        <w:t>.</w:t>
      </w:r>
      <w:r>
        <w:rPr/>
        <w:t>4</w:t>
      </w:r>
      <w:r>
        <w:rPr>
          <w:spacing w:val="-105"/>
        </w:rPr>
        <w:t>）</w:t>
      </w:r>
      <w:r>
        <w:rPr>
          <w:spacing w:val="-1"/>
        </w:rPr>
        <w:t>”或“</w:t>
      </w:r>
      <w:r>
        <w:rPr>
          <w:b/>
          <w:w w:val="99"/>
        </w:rPr>
        <w:t>重大疾病</w:t>
      </w:r>
      <w:r>
        <w:rPr>
          <w:spacing w:val="-1"/>
        </w:rPr>
        <w:t>（</w:t>
      </w:r>
      <w:r>
        <w:rPr>
          <w:spacing w:val="-27"/>
        </w:rPr>
        <w:t>见 </w:t>
      </w:r>
      <w:r>
        <w:rPr>
          <w:spacing w:val="-1"/>
        </w:rPr>
        <w:t>7</w:t>
      </w:r>
      <w:r>
        <w:rPr/>
        <w:t>.</w:t>
      </w:r>
      <w:r>
        <w:rPr>
          <w:spacing w:val="-1"/>
        </w:rPr>
        <w:t>5</w:t>
      </w:r>
      <w:r>
        <w:rPr>
          <w:spacing w:val="-105"/>
        </w:rPr>
        <w:t>）</w:t>
      </w:r>
      <w:r>
        <w:rPr>
          <w:spacing w:val="-36"/>
        </w:rPr>
        <w:t>”，本附加合同及主合同效力终止，我们将无息退还本附加合同及主合同累计所交保险费（不计息）之和。</w:t>
      </w:r>
    </w:p>
    <w:p>
      <w:pPr>
        <w:pStyle w:val="BodyText"/>
        <w:spacing w:line="273" w:lineRule="auto" w:before="163"/>
        <w:ind w:left="2533" w:right="288"/>
      </w:pPr>
      <w:r>
        <w:rPr/>
        <w:t>被保险人因意外伤害事故或于等待期后发生保险事故，我们按照下列方式给付保险金:</w:t>
      </w:r>
    </w:p>
    <w:p>
      <w:pPr>
        <w:pStyle w:val="BodyText"/>
        <w:spacing w:before="163"/>
        <w:ind w:left="2533"/>
      </w:pPr>
      <w:r>
        <w:rPr/>
        <w:t>1．重大疾病保险金</w:t>
      </w:r>
    </w:p>
    <w:p>
      <w:pPr>
        <w:pStyle w:val="BodyText"/>
        <w:spacing w:before="9"/>
        <w:rPr>
          <w:sz w:val="14"/>
        </w:rPr>
      </w:pPr>
    </w:p>
    <w:p>
      <w:pPr>
        <w:pStyle w:val="BodyText"/>
        <w:spacing w:line="273" w:lineRule="auto"/>
        <w:ind w:left="2533" w:right="111"/>
      </w:pPr>
      <w:r>
        <w:rPr/>
        <w:t>若被保险人在我们认可的</w:t>
      </w:r>
      <w:r>
        <w:rPr>
          <w:b/>
          <w:spacing w:val="-5"/>
        </w:rPr>
        <w:t>医院</w:t>
      </w:r>
      <w:r>
        <w:rPr/>
        <w:t>（</w:t>
      </w:r>
      <w:r>
        <w:rPr>
          <w:spacing w:val="-28"/>
        </w:rPr>
        <w:t>见 </w:t>
      </w:r>
      <w:r>
        <w:rPr>
          <w:spacing w:val="-3"/>
        </w:rPr>
        <w:t>7.7）</w:t>
      </w:r>
      <w:r>
        <w:rPr/>
        <w:t>由</w:t>
      </w:r>
      <w:r>
        <w:rPr>
          <w:b/>
          <w:spacing w:val="-3"/>
        </w:rPr>
        <w:t>专科医生</w:t>
      </w:r>
      <w:r>
        <w:rPr/>
        <w:t>（</w:t>
      </w:r>
      <w:r>
        <w:rPr>
          <w:spacing w:val="-28"/>
        </w:rPr>
        <w:t>见 </w:t>
      </w:r>
      <w:r>
        <w:rPr>
          <w:spacing w:val="-4"/>
        </w:rPr>
        <w:t>7.8）</w:t>
      </w:r>
      <w:r>
        <w:rPr/>
        <w:t>确诊首次患本附</w:t>
      </w:r>
      <w:r>
        <w:rPr>
          <w:spacing w:val="-3"/>
        </w:rPr>
        <w:t>加合同所列的重大疾病，并符合本附加合同约定的给付重大疾病保险金条件的， </w:t>
      </w:r>
      <w:r>
        <w:rPr>
          <w:spacing w:val="-11"/>
        </w:rPr>
        <w:t>且自确诊之日起 </w:t>
      </w:r>
      <w:r>
        <w:rPr/>
        <w:t>30</w:t>
      </w:r>
      <w:r>
        <w:rPr>
          <w:spacing w:val="-10"/>
        </w:rPr>
        <w:t> 天后仍生存，我们将按本附加合同约定的基本保险金额给付重大疾病保险金，同时本附加合同效力终止，主合同效力终止，我们不再承担给付主合同中身故保险金和满期保险金的责任。</w:t>
      </w:r>
    </w:p>
    <w:p>
      <w:pPr>
        <w:pStyle w:val="BodyText"/>
        <w:spacing w:before="163"/>
        <w:ind w:left="2533"/>
      </w:pPr>
      <w:r>
        <w:rPr/>
        <w:t>2．特定重大疾病保险金</w:t>
      </w:r>
    </w:p>
    <w:p>
      <w:pPr>
        <w:pStyle w:val="BodyText"/>
        <w:spacing w:before="9"/>
        <w:rPr>
          <w:sz w:val="14"/>
        </w:rPr>
      </w:pPr>
    </w:p>
    <w:p>
      <w:pPr>
        <w:pStyle w:val="BodyText"/>
        <w:spacing w:line="273" w:lineRule="auto" w:before="1"/>
        <w:ind w:left="2533" w:right="215"/>
      </w:pPr>
      <w:r>
        <w:rPr/>
        <w:t>若被保险人在我们认可的医院由专科医生确诊首次患本附加合同所列的特定重大疾病，并符合本附加合同约定的给付特定重大疾病保险金条件，且自确诊之</w:t>
      </w:r>
      <w:r>
        <w:rPr>
          <w:spacing w:val="-21"/>
        </w:rPr>
        <w:t>日起 </w:t>
      </w:r>
      <w:r>
        <w:rPr/>
        <w:t>30</w:t>
      </w:r>
      <w:r>
        <w:rPr>
          <w:spacing w:val="-9"/>
        </w:rPr>
        <w:t> 天后仍生存，我们除按本条第一款给付“重大疾病保险金”外，按本附</w:t>
      </w:r>
      <w:r>
        <w:rPr>
          <w:spacing w:val="-13"/>
        </w:rPr>
        <w:t>加合同约定的基本保险金额的 </w:t>
      </w:r>
      <w:r>
        <w:rPr/>
        <w:t>30%</w:t>
      </w:r>
      <w:r>
        <w:rPr>
          <w:spacing w:val="-8"/>
        </w:rPr>
        <w:t>给付特定重大疾病保险金，同时本附加合同效力终止，主合同效力终止，我们不再承担给付主合同中身故保险金和满期保险金的责任。</w:t>
      </w:r>
    </w:p>
    <w:p>
      <w:pPr>
        <w:pStyle w:val="ListParagraph"/>
        <w:numPr>
          <w:ilvl w:val="0"/>
          <w:numId w:val="3"/>
        </w:numPr>
        <w:tabs>
          <w:tab w:pos="2849" w:val="left" w:leader="none"/>
        </w:tabs>
        <w:spacing w:line="240" w:lineRule="auto" w:before="164" w:after="0"/>
        <w:ind w:left="2848" w:right="0" w:hanging="315"/>
        <w:jc w:val="left"/>
        <w:rPr>
          <w:sz w:val="21"/>
        </w:rPr>
      </w:pPr>
      <w:r>
        <w:rPr>
          <w:spacing w:val="-1"/>
          <w:sz w:val="21"/>
        </w:rPr>
        <w:t>轻型重疾保险金</w:t>
      </w:r>
    </w:p>
    <w:p>
      <w:pPr>
        <w:pStyle w:val="BodyText"/>
        <w:spacing w:before="10"/>
        <w:rPr>
          <w:sz w:val="14"/>
        </w:rPr>
      </w:pPr>
    </w:p>
    <w:p>
      <w:pPr>
        <w:pStyle w:val="BodyText"/>
        <w:spacing w:line="273" w:lineRule="auto"/>
        <w:ind w:left="2533" w:right="215"/>
      </w:pPr>
      <w:r>
        <w:rPr/>
        <w:t>若被保险人在确诊首次患本附加合同约定的重大疾病前首次发生，并在我们认可的医院由专科医生确诊患本附加合同所列的轻型重疾，并符合本附加合同约</w:t>
      </w:r>
      <w:r>
        <w:rPr>
          <w:spacing w:val="-5"/>
        </w:rPr>
        <w:t>定的给付轻型重疾保险金条件，且自确诊之日起 </w:t>
      </w:r>
      <w:r>
        <w:rPr/>
        <w:t>30</w:t>
      </w:r>
      <w:r>
        <w:rPr>
          <w:spacing w:val="-10"/>
        </w:rPr>
        <w:t> 天后仍生存，我们按本附加</w:t>
      </w:r>
      <w:r>
        <w:rPr>
          <w:spacing w:val="-14"/>
        </w:rPr>
        <w:t>合同约定的基本保险金额的 </w:t>
      </w:r>
      <w:r>
        <w:rPr/>
        <w:t>20%</w:t>
      </w:r>
      <w:r>
        <w:rPr>
          <w:spacing w:val="-8"/>
        </w:rPr>
        <w:t>给付轻型重疾保险金，以一次为限，本项责任终止，本附加险合同继续有效，基本保险金额不变。</w:t>
      </w:r>
    </w:p>
    <w:p>
      <w:pPr>
        <w:pStyle w:val="BodyText"/>
        <w:spacing w:before="163"/>
        <w:ind w:left="2533"/>
      </w:pPr>
      <w:r>
        <w:rPr/>
        <w:t>轻型重疾保险金仅针对符合本附加合同定义的轻型重疾进行给付。被保险人所</w:t>
      </w:r>
    </w:p>
    <w:p>
      <w:pPr>
        <w:spacing w:after="0"/>
        <w:sectPr>
          <w:pgSz w:w="11910" w:h="16840"/>
          <w:pgMar w:header="0" w:footer="1008" w:top="1100" w:bottom="1200" w:left="920" w:right="1020"/>
        </w:sectPr>
      </w:pPr>
    </w:p>
    <w:p>
      <w:pPr>
        <w:pStyle w:val="BodyText"/>
        <w:spacing w:line="273" w:lineRule="auto" w:before="19"/>
        <w:ind w:left="2533" w:right="288"/>
      </w:pPr>
      <w:r>
        <w:rPr/>
        <w:t>患情况在申请理赔时既符合重大疾病保险金给付标准又符合轻型重疾保险金给付标准的，仅按本条第一款给付重大疾病保险金，不再给付轻型重疾保险金。</w:t>
      </w:r>
    </w:p>
    <w:p>
      <w:pPr>
        <w:pStyle w:val="BodyText"/>
        <w:rPr>
          <w:sz w:val="20"/>
        </w:rPr>
      </w:pPr>
    </w:p>
    <w:p>
      <w:pPr>
        <w:pStyle w:val="BodyText"/>
        <w:rPr>
          <w:sz w:val="20"/>
        </w:rPr>
      </w:pPr>
    </w:p>
    <w:p>
      <w:pPr>
        <w:pStyle w:val="BodyText"/>
        <w:spacing w:before="5"/>
        <w:rPr>
          <w:sz w:val="14"/>
        </w:rPr>
      </w:pPr>
    </w:p>
    <w:p>
      <w:pPr>
        <w:pStyle w:val="Heading3"/>
        <w:tabs>
          <w:tab w:pos="1002" w:val="left" w:leader="none"/>
          <w:tab w:pos="2533" w:val="left" w:leader="none"/>
        </w:tabs>
        <w:spacing w:line="273" w:lineRule="auto"/>
        <w:ind w:right="263" w:hanging="2324"/>
      </w:pPr>
      <w:r>
        <w:rPr/>
        <w:t>2.4</w:t>
        <w:tab/>
        <w:t>责任免除</w:t>
        <w:tab/>
      </w:r>
      <w:r>
        <w:rPr>
          <w:w w:val="95"/>
        </w:rPr>
        <w:t>因下列情形之一，导致被保险人发生疾病、达到疾病状态或者进行手术的，我    们不承担保险责任：</w:t>
      </w:r>
    </w:p>
    <w:p>
      <w:pPr>
        <w:spacing w:before="163"/>
        <w:ind w:left="2533" w:right="0" w:firstLine="0"/>
        <w:jc w:val="left"/>
        <w:rPr>
          <w:b/>
          <w:sz w:val="21"/>
        </w:rPr>
      </w:pPr>
      <w:r>
        <w:rPr>
          <w:b/>
          <w:w w:val="95"/>
          <w:sz w:val="21"/>
        </w:rPr>
        <w:t>1.投保人对被保险人的故意杀害、故意伤害；</w:t>
      </w:r>
    </w:p>
    <w:p>
      <w:pPr>
        <w:pStyle w:val="BodyText"/>
        <w:spacing w:before="9"/>
        <w:rPr>
          <w:b/>
          <w:sz w:val="14"/>
        </w:rPr>
      </w:pPr>
    </w:p>
    <w:p>
      <w:pPr>
        <w:spacing w:before="0"/>
        <w:ind w:left="2533" w:right="0" w:firstLine="0"/>
        <w:jc w:val="left"/>
        <w:rPr>
          <w:b/>
          <w:sz w:val="21"/>
        </w:rPr>
      </w:pPr>
      <w:r>
        <w:rPr>
          <w:b/>
          <w:w w:val="95"/>
          <w:sz w:val="21"/>
        </w:rPr>
        <w:t>2.被保险人故意犯罪或者抗拒依法采取的刑事强制措施；</w:t>
      </w:r>
    </w:p>
    <w:p>
      <w:pPr>
        <w:pStyle w:val="BodyText"/>
        <w:spacing w:before="9"/>
        <w:rPr>
          <w:b/>
          <w:sz w:val="14"/>
        </w:rPr>
      </w:pPr>
    </w:p>
    <w:p>
      <w:pPr>
        <w:spacing w:before="0"/>
        <w:ind w:left="2533" w:right="0" w:firstLine="0"/>
        <w:jc w:val="left"/>
        <w:rPr>
          <w:b/>
          <w:sz w:val="21"/>
        </w:rPr>
      </w:pPr>
      <w:r>
        <w:rPr>
          <w:b/>
          <w:spacing w:val="0"/>
          <w:w w:val="99"/>
          <w:sz w:val="21"/>
        </w:rPr>
        <w:t>3.</w:t>
      </w:r>
      <w:r>
        <w:rPr>
          <w:b/>
          <w:w w:val="99"/>
          <w:sz w:val="21"/>
        </w:rPr>
        <w:t>被保</w:t>
      </w:r>
      <w:r>
        <w:rPr>
          <w:b/>
          <w:w w:val="99"/>
          <w:sz w:val="21"/>
        </w:rPr>
        <w:t>险人主动吸食或注射毒品（见</w:t>
      </w:r>
      <w:r>
        <w:rPr>
          <w:b/>
          <w:spacing w:val="-52"/>
          <w:sz w:val="21"/>
        </w:rPr>
        <w:t> </w:t>
      </w:r>
      <w:r>
        <w:rPr>
          <w:b/>
          <w:spacing w:val="0"/>
          <w:w w:val="99"/>
          <w:sz w:val="21"/>
        </w:rPr>
        <w:t>7.9</w:t>
      </w:r>
      <w:r>
        <w:rPr>
          <w:b/>
          <w:spacing w:val="-105"/>
          <w:w w:val="99"/>
          <w:sz w:val="21"/>
        </w:rPr>
        <w:t>）</w:t>
      </w:r>
      <w:r>
        <w:rPr>
          <w:b/>
          <w:w w:val="99"/>
          <w:sz w:val="21"/>
        </w:rPr>
        <w:t>；</w:t>
      </w:r>
    </w:p>
    <w:p>
      <w:pPr>
        <w:pStyle w:val="BodyText"/>
        <w:spacing w:before="9"/>
        <w:rPr>
          <w:b/>
          <w:sz w:val="14"/>
        </w:rPr>
      </w:pPr>
    </w:p>
    <w:p>
      <w:pPr>
        <w:spacing w:line="273" w:lineRule="auto" w:before="0"/>
        <w:ind w:left="2533" w:right="215" w:firstLine="0"/>
        <w:jc w:val="left"/>
        <w:rPr>
          <w:b/>
          <w:sz w:val="21"/>
        </w:rPr>
      </w:pPr>
      <w:r>
        <w:rPr>
          <w:b/>
          <w:w w:val="99"/>
          <w:sz w:val="21"/>
        </w:rPr>
        <w:t>4.</w:t>
      </w:r>
      <w:r>
        <w:rPr>
          <w:b/>
          <w:spacing w:val="-2"/>
          <w:w w:val="99"/>
          <w:sz w:val="21"/>
        </w:rPr>
        <w:t>被保险人酒后驾驶</w:t>
      </w:r>
      <w:r>
        <w:rPr>
          <w:b/>
          <w:w w:val="99"/>
          <w:sz w:val="21"/>
        </w:rPr>
        <w:t>（见</w:t>
      </w:r>
      <w:r>
        <w:rPr>
          <w:b/>
          <w:spacing w:val="-52"/>
          <w:sz w:val="21"/>
        </w:rPr>
        <w:t> </w:t>
      </w:r>
      <w:r>
        <w:rPr>
          <w:b/>
          <w:w w:val="99"/>
          <w:sz w:val="21"/>
        </w:rPr>
        <w:t>7.10</w:t>
      </w:r>
      <w:r>
        <w:rPr>
          <w:b/>
          <w:spacing w:val="-106"/>
          <w:w w:val="99"/>
          <w:sz w:val="21"/>
        </w:rPr>
        <w:t>）</w:t>
      </w:r>
      <w:r>
        <w:rPr>
          <w:b/>
          <w:spacing w:val="-6"/>
          <w:w w:val="99"/>
          <w:sz w:val="21"/>
        </w:rPr>
        <w:t>，无合法有效驾驶证驾驶</w:t>
      </w:r>
      <w:r>
        <w:rPr>
          <w:b/>
          <w:w w:val="99"/>
          <w:sz w:val="21"/>
        </w:rPr>
        <w:t>（见</w:t>
      </w:r>
      <w:r>
        <w:rPr>
          <w:b/>
          <w:spacing w:val="-52"/>
          <w:sz w:val="21"/>
        </w:rPr>
        <w:t> </w:t>
      </w:r>
      <w:r>
        <w:rPr>
          <w:b/>
          <w:w w:val="99"/>
          <w:sz w:val="21"/>
        </w:rPr>
        <w:t>7.11</w:t>
      </w:r>
      <w:r>
        <w:rPr>
          <w:b/>
          <w:spacing w:val="-106"/>
          <w:w w:val="99"/>
          <w:sz w:val="21"/>
        </w:rPr>
        <w:t>）</w:t>
      </w:r>
      <w:r>
        <w:rPr>
          <w:b/>
          <w:spacing w:val="-3"/>
          <w:w w:val="99"/>
          <w:sz w:val="21"/>
        </w:rPr>
        <w:t>，或驾驶无</w:t>
      </w:r>
      <w:r>
        <w:rPr>
          <w:b/>
          <w:w w:val="99"/>
          <w:sz w:val="21"/>
        </w:rPr>
        <w:t>有效行驶证（见</w:t>
      </w:r>
      <w:r>
        <w:rPr>
          <w:b/>
          <w:spacing w:val="-54"/>
          <w:sz w:val="21"/>
        </w:rPr>
        <w:t> </w:t>
      </w:r>
      <w:r>
        <w:rPr>
          <w:b/>
          <w:spacing w:val="0"/>
          <w:w w:val="99"/>
          <w:sz w:val="21"/>
        </w:rPr>
        <w:t>7</w:t>
      </w:r>
      <w:r>
        <w:rPr>
          <w:b/>
          <w:w w:val="99"/>
          <w:sz w:val="21"/>
        </w:rPr>
        <w:t>.1</w:t>
      </w:r>
      <w:r>
        <w:rPr>
          <w:b/>
          <w:spacing w:val="0"/>
          <w:w w:val="99"/>
          <w:sz w:val="21"/>
        </w:rPr>
        <w:t>2</w:t>
      </w:r>
      <w:r>
        <w:rPr>
          <w:b/>
          <w:w w:val="99"/>
          <w:sz w:val="21"/>
        </w:rPr>
        <w:t>）的机动车（见</w:t>
      </w:r>
      <w:r>
        <w:rPr>
          <w:b/>
          <w:spacing w:val="-52"/>
          <w:sz w:val="21"/>
        </w:rPr>
        <w:t> </w:t>
      </w:r>
      <w:r>
        <w:rPr>
          <w:b/>
          <w:w w:val="99"/>
          <w:sz w:val="21"/>
        </w:rPr>
        <w:t>7.1</w:t>
      </w:r>
      <w:r>
        <w:rPr>
          <w:b/>
          <w:spacing w:val="0"/>
          <w:w w:val="99"/>
          <w:sz w:val="21"/>
        </w:rPr>
        <w:t>3</w:t>
      </w:r>
      <w:r>
        <w:rPr>
          <w:b/>
          <w:spacing w:val="-104"/>
          <w:w w:val="99"/>
          <w:sz w:val="21"/>
        </w:rPr>
        <w:t>）</w:t>
      </w:r>
      <w:r>
        <w:rPr>
          <w:b/>
          <w:w w:val="99"/>
          <w:sz w:val="21"/>
        </w:rPr>
        <w:t>；</w:t>
      </w:r>
    </w:p>
    <w:p>
      <w:pPr>
        <w:spacing w:before="163"/>
        <w:ind w:left="2533" w:right="0" w:firstLine="0"/>
        <w:jc w:val="left"/>
        <w:rPr>
          <w:b/>
          <w:sz w:val="21"/>
        </w:rPr>
      </w:pPr>
      <w:r>
        <w:rPr>
          <w:b/>
          <w:w w:val="95"/>
          <w:sz w:val="21"/>
        </w:rPr>
        <w:t>5.战争、军事冲突、暴乱或武装叛乱；</w:t>
      </w:r>
    </w:p>
    <w:p>
      <w:pPr>
        <w:pStyle w:val="BodyText"/>
        <w:spacing w:before="9"/>
        <w:rPr>
          <w:b/>
          <w:sz w:val="14"/>
        </w:rPr>
      </w:pPr>
    </w:p>
    <w:p>
      <w:pPr>
        <w:spacing w:before="1"/>
        <w:ind w:left="2533" w:right="0" w:firstLine="0"/>
        <w:jc w:val="left"/>
        <w:rPr>
          <w:b/>
          <w:sz w:val="21"/>
        </w:rPr>
      </w:pPr>
      <w:r>
        <w:rPr>
          <w:b/>
          <w:w w:val="95"/>
          <w:sz w:val="21"/>
        </w:rPr>
        <w:t>6.核爆炸、核辐射或核污染；</w:t>
      </w:r>
    </w:p>
    <w:p>
      <w:pPr>
        <w:pStyle w:val="BodyText"/>
        <w:spacing w:before="10"/>
        <w:rPr>
          <w:b/>
          <w:sz w:val="14"/>
        </w:rPr>
      </w:pPr>
    </w:p>
    <w:p>
      <w:pPr>
        <w:spacing w:before="0"/>
        <w:ind w:left="2533" w:right="0" w:firstLine="0"/>
        <w:jc w:val="left"/>
        <w:rPr>
          <w:b/>
          <w:sz w:val="21"/>
        </w:rPr>
      </w:pPr>
      <w:r>
        <w:rPr>
          <w:b/>
          <w:w w:val="99"/>
          <w:sz w:val="21"/>
        </w:rPr>
        <w:t>7.被保险人感染艾滋病病毒或患艾滋病（见</w:t>
      </w:r>
      <w:r>
        <w:rPr>
          <w:b/>
          <w:spacing w:val="-54"/>
          <w:sz w:val="21"/>
        </w:rPr>
        <w:t> </w:t>
      </w:r>
      <w:r>
        <w:rPr>
          <w:b/>
          <w:w w:val="99"/>
          <w:sz w:val="21"/>
        </w:rPr>
        <w:t>7.14</w:t>
      </w:r>
      <w:r>
        <w:rPr>
          <w:b/>
          <w:spacing w:val="-105"/>
          <w:w w:val="99"/>
          <w:sz w:val="21"/>
        </w:rPr>
        <w:t>）</w:t>
      </w:r>
      <w:r>
        <w:rPr>
          <w:b/>
          <w:w w:val="99"/>
          <w:sz w:val="21"/>
        </w:rPr>
        <w:t>；</w:t>
      </w:r>
    </w:p>
    <w:p>
      <w:pPr>
        <w:pStyle w:val="BodyText"/>
        <w:spacing w:before="9"/>
        <w:rPr>
          <w:b/>
          <w:sz w:val="14"/>
        </w:rPr>
      </w:pPr>
    </w:p>
    <w:p>
      <w:pPr>
        <w:spacing w:before="1"/>
        <w:ind w:left="2533" w:right="0" w:firstLine="0"/>
        <w:jc w:val="left"/>
        <w:rPr>
          <w:b/>
          <w:sz w:val="21"/>
        </w:rPr>
      </w:pPr>
      <w:r>
        <w:rPr>
          <w:b/>
          <w:spacing w:val="0"/>
          <w:w w:val="99"/>
          <w:sz w:val="21"/>
        </w:rPr>
        <w:t>8.</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7.15</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7.16</w:t>
      </w:r>
      <w:r>
        <w:rPr>
          <w:b/>
          <w:spacing w:val="-105"/>
          <w:w w:val="99"/>
          <w:sz w:val="21"/>
        </w:rPr>
        <w:t>）</w:t>
      </w:r>
      <w:r>
        <w:rPr>
          <w:b/>
          <w:w w:val="99"/>
          <w:sz w:val="21"/>
        </w:rPr>
        <w:t>；</w:t>
      </w:r>
    </w:p>
    <w:p>
      <w:pPr>
        <w:pStyle w:val="BodyText"/>
        <w:spacing w:before="10"/>
        <w:rPr>
          <w:b/>
          <w:sz w:val="14"/>
        </w:rPr>
      </w:pPr>
    </w:p>
    <w:p>
      <w:pPr>
        <w:spacing w:before="0"/>
        <w:ind w:left="2533" w:right="0" w:firstLine="0"/>
        <w:jc w:val="left"/>
        <w:rPr>
          <w:b/>
          <w:sz w:val="21"/>
        </w:rPr>
      </w:pPr>
      <w:r>
        <w:rPr>
          <w:b/>
          <w:w w:val="95"/>
          <w:sz w:val="21"/>
        </w:rPr>
        <w:t>9.主合同各项责任免除亦为本附加合同的责任免除。</w:t>
      </w:r>
    </w:p>
    <w:p>
      <w:pPr>
        <w:pStyle w:val="BodyText"/>
        <w:spacing w:before="9"/>
        <w:rPr>
          <w:b/>
          <w:sz w:val="14"/>
        </w:rPr>
      </w:pPr>
    </w:p>
    <w:p>
      <w:pPr>
        <w:spacing w:line="273" w:lineRule="auto" w:before="1"/>
        <w:ind w:left="2533" w:right="263" w:firstLine="0"/>
        <w:jc w:val="left"/>
        <w:rPr>
          <w:b/>
          <w:sz w:val="21"/>
        </w:rPr>
      </w:pPr>
      <w:r>
        <w:rPr>
          <w:b/>
          <w:spacing w:val="-2"/>
          <w:sz w:val="21"/>
        </w:rPr>
        <w:t>发生上述第１项情形导致被保险人身故的，本附加合同终止，您已交足 </w:t>
      </w:r>
      <w:r>
        <w:rPr>
          <w:b/>
          <w:sz w:val="21"/>
        </w:rPr>
        <w:t>2</w:t>
      </w:r>
      <w:r>
        <w:rPr>
          <w:b/>
          <w:spacing w:val="-20"/>
          <w:sz w:val="21"/>
        </w:rPr>
        <w:t> 年以</w:t>
      </w:r>
      <w:r>
        <w:rPr>
          <w:b/>
          <w:spacing w:val="-20"/>
          <w:w w:val="95"/>
          <w:sz w:val="21"/>
        </w:rPr>
        <w:t>上保险费的，我们向其他权利人退还保险单的现金价值。</w:t>
      </w:r>
    </w:p>
    <w:p>
      <w:pPr>
        <w:spacing w:line="273" w:lineRule="auto" w:before="164"/>
        <w:ind w:left="2533" w:right="262" w:firstLine="0"/>
        <w:jc w:val="left"/>
        <w:rPr>
          <w:b/>
          <w:sz w:val="21"/>
        </w:rPr>
      </w:pPr>
      <w:r>
        <w:rPr>
          <w:b/>
          <w:sz w:val="21"/>
        </w:rPr>
        <w:t>发生上述其他与主合同责任免除条款相同的情形导致被保险人身故的，本附加</w:t>
      </w:r>
      <w:r>
        <w:rPr>
          <w:b/>
          <w:w w:val="95"/>
          <w:sz w:val="21"/>
        </w:rPr>
        <w:t>合同终止，我们向您退还保险单的现金价值。</w:t>
      </w:r>
    </w:p>
    <w:p>
      <w:pPr>
        <w:pStyle w:val="BodyText"/>
        <w:rPr>
          <w:b/>
        </w:rPr>
      </w:pPr>
    </w:p>
    <w:p>
      <w:pPr>
        <w:pStyle w:val="ListParagraph"/>
        <w:numPr>
          <w:ilvl w:val="0"/>
          <w:numId w:val="4"/>
        </w:numPr>
        <w:tabs>
          <w:tab w:pos="1002" w:val="left" w:leader="none"/>
          <w:tab w:pos="1003" w:val="left" w:leader="none"/>
        </w:tabs>
        <w:spacing w:line="240" w:lineRule="auto" w:before="0" w:after="0"/>
        <w:ind w:left="1002" w:right="0" w:hanging="792"/>
        <w:jc w:val="left"/>
        <w:rPr>
          <w:b/>
          <w:sz w:val="24"/>
        </w:rPr>
      </w:pPr>
      <w:r>
        <w:rPr>
          <w:b/>
          <w:sz w:val="24"/>
        </w:rPr>
        <w:t>保险金的申请</w:t>
      </w:r>
    </w:p>
    <w:p>
      <w:pPr>
        <w:pStyle w:val="BodyText"/>
        <w:spacing w:before="8"/>
        <w:rPr>
          <w:b/>
          <w:sz w:val="10"/>
        </w:rPr>
      </w:pPr>
      <w:r>
        <w:rPr/>
        <w:pict>
          <v:line style="position:absolute;mso-position-horizontal-relative:page;mso-position-vertical-relative:paragraph;z-index:1312;mso-wrap-distance-left:0;mso-wrap-distance-right:0" from="51.119999pt,9.152915pt" to="538.799999pt,9.152915pt" stroked="true" strokeweight=".47998pt" strokecolor="#000000">
            <v:stroke dashstyle="solid"/>
            <w10:wrap type="topAndBottom"/>
          </v:line>
        </w:pict>
      </w:r>
    </w:p>
    <w:p>
      <w:pPr>
        <w:pStyle w:val="ListParagraph"/>
        <w:numPr>
          <w:ilvl w:val="1"/>
          <w:numId w:val="4"/>
        </w:numPr>
        <w:tabs>
          <w:tab w:pos="1002" w:val="left" w:leader="none"/>
          <w:tab w:pos="1003" w:val="left" w:leader="none"/>
          <w:tab w:pos="2520" w:val="left" w:leader="none"/>
        </w:tabs>
        <w:spacing w:line="273" w:lineRule="auto" w:before="83" w:after="0"/>
        <w:ind w:left="2520" w:right="303" w:hanging="2310"/>
        <w:jc w:val="left"/>
        <w:rPr>
          <w:sz w:val="21"/>
        </w:rPr>
      </w:pPr>
      <w:r>
        <w:rPr>
          <w:b/>
          <w:sz w:val="21"/>
        </w:rPr>
        <w:t>受益人</w:t>
        <w:tab/>
      </w:r>
      <w:r>
        <w:rPr>
          <w:sz w:val="21"/>
        </w:rPr>
        <w:t>本附加合同轻型重疾保险金、特定重大疾病保险金、重大疾病保险金的受益人为被保险人本人。</w:t>
      </w:r>
    </w:p>
    <w:p>
      <w:pPr>
        <w:pStyle w:val="BodyText"/>
        <w:spacing w:before="11"/>
        <w:rPr>
          <w:sz w:val="22"/>
        </w:rPr>
      </w:pPr>
    </w:p>
    <w:p>
      <w:pPr>
        <w:pStyle w:val="ListParagraph"/>
        <w:numPr>
          <w:ilvl w:val="1"/>
          <w:numId w:val="4"/>
        </w:numPr>
        <w:tabs>
          <w:tab w:pos="1002" w:val="left" w:leader="none"/>
          <w:tab w:pos="1003" w:val="left" w:leader="none"/>
          <w:tab w:pos="2520" w:val="left" w:leader="none"/>
        </w:tabs>
        <w:spacing w:line="273" w:lineRule="auto" w:before="0" w:after="0"/>
        <w:ind w:left="2520" w:right="303" w:hanging="2310"/>
        <w:jc w:val="left"/>
        <w:rPr>
          <w:sz w:val="21"/>
        </w:rPr>
      </w:pPr>
      <w:r>
        <w:rPr>
          <w:b/>
          <w:sz w:val="21"/>
        </w:rPr>
        <w:t>保险金申请</w:t>
        <w:tab/>
      </w:r>
      <w:r>
        <w:rPr>
          <w:sz w:val="21"/>
        </w:rPr>
        <w:t>在申请轻型重疾保险金、特定重大疾病保险金或重大疾病保险金时，受益人须填写保险金给付申请书，并须提供下列证明和资料：</w:t>
      </w:r>
    </w:p>
    <w:p>
      <w:pPr>
        <w:pStyle w:val="BodyText"/>
        <w:spacing w:before="163"/>
        <w:ind w:left="2520"/>
      </w:pPr>
      <w:r>
        <w:rPr/>
        <w:t>（1）保险合同；</w:t>
      </w:r>
    </w:p>
    <w:p>
      <w:pPr>
        <w:pStyle w:val="BodyText"/>
        <w:spacing w:before="9"/>
        <w:rPr>
          <w:sz w:val="14"/>
        </w:rPr>
      </w:pPr>
    </w:p>
    <w:p>
      <w:pPr>
        <w:pStyle w:val="BodyText"/>
        <w:spacing w:line="273" w:lineRule="auto"/>
        <w:ind w:left="2520" w:right="215"/>
      </w:pPr>
      <w:r>
        <w:rPr>
          <w:spacing w:val="-6"/>
        </w:rPr>
        <w:t>（2）</w:t>
      </w:r>
      <w:r>
        <w:rPr/>
        <w:t>由我们认可的医院的专科医生出具的被保险人的疾病诊断证明及相关医疗文件（包括完整的门诊及住院病历记录、出院小结、影像学、病理检查、实验室检查及其他相关检查报告</w:t>
      </w:r>
      <w:r>
        <w:rPr>
          <w:spacing w:val="-105"/>
        </w:rPr>
        <w:t>）</w:t>
      </w:r>
      <w:r>
        <w:rPr>
          <w:spacing w:val="-5"/>
        </w:rPr>
        <w:t>；其中因双耳失聪而申请保险金的还应提供理赔的听力丧失诊断及检查证据，因双眼失明而申请保险金的还应提供理赔的视力丧失诊断及检查证据，因语言能力丧失而申请保险金的还应提供理赔的语言能力丧失诊断及检查证据；</w:t>
      </w:r>
    </w:p>
    <w:p>
      <w:pPr>
        <w:pStyle w:val="BodyText"/>
        <w:spacing w:before="163"/>
        <w:ind w:left="2520"/>
      </w:pPr>
      <w:r>
        <w:rPr/>
        <w:t>（3）受益人的有效身份证件；</w:t>
      </w:r>
    </w:p>
    <w:p>
      <w:pPr>
        <w:pStyle w:val="BodyText"/>
        <w:spacing w:before="9"/>
        <w:rPr>
          <w:sz w:val="14"/>
        </w:rPr>
      </w:pPr>
    </w:p>
    <w:p>
      <w:pPr>
        <w:pStyle w:val="BodyText"/>
        <w:spacing w:line="273" w:lineRule="auto"/>
        <w:ind w:left="2520" w:right="169"/>
      </w:pPr>
      <w:r>
        <w:rPr/>
        <w:t>（4）所能提供的其他与确认保险合同、确认保险事故的性质、原因等有关的证明或材料。</w:t>
      </w:r>
    </w:p>
    <w:p>
      <w:pPr>
        <w:spacing w:after="0" w:line="273" w:lineRule="auto"/>
        <w:sectPr>
          <w:pgSz w:w="11910" w:h="16840"/>
          <w:pgMar w:header="0" w:footer="1008" w:top="1100" w:bottom="1200" w:left="920" w:right="1020"/>
        </w:sectPr>
      </w:pPr>
    </w:p>
    <w:p>
      <w:pPr>
        <w:pStyle w:val="BodyText"/>
        <w:spacing w:before="19"/>
        <w:ind w:left="2520"/>
      </w:pPr>
      <w:r>
        <w:rPr/>
        <w:t>若委托他人办理申请保险金，还须提供授权委托书及受托人身份证件等材料。</w:t>
      </w:r>
    </w:p>
    <w:p>
      <w:pPr>
        <w:pStyle w:val="BodyText"/>
        <w:spacing w:before="9"/>
        <w:rPr>
          <w:sz w:val="14"/>
        </w:rPr>
      </w:pPr>
    </w:p>
    <w:p>
      <w:pPr>
        <w:pStyle w:val="BodyText"/>
        <w:spacing w:line="273" w:lineRule="auto" w:before="1"/>
        <w:ind w:left="2520" w:right="303"/>
      </w:pPr>
      <w:r>
        <w:rPr/>
        <w:t>以上证明和资料不完整的，我们将及时一次性通知受益人补充提供有关证明和资料。</w:t>
      </w:r>
    </w:p>
    <w:p>
      <w:pPr>
        <w:pStyle w:val="BodyText"/>
        <w:spacing w:before="11"/>
        <w:rPr>
          <w:sz w:val="22"/>
        </w:rPr>
      </w:pPr>
    </w:p>
    <w:p>
      <w:pPr>
        <w:pStyle w:val="ListParagraph"/>
        <w:numPr>
          <w:ilvl w:val="1"/>
          <w:numId w:val="4"/>
        </w:numPr>
        <w:tabs>
          <w:tab w:pos="1002" w:val="left" w:leader="none"/>
          <w:tab w:pos="1003" w:val="left" w:leader="none"/>
          <w:tab w:pos="2520" w:val="left" w:leader="none"/>
        </w:tabs>
        <w:spacing w:line="273" w:lineRule="auto" w:before="0" w:after="0"/>
        <w:ind w:left="2520" w:right="215" w:hanging="2310"/>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w:t>
      </w:r>
      <w:r>
        <w:rPr>
          <w:spacing w:val="-5"/>
          <w:sz w:val="21"/>
        </w:rPr>
        <w:t>；</w:t>
      </w:r>
      <w:r>
        <w:rPr>
          <w:sz w:val="21"/>
        </w:rPr>
        <w:t>情形复杂的</w:t>
      </w:r>
      <w:r>
        <w:rPr>
          <w:spacing w:val="-5"/>
          <w:sz w:val="21"/>
        </w:rPr>
        <w:t>，</w:t>
      </w:r>
      <w:r>
        <w:rPr>
          <w:sz w:val="21"/>
        </w:rPr>
        <w:t>在</w:t>
      </w:r>
      <w:r>
        <w:rPr>
          <w:spacing w:val="-53"/>
          <w:sz w:val="21"/>
        </w:rPr>
        <w:t> </w:t>
      </w:r>
      <w:r>
        <w:rPr>
          <w:sz w:val="21"/>
        </w:rPr>
        <w:t>30</w:t>
      </w:r>
      <w:r>
        <w:rPr>
          <w:spacing w:val="-53"/>
          <w:sz w:val="21"/>
        </w:rPr>
        <w:t> </w:t>
      </w:r>
      <w:r>
        <w:rPr>
          <w:sz w:val="21"/>
        </w:rPr>
        <w:t>日内作出核定</w:t>
      </w:r>
      <w:r>
        <w:rPr>
          <w:spacing w:val="-5"/>
          <w:sz w:val="21"/>
        </w:rPr>
        <w:t>。</w:t>
      </w:r>
      <w:r>
        <w:rPr>
          <w:sz w:val="21"/>
        </w:rPr>
        <w:t>对属于保险责任的</w:t>
      </w:r>
      <w:r>
        <w:rPr>
          <w:spacing w:val="-5"/>
          <w:sz w:val="21"/>
        </w:rPr>
        <w:t>，</w:t>
      </w:r>
      <w:r>
        <w:rPr>
          <w:sz w:val="21"/>
        </w:rPr>
        <w:t>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0" w:right="303"/>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0" w:right="303"/>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0" w:right="216"/>
      </w:pPr>
      <w:r>
        <w:rPr>
          <w:spacing w:val="-3"/>
        </w:rPr>
        <w:t>我们在收到保险金给付申请书及有关证明和资料之日起 </w:t>
      </w:r>
      <w:r>
        <w:rPr/>
        <w:t>60</w:t>
      </w:r>
      <w:r>
        <w:rPr>
          <w:spacing w:val="-10"/>
        </w:rPr>
        <w:t> 日内，对给付保险金的数额不能确定的，根据已有证明和资料可以确定的数额先予支付；我们最终确定给付保险金的数额后，将支付相应的差额。</w:t>
      </w:r>
    </w:p>
    <w:p>
      <w:pPr>
        <w:pStyle w:val="BodyText"/>
        <w:spacing w:before="12"/>
        <w:rPr>
          <w:sz w:val="22"/>
        </w:rPr>
      </w:pPr>
    </w:p>
    <w:p>
      <w:pPr>
        <w:pStyle w:val="ListParagraph"/>
        <w:numPr>
          <w:ilvl w:val="1"/>
          <w:numId w:val="4"/>
        </w:numPr>
        <w:tabs>
          <w:tab w:pos="1002" w:val="left" w:leader="none"/>
          <w:tab w:pos="1003" w:val="left" w:leader="none"/>
          <w:tab w:pos="2520" w:val="left" w:leader="none"/>
        </w:tabs>
        <w:spacing w:line="273" w:lineRule="auto" w:before="0" w:after="0"/>
        <w:ind w:left="2520" w:right="303" w:hanging="2310"/>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12"/>
        <w:rPr>
          <w:sz w:val="20"/>
        </w:rPr>
      </w:pPr>
    </w:p>
    <w:p>
      <w:pPr>
        <w:pStyle w:val="Heading2"/>
        <w:numPr>
          <w:ilvl w:val="0"/>
          <w:numId w:val="4"/>
        </w:numPr>
        <w:tabs>
          <w:tab w:pos="1002" w:val="left" w:leader="none"/>
          <w:tab w:pos="1003" w:val="left" w:leader="none"/>
        </w:tabs>
        <w:spacing w:line="240" w:lineRule="auto" w:before="1" w:after="0"/>
        <w:ind w:left="1002" w:right="0" w:hanging="792"/>
        <w:jc w:val="left"/>
      </w:pPr>
      <w:r>
        <w:rPr/>
        <w:t>保险费的交纳</w:t>
      </w:r>
    </w:p>
    <w:p>
      <w:pPr>
        <w:pStyle w:val="BodyText"/>
        <w:spacing w:before="8"/>
        <w:rPr>
          <w:b/>
          <w:sz w:val="10"/>
        </w:rPr>
      </w:pPr>
      <w:r>
        <w:rPr/>
        <w:pict>
          <v:line style="position:absolute;mso-position-horizontal-relative:page;mso-position-vertical-relative:paragraph;z-index:1336;mso-wrap-distance-left:0;mso-wrap-distance-right:0" from="51.119999pt,9.178296pt" to="538.799999pt,9.178296pt" stroked="true" strokeweight=".48001pt" strokecolor="#000000">
            <v:stroke dashstyle="solid"/>
            <w10:wrap type="topAndBottom"/>
          </v:line>
        </w:pict>
      </w:r>
    </w:p>
    <w:p>
      <w:pPr>
        <w:pStyle w:val="ListParagraph"/>
        <w:numPr>
          <w:ilvl w:val="1"/>
          <w:numId w:val="4"/>
        </w:numPr>
        <w:tabs>
          <w:tab w:pos="1002" w:val="left" w:leader="none"/>
          <w:tab w:pos="1003" w:val="left" w:leader="none"/>
          <w:tab w:pos="2533" w:val="left" w:leader="none"/>
        </w:tabs>
        <w:spacing w:line="240" w:lineRule="auto" w:before="83" w:after="0"/>
        <w:ind w:left="2533" w:right="0" w:hanging="2323"/>
        <w:jc w:val="left"/>
        <w:rPr>
          <w:sz w:val="21"/>
        </w:rPr>
      </w:pPr>
      <w:r>
        <w:rPr>
          <w:b/>
          <w:sz w:val="21"/>
        </w:rPr>
        <w:t>保险费的交纳</w:t>
        <w:tab/>
      </w:r>
      <w:r>
        <w:rPr>
          <w:sz w:val="21"/>
        </w:rPr>
        <w:t>本附加合同的交费方式和交费期间由您和我们约定并在保险单上载明。</w:t>
      </w:r>
    </w:p>
    <w:p>
      <w:pPr>
        <w:pStyle w:val="BodyText"/>
        <w:spacing w:before="9"/>
        <w:rPr>
          <w:sz w:val="14"/>
        </w:rPr>
      </w:pPr>
    </w:p>
    <w:p>
      <w:pPr>
        <w:pStyle w:val="BodyText"/>
        <w:spacing w:before="1"/>
        <w:ind w:left="2533"/>
      </w:pPr>
      <w:r>
        <w:rPr/>
        <w:t>本附加合同的交费期间与主合同的交费期间相同，且必须与主险同时交费。</w:t>
      </w:r>
    </w:p>
    <w:p>
      <w:pPr>
        <w:pStyle w:val="BodyText"/>
        <w:spacing w:before="10"/>
        <w:rPr>
          <w:sz w:val="14"/>
        </w:rPr>
      </w:pPr>
    </w:p>
    <w:p>
      <w:pPr>
        <w:pStyle w:val="BodyText"/>
        <w:spacing w:line="273" w:lineRule="auto"/>
        <w:ind w:left="2533" w:right="288"/>
      </w:pPr>
      <w:r>
        <w:rPr/>
        <w:t>分期支付保险费的，在交纳首期保险费后，您应当按照约定，在每个保险费约定交纳日交纳其余各期的保险费。</w:t>
      </w:r>
    </w:p>
    <w:p>
      <w:pPr>
        <w:pStyle w:val="BodyText"/>
        <w:spacing w:before="11"/>
        <w:rPr>
          <w:sz w:val="22"/>
        </w:rPr>
      </w:pPr>
    </w:p>
    <w:p>
      <w:pPr>
        <w:pStyle w:val="ListParagraph"/>
        <w:numPr>
          <w:ilvl w:val="1"/>
          <w:numId w:val="4"/>
        </w:numPr>
        <w:tabs>
          <w:tab w:pos="1002" w:val="left" w:leader="none"/>
          <w:tab w:pos="1003" w:val="left" w:leader="none"/>
          <w:tab w:pos="2533" w:val="left" w:leader="none"/>
        </w:tabs>
        <w:spacing w:line="273" w:lineRule="auto" w:before="0" w:after="0"/>
        <w:ind w:left="2533" w:right="110" w:hanging="2323"/>
        <w:jc w:val="left"/>
        <w:rPr>
          <w:sz w:val="21"/>
        </w:rPr>
      </w:pPr>
      <w:r>
        <w:rPr>
          <w:b/>
          <w:sz w:val="21"/>
        </w:rPr>
        <w:t>宽限期</w:t>
        <w:tab/>
      </w:r>
      <w:r>
        <w:rPr>
          <w:sz w:val="21"/>
        </w:rPr>
        <w:t>分期支付保险费的，投保人支付首期保险费后，除本附加合同另有约定外，如果投保人到期未支付保险费</w:t>
      </w:r>
      <w:r>
        <w:rPr>
          <w:spacing w:val="-105"/>
          <w:sz w:val="21"/>
        </w:rPr>
        <w:t>，</w:t>
      </w:r>
      <w:r>
        <w:rPr>
          <w:sz w:val="21"/>
        </w:rPr>
        <w:t>自保险费约定交纳日的次日零时</w:t>
      </w:r>
      <w:r>
        <w:rPr>
          <w:spacing w:val="35"/>
          <w:sz w:val="21"/>
        </w:rPr>
        <w:t>起</w:t>
      </w:r>
      <w:r>
        <w:rPr>
          <w:sz w:val="21"/>
        </w:rPr>
        <w:t>60</w:t>
      </w:r>
      <w:r>
        <w:rPr>
          <w:spacing w:val="-71"/>
          <w:sz w:val="21"/>
        </w:rPr>
        <w:t> </w:t>
      </w:r>
      <w:r>
        <w:rPr>
          <w:sz w:val="21"/>
        </w:rPr>
        <w:t>日为宽限期。宽限期内发生的保险事故，我们仍会承担保险责任，但在给付保险金时会扣减您欠交的保险费。</w:t>
      </w:r>
    </w:p>
    <w:p>
      <w:pPr>
        <w:pStyle w:val="BodyText"/>
        <w:spacing w:line="273" w:lineRule="auto" w:before="163"/>
        <w:ind w:left="2533" w:right="288"/>
      </w:pPr>
      <w:r>
        <w:rPr/>
        <w:t>如果您宽限期结束之后仍未支付保险费，则本附加合同自宽限期满的次日零时起效力中止。</w:t>
      </w:r>
    </w:p>
    <w:p>
      <w:pPr>
        <w:pStyle w:val="BodyText"/>
        <w:spacing w:before="13"/>
        <w:rPr>
          <w:sz w:val="20"/>
        </w:rPr>
      </w:pPr>
    </w:p>
    <w:p>
      <w:pPr>
        <w:pStyle w:val="Heading2"/>
        <w:numPr>
          <w:ilvl w:val="0"/>
          <w:numId w:val="4"/>
        </w:numPr>
        <w:tabs>
          <w:tab w:pos="1002" w:val="left" w:leader="none"/>
          <w:tab w:pos="1003" w:val="left" w:leader="none"/>
        </w:tabs>
        <w:spacing w:line="240" w:lineRule="auto" w:before="0" w:after="0"/>
        <w:ind w:left="1002" w:right="0" w:hanging="792"/>
        <w:jc w:val="left"/>
      </w:pPr>
      <w:r>
        <w:rPr/>
        <w:t>现金价值权益</w:t>
      </w:r>
    </w:p>
    <w:p>
      <w:pPr>
        <w:pStyle w:val="BodyText"/>
        <w:spacing w:before="9"/>
        <w:rPr>
          <w:b/>
          <w:sz w:val="10"/>
        </w:rPr>
      </w:pPr>
      <w:r>
        <w:rPr/>
        <w:pict>
          <v:line style="position:absolute;mso-position-horizontal-relative:page;mso-position-vertical-relative:paragraph;z-index:1360;mso-wrap-distance-left:0;mso-wrap-distance-right:0" from="51.119999pt,9.231392pt" to="538.799999pt,9.231392pt" stroked="true" strokeweight=".48pt" strokecolor="#000000">
            <v:stroke dashstyle="solid"/>
            <w10:wrap type="topAndBottom"/>
          </v:line>
        </w:pict>
      </w:r>
    </w:p>
    <w:p>
      <w:pPr>
        <w:pStyle w:val="ListParagraph"/>
        <w:numPr>
          <w:ilvl w:val="1"/>
          <w:numId w:val="4"/>
        </w:numPr>
        <w:tabs>
          <w:tab w:pos="1002" w:val="left" w:leader="none"/>
          <w:tab w:pos="1003" w:val="left" w:leader="none"/>
          <w:tab w:pos="2533" w:val="left" w:leader="none"/>
        </w:tabs>
        <w:spacing w:line="273" w:lineRule="auto" w:before="82" w:after="0"/>
        <w:ind w:left="2533" w:right="288" w:hanging="2323"/>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line="273" w:lineRule="auto" w:before="164"/>
        <w:ind w:left="2533" w:right="288"/>
      </w:pPr>
      <w:r>
        <w:rPr/>
        <w:t>我们会在保险单或批注上载明本附加合同保险单年度末的现金价值。如果您需要了解保险单年度内的现金价值，可向我们查询。</w:t>
      </w:r>
    </w:p>
    <w:p>
      <w:pPr>
        <w:spacing w:after="0" w:line="273" w:lineRule="auto"/>
        <w:sectPr>
          <w:pgSz w:w="11910" w:h="16840"/>
          <w:pgMar w:header="0" w:footer="1008" w:top="1100" w:bottom="1200" w:left="920" w:right="1020"/>
        </w:sectPr>
      </w:pPr>
    </w:p>
    <w:p>
      <w:pPr>
        <w:pStyle w:val="Heading3"/>
        <w:numPr>
          <w:ilvl w:val="1"/>
          <w:numId w:val="4"/>
        </w:numPr>
        <w:tabs>
          <w:tab w:pos="1008" w:val="left" w:leader="none"/>
          <w:tab w:pos="1009" w:val="left" w:leader="none"/>
        </w:tabs>
        <w:spacing w:line="273" w:lineRule="auto" w:before="19" w:after="0"/>
        <w:ind w:left="1008" w:right="0" w:hanging="794"/>
        <w:jc w:val="left"/>
      </w:pPr>
      <w:r>
        <w:rPr>
          <w:w w:val="95"/>
        </w:rPr>
        <w:t>减少基本保险</w:t>
      </w:r>
      <w:r>
        <w:rPr/>
        <w:t>金额</w:t>
      </w:r>
    </w:p>
    <w:p>
      <w:pPr>
        <w:pStyle w:val="BodyText"/>
        <w:spacing w:line="273" w:lineRule="auto" w:before="19"/>
        <w:ind w:left="213" w:right="188"/>
        <w:jc w:val="both"/>
      </w:pPr>
      <w:r>
        <w:rPr/>
        <w:br w:type="column"/>
      </w:r>
      <w:r>
        <w:rPr>
          <w:spacing w:val="-2"/>
        </w:rPr>
        <w:t>在本附加合同有效期间内，若您书面申请减少主合同基本保险金额，本附加合同</w:t>
      </w:r>
      <w:r>
        <w:rPr>
          <w:spacing w:val="-4"/>
        </w:rPr>
        <w:t>同时减少基本保险金额，且本附加合同的基本保险金额与主合同《华泰人寿福康相伴两全保险（分红型</w:t>
      </w:r>
      <w:r>
        <w:rPr>
          <w:spacing w:val="-102"/>
        </w:rPr>
        <w:t>）</w:t>
      </w:r>
      <w:r>
        <w:rPr/>
        <w:t>》的基本保险金额等额减少，减少后的基本保险金额不</w:t>
      </w:r>
      <w:r>
        <w:rPr>
          <w:spacing w:val="-1"/>
        </w:rPr>
        <w:t>得低于申请减额时我们规定的最低承保金额。我们按减保后的基本保险金额承担保险责任。</w:t>
      </w:r>
    </w:p>
    <w:p>
      <w:pPr>
        <w:pStyle w:val="BodyText"/>
        <w:spacing w:line="273" w:lineRule="auto" w:before="163"/>
        <w:ind w:left="213" w:right="191"/>
      </w:pPr>
      <w:r>
        <w:rPr>
          <w:spacing w:val="-2"/>
        </w:rPr>
        <w:t>我们按本附加合同约定退还基本保险金额的减少部分的现金价值。同时，根据主</w:t>
      </w:r>
      <w:r>
        <w:rPr>
          <w:spacing w:val="-6"/>
        </w:rPr>
        <w:t>合同条款应给付身故及满期保险金的计算依据“累计所交保险费”，需按照本次变更后的基本保险金额所对应的保险费进行调整。</w:t>
      </w:r>
    </w:p>
    <w:p>
      <w:pPr>
        <w:pStyle w:val="BodyText"/>
        <w:spacing w:before="6"/>
        <w:rPr>
          <w:sz w:val="25"/>
        </w:rPr>
      </w:pPr>
    </w:p>
    <w:p>
      <w:pPr>
        <w:pStyle w:val="BodyText"/>
        <w:ind w:left="234"/>
      </w:pPr>
      <w:r>
        <w:rPr/>
        <w:t>本附加合同不可单独办理减少基本保险金额。</w:t>
      </w:r>
    </w:p>
    <w:p>
      <w:pPr>
        <w:spacing w:after="0"/>
        <w:sectPr>
          <w:pgSz w:w="11910" w:h="16840"/>
          <w:pgMar w:header="0" w:footer="1008" w:top="1100" w:bottom="1200" w:left="920" w:right="920"/>
          <w:cols w:num="2" w:equalWidth="0">
            <w:col w:w="2273" w:space="52"/>
            <w:col w:w="7745"/>
          </w:cols>
        </w:sectPr>
      </w:pPr>
    </w:p>
    <w:p>
      <w:pPr>
        <w:pStyle w:val="BodyText"/>
        <w:spacing w:before="5"/>
        <w:rPr>
          <w:sz w:val="18"/>
        </w:rPr>
      </w:pPr>
    </w:p>
    <w:p>
      <w:pPr>
        <w:pStyle w:val="Heading2"/>
        <w:numPr>
          <w:ilvl w:val="0"/>
          <w:numId w:val="4"/>
        </w:numPr>
        <w:tabs>
          <w:tab w:pos="1011" w:val="left" w:leader="none"/>
          <w:tab w:pos="1012" w:val="left" w:leader="none"/>
        </w:tabs>
        <w:spacing w:line="240" w:lineRule="auto" w:before="26" w:after="0"/>
        <w:ind w:left="1011" w:right="0" w:hanging="801"/>
        <w:jc w:val="left"/>
      </w:pPr>
      <w:r>
        <w:rPr/>
        <w:t>合同解除</w:t>
      </w:r>
    </w:p>
    <w:p>
      <w:pPr>
        <w:pStyle w:val="BodyText"/>
        <w:spacing w:before="9"/>
        <w:rPr>
          <w:b/>
          <w:sz w:val="10"/>
        </w:rPr>
      </w:pPr>
      <w:r>
        <w:rPr/>
        <w:pict>
          <v:group style="position:absolute;margin-left:51.119999pt;margin-top:8.970271pt;width:492.9pt;height:.5pt;mso-position-horizontal-relative:page;mso-position-vertical-relative:paragraph;z-index:1384;mso-wrap-distance-left:0;mso-wrap-distance-right:0" coordorigin="1022,179" coordsize="9858,10">
            <v:line style="position:absolute" from="1022,184" to="3382,184" stroked="true" strokeweight=".47998pt" strokecolor="#000000">
              <v:stroke dashstyle="solid"/>
            </v:line>
            <v:line style="position:absolute" from="3382,184" to="10880,184" stroked="true" strokeweight=".4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600" w:bottom="1200" w:left="920" w:right="920"/>
        </w:sectPr>
      </w:pPr>
    </w:p>
    <w:p>
      <w:pPr>
        <w:pStyle w:val="Heading3"/>
        <w:numPr>
          <w:ilvl w:val="1"/>
          <w:numId w:val="4"/>
        </w:numPr>
        <w:tabs>
          <w:tab w:pos="1011" w:val="left" w:leader="none"/>
          <w:tab w:pos="1013" w:val="left" w:leader="none"/>
        </w:tabs>
        <w:spacing w:line="273" w:lineRule="auto" w:before="12" w:after="0"/>
        <w:ind w:left="1011" w:right="0" w:hanging="801"/>
        <w:jc w:val="left"/>
      </w:pPr>
      <w:r>
        <w:rPr>
          <w:w w:val="95"/>
        </w:rPr>
        <w:t>您解除合同的手续及风险</w:t>
      </w:r>
    </w:p>
    <w:p>
      <w:pPr>
        <w:pStyle w:val="BodyText"/>
        <w:spacing w:line="273" w:lineRule="auto" w:before="12"/>
        <w:ind w:left="210" w:right="146"/>
      </w:pPr>
      <w:r>
        <w:rPr/>
        <w:br w:type="column"/>
      </w:r>
      <w:r>
        <w:rPr/>
        <w:t>如您在犹豫期后申请解除本附加合同，请填写解除合同申请书并向我们提供下列资料：</w:t>
      </w:r>
    </w:p>
    <w:p>
      <w:pPr>
        <w:pStyle w:val="BodyText"/>
        <w:spacing w:before="163"/>
        <w:ind w:left="210"/>
      </w:pPr>
      <w:r>
        <w:rPr/>
        <w:t>1.保险合同；</w:t>
      </w:r>
    </w:p>
    <w:p>
      <w:pPr>
        <w:pStyle w:val="BodyText"/>
        <w:spacing w:before="9"/>
        <w:rPr>
          <w:sz w:val="14"/>
        </w:rPr>
      </w:pPr>
    </w:p>
    <w:p>
      <w:pPr>
        <w:pStyle w:val="BodyText"/>
        <w:ind w:left="210"/>
      </w:pPr>
      <w:r>
        <w:rPr/>
        <w:t>2.您的有效身份证件。</w:t>
      </w:r>
    </w:p>
    <w:p>
      <w:pPr>
        <w:pStyle w:val="BodyText"/>
        <w:spacing w:before="9"/>
        <w:rPr>
          <w:sz w:val="14"/>
        </w:rPr>
      </w:pPr>
    </w:p>
    <w:p>
      <w:pPr>
        <w:pStyle w:val="BodyText"/>
        <w:spacing w:line="273" w:lineRule="auto"/>
        <w:ind w:left="210" w:right="146"/>
      </w:pPr>
      <w:r>
        <w:rPr/>
        <w:t>如您委托他人办理书面申请解除本附加合同，还须提供授权委托书及受托人身份证件。</w:t>
      </w:r>
    </w:p>
    <w:p>
      <w:pPr>
        <w:spacing w:line="273" w:lineRule="auto" w:before="163"/>
        <w:ind w:left="210" w:right="137" w:firstLine="0"/>
        <w:jc w:val="left"/>
        <w:rPr>
          <w:sz w:val="21"/>
        </w:rPr>
      </w:pPr>
      <w:r>
        <w:rPr>
          <w:b/>
          <w:sz w:val="21"/>
        </w:rPr>
        <w:t>自我们收到解除合同申请书时起，本附加合同终止。</w:t>
      </w:r>
      <w:r>
        <w:rPr>
          <w:sz w:val="21"/>
        </w:rPr>
        <w:t>我们自收到解除合同申请书之日起 30 日内向您退还保险单的现金价值。</w:t>
      </w:r>
    </w:p>
    <w:p>
      <w:pPr>
        <w:pStyle w:val="BodyText"/>
        <w:spacing w:before="163"/>
        <w:ind w:left="210"/>
      </w:pPr>
      <w:r>
        <w:rPr/>
        <w:t>您犹豫期后解除合同会遭受一定损失。</w:t>
      </w:r>
    </w:p>
    <w:p>
      <w:pPr>
        <w:spacing w:after="0"/>
        <w:sectPr>
          <w:type w:val="continuous"/>
          <w:pgSz w:w="11910" w:h="16840"/>
          <w:pgMar w:top="1600" w:bottom="1200" w:left="920" w:right="920"/>
          <w:cols w:num="2" w:equalWidth="0">
            <w:col w:w="2276" w:space="72"/>
            <w:col w:w="7722"/>
          </w:cols>
        </w:sectPr>
      </w:pPr>
    </w:p>
    <w:p>
      <w:pPr>
        <w:pStyle w:val="BodyText"/>
        <w:spacing w:before="3"/>
      </w:pPr>
    </w:p>
    <w:p>
      <w:pPr>
        <w:pStyle w:val="Heading2"/>
        <w:numPr>
          <w:ilvl w:val="0"/>
          <w:numId w:val="4"/>
        </w:numPr>
        <w:tabs>
          <w:tab w:pos="1011" w:val="left" w:leader="none"/>
          <w:tab w:pos="1012" w:val="left" w:leader="none"/>
        </w:tabs>
        <w:spacing w:line="240" w:lineRule="auto" w:before="26" w:after="0"/>
        <w:ind w:left="1012" w:right="0" w:hanging="802"/>
        <w:jc w:val="left"/>
      </w:pPr>
      <w:r>
        <w:rPr/>
        <w:t>释义</w:t>
      </w:r>
    </w:p>
    <w:p>
      <w:pPr>
        <w:pStyle w:val="BodyText"/>
        <w:spacing w:before="8"/>
        <w:rPr>
          <w:b/>
          <w:sz w:val="10"/>
        </w:rPr>
      </w:pPr>
      <w:r>
        <w:rPr/>
        <w:pict>
          <v:group style="position:absolute;margin-left:51.119999pt;margin-top:8.91188pt;width:492.9pt;height:.5pt;mso-position-horizontal-relative:page;mso-position-vertical-relative:paragraph;z-index:1408;mso-wrap-distance-left:0;mso-wrap-distance-right:0" coordorigin="1022,178" coordsize="9858,10">
            <v:line style="position:absolute" from="1022,183" to="3382,183" stroked="true" strokeweight=".47998pt" strokecolor="#000000">
              <v:stroke dashstyle="solid"/>
            </v:line>
            <v:line style="position:absolute" from="3382,183" to="10880,183" stroked="true" strokeweight=".48pt" strokecolor="#000000">
              <v:stroke dashstyle="solid"/>
            </v:line>
            <w10:wrap type="topAndBottom"/>
          </v:group>
        </w:pict>
      </w:r>
    </w:p>
    <w:p>
      <w:pPr>
        <w:pStyle w:val="ListParagraph"/>
        <w:numPr>
          <w:ilvl w:val="1"/>
          <w:numId w:val="4"/>
        </w:numPr>
        <w:tabs>
          <w:tab w:pos="1011" w:val="left" w:leader="none"/>
          <w:tab w:pos="1013" w:val="left" w:leader="none"/>
          <w:tab w:pos="2558" w:val="left" w:leader="none"/>
        </w:tabs>
        <w:spacing w:line="273" w:lineRule="auto" w:before="83" w:after="0"/>
        <w:ind w:left="2558" w:right="209" w:hanging="2348"/>
        <w:jc w:val="left"/>
        <w:rPr>
          <w:sz w:val="21"/>
        </w:rPr>
      </w:pPr>
      <w:r>
        <w:rPr>
          <w:b/>
          <w:sz w:val="21"/>
        </w:rPr>
        <w:t>周岁</w:t>
        <w:tab/>
      </w:r>
      <w:r>
        <w:rPr>
          <w:sz w:val="21"/>
        </w:rPr>
        <w:t>以户籍证明或其他法定的身份证件中记载的出生日期为标准计算年</w:t>
      </w:r>
      <w:r>
        <w:rPr>
          <w:spacing w:val="-57"/>
          <w:sz w:val="21"/>
        </w:rPr>
        <w:t>龄</w:t>
      </w:r>
      <w:r>
        <w:rPr>
          <w:sz w:val="21"/>
        </w:rPr>
        <w:t>（不足</w:t>
      </w:r>
      <w:r>
        <w:rPr>
          <w:spacing w:val="-54"/>
          <w:sz w:val="21"/>
        </w:rPr>
        <w:t> </w:t>
      </w:r>
      <w:r>
        <w:rPr>
          <w:sz w:val="21"/>
        </w:rPr>
        <w:t>1</w:t>
      </w:r>
      <w:r>
        <w:rPr>
          <w:spacing w:val="-53"/>
          <w:sz w:val="21"/>
        </w:rPr>
        <w:t> </w:t>
      </w:r>
      <w:r>
        <w:rPr>
          <w:sz w:val="21"/>
        </w:rPr>
        <w:t>年不计</w:t>
      </w:r>
      <w:r>
        <w:rPr>
          <w:spacing w:val="-105"/>
          <w:sz w:val="21"/>
        </w:rPr>
        <w:t>）</w:t>
      </w:r>
      <w:r>
        <w:rPr>
          <w:sz w:val="21"/>
        </w:rPr>
        <w:t>。</w:t>
      </w:r>
    </w:p>
    <w:p>
      <w:pPr>
        <w:pStyle w:val="BodyText"/>
        <w:rPr>
          <w:sz w:val="18"/>
        </w:rPr>
      </w:pPr>
    </w:p>
    <w:p>
      <w:pPr>
        <w:pStyle w:val="ListParagraph"/>
        <w:numPr>
          <w:ilvl w:val="1"/>
          <w:numId w:val="4"/>
        </w:numPr>
        <w:tabs>
          <w:tab w:pos="1011" w:val="left" w:leader="none"/>
          <w:tab w:pos="1013" w:val="left" w:leader="none"/>
          <w:tab w:pos="2558" w:val="left" w:leader="none"/>
        </w:tabs>
        <w:spacing w:line="273" w:lineRule="auto" w:before="0" w:after="0"/>
        <w:ind w:left="2558" w:right="211" w:hanging="2348"/>
        <w:jc w:val="left"/>
        <w:rPr>
          <w:sz w:val="21"/>
        </w:rPr>
      </w:pPr>
      <w:r>
        <w:rPr>
          <w:b/>
          <w:sz w:val="21"/>
        </w:rPr>
        <w:t>有效身份证件</w:t>
        <w:tab/>
      </w:r>
      <w:r>
        <w:rPr>
          <w:sz w:val="21"/>
        </w:rPr>
        <w:t>指由政府主管部门规定的证明其身份的证件</w:t>
      </w:r>
      <w:r>
        <w:rPr>
          <w:spacing w:val="-20"/>
          <w:sz w:val="21"/>
        </w:rPr>
        <w:t>，</w:t>
      </w:r>
      <w:r>
        <w:rPr>
          <w:sz w:val="21"/>
        </w:rPr>
        <w:t>如</w:t>
      </w:r>
      <w:r>
        <w:rPr>
          <w:spacing w:val="-20"/>
          <w:sz w:val="21"/>
        </w:rPr>
        <w:t>：</w:t>
      </w:r>
      <w:r>
        <w:rPr>
          <w:sz w:val="21"/>
        </w:rPr>
        <w:t>居民身份证</w:t>
      </w:r>
      <w:r>
        <w:rPr>
          <w:spacing w:val="-20"/>
          <w:sz w:val="21"/>
        </w:rPr>
        <w:t>、</w:t>
      </w:r>
      <w:r>
        <w:rPr>
          <w:sz w:val="21"/>
        </w:rPr>
        <w:t>按规定可使用的有效护照、军官证、警官证、士兵证、户口簿等证件。</w:t>
      </w:r>
    </w:p>
    <w:p>
      <w:pPr>
        <w:pStyle w:val="BodyText"/>
        <w:spacing w:before="3"/>
        <w:rPr>
          <w:sz w:val="24"/>
        </w:rPr>
      </w:pPr>
    </w:p>
    <w:p>
      <w:pPr>
        <w:pStyle w:val="ListParagraph"/>
        <w:numPr>
          <w:ilvl w:val="1"/>
          <w:numId w:val="4"/>
        </w:numPr>
        <w:tabs>
          <w:tab w:pos="1012" w:val="left" w:leader="none"/>
          <w:tab w:pos="1013" w:val="left" w:leader="none"/>
          <w:tab w:pos="2558" w:val="left" w:leader="none"/>
        </w:tabs>
        <w:spacing w:line="304" w:lineRule="auto" w:before="0" w:after="0"/>
        <w:ind w:left="2558" w:right="259" w:hanging="2348"/>
        <w:jc w:val="left"/>
        <w:rPr>
          <w:sz w:val="21"/>
        </w:rPr>
      </w:pPr>
      <w:r>
        <w:rPr>
          <w:b/>
          <w:position w:val="2"/>
          <w:sz w:val="21"/>
        </w:rPr>
        <w:t>轻型重疾</w:t>
        <w:tab/>
      </w:r>
      <w:r>
        <w:rPr>
          <w:sz w:val="21"/>
        </w:rPr>
        <w:t>本附加合同中所列轻型重疾包括以下</w:t>
      </w:r>
      <w:r>
        <w:rPr>
          <w:spacing w:val="-70"/>
          <w:sz w:val="21"/>
        </w:rPr>
        <w:t> </w:t>
      </w:r>
      <w:r>
        <w:rPr>
          <w:sz w:val="21"/>
        </w:rPr>
        <w:t>10</w:t>
      </w:r>
      <w:r>
        <w:rPr>
          <w:spacing w:val="-70"/>
          <w:sz w:val="21"/>
        </w:rPr>
        <w:t> </w:t>
      </w:r>
      <w:r>
        <w:rPr>
          <w:sz w:val="21"/>
        </w:rPr>
        <w:t>种，您投保本附加合同即表明认可并遵从本附加合同中对轻症重疾的定义：</w:t>
      </w:r>
    </w:p>
    <w:p>
      <w:pPr>
        <w:pStyle w:val="BodyText"/>
        <w:rPr>
          <w:sz w:val="20"/>
        </w:rPr>
      </w:pPr>
    </w:p>
    <w:p>
      <w:pPr>
        <w:pStyle w:val="BodyText"/>
        <w:spacing w:before="5"/>
        <w:rPr>
          <w:sz w:val="23"/>
        </w:rPr>
      </w:pPr>
    </w:p>
    <w:p>
      <w:pPr>
        <w:pStyle w:val="BodyText"/>
        <w:spacing w:line="304" w:lineRule="auto"/>
        <w:ind w:left="2870" w:right="105"/>
      </w:pPr>
      <w:r>
        <w:rPr>
          <w:spacing w:val="-40"/>
        </w:rPr>
        <w:t>1）</w:t>
      </w:r>
      <w:r>
        <w:rPr>
          <w:spacing w:val="-8"/>
        </w:rPr>
        <w:t>非危及生命的恶性病变：指经组织病理学检查被明确诊断为下列恶性病变， 并且接受了相应的治疗。</w:t>
      </w:r>
    </w:p>
    <w:p>
      <w:pPr>
        <w:pStyle w:val="BodyText"/>
        <w:spacing w:before="118"/>
        <w:ind w:left="2870"/>
      </w:pPr>
      <w:r>
        <w:rPr/>
        <w:t>（1）原位癌；</w:t>
      </w:r>
    </w:p>
    <w:p>
      <w:pPr>
        <w:pStyle w:val="BodyText"/>
        <w:spacing w:before="175"/>
        <w:ind w:left="2870"/>
      </w:pPr>
      <w:r>
        <w:rPr/>
        <w:t>（2）相当于Binet 分期方案 A 期程度的慢性淋巴细胞白血病；</w:t>
      </w:r>
    </w:p>
    <w:p>
      <w:pPr>
        <w:pStyle w:val="BodyText"/>
        <w:spacing w:before="175"/>
        <w:ind w:left="2870"/>
      </w:pPr>
      <w:r>
        <w:rPr/>
        <w:t>（3）相当于Ann Arbor 分期方案 I 期程度的何杰金氏病；</w:t>
      </w:r>
    </w:p>
    <w:p>
      <w:pPr>
        <w:pStyle w:val="BodyText"/>
        <w:spacing w:before="173"/>
        <w:ind w:left="2870"/>
      </w:pPr>
      <w:r>
        <w:rPr/>
        <w:t>（4）</w:t>
      </w:r>
      <w:r>
        <w:rPr>
          <w:spacing w:val="-1"/>
        </w:rPr>
        <w:t>皮肤癌</w:t>
      </w:r>
      <w:r>
        <w:rPr/>
        <w:t>（不包括恶性黑色素瘤及已发生转移的皮肤癌</w:t>
      </w:r>
      <w:r>
        <w:rPr>
          <w:spacing w:val="-106"/>
        </w:rPr>
        <w:t>）</w:t>
      </w:r>
      <w:r>
        <w:rPr/>
        <w:t>；</w:t>
      </w:r>
    </w:p>
    <w:p>
      <w:pPr>
        <w:spacing w:after="0"/>
        <w:sectPr>
          <w:type w:val="continuous"/>
          <w:pgSz w:w="11910" w:h="16840"/>
          <w:pgMar w:top="1600" w:bottom="1200" w:left="920" w:right="920"/>
        </w:sectPr>
      </w:pPr>
    </w:p>
    <w:p>
      <w:pPr>
        <w:pStyle w:val="BodyText"/>
        <w:spacing w:before="20"/>
        <w:ind w:left="2144"/>
      </w:pPr>
      <w:r>
        <w:rPr/>
        <w:t>（5）TNM 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期或其他分级标准相当的前列腺癌。</w:t>
      </w:r>
    </w:p>
    <w:p>
      <w:pPr>
        <w:pStyle w:val="BodyText"/>
        <w:spacing w:line="273" w:lineRule="auto" w:before="119"/>
        <w:ind w:left="2110" w:right="110" w:hanging="312"/>
        <w:jc w:val="both"/>
      </w:pPr>
      <w:r>
        <w:rPr/>
        <w:t>2</w:t>
      </w:r>
      <w:r>
        <w:rPr>
          <w:spacing w:val="-10"/>
        </w:rPr>
        <w:t>）</w:t>
      </w:r>
      <w:r>
        <w:rPr>
          <w:spacing w:val="-5"/>
        </w:rPr>
        <w:t>脑垂体瘤、脑囊肿、脑动脉瘤和脑血管瘤：指经头颅断层扫描</w:t>
      </w:r>
      <w:r>
        <w:rPr/>
        <w:t>（CT</w:t>
      </w:r>
      <w:r>
        <w:rPr>
          <w:spacing w:val="-107"/>
        </w:rPr>
        <w:t>）</w:t>
      </w:r>
      <w:r>
        <w:rPr>
          <w:spacing w:val="-3"/>
        </w:rPr>
        <w:t>、核磁共</w:t>
      </w:r>
      <w:r>
        <w:rPr>
          <w:spacing w:val="-18"/>
        </w:rPr>
        <w:t>振</w:t>
      </w:r>
      <w:r>
        <w:rPr>
          <w:spacing w:val="-4"/>
        </w:rPr>
        <w:t>（MRI）</w:t>
      </w:r>
      <w:r>
        <w:rPr>
          <w:spacing w:val="-2"/>
        </w:rPr>
        <w:t>或其他影像学检查被确诊为下列病变，并实际接受了手术或放射治疗。</w:t>
      </w:r>
    </w:p>
    <w:p>
      <w:pPr>
        <w:pStyle w:val="BodyText"/>
        <w:spacing w:before="26"/>
        <w:ind w:left="2110"/>
      </w:pPr>
      <w:r>
        <w:rPr/>
        <w:t>（1）脑垂体瘤；</w:t>
      </w:r>
    </w:p>
    <w:p>
      <w:pPr>
        <w:pStyle w:val="BodyText"/>
        <w:spacing w:before="174"/>
        <w:ind w:left="2110"/>
      </w:pPr>
      <w:r>
        <w:rPr/>
        <w:t>（2）</w:t>
      </w:r>
      <w:r>
        <w:rPr>
          <w:spacing w:val="-27"/>
        </w:rPr>
        <w:t>脑囊肿；</w:t>
      </w:r>
      <w:r>
        <w:rPr/>
        <w:t>（3）</w:t>
      </w:r>
      <w:r>
        <w:rPr>
          <w:spacing w:val="-1"/>
        </w:rPr>
        <w:t>脑动脉瘤、脑血管瘤。</w:t>
      </w:r>
    </w:p>
    <w:p>
      <w:pPr>
        <w:pStyle w:val="BodyText"/>
        <w:rPr>
          <w:sz w:val="20"/>
        </w:rPr>
      </w:pPr>
    </w:p>
    <w:p>
      <w:pPr>
        <w:pStyle w:val="BodyText"/>
        <w:rPr>
          <w:sz w:val="20"/>
        </w:rPr>
      </w:pPr>
    </w:p>
    <w:p>
      <w:pPr>
        <w:pStyle w:val="BodyText"/>
        <w:spacing w:line="304" w:lineRule="auto" w:before="174"/>
        <w:ind w:left="2110" w:right="159" w:hanging="312"/>
        <w:jc w:val="both"/>
      </w:pPr>
      <w:r>
        <w:rPr/>
        <w:t>3）主动脉介入手术：为了治疗主动脉疾病实际实施了经皮经导管进行的动脉内手术。主动脉指胸主动脉和腹主动脉，不包括胸主动脉和腹主动脉的分支血管。</w:t>
      </w:r>
    </w:p>
    <w:p>
      <w:pPr>
        <w:pStyle w:val="BodyText"/>
        <w:rPr>
          <w:sz w:val="20"/>
        </w:rPr>
      </w:pPr>
    </w:p>
    <w:p>
      <w:pPr>
        <w:pStyle w:val="BodyText"/>
        <w:spacing w:before="5"/>
        <w:rPr>
          <w:sz w:val="23"/>
        </w:rPr>
      </w:pPr>
    </w:p>
    <w:p>
      <w:pPr>
        <w:pStyle w:val="BodyText"/>
        <w:spacing w:line="304" w:lineRule="auto"/>
        <w:ind w:left="2110" w:right="159" w:hanging="312"/>
        <w:jc w:val="both"/>
      </w:pPr>
      <w:r>
        <w:rPr/>
        <w:t>4）冠状动脉介入手术：为了治疗明显的冠状动脉狭窄性疾病，首次实际实施了冠状动脉球囊扩张成形术、冠状动脉支架植入术或激光冠状动脉成形术。</w:t>
      </w:r>
    </w:p>
    <w:p>
      <w:pPr>
        <w:pStyle w:val="BodyText"/>
        <w:rPr>
          <w:sz w:val="20"/>
        </w:rPr>
      </w:pPr>
    </w:p>
    <w:p>
      <w:pPr>
        <w:pStyle w:val="BodyText"/>
        <w:spacing w:before="5"/>
        <w:rPr>
          <w:sz w:val="23"/>
        </w:rPr>
      </w:pPr>
    </w:p>
    <w:p>
      <w:pPr>
        <w:pStyle w:val="BodyText"/>
        <w:spacing w:line="304" w:lineRule="auto"/>
        <w:ind w:left="2110" w:right="111" w:hanging="312"/>
        <w:jc w:val="both"/>
      </w:pPr>
      <w:r>
        <w:rPr/>
        <w:t>5）轻度原发性肺动脉高压：指由于原发性肺动脉高压进行性发展而导致右心室肥厚，已经造成</w:t>
      </w:r>
      <w:r>
        <w:rPr>
          <w:b/>
        </w:rPr>
        <w:t>永久不可逆</w:t>
      </w:r>
      <w:r>
        <w:rPr/>
        <w:t>（</w:t>
      </w:r>
      <w:r>
        <w:rPr>
          <w:spacing w:val="-31"/>
        </w:rPr>
        <w:t>见 </w:t>
      </w:r>
      <w:r>
        <w:rPr/>
        <w:t>7.17）性的体力活动能力受限，虽然未达到</w:t>
      </w:r>
      <w:r>
        <w:rPr>
          <w:spacing w:val="-1"/>
        </w:rPr>
        <w:t>重大疾病“严重原发性肺动脉高压”的给付标准, 但达到美国纽约心脏病学</w:t>
      </w:r>
      <w:r>
        <w:rPr>
          <w:spacing w:val="-7"/>
        </w:rPr>
        <w:t>会心功能状态分级 </w:t>
      </w:r>
      <w:r>
        <w:rPr/>
        <w:t>III</w:t>
      </w:r>
      <w:r>
        <w:rPr>
          <w:spacing w:val="-11"/>
        </w:rPr>
        <w:t> 级，且静息状态下肺动脉平均压超过 </w:t>
      </w:r>
      <w:r>
        <w:rPr/>
        <w:t>25mmHg。</w:t>
      </w:r>
    </w:p>
    <w:p>
      <w:pPr>
        <w:pStyle w:val="BodyText"/>
        <w:rPr>
          <w:sz w:val="20"/>
        </w:rPr>
      </w:pPr>
    </w:p>
    <w:p>
      <w:pPr>
        <w:pStyle w:val="BodyText"/>
        <w:spacing w:before="11"/>
      </w:pPr>
    </w:p>
    <w:p>
      <w:pPr>
        <w:pStyle w:val="BodyText"/>
        <w:spacing w:line="273" w:lineRule="auto"/>
        <w:ind w:left="2110" w:right="111" w:hanging="312"/>
        <w:jc w:val="both"/>
      </w:pPr>
      <w:r>
        <w:rPr/>
        <w:t>6）视力严重受损：指因疾病或意外伤害导致双目视力永久不可逆性丧失，虽然未达到重大疾病“双目失明”的给付标准，但满足下列全部条件：</w:t>
      </w:r>
    </w:p>
    <w:p>
      <w:pPr>
        <w:pStyle w:val="BodyText"/>
        <w:spacing w:line="307" w:lineRule="auto" w:before="27"/>
        <w:ind w:left="2110" w:right="110"/>
      </w:pPr>
      <w:r>
        <w:rPr/>
        <w:t>（1）</w:t>
      </w:r>
      <w:r>
        <w:rPr>
          <w:spacing w:val="-5"/>
        </w:rPr>
        <w:t>双眼中较好眼矫正视力低于 </w:t>
      </w:r>
      <w:r>
        <w:rPr/>
        <w:t>0.1（采用国际标准视力表，如果使用其他视力表应进行换算</w:t>
      </w:r>
      <w:r>
        <w:rPr>
          <w:spacing w:val="-105"/>
        </w:rPr>
        <w:t>）</w:t>
      </w:r>
      <w:r>
        <w:rPr/>
        <w:t>；</w:t>
      </w:r>
    </w:p>
    <w:p>
      <w:pPr>
        <w:pStyle w:val="BodyText"/>
        <w:spacing w:before="116"/>
        <w:ind w:left="2110"/>
      </w:pPr>
      <w:r>
        <w:rPr/>
        <w:t>（2）视野半径小于 20 度。</w:t>
      </w:r>
    </w:p>
    <w:p>
      <w:pPr>
        <w:pStyle w:val="BodyText"/>
        <w:spacing w:line="307" w:lineRule="auto" w:before="173"/>
        <w:ind w:left="2109" w:right="162"/>
      </w:pPr>
      <w:r>
        <w:rPr>
          <w:spacing w:val="-4"/>
        </w:rPr>
        <w:t>申请理赔时，被保险人年龄必须在 </w:t>
      </w:r>
      <w:r>
        <w:rPr/>
        <w:t>3</w:t>
      </w:r>
      <w:r>
        <w:rPr>
          <w:spacing w:val="-8"/>
        </w:rPr>
        <w:t> 周岁以上，并且须提供理赔当时的视力丧失诊断及检查证据。</w:t>
      </w:r>
    </w:p>
    <w:p>
      <w:pPr>
        <w:pStyle w:val="BodyText"/>
        <w:rPr>
          <w:sz w:val="20"/>
        </w:rPr>
      </w:pPr>
    </w:p>
    <w:p>
      <w:pPr>
        <w:pStyle w:val="BodyText"/>
        <w:spacing w:before="2"/>
        <w:rPr>
          <w:sz w:val="23"/>
        </w:rPr>
      </w:pPr>
    </w:p>
    <w:p>
      <w:pPr>
        <w:pStyle w:val="BodyText"/>
        <w:spacing w:line="307" w:lineRule="auto"/>
        <w:ind w:left="2110" w:right="159" w:hanging="312"/>
        <w:jc w:val="both"/>
      </w:pPr>
      <w:r>
        <w:rPr/>
        <w:t>7）心脏瓣膜介入手术：为了治疗心脏瓣膜疾病，实际实施了非开胸的经胸壁打孔内镜手术或经皮经导管介入手术进行的心脏瓣膜置换或修复手术。</w:t>
      </w:r>
    </w:p>
    <w:p>
      <w:pPr>
        <w:pStyle w:val="BodyText"/>
        <w:rPr>
          <w:sz w:val="20"/>
        </w:rPr>
      </w:pPr>
    </w:p>
    <w:p>
      <w:pPr>
        <w:pStyle w:val="BodyText"/>
        <w:spacing w:before="9"/>
      </w:pPr>
    </w:p>
    <w:p>
      <w:pPr>
        <w:pStyle w:val="BodyText"/>
        <w:spacing w:line="273" w:lineRule="auto"/>
        <w:ind w:left="2110" w:right="111" w:hanging="312"/>
        <w:jc w:val="both"/>
      </w:pPr>
      <w:r>
        <w:rPr/>
        <w:t>8）听力严重受损：指因疾病或意外伤害导致双耳听力永久不可逆性丧失，虽然</w:t>
      </w:r>
      <w:r>
        <w:rPr>
          <w:spacing w:val="-13"/>
        </w:rPr>
        <w:t>未达到重大疾病“双耳失聪”的给付标准, 但在 </w:t>
      </w:r>
      <w:r>
        <w:rPr/>
        <w:t>500</w:t>
      </w:r>
      <w:r>
        <w:rPr>
          <w:spacing w:val="-14"/>
        </w:rPr>
        <w:t> 赫兹、</w:t>
      </w:r>
      <w:r>
        <w:rPr/>
        <w:t>1000</w:t>
      </w:r>
      <w:r>
        <w:rPr>
          <w:spacing w:val="-12"/>
        </w:rPr>
        <w:t> 赫兹和 </w:t>
      </w:r>
      <w:r>
        <w:rPr/>
        <w:t>2000</w:t>
      </w:r>
    </w:p>
    <w:p>
      <w:pPr>
        <w:pStyle w:val="BodyText"/>
        <w:spacing w:line="273" w:lineRule="auto" w:before="7"/>
        <w:ind w:left="2110" w:right="109"/>
      </w:pPr>
      <w:r>
        <w:rPr/>
        <w:t>赫兹语音频率下，平均听阈大于 70 分贝，且经纯音听力测试、声导抗检测或听觉诱发电位检测等证实。</w:t>
      </w:r>
    </w:p>
    <w:p>
      <w:pPr>
        <w:pStyle w:val="BodyText"/>
        <w:spacing w:line="304" w:lineRule="auto" w:before="26"/>
        <w:ind w:left="2109" w:right="162"/>
      </w:pPr>
      <w:r>
        <w:rPr>
          <w:spacing w:val="-4"/>
        </w:rPr>
        <w:t>申请理赔时，被保险人年龄必须在 </w:t>
      </w:r>
      <w:r>
        <w:rPr/>
        <w:t>3</w:t>
      </w:r>
      <w:r>
        <w:rPr>
          <w:spacing w:val="-8"/>
        </w:rPr>
        <w:t> 周岁以上，并且须提供理赔当时的听力丧失诊断及检查证据。</w:t>
      </w:r>
    </w:p>
    <w:p>
      <w:pPr>
        <w:pStyle w:val="BodyText"/>
        <w:spacing w:before="118"/>
        <w:ind w:left="1798"/>
      </w:pPr>
      <w:r>
        <w:rPr/>
        <w:t>9）脑外伤开颅手术：因头部遭受机械性外力，引起脑重要部位损伤，并实际接</w:t>
      </w:r>
    </w:p>
    <w:p>
      <w:pPr>
        <w:spacing w:after="0"/>
        <w:sectPr>
          <w:pgSz w:w="11910" w:h="16840"/>
          <w:pgMar w:header="0" w:footer="1008" w:top="1100" w:bottom="1200" w:left="1680" w:right="1020"/>
        </w:sectPr>
      </w:pPr>
    </w:p>
    <w:p>
      <w:pPr>
        <w:pStyle w:val="BodyText"/>
        <w:spacing w:before="18"/>
        <w:ind w:left="2770"/>
      </w:pPr>
      <w:r>
        <w:rPr/>
        <w:t>受了全麻下颅骨切开颅内血肿清除术（颅骨钻孔术除外</w:t>
      </w:r>
      <w:r>
        <w:rPr>
          <w:spacing w:val="-105"/>
        </w:rPr>
        <w:t>）</w:t>
      </w:r>
      <w:r>
        <w:rPr/>
        <w:t>。</w:t>
      </w:r>
    </w:p>
    <w:p>
      <w:pPr>
        <w:pStyle w:val="BodyText"/>
        <w:rPr>
          <w:sz w:val="20"/>
        </w:rPr>
      </w:pPr>
    </w:p>
    <w:p>
      <w:pPr>
        <w:pStyle w:val="BodyText"/>
        <w:spacing w:before="8"/>
        <w:rPr>
          <w:sz w:val="27"/>
        </w:rPr>
      </w:pPr>
    </w:p>
    <w:p>
      <w:pPr>
        <w:pStyle w:val="BodyText"/>
        <w:spacing w:line="307" w:lineRule="auto"/>
        <w:ind w:left="2770" w:right="210" w:hanging="312"/>
      </w:pPr>
      <w:r>
        <w:rPr>
          <w:spacing w:val="-19"/>
        </w:rPr>
        <w:t>10）</w:t>
      </w:r>
      <w:r>
        <w:rPr>
          <w:spacing w:val="-14"/>
        </w:rPr>
        <w:t>三度烧伤：指烧伤程度为Ⅲ度，且Ⅲ度烧伤面积达到全身体表面积的 10%（</w:t>
      </w:r>
      <w:r>
        <w:rPr/>
        <w:t>百分之十）</w:t>
      </w:r>
      <w:r>
        <w:rPr>
          <w:spacing w:val="-15"/>
        </w:rPr>
        <w:t>但少于 </w:t>
      </w:r>
      <w:r>
        <w:rPr/>
        <w:t>20%（百分之二十</w:t>
      </w:r>
      <w:r>
        <w:rPr>
          <w:spacing w:val="-105"/>
        </w:rPr>
        <w:t>）</w:t>
      </w:r>
      <w:r>
        <w:rPr/>
        <w:t>。体表面积根据《中国新九分法》计算。</w:t>
      </w:r>
    </w:p>
    <w:p>
      <w:pPr>
        <w:pStyle w:val="BodyText"/>
        <w:rPr>
          <w:sz w:val="20"/>
        </w:rPr>
      </w:pPr>
    </w:p>
    <w:p>
      <w:pPr>
        <w:pStyle w:val="BodyText"/>
        <w:spacing w:before="8"/>
      </w:pPr>
    </w:p>
    <w:p>
      <w:pPr>
        <w:pStyle w:val="ListParagraph"/>
        <w:numPr>
          <w:ilvl w:val="1"/>
          <w:numId w:val="4"/>
        </w:numPr>
        <w:tabs>
          <w:tab w:pos="911" w:val="left" w:leader="none"/>
          <w:tab w:pos="913" w:val="left" w:leader="none"/>
          <w:tab w:pos="2668" w:val="left" w:leader="none"/>
        </w:tabs>
        <w:spacing w:line="307" w:lineRule="auto" w:before="0" w:after="0"/>
        <w:ind w:left="2668" w:right="106" w:hanging="2558"/>
        <w:jc w:val="left"/>
        <w:rPr>
          <w:sz w:val="21"/>
        </w:rPr>
      </w:pPr>
      <w:r>
        <w:rPr>
          <w:b/>
          <w:position w:val="2"/>
          <w:sz w:val="21"/>
        </w:rPr>
        <w:t>特定重大疾病</w:t>
        <w:tab/>
      </w:r>
      <w:r>
        <w:rPr>
          <w:sz w:val="21"/>
        </w:rPr>
        <w:t>本附加合同中所列特定重大疾病包括</w:t>
      </w:r>
      <w:r>
        <w:rPr>
          <w:spacing w:val="-41"/>
          <w:sz w:val="21"/>
        </w:rPr>
        <w:t>：</w:t>
      </w:r>
      <w:r>
        <w:rPr>
          <w:sz w:val="21"/>
        </w:rPr>
        <w:t>男性肝癌</w:t>
      </w:r>
      <w:r>
        <w:rPr>
          <w:spacing w:val="-41"/>
          <w:sz w:val="21"/>
        </w:rPr>
        <w:t>、</w:t>
      </w:r>
      <w:r>
        <w:rPr>
          <w:sz w:val="21"/>
        </w:rPr>
        <w:t>肺癌</w:t>
      </w:r>
      <w:r>
        <w:rPr>
          <w:spacing w:val="-41"/>
          <w:sz w:val="21"/>
        </w:rPr>
        <w:t>；</w:t>
      </w:r>
      <w:r>
        <w:rPr>
          <w:sz w:val="21"/>
        </w:rPr>
        <w:t>女性乳腺癌</w:t>
      </w:r>
      <w:r>
        <w:rPr>
          <w:spacing w:val="-41"/>
          <w:sz w:val="21"/>
        </w:rPr>
        <w:t>、</w:t>
      </w:r>
      <w:r>
        <w:rPr>
          <w:sz w:val="21"/>
        </w:rPr>
        <w:t>子宫癌。您投保本附加合同即表明认可并遵从本附加合同中对特定重大疾病的定义。</w:t>
      </w:r>
    </w:p>
    <w:p>
      <w:pPr>
        <w:pStyle w:val="BodyText"/>
        <w:rPr>
          <w:sz w:val="20"/>
        </w:rPr>
      </w:pPr>
    </w:p>
    <w:p>
      <w:pPr>
        <w:pStyle w:val="BodyText"/>
        <w:spacing w:before="2"/>
        <w:rPr>
          <w:sz w:val="23"/>
        </w:rPr>
      </w:pPr>
    </w:p>
    <w:p>
      <w:pPr>
        <w:pStyle w:val="BodyText"/>
        <w:ind w:left="2770"/>
      </w:pPr>
      <w:r>
        <w:rPr/>
        <w:t>男性肝癌、肺癌：</w:t>
      </w:r>
    </w:p>
    <w:p>
      <w:pPr>
        <w:pStyle w:val="BodyText"/>
        <w:spacing w:line="304" w:lineRule="auto" w:before="174"/>
        <w:ind w:left="2770" w:right="211"/>
        <w:jc w:val="both"/>
        <w:rPr>
          <w:b/>
        </w:rPr>
      </w:pPr>
      <w:r>
        <w:rPr/>
        <w:t>本定义所指仅限于发生在男性肝脏或肺脏的癌症。癌症是指恶性细胞不受控制的进行性增长和扩散，浸润和破坏周围正常组织，可以经血管、淋巴管和体腔扩散转移到身体其它部位的疾病。经病理学检查结果明确诊断，临床诊</w:t>
      </w:r>
      <w:r>
        <w:rPr>
          <w:spacing w:val="-2"/>
        </w:rPr>
        <w:t>断属于世界卫生组织《疾病和有关健康问题的国际统计分类</w:t>
      </w:r>
      <w:r>
        <w:rPr>
          <w:spacing w:val="-123"/>
        </w:rPr>
        <w:t>》</w:t>
      </w:r>
      <w:r>
        <w:rPr>
          <w:spacing w:val="-4"/>
        </w:rPr>
        <w:t>（ICD-10）</w:t>
      </w:r>
      <w:r>
        <w:rPr/>
        <w:t>的恶</w:t>
      </w:r>
      <w:r>
        <w:rPr>
          <w:w w:val="95"/>
        </w:rPr>
        <w:t>性肿瘤范畴。</w:t>
      </w:r>
      <w:r>
        <w:rPr>
          <w:b/>
          <w:w w:val="95"/>
        </w:rPr>
        <w:t>原位癌或癌前病变不在本定义保障责任范围内。感染艾滋病</w:t>
      </w:r>
    </w:p>
    <w:p>
      <w:pPr>
        <w:pStyle w:val="Heading3"/>
        <w:spacing w:before="116"/>
        <w:ind w:left="2770"/>
      </w:pPr>
      <w:r>
        <w:rPr>
          <w:w w:val="95"/>
        </w:rPr>
        <w:t>病毒或患艾滋病期间所患癌症不在本定义保障责任范围内。</w:t>
      </w:r>
    </w:p>
    <w:p>
      <w:pPr>
        <w:pStyle w:val="BodyText"/>
        <w:rPr>
          <w:b/>
          <w:sz w:val="20"/>
        </w:rPr>
      </w:pPr>
    </w:p>
    <w:p>
      <w:pPr>
        <w:pStyle w:val="BodyText"/>
        <w:spacing w:before="9"/>
        <w:rPr>
          <w:b/>
          <w:sz w:val="27"/>
        </w:rPr>
      </w:pPr>
    </w:p>
    <w:p>
      <w:pPr>
        <w:pStyle w:val="BodyText"/>
        <w:ind w:left="2770"/>
      </w:pPr>
      <w:r>
        <w:rPr/>
        <w:t>女性乳腺癌、子宫癌：</w:t>
      </w:r>
    </w:p>
    <w:p>
      <w:pPr>
        <w:spacing w:line="304" w:lineRule="auto" w:before="174"/>
        <w:ind w:left="2770" w:right="211" w:firstLine="0"/>
        <w:jc w:val="both"/>
        <w:rPr>
          <w:b/>
          <w:sz w:val="21"/>
        </w:rPr>
      </w:pPr>
      <w:r>
        <w:rPr>
          <w:sz w:val="21"/>
        </w:rPr>
        <w:t>本定义所指仅限于发生在女性乳腺或子宫的癌症。癌症是指恶性细胞不受控制的进行性增长和扩散，浸润和破坏周围正常组织，可以经血管、淋巴管和体腔扩散转移到身体其它部位的疾病。经病理学检查结果明确诊断，临床诊</w:t>
      </w:r>
      <w:r>
        <w:rPr>
          <w:spacing w:val="-2"/>
          <w:sz w:val="21"/>
        </w:rPr>
        <w:t>断属于世界卫生组织《疾病和有关健康问题的国际统计分类</w:t>
      </w:r>
      <w:r>
        <w:rPr>
          <w:spacing w:val="-123"/>
          <w:sz w:val="21"/>
        </w:rPr>
        <w:t>》</w:t>
      </w:r>
      <w:r>
        <w:rPr>
          <w:spacing w:val="-4"/>
          <w:sz w:val="21"/>
        </w:rPr>
        <w:t>（ICD-10）</w:t>
      </w:r>
      <w:r>
        <w:rPr>
          <w:sz w:val="21"/>
        </w:rPr>
        <w:t>的恶性肿瘤范畴。</w:t>
      </w:r>
      <w:r>
        <w:rPr>
          <w:b/>
          <w:sz w:val="21"/>
        </w:rPr>
        <w:t>原位癌或癌前病变不在本定义保障责任范围内。感染艾滋病病</w:t>
      </w:r>
      <w:r>
        <w:rPr>
          <w:b/>
          <w:w w:val="95"/>
          <w:sz w:val="21"/>
        </w:rPr>
        <w:t>毒或患艾滋病期间所患癌症不在本定义保障责任范围内。</w:t>
      </w:r>
    </w:p>
    <w:p>
      <w:pPr>
        <w:pStyle w:val="BodyText"/>
        <w:rPr>
          <w:b/>
          <w:sz w:val="20"/>
        </w:rPr>
      </w:pPr>
    </w:p>
    <w:p>
      <w:pPr>
        <w:pStyle w:val="BodyText"/>
        <w:spacing w:before="10"/>
        <w:rPr>
          <w:b/>
        </w:rPr>
      </w:pPr>
    </w:p>
    <w:p>
      <w:pPr>
        <w:pStyle w:val="ListParagraph"/>
        <w:numPr>
          <w:ilvl w:val="1"/>
          <w:numId w:val="4"/>
        </w:numPr>
        <w:tabs>
          <w:tab w:pos="912" w:val="left" w:leader="none"/>
        </w:tabs>
        <w:spacing w:line="273" w:lineRule="auto" w:before="1" w:after="0"/>
        <w:ind w:left="2458" w:right="210" w:hanging="2348"/>
        <w:jc w:val="both"/>
        <w:rPr>
          <w:sz w:val="21"/>
        </w:rPr>
      </w:pPr>
      <w:r>
        <w:rPr>
          <w:b/>
          <w:spacing w:val="3"/>
          <w:sz w:val="21"/>
        </w:rPr>
        <w:t>重大疾病     </w:t>
      </w:r>
      <w:r>
        <w:rPr>
          <w:spacing w:val="-5"/>
          <w:sz w:val="21"/>
        </w:rPr>
        <w:t>本附加合同所列的 </w:t>
      </w:r>
      <w:r>
        <w:rPr>
          <w:sz w:val="21"/>
        </w:rPr>
        <w:t>35</w:t>
      </w:r>
      <w:r>
        <w:rPr>
          <w:spacing w:val="-11"/>
          <w:sz w:val="21"/>
        </w:rPr>
        <w:t> 种重大疾病，其中本款 </w:t>
      </w:r>
      <w:r>
        <w:rPr>
          <w:sz w:val="21"/>
        </w:rPr>
        <w:t>1)</w:t>
      </w:r>
      <w:r>
        <w:rPr>
          <w:spacing w:val="-22"/>
          <w:sz w:val="21"/>
        </w:rPr>
        <w:t>至 </w:t>
      </w:r>
      <w:r>
        <w:rPr>
          <w:sz w:val="21"/>
        </w:rPr>
        <w:t>25)项的重大疾病定义采用中</w:t>
      </w:r>
      <w:r>
        <w:rPr>
          <w:spacing w:val="-15"/>
          <w:sz w:val="21"/>
        </w:rPr>
        <w:t>国保险行业协会颁布的《重大疾病保险的疾病定义使用规范》中的疾病定义。“疾</w:t>
      </w:r>
      <w:r>
        <w:rPr>
          <w:spacing w:val="-14"/>
          <w:sz w:val="21"/>
        </w:rPr>
        <w:t>病”指约定的疾病、疾病状态或手术。您投保本附加合同即表明认可并遵从本附加合同中对重大疾病的定义。</w:t>
      </w:r>
    </w:p>
    <w:p>
      <w:pPr>
        <w:pStyle w:val="BodyText"/>
        <w:rPr>
          <w:sz w:val="20"/>
        </w:rPr>
      </w:pPr>
    </w:p>
    <w:p>
      <w:pPr>
        <w:pStyle w:val="BodyText"/>
        <w:rPr>
          <w:sz w:val="20"/>
        </w:rPr>
      </w:pPr>
    </w:p>
    <w:p>
      <w:pPr>
        <w:pStyle w:val="BodyText"/>
        <w:rPr>
          <w:sz w:val="20"/>
        </w:rPr>
      </w:pPr>
    </w:p>
    <w:p>
      <w:pPr>
        <w:pStyle w:val="ListParagraph"/>
        <w:numPr>
          <w:ilvl w:val="2"/>
          <w:numId w:val="4"/>
        </w:numPr>
        <w:tabs>
          <w:tab w:pos="2791" w:val="left" w:leader="none"/>
        </w:tabs>
        <w:spacing w:line="273" w:lineRule="auto" w:before="158" w:after="0"/>
        <w:ind w:left="2912" w:right="210" w:hanging="454"/>
        <w:jc w:val="both"/>
        <w:rPr>
          <w:sz w:val="21"/>
        </w:rPr>
      </w:pPr>
      <w:r>
        <w:rPr>
          <w:sz w:val="21"/>
        </w:rPr>
        <w:t>恶性肿瘤：指恶性细胞不受控制的进行性增长和扩散，浸润和破坏周围正常</w:t>
      </w:r>
      <w:r>
        <w:rPr>
          <w:spacing w:val="-10"/>
          <w:sz w:val="21"/>
        </w:rPr>
        <w:t>组织，可以经血管、淋巴管和体腔扩散转移到身体其它部位的疾病。经病理</w:t>
      </w:r>
      <w:r>
        <w:rPr>
          <w:spacing w:val="-14"/>
          <w:sz w:val="21"/>
        </w:rPr>
        <w:t>学检查结果明确诊断，临床诊断属于世界卫生组织《疾病和有关健康问题的</w:t>
      </w:r>
      <w:r>
        <w:rPr>
          <w:spacing w:val="-16"/>
          <w:sz w:val="21"/>
        </w:rPr>
        <w:t>国际统计分类》</w:t>
      </w:r>
      <w:r>
        <w:rPr>
          <w:spacing w:val="-1"/>
          <w:sz w:val="21"/>
        </w:rPr>
        <w:t>（ICD-10）的恶性肿瘤范畴。</w:t>
      </w:r>
    </w:p>
    <w:p>
      <w:pPr>
        <w:pStyle w:val="Heading3"/>
        <w:spacing w:before="163"/>
        <w:ind w:left="3249"/>
      </w:pPr>
      <w:r>
        <w:rPr>
          <w:w w:val="95"/>
        </w:rPr>
        <w:t>下列疾病不在保障范围内：</w:t>
      </w:r>
    </w:p>
    <w:p>
      <w:pPr>
        <w:pStyle w:val="BodyText"/>
        <w:spacing w:before="9"/>
        <w:rPr>
          <w:b/>
          <w:sz w:val="14"/>
        </w:rPr>
      </w:pPr>
    </w:p>
    <w:p>
      <w:pPr>
        <w:pStyle w:val="ListParagraph"/>
        <w:numPr>
          <w:ilvl w:val="3"/>
          <w:numId w:val="4"/>
        </w:numPr>
        <w:tabs>
          <w:tab w:pos="3753" w:val="left" w:leader="none"/>
        </w:tabs>
        <w:spacing w:line="240" w:lineRule="auto" w:before="1" w:after="0"/>
        <w:ind w:left="3752" w:right="0" w:hanging="394"/>
        <w:jc w:val="left"/>
        <w:rPr>
          <w:sz w:val="21"/>
        </w:rPr>
      </w:pPr>
      <w:r>
        <w:rPr>
          <w:sz w:val="21"/>
        </w:rPr>
        <w:t>原位癌；</w:t>
      </w:r>
    </w:p>
    <w:p>
      <w:pPr>
        <w:spacing w:after="0" w:line="240" w:lineRule="auto"/>
        <w:jc w:val="left"/>
        <w:rPr>
          <w:sz w:val="21"/>
        </w:rPr>
        <w:sectPr>
          <w:pgSz w:w="11910" w:h="16840"/>
          <w:pgMar w:header="0" w:footer="1008" w:top="1120" w:bottom="1200" w:left="1020" w:right="920"/>
        </w:sectPr>
      </w:pPr>
    </w:p>
    <w:p>
      <w:pPr>
        <w:pStyle w:val="ListParagraph"/>
        <w:numPr>
          <w:ilvl w:val="3"/>
          <w:numId w:val="4"/>
        </w:numPr>
        <w:tabs>
          <w:tab w:pos="3093" w:val="left" w:leader="none"/>
        </w:tabs>
        <w:spacing w:line="240" w:lineRule="auto" w:before="19" w:after="0"/>
        <w:ind w:left="3092" w:right="0" w:hanging="394"/>
        <w:jc w:val="left"/>
        <w:rPr>
          <w:sz w:val="21"/>
        </w:rPr>
      </w:pPr>
      <w:r>
        <w:rPr>
          <w:spacing w:val="-1"/>
          <w:sz w:val="21"/>
        </w:rPr>
        <w:t>相当于</w:t>
      </w:r>
      <w:r>
        <w:rPr>
          <w:sz w:val="21"/>
        </w:rPr>
        <w:t>Binet分期方案A期程度的慢性淋巴细胞白血病；</w:t>
      </w:r>
    </w:p>
    <w:p>
      <w:pPr>
        <w:pStyle w:val="BodyText"/>
        <w:spacing w:before="9"/>
        <w:rPr>
          <w:sz w:val="14"/>
        </w:rPr>
      </w:pPr>
    </w:p>
    <w:p>
      <w:pPr>
        <w:pStyle w:val="ListParagraph"/>
        <w:numPr>
          <w:ilvl w:val="3"/>
          <w:numId w:val="4"/>
        </w:numPr>
        <w:tabs>
          <w:tab w:pos="3093" w:val="left" w:leader="none"/>
        </w:tabs>
        <w:spacing w:line="240" w:lineRule="auto" w:before="1" w:after="0"/>
        <w:ind w:left="3092" w:right="0" w:hanging="394"/>
        <w:jc w:val="left"/>
        <w:rPr>
          <w:sz w:val="21"/>
        </w:rPr>
      </w:pPr>
      <w:r>
        <w:rPr>
          <w:sz w:val="21"/>
        </w:rPr>
        <w:t>相当于Ann</w:t>
      </w:r>
      <w:r>
        <w:rPr>
          <w:spacing w:val="-4"/>
          <w:sz w:val="21"/>
        </w:rPr>
        <w:t> </w:t>
      </w:r>
      <w:r>
        <w:rPr>
          <w:sz w:val="21"/>
        </w:rPr>
        <w:t>Arbor分期方案I期程度的何杰金氏病；</w:t>
      </w:r>
    </w:p>
    <w:p>
      <w:pPr>
        <w:pStyle w:val="BodyText"/>
        <w:spacing w:before="10"/>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z w:val="21"/>
        </w:rPr>
        <w:t>皮肤癌（不包括恶性黑色素瘤及已发生转移的皮肤癌</w:t>
      </w:r>
      <w:r>
        <w:rPr>
          <w:spacing w:val="-105"/>
          <w:sz w:val="21"/>
        </w:rPr>
        <w:t>）</w:t>
      </w:r>
      <w:r>
        <w:rPr>
          <w:sz w:val="21"/>
        </w:rPr>
        <w:t>；</w:t>
      </w:r>
    </w:p>
    <w:p>
      <w:pPr>
        <w:pStyle w:val="BodyText"/>
        <w:spacing w:before="9"/>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pacing w:val="-1"/>
          <w:position w:val="1"/>
          <w:sz w:val="21"/>
        </w:rPr>
        <w:t>TNM分期为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before="9"/>
        <w:rPr>
          <w:sz w:val="14"/>
        </w:rPr>
      </w:pPr>
    </w:p>
    <w:p>
      <w:pPr>
        <w:pStyle w:val="ListParagraph"/>
        <w:numPr>
          <w:ilvl w:val="3"/>
          <w:numId w:val="4"/>
        </w:numPr>
        <w:tabs>
          <w:tab w:pos="3093" w:val="left" w:leader="none"/>
        </w:tabs>
        <w:spacing w:line="240" w:lineRule="auto" w:before="1" w:after="0"/>
        <w:ind w:left="3092" w:right="0" w:hanging="394"/>
        <w:jc w:val="left"/>
        <w:rPr>
          <w:sz w:val="21"/>
        </w:rPr>
      </w:pPr>
      <w:r>
        <w:rPr>
          <w:sz w:val="21"/>
        </w:rPr>
        <w:t>感染艾滋病病毒或患艾滋病期间所患恶性肿瘤。</w:t>
      </w:r>
    </w:p>
    <w:p>
      <w:pPr>
        <w:pStyle w:val="BodyText"/>
        <w:rPr>
          <w:sz w:val="20"/>
        </w:rPr>
      </w:pPr>
    </w:p>
    <w:p>
      <w:pPr>
        <w:pStyle w:val="BodyText"/>
        <w:rPr>
          <w:sz w:val="20"/>
        </w:rPr>
      </w:pPr>
    </w:p>
    <w:p>
      <w:pPr>
        <w:pStyle w:val="ListParagraph"/>
        <w:numPr>
          <w:ilvl w:val="2"/>
          <w:numId w:val="4"/>
        </w:numPr>
        <w:tabs>
          <w:tab w:pos="2131" w:val="left" w:leader="none"/>
        </w:tabs>
        <w:spacing w:line="273" w:lineRule="auto" w:before="138" w:after="0"/>
        <w:ind w:left="2252" w:right="242" w:hanging="454"/>
        <w:jc w:val="left"/>
        <w:rPr>
          <w:b/>
          <w:sz w:val="21"/>
        </w:rPr>
      </w:pPr>
      <w:r>
        <w:rPr>
          <w:sz w:val="21"/>
        </w:rPr>
        <w:t>急性心肌梗塞：指因冠状动脉阻塞导致的相应区域供血不足造成部分心肌坏</w:t>
      </w:r>
      <w:r>
        <w:rPr>
          <w:w w:val="95"/>
          <w:sz w:val="21"/>
        </w:rPr>
        <w:t>死。</w:t>
      </w:r>
      <w:r>
        <w:rPr>
          <w:b/>
          <w:w w:val="95"/>
          <w:sz w:val="21"/>
        </w:rPr>
        <w:t>须满足下列至少三项条件：</w:t>
      </w:r>
    </w:p>
    <w:p>
      <w:pPr>
        <w:pStyle w:val="BodyText"/>
        <w:rPr>
          <w:b/>
          <w:sz w:val="20"/>
        </w:rPr>
      </w:pPr>
    </w:p>
    <w:p>
      <w:pPr>
        <w:pStyle w:val="BodyText"/>
        <w:spacing w:before="3"/>
        <w:rPr>
          <w:b/>
          <w:sz w:val="28"/>
        </w:rPr>
      </w:pPr>
    </w:p>
    <w:p>
      <w:pPr>
        <w:pStyle w:val="ListParagraph"/>
        <w:numPr>
          <w:ilvl w:val="3"/>
          <w:numId w:val="4"/>
        </w:numPr>
        <w:tabs>
          <w:tab w:pos="3093" w:val="left" w:leader="none"/>
        </w:tabs>
        <w:spacing w:line="240" w:lineRule="auto" w:before="1" w:after="0"/>
        <w:ind w:left="3092" w:right="0" w:hanging="394"/>
        <w:jc w:val="left"/>
        <w:rPr>
          <w:sz w:val="21"/>
        </w:rPr>
      </w:pPr>
      <w:r>
        <w:rPr>
          <w:sz w:val="21"/>
        </w:rPr>
        <w:t>典型临床表现，例如急性胸痛等；</w:t>
      </w:r>
    </w:p>
    <w:p>
      <w:pPr>
        <w:pStyle w:val="BodyText"/>
        <w:spacing w:before="10"/>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z w:val="21"/>
        </w:rPr>
        <w:t>新近的心电图改变提示急性心肌梗塞；</w:t>
      </w:r>
    </w:p>
    <w:p>
      <w:pPr>
        <w:pStyle w:val="BodyText"/>
        <w:spacing w:before="9"/>
        <w:rPr>
          <w:sz w:val="14"/>
        </w:rPr>
      </w:pPr>
    </w:p>
    <w:p>
      <w:pPr>
        <w:pStyle w:val="ListParagraph"/>
        <w:numPr>
          <w:ilvl w:val="3"/>
          <w:numId w:val="4"/>
        </w:numPr>
        <w:tabs>
          <w:tab w:pos="3093" w:val="left" w:leader="none"/>
        </w:tabs>
        <w:spacing w:line="273" w:lineRule="auto" w:before="1" w:after="0"/>
        <w:ind w:left="3092" w:right="211" w:hanging="394"/>
        <w:jc w:val="left"/>
        <w:rPr>
          <w:sz w:val="21"/>
        </w:rPr>
      </w:pPr>
      <w:r>
        <w:rPr>
          <w:spacing w:val="-6"/>
          <w:sz w:val="21"/>
        </w:rPr>
        <w:t>心肌酶或肌钙蛋白有诊断意义的升高，或呈符合急性心肌梗塞的动态性变化；</w:t>
      </w:r>
    </w:p>
    <w:p>
      <w:pPr>
        <w:pStyle w:val="ListParagraph"/>
        <w:numPr>
          <w:ilvl w:val="3"/>
          <w:numId w:val="4"/>
        </w:numPr>
        <w:tabs>
          <w:tab w:pos="3093" w:val="left" w:leader="none"/>
        </w:tabs>
        <w:spacing w:line="273" w:lineRule="auto" w:before="164" w:after="0"/>
        <w:ind w:left="3092" w:right="211" w:hanging="394"/>
        <w:jc w:val="left"/>
        <w:rPr>
          <w:sz w:val="21"/>
        </w:rPr>
      </w:pPr>
      <w:r>
        <w:rPr>
          <w:sz w:val="21"/>
        </w:rPr>
        <w:t>发病90</w:t>
      </w:r>
      <w:r>
        <w:rPr>
          <w:spacing w:val="-10"/>
          <w:sz w:val="21"/>
        </w:rPr>
        <w:t>天后，经检查证实左心室功能降低，如左心室射血分数低于</w:t>
      </w:r>
      <w:r>
        <w:rPr>
          <w:spacing w:val="-1"/>
          <w:sz w:val="21"/>
        </w:rPr>
        <w:t>50%。</w:t>
      </w:r>
    </w:p>
    <w:p>
      <w:pPr>
        <w:pStyle w:val="BodyText"/>
        <w:rPr>
          <w:sz w:val="20"/>
        </w:rPr>
      </w:pPr>
    </w:p>
    <w:p>
      <w:pPr>
        <w:pStyle w:val="BodyText"/>
        <w:spacing w:before="3"/>
        <w:rPr>
          <w:sz w:val="28"/>
        </w:rPr>
      </w:pPr>
    </w:p>
    <w:p>
      <w:pPr>
        <w:pStyle w:val="ListParagraph"/>
        <w:numPr>
          <w:ilvl w:val="2"/>
          <w:numId w:val="4"/>
        </w:numPr>
        <w:tabs>
          <w:tab w:pos="2132" w:val="left" w:leader="none"/>
        </w:tabs>
        <w:spacing w:line="273" w:lineRule="auto" w:before="0" w:after="0"/>
        <w:ind w:left="2252" w:right="208" w:hanging="454"/>
        <w:jc w:val="both"/>
        <w:rPr>
          <w:b/>
          <w:sz w:val="21"/>
        </w:rPr>
      </w:pPr>
      <w:r>
        <w:rPr>
          <w:sz w:val="21"/>
        </w:rPr>
        <w:t>脑中风后遗症：指因脑血管的突发病变引起脑血管出血、栓塞或梗塞，并导</w:t>
      </w:r>
      <w:r>
        <w:rPr>
          <w:spacing w:val="-12"/>
          <w:sz w:val="21"/>
        </w:rPr>
        <w:t>致神经系统永久性的功能障碍。神经系统永久性的功能障碍，指疾病确诊</w:t>
      </w:r>
      <w:r>
        <w:rPr>
          <w:sz w:val="21"/>
        </w:rPr>
        <w:t>180 </w:t>
      </w:r>
      <w:r>
        <w:rPr>
          <w:w w:val="95"/>
          <w:sz w:val="21"/>
        </w:rPr>
        <w:t>天后，</w:t>
      </w:r>
      <w:r>
        <w:rPr>
          <w:b/>
          <w:w w:val="95"/>
          <w:sz w:val="21"/>
        </w:rPr>
        <w:t>仍遗留下列一种或一种以上障碍：</w:t>
      </w:r>
    </w:p>
    <w:p>
      <w:pPr>
        <w:pStyle w:val="BodyText"/>
        <w:rPr>
          <w:b/>
          <w:sz w:val="20"/>
        </w:rPr>
      </w:pPr>
    </w:p>
    <w:p>
      <w:pPr>
        <w:pStyle w:val="BodyText"/>
        <w:spacing w:before="2"/>
        <w:rPr>
          <w:b/>
          <w:sz w:val="28"/>
        </w:rPr>
      </w:pPr>
    </w:p>
    <w:p>
      <w:pPr>
        <w:pStyle w:val="ListParagraph"/>
        <w:numPr>
          <w:ilvl w:val="3"/>
          <w:numId w:val="4"/>
        </w:numPr>
        <w:tabs>
          <w:tab w:pos="3093" w:val="left" w:leader="none"/>
        </w:tabs>
        <w:spacing w:line="240" w:lineRule="auto" w:before="1" w:after="0"/>
        <w:ind w:left="3092" w:right="0" w:hanging="394"/>
        <w:jc w:val="left"/>
        <w:rPr>
          <w:sz w:val="21"/>
        </w:rPr>
      </w:pPr>
      <w:r>
        <w:rPr>
          <w:sz w:val="21"/>
        </w:rPr>
        <w:t>一肢或一肢以上</w:t>
      </w:r>
      <w:r>
        <w:rPr>
          <w:b/>
          <w:w w:val="99"/>
          <w:sz w:val="21"/>
        </w:rPr>
        <w:t>肢体机能完全丧失</w:t>
      </w:r>
      <w:r>
        <w:rPr>
          <w:spacing w:val="-1"/>
          <w:sz w:val="21"/>
        </w:rPr>
        <w:t>（见</w:t>
      </w:r>
      <w:r>
        <w:rPr>
          <w:sz w:val="21"/>
        </w:rPr>
        <w:t>7</w:t>
      </w:r>
      <w:r>
        <w:rPr>
          <w:spacing w:val="-1"/>
          <w:sz w:val="21"/>
        </w:rPr>
        <w:t>.</w:t>
      </w:r>
      <w:r>
        <w:rPr>
          <w:sz w:val="21"/>
        </w:rPr>
        <w:t>1</w:t>
      </w:r>
      <w:r>
        <w:rPr>
          <w:spacing w:val="-1"/>
          <w:sz w:val="21"/>
        </w:rPr>
        <w:t>8</w:t>
      </w:r>
      <w:r>
        <w:rPr>
          <w:spacing w:val="-105"/>
          <w:sz w:val="21"/>
        </w:rPr>
        <w:t>）</w:t>
      </w:r>
      <w:r>
        <w:rPr>
          <w:sz w:val="21"/>
        </w:rPr>
        <w:t>；</w:t>
      </w:r>
    </w:p>
    <w:p>
      <w:pPr>
        <w:pStyle w:val="BodyText"/>
        <w:spacing w:before="10"/>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b/>
          <w:w w:val="95"/>
          <w:sz w:val="21"/>
        </w:rPr>
        <w:t>语言能力或咀嚼吞咽能力完全丧失</w:t>
      </w:r>
      <w:r>
        <w:rPr>
          <w:w w:val="95"/>
          <w:sz w:val="21"/>
        </w:rPr>
        <w:t>（见7.19）；</w:t>
      </w:r>
    </w:p>
    <w:p>
      <w:pPr>
        <w:pStyle w:val="BodyText"/>
        <w:spacing w:before="9"/>
        <w:rPr>
          <w:sz w:val="14"/>
        </w:rPr>
      </w:pPr>
    </w:p>
    <w:p>
      <w:pPr>
        <w:pStyle w:val="ListParagraph"/>
        <w:numPr>
          <w:ilvl w:val="3"/>
          <w:numId w:val="4"/>
        </w:numPr>
        <w:tabs>
          <w:tab w:pos="3093" w:val="left" w:leader="none"/>
        </w:tabs>
        <w:spacing w:line="240" w:lineRule="auto" w:before="1" w:after="0"/>
        <w:ind w:left="3092" w:right="0" w:hanging="394"/>
        <w:jc w:val="left"/>
        <w:rPr>
          <w:sz w:val="21"/>
        </w:rPr>
      </w:pPr>
      <w:r>
        <w:rPr>
          <w:spacing w:val="-5"/>
          <w:w w:val="95"/>
          <w:sz w:val="21"/>
        </w:rPr>
        <w:t>自主生活能力完全丧失，无法独立完成</w:t>
      </w:r>
      <w:r>
        <w:rPr>
          <w:b/>
          <w:spacing w:val="-5"/>
          <w:w w:val="95"/>
          <w:sz w:val="21"/>
        </w:rPr>
        <w:t>六项基本日常生活活动</w:t>
      </w:r>
      <w:r>
        <w:rPr>
          <w:w w:val="95"/>
          <w:sz w:val="21"/>
        </w:rPr>
        <w:t>（见</w:t>
      </w:r>
    </w:p>
    <w:p>
      <w:pPr>
        <w:pStyle w:val="BodyText"/>
        <w:spacing w:before="37"/>
        <w:ind w:left="3092"/>
      </w:pPr>
      <w:r>
        <w:rPr/>
        <w:t>7.20）中的三项或三项以上。</w:t>
      </w:r>
    </w:p>
    <w:p>
      <w:pPr>
        <w:pStyle w:val="BodyText"/>
        <w:rPr>
          <w:sz w:val="20"/>
        </w:rPr>
      </w:pPr>
    </w:p>
    <w:p>
      <w:pPr>
        <w:pStyle w:val="BodyText"/>
        <w:rPr>
          <w:sz w:val="20"/>
        </w:rPr>
      </w:pPr>
    </w:p>
    <w:p>
      <w:pPr>
        <w:pStyle w:val="ListParagraph"/>
        <w:numPr>
          <w:ilvl w:val="2"/>
          <w:numId w:val="4"/>
        </w:numPr>
        <w:tabs>
          <w:tab w:pos="2131" w:val="left" w:leader="none"/>
        </w:tabs>
        <w:spacing w:line="273" w:lineRule="auto" w:before="137" w:after="0"/>
        <w:ind w:left="2252" w:right="106" w:hanging="454"/>
        <w:jc w:val="both"/>
        <w:rPr>
          <w:sz w:val="21"/>
        </w:rPr>
      </w:pPr>
      <w:r>
        <w:rPr>
          <w:sz w:val="21"/>
        </w:rPr>
        <w:t>重大器官移植术或造血干细胞移植术：重大器官移植术，指因相应器官功能</w:t>
      </w:r>
      <w:r>
        <w:rPr>
          <w:spacing w:val="-10"/>
          <w:sz w:val="21"/>
        </w:rPr>
        <w:t>衰竭，已经实施了肾脏、肝脏、心脏或肺脏的异体移植手术。造血干细胞移</w:t>
      </w:r>
      <w:r>
        <w:rPr>
          <w:spacing w:val="-11"/>
          <w:sz w:val="21"/>
        </w:rPr>
        <w:t>植术，指因造血功能损害或造血系统恶性肿瘤，已经实施了造血干细胞</w:t>
      </w:r>
      <w:r>
        <w:rPr>
          <w:sz w:val="21"/>
        </w:rPr>
        <w:t>（包</w:t>
      </w:r>
      <w:r>
        <w:rPr>
          <w:spacing w:val="-10"/>
          <w:sz w:val="21"/>
        </w:rPr>
        <w:t>括骨髓造血干细胞、外周血造血干细胞和脐血造血干细胞</w:t>
      </w:r>
      <w:r>
        <w:rPr>
          <w:spacing w:val="-99"/>
          <w:sz w:val="21"/>
        </w:rPr>
        <w:t>）</w:t>
      </w:r>
      <w:r>
        <w:rPr>
          <w:sz w:val="21"/>
        </w:rPr>
        <w:t>的异体移植手术。</w:t>
      </w:r>
    </w:p>
    <w:p>
      <w:pPr>
        <w:pStyle w:val="BodyText"/>
        <w:rPr>
          <w:sz w:val="20"/>
        </w:rPr>
      </w:pPr>
    </w:p>
    <w:p>
      <w:pPr>
        <w:pStyle w:val="BodyText"/>
        <w:spacing w:before="3"/>
        <w:rPr>
          <w:sz w:val="28"/>
        </w:rPr>
      </w:pPr>
    </w:p>
    <w:p>
      <w:pPr>
        <w:pStyle w:val="ListParagraph"/>
        <w:numPr>
          <w:ilvl w:val="2"/>
          <w:numId w:val="4"/>
        </w:numPr>
        <w:tabs>
          <w:tab w:pos="2131" w:val="left" w:leader="none"/>
        </w:tabs>
        <w:spacing w:line="273" w:lineRule="auto" w:before="0" w:after="0"/>
        <w:ind w:left="2252" w:right="212" w:hanging="454"/>
        <w:jc w:val="left"/>
        <w:rPr>
          <w:b/>
          <w:sz w:val="21"/>
        </w:rPr>
      </w:pPr>
      <w:r>
        <w:rPr>
          <w:spacing w:val="-4"/>
          <w:sz w:val="21"/>
        </w:rPr>
        <w:t>冠状动脉搭桥术</w:t>
      </w:r>
      <w:r>
        <w:rPr>
          <w:sz w:val="21"/>
        </w:rPr>
        <w:t>（或称冠状动脉旁路移植术</w:t>
      </w:r>
      <w:r>
        <w:rPr>
          <w:spacing w:val="-66"/>
          <w:sz w:val="21"/>
        </w:rPr>
        <w:t>）</w:t>
      </w:r>
      <w:r>
        <w:rPr>
          <w:spacing w:val="-11"/>
          <w:sz w:val="21"/>
        </w:rPr>
        <w:t>：指为治疗严重的冠心病，实际</w:t>
      </w:r>
      <w:r>
        <w:rPr>
          <w:spacing w:val="-13"/>
          <w:sz w:val="21"/>
        </w:rPr>
        <w:t>实施了开胸进行的冠状动脉血管旁路移植的手术。</w:t>
      </w:r>
      <w:r>
        <w:rPr>
          <w:b/>
          <w:spacing w:val="-6"/>
          <w:sz w:val="21"/>
        </w:rPr>
        <w:t>冠状动脉支架植入术、心导管球囊扩张术、激光射频技术及其它非开胸的介入手术、腔镜手术不在</w:t>
      </w:r>
      <w:r>
        <w:rPr>
          <w:b/>
          <w:spacing w:val="-6"/>
          <w:w w:val="95"/>
          <w:sz w:val="21"/>
        </w:rPr>
        <w:t>保障范围内。</w:t>
      </w:r>
    </w:p>
    <w:p>
      <w:pPr>
        <w:spacing w:after="0" w:line="273" w:lineRule="auto"/>
        <w:jc w:val="left"/>
        <w:rPr>
          <w:sz w:val="21"/>
        </w:rPr>
        <w:sectPr>
          <w:pgSz w:w="11910" w:h="16840"/>
          <w:pgMar w:header="0" w:footer="1008" w:top="1100" w:bottom="1200" w:left="1680" w:right="920"/>
        </w:sectPr>
      </w:pPr>
    </w:p>
    <w:p>
      <w:pPr>
        <w:pStyle w:val="ListParagraph"/>
        <w:numPr>
          <w:ilvl w:val="2"/>
          <w:numId w:val="4"/>
        </w:numPr>
        <w:tabs>
          <w:tab w:pos="2131" w:val="left" w:leader="none"/>
        </w:tabs>
        <w:spacing w:line="273" w:lineRule="auto" w:before="7" w:after="0"/>
        <w:ind w:left="2252" w:right="106" w:hanging="454"/>
        <w:jc w:val="left"/>
        <w:rPr>
          <w:sz w:val="21"/>
        </w:rPr>
      </w:pPr>
      <w:r>
        <w:rPr>
          <w:spacing w:val="-19"/>
          <w:sz w:val="21"/>
        </w:rPr>
        <w:t>终末期肾病</w:t>
      </w:r>
      <w:r>
        <w:rPr>
          <w:sz w:val="21"/>
        </w:rPr>
        <w:t>（或称慢性肾功能衰竭尿毒症期</w:t>
      </w:r>
      <w:r>
        <w:rPr>
          <w:spacing w:val="-98"/>
          <w:sz w:val="21"/>
        </w:rPr>
        <w:t>）</w:t>
      </w:r>
      <w:r>
        <w:rPr>
          <w:spacing w:val="-11"/>
          <w:sz w:val="21"/>
        </w:rPr>
        <w:t>：指双肾功能慢性不可逆性衰竭， </w:t>
      </w:r>
      <w:r>
        <w:rPr>
          <w:spacing w:val="-14"/>
          <w:sz w:val="21"/>
        </w:rPr>
        <w:t>达到尿毒症期，经诊断后已经进行了至少</w:t>
      </w:r>
      <w:r>
        <w:rPr>
          <w:sz w:val="21"/>
        </w:rPr>
        <w:t>90天的规律性透析治疗或实施了肾脏移植手术。</w:t>
      </w:r>
    </w:p>
    <w:p>
      <w:pPr>
        <w:pStyle w:val="BodyText"/>
        <w:rPr>
          <w:sz w:val="20"/>
        </w:rPr>
      </w:pPr>
    </w:p>
    <w:p>
      <w:pPr>
        <w:pStyle w:val="BodyText"/>
        <w:spacing w:before="3"/>
        <w:rPr>
          <w:sz w:val="28"/>
        </w:rPr>
      </w:pPr>
    </w:p>
    <w:p>
      <w:pPr>
        <w:pStyle w:val="ListParagraph"/>
        <w:numPr>
          <w:ilvl w:val="2"/>
          <w:numId w:val="4"/>
        </w:numPr>
        <w:tabs>
          <w:tab w:pos="2132" w:val="left" w:leader="none"/>
        </w:tabs>
        <w:spacing w:line="273" w:lineRule="auto" w:before="0" w:after="0"/>
        <w:ind w:left="2252" w:right="209" w:hanging="454"/>
        <w:jc w:val="left"/>
        <w:rPr>
          <w:sz w:val="21"/>
        </w:rPr>
      </w:pPr>
      <w:r>
        <w:rPr>
          <w:sz w:val="21"/>
        </w:rPr>
        <w:t>多个肢体缺失:指因疾病或意外伤害导致两个或两个以上肢体自腕关节或踝关节近端（靠近躯干端）以上完全性断离。</w:t>
      </w:r>
    </w:p>
    <w:p>
      <w:pPr>
        <w:pStyle w:val="BodyText"/>
        <w:rPr>
          <w:sz w:val="20"/>
        </w:rPr>
      </w:pPr>
    </w:p>
    <w:p>
      <w:pPr>
        <w:pStyle w:val="BodyText"/>
        <w:spacing w:before="3"/>
        <w:rPr>
          <w:sz w:val="28"/>
        </w:rPr>
      </w:pPr>
    </w:p>
    <w:p>
      <w:pPr>
        <w:pStyle w:val="ListParagraph"/>
        <w:numPr>
          <w:ilvl w:val="2"/>
          <w:numId w:val="4"/>
        </w:numPr>
        <w:tabs>
          <w:tab w:pos="2132" w:val="left" w:leader="none"/>
        </w:tabs>
        <w:spacing w:line="273" w:lineRule="auto" w:before="0" w:after="0"/>
        <w:ind w:left="2252" w:right="110" w:hanging="454"/>
        <w:jc w:val="left"/>
        <w:rPr>
          <w:b/>
          <w:sz w:val="21"/>
        </w:rPr>
      </w:pPr>
      <w:r>
        <w:rPr>
          <w:sz w:val="21"/>
        </w:rPr>
        <w:t>急性或亚急性重症肝炎：指因肝炎病毒感染引起肝脏组织弥漫性坏死，导致</w:t>
      </w:r>
      <w:r>
        <w:rPr>
          <w:w w:val="95"/>
          <w:sz w:val="21"/>
        </w:rPr>
        <w:t>急性肝功能衰竭，且经血清学或病毒学检查证实，</w:t>
      </w:r>
      <w:r>
        <w:rPr>
          <w:b/>
          <w:w w:val="95"/>
          <w:sz w:val="21"/>
        </w:rPr>
        <w:t>并须满足下列全部条件：</w:t>
      </w:r>
    </w:p>
    <w:p>
      <w:pPr>
        <w:pStyle w:val="BodyText"/>
        <w:rPr>
          <w:b/>
          <w:sz w:val="20"/>
        </w:rPr>
      </w:pPr>
    </w:p>
    <w:p>
      <w:pPr>
        <w:pStyle w:val="BodyText"/>
        <w:spacing w:before="3"/>
        <w:rPr>
          <w:b/>
          <w:sz w:val="28"/>
        </w:rPr>
      </w:pPr>
    </w:p>
    <w:p>
      <w:pPr>
        <w:pStyle w:val="ListParagraph"/>
        <w:numPr>
          <w:ilvl w:val="3"/>
          <w:numId w:val="4"/>
        </w:numPr>
        <w:tabs>
          <w:tab w:pos="3093" w:val="left" w:leader="none"/>
        </w:tabs>
        <w:spacing w:line="240" w:lineRule="auto" w:before="0" w:after="0"/>
        <w:ind w:left="3092" w:right="0" w:hanging="394"/>
        <w:jc w:val="left"/>
        <w:rPr>
          <w:sz w:val="21"/>
        </w:rPr>
      </w:pPr>
      <w:r>
        <w:rPr>
          <w:spacing w:val="-1"/>
          <w:sz w:val="21"/>
        </w:rPr>
        <w:t>重度黄疸或黄疸迅速加重；</w:t>
      </w:r>
    </w:p>
    <w:p>
      <w:pPr>
        <w:pStyle w:val="BodyText"/>
        <w:spacing w:before="9"/>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pacing w:val="-1"/>
          <w:sz w:val="21"/>
        </w:rPr>
        <w:t>肝性脑病；</w:t>
      </w:r>
    </w:p>
    <w:p>
      <w:pPr>
        <w:pStyle w:val="BodyText"/>
        <w:spacing w:before="9"/>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pacing w:val="-1"/>
          <w:sz w:val="21"/>
        </w:rPr>
        <w:t>B超或其它影像学检查显示肝脏体积急速萎缩；</w:t>
      </w:r>
    </w:p>
    <w:p>
      <w:pPr>
        <w:pStyle w:val="BodyText"/>
        <w:spacing w:before="9"/>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z w:val="21"/>
        </w:rPr>
        <w:t>肝功能指标进行性恶化。</w:t>
      </w:r>
    </w:p>
    <w:p>
      <w:pPr>
        <w:pStyle w:val="BodyText"/>
        <w:rPr>
          <w:sz w:val="20"/>
        </w:rPr>
      </w:pPr>
    </w:p>
    <w:p>
      <w:pPr>
        <w:pStyle w:val="BodyText"/>
        <w:rPr>
          <w:sz w:val="20"/>
        </w:rPr>
      </w:pPr>
    </w:p>
    <w:p>
      <w:pPr>
        <w:pStyle w:val="ListParagraph"/>
        <w:numPr>
          <w:ilvl w:val="2"/>
          <w:numId w:val="4"/>
        </w:numPr>
        <w:tabs>
          <w:tab w:pos="2132" w:val="left" w:leader="none"/>
        </w:tabs>
        <w:spacing w:line="273" w:lineRule="auto" w:before="137" w:after="0"/>
        <w:ind w:left="2252" w:right="208" w:hanging="454"/>
        <w:jc w:val="both"/>
        <w:rPr>
          <w:b/>
          <w:sz w:val="21"/>
        </w:rPr>
      </w:pPr>
      <w:r>
        <w:rPr>
          <w:sz w:val="21"/>
        </w:rPr>
        <w:t>良性脑肿瘤：指脑的良性肿瘤，已经引起颅内压增高，临床表现为视神经乳</w:t>
      </w:r>
      <w:r>
        <w:rPr>
          <w:spacing w:val="-9"/>
          <w:sz w:val="21"/>
        </w:rPr>
        <w:t>头水肿、精神症状、癫痫及运动感觉障碍等，并危及生命。须由头颅断层扫描（CT</w:t>
      </w:r>
      <w:r>
        <w:rPr>
          <w:spacing w:val="-105"/>
          <w:sz w:val="21"/>
        </w:rPr>
        <w:t>）</w:t>
      </w:r>
      <w:r>
        <w:rPr>
          <w:sz w:val="21"/>
        </w:rPr>
        <w:t>、核磁共振检查（MRI）或正电子发射断层扫描（PET）等影像学检</w:t>
      </w:r>
      <w:r>
        <w:rPr>
          <w:w w:val="95"/>
          <w:sz w:val="21"/>
        </w:rPr>
        <w:t>查证实，</w:t>
      </w:r>
      <w:r>
        <w:rPr>
          <w:b/>
          <w:w w:val="95"/>
          <w:sz w:val="21"/>
        </w:rPr>
        <w:t>并须满足下列至少一项条件：</w:t>
      </w:r>
    </w:p>
    <w:p>
      <w:pPr>
        <w:pStyle w:val="BodyText"/>
        <w:rPr>
          <w:b/>
          <w:sz w:val="20"/>
        </w:rPr>
      </w:pPr>
    </w:p>
    <w:p>
      <w:pPr>
        <w:pStyle w:val="BodyText"/>
        <w:spacing w:before="3"/>
        <w:rPr>
          <w:b/>
          <w:sz w:val="28"/>
        </w:rPr>
      </w:pPr>
    </w:p>
    <w:p>
      <w:pPr>
        <w:pStyle w:val="ListParagraph"/>
        <w:numPr>
          <w:ilvl w:val="3"/>
          <w:numId w:val="4"/>
        </w:numPr>
        <w:tabs>
          <w:tab w:pos="3059" w:val="left" w:leader="none"/>
        </w:tabs>
        <w:spacing w:line="240" w:lineRule="auto" w:before="0" w:after="0"/>
        <w:ind w:left="3058" w:right="0" w:hanging="360"/>
        <w:jc w:val="left"/>
        <w:rPr>
          <w:sz w:val="21"/>
        </w:rPr>
      </w:pPr>
      <w:r>
        <w:rPr>
          <w:spacing w:val="-1"/>
          <w:sz w:val="21"/>
        </w:rPr>
        <w:t>实际实施了开颅进行的脑肿瘤完全切除或部分切除的手术；</w:t>
      </w:r>
    </w:p>
    <w:p>
      <w:pPr>
        <w:pStyle w:val="BodyText"/>
        <w:spacing w:before="9"/>
        <w:rPr>
          <w:sz w:val="14"/>
        </w:rPr>
      </w:pPr>
    </w:p>
    <w:p>
      <w:pPr>
        <w:pStyle w:val="ListParagraph"/>
        <w:numPr>
          <w:ilvl w:val="3"/>
          <w:numId w:val="4"/>
        </w:numPr>
        <w:tabs>
          <w:tab w:pos="3059" w:val="left" w:leader="none"/>
        </w:tabs>
        <w:spacing w:line="240" w:lineRule="auto" w:before="0" w:after="0"/>
        <w:ind w:left="3058" w:right="0" w:hanging="360"/>
        <w:jc w:val="left"/>
        <w:rPr>
          <w:sz w:val="21"/>
        </w:rPr>
      </w:pPr>
      <w:r>
        <w:rPr>
          <w:spacing w:val="-1"/>
          <w:sz w:val="21"/>
        </w:rPr>
        <w:t>实际实施了对脑肿瘤进行的放射治疗。</w:t>
      </w:r>
    </w:p>
    <w:p>
      <w:pPr>
        <w:pStyle w:val="BodyText"/>
        <w:rPr>
          <w:sz w:val="20"/>
        </w:rPr>
      </w:pPr>
    </w:p>
    <w:p>
      <w:pPr>
        <w:pStyle w:val="BodyText"/>
        <w:rPr>
          <w:sz w:val="20"/>
        </w:rPr>
      </w:pPr>
    </w:p>
    <w:p>
      <w:pPr>
        <w:pStyle w:val="Heading3"/>
        <w:spacing w:before="137"/>
        <w:ind w:left="2272"/>
      </w:pPr>
      <w:r>
        <w:rPr>
          <w:w w:val="95"/>
        </w:rPr>
        <w:t>脑垂体瘤、脑囊肿、脑血管性疾病不在保障范围内。</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211" w:hanging="454"/>
        <w:jc w:val="left"/>
        <w:rPr>
          <w:sz w:val="21"/>
        </w:rPr>
      </w:pPr>
      <w:r>
        <w:rPr>
          <w:spacing w:val="-6"/>
          <w:sz w:val="21"/>
        </w:rPr>
        <w:t>慢性肝功能衰竭失代偿期：指因慢性肝脏疾病导致肝功能衰竭。须满足下列全部条件：</w:t>
      </w:r>
    </w:p>
    <w:p>
      <w:pPr>
        <w:pStyle w:val="ListParagraph"/>
        <w:numPr>
          <w:ilvl w:val="3"/>
          <w:numId w:val="4"/>
        </w:numPr>
        <w:tabs>
          <w:tab w:pos="3093" w:val="left" w:leader="none"/>
        </w:tabs>
        <w:spacing w:line="240" w:lineRule="auto" w:before="163" w:after="0"/>
        <w:ind w:left="3092" w:right="0" w:hanging="394"/>
        <w:jc w:val="left"/>
        <w:rPr>
          <w:sz w:val="21"/>
        </w:rPr>
      </w:pPr>
      <w:r>
        <w:rPr>
          <w:spacing w:val="-1"/>
          <w:sz w:val="21"/>
        </w:rPr>
        <w:t>持续性黄疸；</w:t>
      </w:r>
    </w:p>
    <w:p>
      <w:pPr>
        <w:pStyle w:val="BodyText"/>
        <w:spacing w:before="9"/>
        <w:rPr>
          <w:sz w:val="14"/>
        </w:rPr>
      </w:pPr>
    </w:p>
    <w:p>
      <w:pPr>
        <w:pStyle w:val="ListParagraph"/>
        <w:numPr>
          <w:ilvl w:val="3"/>
          <w:numId w:val="4"/>
        </w:numPr>
        <w:tabs>
          <w:tab w:pos="3093" w:val="left" w:leader="none"/>
        </w:tabs>
        <w:spacing w:line="240" w:lineRule="auto" w:before="1" w:after="0"/>
        <w:ind w:left="3092" w:right="0" w:hanging="394"/>
        <w:jc w:val="left"/>
        <w:rPr>
          <w:sz w:val="21"/>
        </w:rPr>
      </w:pPr>
      <w:r>
        <w:rPr>
          <w:spacing w:val="-1"/>
          <w:sz w:val="21"/>
        </w:rPr>
        <w:t>腹水；</w:t>
      </w:r>
    </w:p>
    <w:p>
      <w:pPr>
        <w:pStyle w:val="BodyText"/>
        <w:spacing w:before="10"/>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pacing w:val="-1"/>
          <w:sz w:val="21"/>
        </w:rPr>
        <w:t>肝性脑病；</w:t>
      </w:r>
    </w:p>
    <w:p>
      <w:pPr>
        <w:pStyle w:val="BodyText"/>
        <w:spacing w:before="9"/>
        <w:rPr>
          <w:sz w:val="14"/>
        </w:rPr>
      </w:pPr>
    </w:p>
    <w:p>
      <w:pPr>
        <w:pStyle w:val="ListParagraph"/>
        <w:numPr>
          <w:ilvl w:val="3"/>
          <w:numId w:val="4"/>
        </w:numPr>
        <w:tabs>
          <w:tab w:pos="3093" w:val="left" w:leader="none"/>
        </w:tabs>
        <w:spacing w:line="240" w:lineRule="auto" w:before="1" w:after="0"/>
        <w:ind w:left="3092" w:right="0" w:hanging="394"/>
        <w:jc w:val="left"/>
        <w:rPr>
          <w:sz w:val="21"/>
        </w:rPr>
      </w:pPr>
      <w:r>
        <w:rPr>
          <w:spacing w:val="-1"/>
          <w:sz w:val="21"/>
        </w:rPr>
        <w:t>充血性脾肿大伴脾功能亢进或食管胃底静脉曲张。</w:t>
      </w:r>
    </w:p>
    <w:p>
      <w:pPr>
        <w:spacing w:after="0" w:line="240" w:lineRule="auto"/>
        <w:jc w:val="left"/>
        <w:rPr>
          <w:sz w:val="21"/>
        </w:rPr>
        <w:sectPr>
          <w:pgSz w:w="11910" w:h="16840"/>
          <w:pgMar w:header="0" w:footer="1008" w:top="1580" w:bottom="1200" w:left="1680" w:right="920"/>
        </w:sectPr>
      </w:pPr>
    </w:p>
    <w:p>
      <w:pPr>
        <w:pStyle w:val="Heading3"/>
        <w:spacing w:before="19"/>
        <w:ind w:left="2221"/>
      </w:pPr>
      <w:r>
        <w:rPr>
          <w:w w:val="95"/>
        </w:rPr>
        <w:t>因酗酒或药物滥用导致的肝功能衰竭不在保障范围内。</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11" w:hanging="454"/>
        <w:jc w:val="both"/>
        <w:rPr>
          <w:b/>
          <w:sz w:val="21"/>
        </w:rPr>
      </w:pPr>
      <w:r>
        <w:rPr>
          <w:spacing w:val="-8"/>
          <w:sz w:val="21"/>
        </w:rPr>
        <w:t>脑炎后遗症或脑膜炎后遗症：指因患脑炎或脑膜炎导致的神经系统永久性的功能障碍。神经系统永久性的功能障碍，指疾病确诊180天后，</w:t>
      </w:r>
      <w:r>
        <w:rPr>
          <w:b/>
          <w:spacing w:val="-8"/>
          <w:sz w:val="21"/>
        </w:rPr>
        <w:t>仍遗留下列</w:t>
      </w:r>
      <w:r>
        <w:rPr>
          <w:b/>
          <w:spacing w:val="-8"/>
          <w:w w:val="95"/>
          <w:sz w:val="21"/>
        </w:rPr>
        <w:t>一种或一种以上障碍：</w:t>
      </w:r>
    </w:p>
    <w:p>
      <w:pPr>
        <w:pStyle w:val="ListParagraph"/>
        <w:numPr>
          <w:ilvl w:val="3"/>
          <w:numId w:val="4"/>
        </w:numPr>
        <w:tabs>
          <w:tab w:pos="3059" w:val="left" w:leader="none"/>
        </w:tabs>
        <w:spacing w:line="240" w:lineRule="auto" w:before="163" w:after="0"/>
        <w:ind w:left="3058" w:right="0" w:hanging="360"/>
        <w:jc w:val="left"/>
        <w:rPr>
          <w:sz w:val="21"/>
        </w:rPr>
      </w:pPr>
      <w:r>
        <w:rPr>
          <w:sz w:val="21"/>
        </w:rPr>
        <w:t>一肢或一肢以上肢体机能完全丧失；</w:t>
      </w:r>
    </w:p>
    <w:p>
      <w:pPr>
        <w:pStyle w:val="BodyText"/>
        <w:spacing w:before="9"/>
        <w:rPr>
          <w:sz w:val="14"/>
        </w:rPr>
      </w:pPr>
    </w:p>
    <w:p>
      <w:pPr>
        <w:pStyle w:val="ListParagraph"/>
        <w:numPr>
          <w:ilvl w:val="3"/>
          <w:numId w:val="4"/>
        </w:numPr>
        <w:tabs>
          <w:tab w:pos="3059" w:val="left" w:leader="none"/>
        </w:tabs>
        <w:spacing w:line="240" w:lineRule="auto" w:before="1" w:after="0"/>
        <w:ind w:left="3058" w:right="0" w:hanging="360"/>
        <w:jc w:val="left"/>
        <w:rPr>
          <w:sz w:val="21"/>
        </w:rPr>
      </w:pPr>
      <w:r>
        <w:rPr>
          <w:sz w:val="21"/>
        </w:rPr>
        <w:t>语言能力或咀嚼吞咽能力完全丧失；</w:t>
      </w:r>
    </w:p>
    <w:p>
      <w:pPr>
        <w:pStyle w:val="BodyText"/>
        <w:spacing w:before="10"/>
        <w:rPr>
          <w:sz w:val="14"/>
        </w:rPr>
      </w:pPr>
    </w:p>
    <w:p>
      <w:pPr>
        <w:pStyle w:val="ListParagraph"/>
        <w:numPr>
          <w:ilvl w:val="3"/>
          <w:numId w:val="4"/>
        </w:numPr>
        <w:tabs>
          <w:tab w:pos="3059" w:val="left" w:leader="none"/>
        </w:tabs>
        <w:spacing w:line="273" w:lineRule="auto" w:before="0" w:after="0"/>
        <w:ind w:left="3058" w:right="111" w:hanging="360"/>
        <w:jc w:val="left"/>
        <w:rPr>
          <w:sz w:val="21"/>
        </w:rPr>
      </w:pPr>
      <w:r>
        <w:rPr>
          <w:spacing w:val="-6"/>
          <w:sz w:val="21"/>
        </w:rPr>
        <w:t>自主生活能力完全丧失，无法独立完成六项基本日常生活活动中的三项或三项以上。</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0" w:after="0"/>
        <w:ind w:left="2252" w:right="111" w:hanging="454"/>
        <w:jc w:val="both"/>
        <w:rPr>
          <w:sz w:val="21"/>
        </w:rPr>
      </w:pPr>
      <w:r>
        <w:rPr>
          <w:sz w:val="21"/>
        </w:rPr>
        <w:t>深度昏迷：指因疾病或意外伤害导致意识丧失,对外界刺激和体内需求均无反应,昏迷程度按照格拉斯哥昏迷分级（Glasgow</w:t>
      </w:r>
      <w:r>
        <w:rPr>
          <w:spacing w:val="-49"/>
          <w:sz w:val="21"/>
        </w:rPr>
        <w:t> </w:t>
      </w:r>
      <w:r>
        <w:rPr>
          <w:sz w:val="21"/>
        </w:rPr>
        <w:t>coma</w:t>
      </w:r>
      <w:r>
        <w:rPr>
          <w:spacing w:val="-49"/>
          <w:sz w:val="21"/>
        </w:rPr>
        <w:t> </w:t>
      </w:r>
      <w:r>
        <w:rPr>
          <w:sz w:val="21"/>
        </w:rPr>
        <w:t>scale）结果为5分或</w:t>
      </w:r>
    </w:p>
    <w:p>
      <w:pPr>
        <w:pStyle w:val="BodyText"/>
        <w:spacing w:before="7"/>
        <w:ind w:left="2252"/>
      </w:pPr>
      <w:r>
        <w:rPr/>
        <w:t>5分以下，且已经持续使用呼吸机及其它生命维持系统96小时以上。</w:t>
      </w:r>
    </w:p>
    <w:p>
      <w:pPr>
        <w:pStyle w:val="BodyText"/>
        <w:rPr>
          <w:sz w:val="20"/>
        </w:rPr>
      </w:pPr>
    </w:p>
    <w:p>
      <w:pPr>
        <w:pStyle w:val="BodyText"/>
        <w:rPr>
          <w:sz w:val="20"/>
        </w:rPr>
      </w:pPr>
    </w:p>
    <w:p>
      <w:pPr>
        <w:pStyle w:val="Heading3"/>
        <w:spacing w:before="137"/>
        <w:ind w:left="2221"/>
      </w:pPr>
      <w:r>
        <w:rPr>
          <w:w w:val="95"/>
        </w:rPr>
        <w:t>因酗酒或药物滥用导致的深度昏迷不在保障范围内。</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08" w:hanging="454"/>
        <w:jc w:val="both"/>
        <w:rPr>
          <w:sz w:val="21"/>
        </w:rPr>
      </w:pPr>
      <w:r>
        <w:rPr>
          <w:sz w:val="21"/>
        </w:rPr>
        <w:t>双耳失聪：指因疾病或意外伤害导致双耳听力永久不可逆性丧失，在500赫</w:t>
      </w:r>
      <w:r>
        <w:rPr>
          <w:spacing w:val="-16"/>
          <w:sz w:val="21"/>
        </w:rPr>
        <w:t>兹、</w:t>
      </w:r>
      <w:r>
        <w:rPr>
          <w:sz w:val="21"/>
        </w:rPr>
        <w:t>1000赫兹和2000</w:t>
      </w:r>
      <w:r>
        <w:rPr>
          <w:spacing w:val="-4"/>
          <w:sz w:val="21"/>
        </w:rPr>
        <w:t>赫兹语音频率下，平均听阈大于</w:t>
      </w:r>
      <w:r>
        <w:rPr>
          <w:sz w:val="21"/>
        </w:rPr>
        <w:t>90</w:t>
      </w:r>
      <w:r>
        <w:rPr>
          <w:spacing w:val="-6"/>
          <w:sz w:val="21"/>
        </w:rPr>
        <w:t>分贝，且经纯音听力测试、声导抗检测或听觉诱发电位检测等证实。</w:t>
      </w:r>
    </w:p>
    <w:p>
      <w:pPr>
        <w:pStyle w:val="BodyText"/>
        <w:rPr>
          <w:sz w:val="20"/>
        </w:rPr>
      </w:pPr>
    </w:p>
    <w:p>
      <w:pPr>
        <w:pStyle w:val="BodyText"/>
        <w:spacing w:before="3"/>
        <w:rPr>
          <w:sz w:val="28"/>
        </w:rPr>
      </w:pPr>
    </w:p>
    <w:p>
      <w:pPr>
        <w:pStyle w:val="Heading3"/>
        <w:ind w:left="2252"/>
      </w:pPr>
      <w:r>
        <w:rPr>
          <w:w w:val="95"/>
        </w:rPr>
        <w:t>被保险人申请理赔时年龄必须在3周岁以上。</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11" w:hanging="454"/>
        <w:jc w:val="both"/>
        <w:rPr>
          <w:sz w:val="21"/>
        </w:rPr>
      </w:pPr>
      <w:r>
        <w:rPr>
          <w:spacing w:val="-9"/>
          <w:sz w:val="21"/>
        </w:rPr>
        <w:t>双目失明：指因疾病或意外伤害导致双眼视力永久不可逆性丧失，双眼中较好眼须满足下列至少一项条件：</w:t>
      </w:r>
    </w:p>
    <w:p>
      <w:pPr>
        <w:pStyle w:val="BodyText"/>
        <w:rPr>
          <w:sz w:val="20"/>
        </w:rPr>
      </w:pPr>
    </w:p>
    <w:p>
      <w:pPr>
        <w:pStyle w:val="BodyText"/>
        <w:spacing w:before="3"/>
        <w:rPr>
          <w:sz w:val="28"/>
        </w:rPr>
      </w:pPr>
    </w:p>
    <w:p>
      <w:pPr>
        <w:pStyle w:val="ListParagraph"/>
        <w:numPr>
          <w:ilvl w:val="3"/>
          <w:numId w:val="4"/>
        </w:numPr>
        <w:tabs>
          <w:tab w:pos="3059" w:val="left" w:leader="none"/>
        </w:tabs>
        <w:spacing w:line="240" w:lineRule="auto" w:before="0" w:after="0"/>
        <w:ind w:left="3058" w:right="0" w:hanging="360"/>
        <w:jc w:val="left"/>
        <w:rPr>
          <w:sz w:val="21"/>
        </w:rPr>
      </w:pPr>
      <w:r>
        <w:rPr>
          <w:sz w:val="21"/>
        </w:rPr>
        <w:t>眼球缺失或摘除；</w:t>
      </w:r>
    </w:p>
    <w:p>
      <w:pPr>
        <w:pStyle w:val="BodyText"/>
        <w:spacing w:before="9"/>
        <w:rPr>
          <w:sz w:val="14"/>
        </w:rPr>
      </w:pPr>
    </w:p>
    <w:p>
      <w:pPr>
        <w:pStyle w:val="ListParagraph"/>
        <w:numPr>
          <w:ilvl w:val="3"/>
          <w:numId w:val="4"/>
        </w:numPr>
        <w:tabs>
          <w:tab w:pos="3059" w:val="left" w:leader="none"/>
        </w:tabs>
        <w:spacing w:line="273" w:lineRule="auto" w:before="0" w:after="0"/>
        <w:ind w:left="3058" w:right="111" w:hanging="360"/>
        <w:jc w:val="left"/>
        <w:rPr>
          <w:sz w:val="21"/>
        </w:rPr>
      </w:pPr>
      <w:r>
        <w:rPr>
          <w:sz w:val="21"/>
        </w:rPr>
        <w:t>矫正视力低于</w:t>
      </w:r>
      <w:r>
        <w:rPr>
          <w:spacing w:val="-6"/>
          <w:sz w:val="21"/>
        </w:rPr>
        <w:t>0.02（</w:t>
      </w:r>
      <w:r>
        <w:rPr>
          <w:spacing w:val="-3"/>
          <w:sz w:val="21"/>
        </w:rPr>
        <w:t>采用国际标准视力表，如果使用其它视力表应进行 换算</w:t>
      </w:r>
      <w:r>
        <w:rPr>
          <w:spacing w:val="-106"/>
          <w:sz w:val="21"/>
        </w:rPr>
        <w:t>）</w:t>
      </w:r>
      <w:r>
        <w:rPr>
          <w:sz w:val="21"/>
        </w:rPr>
        <w:t>；</w:t>
      </w:r>
    </w:p>
    <w:p>
      <w:pPr>
        <w:pStyle w:val="ListParagraph"/>
        <w:numPr>
          <w:ilvl w:val="3"/>
          <w:numId w:val="4"/>
        </w:numPr>
        <w:tabs>
          <w:tab w:pos="3059" w:val="left" w:leader="none"/>
        </w:tabs>
        <w:spacing w:line="240" w:lineRule="auto" w:before="163" w:after="0"/>
        <w:ind w:left="3058" w:right="0" w:hanging="360"/>
        <w:jc w:val="left"/>
        <w:rPr>
          <w:sz w:val="21"/>
        </w:rPr>
      </w:pPr>
      <w:r>
        <w:rPr>
          <w:sz w:val="21"/>
        </w:rPr>
        <w:t>视野半径小于5度。</w:t>
      </w:r>
    </w:p>
    <w:p>
      <w:pPr>
        <w:pStyle w:val="BodyText"/>
        <w:rPr>
          <w:sz w:val="20"/>
        </w:rPr>
      </w:pPr>
    </w:p>
    <w:p>
      <w:pPr>
        <w:pStyle w:val="BodyText"/>
        <w:rPr>
          <w:sz w:val="20"/>
        </w:rPr>
      </w:pPr>
    </w:p>
    <w:p>
      <w:pPr>
        <w:pStyle w:val="Heading3"/>
        <w:spacing w:before="137"/>
        <w:ind w:left="2221"/>
      </w:pPr>
      <w:r>
        <w:rPr>
          <w:w w:val="95"/>
        </w:rPr>
        <w:t>被保险人申请理赔时年龄必须在3周岁以上。</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11" w:hanging="454"/>
        <w:jc w:val="both"/>
        <w:rPr>
          <w:sz w:val="21"/>
        </w:rPr>
      </w:pPr>
      <w:r>
        <w:rPr>
          <w:spacing w:val="-9"/>
          <w:sz w:val="21"/>
        </w:rPr>
        <w:t>瘫痪：指因疾病或意外伤害导致两肢或两肢以上肢体机能永久完全丧失。肢</w:t>
      </w:r>
      <w:r>
        <w:rPr>
          <w:spacing w:val="-6"/>
          <w:sz w:val="21"/>
        </w:rPr>
        <w:t>体机能永久完全丧失，指疾病确诊</w:t>
      </w:r>
      <w:r>
        <w:rPr>
          <w:spacing w:val="-1"/>
          <w:sz w:val="21"/>
        </w:rPr>
        <w:t>180天后或意外伤害发生180</w:t>
      </w:r>
      <w:r>
        <w:rPr>
          <w:spacing w:val="-10"/>
          <w:sz w:val="21"/>
        </w:rPr>
        <w:t>天后，每肢三</w:t>
      </w:r>
    </w:p>
    <w:p>
      <w:pPr>
        <w:spacing w:after="0" w:line="273" w:lineRule="auto"/>
        <w:jc w:val="both"/>
        <w:rPr>
          <w:sz w:val="21"/>
        </w:rPr>
        <w:sectPr>
          <w:pgSz w:w="11910" w:h="16840"/>
          <w:pgMar w:header="0" w:footer="1008" w:top="1100" w:bottom="1200" w:left="1680" w:right="1020"/>
        </w:sectPr>
      </w:pPr>
    </w:p>
    <w:p>
      <w:pPr>
        <w:pStyle w:val="BodyText"/>
        <w:spacing w:before="19"/>
        <w:ind w:left="2252"/>
      </w:pPr>
      <w:r>
        <w:rPr/>
        <w:t>大关节中的两大关节仍然完全僵硬，或不能随意识活动。</w:t>
      </w:r>
    </w:p>
    <w:p>
      <w:pPr>
        <w:pStyle w:val="BodyText"/>
        <w:rPr>
          <w:sz w:val="20"/>
        </w:rPr>
      </w:pPr>
    </w:p>
    <w:p>
      <w:pPr>
        <w:pStyle w:val="BodyText"/>
        <w:rPr>
          <w:sz w:val="20"/>
        </w:rPr>
      </w:pPr>
    </w:p>
    <w:p>
      <w:pPr>
        <w:pStyle w:val="ListParagraph"/>
        <w:numPr>
          <w:ilvl w:val="2"/>
          <w:numId w:val="4"/>
        </w:numPr>
        <w:tabs>
          <w:tab w:pos="2253" w:val="left" w:leader="none"/>
        </w:tabs>
        <w:spacing w:line="273" w:lineRule="auto" w:before="137" w:after="0"/>
        <w:ind w:left="2252" w:right="211" w:hanging="454"/>
        <w:jc w:val="left"/>
        <w:rPr>
          <w:sz w:val="21"/>
        </w:rPr>
      </w:pPr>
      <w:r>
        <w:rPr>
          <w:spacing w:val="-10"/>
          <w:sz w:val="21"/>
        </w:rPr>
        <w:t>心脏瓣膜手术：指为治疗心脏瓣膜疾病，实际实施了开胸进行的心脏瓣膜置换或修复的手术。</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0" w:after="0"/>
        <w:ind w:left="2252" w:right="119" w:hanging="454"/>
        <w:jc w:val="left"/>
        <w:rPr>
          <w:sz w:val="21"/>
        </w:rPr>
      </w:pPr>
      <w:r>
        <w:rPr>
          <w:spacing w:val="-9"/>
          <w:sz w:val="21"/>
        </w:rPr>
        <w:t>严重阿尔茨海默病：指因大脑进行性、不可逆性改变导致智能严重衰退或丧</w:t>
      </w:r>
      <w:r>
        <w:rPr>
          <w:spacing w:val="-10"/>
          <w:sz w:val="21"/>
        </w:rPr>
        <w:t>失，临床表现为明显的认知能力障碍、行为异常和社交能力减退，其日常生</w:t>
      </w:r>
      <w:r>
        <w:rPr>
          <w:spacing w:val="-1"/>
          <w:sz w:val="21"/>
        </w:rPr>
        <w:t>活必须持续受到他人监护。须由头颅断层扫描（CT</w:t>
      </w:r>
      <w:r>
        <w:rPr>
          <w:spacing w:val="-104"/>
          <w:sz w:val="21"/>
        </w:rPr>
        <w:t>）</w:t>
      </w:r>
      <w:r>
        <w:rPr>
          <w:spacing w:val="-1"/>
          <w:sz w:val="21"/>
        </w:rPr>
        <w:t>、核磁共振检查</w:t>
      </w:r>
      <w:r>
        <w:rPr>
          <w:sz w:val="21"/>
        </w:rPr>
        <w:t>（MRI）或正电子发射断层扫描（PET）等影像学检查证实，且自主生活能力完全丧</w:t>
      </w:r>
      <w:r>
        <w:rPr>
          <w:spacing w:val="-1"/>
          <w:sz w:val="21"/>
        </w:rPr>
        <w:t>失，无法独立完成六项基本日常生活活动中的三项或三项以上。</w:t>
      </w:r>
    </w:p>
    <w:p>
      <w:pPr>
        <w:pStyle w:val="BodyText"/>
        <w:rPr>
          <w:sz w:val="20"/>
        </w:rPr>
      </w:pPr>
    </w:p>
    <w:p>
      <w:pPr>
        <w:pStyle w:val="BodyText"/>
        <w:spacing w:before="3"/>
        <w:rPr>
          <w:sz w:val="28"/>
        </w:rPr>
      </w:pPr>
    </w:p>
    <w:p>
      <w:pPr>
        <w:pStyle w:val="Heading3"/>
        <w:ind w:left="2221"/>
      </w:pPr>
      <w:r>
        <w:rPr>
          <w:w w:val="95"/>
        </w:rPr>
        <w:t>神经官能症和精神疾病不在保障范围内。</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06" w:hanging="454"/>
        <w:jc w:val="left"/>
        <w:rPr>
          <w:b/>
          <w:sz w:val="21"/>
        </w:rPr>
      </w:pPr>
      <w:r>
        <w:rPr>
          <w:spacing w:val="-9"/>
          <w:sz w:val="21"/>
        </w:rPr>
        <w:t>严重脑损伤：指因头部遭受机械性外力，引起脑重要部位损伤，导致神经系</w:t>
      </w:r>
      <w:r>
        <w:rPr>
          <w:spacing w:val="-4"/>
          <w:sz w:val="21"/>
        </w:rPr>
        <w:t>统永久性的功能障碍。须由头颅断层扫描</w:t>
      </w:r>
      <w:r>
        <w:rPr>
          <w:spacing w:val="-1"/>
          <w:sz w:val="21"/>
        </w:rPr>
        <w:t>（CT</w:t>
      </w:r>
      <w:r>
        <w:rPr>
          <w:spacing w:val="-106"/>
          <w:sz w:val="21"/>
        </w:rPr>
        <w:t>）</w:t>
      </w:r>
      <w:r>
        <w:rPr>
          <w:spacing w:val="-6"/>
          <w:sz w:val="21"/>
        </w:rPr>
        <w:t>、核磁共振检查</w:t>
      </w:r>
      <w:r>
        <w:rPr>
          <w:sz w:val="21"/>
        </w:rPr>
        <w:t>（MRI</w:t>
      </w:r>
      <w:r>
        <w:rPr>
          <w:spacing w:val="-20"/>
          <w:sz w:val="21"/>
        </w:rPr>
        <w:t>）</w:t>
      </w:r>
      <w:r>
        <w:rPr>
          <w:sz w:val="21"/>
        </w:rPr>
        <w:t>或正</w:t>
      </w:r>
      <w:r>
        <w:rPr>
          <w:spacing w:val="-4"/>
          <w:sz w:val="21"/>
        </w:rPr>
        <w:t>电子发射断层扫描</w:t>
      </w:r>
      <w:r>
        <w:rPr>
          <w:spacing w:val="-7"/>
          <w:sz w:val="21"/>
        </w:rPr>
        <w:t>（PET）</w:t>
      </w:r>
      <w:r>
        <w:rPr>
          <w:spacing w:val="-4"/>
          <w:sz w:val="21"/>
        </w:rPr>
        <w:t>等影像学检查证实。神经系统永久性的功能障碍， </w:t>
      </w:r>
      <w:r>
        <w:rPr>
          <w:spacing w:val="-4"/>
          <w:w w:val="95"/>
          <w:sz w:val="21"/>
        </w:rPr>
        <w:t>指脑损伤180天后，</w:t>
      </w:r>
      <w:r>
        <w:rPr>
          <w:b/>
          <w:spacing w:val="-4"/>
          <w:w w:val="95"/>
          <w:sz w:val="21"/>
        </w:rPr>
        <w:t>仍遗留下列一种或一种以上障碍：</w:t>
      </w:r>
    </w:p>
    <w:p>
      <w:pPr>
        <w:pStyle w:val="ListParagraph"/>
        <w:numPr>
          <w:ilvl w:val="3"/>
          <w:numId w:val="4"/>
        </w:numPr>
        <w:tabs>
          <w:tab w:pos="3093" w:val="left" w:leader="none"/>
        </w:tabs>
        <w:spacing w:line="240" w:lineRule="auto" w:before="163" w:after="0"/>
        <w:ind w:left="3092" w:right="0" w:hanging="394"/>
        <w:jc w:val="left"/>
        <w:rPr>
          <w:sz w:val="21"/>
        </w:rPr>
      </w:pPr>
      <w:r>
        <w:rPr>
          <w:spacing w:val="-1"/>
          <w:sz w:val="21"/>
        </w:rPr>
        <w:t>一肢或一肢以上肢体机能完全丧失；</w:t>
      </w:r>
    </w:p>
    <w:p>
      <w:pPr>
        <w:pStyle w:val="BodyText"/>
        <w:spacing w:before="9"/>
        <w:rPr>
          <w:sz w:val="14"/>
        </w:rPr>
      </w:pPr>
    </w:p>
    <w:p>
      <w:pPr>
        <w:pStyle w:val="ListParagraph"/>
        <w:numPr>
          <w:ilvl w:val="3"/>
          <w:numId w:val="4"/>
        </w:numPr>
        <w:tabs>
          <w:tab w:pos="3093" w:val="left" w:leader="none"/>
        </w:tabs>
        <w:spacing w:line="240" w:lineRule="auto" w:before="0" w:after="0"/>
        <w:ind w:left="3092" w:right="0" w:hanging="394"/>
        <w:jc w:val="left"/>
        <w:rPr>
          <w:sz w:val="21"/>
        </w:rPr>
      </w:pPr>
      <w:r>
        <w:rPr>
          <w:sz w:val="21"/>
        </w:rPr>
        <w:t>语言能力或咀嚼吞咽能力完全丧失；</w:t>
      </w:r>
    </w:p>
    <w:p>
      <w:pPr>
        <w:pStyle w:val="BodyText"/>
        <w:spacing w:before="9"/>
        <w:rPr>
          <w:sz w:val="14"/>
        </w:rPr>
      </w:pPr>
    </w:p>
    <w:p>
      <w:pPr>
        <w:pStyle w:val="ListParagraph"/>
        <w:numPr>
          <w:ilvl w:val="3"/>
          <w:numId w:val="4"/>
        </w:numPr>
        <w:tabs>
          <w:tab w:pos="3093" w:val="left" w:leader="none"/>
        </w:tabs>
        <w:spacing w:line="273" w:lineRule="auto" w:before="0" w:after="0"/>
        <w:ind w:left="3092" w:right="211" w:hanging="394"/>
        <w:jc w:val="left"/>
        <w:rPr>
          <w:sz w:val="21"/>
        </w:rPr>
      </w:pPr>
      <w:r>
        <w:rPr>
          <w:spacing w:val="-9"/>
          <w:sz w:val="21"/>
        </w:rPr>
        <w:t>自主生活能力完全丧失，无法独立完成六项基本日常生活活动中的三项或三项以上。</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0" w:after="0"/>
        <w:ind w:left="2252" w:right="120" w:hanging="454"/>
        <w:jc w:val="left"/>
        <w:rPr>
          <w:b/>
          <w:sz w:val="21"/>
        </w:rPr>
      </w:pPr>
      <w:r>
        <w:rPr>
          <w:sz w:val="21"/>
        </w:rPr>
        <w:t>严重帕金森病：是一种中枢神经系统的退行性疾病，临床表现为震颤麻痹、</w:t>
      </w:r>
      <w:r>
        <w:rPr>
          <w:w w:val="95"/>
          <w:sz w:val="21"/>
        </w:rPr>
        <w:t>共济失调等。</w:t>
      </w:r>
      <w:r>
        <w:rPr>
          <w:b/>
          <w:w w:val="95"/>
          <w:sz w:val="21"/>
        </w:rPr>
        <w:t>须满足下列全部条件：</w:t>
      </w:r>
    </w:p>
    <w:p>
      <w:pPr>
        <w:pStyle w:val="BodyText"/>
        <w:rPr>
          <w:b/>
          <w:sz w:val="20"/>
        </w:rPr>
      </w:pPr>
    </w:p>
    <w:p>
      <w:pPr>
        <w:pStyle w:val="BodyText"/>
        <w:spacing w:before="3"/>
        <w:rPr>
          <w:b/>
          <w:sz w:val="28"/>
        </w:rPr>
      </w:pPr>
    </w:p>
    <w:p>
      <w:pPr>
        <w:pStyle w:val="ListParagraph"/>
        <w:numPr>
          <w:ilvl w:val="3"/>
          <w:numId w:val="4"/>
        </w:numPr>
        <w:tabs>
          <w:tab w:pos="3092" w:val="left" w:leader="none"/>
          <w:tab w:pos="3093" w:val="left" w:leader="none"/>
        </w:tabs>
        <w:spacing w:line="240" w:lineRule="auto" w:before="0" w:after="0"/>
        <w:ind w:left="3092" w:right="0" w:hanging="454"/>
        <w:jc w:val="left"/>
        <w:rPr>
          <w:sz w:val="21"/>
        </w:rPr>
      </w:pPr>
      <w:r>
        <w:rPr>
          <w:spacing w:val="-1"/>
          <w:sz w:val="21"/>
        </w:rPr>
        <w:t>药物治疗无法控制病情；</w:t>
      </w:r>
    </w:p>
    <w:p>
      <w:pPr>
        <w:pStyle w:val="BodyText"/>
        <w:spacing w:before="9"/>
        <w:rPr>
          <w:sz w:val="14"/>
        </w:rPr>
      </w:pPr>
    </w:p>
    <w:p>
      <w:pPr>
        <w:pStyle w:val="ListParagraph"/>
        <w:numPr>
          <w:ilvl w:val="3"/>
          <w:numId w:val="4"/>
        </w:numPr>
        <w:tabs>
          <w:tab w:pos="3092" w:val="left" w:leader="none"/>
          <w:tab w:pos="3093" w:val="left" w:leader="none"/>
        </w:tabs>
        <w:spacing w:line="273" w:lineRule="auto" w:before="0" w:after="0"/>
        <w:ind w:left="3092" w:right="211" w:hanging="454"/>
        <w:jc w:val="left"/>
        <w:rPr>
          <w:sz w:val="21"/>
        </w:rPr>
      </w:pPr>
      <w:r>
        <w:rPr>
          <w:spacing w:val="-9"/>
          <w:sz w:val="21"/>
        </w:rPr>
        <w:t>自主生活能力完全丧失，无法独立完成六项基本日常生活活动中的</w:t>
      </w:r>
      <w:r>
        <w:rPr>
          <w:spacing w:val="-1"/>
          <w:sz w:val="21"/>
        </w:rPr>
        <w:t>三项或三项以上。</w:t>
      </w:r>
    </w:p>
    <w:p>
      <w:pPr>
        <w:pStyle w:val="BodyText"/>
        <w:rPr>
          <w:sz w:val="20"/>
        </w:rPr>
      </w:pPr>
    </w:p>
    <w:p>
      <w:pPr>
        <w:pStyle w:val="BodyText"/>
        <w:spacing w:before="3"/>
        <w:rPr>
          <w:sz w:val="28"/>
        </w:rPr>
      </w:pPr>
    </w:p>
    <w:p>
      <w:pPr>
        <w:pStyle w:val="Heading3"/>
        <w:ind w:left="2221"/>
      </w:pPr>
      <w:r>
        <w:rPr>
          <w:w w:val="95"/>
        </w:rPr>
        <w:t>继发性帕金森综合征不在保障范围内。</w:t>
      </w:r>
    </w:p>
    <w:p>
      <w:pPr>
        <w:pStyle w:val="BodyText"/>
        <w:rPr>
          <w:b/>
          <w:sz w:val="20"/>
        </w:rPr>
      </w:pPr>
    </w:p>
    <w:p>
      <w:pPr>
        <w:pStyle w:val="BodyText"/>
        <w:rPr>
          <w:b/>
          <w:sz w:val="20"/>
        </w:rPr>
      </w:pPr>
    </w:p>
    <w:p>
      <w:pPr>
        <w:pStyle w:val="ListParagraph"/>
        <w:numPr>
          <w:ilvl w:val="2"/>
          <w:numId w:val="4"/>
        </w:numPr>
        <w:tabs>
          <w:tab w:pos="2253" w:val="left" w:leader="none"/>
        </w:tabs>
        <w:spacing w:line="240" w:lineRule="auto" w:before="137" w:after="0"/>
        <w:ind w:left="2252" w:right="0" w:hanging="454"/>
        <w:jc w:val="left"/>
        <w:rPr>
          <w:sz w:val="21"/>
        </w:rPr>
      </w:pPr>
      <w:r>
        <w:rPr>
          <w:spacing w:val="-10"/>
          <w:sz w:val="21"/>
        </w:rPr>
        <w:t>严重Ⅲ度烧伤：指烧伤程度为Ⅲ度，且Ⅲ度烧伤的面积达到全身体表面积的</w:t>
      </w:r>
    </w:p>
    <w:p>
      <w:pPr>
        <w:pStyle w:val="BodyText"/>
        <w:spacing w:before="36"/>
        <w:ind w:left="2252"/>
      </w:pPr>
      <w:r>
        <w:rPr/>
        <w:t>20％或20％以上。体表面积根据《中国新九分法》计算。</w:t>
      </w:r>
    </w:p>
    <w:p>
      <w:pPr>
        <w:pStyle w:val="BodyText"/>
        <w:rPr>
          <w:sz w:val="20"/>
        </w:rPr>
      </w:pPr>
    </w:p>
    <w:p>
      <w:pPr>
        <w:pStyle w:val="BodyText"/>
        <w:rPr>
          <w:sz w:val="20"/>
        </w:rPr>
      </w:pPr>
    </w:p>
    <w:p>
      <w:pPr>
        <w:pStyle w:val="ListParagraph"/>
        <w:numPr>
          <w:ilvl w:val="2"/>
          <w:numId w:val="4"/>
        </w:numPr>
        <w:tabs>
          <w:tab w:pos="2253" w:val="left" w:leader="none"/>
        </w:tabs>
        <w:spacing w:line="240" w:lineRule="auto" w:before="137" w:after="0"/>
        <w:ind w:left="2252" w:right="0" w:hanging="454"/>
        <w:jc w:val="left"/>
        <w:rPr>
          <w:sz w:val="21"/>
        </w:rPr>
      </w:pPr>
      <w:r>
        <w:rPr>
          <w:spacing w:val="-7"/>
          <w:sz w:val="21"/>
        </w:rPr>
        <w:t>严重原发性肺动脉高压：指不明原因的肺动脉压力持续性增高，进行性发展</w:t>
      </w:r>
    </w:p>
    <w:p>
      <w:pPr>
        <w:spacing w:after="0" w:line="240" w:lineRule="auto"/>
        <w:jc w:val="left"/>
        <w:rPr>
          <w:sz w:val="21"/>
        </w:rPr>
        <w:sectPr>
          <w:pgSz w:w="11910" w:h="16840"/>
          <w:pgMar w:header="0" w:footer="1008" w:top="1100" w:bottom="1200" w:left="1680" w:right="920"/>
        </w:sectPr>
      </w:pPr>
    </w:p>
    <w:p>
      <w:pPr>
        <w:pStyle w:val="BodyText"/>
        <w:spacing w:line="273" w:lineRule="auto" w:before="19"/>
        <w:ind w:left="2252" w:right="99"/>
        <w:jc w:val="both"/>
      </w:pPr>
      <w:r>
        <w:rPr>
          <w:spacing w:val="-8"/>
        </w:rPr>
        <w:t>而导致的慢性疾病，已经造成永久不可逆性的体力活动能力受限，达到美国</w:t>
      </w:r>
      <w:r>
        <w:rPr>
          <w:spacing w:val="10"/>
        </w:rPr>
        <w:t>纽约心脏病学会心功能状态分级</w:t>
      </w:r>
      <w:r>
        <w:rPr>
          <w:spacing w:val="5"/>
        </w:rPr>
        <w:t>IV</w:t>
      </w:r>
      <w:r>
        <w:rPr>
          <w:spacing w:val="10"/>
        </w:rPr>
        <w:t>级，且静息状态下肺动脉平均压超过</w:t>
      </w:r>
      <w:r>
        <w:rPr>
          <w:spacing w:val="-1"/>
        </w:rPr>
        <w:t>30mmHg</w:t>
      </w:r>
      <w:r>
        <w:rPr/>
        <w:t>。</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0" w:after="0"/>
        <w:ind w:left="2252" w:right="110" w:hanging="454"/>
        <w:jc w:val="both"/>
        <w:rPr>
          <w:sz w:val="21"/>
        </w:rPr>
      </w:pPr>
      <w:r>
        <w:rPr>
          <w:spacing w:val="-8"/>
          <w:sz w:val="21"/>
        </w:rPr>
        <w:t>严重运动神经元病：是一组中枢神经系统运动神经元的进行性变性疾病，包</w:t>
      </w:r>
      <w:r>
        <w:rPr>
          <w:spacing w:val="-13"/>
          <w:sz w:val="21"/>
        </w:rPr>
        <w:t>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0" w:after="0"/>
        <w:ind w:left="2252" w:right="110" w:hanging="454"/>
        <w:jc w:val="both"/>
        <w:rPr>
          <w:sz w:val="21"/>
        </w:rPr>
      </w:pPr>
      <w:r>
        <w:rPr>
          <w:spacing w:val="-9"/>
          <w:sz w:val="21"/>
        </w:rPr>
        <w:t>语言能力丧失：指因疾病或意外伤害导致完全丧失语言能力，经过积极治疗至少12</w:t>
      </w:r>
      <w:r>
        <w:rPr>
          <w:spacing w:val="-4"/>
          <w:sz w:val="21"/>
        </w:rPr>
        <w:t>个月</w:t>
      </w:r>
      <w:r>
        <w:rPr>
          <w:sz w:val="21"/>
        </w:rPr>
        <w:t>（声带完全切除不受此时间限制</w:t>
      </w:r>
      <w:r>
        <w:rPr>
          <w:spacing w:val="-104"/>
          <w:sz w:val="21"/>
        </w:rPr>
        <w:t>）</w:t>
      </w:r>
      <w:r>
        <w:rPr>
          <w:sz w:val="21"/>
        </w:rPr>
        <w:t>，仍无法通过现有医疗手段恢</w:t>
      </w:r>
      <w:r>
        <w:rPr>
          <w:spacing w:val="-1"/>
          <w:sz w:val="21"/>
        </w:rPr>
        <w:t>复。</w:t>
      </w:r>
    </w:p>
    <w:p>
      <w:pPr>
        <w:pStyle w:val="Heading3"/>
        <w:spacing w:line="408" w:lineRule="auto" w:before="163"/>
        <w:ind w:left="2221" w:right="2133"/>
      </w:pPr>
      <w:r>
        <w:rPr/>
        <w:t>精神心理因素所致的语言能力丧失不在保障范围内。</w:t>
      </w:r>
      <w:r>
        <w:rPr>
          <w:w w:val="95"/>
        </w:rPr>
        <w:t>被保险人申请理赔时年龄必须在3周岁以上。</w:t>
      </w:r>
    </w:p>
    <w:p>
      <w:pPr>
        <w:pStyle w:val="BodyText"/>
        <w:rPr>
          <w:b/>
          <w:sz w:val="20"/>
        </w:rPr>
      </w:pPr>
    </w:p>
    <w:p>
      <w:pPr>
        <w:pStyle w:val="BodyText"/>
        <w:spacing w:before="3"/>
        <w:rPr>
          <w:b/>
          <w:sz w:val="19"/>
        </w:rPr>
      </w:pPr>
    </w:p>
    <w:p>
      <w:pPr>
        <w:pStyle w:val="ListParagraph"/>
        <w:numPr>
          <w:ilvl w:val="2"/>
          <w:numId w:val="4"/>
        </w:numPr>
        <w:tabs>
          <w:tab w:pos="2253" w:val="left" w:leader="none"/>
        </w:tabs>
        <w:spacing w:line="273" w:lineRule="auto" w:before="0" w:after="0"/>
        <w:ind w:left="2252" w:right="111" w:hanging="454"/>
        <w:jc w:val="both"/>
        <w:rPr>
          <w:sz w:val="21"/>
        </w:rPr>
      </w:pPr>
      <w:r>
        <w:rPr>
          <w:spacing w:val="-7"/>
          <w:sz w:val="21"/>
        </w:rPr>
        <w:t>重型再生障碍性贫血：指因骨髓造血功能慢性持续性衰竭导致的贫血、中性粒细胞减少及血小板减少。须满足下列全部条件：</w:t>
      </w:r>
    </w:p>
    <w:p>
      <w:pPr>
        <w:pStyle w:val="BodyText"/>
        <w:rPr>
          <w:sz w:val="20"/>
        </w:rPr>
      </w:pPr>
    </w:p>
    <w:p>
      <w:pPr>
        <w:pStyle w:val="BodyText"/>
        <w:spacing w:before="3"/>
        <w:rPr>
          <w:sz w:val="28"/>
        </w:rPr>
      </w:pPr>
    </w:p>
    <w:p>
      <w:pPr>
        <w:pStyle w:val="ListParagraph"/>
        <w:numPr>
          <w:ilvl w:val="3"/>
          <w:numId w:val="4"/>
        </w:numPr>
        <w:tabs>
          <w:tab w:pos="3092" w:val="left" w:leader="none"/>
          <w:tab w:pos="3093" w:val="left" w:leader="none"/>
        </w:tabs>
        <w:spacing w:line="240" w:lineRule="auto" w:before="0" w:after="0"/>
        <w:ind w:left="3092" w:right="0" w:hanging="454"/>
        <w:jc w:val="left"/>
        <w:rPr>
          <w:sz w:val="21"/>
        </w:rPr>
      </w:pPr>
      <w:r>
        <w:rPr>
          <w:sz w:val="21"/>
        </w:rPr>
        <w:t>骨髓穿刺检查或骨髓活检结果支持诊断；</w:t>
      </w:r>
    </w:p>
    <w:p>
      <w:pPr>
        <w:pStyle w:val="BodyText"/>
        <w:spacing w:before="9"/>
        <w:rPr>
          <w:sz w:val="14"/>
        </w:rPr>
      </w:pPr>
    </w:p>
    <w:p>
      <w:pPr>
        <w:pStyle w:val="ListParagraph"/>
        <w:numPr>
          <w:ilvl w:val="3"/>
          <w:numId w:val="4"/>
        </w:numPr>
        <w:tabs>
          <w:tab w:pos="3092" w:val="left" w:leader="none"/>
          <w:tab w:pos="3093" w:val="left" w:leader="none"/>
        </w:tabs>
        <w:spacing w:line="240" w:lineRule="auto" w:before="0" w:after="0"/>
        <w:ind w:left="3092" w:right="0" w:hanging="454"/>
        <w:jc w:val="left"/>
        <w:rPr>
          <w:sz w:val="21"/>
        </w:rPr>
      </w:pPr>
      <w:r>
        <w:rPr>
          <w:sz w:val="21"/>
        </w:rPr>
        <w:t>外周血象须具备以下三项条件：</w:t>
      </w:r>
    </w:p>
    <w:p>
      <w:pPr>
        <w:pStyle w:val="BodyText"/>
        <w:spacing w:before="9"/>
        <w:rPr>
          <w:sz w:val="14"/>
        </w:rPr>
      </w:pPr>
    </w:p>
    <w:p>
      <w:pPr>
        <w:pStyle w:val="BodyText"/>
        <w:ind w:left="3020"/>
      </w:pPr>
      <w:r>
        <w:rPr/>
        <w:t>① 中性粒细胞绝对值≤0.5×10</w:t>
      </w:r>
      <w:r>
        <w:rPr>
          <w:position w:val="11"/>
          <w:sz w:val="11"/>
        </w:rPr>
        <w:t>9</w:t>
      </w:r>
      <w:r>
        <w:rPr/>
        <w:t>/L ；</w:t>
      </w:r>
    </w:p>
    <w:p>
      <w:pPr>
        <w:pStyle w:val="BodyText"/>
        <w:spacing w:before="192"/>
        <w:ind w:left="3020"/>
      </w:pPr>
      <w:r>
        <w:rPr/>
        <w:t>② 网织红细胞＜1%；</w:t>
      </w:r>
    </w:p>
    <w:p>
      <w:pPr>
        <w:pStyle w:val="BodyText"/>
        <w:spacing w:before="9"/>
        <w:rPr>
          <w:sz w:val="14"/>
        </w:rPr>
      </w:pPr>
    </w:p>
    <w:p>
      <w:pPr>
        <w:pStyle w:val="BodyText"/>
        <w:ind w:left="3007"/>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2"/>
          <w:numId w:val="4"/>
        </w:numPr>
        <w:tabs>
          <w:tab w:pos="2253" w:val="left" w:leader="none"/>
        </w:tabs>
        <w:spacing w:line="273" w:lineRule="auto" w:before="0" w:after="0"/>
        <w:ind w:left="2252" w:right="110" w:hanging="454"/>
        <w:jc w:val="both"/>
        <w:rPr>
          <w:sz w:val="21"/>
        </w:rPr>
      </w:pPr>
      <w:r>
        <w:rPr>
          <w:spacing w:val="-9"/>
          <w:sz w:val="21"/>
        </w:rPr>
        <w:t>主动脉手术：指为治疗主动脉疾病，实际实施了开胸或开腹进行的切除、置</w:t>
      </w:r>
      <w:r>
        <w:rPr>
          <w:spacing w:val="-10"/>
          <w:sz w:val="21"/>
        </w:rPr>
        <w:t>换、修补病损主动脉血管的手术。主动脉指胸主动脉和腹主动脉，不包括胸主动脉和腹主动脉的分支血管。</w:t>
      </w:r>
    </w:p>
    <w:p>
      <w:pPr>
        <w:pStyle w:val="BodyText"/>
        <w:rPr>
          <w:sz w:val="20"/>
        </w:rPr>
      </w:pPr>
    </w:p>
    <w:p>
      <w:pPr>
        <w:pStyle w:val="BodyText"/>
        <w:spacing w:before="3"/>
        <w:rPr>
          <w:sz w:val="28"/>
        </w:rPr>
      </w:pPr>
    </w:p>
    <w:p>
      <w:pPr>
        <w:pStyle w:val="Heading3"/>
        <w:ind w:left="2321"/>
      </w:pPr>
      <w:r>
        <w:rPr>
          <w:w w:val="95"/>
        </w:rPr>
        <w:t>动脉内血管成形术不在保障范围内。</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11" w:hanging="454"/>
        <w:jc w:val="both"/>
        <w:rPr>
          <w:sz w:val="21"/>
        </w:rPr>
      </w:pPr>
      <w:r>
        <w:rPr>
          <w:spacing w:val="-8"/>
          <w:sz w:val="21"/>
        </w:rPr>
        <w:t>严重原发性心肌病：指被保险人因不明原因引起的一类心肌病变，包括原发</w:t>
      </w:r>
      <w:r>
        <w:rPr>
          <w:spacing w:val="-12"/>
          <w:sz w:val="21"/>
        </w:rPr>
        <w:t>性扩张型心肌病、原发性肥厚型心肌病及原发性限制型心肌病三种，病变必</w:t>
      </w:r>
      <w:r>
        <w:rPr>
          <w:spacing w:val="-16"/>
          <w:sz w:val="21"/>
        </w:rPr>
        <w:t>须已造成事实上心室功能障碍而出现明显的心功能衰竭</w:t>
      </w:r>
      <w:r>
        <w:rPr>
          <w:sz w:val="21"/>
        </w:rPr>
        <w:t>（指按照美国纽约心脏协会心功能分类标准心功能达四级*</w:t>
      </w:r>
      <w:r>
        <w:rPr>
          <w:spacing w:val="-105"/>
          <w:sz w:val="21"/>
        </w:rPr>
        <w:t>）</w:t>
      </w:r>
      <w:r>
        <w:rPr>
          <w:spacing w:val="-11"/>
          <w:sz w:val="21"/>
        </w:rPr>
        <w:t>，且有相关住院医疗记录显示四级心功能衰竭状态持续至少180天。</w:t>
      </w:r>
    </w:p>
    <w:p>
      <w:pPr>
        <w:spacing w:after="0" w:line="273" w:lineRule="auto"/>
        <w:jc w:val="both"/>
        <w:rPr>
          <w:sz w:val="21"/>
        </w:rPr>
        <w:sectPr>
          <w:pgSz w:w="11910" w:h="16840"/>
          <w:pgMar w:header="0" w:footer="1008" w:top="1100" w:bottom="1200" w:left="1680" w:right="1020"/>
        </w:sectPr>
      </w:pPr>
    </w:p>
    <w:p>
      <w:pPr>
        <w:spacing w:line="273" w:lineRule="auto" w:before="19"/>
        <w:ind w:left="2252" w:right="316" w:firstLine="0"/>
        <w:jc w:val="left"/>
        <w:rPr>
          <w:b/>
          <w:sz w:val="21"/>
        </w:rPr>
      </w:pPr>
      <w:r>
        <w:rPr>
          <w:sz w:val="21"/>
        </w:rPr>
        <w:t>本病须经专科医生明确诊断。</w:t>
      </w:r>
      <w:r>
        <w:rPr>
          <w:b/>
          <w:sz w:val="21"/>
        </w:rPr>
        <w:t>继发于全身性疾病或其它器官系统疾病造成</w:t>
      </w:r>
      <w:r>
        <w:rPr>
          <w:b/>
          <w:w w:val="95"/>
          <w:sz w:val="21"/>
        </w:rPr>
        <w:t>的心肌病变不在保障范围内。</w:t>
      </w:r>
    </w:p>
    <w:p>
      <w:pPr>
        <w:pStyle w:val="BodyText"/>
        <w:spacing w:line="273" w:lineRule="auto" w:before="163"/>
        <w:ind w:left="1798" w:right="211"/>
      </w:pPr>
      <w:r>
        <w:rPr/>
        <w:t>*美国纽约心脏协会分类标准心功能四级是指有医院的医疗记录显示病人不能进行任何活动，休息时仍有心悸、呼吸困难等心力衰竭表现。</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0" w:after="0"/>
        <w:ind w:left="2252" w:right="211" w:hanging="454"/>
        <w:jc w:val="both"/>
        <w:rPr>
          <w:sz w:val="21"/>
        </w:rPr>
      </w:pPr>
      <w:r>
        <w:rPr>
          <w:spacing w:val="-10"/>
          <w:sz w:val="21"/>
        </w:rPr>
        <w:t>终末期肺病：是指被保险人必须经本公司认可的医院的呼吸科专科医师确诊的严重并且永久性的呼吸系统功能损害，其诊断标准包括以下各项：</w:t>
      </w:r>
    </w:p>
    <w:p>
      <w:pPr>
        <w:pStyle w:val="ListParagraph"/>
        <w:numPr>
          <w:ilvl w:val="3"/>
          <w:numId w:val="4"/>
        </w:numPr>
        <w:tabs>
          <w:tab w:pos="2568" w:val="left" w:leader="none"/>
        </w:tabs>
        <w:spacing w:line="240" w:lineRule="auto" w:before="163" w:after="0"/>
        <w:ind w:left="2567" w:right="0" w:hanging="315"/>
        <w:jc w:val="left"/>
        <w:rPr>
          <w:sz w:val="21"/>
        </w:rPr>
      </w:pPr>
      <w:r>
        <w:rPr>
          <w:spacing w:val="-1"/>
          <w:sz w:val="21"/>
        </w:rPr>
        <w:t>肺功能测试其</w:t>
      </w:r>
      <w:r>
        <w:rPr>
          <w:sz w:val="21"/>
        </w:rPr>
        <w:t>FEV1持续低于1升。</w:t>
      </w:r>
    </w:p>
    <w:p>
      <w:pPr>
        <w:pStyle w:val="BodyText"/>
        <w:spacing w:before="9"/>
        <w:rPr>
          <w:sz w:val="14"/>
        </w:rPr>
      </w:pPr>
    </w:p>
    <w:p>
      <w:pPr>
        <w:pStyle w:val="BodyText"/>
        <w:ind w:left="2252"/>
      </w:pPr>
      <w:r>
        <w:rPr/>
        <w:t>b)动脉血气分析氧分压等于或低于55mmHg。</w:t>
      </w:r>
    </w:p>
    <w:p>
      <w:pPr>
        <w:pStyle w:val="BodyText"/>
        <w:spacing w:before="9"/>
        <w:rPr>
          <w:sz w:val="14"/>
        </w:rPr>
      </w:pPr>
    </w:p>
    <w:p>
      <w:pPr>
        <w:pStyle w:val="BodyText"/>
        <w:ind w:left="2218"/>
      </w:pPr>
      <w:r>
        <w:rPr/>
        <w:t>c)病人血氧不足必须持续地进行输氧治疗。</w:t>
      </w:r>
    </w:p>
    <w:p>
      <w:pPr>
        <w:pStyle w:val="BodyText"/>
        <w:rPr>
          <w:sz w:val="20"/>
        </w:rPr>
      </w:pPr>
    </w:p>
    <w:p>
      <w:pPr>
        <w:pStyle w:val="BodyText"/>
        <w:rPr>
          <w:sz w:val="20"/>
        </w:rPr>
      </w:pPr>
    </w:p>
    <w:p>
      <w:pPr>
        <w:pStyle w:val="ListParagraph"/>
        <w:numPr>
          <w:ilvl w:val="2"/>
          <w:numId w:val="4"/>
        </w:numPr>
        <w:tabs>
          <w:tab w:pos="2253" w:val="left" w:leader="none"/>
        </w:tabs>
        <w:spacing w:line="273" w:lineRule="auto" w:before="137" w:after="0"/>
        <w:ind w:left="2252" w:right="210" w:hanging="454"/>
        <w:jc w:val="both"/>
        <w:rPr>
          <w:sz w:val="21"/>
        </w:rPr>
      </w:pPr>
      <w:r>
        <w:rPr>
          <w:spacing w:val="-10"/>
          <w:sz w:val="21"/>
        </w:rPr>
        <w:t>多发性硬化：指因中枢神经系统脱髓鞘而导致的不可逆的身体部位的功能障</w:t>
      </w:r>
      <w:r>
        <w:rPr>
          <w:spacing w:val="-8"/>
          <w:sz w:val="21"/>
        </w:rPr>
        <w:t>碍，需由神经科专科医生提供明确诊断，并有头颅断层扫描</w:t>
      </w:r>
      <w:r>
        <w:rPr>
          <w:spacing w:val="-6"/>
          <w:sz w:val="21"/>
        </w:rPr>
        <w:t>（CT）</w:t>
      </w:r>
      <w:r>
        <w:rPr>
          <w:sz w:val="21"/>
        </w:rPr>
        <w:t>或核磁共振检查（MRI）检查结果诊断报告。不可逆的身体部位功能障碍指诊断为功能障碍后需已经持续180</w:t>
      </w:r>
      <w:r>
        <w:rPr>
          <w:spacing w:val="-10"/>
          <w:sz w:val="21"/>
        </w:rPr>
        <w:t> 日以上。由神经科专科医生提供的明确诊断必须同时包含下列内容：</w:t>
      </w:r>
    </w:p>
    <w:p>
      <w:pPr>
        <w:pStyle w:val="ListParagraph"/>
        <w:numPr>
          <w:ilvl w:val="3"/>
          <w:numId w:val="4"/>
        </w:numPr>
        <w:tabs>
          <w:tab w:pos="2568" w:val="left" w:leader="none"/>
        </w:tabs>
        <w:spacing w:line="240" w:lineRule="auto" w:before="164" w:after="0"/>
        <w:ind w:left="2567" w:right="0" w:hanging="315"/>
        <w:jc w:val="left"/>
        <w:rPr>
          <w:sz w:val="21"/>
        </w:rPr>
      </w:pPr>
      <w:r>
        <w:rPr>
          <w:spacing w:val="-1"/>
          <w:sz w:val="21"/>
        </w:rPr>
        <w:t>明确出现因视神经、脑干和脊髓损伤而导致的临床表现；</w:t>
      </w:r>
    </w:p>
    <w:p>
      <w:pPr>
        <w:pStyle w:val="BodyText"/>
        <w:spacing w:before="10"/>
        <w:rPr>
          <w:sz w:val="14"/>
        </w:rPr>
      </w:pPr>
    </w:p>
    <w:p>
      <w:pPr>
        <w:pStyle w:val="ListParagraph"/>
        <w:numPr>
          <w:ilvl w:val="3"/>
          <w:numId w:val="4"/>
        </w:numPr>
        <w:tabs>
          <w:tab w:pos="2568" w:val="left" w:leader="none"/>
        </w:tabs>
        <w:spacing w:line="240" w:lineRule="auto" w:before="0" w:after="0"/>
        <w:ind w:left="2567" w:right="0" w:hanging="315"/>
        <w:jc w:val="left"/>
        <w:rPr>
          <w:sz w:val="21"/>
        </w:rPr>
      </w:pPr>
      <w:r>
        <w:rPr>
          <w:spacing w:val="-1"/>
          <w:sz w:val="21"/>
        </w:rPr>
        <w:t>神经系统散在的多部位病变；</w:t>
      </w:r>
    </w:p>
    <w:p>
      <w:pPr>
        <w:pStyle w:val="BodyText"/>
        <w:spacing w:before="9"/>
        <w:rPr>
          <w:sz w:val="14"/>
        </w:rPr>
      </w:pPr>
    </w:p>
    <w:p>
      <w:pPr>
        <w:pStyle w:val="ListParagraph"/>
        <w:numPr>
          <w:ilvl w:val="3"/>
          <w:numId w:val="4"/>
        </w:numPr>
        <w:tabs>
          <w:tab w:pos="2568" w:val="left" w:leader="none"/>
        </w:tabs>
        <w:spacing w:line="240" w:lineRule="auto" w:before="1" w:after="0"/>
        <w:ind w:left="2567" w:right="0" w:hanging="315"/>
        <w:jc w:val="left"/>
        <w:rPr>
          <w:sz w:val="21"/>
        </w:rPr>
      </w:pPr>
      <w:r>
        <w:rPr>
          <w:spacing w:val="-1"/>
          <w:sz w:val="21"/>
        </w:rPr>
        <w:t>有明确的上述症状及神经损伤反复恶化、减轻的病史纪录。</w:t>
      </w:r>
    </w:p>
    <w:p>
      <w:pPr>
        <w:pStyle w:val="BodyText"/>
        <w:rPr>
          <w:sz w:val="20"/>
        </w:rPr>
      </w:pPr>
    </w:p>
    <w:p>
      <w:pPr>
        <w:pStyle w:val="BodyText"/>
        <w:rPr>
          <w:sz w:val="20"/>
        </w:rPr>
      </w:pPr>
    </w:p>
    <w:p>
      <w:pPr>
        <w:pStyle w:val="BodyText"/>
        <w:rPr>
          <w:sz w:val="20"/>
        </w:rPr>
      </w:pPr>
    </w:p>
    <w:p>
      <w:pPr>
        <w:pStyle w:val="BodyText"/>
        <w:spacing w:before="4"/>
        <w:rPr>
          <w:sz w:val="14"/>
        </w:rPr>
      </w:pPr>
    </w:p>
    <w:p>
      <w:pPr>
        <w:pStyle w:val="ListParagraph"/>
        <w:numPr>
          <w:ilvl w:val="2"/>
          <w:numId w:val="4"/>
        </w:numPr>
        <w:tabs>
          <w:tab w:pos="2253" w:val="left" w:leader="none"/>
        </w:tabs>
        <w:spacing w:line="273" w:lineRule="auto" w:before="1" w:after="0"/>
        <w:ind w:left="2252" w:right="105" w:hanging="454"/>
        <w:jc w:val="left"/>
        <w:rPr>
          <w:sz w:val="21"/>
        </w:rPr>
      </w:pPr>
      <w:r>
        <w:rPr>
          <w:spacing w:val="-7"/>
          <w:sz w:val="21"/>
        </w:rPr>
        <w:t>严重类风湿性关节炎：是指广泛的慢性渐进性的关节损害，伴有明显的关节</w:t>
      </w:r>
      <w:r>
        <w:rPr>
          <w:spacing w:val="-6"/>
          <w:sz w:val="21"/>
        </w:rPr>
        <w:t>畸形，至少累及三个或三个以上关节</w:t>
      </w:r>
      <w:r>
        <w:rPr>
          <w:sz w:val="21"/>
        </w:rPr>
        <w:t>（</w:t>
      </w:r>
      <w:r>
        <w:rPr>
          <w:spacing w:val="-9"/>
          <w:sz w:val="21"/>
        </w:rPr>
        <w:t>如：手，腕，肘，髋，膝，踝关节</w:t>
      </w:r>
      <w:r>
        <w:rPr>
          <w:spacing w:val="-106"/>
          <w:sz w:val="21"/>
        </w:rPr>
        <w:t>）</w:t>
      </w:r>
      <w:r>
        <w:rPr>
          <w:sz w:val="21"/>
        </w:rPr>
        <w:t>。</w:t>
      </w:r>
      <w:r>
        <w:rPr>
          <w:spacing w:val="-5"/>
          <w:sz w:val="21"/>
        </w:rPr>
        <w:t>此疾病必须已经导致了自主生活能力完全丧失，不能独立完成六项基本日常生活活动中的三项或三项以上的情形。</w:t>
      </w:r>
    </w:p>
    <w:p>
      <w:pPr>
        <w:pStyle w:val="BodyText"/>
        <w:spacing w:line="273" w:lineRule="auto" w:before="164"/>
        <w:ind w:left="2252" w:right="211"/>
      </w:pPr>
      <w:r>
        <w:rPr>
          <w:spacing w:val="-8"/>
        </w:rPr>
        <w:t>上述疾病需由专科医生确诊，并提供相应医疗记录以证实上述病情已经存在至少3个月。</w:t>
      </w:r>
    </w:p>
    <w:p>
      <w:pPr>
        <w:pStyle w:val="BodyText"/>
        <w:rPr>
          <w:sz w:val="20"/>
        </w:rPr>
      </w:pPr>
    </w:p>
    <w:p>
      <w:pPr>
        <w:pStyle w:val="BodyText"/>
        <w:spacing w:before="3"/>
        <w:rPr>
          <w:sz w:val="28"/>
        </w:rPr>
      </w:pPr>
    </w:p>
    <w:p>
      <w:pPr>
        <w:pStyle w:val="ListParagraph"/>
        <w:numPr>
          <w:ilvl w:val="2"/>
          <w:numId w:val="4"/>
        </w:numPr>
        <w:tabs>
          <w:tab w:pos="2253" w:val="left" w:leader="none"/>
        </w:tabs>
        <w:spacing w:line="273" w:lineRule="auto" w:before="1" w:after="0"/>
        <w:ind w:left="2252" w:right="121" w:hanging="454"/>
        <w:jc w:val="both"/>
        <w:rPr>
          <w:sz w:val="21"/>
        </w:rPr>
      </w:pPr>
      <w:r>
        <w:rPr>
          <w:sz w:val="21"/>
        </w:rPr>
        <w:t>肌营养不良症：指由保险公司认可的医院的专科医师明确诊断的Duchenne 型营养不良症（DMD</w:t>
      </w:r>
      <w:r>
        <w:rPr>
          <w:spacing w:val="-105"/>
          <w:sz w:val="21"/>
        </w:rPr>
        <w:t>）</w:t>
      </w:r>
      <w:r>
        <w:rPr>
          <w:sz w:val="21"/>
        </w:rPr>
        <w:t>（严重性假肥大型营养不良症</w:t>
      </w:r>
      <w:r>
        <w:rPr>
          <w:spacing w:val="-105"/>
          <w:sz w:val="21"/>
        </w:rPr>
        <w:t>）</w:t>
      </w:r>
      <w:r>
        <w:rPr>
          <w:sz w:val="21"/>
        </w:rPr>
        <w:t>，Bec</w:t>
      </w:r>
      <w:r>
        <w:rPr>
          <w:spacing w:val="-1"/>
          <w:sz w:val="21"/>
        </w:rPr>
        <w:t>k</w:t>
      </w:r>
      <w:r>
        <w:rPr>
          <w:sz w:val="21"/>
        </w:rPr>
        <w:t>er型（BMD</w:t>
      </w:r>
      <w:r>
        <w:rPr>
          <w:spacing w:val="-106"/>
          <w:sz w:val="21"/>
        </w:rPr>
        <w:t>）</w:t>
      </w:r>
      <w:r>
        <w:rPr>
          <w:sz w:val="21"/>
        </w:rPr>
        <w:t>（良性假肥大型肌营养不良症</w:t>
      </w:r>
      <w:r>
        <w:rPr>
          <w:spacing w:val="-76"/>
          <w:sz w:val="21"/>
        </w:rPr>
        <w:t>）</w:t>
      </w:r>
      <w:r>
        <w:rPr>
          <w:spacing w:val="-12"/>
          <w:sz w:val="21"/>
        </w:rPr>
        <w:t>，或者肢带型肌营养不良症。(不包含其他类型的肌营养不良) 并提供肌肉活检和血清肌酸磷酸激酶（CPK）报告. 该疾病导</w:t>
      </w:r>
      <w:r>
        <w:rPr>
          <w:spacing w:val="-16"/>
          <w:sz w:val="21"/>
        </w:rPr>
        <w:t>致被保险人永久完全地丧失了独立生活能力，在无他人协助下无法独立进行</w:t>
      </w:r>
      <w:r>
        <w:rPr>
          <w:spacing w:val="-19"/>
          <w:sz w:val="21"/>
        </w:rPr>
        <w:t>以下六项日常生活活动中的其中三项或三项以上，或者必须永久卧床，没有</w:t>
      </w:r>
      <w:r>
        <w:rPr>
          <w:spacing w:val="-15"/>
          <w:sz w:val="21"/>
        </w:rPr>
        <w:t>他人帮助不能自己起床。 且有相关医疗记录显示这种情况持续至少</w:t>
      </w:r>
      <w:r>
        <w:rPr>
          <w:sz w:val="21"/>
        </w:rPr>
        <w:t>3个月。</w:t>
      </w:r>
    </w:p>
    <w:p>
      <w:pPr>
        <w:spacing w:after="0" w:line="273" w:lineRule="auto"/>
        <w:jc w:val="both"/>
        <w:rPr>
          <w:sz w:val="21"/>
        </w:rPr>
        <w:sectPr>
          <w:pgSz w:w="11910" w:h="16840"/>
          <w:pgMar w:header="0" w:footer="1008" w:top="1100" w:bottom="1200" w:left="1680" w:right="920"/>
        </w:sectPr>
      </w:pPr>
    </w:p>
    <w:p>
      <w:pPr>
        <w:pStyle w:val="ListParagraph"/>
        <w:numPr>
          <w:ilvl w:val="2"/>
          <w:numId w:val="4"/>
        </w:numPr>
        <w:tabs>
          <w:tab w:pos="2253" w:val="left" w:leader="none"/>
        </w:tabs>
        <w:spacing w:line="240" w:lineRule="auto" w:before="19" w:after="0"/>
        <w:ind w:left="2252" w:right="0" w:hanging="454"/>
        <w:jc w:val="left"/>
        <w:rPr>
          <w:sz w:val="21"/>
        </w:rPr>
      </w:pPr>
      <w:r>
        <w:rPr>
          <w:sz w:val="21"/>
        </w:rPr>
        <w:t>肾髓质囊性病：肾髓质囊性病的诊断必须同时符合下列要求：</w:t>
      </w:r>
    </w:p>
    <w:p>
      <w:pPr>
        <w:pStyle w:val="BodyText"/>
        <w:spacing w:before="9"/>
        <w:rPr>
          <w:sz w:val="14"/>
        </w:rPr>
      </w:pPr>
    </w:p>
    <w:p>
      <w:pPr>
        <w:pStyle w:val="BodyText"/>
        <w:spacing w:before="1"/>
        <w:ind w:left="2252"/>
      </w:pPr>
      <w:r>
        <w:rPr/>
        <w:t>a）肾髓质有囊肿、肾小管萎缩及间质纤维化等病理改变；</w:t>
      </w:r>
    </w:p>
    <w:p>
      <w:pPr>
        <w:pStyle w:val="BodyText"/>
        <w:spacing w:before="10"/>
        <w:rPr>
          <w:sz w:val="14"/>
        </w:rPr>
      </w:pPr>
    </w:p>
    <w:p>
      <w:pPr>
        <w:pStyle w:val="BodyText"/>
        <w:ind w:left="2252"/>
      </w:pPr>
      <w:r>
        <w:rPr/>
        <w:t>b）贫血、多尿及肾功能衰竭等临床表现；</w:t>
      </w:r>
    </w:p>
    <w:p>
      <w:pPr>
        <w:pStyle w:val="BodyText"/>
        <w:spacing w:before="9"/>
        <w:rPr>
          <w:sz w:val="14"/>
        </w:rPr>
      </w:pPr>
    </w:p>
    <w:p>
      <w:pPr>
        <w:pStyle w:val="BodyText"/>
        <w:spacing w:before="1"/>
        <w:ind w:left="2252"/>
      </w:pPr>
      <w:r>
        <w:rPr/>
        <w:t>c）诊断须由肾组织活检确定。</w:t>
      </w:r>
    </w:p>
    <w:p>
      <w:pPr>
        <w:pStyle w:val="BodyText"/>
        <w:rPr>
          <w:sz w:val="20"/>
        </w:rPr>
      </w:pPr>
    </w:p>
    <w:p>
      <w:pPr>
        <w:pStyle w:val="BodyText"/>
        <w:rPr>
          <w:sz w:val="20"/>
        </w:rPr>
      </w:pPr>
    </w:p>
    <w:p>
      <w:pPr>
        <w:pStyle w:val="ListParagraph"/>
        <w:numPr>
          <w:ilvl w:val="2"/>
          <w:numId w:val="4"/>
        </w:numPr>
        <w:tabs>
          <w:tab w:pos="2253" w:val="left" w:leader="none"/>
        </w:tabs>
        <w:spacing w:line="273" w:lineRule="auto" w:before="138" w:after="0"/>
        <w:ind w:left="2252" w:right="101" w:hanging="454"/>
        <w:jc w:val="left"/>
        <w:rPr>
          <w:sz w:val="21"/>
        </w:rPr>
      </w:pPr>
      <w:r>
        <w:rPr>
          <w:spacing w:val="-6"/>
          <w:sz w:val="21"/>
        </w:rPr>
        <w:t>经输血导致的人类免疫缺陷病毒感染：被保险人因输血而感染上人类免疫缺</w:t>
      </w:r>
      <w:r>
        <w:rPr>
          <w:spacing w:val="-1"/>
          <w:sz w:val="21"/>
        </w:rPr>
        <w:t>陷病毒</w:t>
      </w:r>
      <w:r>
        <w:rPr>
          <w:sz w:val="21"/>
        </w:rPr>
        <w:t>(HIV)或罹患获得性免疫缺陷综合征(AIDS),并且符合下列所有条件：</w:t>
      </w:r>
    </w:p>
    <w:p>
      <w:pPr>
        <w:pStyle w:val="ListParagraph"/>
        <w:numPr>
          <w:ilvl w:val="3"/>
          <w:numId w:val="4"/>
        </w:numPr>
        <w:tabs>
          <w:tab w:pos="2568" w:val="left" w:leader="none"/>
        </w:tabs>
        <w:spacing w:line="273" w:lineRule="auto" w:before="164" w:after="0"/>
        <w:ind w:left="2252" w:right="205" w:firstLine="0"/>
        <w:jc w:val="left"/>
        <w:rPr>
          <w:sz w:val="21"/>
        </w:rPr>
      </w:pPr>
      <w:r>
        <w:rPr>
          <w:sz w:val="21"/>
        </w:rPr>
        <w:t>造成感染的输血事件发生在本附加合同生效日之后或复效日之后，血清</w:t>
      </w:r>
      <w:r>
        <w:rPr>
          <w:spacing w:val="-1"/>
          <w:sz w:val="21"/>
        </w:rPr>
        <w:t>出现</w:t>
      </w:r>
      <w:r>
        <w:rPr>
          <w:sz w:val="21"/>
        </w:rPr>
        <w:t>HIV感染必须发生在接受输血后180天内；</w:t>
      </w:r>
    </w:p>
    <w:p>
      <w:pPr>
        <w:pStyle w:val="ListParagraph"/>
        <w:numPr>
          <w:ilvl w:val="3"/>
          <w:numId w:val="4"/>
        </w:numPr>
        <w:tabs>
          <w:tab w:pos="2568" w:val="left" w:leader="none"/>
        </w:tabs>
        <w:spacing w:line="273" w:lineRule="auto" w:before="164" w:after="0"/>
        <w:ind w:left="2252" w:right="205" w:firstLine="0"/>
        <w:jc w:val="left"/>
        <w:rPr>
          <w:sz w:val="21"/>
        </w:rPr>
      </w:pPr>
      <w:r>
        <w:rPr>
          <w:sz w:val="21"/>
        </w:rPr>
        <w:t>我们认可的提供输血治疗的正规输血中心或医院出具该项输血感染属医疗责任事故的报告，或者法院终审裁定为医疗责任；</w:t>
      </w:r>
    </w:p>
    <w:p>
      <w:pPr>
        <w:pStyle w:val="ListParagraph"/>
        <w:numPr>
          <w:ilvl w:val="3"/>
          <w:numId w:val="4"/>
        </w:numPr>
        <w:tabs>
          <w:tab w:pos="2568" w:val="left" w:leader="none"/>
        </w:tabs>
        <w:spacing w:line="240" w:lineRule="auto" w:before="164" w:after="0"/>
        <w:ind w:left="2252" w:right="0" w:firstLine="0"/>
        <w:jc w:val="left"/>
        <w:rPr>
          <w:sz w:val="21"/>
        </w:rPr>
      </w:pPr>
      <w:r>
        <w:rPr>
          <w:spacing w:val="-1"/>
          <w:sz w:val="21"/>
        </w:rPr>
        <w:t>受感染的被保险人不是血友病患者；</w:t>
      </w:r>
    </w:p>
    <w:p>
      <w:pPr>
        <w:pStyle w:val="BodyText"/>
        <w:spacing w:before="10"/>
        <w:rPr>
          <w:sz w:val="14"/>
        </w:rPr>
      </w:pPr>
    </w:p>
    <w:p>
      <w:pPr>
        <w:pStyle w:val="ListParagraph"/>
        <w:numPr>
          <w:ilvl w:val="3"/>
          <w:numId w:val="4"/>
        </w:numPr>
        <w:tabs>
          <w:tab w:pos="2568" w:val="left" w:leader="none"/>
        </w:tabs>
        <w:spacing w:line="273" w:lineRule="auto" w:before="0" w:after="0"/>
        <w:ind w:left="2252" w:right="205" w:firstLine="0"/>
        <w:jc w:val="left"/>
        <w:rPr>
          <w:sz w:val="21"/>
        </w:rPr>
      </w:pPr>
      <w:r>
        <w:rPr>
          <w:sz w:val="21"/>
        </w:rPr>
        <w:t>病情须对生命造成威胁并且在索赔当时的医疗技术条件下尚无已知的治愈方法。</w:t>
      </w:r>
    </w:p>
    <w:p>
      <w:pPr>
        <w:pStyle w:val="BodyText"/>
        <w:spacing w:line="273" w:lineRule="auto" w:before="163"/>
        <w:ind w:left="2252" w:right="205"/>
      </w:pPr>
      <w:r>
        <w:rPr/>
        <w:t>任何因其他传播方式（包括：性传播或静脉注射毒品）导致的HIV感染不在保障范围内。</w:t>
      </w:r>
    </w:p>
    <w:p>
      <w:pPr>
        <w:pStyle w:val="Heading3"/>
        <w:spacing w:before="163"/>
        <w:ind w:left="2252"/>
      </w:pPr>
      <w:r>
        <w:rPr>
          <w:w w:val="95"/>
        </w:rPr>
        <w:t>本附加合同条款责任免除中的HIV规定，不适用于本重大疾病。</w:t>
      </w:r>
    </w:p>
    <w:p>
      <w:pPr>
        <w:pStyle w:val="BodyText"/>
        <w:rPr>
          <w:b/>
          <w:sz w:val="20"/>
        </w:rPr>
      </w:pPr>
    </w:p>
    <w:p>
      <w:pPr>
        <w:pStyle w:val="BodyText"/>
        <w:rPr>
          <w:b/>
          <w:sz w:val="20"/>
        </w:rPr>
      </w:pPr>
    </w:p>
    <w:p>
      <w:pPr>
        <w:pStyle w:val="ListParagraph"/>
        <w:numPr>
          <w:ilvl w:val="2"/>
          <w:numId w:val="4"/>
        </w:numPr>
        <w:tabs>
          <w:tab w:pos="2253" w:val="left" w:leader="none"/>
        </w:tabs>
        <w:spacing w:line="273" w:lineRule="auto" w:before="137" w:after="0"/>
        <w:ind w:left="2252" w:right="189" w:hanging="454"/>
        <w:jc w:val="left"/>
        <w:rPr>
          <w:sz w:val="21"/>
        </w:rPr>
      </w:pPr>
      <w:r>
        <w:rPr>
          <w:spacing w:val="-6"/>
          <w:sz w:val="21"/>
        </w:rPr>
        <w:t>系统性红斑狼疮并发重度肾功能损害：红斑狼疮是指由于自身抗体和免疫复合物的沉积破坏了血管和细胞而导致的累及多系统损害的一种自体免疫性</w:t>
      </w:r>
      <w:r>
        <w:rPr>
          <w:spacing w:val="-11"/>
          <w:sz w:val="21"/>
        </w:rPr>
        <w:t>疾病。本保障仅限于被保险人因系统性红斑狼疮并发狼疮性肾炎并引起肾功能损害，且肾脏病理诊断符合以下列明的世界卫生组织（WHO）对狼疮性肾炎所分类中的第III</w:t>
      </w:r>
      <w:r>
        <w:rPr>
          <w:spacing w:val="-23"/>
          <w:sz w:val="21"/>
        </w:rPr>
        <w:t>、</w:t>
      </w:r>
      <w:r>
        <w:rPr>
          <w:sz w:val="21"/>
        </w:rPr>
        <w:t>IV</w:t>
      </w:r>
      <w:r>
        <w:rPr>
          <w:spacing w:val="-23"/>
          <w:sz w:val="21"/>
        </w:rPr>
        <w:t>、</w:t>
      </w:r>
      <w:r>
        <w:rPr>
          <w:sz w:val="21"/>
        </w:rPr>
        <w:t>V</w:t>
      </w:r>
      <w:r>
        <w:rPr>
          <w:spacing w:val="-23"/>
          <w:sz w:val="21"/>
        </w:rPr>
        <w:t>、</w:t>
      </w:r>
      <w:r>
        <w:rPr>
          <w:sz w:val="21"/>
        </w:rPr>
        <w:t>VI</w:t>
      </w:r>
      <w:r>
        <w:rPr>
          <w:spacing w:val="-5"/>
          <w:sz w:val="21"/>
        </w:rPr>
        <w:t>型。诊断须由有资格的风湿和免疫病专科医</w:t>
      </w:r>
      <w:r>
        <w:rPr>
          <w:spacing w:val="-1"/>
          <w:sz w:val="21"/>
        </w:rPr>
        <w:t>生确认。</w:t>
      </w:r>
    </w:p>
    <w:p>
      <w:pPr>
        <w:pStyle w:val="BodyText"/>
        <w:spacing w:before="163"/>
        <w:ind w:left="2252"/>
      </w:pPr>
      <w:r>
        <w:rPr/>
        <w:t>世界卫生组织（WHO）对狼疮性肾炎的分类标准：</w:t>
      </w:r>
    </w:p>
    <w:p>
      <w:pPr>
        <w:pStyle w:val="BodyText"/>
        <w:spacing w:before="9"/>
        <w:rPr>
          <w:sz w:val="14"/>
        </w:rPr>
      </w:pPr>
    </w:p>
    <w:p>
      <w:pPr>
        <w:pStyle w:val="BodyText"/>
        <w:spacing w:before="1"/>
        <w:ind w:left="2252"/>
      </w:pPr>
      <w:r>
        <w:rPr/>
        <w:t>I 型–正常肾小球型；</w:t>
      </w:r>
    </w:p>
    <w:p>
      <w:pPr>
        <w:pStyle w:val="BodyText"/>
        <w:spacing w:before="10"/>
        <w:rPr>
          <w:sz w:val="14"/>
        </w:rPr>
      </w:pPr>
    </w:p>
    <w:p>
      <w:pPr>
        <w:pStyle w:val="BodyText"/>
        <w:ind w:left="2252"/>
      </w:pPr>
      <w:r>
        <w:rPr/>
        <w:t>II型–系膜增生型；</w:t>
      </w:r>
    </w:p>
    <w:p>
      <w:pPr>
        <w:pStyle w:val="BodyText"/>
        <w:spacing w:before="9"/>
        <w:rPr>
          <w:sz w:val="14"/>
        </w:rPr>
      </w:pPr>
    </w:p>
    <w:p>
      <w:pPr>
        <w:pStyle w:val="BodyText"/>
        <w:spacing w:before="1"/>
        <w:ind w:left="2252"/>
      </w:pPr>
      <w:r>
        <w:rPr/>
        <w:t>III型–局灶及节段增生型；</w:t>
      </w:r>
    </w:p>
    <w:p>
      <w:pPr>
        <w:pStyle w:val="BodyText"/>
        <w:spacing w:before="10"/>
        <w:rPr>
          <w:sz w:val="14"/>
        </w:rPr>
      </w:pPr>
    </w:p>
    <w:p>
      <w:pPr>
        <w:pStyle w:val="BodyText"/>
        <w:spacing w:line="408" w:lineRule="auto"/>
        <w:ind w:left="2252" w:right="5128"/>
      </w:pPr>
      <w:r>
        <w:rPr/>
        <w:t>IV型–弥漫增生型； V型–膜型；</w:t>
      </w:r>
    </w:p>
    <w:p>
      <w:pPr>
        <w:pStyle w:val="BodyText"/>
        <w:spacing w:before="46"/>
        <w:ind w:left="2252"/>
      </w:pPr>
      <w:r>
        <w:rPr/>
        <w:t>VI型–肾小球硬化型。</w:t>
      </w:r>
    </w:p>
    <w:p>
      <w:pPr>
        <w:pStyle w:val="BodyText"/>
        <w:spacing w:before="9"/>
        <w:rPr>
          <w:sz w:val="14"/>
        </w:rPr>
      </w:pPr>
    </w:p>
    <w:p>
      <w:pPr>
        <w:pStyle w:val="ListParagraph"/>
        <w:numPr>
          <w:ilvl w:val="2"/>
          <w:numId w:val="4"/>
        </w:numPr>
        <w:tabs>
          <w:tab w:pos="2253" w:val="left" w:leader="none"/>
        </w:tabs>
        <w:spacing w:line="273" w:lineRule="auto" w:before="1" w:after="0"/>
        <w:ind w:left="2252" w:right="191" w:hanging="454"/>
        <w:jc w:val="both"/>
        <w:rPr>
          <w:sz w:val="21"/>
        </w:rPr>
      </w:pPr>
      <w:r>
        <w:rPr>
          <w:spacing w:val="-1"/>
          <w:sz w:val="21"/>
        </w:rPr>
        <w:t>植物人状态:指经神经科医生确诊，</w:t>
      </w:r>
      <w:r>
        <w:rPr>
          <w:spacing w:val="-11"/>
          <w:sz w:val="21"/>
        </w:rPr>
        <w:t>CT</w:t>
      </w:r>
      <w:r>
        <w:rPr>
          <w:spacing w:val="-31"/>
          <w:sz w:val="21"/>
        </w:rPr>
        <w:t>、</w:t>
      </w:r>
      <w:r>
        <w:rPr>
          <w:sz w:val="21"/>
        </w:rPr>
        <w:t>MRI</w:t>
      </w:r>
      <w:r>
        <w:rPr>
          <w:spacing w:val="-3"/>
          <w:sz w:val="21"/>
        </w:rPr>
        <w:t>等证实大脑皮质全面坏死。患者</w:t>
      </w:r>
      <w:r>
        <w:rPr>
          <w:spacing w:val="-9"/>
          <w:sz w:val="21"/>
        </w:rPr>
        <w:t>临床表现意识完全丧失，但脑干功能仍保持完好，且此情况持续一个月或一个月以上。</w:t>
      </w:r>
    </w:p>
    <w:p>
      <w:pPr>
        <w:spacing w:after="0" w:line="273" w:lineRule="auto"/>
        <w:jc w:val="both"/>
        <w:rPr>
          <w:sz w:val="21"/>
        </w:rPr>
        <w:sectPr>
          <w:pgSz w:w="11910" w:h="16840"/>
          <w:pgMar w:header="0" w:footer="1008" w:top="1100" w:bottom="1200" w:left="1680" w:right="940"/>
        </w:sectPr>
      </w:pPr>
    </w:p>
    <w:p>
      <w:pPr>
        <w:pStyle w:val="ListParagraph"/>
        <w:numPr>
          <w:ilvl w:val="2"/>
          <w:numId w:val="4"/>
        </w:numPr>
        <w:tabs>
          <w:tab w:pos="2953" w:val="left" w:leader="none"/>
        </w:tabs>
        <w:spacing w:line="273" w:lineRule="auto" w:before="7" w:after="0"/>
        <w:ind w:left="2952" w:right="126" w:hanging="454"/>
        <w:jc w:val="both"/>
        <w:rPr>
          <w:b/>
          <w:sz w:val="21"/>
        </w:rPr>
      </w:pPr>
      <w:r>
        <w:rPr>
          <w:sz w:val="21"/>
        </w:rPr>
        <w:t>慢性复发性胰腺炎:有腹痛等典型症状的胰腺炎反复发作，导致胰腺进行性破坏，并导致胰腺功能紊乱而导致严重糖尿病以及营养不良、恶液质。CT 检查证实胰腺存在广泛钙化，且必须接受酶替代以及胰岛素替代治疗6个月</w:t>
      </w:r>
      <w:r>
        <w:rPr>
          <w:spacing w:val="-17"/>
          <w:w w:val="95"/>
          <w:sz w:val="21"/>
        </w:rPr>
        <w:t>以上。诊断必须由消化科专科医生确诊。</w:t>
      </w:r>
      <w:r>
        <w:rPr>
          <w:b/>
          <w:w w:val="95"/>
          <w:sz w:val="21"/>
        </w:rPr>
        <w:t>酒精导致的慢性复发性胰腺炎除外。</w:t>
      </w:r>
    </w:p>
    <w:p>
      <w:pPr>
        <w:pStyle w:val="BodyText"/>
        <w:rPr>
          <w:b/>
          <w:sz w:val="20"/>
        </w:rPr>
      </w:pPr>
    </w:p>
    <w:p>
      <w:pPr>
        <w:pStyle w:val="BodyText"/>
        <w:spacing w:before="10"/>
        <w:rPr>
          <w:b/>
          <w:sz w:val="14"/>
        </w:rPr>
      </w:pPr>
    </w:p>
    <w:p>
      <w:pPr>
        <w:pStyle w:val="ListParagraph"/>
        <w:numPr>
          <w:ilvl w:val="1"/>
          <w:numId w:val="4"/>
        </w:numPr>
        <w:tabs>
          <w:tab w:pos="948" w:val="left" w:leader="none"/>
          <w:tab w:pos="949" w:val="left" w:leader="none"/>
          <w:tab w:pos="2478" w:val="left" w:leader="none"/>
        </w:tabs>
        <w:spacing w:line="240" w:lineRule="auto" w:before="0" w:after="0"/>
        <w:ind w:left="948" w:right="0" w:hanging="794"/>
        <w:jc w:val="left"/>
        <w:rPr>
          <w:sz w:val="21"/>
        </w:rPr>
      </w:pPr>
      <w:r>
        <w:rPr>
          <w:b/>
          <w:sz w:val="21"/>
        </w:rPr>
        <w:t>意外伤害事故</w:t>
        <w:tab/>
      </w:r>
      <w:r>
        <w:rPr>
          <w:sz w:val="21"/>
        </w:rPr>
        <w:t>指遭受外来的</w:t>
      </w:r>
      <w:r>
        <w:rPr>
          <w:spacing w:val="-41"/>
          <w:sz w:val="21"/>
        </w:rPr>
        <w:t>、</w:t>
      </w:r>
      <w:r>
        <w:rPr>
          <w:sz w:val="21"/>
        </w:rPr>
        <w:t>突发的</w:t>
      </w:r>
      <w:r>
        <w:rPr>
          <w:spacing w:val="-41"/>
          <w:sz w:val="21"/>
        </w:rPr>
        <w:t>、</w:t>
      </w:r>
      <w:r>
        <w:rPr>
          <w:sz w:val="21"/>
        </w:rPr>
        <w:t>非本意的</w:t>
      </w:r>
      <w:r>
        <w:rPr>
          <w:spacing w:val="-41"/>
          <w:sz w:val="21"/>
        </w:rPr>
        <w:t>、</w:t>
      </w:r>
      <w:r>
        <w:rPr>
          <w:sz w:val="21"/>
        </w:rPr>
        <w:t>非由疾病引起的使身体受到伤害的客观事件。</w:t>
      </w:r>
    </w:p>
    <w:p>
      <w:pPr>
        <w:pStyle w:val="BodyText"/>
        <w:spacing w:before="7"/>
        <w:rPr>
          <w:sz w:val="27"/>
        </w:rPr>
      </w:pPr>
    </w:p>
    <w:p>
      <w:pPr>
        <w:pStyle w:val="ListParagraph"/>
        <w:numPr>
          <w:ilvl w:val="1"/>
          <w:numId w:val="4"/>
        </w:numPr>
        <w:tabs>
          <w:tab w:pos="951" w:val="left" w:leader="none"/>
          <w:tab w:pos="953" w:val="left" w:leader="none"/>
          <w:tab w:pos="2498" w:val="left" w:leader="none"/>
        </w:tabs>
        <w:spacing w:line="273" w:lineRule="auto" w:before="35" w:after="0"/>
        <w:ind w:left="2498" w:right="231" w:hanging="2348"/>
        <w:jc w:val="left"/>
        <w:rPr>
          <w:sz w:val="21"/>
        </w:rPr>
      </w:pPr>
      <w:r>
        <w:rPr>
          <w:b/>
          <w:sz w:val="21"/>
        </w:rPr>
        <w:t>医院</w:t>
        <w:tab/>
      </w:r>
      <w:r>
        <w:rPr>
          <w:sz w:val="21"/>
        </w:rPr>
        <w:t>本附加合同所称医院指我们指定医院或经中华人民共和国二级或以上之社保定点医院</w:t>
      </w:r>
      <w:r>
        <w:rPr>
          <w:spacing w:val="-10"/>
          <w:sz w:val="21"/>
        </w:rPr>
        <w:t>，</w:t>
      </w:r>
      <w:r>
        <w:rPr>
          <w:sz w:val="21"/>
        </w:rPr>
        <w:t>但不包括精神病院及专供康复</w:t>
      </w:r>
      <w:r>
        <w:rPr>
          <w:spacing w:val="-10"/>
          <w:sz w:val="21"/>
        </w:rPr>
        <w:t>、</w:t>
      </w:r>
      <w:r>
        <w:rPr>
          <w:sz w:val="21"/>
        </w:rPr>
        <w:t>护理</w:t>
      </w:r>
      <w:r>
        <w:rPr>
          <w:spacing w:val="-10"/>
          <w:sz w:val="21"/>
        </w:rPr>
        <w:t>、</w:t>
      </w:r>
      <w:r>
        <w:rPr>
          <w:sz w:val="21"/>
        </w:rPr>
        <w:t>疗养</w:t>
      </w:r>
      <w:r>
        <w:rPr>
          <w:spacing w:val="-10"/>
          <w:sz w:val="21"/>
        </w:rPr>
        <w:t>、</w:t>
      </w:r>
      <w:r>
        <w:rPr>
          <w:sz w:val="21"/>
        </w:rPr>
        <w:t>戒酒</w:t>
      </w:r>
      <w:r>
        <w:rPr>
          <w:spacing w:val="-10"/>
          <w:sz w:val="21"/>
        </w:rPr>
        <w:t>、</w:t>
      </w:r>
      <w:r>
        <w:rPr>
          <w:sz w:val="21"/>
        </w:rPr>
        <w:t>戒毒</w:t>
      </w:r>
      <w:r>
        <w:rPr>
          <w:spacing w:val="-10"/>
          <w:sz w:val="21"/>
        </w:rPr>
        <w:t>、</w:t>
      </w:r>
      <w:r>
        <w:rPr>
          <w:sz w:val="21"/>
        </w:rPr>
        <w:t>养老等非以直接诊治病人为目的之医疗机构</w:t>
      </w:r>
      <w:r>
        <w:rPr>
          <w:spacing w:val="-57"/>
          <w:sz w:val="21"/>
        </w:rPr>
        <w:t>。</w:t>
      </w:r>
      <w:r>
        <w:rPr>
          <w:sz w:val="21"/>
        </w:rPr>
        <w:t>该医院必须具有符合国家有关医院管理规则设置标准的医疗设备，且全天</w:t>
      </w:r>
      <w:r>
        <w:rPr>
          <w:spacing w:val="-63"/>
          <w:sz w:val="21"/>
        </w:rPr>
        <w:t> </w:t>
      </w:r>
      <w:r>
        <w:rPr>
          <w:sz w:val="21"/>
        </w:rPr>
        <w:t>24</w:t>
      </w:r>
      <w:r>
        <w:rPr>
          <w:spacing w:val="-62"/>
          <w:sz w:val="21"/>
        </w:rPr>
        <w:t> </w:t>
      </w:r>
      <w:r>
        <w:rPr>
          <w:sz w:val="21"/>
        </w:rPr>
        <w:t>小时有合格的医生和护士驻院提供医疗和护理服务</w:t>
      </w:r>
      <w:r>
        <w:rPr>
          <w:spacing w:val="-29"/>
          <w:sz w:val="21"/>
        </w:rPr>
        <w:t>。</w:t>
      </w:r>
      <w:r>
        <w:rPr>
          <w:sz w:val="21"/>
        </w:rPr>
        <w:t>当被保险人因遭受意外伤害事故须急救时不受此限</w:t>
      </w:r>
      <w:r>
        <w:rPr>
          <w:spacing w:val="-29"/>
          <w:sz w:val="21"/>
        </w:rPr>
        <w:t>，</w:t>
      </w:r>
      <w:r>
        <w:rPr>
          <w:sz w:val="21"/>
        </w:rPr>
        <w:t>但经急救处理伤情稳定后，必须转入本附加合同所指医院治疗（急救情况不适用于私人诊所</w:t>
      </w:r>
      <w:r>
        <w:rPr>
          <w:spacing w:val="-106"/>
          <w:sz w:val="21"/>
        </w:rPr>
        <w:t>）</w:t>
      </w:r>
      <w:r>
        <w:rPr>
          <w:sz w:val="21"/>
        </w:rPr>
        <w:t>。</w:t>
      </w:r>
    </w:p>
    <w:p>
      <w:pPr>
        <w:pStyle w:val="BodyText"/>
        <w:rPr>
          <w:sz w:val="20"/>
        </w:rPr>
      </w:pPr>
    </w:p>
    <w:p>
      <w:pPr>
        <w:pStyle w:val="BodyText"/>
        <w:spacing w:before="3"/>
        <w:rPr>
          <w:sz w:val="22"/>
        </w:rPr>
      </w:pPr>
    </w:p>
    <w:p>
      <w:pPr>
        <w:pStyle w:val="ListParagraph"/>
        <w:numPr>
          <w:ilvl w:val="1"/>
          <w:numId w:val="4"/>
        </w:numPr>
        <w:tabs>
          <w:tab w:pos="952" w:val="left" w:leader="none"/>
          <w:tab w:pos="953" w:val="left" w:leader="none"/>
          <w:tab w:pos="2498" w:val="left" w:leader="none"/>
        </w:tabs>
        <w:spacing w:line="240" w:lineRule="auto" w:before="1" w:after="0"/>
        <w:ind w:left="952" w:right="0" w:hanging="802"/>
        <w:jc w:val="left"/>
        <w:rPr>
          <w:sz w:val="21"/>
        </w:rPr>
      </w:pPr>
      <w:r>
        <w:rPr>
          <w:b/>
          <w:sz w:val="21"/>
        </w:rPr>
        <w:t>专科医生</w:t>
        <w:tab/>
      </w:r>
      <w:r>
        <w:rPr>
          <w:sz w:val="21"/>
        </w:rPr>
        <w:t>专科医生应当同时满足以下四项资格条件：</w:t>
      </w:r>
    </w:p>
    <w:p>
      <w:pPr>
        <w:pStyle w:val="BodyText"/>
        <w:spacing w:before="10"/>
        <w:rPr>
          <w:sz w:val="14"/>
        </w:rPr>
      </w:pPr>
    </w:p>
    <w:p>
      <w:pPr>
        <w:pStyle w:val="BodyText"/>
        <w:ind w:left="2498"/>
      </w:pPr>
      <w:r>
        <w:rPr/>
        <w:t>1.具有有效的中华人民共和国《医师资格证书》；</w:t>
      </w:r>
    </w:p>
    <w:p>
      <w:pPr>
        <w:pStyle w:val="BodyText"/>
        <w:spacing w:before="9"/>
        <w:rPr>
          <w:sz w:val="14"/>
        </w:rPr>
      </w:pPr>
    </w:p>
    <w:p>
      <w:pPr>
        <w:pStyle w:val="BodyText"/>
        <w:spacing w:before="1"/>
        <w:ind w:left="2498"/>
      </w:pPr>
      <w:r>
        <w:rPr/>
        <w:t>2.具有有效的中华人民共和国《医师执业证书》，并按期到相关部门登记注册；</w:t>
      </w:r>
    </w:p>
    <w:p>
      <w:pPr>
        <w:pStyle w:val="BodyText"/>
        <w:spacing w:before="37"/>
        <w:ind w:left="2498"/>
      </w:pPr>
      <w:r>
        <w:rPr>
          <w:spacing w:val="-1"/>
        </w:rPr>
        <w:t>3.</w:t>
      </w:r>
      <w:r>
        <w:rPr>
          <w:spacing w:val="-7"/>
        </w:rPr>
        <w:t>具有有效的中华人民共和国主治医师或主治医师以上职称的《医师职称证书》；</w:t>
      </w:r>
    </w:p>
    <w:p>
      <w:pPr>
        <w:pStyle w:val="BodyText"/>
        <w:spacing w:before="9"/>
        <w:rPr>
          <w:sz w:val="14"/>
        </w:rPr>
      </w:pPr>
    </w:p>
    <w:p>
      <w:pPr>
        <w:pStyle w:val="BodyText"/>
        <w:ind w:left="2498"/>
      </w:pPr>
      <w:r>
        <w:rPr/>
        <w:t>4.在二级或二级以上医院的相应科室从事临床工作 3 年以上。</w:t>
      </w:r>
    </w:p>
    <w:p>
      <w:pPr>
        <w:pStyle w:val="BodyText"/>
        <w:rPr>
          <w:sz w:val="20"/>
        </w:rPr>
      </w:pPr>
    </w:p>
    <w:p>
      <w:pPr>
        <w:pStyle w:val="BodyText"/>
        <w:spacing w:before="5"/>
        <w:rPr>
          <w:sz w:val="15"/>
        </w:rPr>
      </w:pPr>
    </w:p>
    <w:p>
      <w:pPr>
        <w:pStyle w:val="ListParagraph"/>
        <w:numPr>
          <w:ilvl w:val="1"/>
          <w:numId w:val="4"/>
        </w:numPr>
        <w:tabs>
          <w:tab w:pos="951" w:val="left" w:leader="none"/>
          <w:tab w:pos="952" w:val="left" w:leader="none"/>
          <w:tab w:pos="2498" w:val="left" w:leader="none"/>
        </w:tabs>
        <w:spacing w:line="273" w:lineRule="auto" w:before="0" w:after="0"/>
        <w:ind w:left="2498" w:right="231" w:hanging="2348"/>
        <w:jc w:val="left"/>
        <w:rPr>
          <w:sz w:val="21"/>
        </w:rPr>
      </w:pPr>
      <w:r>
        <w:rPr>
          <w:b/>
          <w:sz w:val="21"/>
        </w:rPr>
        <w:t>毒品</w:t>
        <w:tab/>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w:t>
      </w:r>
      <w:r>
        <w:rPr>
          <w:spacing w:val="-57"/>
          <w:sz w:val="21"/>
        </w:rPr>
        <w:t>，</w:t>
      </w:r>
      <w:r>
        <w:rPr>
          <w:sz w:val="21"/>
        </w:rPr>
        <w:t>但不包括由医生开具并遵医嘱使用的用于治疗疾病但含有毒品成分的处方药品。</w:t>
      </w:r>
    </w:p>
    <w:p>
      <w:pPr>
        <w:pStyle w:val="BodyText"/>
        <w:spacing w:before="2"/>
        <w:rPr>
          <w:sz w:val="20"/>
        </w:rPr>
      </w:pPr>
    </w:p>
    <w:p>
      <w:pPr>
        <w:pStyle w:val="ListParagraph"/>
        <w:numPr>
          <w:ilvl w:val="1"/>
          <w:numId w:val="4"/>
        </w:numPr>
        <w:tabs>
          <w:tab w:pos="952" w:val="left" w:leader="none"/>
        </w:tabs>
        <w:spacing w:line="273" w:lineRule="auto" w:before="0" w:after="0"/>
        <w:ind w:left="2498" w:right="173" w:hanging="2348"/>
        <w:jc w:val="both"/>
        <w:rPr>
          <w:sz w:val="21"/>
        </w:rPr>
      </w:pPr>
      <w:r>
        <w:rPr>
          <w:b/>
          <w:spacing w:val="6"/>
          <w:sz w:val="21"/>
        </w:rPr>
        <w:t>酒后驾驶     </w:t>
      </w:r>
      <w:r>
        <w:rPr>
          <w:spacing w:val="-8"/>
          <w:sz w:val="21"/>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after="0" w:line="273" w:lineRule="auto"/>
        <w:jc w:val="both"/>
        <w:rPr>
          <w:sz w:val="21"/>
        </w:rPr>
        <w:sectPr>
          <w:pgSz w:w="11910" w:h="16840"/>
          <w:pgMar w:header="0" w:footer="1008" w:top="1580" w:bottom="1200" w:left="980" w:right="900"/>
        </w:sectPr>
      </w:pPr>
    </w:p>
    <w:p>
      <w:pPr>
        <w:pStyle w:val="Heading3"/>
        <w:numPr>
          <w:ilvl w:val="1"/>
          <w:numId w:val="4"/>
        </w:numPr>
        <w:tabs>
          <w:tab w:pos="951" w:val="left" w:leader="none"/>
          <w:tab w:pos="952" w:val="left" w:leader="none"/>
        </w:tabs>
        <w:spacing w:line="240" w:lineRule="auto" w:before="130" w:after="0"/>
        <w:ind w:left="951" w:right="0" w:hanging="801"/>
        <w:jc w:val="left"/>
      </w:pPr>
      <w:r>
        <w:rPr>
          <w:w w:val="95"/>
        </w:rPr>
        <w:t>无合法有效驾</w:t>
      </w:r>
    </w:p>
    <w:p>
      <w:pPr>
        <w:spacing w:before="37"/>
        <w:ind w:left="951" w:right="0" w:firstLine="0"/>
        <w:jc w:val="left"/>
        <w:rPr>
          <w:b/>
          <w:sz w:val="21"/>
        </w:rPr>
      </w:pPr>
      <w:r>
        <w:rPr/>
        <w:pict>
          <v:shape style="position:absolute;margin-left:54.01685pt;margin-top:12.890681pt;width:487.05pt;height:170.55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595"/>
                    <w:gridCol w:w="7485"/>
                  </w:tblGrid>
                  <w:tr>
                    <w:trPr>
                      <w:trHeight w:val="339" w:hRule="atLeast"/>
                    </w:trPr>
                    <w:tc>
                      <w:tcPr>
                        <w:tcW w:w="2258" w:type="dxa"/>
                        <w:gridSpan w:val="2"/>
                        <w:vMerge w:val="restart"/>
                      </w:tcPr>
                      <w:p>
                        <w:pPr>
                          <w:pStyle w:val="TableParagraph"/>
                          <w:spacing w:line="240" w:lineRule="auto"/>
                          <w:ind w:left="0"/>
                          <w:rPr>
                            <w:rFonts w:ascii="Times New Roman"/>
                            <w:sz w:val="20"/>
                          </w:rPr>
                        </w:pPr>
                      </w:p>
                    </w:tc>
                    <w:tc>
                      <w:tcPr>
                        <w:tcW w:w="7485" w:type="dxa"/>
                      </w:tcPr>
                      <w:p>
                        <w:pPr>
                          <w:pStyle w:val="TableParagraph"/>
                          <w:spacing w:line="210" w:lineRule="exact"/>
                          <w:ind w:left="140"/>
                          <w:rPr>
                            <w:sz w:val="21"/>
                          </w:rPr>
                        </w:pPr>
                        <w:r>
                          <w:rPr>
                            <w:sz w:val="21"/>
                          </w:rPr>
                          <w:t>1.没有取得驾驶资格；</w:t>
                        </w:r>
                      </w:p>
                    </w:tc>
                  </w:tr>
                  <w:tr>
                    <w:trPr>
                      <w:trHeight w:val="468" w:hRule="atLeast"/>
                    </w:trPr>
                    <w:tc>
                      <w:tcPr>
                        <w:tcW w:w="2258" w:type="dxa"/>
                        <w:gridSpan w:val="2"/>
                        <w:vMerge/>
                        <w:tcBorders>
                          <w:top w:val="nil"/>
                        </w:tcBorders>
                      </w:tcPr>
                      <w:p>
                        <w:pPr>
                          <w:rPr>
                            <w:sz w:val="2"/>
                            <w:szCs w:val="2"/>
                          </w:rPr>
                        </w:pPr>
                      </w:p>
                    </w:tc>
                    <w:tc>
                      <w:tcPr>
                        <w:tcW w:w="7485" w:type="dxa"/>
                      </w:tcPr>
                      <w:p>
                        <w:pPr>
                          <w:pStyle w:val="TableParagraph"/>
                          <w:spacing w:line="240" w:lineRule="auto" w:before="64"/>
                          <w:ind w:left="140"/>
                          <w:rPr>
                            <w:sz w:val="21"/>
                          </w:rPr>
                        </w:pPr>
                        <w:r>
                          <w:rPr>
                            <w:sz w:val="21"/>
                          </w:rPr>
                          <w:t>2.驾驶与驾驶证准驾车型不相符合的车辆；</w:t>
                        </w:r>
                      </w:p>
                    </w:tc>
                  </w:tr>
                  <w:tr>
                    <w:trPr>
                      <w:trHeight w:val="468" w:hRule="atLeast"/>
                    </w:trPr>
                    <w:tc>
                      <w:tcPr>
                        <w:tcW w:w="2258" w:type="dxa"/>
                        <w:gridSpan w:val="2"/>
                        <w:vMerge/>
                        <w:tcBorders>
                          <w:top w:val="nil"/>
                        </w:tcBorders>
                      </w:tcPr>
                      <w:p>
                        <w:pPr>
                          <w:rPr>
                            <w:sz w:val="2"/>
                            <w:szCs w:val="2"/>
                          </w:rPr>
                        </w:pPr>
                      </w:p>
                    </w:tc>
                    <w:tc>
                      <w:tcPr>
                        <w:tcW w:w="7485" w:type="dxa"/>
                      </w:tcPr>
                      <w:p>
                        <w:pPr>
                          <w:pStyle w:val="TableParagraph"/>
                          <w:spacing w:line="240" w:lineRule="auto" w:before="64"/>
                          <w:ind w:left="140"/>
                          <w:rPr>
                            <w:sz w:val="21"/>
                          </w:rPr>
                        </w:pPr>
                        <w:r>
                          <w:rPr>
                            <w:sz w:val="21"/>
                          </w:rPr>
                          <w:t>3.持审验不合格的驾驶证驾驶；</w:t>
                        </w:r>
                      </w:p>
                    </w:tc>
                  </w:tr>
                  <w:tr>
                    <w:trPr>
                      <w:trHeight w:val="820" w:hRule="atLeast"/>
                    </w:trPr>
                    <w:tc>
                      <w:tcPr>
                        <w:tcW w:w="2258" w:type="dxa"/>
                        <w:gridSpan w:val="2"/>
                        <w:vMerge/>
                        <w:tcBorders>
                          <w:top w:val="nil"/>
                        </w:tcBorders>
                      </w:tcPr>
                      <w:p>
                        <w:pPr>
                          <w:rPr>
                            <w:sz w:val="2"/>
                            <w:szCs w:val="2"/>
                          </w:rPr>
                        </w:pPr>
                      </w:p>
                    </w:tc>
                    <w:tc>
                      <w:tcPr>
                        <w:tcW w:w="7485" w:type="dxa"/>
                      </w:tcPr>
                      <w:p>
                        <w:pPr>
                          <w:pStyle w:val="TableParagraph"/>
                          <w:spacing w:line="273" w:lineRule="auto" w:before="64"/>
                          <w:ind w:left="140" w:right="50"/>
                          <w:rPr>
                            <w:sz w:val="21"/>
                          </w:rPr>
                        </w:pPr>
                        <w:r>
                          <w:rPr>
                            <w:sz w:val="21"/>
                          </w:rPr>
                          <w:t>4.</w:t>
                        </w:r>
                        <w:r>
                          <w:rPr>
                            <w:spacing w:val="-4"/>
                            <w:sz w:val="21"/>
                          </w:rPr>
                          <w:t>持学习驾驶证学习驾车时，无教练员随车指导，或不按指定时间、路线学习驾车。</w:t>
                        </w:r>
                      </w:p>
                    </w:tc>
                  </w:tr>
                  <w:tr>
                    <w:trPr>
                      <w:trHeight w:val="508" w:hRule="atLeast"/>
                    </w:trPr>
                    <w:tc>
                      <w:tcPr>
                        <w:tcW w:w="663" w:type="dxa"/>
                      </w:tcPr>
                      <w:p>
                        <w:pPr>
                          <w:pStyle w:val="TableParagraph"/>
                          <w:spacing w:line="240" w:lineRule="auto" w:before="104"/>
                          <w:ind w:left="50"/>
                          <w:rPr>
                            <w:b/>
                            <w:sz w:val="21"/>
                          </w:rPr>
                        </w:pPr>
                        <w:r>
                          <w:rPr>
                            <w:b/>
                            <w:sz w:val="21"/>
                          </w:rPr>
                          <w:t>7.12</w:t>
                        </w:r>
                      </w:p>
                    </w:tc>
                    <w:tc>
                      <w:tcPr>
                        <w:tcW w:w="1595" w:type="dxa"/>
                      </w:tcPr>
                      <w:p>
                        <w:pPr>
                          <w:pStyle w:val="TableParagraph"/>
                          <w:spacing w:line="240" w:lineRule="auto" w:before="104"/>
                          <w:ind w:left="188"/>
                          <w:rPr>
                            <w:b/>
                            <w:sz w:val="21"/>
                          </w:rPr>
                        </w:pPr>
                        <w:r>
                          <w:rPr>
                            <w:b/>
                            <w:w w:val="95"/>
                            <w:sz w:val="21"/>
                          </w:rPr>
                          <w:t>无有效行驶证</w:t>
                        </w:r>
                      </w:p>
                    </w:tc>
                    <w:tc>
                      <w:tcPr>
                        <w:tcW w:w="7485" w:type="dxa"/>
                      </w:tcPr>
                      <w:p>
                        <w:pPr>
                          <w:pStyle w:val="TableParagraph"/>
                          <w:spacing w:line="240" w:lineRule="auto" w:before="104"/>
                          <w:ind w:left="140"/>
                          <w:rPr>
                            <w:sz w:val="21"/>
                          </w:rPr>
                        </w:pPr>
                        <w:r>
                          <w:rPr>
                            <w:sz w:val="21"/>
                          </w:rPr>
                          <w:t>指下列情形之一：</w:t>
                        </w:r>
                      </w:p>
                    </w:tc>
                  </w:tr>
                  <w:tr>
                    <w:trPr>
                      <w:trHeight w:val="467" w:hRule="atLeast"/>
                    </w:trPr>
                    <w:tc>
                      <w:tcPr>
                        <w:tcW w:w="663" w:type="dxa"/>
                      </w:tcPr>
                      <w:p>
                        <w:pPr>
                          <w:pStyle w:val="TableParagraph"/>
                          <w:spacing w:line="240" w:lineRule="auto"/>
                          <w:ind w:left="0"/>
                          <w:rPr>
                            <w:rFonts w:ascii="Times New Roman"/>
                            <w:sz w:val="20"/>
                          </w:rPr>
                        </w:pPr>
                      </w:p>
                    </w:tc>
                    <w:tc>
                      <w:tcPr>
                        <w:tcW w:w="1595" w:type="dxa"/>
                      </w:tcPr>
                      <w:p>
                        <w:pPr>
                          <w:pStyle w:val="TableParagraph"/>
                          <w:spacing w:line="240" w:lineRule="auto"/>
                          <w:ind w:left="0"/>
                          <w:rPr>
                            <w:rFonts w:ascii="Times New Roman"/>
                            <w:sz w:val="20"/>
                          </w:rPr>
                        </w:pPr>
                      </w:p>
                    </w:tc>
                    <w:tc>
                      <w:tcPr>
                        <w:tcW w:w="7485" w:type="dxa"/>
                      </w:tcPr>
                      <w:p>
                        <w:pPr>
                          <w:pStyle w:val="TableParagraph"/>
                          <w:spacing w:line="240" w:lineRule="auto" w:before="64"/>
                          <w:ind w:left="140"/>
                          <w:rPr>
                            <w:sz w:val="21"/>
                          </w:rPr>
                        </w:pPr>
                        <w:r>
                          <w:rPr>
                            <w:sz w:val="21"/>
                          </w:rPr>
                          <w:t>1.机动车被依法注销登记的；</w:t>
                        </w:r>
                      </w:p>
                    </w:tc>
                  </w:tr>
                  <w:tr>
                    <w:trPr>
                      <w:trHeight w:val="338" w:hRule="atLeast"/>
                    </w:trPr>
                    <w:tc>
                      <w:tcPr>
                        <w:tcW w:w="663" w:type="dxa"/>
                      </w:tcPr>
                      <w:p>
                        <w:pPr>
                          <w:pStyle w:val="TableParagraph"/>
                          <w:spacing w:line="240" w:lineRule="auto"/>
                          <w:ind w:left="0"/>
                          <w:rPr>
                            <w:rFonts w:ascii="Times New Roman"/>
                            <w:sz w:val="20"/>
                          </w:rPr>
                        </w:pPr>
                      </w:p>
                    </w:tc>
                    <w:tc>
                      <w:tcPr>
                        <w:tcW w:w="1595" w:type="dxa"/>
                      </w:tcPr>
                      <w:p>
                        <w:pPr>
                          <w:pStyle w:val="TableParagraph"/>
                          <w:spacing w:line="240" w:lineRule="auto"/>
                          <w:ind w:left="0"/>
                          <w:rPr>
                            <w:rFonts w:ascii="Times New Roman"/>
                            <w:sz w:val="20"/>
                          </w:rPr>
                        </w:pPr>
                      </w:p>
                    </w:tc>
                    <w:tc>
                      <w:tcPr>
                        <w:tcW w:w="7485" w:type="dxa"/>
                      </w:tcPr>
                      <w:p>
                        <w:pPr>
                          <w:pStyle w:val="TableParagraph"/>
                          <w:spacing w:line="255" w:lineRule="exact" w:before="64"/>
                          <w:ind w:left="140"/>
                          <w:rPr>
                            <w:sz w:val="21"/>
                          </w:rPr>
                        </w:pPr>
                        <w:r>
                          <w:rPr>
                            <w:sz w:val="21"/>
                          </w:rPr>
                          <w:t>2.未依法按时进行或通过机动车安全技术检验。</w:t>
                        </w:r>
                      </w:p>
                    </w:tc>
                  </w:tr>
                </w:tbl>
                <w:p>
                  <w:pPr>
                    <w:pStyle w:val="BodyText"/>
                  </w:pPr>
                </w:p>
              </w:txbxContent>
            </v:textbox>
            <w10:wrap type="none"/>
          </v:shape>
        </w:pict>
      </w:r>
      <w:r>
        <w:rPr>
          <w:b/>
          <w:sz w:val="21"/>
        </w:rPr>
        <w:t>驶证驾驶</w:t>
      </w:r>
    </w:p>
    <w:p>
      <w:pPr>
        <w:pStyle w:val="BodyText"/>
        <w:spacing w:before="130"/>
        <w:ind w:left="150"/>
      </w:pPr>
      <w:r>
        <w:rPr/>
        <w:br w:type="column"/>
      </w:r>
      <w:r>
        <w:rPr/>
        <w:t>指下列情形之一：</w:t>
      </w:r>
    </w:p>
    <w:p>
      <w:pPr>
        <w:spacing w:after="0"/>
        <w:sectPr>
          <w:type w:val="continuous"/>
          <w:pgSz w:w="11910" w:h="16840"/>
          <w:pgMar w:top="1600" w:bottom="1200" w:left="980" w:right="900"/>
          <w:cols w:num="2" w:equalWidth="0">
            <w:col w:w="2216" w:space="132"/>
            <w:col w:w="7682"/>
          </w:cols>
        </w:sectPr>
      </w:pPr>
    </w:p>
    <w:p>
      <w:pPr>
        <w:pStyle w:val="ListParagraph"/>
        <w:numPr>
          <w:ilvl w:val="1"/>
          <w:numId w:val="5"/>
        </w:numPr>
        <w:tabs>
          <w:tab w:pos="911" w:val="left" w:leader="none"/>
          <w:tab w:pos="912" w:val="left" w:leader="none"/>
          <w:tab w:pos="2458" w:val="left" w:leader="none"/>
        </w:tabs>
        <w:spacing w:line="273" w:lineRule="auto" w:before="14" w:after="0"/>
        <w:ind w:left="2458" w:right="211" w:hanging="2348"/>
        <w:jc w:val="left"/>
        <w:rPr>
          <w:sz w:val="21"/>
        </w:rPr>
      </w:pPr>
      <w:r>
        <w:rPr>
          <w:b/>
          <w:sz w:val="21"/>
        </w:rPr>
        <w:t>机动车</w:t>
        <w:tab/>
      </w:r>
      <w:r>
        <w:rPr>
          <w:spacing w:val="-1"/>
          <w:sz w:val="21"/>
        </w:rPr>
        <w:t>指以</w:t>
      </w:r>
      <w:r>
        <w:rPr>
          <w:sz w:val="21"/>
        </w:rPr>
        <w:t>动力装置驱动或者牵引</w:t>
      </w:r>
      <w:r>
        <w:rPr>
          <w:spacing w:val="-57"/>
          <w:sz w:val="21"/>
        </w:rPr>
        <w:t>，</w:t>
      </w:r>
      <w:r>
        <w:rPr>
          <w:sz w:val="21"/>
        </w:rPr>
        <w:t>上道路行驶的供人员乘用或者用于运送物品以及进行工程专项作业的轮式车辆。</w:t>
      </w:r>
    </w:p>
    <w:p>
      <w:pPr>
        <w:pStyle w:val="BodyText"/>
        <w:spacing w:before="10"/>
        <w:rPr>
          <w:sz w:val="23"/>
        </w:rPr>
      </w:pPr>
    </w:p>
    <w:p>
      <w:pPr>
        <w:spacing w:after="0"/>
        <w:rPr>
          <w:sz w:val="23"/>
        </w:rPr>
        <w:sectPr>
          <w:pgSz w:w="11910" w:h="16840"/>
          <w:pgMar w:header="0" w:footer="1008" w:top="1240" w:bottom="1200" w:left="1020" w:right="920"/>
        </w:sectPr>
      </w:pPr>
    </w:p>
    <w:p>
      <w:pPr>
        <w:pStyle w:val="Heading3"/>
        <w:numPr>
          <w:ilvl w:val="1"/>
          <w:numId w:val="5"/>
        </w:numPr>
        <w:tabs>
          <w:tab w:pos="911" w:val="left" w:leader="none"/>
          <w:tab w:pos="912" w:val="left" w:leader="none"/>
        </w:tabs>
        <w:spacing w:line="240" w:lineRule="auto" w:before="35" w:after="0"/>
        <w:ind w:left="911" w:right="0" w:hanging="801"/>
        <w:jc w:val="left"/>
      </w:pPr>
      <w:r>
        <w:rPr>
          <w:w w:val="95"/>
        </w:rPr>
        <w:t>感染艾滋病病</w:t>
      </w:r>
    </w:p>
    <w:p>
      <w:pPr>
        <w:spacing w:before="36"/>
        <w:ind w:left="911" w:right="0" w:firstLine="0"/>
        <w:jc w:val="left"/>
        <w:rPr>
          <w:b/>
          <w:sz w:val="21"/>
        </w:rPr>
      </w:pPr>
      <w:r>
        <w:rPr>
          <w:b/>
          <w:w w:val="95"/>
          <w:sz w:val="21"/>
        </w:rPr>
        <w:t>毒或患艾滋病</w:t>
      </w:r>
    </w:p>
    <w:p>
      <w:pPr>
        <w:pStyle w:val="BodyText"/>
        <w:spacing w:line="273" w:lineRule="auto" w:before="35"/>
        <w:ind w:left="110" w:right="210"/>
        <w:jc w:val="both"/>
      </w:pPr>
      <w:r>
        <w:rPr/>
        <w:br w:type="column"/>
      </w:r>
      <w:r>
        <w:rPr>
          <w:spacing w:val="-4"/>
        </w:rPr>
        <w:t>艾滋病病毒指人类免疫缺陷病毒，英文缩写为 </w:t>
      </w:r>
      <w:r>
        <w:rPr/>
        <w:t>HIV</w:t>
      </w:r>
      <w:r>
        <w:rPr>
          <w:spacing w:val="-2"/>
        </w:rPr>
        <w:t>。艾滋病指人类免疫缺陷病毒</w:t>
      </w:r>
      <w:r>
        <w:rPr>
          <w:spacing w:val="-5"/>
        </w:rPr>
        <w:t>引起的获得性免疫缺陷综合征，英文缩写为 </w:t>
      </w:r>
      <w:r>
        <w:rPr/>
        <w:t>AIDS。</w:t>
      </w:r>
    </w:p>
    <w:p>
      <w:pPr>
        <w:pStyle w:val="BodyText"/>
        <w:spacing w:line="273" w:lineRule="auto" w:before="163"/>
        <w:ind w:left="110" w:right="211"/>
        <w:jc w:val="both"/>
      </w:pPr>
      <w:r>
        <w:rPr>
          <w:spacing w:val="-3"/>
        </w:rPr>
        <w:t>在人体血液或其他样本中检测到艾滋病病毒或其抗体呈阳性，没有出现临床症状</w:t>
      </w:r>
      <w:r>
        <w:rPr>
          <w:spacing w:val="-8"/>
        </w:rPr>
        <w:t>或体征的，为感染艾滋病病毒；如果同时出现了明显临床症状或体征的，为患艾滋病。</w:t>
      </w:r>
    </w:p>
    <w:p>
      <w:pPr>
        <w:spacing w:after="0" w:line="273" w:lineRule="auto"/>
        <w:jc w:val="both"/>
        <w:sectPr>
          <w:type w:val="continuous"/>
          <w:pgSz w:w="11910" w:h="16840"/>
          <w:pgMar w:top="1600" w:bottom="1200" w:left="1020" w:right="920"/>
          <w:cols w:num="2" w:equalWidth="0">
            <w:col w:w="2176" w:space="172"/>
            <w:col w:w="7622"/>
          </w:cols>
        </w:sectPr>
      </w:pPr>
    </w:p>
    <w:p>
      <w:pPr>
        <w:pStyle w:val="BodyText"/>
        <w:spacing w:before="11"/>
        <w:rPr>
          <w:sz w:val="19"/>
        </w:rPr>
      </w:pPr>
    </w:p>
    <w:p>
      <w:pPr>
        <w:pStyle w:val="ListParagraph"/>
        <w:numPr>
          <w:ilvl w:val="1"/>
          <w:numId w:val="5"/>
        </w:numPr>
        <w:tabs>
          <w:tab w:pos="912" w:val="left" w:leader="none"/>
          <w:tab w:pos="913" w:val="left" w:leader="none"/>
          <w:tab w:pos="2458" w:val="left" w:leader="none"/>
        </w:tabs>
        <w:spacing w:line="273" w:lineRule="auto" w:before="36" w:after="0"/>
        <w:ind w:left="2458" w:right="106" w:hanging="2348"/>
        <w:jc w:val="left"/>
        <w:rPr>
          <w:sz w:val="21"/>
        </w:rPr>
      </w:pPr>
      <w:r>
        <w:rPr>
          <w:b/>
          <w:sz w:val="21"/>
        </w:rPr>
        <w:t>遗传性疾病</w:t>
        <w:tab/>
      </w:r>
      <w:r>
        <w:rPr>
          <w:spacing w:val="-1"/>
          <w:sz w:val="21"/>
        </w:rPr>
        <w:t>指生</w:t>
      </w:r>
      <w:r>
        <w:rPr>
          <w:sz w:val="21"/>
        </w:rPr>
        <w:t>殖细胞或受精卵的遗传物</w:t>
      </w:r>
      <w:r>
        <w:rPr>
          <w:spacing w:val="-81"/>
          <w:sz w:val="21"/>
        </w:rPr>
        <w:t>质</w:t>
      </w:r>
      <w:r>
        <w:rPr>
          <w:sz w:val="21"/>
        </w:rPr>
        <w:t>（染色体和基因</w:t>
      </w:r>
      <w:r>
        <w:rPr>
          <w:spacing w:val="-82"/>
          <w:sz w:val="21"/>
        </w:rPr>
        <w:t>）</w:t>
      </w:r>
      <w:r>
        <w:rPr>
          <w:sz w:val="21"/>
        </w:rPr>
        <w:t>发生突变或畸变所引起的疾病，通常具有由亲代传至后代的垂直传递的特征。</w:t>
      </w:r>
    </w:p>
    <w:p>
      <w:pPr>
        <w:pStyle w:val="BodyText"/>
        <w:spacing w:before="4"/>
        <w:rPr>
          <w:sz w:val="13"/>
        </w:rPr>
      </w:pPr>
    </w:p>
    <w:p>
      <w:pPr>
        <w:spacing w:after="0"/>
        <w:rPr>
          <w:sz w:val="13"/>
        </w:rPr>
        <w:sectPr>
          <w:type w:val="continuous"/>
          <w:pgSz w:w="11910" w:h="16840"/>
          <w:pgMar w:top="1600" w:bottom="1200" w:left="1020" w:right="920"/>
        </w:sectPr>
      </w:pPr>
    </w:p>
    <w:p>
      <w:pPr>
        <w:pStyle w:val="Heading3"/>
        <w:numPr>
          <w:ilvl w:val="1"/>
          <w:numId w:val="5"/>
        </w:numPr>
        <w:tabs>
          <w:tab w:pos="911" w:val="left" w:leader="none"/>
          <w:tab w:pos="913" w:val="left" w:leader="none"/>
        </w:tabs>
        <w:spacing w:line="240" w:lineRule="auto" w:before="35" w:after="0"/>
        <w:ind w:left="912" w:right="0" w:hanging="802"/>
        <w:jc w:val="left"/>
      </w:pPr>
      <w:r>
        <w:rPr>
          <w:w w:val="95"/>
        </w:rPr>
        <w:t>先天性畸形、</w:t>
      </w:r>
    </w:p>
    <w:p>
      <w:pPr>
        <w:spacing w:line="273" w:lineRule="auto" w:before="37"/>
        <w:ind w:left="911" w:right="0" w:firstLine="0"/>
        <w:jc w:val="left"/>
        <w:rPr>
          <w:b/>
          <w:sz w:val="21"/>
        </w:rPr>
      </w:pPr>
      <w:r>
        <w:rPr>
          <w:b/>
          <w:w w:val="95"/>
          <w:sz w:val="21"/>
        </w:rPr>
        <w:t>变形或染色体</w:t>
      </w:r>
      <w:r>
        <w:rPr>
          <w:b/>
          <w:sz w:val="21"/>
        </w:rPr>
        <w:t>异常</w:t>
      </w:r>
    </w:p>
    <w:p>
      <w:pPr>
        <w:pStyle w:val="BodyText"/>
        <w:spacing w:line="273" w:lineRule="auto" w:before="35"/>
        <w:ind w:left="110" w:right="211"/>
      </w:pPr>
      <w:r>
        <w:rPr/>
        <w:br w:type="column"/>
      </w:r>
      <w:r>
        <w:rPr>
          <w:spacing w:val="-7"/>
        </w:rPr>
        <w:t>先天性畸形、变形和染色体异常依照世界卫生组织《疾病和有关健康问题的国际</w:t>
      </w:r>
      <w:r>
        <w:rPr>
          <w:spacing w:val="-22"/>
        </w:rPr>
        <w:t>统计分类》</w:t>
      </w:r>
      <w:r>
        <w:rPr>
          <w:spacing w:val="-1"/>
        </w:rPr>
        <w:t>（ICD-10）</w:t>
      </w:r>
      <w:r>
        <w:rPr/>
        <w:t>确定。</w:t>
      </w:r>
    </w:p>
    <w:p>
      <w:pPr>
        <w:spacing w:after="0" w:line="273" w:lineRule="auto"/>
        <w:sectPr>
          <w:type w:val="continuous"/>
          <w:pgSz w:w="11910" w:h="16840"/>
          <w:pgMar w:top="1600" w:bottom="1200" w:left="1020" w:right="920"/>
          <w:cols w:num="2" w:equalWidth="0">
            <w:col w:w="2176" w:space="172"/>
            <w:col w:w="7622"/>
          </w:cols>
        </w:sectPr>
      </w:pPr>
    </w:p>
    <w:p>
      <w:pPr>
        <w:pStyle w:val="BodyText"/>
        <w:rPr>
          <w:sz w:val="24"/>
        </w:rPr>
      </w:pPr>
    </w:p>
    <w:p>
      <w:pPr>
        <w:pStyle w:val="ListParagraph"/>
        <w:numPr>
          <w:ilvl w:val="1"/>
          <w:numId w:val="5"/>
        </w:numPr>
        <w:tabs>
          <w:tab w:pos="911" w:val="left" w:leader="none"/>
          <w:tab w:pos="912" w:val="left" w:leader="none"/>
          <w:tab w:pos="2458" w:val="left" w:leader="none"/>
        </w:tabs>
        <w:spacing w:line="273" w:lineRule="auto" w:before="35" w:after="0"/>
        <w:ind w:left="2458" w:right="211" w:hanging="2348"/>
        <w:jc w:val="left"/>
        <w:rPr>
          <w:sz w:val="21"/>
        </w:rPr>
      </w:pPr>
      <w:r>
        <w:rPr>
          <w:b/>
          <w:sz w:val="21"/>
        </w:rPr>
        <w:t>永久不可逆</w:t>
        <w:tab/>
      </w:r>
      <w:r>
        <w:rPr>
          <w:sz w:val="21"/>
        </w:rPr>
        <w:t>指自疾病确诊或意外伤害发生之日起</w:t>
      </w:r>
      <w:r>
        <w:rPr>
          <w:spacing w:val="-29"/>
          <w:sz w:val="21"/>
        </w:rPr>
        <w:t>，</w:t>
      </w:r>
      <w:r>
        <w:rPr>
          <w:sz w:val="21"/>
        </w:rPr>
        <w:t>经过积极治疗</w:t>
      </w:r>
      <w:r>
        <w:rPr>
          <w:spacing w:val="-53"/>
          <w:sz w:val="21"/>
        </w:rPr>
        <w:t> </w:t>
      </w:r>
      <w:r>
        <w:rPr>
          <w:sz w:val="21"/>
        </w:rPr>
        <w:t>180</w:t>
      </w:r>
      <w:r>
        <w:rPr>
          <w:spacing w:val="-53"/>
          <w:sz w:val="21"/>
        </w:rPr>
        <w:t> </w:t>
      </w:r>
      <w:r>
        <w:rPr>
          <w:sz w:val="21"/>
        </w:rPr>
        <w:t>天后</w:t>
      </w:r>
      <w:r>
        <w:rPr>
          <w:spacing w:val="-29"/>
          <w:sz w:val="21"/>
        </w:rPr>
        <w:t>，</w:t>
      </w:r>
      <w:r>
        <w:rPr>
          <w:sz w:val="21"/>
        </w:rPr>
        <w:t>仍无法通过现有医疗手段恢复。</w:t>
      </w:r>
    </w:p>
    <w:p>
      <w:pPr>
        <w:spacing w:after="0" w:line="273" w:lineRule="auto"/>
        <w:jc w:val="left"/>
        <w:rPr>
          <w:sz w:val="21"/>
        </w:rPr>
        <w:sectPr>
          <w:type w:val="continuous"/>
          <w:pgSz w:w="11910" w:h="16840"/>
          <w:pgMar w:top="1600" w:bottom="1200" w:left="1020" w:right="920"/>
        </w:sectPr>
      </w:pPr>
    </w:p>
    <w:p>
      <w:pPr>
        <w:pStyle w:val="Heading3"/>
        <w:numPr>
          <w:ilvl w:val="1"/>
          <w:numId w:val="5"/>
        </w:numPr>
        <w:tabs>
          <w:tab w:pos="911" w:val="left" w:leader="none"/>
          <w:tab w:pos="912" w:val="left" w:leader="none"/>
        </w:tabs>
        <w:spacing w:line="273" w:lineRule="auto" w:before="26" w:after="0"/>
        <w:ind w:left="911" w:right="0" w:hanging="801"/>
        <w:jc w:val="left"/>
      </w:pPr>
      <w:r>
        <w:rPr>
          <w:w w:val="95"/>
        </w:rPr>
        <w:t>肢体机能完全</w:t>
      </w:r>
      <w:r>
        <w:rPr/>
        <w:t>丧失</w:t>
      </w:r>
    </w:p>
    <w:p>
      <w:pPr>
        <w:pStyle w:val="BodyText"/>
        <w:spacing w:line="273" w:lineRule="auto" w:before="26"/>
        <w:ind w:left="110" w:right="146"/>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1600" w:bottom="1200" w:left="1020" w:right="920"/>
          <w:cols w:num="2" w:equalWidth="0">
            <w:col w:w="2176" w:space="172"/>
            <w:col w:w="7622"/>
          </w:cols>
        </w:sectPr>
      </w:pPr>
    </w:p>
    <w:p>
      <w:pPr>
        <w:pStyle w:val="BodyText"/>
        <w:spacing w:before="1"/>
        <w:rPr>
          <w:sz w:val="27"/>
        </w:rPr>
      </w:pPr>
    </w:p>
    <w:p>
      <w:pPr>
        <w:spacing w:after="0"/>
        <w:rPr>
          <w:sz w:val="27"/>
        </w:rPr>
        <w:sectPr>
          <w:type w:val="continuous"/>
          <w:pgSz w:w="11910" w:h="16840"/>
          <w:pgMar w:top="1600" w:bottom="1200" w:left="1020" w:right="920"/>
        </w:sectPr>
      </w:pPr>
    </w:p>
    <w:p>
      <w:pPr>
        <w:pStyle w:val="Heading3"/>
        <w:numPr>
          <w:ilvl w:val="1"/>
          <w:numId w:val="5"/>
        </w:numPr>
        <w:tabs>
          <w:tab w:pos="911" w:val="left" w:leader="none"/>
          <w:tab w:pos="912" w:val="left" w:leader="none"/>
        </w:tabs>
        <w:spacing w:line="240" w:lineRule="auto" w:before="36" w:after="0"/>
        <w:ind w:left="911" w:right="0" w:hanging="801"/>
        <w:jc w:val="left"/>
      </w:pPr>
      <w:r>
        <w:rPr>
          <w:w w:val="95"/>
        </w:rPr>
        <w:t>语言能力或咀</w:t>
      </w:r>
    </w:p>
    <w:p>
      <w:pPr>
        <w:spacing w:line="273" w:lineRule="auto" w:before="37"/>
        <w:ind w:left="911" w:right="0" w:firstLine="0"/>
        <w:jc w:val="left"/>
        <w:rPr>
          <w:b/>
          <w:sz w:val="21"/>
        </w:rPr>
      </w:pPr>
      <w:r>
        <w:rPr>
          <w:b/>
          <w:w w:val="95"/>
          <w:sz w:val="21"/>
        </w:rPr>
        <w:t>嚼吞咽能力完</w:t>
      </w:r>
      <w:r>
        <w:rPr>
          <w:b/>
          <w:sz w:val="21"/>
        </w:rPr>
        <w:t>全丧失</w:t>
      </w:r>
    </w:p>
    <w:p>
      <w:pPr>
        <w:pStyle w:val="BodyText"/>
        <w:spacing w:line="273" w:lineRule="auto" w:before="36"/>
        <w:ind w:left="110" w:right="211"/>
        <w:jc w:val="both"/>
      </w:pPr>
      <w:r>
        <w:rPr/>
        <w:br w:type="column"/>
      </w:r>
      <w:r>
        <w:rPr>
          <w:spacing w:val="-3"/>
        </w:rPr>
        <w:t>语言能力完全丧失，指无法发出四种语音</w:t>
      </w:r>
      <w:r>
        <w:rPr/>
        <w:t>（</w:t>
      </w:r>
      <w:r>
        <w:rPr>
          <w:spacing w:val="-5"/>
        </w:rPr>
        <w:t>包括口唇音、齿舌音、口盖音和喉头音</w:t>
      </w:r>
      <w:r>
        <w:rPr>
          <w:spacing w:val="-15"/>
        </w:rPr>
        <w:t>）</w:t>
      </w:r>
      <w:r>
        <w:rPr>
          <w:spacing w:val="-5"/>
        </w:rPr>
        <w:t>中的任何三种、或声带全部切除，或因大脑语言中枢受伤害而患失语症。咀</w:t>
      </w:r>
      <w:r>
        <w:rPr>
          <w:spacing w:val="-9"/>
        </w:rPr>
        <w:t>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1600" w:bottom="1200" w:left="1020" w:right="920"/>
          <w:cols w:num="2" w:equalWidth="0">
            <w:col w:w="2176" w:space="172"/>
            <w:col w:w="7622"/>
          </w:cols>
        </w:sectPr>
      </w:pPr>
    </w:p>
    <w:p>
      <w:pPr>
        <w:pStyle w:val="BodyText"/>
        <w:spacing w:before="7"/>
        <w:rPr>
          <w:sz w:val="16"/>
        </w:rPr>
      </w:pPr>
    </w:p>
    <w:p>
      <w:pPr>
        <w:spacing w:after="0"/>
        <w:rPr>
          <w:sz w:val="16"/>
        </w:rPr>
        <w:sectPr>
          <w:type w:val="continuous"/>
          <w:pgSz w:w="11910" w:h="16840"/>
          <w:pgMar w:top="1600" w:bottom="1200" w:left="1020" w:right="920"/>
        </w:sectPr>
      </w:pPr>
    </w:p>
    <w:p>
      <w:pPr>
        <w:pStyle w:val="Heading3"/>
        <w:numPr>
          <w:ilvl w:val="1"/>
          <w:numId w:val="5"/>
        </w:numPr>
        <w:tabs>
          <w:tab w:pos="911" w:val="left" w:leader="none"/>
          <w:tab w:pos="912" w:val="left" w:leader="none"/>
        </w:tabs>
        <w:spacing w:line="240" w:lineRule="auto" w:before="36" w:after="0"/>
        <w:ind w:left="911" w:right="0" w:hanging="801"/>
        <w:jc w:val="left"/>
      </w:pPr>
      <w:r>
        <w:rPr>
          <w:w w:val="95"/>
        </w:rPr>
        <w:t>六项基本日常</w:t>
      </w:r>
    </w:p>
    <w:p>
      <w:pPr>
        <w:spacing w:before="37"/>
        <w:ind w:left="911" w:right="0" w:firstLine="0"/>
        <w:jc w:val="left"/>
        <w:rPr>
          <w:b/>
          <w:sz w:val="21"/>
        </w:rPr>
      </w:pPr>
      <w:r>
        <w:rPr>
          <w:b/>
          <w:sz w:val="21"/>
        </w:rPr>
        <w:t>生活活动</w:t>
      </w:r>
    </w:p>
    <w:p>
      <w:pPr>
        <w:pStyle w:val="BodyText"/>
        <w:spacing w:before="36"/>
        <w:ind w:left="110"/>
      </w:pPr>
      <w:r>
        <w:rPr/>
        <w:br w:type="column"/>
      </w:r>
      <w:r>
        <w:rPr/>
        <w:t>（1）</w:t>
      </w:r>
      <w:r>
        <w:rPr>
          <w:spacing w:val="-9"/>
        </w:rPr>
        <w:t>穿衣：自己能够穿衣及脱衣；</w:t>
      </w:r>
      <w:r>
        <w:rPr>
          <w:spacing w:val="-2"/>
        </w:rPr>
        <w:t>（</w:t>
      </w:r>
      <w:r>
        <w:rPr/>
        <w:t>2）</w:t>
      </w:r>
      <w:r>
        <w:rPr>
          <w:spacing w:val="-1"/>
        </w:rPr>
        <w:t>移动：自己从一个房间到另一个房间；</w:t>
      </w:r>
    </w:p>
    <w:p>
      <w:pPr>
        <w:pStyle w:val="BodyText"/>
        <w:spacing w:line="271" w:lineRule="auto" w:before="37"/>
        <w:ind w:left="110" w:right="211"/>
        <w:jc w:val="both"/>
      </w:pPr>
      <w:r>
        <w:rPr/>
        <w:t>（3）</w:t>
      </w:r>
      <w:r>
        <w:rPr>
          <w:spacing w:val="-9"/>
        </w:rPr>
        <w:t>行动：自己上下床或上下轮椅；</w:t>
      </w:r>
      <w:r>
        <w:rPr/>
        <w:t>（4）</w:t>
      </w:r>
      <w:r>
        <w:rPr>
          <w:spacing w:val="-9"/>
        </w:rPr>
        <w:t>如厕：自己控制进行大小便；</w:t>
      </w:r>
      <w:r>
        <w:rPr>
          <w:spacing w:val="-2"/>
        </w:rPr>
        <w:t>（</w:t>
      </w:r>
      <w:r>
        <w:rPr/>
        <w:t>5）进</w:t>
      </w:r>
      <w:r>
        <w:rPr>
          <w:spacing w:val="-4"/>
        </w:rPr>
        <w:t>食：自己从已准备好的碗或碟中取食物放入口中</w:t>
      </w:r>
      <w:r>
        <w:rPr>
          <w:spacing w:val="-119"/>
        </w:rPr>
        <w:t>；</w:t>
      </w:r>
      <w:r>
        <w:rPr/>
        <w:t>（6</w:t>
      </w:r>
      <w:r>
        <w:rPr>
          <w:spacing w:val="-15"/>
        </w:rPr>
        <w:t>）</w:t>
      </w:r>
      <w:r>
        <w:rPr>
          <w:spacing w:val="-4"/>
        </w:rPr>
        <w:t>洗澡：自己进行淋浴或盆浴。</w:t>
      </w:r>
    </w:p>
    <w:p>
      <w:pPr>
        <w:spacing w:after="0" w:line="271" w:lineRule="auto"/>
        <w:jc w:val="both"/>
        <w:sectPr>
          <w:type w:val="continuous"/>
          <w:pgSz w:w="11910" w:h="16840"/>
          <w:pgMar w:top="1600" w:bottom="1200" w:left="1020" w:right="920"/>
          <w:cols w:num="2" w:equalWidth="0">
            <w:col w:w="2176" w:space="172"/>
            <w:col w:w="7622"/>
          </w:cols>
        </w:sect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BodyText"/>
        <w:spacing w:before="35"/>
        <w:ind w:left="3773" w:right="4056"/>
        <w:jc w:val="center"/>
      </w:pPr>
      <w:r>
        <w:rPr/>
        <w:t>（保险条款内容结束）</w:t>
      </w:r>
    </w:p>
    <w:sectPr>
      <w:type w:val="continuous"/>
      <w:pgSz w:w="11910" w:h="16840"/>
      <w:pgMar w:top="1600" w:bottom="120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2500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7"/>
      <w:numFmt w:val="decimal"/>
      <w:lvlText w:val="%1"/>
      <w:lvlJc w:val="left"/>
      <w:pPr>
        <w:ind w:left="2458" w:hanging="802"/>
        <w:jc w:val="left"/>
      </w:pPr>
      <w:rPr>
        <w:rFonts w:hint="default"/>
      </w:rPr>
    </w:lvl>
    <w:lvl w:ilvl="1">
      <w:start w:val="13"/>
      <w:numFmt w:val="decimal"/>
      <w:lvlText w:val="%1.%2"/>
      <w:lvlJc w:val="left"/>
      <w:pPr>
        <w:ind w:left="2458" w:hanging="802"/>
        <w:jc w:val="left"/>
      </w:pPr>
      <w:rPr>
        <w:rFonts w:hint="default" w:ascii="宋体" w:hAnsi="宋体" w:eastAsia="宋体" w:cs="宋体"/>
        <w:b/>
        <w:bCs/>
        <w:w w:val="99"/>
        <w:sz w:val="21"/>
        <w:szCs w:val="21"/>
      </w:rPr>
    </w:lvl>
    <w:lvl w:ilvl="2">
      <w:start w:val="0"/>
      <w:numFmt w:val="bullet"/>
      <w:lvlText w:val="•"/>
      <w:lvlJc w:val="left"/>
      <w:pPr>
        <w:ind w:left="3960" w:hanging="802"/>
      </w:pPr>
      <w:rPr>
        <w:rFonts w:hint="default"/>
      </w:rPr>
    </w:lvl>
    <w:lvl w:ilvl="3">
      <w:start w:val="0"/>
      <w:numFmt w:val="bullet"/>
      <w:lvlText w:val="•"/>
      <w:lvlJc w:val="left"/>
      <w:pPr>
        <w:ind w:left="4711" w:hanging="802"/>
      </w:pPr>
      <w:rPr>
        <w:rFonts w:hint="default"/>
      </w:rPr>
    </w:lvl>
    <w:lvl w:ilvl="4">
      <w:start w:val="0"/>
      <w:numFmt w:val="bullet"/>
      <w:lvlText w:val="•"/>
      <w:lvlJc w:val="left"/>
      <w:pPr>
        <w:ind w:left="5461" w:hanging="802"/>
      </w:pPr>
      <w:rPr>
        <w:rFonts w:hint="default"/>
      </w:rPr>
    </w:lvl>
    <w:lvl w:ilvl="5">
      <w:start w:val="0"/>
      <w:numFmt w:val="bullet"/>
      <w:lvlText w:val="•"/>
      <w:lvlJc w:val="left"/>
      <w:pPr>
        <w:ind w:left="6212" w:hanging="802"/>
      </w:pPr>
      <w:rPr>
        <w:rFonts w:hint="default"/>
      </w:rPr>
    </w:lvl>
    <w:lvl w:ilvl="6">
      <w:start w:val="0"/>
      <w:numFmt w:val="bullet"/>
      <w:lvlText w:val="•"/>
      <w:lvlJc w:val="left"/>
      <w:pPr>
        <w:ind w:left="6962" w:hanging="802"/>
      </w:pPr>
      <w:rPr>
        <w:rFonts w:hint="default"/>
      </w:rPr>
    </w:lvl>
    <w:lvl w:ilvl="7">
      <w:start w:val="0"/>
      <w:numFmt w:val="bullet"/>
      <w:lvlText w:val="•"/>
      <w:lvlJc w:val="left"/>
      <w:pPr>
        <w:ind w:left="7713" w:hanging="802"/>
      </w:pPr>
      <w:rPr>
        <w:rFonts w:hint="default"/>
      </w:rPr>
    </w:lvl>
    <w:lvl w:ilvl="8">
      <w:start w:val="0"/>
      <w:numFmt w:val="bullet"/>
      <w:lvlText w:val="•"/>
      <w:lvlJc w:val="left"/>
      <w:pPr>
        <w:ind w:left="8463" w:hanging="802"/>
      </w:pPr>
      <w:rPr>
        <w:rFonts w:hint="default"/>
      </w:rPr>
    </w:lvl>
  </w:abstractNum>
  <w:abstractNum w:abstractNumId="3">
    <w:multiLevelType w:val="hybridMultilevel"/>
    <w:lvl w:ilvl="0">
      <w:start w:val="3"/>
      <w:numFmt w:val="decimal"/>
      <w:lvlText w:val="%1."/>
      <w:lvlJc w:val="left"/>
      <w:pPr>
        <w:ind w:left="1002" w:hanging="792"/>
        <w:jc w:val="left"/>
      </w:pPr>
      <w:rPr>
        <w:rFonts w:hint="default" w:ascii="宋体" w:hAnsi="宋体" w:eastAsia="宋体" w:cs="宋体"/>
        <w:b/>
        <w:bCs/>
        <w:spacing w:val="0"/>
        <w:w w:val="99"/>
        <w:sz w:val="24"/>
        <w:szCs w:val="24"/>
      </w:rPr>
    </w:lvl>
    <w:lvl w:ilvl="1">
      <w:start w:val="1"/>
      <w:numFmt w:val="decimal"/>
      <w:lvlText w:val="%1.%2"/>
      <w:lvlJc w:val="left"/>
      <w:pPr>
        <w:ind w:left="2520" w:hanging="793"/>
        <w:jc w:val="left"/>
      </w:pPr>
      <w:rPr>
        <w:rFonts w:hint="default" w:ascii="宋体" w:hAnsi="宋体" w:eastAsia="宋体" w:cs="宋体"/>
        <w:b/>
        <w:bCs/>
        <w:w w:val="99"/>
        <w:sz w:val="21"/>
        <w:szCs w:val="21"/>
      </w:rPr>
    </w:lvl>
    <w:lvl w:ilvl="2">
      <w:start w:val="1"/>
      <w:numFmt w:val="decimal"/>
      <w:lvlText w:val="%3)"/>
      <w:lvlJc w:val="left"/>
      <w:pPr>
        <w:ind w:left="2912" w:hanging="332"/>
        <w:jc w:val="right"/>
      </w:pPr>
      <w:rPr>
        <w:rFonts w:hint="default" w:ascii="宋体" w:hAnsi="宋体" w:eastAsia="宋体" w:cs="宋体"/>
        <w:w w:val="100"/>
        <w:sz w:val="21"/>
        <w:szCs w:val="21"/>
      </w:rPr>
    </w:lvl>
    <w:lvl w:ilvl="3">
      <w:start w:val="1"/>
      <w:numFmt w:val="lowerLetter"/>
      <w:lvlText w:val="%4)"/>
      <w:lvlJc w:val="left"/>
      <w:pPr>
        <w:ind w:left="3752" w:hanging="394"/>
        <w:jc w:val="right"/>
      </w:pPr>
      <w:rPr>
        <w:rFonts w:hint="default" w:ascii="宋体" w:hAnsi="宋体" w:eastAsia="宋体" w:cs="宋体"/>
        <w:spacing w:val="-28"/>
        <w:w w:val="100"/>
        <w:sz w:val="21"/>
        <w:szCs w:val="21"/>
      </w:rPr>
    </w:lvl>
    <w:lvl w:ilvl="4">
      <w:start w:val="0"/>
      <w:numFmt w:val="bullet"/>
      <w:lvlText w:val="•"/>
      <w:lvlJc w:val="left"/>
      <w:pPr>
        <w:ind w:left="2540" w:hanging="394"/>
      </w:pPr>
      <w:rPr>
        <w:rFonts w:hint="default"/>
      </w:rPr>
    </w:lvl>
    <w:lvl w:ilvl="5">
      <w:start w:val="0"/>
      <w:numFmt w:val="bullet"/>
      <w:lvlText w:val="•"/>
      <w:lvlJc w:val="left"/>
      <w:pPr>
        <w:ind w:left="2560" w:hanging="394"/>
      </w:pPr>
      <w:rPr>
        <w:rFonts w:hint="default"/>
      </w:rPr>
    </w:lvl>
    <w:lvl w:ilvl="6">
      <w:start w:val="0"/>
      <w:numFmt w:val="bullet"/>
      <w:lvlText w:val="•"/>
      <w:lvlJc w:val="left"/>
      <w:pPr>
        <w:ind w:left="2680" w:hanging="394"/>
      </w:pPr>
      <w:rPr>
        <w:rFonts w:hint="default"/>
      </w:rPr>
    </w:lvl>
    <w:lvl w:ilvl="7">
      <w:start w:val="0"/>
      <w:numFmt w:val="bullet"/>
      <w:lvlText w:val="•"/>
      <w:lvlJc w:val="left"/>
      <w:pPr>
        <w:ind w:left="2920" w:hanging="394"/>
      </w:pPr>
      <w:rPr>
        <w:rFonts w:hint="default"/>
      </w:rPr>
    </w:lvl>
    <w:lvl w:ilvl="8">
      <w:start w:val="0"/>
      <w:numFmt w:val="bullet"/>
      <w:lvlText w:val="•"/>
      <w:lvlJc w:val="left"/>
      <w:pPr>
        <w:ind w:left="3060" w:hanging="394"/>
      </w:pPr>
      <w:rPr>
        <w:rFonts w:hint="default"/>
      </w:rPr>
    </w:lvl>
  </w:abstractNum>
  <w:abstractNum w:abstractNumId="2">
    <w:multiLevelType w:val="hybridMultilevel"/>
    <w:lvl w:ilvl="0">
      <w:start w:val="1"/>
      <w:numFmt w:val="decimal"/>
      <w:lvlText w:val="%1."/>
      <w:lvlJc w:val="left"/>
      <w:pPr>
        <w:ind w:left="1002" w:hanging="792"/>
        <w:jc w:val="right"/>
      </w:pPr>
      <w:rPr>
        <w:rFonts w:hint="default"/>
        <w:b/>
        <w:bCs/>
        <w:spacing w:val="0"/>
        <w:w w:val="99"/>
      </w:rPr>
    </w:lvl>
    <w:lvl w:ilvl="1">
      <w:start w:val="1"/>
      <w:numFmt w:val="decimal"/>
      <w:lvlText w:val="%1.%2"/>
      <w:lvlJc w:val="left"/>
      <w:pPr>
        <w:ind w:left="2533" w:hanging="793"/>
        <w:jc w:val="left"/>
      </w:pPr>
      <w:rPr>
        <w:rFonts w:hint="default" w:ascii="宋体" w:hAnsi="宋体" w:eastAsia="宋体" w:cs="宋体"/>
        <w:b/>
        <w:bCs/>
        <w:spacing w:val="0"/>
        <w:w w:val="99"/>
        <w:sz w:val="21"/>
        <w:szCs w:val="21"/>
      </w:rPr>
    </w:lvl>
    <w:lvl w:ilvl="2">
      <w:start w:val="0"/>
      <w:numFmt w:val="bullet"/>
      <w:lvlText w:val="•"/>
      <w:lvlJc w:val="left"/>
      <w:pPr>
        <w:ind w:left="3364" w:hanging="793"/>
      </w:pPr>
      <w:rPr>
        <w:rFonts w:hint="default"/>
      </w:rPr>
    </w:lvl>
    <w:lvl w:ilvl="3">
      <w:start w:val="0"/>
      <w:numFmt w:val="bullet"/>
      <w:lvlText w:val="•"/>
      <w:lvlJc w:val="left"/>
      <w:pPr>
        <w:ind w:left="4189" w:hanging="793"/>
      </w:pPr>
      <w:rPr>
        <w:rFonts w:hint="default"/>
      </w:rPr>
    </w:lvl>
    <w:lvl w:ilvl="4">
      <w:start w:val="0"/>
      <w:numFmt w:val="bullet"/>
      <w:lvlText w:val="•"/>
      <w:lvlJc w:val="left"/>
      <w:pPr>
        <w:ind w:left="5014" w:hanging="793"/>
      </w:pPr>
      <w:rPr>
        <w:rFonts w:hint="default"/>
      </w:rPr>
    </w:lvl>
    <w:lvl w:ilvl="5">
      <w:start w:val="0"/>
      <w:numFmt w:val="bullet"/>
      <w:lvlText w:val="•"/>
      <w:lvlJc w:val="left"/>
      <w:pPr>
        <w:ind w:left="5839" w:hanging="793"/>
      </w:pPr>
      <w:rPr>
        <w:rFonts w:hint="default"/>
      </w:rPr>
    </w:lvl>
    <w:lvl w:ilvl="6">
      <w:start w:val="0"/>
      <w:numFmt w:val="bullet"/>
      <w:lvlText w:val="•"/>
      <w:lvlJc w:val="left"/>
      <w:pPr>
        <w:ind w:left="6664" w:hanging="793"/>
      </w:pPr>
      <w:rPr>
        <w:rFonts w:hint="default"/>
      </w:rPr>
    </w:lvl>
    <w:lvl w:ilvl="7">
      <w:start w:val="0"/>
      <w:numFmt w:val="bullet"/>
      <w:lvlText w:val="•"/>
      <w:lvlJc w:val="left"/>
      <w:pPr>
        <w:ind w:left="7489" w:hanging="793"/>
      </w:pPr>
      <w:rPr>
        <w:rFonts w:hint="default"/>
      </w:rPr>
    </w:lvl>
    <w:lvl w:ilvl="8">
      <w:start w:val="0"/>
      <w:numFmt w:val="bullet"/>
      <w:lvlText w:val="•"/>
      <w:lvlJc w:val="left"/>
      <w:pPr>
        <w:ind w:left="8314" w:hanging="793"/>
      </w:pPr>
      <w:rPr>
        <w:rFonts w:hint="default"/>
      </w:rPr>
    </w:lvl>
  </w:abstractNum>
  <w:abstractNum w:abstractNumId="1">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0" w:hanging="398"/>
      </w:pPr>
      <w:rPr>
        <w:rFonts w:hint="default"/>
      </w:rPr>
    </w:lvl>
    <w:lvl w:ilvl="2">
      <w:start w:val="0"/>
      <w:numFmt w:val="bullet"/>
      <w:lvlText w:val="•"/>
      <w:lvlJc w:val="left"/>
      <w:pPr>
        <w:ind w:left="2061" w:hanging="398"/>
      </w:pPr>
      <w:rPr>
        <w:rFonts w:hint="default"/>
      </w:rPr>
    </w:lvl>
    <w:lvl w:ilvl="3">
      <w:start w:val="0"/>
      <w:numFmt w:val="bullet"/>
      <w:lvlText w:val="•"/>
      <w:lvlJc w:val="left"/>
      <w:pPr>
        <w:ind w:left="2892" w:hanging="398"/>
      </w:pPr>
      <w:rPr>
        <w:rFonts w:hint="default"/>
      </w:rPr>
    </w:lvl>
    <w:lvl w:ilvl="4">
      <w:start w:val="0"/>
      <w:numFmt w:val="bullet"/>
      <w:lvlText w:val="•"/>
      <w:lvlJc w:val="left"/>
      <w:pPr>
        <w:ind w:left="3723" w:hanging="398"/>
      </w:pPr>
      <w:rPr>
        <w:rFonts w:hint="default"/>
      </w:rPr>
    </w:lvl>
    <w:lvl w:ilvl="5">
      <w:start w:val="0"/>
      <w:numFmt w:val="bullet"/>
      <w:lvlText w:val="•"/>
      <w:lvlJc w:val="left"/>
      <w:pPr>
        <w:ind w:left="4554" w:hanging="398"/>
      </w:pPr>
      <w:rPr>
        <w:rFonts w:hint="default"/>
      </w:rPr>
    </w:lvl>
    <w:lvl w:ilvl="6">
      <w:start w:val="0"/>
      <w:numFmt w:val="bullet"/>
      <w:lvlText w:val="•"/>
      <w:lvlJc w:val="left"/>
      <w:pPr>
        <w:ind w:left="5385" w:hanging="398"/>
      </w:pPr>
      <w:rPr>
        <w:rFonts w:hint="default"/>
      </w:rPr>
    </w:lvl>
    <w:lvl w:ilvl="7">
      <w:start w:val="0"/>
      <w:numFmt w:val="bullet"/>
      <w:lvlText w:val="•"/>
      <w:lvlJc w:val="left"/>
      <w:pPr>
        <w:ind w:left="6216" w:hanging="398"/>
      </w:pPr>
      <w:rPr>
        <w:rFonts w:hint="default"/>
      </w:rPr>
    </w:lvl>
    <w:lvl w:ilvl="8">
      <w:start w:val="0"/>
      <w:numFmt w:val="bullet"/>
      <w:lvlText w:val="•"/>
      <w:lvlJc w:val="left"/>
      <w:pPr>
        <w:ind w:left="7047" w:hanging="398"/>
      </w:pPr>
      <w:rPr>
        <w:rFonts w:hint="default"/>
      </w:rPr>
    </w:lvl>
  </w:abstractNum>
  <w:abstractNum w:abstractNumId="0">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1" w:hanging="398"/>
      </w:pPr>
      <w:rPr>
        <w:rFonts w:hint="default"/>
      </w:rPr>
    </w:lvl>
    <w:lvl w:ilvl="2">
      <w:start w:val="0"/>
      <w:numFmt w:val="bullet"/>
      <w:lvlText w:val="•"/>
      <w:lvlJc w:val="left"/>
      <w:pPr>
        <w:ind w:left="2062" w:hanging="398"/>
      </w:pPr>
      <w:rPr>
        <w:rFonts w:hint="default"/>
      </w:rPr>
    </w:lvl>
    <w:lvl w:ilvl="3">
      <w:start w:val="0"/>
      <w:numFmt w:val="bullet"/>
      <w:lvlText w:val="•"/>
      <w:lvlJc w:val="left"/>
      <w:pPr>
        <w:ind w:left="2893" w:hanging="398"/>
      </w:pPr>
      <w:rPr>
        <w:rFonts w:hint="default"/>
      </w:rPr>
    </w:lvl>
    <w:lvl w:ilvl="4">
      <w:start w:val="0"/>
      <w:numFmt w:val="bullet"/>
      <w:lvlText w:val="•"/>
      <w:lvlJc w:val="left"/>
      <w:pPr>
        <w:ind w:left="3724" w:hanging="398"/>
      </w:pPr>
      <w:rPr>
        <w:rFonts w:hint="default"/>
      </w:rPr>
    </w:lvl>
    <w:lvl w:ilvl="5">
      <w:start w:val="0"/>
      <w:numFmt w:val="bullet"/>
      <w:lvlText w:val="•"/>
      <w:lvlJc w:val="left"/>
      <w:pPr>
        <w:ind w:left="4555" w:hanging="398"/>
      </w:pPr>
      <w:rPr>
        <w:rFonts w:hint="default"/>
      </w:rPr>
    </w:lvl>
    <w:lvl w:ilvl="6">
      <w:start w:val="0"/>
      <w:numFmt w:val="bullet"/>
      <w:lvlText w:val="•"/>
      <w:lvlJc w:val="left"/>
      <w:pPr>
        <w:ind w:left="5386" w:hanging="398"/>
      </w:pPr>
      <w:rPr>
        <w:rFonts w:hint="default"/>
      </w:rPr>
    </w:lvl>
    <w:lvl w:ilvl="7">
      <w:start w:val="0"/>
      <w:numFmt w:val="bullet"/>
      <w:lvlText w:val="•"/>
      <w:lvlJc w:val="left"/>
      <w:pPr>
        <w:ind w:left="6217" w:hanging="398"/>
      </w:pPr>
      <w:rPr>
        <w:rFonts w:hint="default"/>
      </w:rPr>
    </w:lvl>
    <w:lvl w:ilvl="8">
      <w:start w:val="0"/>
      <w:numFmt w:val="bullet"/>
      <w:lvlText w:val="•"/>
      <w:lvlJc w:val="left"/>
      <w:pPr>
        <w:ind w:left="7048" w:hanging="39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2" w:hanging="792"/>
      <w:outlineLvl w:val="2"/>
    </w:pPr>
    <w:rPr>
      <w:rFonts w:ascii="宋体" w:hAnsi="宋体" w:eastAsia="宋体" w:cs="宋体"/>
      <w:b/>
      <w:bCs/>
      <w:sz w:val="24"/>
      <w:szCs w:val="24"/>
    </w:rPr>
  </w:style>
  <w:style w:styleId="Heading3" w:type="paragraph">
    <w:name w:val="Heading 3"/>
    <w:basedOn w:val="Normal"/>
    <w:uiPriority w:val="1"/>
    <w:qFormat/>
    <w:pPr>
      <w:ind w:left="2533"/>
      <w:outlineLvl w:val="3"/>
    </w:pPr>
    <w:rPr>
      <w:rFonts w:ascii="宋体" w:hAnsi="宋体" w:eastAsia="宋体" w:cs="宋体"/>
      <w:b/>
      <w:bCs/>
      <w:sz w:val="21"/>
      <w:szCs w:val="21"/>
    </w:rPr>
  </w:style>
  <w:style w:styleId="ListParagraph" w:type="paragraph">
    <w:name w:val="List Paragraph"/>
    <w:basedOn w:val="Normal"/>
    <w:uiPriority w:val="1"/>
    <w:qFormat/>
    <w:pPr>
      <w:ind w:left="2252" w:hanging="454"/>
    </w:pPr>
    <w:rPr>
      <w:rFonts w:ascii="宋体" w:hAnsi="宋体" w:eastAsia="宋体" w:cs="宋体"/>
    </w:rPr>
  </w:style>
  <w:style w:styleId="TableParagraph" w:type="paragraph">
    <w:name w:val="Table Paragraph"/>
    <w:basedOn w:val="Normal"/>
    <w:uiPriority w:val="1"/>
    <w:qFormat/>
    <w:pPr>
      <w:spacing w:line="261" w:lineRule="exact"/>
      <w:ind w:left="2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&lt;4D6963726F736F667420576F7264202D20BBAACCA9C8CBCAD9B8BDBCD3B8A3BFB5CFE0B0E9D6D8B4F3BCB2B2A1B1A3CFD5CCF5BFEE2DB6FECEACC2EB2E646F6378&gt;</dc:title>
  <dcterms:created xsi:type="dcterms:W3CDTF">2018-10-20T00:07:34Z</dcterms:created>
  <dcterms:modified xsi:type="dcterms:W3CDTF">2018-10-20T00:07:34Z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