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99" w:lineRule="exact" w:before="0"/>
        <w:ind w:left="2449" w:right="0" w:firstLine="0"/>
        <w:jc w:val="left"/>
        <w:rPr>
          <w:sz w:val="32"/>
        </w:rPr>
      </w:pPr>
      <w:r>
        <w:rPr>
          <w:sz w:val="32"/>
        </w:rPr>
        <w:t>光大永明人寿保险有限公司</w:t>
      </w:r>
    </w:p>
    <w:p>
      <w:pPr>
        <w:pStyle w:val="Heading1"/>
        <w:spacing w:line="309" w:lineRule="auto" w:before="154"/>
      </w:pPr>
      <w:r>
        <w:rPr>
          <w:w w:val="95"/>
        </w:rPr>
        <w:t>光大永明 2011 团体重大疾病保险基本条款</w:t>
      </w:r>
    </w:p>
    <w:p>
      <w:pPr>
        <w:pStyle w:val="BodyText"/>
        <w:spacing w:before="15"/>
      </w:pPr>
      <w:r>
        <w:rPr/>
        <w:t>第一条【保险合同构成】</w:t>
      </w:r>
    </w:p>
    <w:p>
      <w:pPr>
        <w:pStyle w:val="BodyText"/>
        <w:spacing w:before="10"/>
        <w:ind w:left="0"/>
        <w:rPr>
          <w:sz w:val="24"/>
        </w:rPr>
      </w:pPr>
    </w:p>
    <w:p>
      <w:pPr>
        <w:pStyle w:val="BodyText"/>
        <w:ind w:left="117" w:right="203" w:firstLine="480"/>
        <w:jc w:val="both"/>
      </w:pPr>
      <w:r>
        <w:rPr>
          <w:spacing w:val="-4"/>
          <w:w w:val="100"/>
        </w:rPr>
        <w:t>本保险合同</w:t>
      </w:r>
      <w:r>
        <w:rPr>
          <w:w w:val="100"/>
        </w:rPr>
        <w:t>（</w:t>
      </w:r>
      <w:r>
        <w:rPr>
          <w:spacing w:val="-17"/>
          <w:w w:val="100"/>
        </w:rPr>
        <w:t>以下简称“本合同”</w:t>
      </w:r>
      <w:r>
        <w:rPr>
          <w:spacing w:val="-15"/>
          <w:w w:val="100"/>
        </w:rPr>
        <w:t>）</w:t>
      </w:r>
      <w:r>
        <w:rPr>
          <w:spacing w:val="-7"/>
          <w:w w:val="100"/>
        </w:rPr>
        <w:t>由保险单、保险条款、投保书、投保提示以及与本合</w:t>
      </w:r>
      <w:r>
        <w:rPr>
          <w:spacing w:val="-6"/>
        </w:rPr>
        <w:t>同有关的投保文件、合法有效的声明、批注和其他保险凭证及其他书面协议共同构成。</w:t>
      </w:r>
    </w:p>
    <w:p>
      <w:pPr>
        <w:pStyle w:val="BodyText"/>
        <w:spacing w:before="2"/>
        <w:ind w:left="0"/>
        <w:rPr>
          <w:sz w:val="22"/>
        </w:rPr>
      </w:pPr>
    </w:p>
    <w:p>
      <w:pPr>
        <w:pStyle w:val="BodyText"/>
        <w:spacing w:before="1"/>
        <w:ind w:left="117"/>
      </w:pPr>
      <w:r>
        <w:rPr/>
        <w:t>第二条【明确说明与如实告知】</w:t>
      </w:r>
    </w:p>
    <w:p>
      <w:pPr>
        <w:pStyle w:val="BodyText"/>
        <w:spacing w:before="11"/>
        <w:ind w:left="0"/>
        <w:rPr>
          <w:sz w:val="24"/>
        </w:rPr>
      </w:pPr>
    </w:p>
    <w:p>
      <w:pPr>
        <w:pStyle w:val="BodyText"/>
        <w:spacing w:line="274" w:lineRule="exact"/>
        <w:ind w:left="539"/>
      </w:pPr>
      <w:r>
        <w:rPr/>
        <w:t>订立本合同时，本公司应向投保人说明本合同的内容。</w:t>
      </w:r>
    </w:p>
    <w:p>
      <w:pPr>
        <w:pStyle w:val="BodyText"/>
        <w:ind w:left="117" w:right="207" w:firstLine="422"/>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68" w:lineRule="exact" w:before="1"/>
        <w:ind w:left="539"/>
      </w:pPr>
      <w:r>
        <w:rPr/>
        <w:t>本公司就投保人和被保险人的有关情况提出询问，投保人应当如实告知。</w:t>
      </w:r>
    </w:p>
    <w:p>
      <w:pPr>
        <w:pStyle w:val="BodyText"/>
        <w:ind w:left="117" w:right="207" w:firstLine="422"/>
        <w:jc w:val="both"/>
      </w:pPr>
      <w:r>
        <w:rPr/>
        <w:t>如果投保人故意或者因重大过失未履行前款规定的如实告知义务，足以影响本公司决定是否同意承保或者提高保险费率的，本公司有权解除本合同。</w:t>
      </w:r>
    </w:p>
    <w:p>
      <w:pPr>
        <w:pStyle w:val="BodyText"/>
        <w:spacing w:line="235" w:lineRule="auto" w:before="4"/>
        <w:ind w:left="117" w:right="207" w:firstLine="422"/>
        <w:jc w:val="both"/>
      </w:pPr>
      <w:r>
        <w:rPr/>
        <w:t>如果投保人故意不履行如实告知义务，对于本合同解除前发生的保险事故，本公司不承担给付保险金的责任，并不退还保险费。</w:t>
      </w:r>
    </w:p>
    <w:p>
      <w:pPr>
        <w:pStyle w:val="BodyText"/>
        <w:ind w:left="117" w:right="207" w:firstLine="422"/>
        <w:jc w:val="both"/>
      </w:pPr>
      <w:r>
        <w:rPr/>
        <w:t>如果投保人因重大过失未履行如实告知义务，对保险事故的发生有严重影响的，对于本合同解除前发生的保险事故，本公司不承担给付保险金的责任，但应当退还保险费。</w:t>
      </w:r>
    </w:p>
    <w:p>
      <w:pPr>
        <w:pStyle w:val="BodyText"/>
        <w:spacing w:line="235" w:lineRule="auto" w:before="6"/>
        <w:ind w:left="117" w:right="203" w:firstLine="480"/>
        <w:jc w:val="both"/>
      </w:pPr>
      <w:r>
        <w:rPr>
          <w:spacing w:val="-5"/>
        </w:rPr>
        <w:t>本公司在合同订立时已经知道投保人未如实告知的情况的，本公司不得解除合同；发生保险事故的，本公司承担给付保险金的责任。</w:t>
      </w:r>
    </w:p>
    <w:p>
      <w:pPr>
        <w:pStyle w:val="BodyText"/>
        <w:spacing w:before="8"/>
        <w:ind w:left="0"/>
        <w:rPr>
          <w:sz w:val="22"/>
        </w:rPr>
      </w:pPr>
    </w:p>
    <w:p>
      <w:pPr>
        <w:pStyle w:val="BodyText"/>
      </w:pPr>
      <w:r>
        <w:rPr/>
        <w:t>第三条【年龄计算及错误处理】</w:t>
      </w:r>
    </w:p>
    <w:p>
      <w:pPr>
        <w:pStyle w:val="BodyText"/>
        <w:spacing w:before="10"/>
        <w:ind w:left="0"/>
        <w:rPr>
          <w:sz w:val="24"/>
        </w:rPr>
      </w:pPr>
    </w:p>
    <w:p>
      <w:pPr>
        <w:pStyle w:val="BodyText"/>
        <w:spacing w:before="1"/>
        <w:ind w:right="98" w:firstLine="480"/>
      </w:pPr>
      <w:r>
        <w:rPr>
          <w:spacing w:val="-10"/>
        </w:rPr>
        <w:t>投保人在申请投保时，应将与法定身份证件相符的被保险人的出生日期在投保书上填明， </w:t>
      </w:r>
      <w:r>
        <w:rPr>
          <w:spacing w:val="-7"/>
        </w:rPr>
        <w:t>如果发生错误按照下列方式办理：</w:t>
      </w:r>
    </w:p>
    <w:p>
      <w:pPr>
        <w:pStyle w:val="BodyText"/>
        <w:ind w:right="204" w:firstLine="480"/>
        <w:jc w:val="both"/>
      </w:pPr>
      <w:r>
        <w:rPr>
          <w:spacing w:val="-15"/>
        </w:rPr>
        <w:t>（1）</w:t>
      </w:r>
      <w:r>
        <w:rPr>
          <w:spacing w:val="-8"/>
        </w:rPr>
        <w:t>投保人申报的被保险人年龄不真实，并且其真实年龄不符合本合同约定投保年龄限</w:t>
      </w:r>
      <w:r>
        <w:rPr>
          <w:spacing w:val="-6"/>
        </w:rPr>
        <w:t>制的，在保险事故发生之前本公司有权解除合同，并向投保人退还现金价值净额。</w:t>
      </w:r>
    </w:p>
    <w:p>
      <w:pPr>
        <w:pStyle w:val="BodyText"/>
        <w:spacing w:line="237" w:lineRule="auto" w:before="7"/>
        <w:ind w:right="204" w:firstLine="480"/>
        <w:jc w:val="both"/>
      </w:pPr>
      <w:r>
        <w:rPr>
          <w:spacing w:val="-10"/>
        </w:rPr>
        <w:t>（2）</w:t>
      </w:r>
      <w:r>
        <w:rPr>
          <w:spacing w:val="-8"/>
        </w:rPr>
        <w:t>投保人申报的被保险人年龄不真实，致使投保人实付保险费少于应付保险费的，本</w:t>
      </w:r>
      <w:r>
        <w:rPr>
          <w:spacing w:val="-7"/>
        </w:rPr>
        <w:t>公司有权更正并要求投保人补交保险费。若已经发生保险事故，在给付保险金时按实付保险</w:t>
      </w:r>
      <w:r>
        <w:rPr>
          <w:spacing w:val="-6"/>
        </w:rPr>
        <w:t>费和应付保险费的比例给付。</w:t>
      </w:r>
    </w:p>
    <w:p>
      <w:pPr>
        <w:pStyle w:val="BodyText"/>
        <w:ind w:right="204" w:firstLine="480"/>
        <w:jc w:val="both"/>
      </w:pPr>
      <w:r>
        <w:rPr>
          <w:spacing w:val="-10"/>
        </w:rPr>
        <w:t>（3）</w:t>
      </w:r>
      <w:r>
        <w:rPr>
          <w:spacing w:val="-8"/>
        </w:rPr>
        <w:t>投保人申报的被保险人年龄不真实，致使投保人实付保险费多于应付保险费的，本</w:t>
      </w:r>
      <w:r>
        <w:rPr>
          <w:spacing w:val="-6"/>
        </w:rPr>
        <w:t>公司会将多收的保险费无息退还给投保人。</w:t>
      </w:r>
    </w:p>
    <w:p>
      <w:pPr>
        <w:pStyle w:val="BodyText"/>
        <w:spacing w:before="5"/>
        <w:ind w:left="0"/>
        <w:rPr>
          <w:sz w:val="22"/>
        </w:rPr>
      </w:pPr>
    </w:p>
    <w:p>
      <w:pPr>
        <w:pStyle w:val="BodyText"/>
      </w:pPr>
      <w:r>
        <w:rPr/>
        <w:t>第四条【资料的提供与保存】</w:t>
      </w:r>
    </w:p>
    <w:p>
      <w:pPr>
        <w:pStyle w:val="BodyText"/>
        <w:spacing w:before="10"/>
        <w:ind w:left="0"/>
        <w:rPr>
          <w:sz w:val="24"/>
        </w:rPr>
      </w:pPr>
    </w:p>
    <w:p>
      <w:pPr>
        <w:pStyle w:val="BodyText"/>
        <w:ind w:right="204" w:firstLine="480"/>
        <w:jc w:val="both"/>
      </w:pPr>
      <w:r>
        <w:rPr>
          <w:spacing w:val="-5"/>
        </w:rPr>
        <w:t>投保人应保存每一被保险人的个人资料，详细记录其姓名、性别、年龄、出生日期、有效证件号码、交费金额以及其它与本合同有关的一切资料。投保人应按本公司的要求提供上述资料。</w:t>
      </w:r>
    </w:p>
    <w:p>
      <w:pPr>
        <w:pStyle w:val="BodyText"/>
        <w:spacing w:before="2"/>
        <w:ind w:left="0"/>
        <w:rPr>
          <w:sz w:val="22"/>
        </w:rPr>
      </w:pPr>
    </w:p>
    <w:p>
      <w:pPr>
        <w:pStyle w:val="BodyText"/>
        <w:spacing w:before="1"/>
      </w:pPr>
      <w:r>
        <w:rPr/>
        <w:t>第五条【保险合同的中止】</w:t>
      </w:r>
    </w:p>
    <w:p>
      <w:pPr>
        <w:spacing w:after="0"/>
        <w:sectPr>
          <w:footerReference w:type="default" r:id="rId5"/>
          <w:type w:val="continuous"/>
          <w:pgSz w:w="11910" w:h="16840"/>
          <w:pgMar w:footer="929" w:top="1500" w:bottom="1120" w:left="1640" w:right="1460"/>
          <w:pgNumType w:start="1"/>
        </w:sectPr>
      </w:pPr>
    </w:p>
    <w:p>
      <w:pPr>
        <w:pStyle w:val="BodyText"/>
        <w:spacing w:line="523" w:lineRule="auto" w:before="7"/>
        <w:ind w:right="98" w:firstLine="480"/>
      </w:pPr>
      <w:r>
        <w:rPr>
          <w:spacing w:val="-9"/>
        </w:rPr>
        <w:t>若本合同因其他条款所列情况而导致效力中止，在效力中止期间，我们不承担保险责任。</w:t>
      </w:r>
      <w:r>
        <w:rPr/>
        <w:t>第六条【被保险人的变动】</w:t>
      </w:r>
    </w:p>
    <w:p>
      <w:pPr>
        <w:pStyle w:val="BodyText"/>
        <w:spacing w:before="77"/>
        <w:ind w:right="204" w:firstLine="480"/>
      </w:pPr>
      <w:r>
        <w:rPr>
          <w:spacing w:val="-7"/>
        </w:rPr>
        <w:t>一、 投保人因团体成员变动需要增加被保险人的，应以书面形式或本公司认可的其它形</w:t>
      </w:r>
      <w:r>
        <w:rPr>
          <w:spacing w:val="-6"/>
        </w:rPr>
        <w:t>式通知本公司，经本公司审核同意，于收取保险费的次日零时起开始承担保险责任。</w:t>
      </w:r>
    </w:p>
    <w:p>
      <w:pPr>
        <w:pStyle w:val="BodyText"/>
        <w:ind w:right="98" w:firstLine="480"/>
      </w:pPr>
      <w:r>
        <w:rPr>
          <w:spacing w:val="-10"/>
        </w:rPr>
        <w:t>二、投保人因被保险人离职或其它原因需要减少被保险人的，应以书面形式通知本公司， </w:t>
      </w:r>
      <w:r>
        <w:rPr>
          <w:spacing w:val="-9"/>
        </w:rPr>
        <w:t>在本合同生效后，投保人可以随时申请减少被保险人。本公司收到减少被保险人申请书时， </w:t>
      </w:r>
      <w:r>
        <w:rPr>
          <w:spacing w:val="-8"/>
        </w:rPr>
        <w:t>本合同对该被保险人所承担的保险责任终止。本公司于收到下列证明和材料之日起三十日内</w:t>
      </w:r>
      <w:r>
        <w:rPr>
          <w:spacing w:val="-6"/>
        </w:rPr>
        <w:t>向投保人退还该被保险人的现金价值净额。</w:t>
      </w:r>
    </w:p>
    <w:p>
      <w:pPr>
        <w:pStyle w:val="BodyText"/>
        <w:spacing w:line="268" w:lineRule="exact" w:before="6"/>
        <w:ind w:left="596"/>
      </w:pPr>
      <w:r>
        <w:rPr/>
        <w:t>投保人要求减少被保险人时，应提供下列证明和材料：</w:t>
      </w:r>
    </w:p>
    <w:p>
      <w:pPr>
        <w:pStyle w:val="ListParagraph"/>
        <w:numPr>
          <w:ilvl w:val="0"/>
          <w:numId w:val="1"/>
        </w:numPr>
        <w:tabs>
          <w:tab w:pos="1019" w:val="left" w:leader="none"/>
          <w:tab w:pos="1020" w:val="left" w:leader="none"/>
        </w:tabs>
        <w:spacing w:line="274" w:lineRule="exact" w:before="0" w:after="0"/>
        <w:ind w:left="116" w:right="0" w:firstLine="480"/>
        <w:jc w:val="left"/>
        <w:rPr>
          <w:sz w:val="21"/>
        </w:rPr>
      </w:pPr>
      <w:r>
        <w:rPr>
          <w:spacing w:val="-2"/>
          <w:sz w:val="21"/>
        </w:rPr>
        <w:t>该被保险人的分保险单</w:t>
      </w:r>
    </w:p>
    <w:p>
      <w:pPr>
        <w:pStyle w:val="ListParagraph"/>
        <w:numPr>
          <w:ilvl w:val="0"/>
          <w:numId w:val="1"/>
        </w:numPr>
        <w:tabs>
          <w:tab w:pos="1019" w:val="left" w:leader="none"/>
          <w:tab w:pos="1020" w:val="left" w:leader="none"/>
        </w:tabs>
        <w:spacing w:line="271" w:lineRule="exact" w:before="0" w:after="0"/>
        <w:ind w:left="116" w:right="0" w:firstLine="480"/>
        <w:jc w:val="left"/>
        <w:rPr>
          <w:sz w:val="21"/>
        </w:rPr>
      </w:pPr>
      <w:r>
        <w:rPr>
          <w:spacing w:val="-3"/>
          <w:sz w:val="21"/>
        </w:rPr>
        <w:t>减少被保险人申请书；</w:t>
      </w:r>
    </w:p>
    <w:p>
      <w:pPr>
        <w:pStyle w:val="ListParagraph"/>
        <w:numPr>
          <w:ilvl w:val="0"/>
          <w:numId w:val="1"/>
        </w:numPr>
        <w:tabs>
          <w:tab w:pos="1019" w:val="left" w:leader="none"/>
          <w:tab w:pos="1020" w:val="left" w:leader="none"/>
        </w:tabs>
        <w:spacing w:line="499" w:lineRule="auto" w:before="0" w:after="0"/>
        <w:ind w:left="116" w:right="1692" w:firstLine="480"/>
        <w:jc w:val="left"/>
        <w:rPr>
          <w:sz w:val="21"/>
        </w:rPr>
      </w:pPr>
      <w:r>
        <w:rPr>
          <w:spacing w:val="-5"/>
          <w:sz w:val="21"/>
        </w:rPr>
        <w:t>投保人出具的证明该被保险人因离职或其它原因退出团体的文件。</w:t>
      </w:r>
      <w:r>
        <w:rPr>
          <w:spacing w:val="-1"/>
          <w:sz w:val="21"/>
        </w:rPr>
        <w:t>第七条【受益人的指定与变更】</w:t>
      </w:r>
    </w:p>
    <w:p>
      <w:pPr>
        <w:pStyle w:val="BodyText"/>
        <w:spacing w:line="235" w:lineRule="auto" w:before="68"/>
        <w:ind w:right="208" w:firstLine="422"/>
      </w:pPr>
      <w:r>
        <w:rPr/>
        <w:t>被保险人可指定一人或数人为身故保险金受益人。受益人为数人时，应确定受益顺序和受益份额；未确定受益顺序和受益份额的，各受益人按照相等份额享有同等顺位受益权。</w:t>
      </w:r>
    </w:p>
    <w:p>
      <w:pPr>
        <w:pStyle w:val="BodyText"/>
        <w:ind w:right="208" w:firstLine="422"/>
      </w:pPr>
      <w:r>
        <w:rPr/>
        <w:t>其他保险金受益人是指身故保险金受益人以外的保险金受益人，除另有约定外，其它保险金受益人为被保险人本人。</w:t>
      </w:r>
    </w:p>
    <w:p>
      <w:pPr>
        <w:pStyle w:val="BodyText"/>
        <w:spacing w:line="235" w:lineRule="auto" w:before="5"/>
        <w:ind w:right="208" w:firstLine="422"/>
      </w:pPr>
      <w:r>
        <w:rPr/>
        <w:t>在本合同有效期内，被保险人可以变更受益人并书面通知本公司，本公司在收到变更受益人的书面通知后，应当做出批注。</w:t>
      </w:r>
    </w:p>
    <w:p>
      <w:pPr>
        <w:pStyle w:val="BodyText"/>
        <w:spacing w:line="273" w:lineRule="exact"/>
        <w:ind w:left="539"/>
      </w:pPr>
      <w:r>
        <w:rPr/>
        <w:t>有下列情形之一的，本合同应付的身故保险金视为被保险人的遗产：</w:t>
      </w:r>
    </w:p>
    <w:p>
      <w:pPr>
        <w:pStyle w:val="BodyText"/>
        <w:spacing w:line="274" w:lineRule="exact"/>
        <w:ind w:left="539"/>
      </w:pPr>
      <w:r>
        <w:rPr/>
        <w:t>（一） 没有指定受益人，或者受益人指定不明无法确定的；</w:t>
      </w:r>
    </w:p>
    <w:p>
      <w:pPr>
        <w:pStyle w:val="BodyText"/>
        <w:spacing w:line="271" w:lineRule="exact"/>
        <w:ind w:left="539"/>
      </w:pPr>
      <w:r>
        <w:rPr/>
        <w:t>（二） 受益人先于被保险人死亡，没有其他受益人的；</w:t>
      </w:r>
    </w:p>
    <w:p>
      <w:pPr>
        <w:pStyle w:val="BodyText"/>
        <w:spacing w:line="272" w:lineRule="exact"/>
        <w:ind w:left="539"/>
      </w:pPr>
      <w:r>
        <w:rPr/>
        <w:t>（三） 受益人依法丧失受益权或者放弃受益权，没有其他受益人的。</w:t>
      </w:r>
    </w:p>
    <w:p>
      <w:pPr>
        <w:pStyle w:val="BodyText"/>
        <w:spacing w:line="273" w:lineRule="auto" w:before="22"/>
        <w:ind w:right="280" w:firstLine="422"/>
      </w:pPr>
      <w:r>
        <w:rPr/>
        <w:t>受益人与被保险人在同一事件中死亡，且不能确定死亡先后顺序的，推定受益人死亡在先。</w:t>
      </w:r>
    </w:p>
    <w:p>
      <w:pPr>
        <w:pStyle w:val="BodyText"/>
        <w:spacing w:line="274" w:lineRule="exact" w:before="10"/>
        <w:ind w:right="208" w:firstLine="422"/>
      </w:pPr>
      <w:r>
        <w:rPr/>
        <w:t>受益人故意造成被保险人身故、伤残、疾病的，或者故意杀害被保险人未遂的，该受益人丧失受益权。</w:t>
      </w:r>
    </w:p>
    <w:p>
      <w:pPr>
        <w:pStyle w:val="BodyText"/>
        <w:spacing w:before="5"/>
        <w:ind w:left="0"/>
        <w:rPr>
          <w:sz w:val="20"/>
        </w:rPr>
      </w:pPr>
    </w:p>
    <w:p>
      <w:pPr>
        <w:pStyle w:val="BodyText"/>
      </w:pPr>
      <w:r>
        <w:rPr/>
        <w:t>第八条【通讯地址变更】</w:t>
      </w:r>
    </w:p>
    <w:p>
      <w:pPr>
        <w:pStyle w:val="BodyText"/>
        <w:spacing w:before="10"/>
        <w:ind w:left="0"/>
        <w:rPr>
          <w:sz w:val="24"/>
        </w:rPr>
      </w:pPr>
    </w:p>
    <w:p>
      <w:pPr>
        <w:pStyle w:val="BodyText"/>
        <w:ind w:left="117" w:right="207" w:firstLine="422"/>
      </w:pPr>
      <w:r>
        <w:rPr/>
        <w:t>投保人通讯地址变更时，应及时以书面形式通知本公司。投保人未作前述通知的，本公司按本合同载明的最后通讯地址发送的有关通知，均视为已送达投保人。</w:t>
      </w:r>
    </w:p>
    <w:p>
      <w:pPr>
        <w:pStyle w:val="BodyText"/>
        <w:spacing w:before="2"/>
        <w:ind w:left="0"/>
        <w:rPr>
          <w:sz w:val="22"/>
        </w:rPr>
      </w:pPr>
    </w:p>
    <w:p>
      <w:pPr>
        <w:pStyle w:val="BodyText"/>
        <w:spacing w:before="1"/>
        <w:ind w:left="117"/>
      </w:pPr>
      <w:r>
        <w:rPr/>
        <w:t>第九条【合同内容变更】</w:t>
      </w:r>
    </w:p>
    <w:p>
      <w:pPr>
        <w:pStyle w:val="BodyText"/>
        <w:spacing w:before="11"/>
        <w:ind w:left="0"/>
        <w:rPr>
          <w:sz w:val="24"/>
        </w:rPr>
      </w:pPr>
    </w:p>
    <w:p>
      <w:pPr>
        <w:pStyle w:val="BodyText"/>
        <w:ind w:left="117" w:right="207" w:firstLine="422"/>
      </w:pPr>
      <w:r>
        <w:rPr/>
        <w:t>投保人在本合同有效期内，符合本公司的规定，可申请变更本合同内容，经本公司同意并在本合同上批注后生效。</w:t>
      </w:r>
    </w:p>
    <w:p>
      <w:pPr>
        <w:pStyle w:val="BodyText"/>
        <w:spacing w:before="8"/>
        <w:ind w:left="0"/>
        <w:rPr>
          <w:sz w:val="22"/>
        </w:rPr>
      </w:pPr>
    </w:p>
    <w:p>
      <w:pPr>
        <w:pStyle w:val="BodyText"/>
        <w:ind w:left="117"/>
      </w:pPr>
      <w:r>
        <w:rPr/>
        <w:t>第十条【合同解除权】</w:t>
      </w:r>
    </w:p>
    <w:p>
      <w:pPr>
        <w:pStyle w:val="BodyText"/>
        <w:ind w:left="0"/>
        <w:rPr>
          <w:sz w:val="25"/>
        </w:rPr>
      </w:pPr>
    </w:p>
    <w:p>
      <w:pPr>
        <w:pStyle w:val="BodyText"/>
        <w:spacing w:line="237" w:lineRule="auto"/>
        <w:ind w:left="117" w:right="212" w:firstLine="422"/>
        <w:jc w:val="both"/>
      </w:pPr>
      <w:r>
        <w:rPr/>
        <w:t>在本合同有效期内，您可以申请解除本合同。本公司收到解除合同申请书时，本合同终止。为了能够更清楚地了解相关的保险条款和内容，以及有更多的考虑时间，自投保人签收本合同之日起十天内为犹豫期。</w:t>
      </w:r>
    </w:p>
    <w:p>
      <w:pPr>
        <w:pStyle w:val="BodyText"/>
        <w:spacing w:line="274" w:lineRule="exact"/>
        <w:ind w:left="539"/>
      </w:pPr>
      <w:r>
        <w:rPr/>
        <w:t>一、若投保人在犹豫期内要求解除本合同，本公司将于收到本条第三款所列的证明材料</w:t>
      </w:r>
    </w:p>
    <w:p>
      <w:pPr>
        <w:spacing w:after="0" w:line="274" w:lineRule="exact"/>
        <w:sectPr>
          <w:pgSz w:w="11910" w:h="16840"/>
          <w:pgMar w:header="0" w:footer="929" w:top="1380" w:bottom="1200" w:left="1640" w:right="1460"/>
        </w:sectPr>
      </w:pPr>
    </w:p>
    <w:p>
      <w:pPr>
        <w:pStyle w:val="BodyText"/>
        <w:spacing w:line="274" w:lineRule="exact" w:before="7"/>
      </w:pPr>
      <w:r>
        <w:rPr/>
        <w:t>后无息退还已收的全部保险费。</w:t>
      </w:r>
    </w:p>
    <w:p>
      <w:pPr>
        <w:pStyle w:val="BodyText"/>
        <w:ind w:right="248" w:firstLine="422"/>
      </w:pPr>
      <w:r>
        <w:rPr/>
        <w:t>二、若投保人在犹豫期后要求解除本合同，本公司在收到本条第三款所列的证明材料后三十日内退还本合同终止时的保险单现金价值净额。</w:t>
      </w:r>
    </w:p>
    <w:p>
      <w:pPr>
        <w:pStyle w:val="BodyText"/>
        <w:spacing w:line="268" w:lineRule="exact" w:before="1"/>
        <w:ind w:left="539"/>
      </w:pPr>
      <w:r>
        <w:rPr/>
        <w:t>三、投保人要求解除本合同时，应提供下列证明和材料：</w:t>
      </w:r>
    </w:p>
    <w:p>
      <w:pPr>
        <w:pStyle w:val="BodyText"/>
        <w:spacing w:line="274" w:lineRule="exact"/>
        <w:ind w:left="956"/>
      </w:pPr>
      <w:r>
        <w:rPr/>
        <w:t>1.本合同；</w:t>
      </w:r>
    </w:p>
    <w:p>
      <w:pPr>
        <w:pStyle w:val="BodyText"/>
        <w:spacing w:line="274" w:lineRule="exact"/>
        <w:ind w:left="956"/>
      </w:pPr>
      <w:r>
        <w:rPr/>
        <w:t>2.解除合同申请书；</w:t>
      </w:r>
    </w:p>
    <w:p>
      <w:pPr>
        <w:pStyle w:val="BodyText"/>
        <w:spacing w:line="494" w:lineRule="auto"/>
        <w:ind w:right="1794" w:firstLine="839"/>
      </w:pPr>
      <w:r>
        <w:rPr/>
        <w:t>3.据监管或法律规定，本公司需要的投保人能够提供的证明材料。第十一条 【保险事故通知】</w:t>
      </w:r>
    </w:p>
    <w:p>
      <w:pPr>
        <w:pStyle w:val="BodyText"/>
        <w:spacing w:line="237" w:lineRule="auto" w:before="106"/>
        <w:ind w:right="248" w:firstLine="422"/>
        <w:jc w:val="both"/>
      </w:pPr>
      <w:r>
        <w:rPr/>
        <w:t>被保险人或受益人应于知道保险事故发生之日起及时通知本公司，否则由于通知延误， 导致必要证据丧失或事故性质、原因无法认定的，本公司对无法认定的部分不承担赔偿或者给付保险金的责任；同时，因此致使本公司增加的勘查、检验等项费用应从给付的保险金中扣除，但因不可抗力导致延误的除外。</w:t>
      </w:r>
    </w:p>
    <w:p>
      <w:pPr>
        <w:pStyle w:val="BodyText"/>
        <w:ind w:left="0"/>
        <w:rPr>
          <w:sz w:val="20"/>
        </w:rPr>
      </w:pPr>
    </w:p>
    <w:p>
      <w:pPr>
        <w:pStyle w:val="BodyText"/>
        <w:spacing w:before="6"/>
        <w:ind w:left="0"/>
        <w:rPr>
          <w:sz w:val="23"/>
        </w:rPr>
      </w:pPr>
    </w:p>
    <w:p>
      <w:pPr>
        <w:pStyle w:val="BodyText"/>
        <w:spacing w:before="1"/>
      </w:pPr>
      <w:r>
        <w:rPr/>
        <w:t>第十二条 【索赔时效】</w:t>
      </w:r>
    </w:p>
    <w:p>
      <w:pPr>
        <w:pStyle w:val="BodyText"/>
        <w:spacing w:before="11"/>
        <w:ind w:left="0"/>
        <w:rPr>
          <w:sz w:val="24"/>
        </w:rPr>
      </w:pPr>
    </w:p>
    <w:p>
      <w:pPr>
        <w:pStyle w:val="BodyText"/>
        <w:spacing w:line="259" w:lineRule="auto"/>
        <w:ind w:right="248" w:firstLine="422"/>
      </w:pPr>
      <w:r>
        <w:rPr/>
        <w:t>本合同的索赔权利人向本公司请求给付保险金的诉讼时效期间为两年，自其知道或应当知道保险事故发生之日起计算。</w:t>
      </w:r>
    </w:p>
    <w:p>
      <w:pPr>
        <w:pStyle w:val="BodyText"/>
        <w:spacing w:before="7"/>
        <w:ind w:left="0"/>
        <w:rPr>
          <w:sz w:val="23"/>
        </w:rPr>
      </w:pPr>
    </w:p>
    <w:p>
      <w:pPr>
        <w:pStyle w:val="BodyText"/>
      </w:pPr>
      <w:r>
        <w:rPr/>
        <w:t>第十三条 【争议处理】</w:t>
      </w:r>
    </w:p>
    <w:p>
      <w:pPr>
        <w:pStyle w:val="BodyText"/>
        <w:spacing w:before="10"/>
        <w:ind w:left="0"/>
        <w:rPr>
          <w:sz w:val="24"/>
        </w:rPr>
      </w:pPr>
    </w:p>
    <w:p>
      <w:pPr>
        <w:pStyle w:val="BodyText"/>
        <w:spacing w:before="1"/>
        <w:ind w:right="248" w:firstLine="422"/>
      </w:pPr>
      <w:r>
        <w:rPr/>
        <w:t>本合同履行过程中发生任何争议，双方可以首先协商解决。若双方协商无效的，可以依法向人民法院提起诉讼。</w:t>
      </w:r>
    </w:p>
    <w:p>
      <w:pPr>
        <w:pStyle w:val="BodyText"/>
        <w:spacing w:before="3"/>
        <w:ind w:left="0"/>
        <w:rPr>
          <w:sz w:val="22"/>
        </w:rPr>
      </w:pPr>
    </w:p>
    <w:p>
      <w:pPr>
        <w:pStyle w:val="BodyText"/>
      </w:pPr>
      <w:r>
        <w:rPr/>
        <w:t>第十四条 【法律适用】</w:t>
      </w:r>
    </w:p>
    <w:p>
      <w:pPr>
        <w:pStyle w:val="BodyText"/>
        <w:spacing w:before="8"/>
        <w:ind w:left="0"/>
        <w:rPr>
          <w:sz w:val="26"/>
        </w:rPr>
      </w:pPr>
    </w:p>
    <w:p>
      <w:pPr>
        <w:pStyle w:val="BodyText"/>
        <w:spacing w:before="1"/>
        <w:ind w:left="539"/>
      </w:pPr>
      <w:r>
        <w:rPr/>
        <w:t>一切产生于本合同或与本合同有关的争议，应由中华人民共和国法律管辖，并据之解释。</w:t>
      </w:r>
    </w:p>
    <w:p>
      <w:pPr>
        <w:pStyle w:val="BodyText"/>
        <w:ind w:left="0"/>
        <w:rPr>
          <w:sz w:val="28"/>
        </w:rPr>
      </w:pPr>
    </w:p>
    <w:p>
      <w:pPr>
        <w:pStyle w:val="Heading1"/>
        <w:ind w:left="3822" w:right="3924"/>
      </w:pPr>
      <w:r>
        <w:rPr>
          <w:w w:val="95"/>
        </w:rPr>
        <w:t>保单条款</w:t>
      </w:r>
    </w:p>
    <w:p>
      <w:pPr>
        <w:pStyle w:val="BodyText"/>
        <w:spacing w:before="16"/>
        <w:ind w:left="0"/>
        <w:rPr>
          <w:rFonts w:ascii="微软雅黑"/>
          <w:b/>
          <w:sz w:val="22"/>
        </w:rPr>
      </w:pPr>
    </w:p>
    <w:p>
      <w:pPr>
        <w:pStyle w:val="BodyText"/>
      </w:pPr>
      <w:r>
        <w:rPr/>
        <w:t>第十五条 【保险责任】</w:t>
      </w:r>
    </w:p>
    <w:p>
      <w:pPr>
        <w:pStyle w:val="BodyText"/>
        <w:spacing w:line="540" w:lineRule="atLeast" w:before="59"/>
        <w:ind w:left="539" w:right="1160"/>
      </w:pPr>
      <w:r>
        <w:rPr/>
        <w:t>在每一位被保险人的有效保险期间内，本公司对被保险人承担下列保险责任： 一、重大疾病保险金</w:t>
      </w:r>
    </w:p>
    <w:p>
      <w:pPr>
        <w:pStyle w:val="BodyText"/>
        <w:ind w:right="243" w:firstLine="360"/>
      </w:pPr>
      <w:r>
        <w:rPr/>
        <w:t>1.</w:t>
      </w:r>
      <w:r>
        <w:rPr>
          <w:spacing w:val="-7"/>
        </w:rPr>
        <w:t>被保险人于保险期间开始之日起九十天内</w:t>
      </w:r>
      <w:r>
        <w:rPr/>
        <w:t>（</w:t>
      </w:r>
      <w:r>
        <w:rPr>
          <w:spacing w:val="-2"/>
        </w:rPr>
        <w:t>含九十天</w:t>
      </w:r>
      <w:r>
        <w:rPr>
          <w:spacing w:val="-34"/>
        </w:rPr>
        <w:t>）</w:t>
      </w:r>
      <w:r>
        <w:rPr>
          <w:spacing w:val="-5"/>
        </w:rPr>
        <w:t>初次患有本合同约定的一项或多项重大疾病且申请理赔时仍生存，本公司向被保险人无息返还所交保险费。本公司对该被保险人的保险责任终止。</w:t>
      </w:r>
    </w:p>
    <w:p>
      <w:pPr>
        <w:pStyle w:val="BodyText"/>
        <w:ind w:right="321" w:firstLine="360"/>
        <w:jc w:val="both"/>
      </w:pPr>
      <w:r>
        <w:rPr/>
        <w:t>2.</w:t>
      </w:r>
      <w:r>
        <w:rPr>
          <w:spacing w:val="-5"/>
        </w:rPr>
        <w:t>被保险人于保险期间开始之日起九十天后后初次患有本合同约定的一项或多项重大疾病，本公司按保险金额向被保险人给付重大疾病保险金。本公司对该被保险人的保险责任终止</w:t>
      </w:r>
    </w:p>
    <w:p>
      <w:pPr>
        <w:pStyle w:val="BodyText"/>
        <w:spacing w:before="9"/>
        <w:ind w:left="0"/>
        <w:rPr>
          <w:sz w:val="20"/>
        </w:rPr>
      </w:pPr>
    </w:p>
    <w:p>
      <w:pPr>
        <w:pStyle w:val="BodyText"/>
        <w:spacing w:line="274" w:lineRule="exact" w:before="1"/>
        <w:ind w:left="476"/>
      </w:pPr>
      <w:r>
        <w:rPr/>
        <w:t>二、身故保险金</w:t>
      </w:r>
    </w:p>
    <w:p>
      <w:pPr>
        <w:pStyle w:val="BodyText"/>
        <w:ind w:right="243" w:firstLine="360"/>
      </w:pPr>
      <w:r>
        <w:rPr/>
        <w:t>1.</w:t>
      </w:r>
      <w:r>
        <w:rPr>
          <w:spacing w:val="-7"/>
        </w:rPr>
        <w:t>被保险人于保险期间开始之日起九十天内</w:t>
      </w:r>
      <w:r>
        <w:rPr/>
        <w:t>（</w:t>
      </w:r>
      <w:r>
        <w:rPr>
          <w:spacing w:val="-3"/>
        </w:rPr>
        <w:t>含九十天</w:t>
      </w:r>
      <w:r>
        <w:rPr>
          <w:spacing w:val="-24"/>
        </w:rPr>
        <w:t>）</w:t>
      </w:r>
      <w:r>
        <w:rPr>
          <w:spacing w:val="-6"/>
        </w:rPr>
        <w:t>因疾病导致身故，本公司向身故</w:t>
      </w:r>
      <w:r>
        <w:rPr>
          <w:spacing w:val="-5"/>
        </w:rPr>
        <w:t>保险金受益人无息返还所交保险费。本公司对该被保险人的保险责任终止。</w:t>
      </w:r>
    </w:p>
    <w:p>
      <w:pPr>
        <w:spacing w:after="0"/>
        <w:sectPr>
          <w:pgSz w:w="11910" w:h="16840"/>
          <w:pgMar w:header="0" w:footer="929" w:top="1380" w:bottom="1200" w:left="1640" w:right="1420"/>
        </w:sectPr>
      </w:pPr>
    </w:p>
    <w:p>
      <w:pPr>
        <w:pStyle w:val="BodyText"/>
        <w:spacing w:before="7"/>
        <w:ind w:right="257" w:firstLine="360"/>
        <w:jc w:val="both"/>
      </w:pPr>
      <w:r>
        <w:rPr/>
        <w:t>2.</w:t>
      </w:r>
      <w:r>
        <w:rPr>
          <w:spacing w:val="-5"/>
        </w:rPr>
        <w:t>被保险人于保险期间开始后因意外身故，或于保险期间开始之日起九十天后因疾病(该疾病不包括前款所述的重大疾病</w:t>
      </w:r>
      <w:r>
        <w:rPr/>
        <w:t>）</w:t>
      </w:r>
      <w:r>
        <w:rPr>
          <w:spacing w:val="-5"/>
        </w:rPr>
        <w:t>导致身故，本公司按保险金额向身故保险金受益人给付身故保险金。本公司对该被保险人的保险责任终止。</w:t>
      </w:r>
    </w:p>
    <w:p>
      <w:pPr>
        <w:pStyle w:val="BodyText"/>
        <w:spacing w:before="3"/>
        <w:ind w:left="0"/>
        <w:rPr>
          <w:sz w:val="22"/>
        </w:rPr>
      </w:pPr>
    </w:p>
    <w:p>
      <w:pPr>
        <w:pStyle w:val="BodyText"/>
      </w:pPr>
      <w:r>
        <w:rPr/>
        <w:t>第十六条 【责任免除】</w:t>
      </w:r>
    </w:p>
    <w:p>
      <w:pPr>
        <w:pStyle w:val="BodyText"/>
        <w:spacing w:before="8"/>
        <w:ind w:left="0"/>
        <w:rPr>
          <w:sz w:val="26"/>
        </w:rPr>
      </w:pPr>
    </w:p>
    <w:p>
      <w:pPr>
        <w:pStyle w:val="BodyText"/>
        <w:spacing w:line="273" w:lineRule="auto"/>
        <w:ind w:left="107" w:right="104" w:firstLine="422"/>
        <w:rPr>
          <w:rFonts w:ascii="黑体" w:eastAsia="黑体" w:hint="eastAsia"/>
        </w:rPr>
      </w:pPr>
      <w:r>
        <w:rPr>
          <w:rFonts w:ascii="黑体" w:eastAsia="黑体" w:hint="eastAsia"/>
          <w:spacing w:val="-7"/>
        </w:rPr>
        <w:t>根据中国保险行业协会制定的《重大疾病保险的疾病定义使用规范》，因下列情形之一导</w:t>
      </w:r>
      <w:r>
        <w:rPr>
          <w:rFonts w:ascii="黑体" w:eastAsia="黑体" w:hint="eastAsia"/>
          <w:spacing w:val="-6"/>
        </w:rPr>
        <w:t>致被保险人发</w:t>
      </w:r>
      <w:r>
        <w:rPr>
          <w:rFonts w:ascii="黑体" w:eastAsia="黑体" w:hint="eastAsia"/>
        </w:rPr>
        <w:t>Th</w:t>
      </w:r>
      <w:r>
        <w:rPr>
          <w:rFonts w:ascii="黑体" w:eastAsia="黑体" w:hint="eastAsia"/>
          <w:spacing w:val="-5"/>
        </w:rPr>
        <w:t>疾病、达到疾病状态或进行手术的，本公司不承担给付重大疾病保险金责任：</w:t>
      </w:r>
    </w:p>
    <w:p>
      <w:pPr>
        <w:pStyle w:val="BodyText"/>
        <w:spacing w:before="7"/>
        <w:ind w:left="529"/>
        <w:rPr>
          <w:rFonts w:ascii="黑体" w:eastAsia="黑体" w:hint="eastAsia"/>
        </w:rPr>
      </w:pPr>
      <w:r>
        <w:rPr>
          <w:rFonts w:ascii="黑体" w:eastAsia="黑体" w:hint="eastAsia"/>
        </w:rPr>
        <w:t>1、 被保险人故意犯罪、拒捕、斗殴、自杀、自伤身体及服用、吸食或注射毒品；</w:t>
      </w:r>
    </w:p>
    <w:p>
      <w:pPr>
        <w:pStyle w:val="BodyText"/>
        <w:spacing w:before="37"/>
        <w:ind w:left="529"/>
        <w:rPr>
          <w:rFonts w:ascii="黑体" w:eastAsia="黑体" w:hint="eastAsia"/>
        </w:rPr>
      </w:pPr>
      <w:r>
        <w:rPr>
          <w:rFonts w:ascii="黑体" w:eastAsia="黑体" w:hint="eastAsia"/>
        </w:rPr>
        <w:t>2、 被保险人酒后驾驶、无合法有效驾驶证驾驶，或驾驶无有效行驶证的机动车；</w:t>
      </w:r>
    </w:p>
    <w:p>
      <w:pPr>
        <w:pStyle w:val="BodyText"/>
        <w:spacing w:line="273" w:lineRule="auto" w:before="37"/>
        <w:ind w:left="889" w:right="194" w:hanging="361"/>
        <w:rPr>
          <w:rFonts w:ascii="黑体" w:eastAsia="黑体" w:hint="eastAsia"/>
        </w:rPr>
      </w:pPr>
      <w:r>
        <w:rPr>
          <w:rFonts w:ascii="黑体" w:eastAsia="黑体" w:hint="eastAsia"/>
        </w:rPr>
        <w:t>3</w:t>
      </w:r>
      <w:r>
        <w:rPr>
          <w:rFonts w:ascii="黑体" w:eastAsia="黑体" w:hint="eastAsia"/>
          <w:spacing w:val="-9"/>
        </w:rPr>
        <w:t>、 被保险人感染艾滋病病毒或患艾滋病，但不包括【名词释义】中所定义的由输血或输</w:t>
      </w:r>
      <w:r>
        <w:rPr>
          <w:rFonts w:ascii="黑体" w:eastAsia="黑体" w:hint="eastAsia"/>
          <w:spacing w:val="-7"/>
        </w:rPr>
        <w:t>液而感染艾滋病病毒；</w:t>
      </w:r>
    </w:p>
    <w:p>
      <w:pPr>
        <w:pStyle w:val="BodyText"/>
        <w:spacing w:before="7"/>
        <w:ind w:left="529"/>
        <w:rPr>
          <w:rFonts w:ascii="黑体" w:eastAsia="黑体" w:hint="eastAsia"/>
        </w:rPr>
      </w:pPr>
      <w:r>
        <w:rPr>
          <w:rFonts w:ascii="黑体" w:eastAsia="黑体" w:hint="eastAsia"/>
        </w:rPr>
        <w:t>4、 战争、军事冲突、暴乱或武装叛乱；</w:t>
      </w:r>
    </w:p>
    <w:p>
      <w:pPr>
        <w:pStyle w:val="BodyText"/>
        <w:spacing w:before="36"/>
        <w:ind w:left="529"/>
        <w:rPr>
          <w:rFonts w:ascii="黑体" w:eastAsia="黑体" w:hint="eastAsia"/>
        </w:rPr>
      </w:pPr>
      <w:r>
        <w:rPr>
          <w:rFonts w:ascii="黑体" w:eastAsia="黑体" w:hint="eastAsia"/>
        </w:rPr>
        <w:t>5、 核爆炸、核辐射或核污染；</w:t>
      </w:r>
    </w:p>
    <w:p>
      <w:pPr>
        <w:pStyle w:val="BodyText"/>
        <w:spacing w:before="37"/>
        <w:ind w:left="530"/>
        <w:rPr>
          <w:rFonts w:ascii="黑体" w:eastAsia="黑体" w:hint="eastAsia"/>
        </w:rPr>
      </w:pPr>
      <w:r>
        <w:rPr>
          <w:rFonts w:ascii="黑体" w:eastAsia="黑体" w:hint="eastAsia"/>
        </w:rPr>
        <w:t>6、 遗传性疾病 </w:t>
      </w:r>
      <w:hyperlink w:history="true" w:anchor="_bookmark0">
        <w:r>
          <w:rPr>
            <w:rFonts w:ascii="黑体" w:eastAsia="黑体" w:hint="eastAsia"/>
            <w:position w:val="11"/>
            <w:sz w:val="11"/>
          </w:rPr>
          <w:t>1</w:t>
        </w:r>
      </w:hyperlink>
      <w:r>
        <w:rPr>
          <w:rFonts w:ascii="黑体" w:eastAsia="黑体" w:hint="eastAsia"/>
        </w:rPr>
        <w:t>，先天性畸形、变形或染色体异常 </w:t>
      </w:r>
      <w:hyperlink w:history="true" w:anchor="_bookmark1">
        <w:r>
          <w:rPr>
            <w:rFonts w:ascii="黑体" w:eastAsia="黑体" w:hint="eastAsia"/>
            <w:position w:val="11"/>
            <w:sz w:val="11"/>
          </w:rPr>
          <w:t>2</w:t>
        </w:r>
      </w:hyperlink>
      <w:r>
        <w:rPr>
          <w:rFonts w:ascii="黑体" w:eastAsia="黑体" w:hint="eastAsia"/>
        </w:rPr>
        <w:t>。</w:t>
      </w:r>
    </w:p>
    <w:p>
      <w:pPr>
        <w:pStyle w:val="BodyText"/>
        <w:spacing w:line="273" w:lineRule="auto" w:before="37"/>
        <w:ind w:left="107" w:right="194" w:firstLine="422"/>
        <w:jc w:val="both"/>
        <w:rPr>
          <w:rFonts w:ascii="黑体" w:eastAsia="黑体" w:hint="eastAsia"/>
        </w:rPr>
      </w:pPr>
      <w:r>
        <w:rPr>
          <w:rFonts w:ascii="黑体" w:eastAsia="黑体" w:hint="eastAsia"/>
          <w:spacing w:val="-3"/>
        </w:rPr>
        <w:t>因上述情形之一导致被保险人发</w:t>
      </w:r>
      <w:r>
        <w:rPr>
          <w:rFonts w:ascii="黑体" w:eastAsia="黑体" w:hint="eastAsia"/>
        </w:rPr>
        <w:t>Th</w:t>
      </w:r>
      <w:r>
        <w:rPr>
          <w:rFonts w:ascii="黑体" w:eastAsia="黑体" w:hint="eastAsia"/>
          <w:spacing w:val="-12"/>
        </w:rPr>
        <w:t>疾病、达到疾病状态或进行手术时，本公司对该被保险</w:t>
      </w:r>
      <w:r>
        <w:rPr>
          <w:rFonts w:ascii="黑体" w:eastAsia="黑体" w:hint="eastAsia"/>
          <w:spacing w:val="-14"/>
        </w:rPr>
        <w:t>人的保险责任终止，本公司自收到投保人的减少该被保险人的申请后三十日内退还该被保险人</w:t>
      </w:r>
      <w:r>
        <w:rPr>
          <w:rFonts w:ascii="黑体" w:eastAsia="黑体" w:hint="eastAsia"/>
          <w:spacing w:val="-9"/>
        </w:rPr>
        <w:t>的现金价值净额。</w:t>
      </w:r>
    </w:p>
    <w:p>
      <w:pPr>
        <w:pStyle w:val="BodyText"/>
        <w:spacing w:before="5"/>
        <w:ind w:left="0"/>
        <w:rPr>
          <w:rFonts w:ascii="黑体"/>
          <w:sz w:val="24"/>
        </w:rPr>
      </w:pPr>
    </w:p>
    <w:p>
      <w:pPr>
        <w:pStyle w:val="BodyText"/>
        <w:ind w:left="529"/>
        <w:rPr>
          <w:rFonts w:ascii="黑体" w:eastAsia="黑体" w:hint="eastAsia"/>
        </w:rPr>
      </w:pPr>
      <w:r>
        <w:rPr>
          <w:rFonts w:ascii="黑体" w:eastAsia="黑体" w:hint="eastAsia"/>
        </w:rPr>
        <w:t>因下列情形之一导致被保险人身故的，本公司不承担给付身故保险金责任：</w:t>
      </w:r>
    </w:p>
    <w:p>
      <w:pPr>
        <w:pStyle w:val="BodyText"/>
        <w:spacing w:before="36"/>
        <w:ind w:left="529"/>
        <w:rPr>
          <w:rFonts w:ascii="黑体" w:eastAsia="黑体" w:hint="eastAsia"/>
        </w:rPr>
      </w:pPr>
      <w:r>
        <w:rPr>
          <w:rFonts w:ascii="黑体" w:eastAsia="黑体" w:hint="eastAsia"/>
        </w:rPr>
        <w:t>1、被保险人故意犯罪或者抗拒依法采取的刑事强制措施；</w:t>
      </w:r>
    </w:p>
    <w:p>
      <w:pPr>
        <w:pStyle w:val="BodyText"/>
        <w:spacing w:line="273" w:lineRule="auto" w:before="36"/>
        <w:ind w:left="529" w:right="199"/>
        <w:rPr>
          <w:rFonts w:ascii="黑体" w:eastAsia="黑体" w:hint="eastAsia"/>
        </w:rPr>
      </w:pPr>
      <w:r>
        <w:rPr>
          <w:rFonts w:ascii="黑体" w:eastAsia="黑体" w:hint="eastAsia"/>
        </w:rPr>
        <w:t>2</w:t>
      </w:r>
      <w:r>
        <w:rPr>
          <w:rFonts w:ascii="黑体" w:eastAsia="黑体" w:hint="eastAsia"/>
          <w:spacing w:val="-8"/>
        </w:rPr>
        <w:t>、被保险人自本合同成立或者合同效力恢复之日起 </w:t>
      </w:r>
      <w:r>
        <w:rPr>
          <w:rFonts w:ascii="黑体" w:eastAsia="黑体" w:hint="eastAsia"/>
        </w:rPr>
        <w:t>2</w:t>
      </w:r>
      <w:r>
        <w:rPr>
          <w:rFonts w:ascii="黑体" w:eastAsia="黑体" w:hint="eastAsia"/>
          <w:spacing w:val="-5"/>
        </w:rPr>
        <w:t> 年内自杀，但被保险人自杀时为无民事行为能力人的除外；</w:t>
      </w:r>
    </w:p>
    <w:p>
      <w:pPr>
        <w:pStyle w:val="BodyText"/>
        <w:spacing w:before="7"/>
        <w:ind w:left="529"/>
        <w:rPr>
          <w:rFonts w:ascii="黑体" w:eastAsia="黑体" w:hint="eastAsia"/>
        </w:rPr>
      </w:pPr>
      <w:r>
        <w:rPr>
          <w:rFonts w:ascii="黑体" w:eastAsia="黑体" w:hint="eastAsia"/>
        </w:rPr>
        <w:t>3、被保险人主动吸食或注射毒品；</w:t>
      </w:r>
    </w:p>
    <w:p>
      <w:pPr>
        <w:pStyle w:val="BodyText"/>
        <w:spacing w:before="37"/>
        <w:ind w:left="529"/>
        <w:rPr>
          <w:rFonts w:ascii="黑体" w:eastAsia="黑体" w:hint="eastAsia"/>
        </w:rPr>
      </w:pPr>
      <w:r>
        <w:rPr>
          <w:rFonts w:ascii="黑体" w:eastAsia="黑体" w:hint="eastAsia"/>
        </w:rPr>
        <w:t>4、被保险人酒后驾驶，无合法有效驾驶证驾驶，或驾驶无有效行驶证的机动车；</w:t>
      </w:r>
    </w:p>
    <w:p>
      <w:pPr>
        <w:pStyle w:val="BodyText"/>
        <w:spacing w:before="37"/>
        <w:ind w:left="529"/>
        <w:rPr>
          <w:rFonts w:ascii="黑体" w:eastAsia="黑体" w:hint="eastAsia"/>
        </w:rPr>
      </w:pPr>
      <w:r>
        <w:rPr>
          <w:rFonts w:ascii="黑体" w:eastAsia="黑体" w:hint="eastAsia"/>
        </w:rPr>
        <w:t>5、战争、军事冲突、暴乱或武装叛乱；</w:t>
      </w:r>
    </w:p>
    <w:p>
      <w:pPr>
        <w:pStyle w:val="BodyText"/>
        <w:spacing w:before="37"/>
        <w:ind w:left="529"/>
        <w:rPr>
          <w:rFonts w:ascii="黑体" w:eastAsia="黑体" w:hint="eastAsia"/>
        </w:rPr>
      </w:pPr>
      <w:r>
        <w:rPr>
          <w:rFonts w:ascii="黑体" w:eastAsia="黑体" w:hint="eastAsia"/>
        </w:rPr>
        <w:t>6、核爆炸、核辐射或核污染。</w:t>
      </w:r>
    </w:p>
    <w:p>
      <w:pPr>
        <w:pStyle w:val="BodyText"/>
        <w:spacing w:line="273" w:lineRule="auto" w:before="37"/>
        <w:ind w:left="107" w:right="194" w:firstLine="422"/>
        <w:rPr>
          <w:rFonts w:ascii="黑体" w:eastAsia="黑体" w:hint="eastAsia"/>
        </w:rPr>
      </w:pPr>
      <w:r>
        <w:rPr>
          <w:rFonts w:ascii="黑体" w:eastAsia="黑体" w:hint="eastAsia"/>
          <w:spacing w:val="-9"/>
        </w:rPr>
        <w:t>因上述情形之一导致被保险人身故时，本公司对该被保险人的保险责任终止，本公司自收</w:t>
      </w:r>
      <w:r>
        <w:rPr>
          <w:rFonts w:ascii="黑体" w:eastAsia="黑体" w:hint="eastAsia"/>
          <w:spacing w:val="-7"/>
        </w:rPr>
        <w:t>到投保人的减少该被保险人的申请后三十日内退还该被保险人的现金价值净额。</w:t>
      </w:r>
    </w:p>
    <w:p>
      <w:pPr>
        <w:pStyle w:val="BodyText"/>
        <w:spacing w:before="6"/>
        <w:ind w:left="0"/>
        <w:rPr>
          <w:rFonts w:ascii="黑体"/>
          <w:sz w:val="24"/>
        </w:rPr>
      </w:pPr>
    </w:p>
    <w:p>
      <w:pPr>
        <w:pStyle w:val="BodyText"/>
      </w:pPr>
      <w:r>
        <w:rPr/>
        <w:t>第十七条 【保险期间】</w:t>
      </w:r>
    </w:p>
    <w:p>
      <w:pPr>
        <w:pStyle w:val="BodyText"/>
        <w:spacing w:before="10"/>
        <w:ind w:left="0"/>
        <w:rPr>
          <w:sz w:val="24"/>
        </w:rPr>
      </w:pPr>
    </w:p>
    <w:p>
      <w:pPr>
        <w:pStyle w:val="BodyText"/>
        <w:spacing w:line="532" w:lineRule="auto"/>
        <w:ind w:right="2192" w:firstLine="422"/>
      </w:pPr>
      <w:r>
        <w:rPr/>
        <w:t>本合同的保险期间由投保人和本公司约定，并在保险合同中载明。第十八条 【保险金额和保险费】</w:t>
      </w:r>
    </w:p>
    <w:p>
      <w:pPr>
        <w:pStyle w:val="BodyText"/>
        <w:spacing w:before="92"/>
        <w:ind w:left="539"/>
      </w:pPr>
      <w:r>
        <w:rPr/>
        <w:t>本合同所称的保险金额是指保险单中载明的保险金额。</w:t>
      </w:r>
    </w:p>
    <w:p>
      <w:pPr>
        <w:pStyle w:val="BodyText"/>
        <w:spacing w:line="273" w:lineRule="auto" w:before="37"/>
        <w:ind w:right="194" w:firstLine="422"/>
      </w:pPr>
      <w:r>
        <w:rPr/>
        <w:t>本合同的保险费根据投保人与本公司约定的保险期间及保险责任计算，并在保险单上载明。保险费由投保人按本合同约定及时交清。</w:t>
      </w:r>
    </w:p>
    <w:p>
      <w:pPr>
        <w:pStyle w:val="BodyText"/>
        <w:ind w:left="0"/>
        <w:rPr>
          <w:sz w:val="20"/>
        </w:rPr>
      </w:pPr>
    </w:p>
    <w:p>
      <w:pPr>
        <w:pStyle w:val="BodyText"/>
        <w:spacing w:before="7"/>
        <w:ind w:left="0"/>
        <w:rPr>
          <w:sz w:val="24"/>
        </w:rPr>
      </w:pPr>
      <w:r>
        <w:rPr/>
        <w:pict>
          <v:line style="position:absolute;mso-position-horizontal-relative:page;mso-position-vertical-relative:paragraph;z-index:0;mso-wrap-distance-left:0;mso-wrap-distance-right:0" from="87.839996pt,18.296225pt" to="231.839996pt,18.296225pt" stroked="true" strokeweight=".48pt" strokecolor="#000000">
            <v:stroke dashstyle="solid"/>
            <w10:wrap type="topAndBottom"/>
          </v:line>
        </w:pict>
      </w:r>
    </w:p>
    <w:p>
      <w:pPr>
        <w:spacing w:line="233" w:lineRule="exact" w:before="39"/>
        <w:ind w:left="116" w:right="0" w:firstLine="0"/>
        <w:jc w:val="left"/>
        <w:rPr>
          <w:sz w:val="18"/>
        </w:rPr>
      </w:pPr>
      <w:bookmarkStart w:name="_bookmark0" w:id="1"/>
      <w:bookmarkEnd w:id="1"/>
      <w:r>
        <w:rPr/>
      </w:r>
      <w:r>
        <w:rPr>
          <w:rFonts w:ascii="Times New Roman" w:eastAsia="Times New Roman"/>
          <w:position w:val="8"/>
          <w:sz w:val="12"/>
        </w:rPr>
        <w:t>1</w:t>
      </w:r>
      <w:r>
        <w:rPr>
          <w:sz w:val="18"/>
        </w:rPr>
        <w:t>遗传性疾病：指生殖细胞或受精卵的遗传物质（染色体和基因）发生突变或畸变所引起的疾病，通常具有由</w:t>
      </w:r>
    </w:p>
    <w:p>
      <w:pPr>
        <w:spacing w:line="233" w:lineRule="exact" w:before="0"/>
        <w:ind w:left="116" w:right="0" w:firstLine="0"/>
        <w:jc w:val="left"/>
        <w:rPr>
          <w:sz w:val="18"/>
        </w:rPr>
      </w:pPr>
      <w:r>
        <w:rPr>
          <w:sz w:val="18"/>
        </w:rPr>
        <w:t>亲代传至后代的垂直传递的特征。</w:t>
      </w:r>
    </w:p>
    <w:p>
      <w:pPr>
        <w:spacing w:before="32"/>
        <w:ind w:left="116" w:right="0" w:firstLine="0"/>
        <w:jc w:val="left"/>
        <w:rPr>
          <w:sz w:val="18"/>
        </w:rPr>
      </w:pPr>
      <w:bookmarkStart w:name="_bookmark1" w:id="2"/>
      <w:bookmarkEnd w:id="2"/>
      <w:r>
        <w:rPr/>
      </w:r>
      <w:r>
        <w:rPr>
          <w:rFonts w:ascii="Times New Roman" w:eastAsia="Times New Roman"/>
          <w:position w:val="10"/>
          <w:sz w:val="14"/>
        </w:rPr>
        <w:t>2</w:t>
      </w:r>
      <w:r>
        <w:rPr>
          <w:sz w:val="18"/>
        </w:rPr>
        <w:t>先天性畸形、变形或染色体异常：指被保险人出生时就具有的畸形、变形或染色体异常。先天性畸形、变</w:t>
      </w:r>
    </w:p>
    <w:p>
      <w:pPr>
        <w:spacing w:before="23"/>
        <w:ind w:left="116" w:right="0" w:firstLine="0"/>
        <w:jc w:val="left"/>
        <w:rPr>
          <w:sz w:val="18"/>
        </w:rPr>
      </w:pPr>
      <w:r>
        <w:rPr>
          <w:sz w:val="18"/>
        </w:rPr>
        <w:t>形和染色体异常依照世界卫生组织《疾病和有关健康问题的国际统计分类》（</w:t>
      </w:r>
      <w:r>
        <w:rPr>
          <w:rFonts w:ascii="Times New Roman" w:eastAsia="Times New Roman"/>
          <w:sz w:val="18"/>
        </w:rPr>
        <w:t>ICD-10</w:t>
      </w:r>
      <w:r>
        <w:rPr>
          <w:sz w:val="18"/>
        </w:rPr>
        <w:t>）确定。</w:t>
      </w:r>
    </w:p>
    <w:p>
      <w:pPr>
        <w:spacing w:after="0"/>
        <w:jc w:val="left"/>
        <w:rPr>
          <w:sz w:val="18"/>
        </w:rPr>
        <w:sectPr>
          <w:pgSz w:w="11910" w:h="16840"/>
          <w:pgMar w:header="0" w:footer="929" w:top="1380" w:bottom="1200" w:left="1640" w:right="1440"/>
        </w:sectPr>
      </w:pPr>
    </w:p>
    <w:p>
      <w:pPr>
        <w:pStyle w:val="BodyText"/>
        <w:spacing w:before="11"/>
      </w:pPr>
      <w:r>
        <w:rPr/>
        <w:t>第十九条 【宽限期】</w:t>
      </w:r>
    </w:p>
    <w:p>
      <w:pPr>
        <w:pStyle w:val="BodyText"/>
        <w:spacing w:before="8"/>
        <w:ind w:left="0"/>
        <w:rPr>
          <w:sz w:val="26"/>
        </w:rPr>
      </w:pPr>
    </w:p>
    <w:p>
      <w:pPr>
        <w:pStyle w:val="BodyText"/>
        <w:spacing w:line="273" w:lineRule="auto"/>
        <w:ind w:right="109" w:firstLine="422"/>
        <w:jc w:val="both"/>
      </w:pPr>
      <w:r>
        <w:rPr/>
        <w:t>自交纳首期保险费后，每个保险费到期日次日起（含该日）六十天为交付保险费的宽限期。宽限期内发生保险事故，本公司仍承担保险责任，但本公司给付的保险金将扣除投保人未交纳的保险费。如果投保人没有选择保险费自动垫交，且在宽限期结束时，投保人仍未交纳保险费，则自宽限期结束的次日起本合同效力中止。合同效力中止期间，本公司不承担保险责任。</w:t>
      </w:r>
    </w:p>
    <w:p>
      <w:pPr>
        <w:pStyle w:val="BodyText"/>
        <w:spacing w:line="273" w:lineRule="auto" w:before="7"/>
        <w:ind w:right="114" w:firstLine="422"/>
        <w:jc w:val="both"/>
      </w:pPr>
      <w:r>
        <w:rPr/>
        <w:t>投保人可以在宽限期结束前到本公司办理选择保险费自动垫交手续，本公司将按【保险费自动垫交】条款处理。</w:t>
      </w:r>
    </w:p>
    <w:p>
      <w:pPr>
        <w:pStyle w:val="BodyText"/>
        <w:spacing w:before="5"/>
        <w:ind w:left="0"/>
        <w:rPr>
          <w:sz w:val="24"/>
        </w:rPr>
      </w:pPr>
    </w:p>
    <w:p>
      <w:pPr>
        <w:pStyle w:val="BodyText"/>
      </w:pPr>
      <w:r>
        <w:rPr/>
        <w:t>第二十条 【保险费自动垫交】</w:t>
      </w:r>
    </w:p>
    <w:p>
      <w:pPr>
        <w:pStyle w:val="BodyText"/>
        <w:spacing w:before="8"/>
        <w:ind w:left="0"/>
        <w:rPr>
          <w:sz w:val="26"/>
        </w:rPr>
      </w:pPr>
    </w:p>
    <w:p>
      <w:pPr>
        <w:pStyle w:val="BodyText"/>
        <w:spacing w:line="273" w:lineRule="auto"/>
        <w:ind w:right="114" w:firstLine="422"/>
        <w:jc w:val="both"/>
      </w:pPr>
      <w:r>
        <w:rPr/>
        <w:t>如果投保人选择了保险费自动垫交，且在宽限期结束时投保人仍未交付保险费，本公司将对本合同作保险费自动垫交处理。若当时本合同现金价值净额足以垫交全部到期保险费， 本公司将自动垫交本合同应交保险费，使本合同继续有效。在保险费自动垫交期间，本公司将按本公司定期公布的保险单借款利率 </w:t>
      </w:r>
      <w:hyperlink w:history="true" w:anchor="_bookmark2">
        <w:r>
          <w:rPr>
            <w:position w:val="11"/>
            <w:sz w:val="11"/>
          </w:rPr>
          <w:t>3</w:t>
        </w:r>
      </w:hyperlink>
      <w:r>
        <w:rPr/>
        <w:t>计算保险费自动垫交的利息。</w:t>
      </w:r>
    </w:p>
    <w:p>
      <w:pPr>
        <w:pStyle w:val="BodyText"/>
        <w:spacing w:line="273" w:lineRule="auto" w:before="3"/>
        <w:ind w:left="117" w:right="114" w:firstLine="422"/>
        <w:jc w:val="both"/>
      </w:pPr>
      <w:r>
        <w:rPr/>
        <w:t>若本合同现金价值净额不足以垫交全部到期保险费，则按当时本合同现金价值净额折算可垫交天数，同样进行前述垫交处理。</w:t>
      </w:r>
    </w:p>
    <w:p>
      <w:pPr>
        <w:pStyle w:val="BodyText"/>
        <w:spacing w:line="273" w:lineRule="auto" w:before="7"/>
        <w:ind w:left="117" w:right="113" w:firstLine="422"/>
        <w:jc w:val="both"/>
      </w:pPr>
      <w:r>
        <w:rPr/>
        <w:t>当本合同现金价值净额为零时，本合同效力中止。投保人可以在宽限期结束前到本公司办理取消保险费自动垫交手续，则本合同自宽限期最后一日的次日零时起效力中止。</w:t>
      </w:r>
    </w:p>
    <w:p>
      <w:pPr>
        <w:pStyle w:val="BodyText"/>
        <w:spacing w:before="5"/>
        <w:ind w:left="0"/>
        <w:rPr>
          <w:sz w:val="24"/>
        </w:rPr>
      </w:pPr>
    </w:p>
    <w:p>
      <w:pPr>
        <w:pStyle w:val="BodyText"/>
        <w:ind w:left="117"/>
      </w:pPr>
      <w:r>
        <w:rPr/>
        <w:t>第二十一条【合同效力的恢复】</w:t>
      </w:r>
    </w:p>
    <w:p>
      <w:pPr>
        <w:pStyle w:val="BodyText"/>
        <w:spacing w:before="8"/>
        <w:ind w:left="0"/>
        <w:rPr>
          <w:sz w:val="26"/>
        </w:rPr>
      </w:pPr>
    </w:p>
    <w:p>
      <w:pPr>
        <w:pStyle w:val="BodyText"/>
        <w:spacing w:line="273" w:lineRule="auto"/>
        <w:ind w:left="117" w:right="220" w:firstLine="422"/>
        <w:jc w:val="both"/>
      </w:pPr>
      <w:r>
        <w:rPr>
          <w:spacing w:val="-5"/>
        </w:rPr>
        <w:t>本公司可自本合同效力中止后两年内，填写复效申请书并按本公司要求提供被保险人健康及财务方面的资料，经本公司审核同意，自投保人补交所欠保险费、借款及利息的次日零时起，本合同效力恢复。</w:t>
      </w:r>
    </w:p>
    <w:p>
      <w:pPr>
        <w:pStyle w:val="BodyText"/>
        <w:spacing w:line="273" w:lineRule="auto" w:before="7"/>
        <w:ind w:left="117" w:right="220" w:firstLine="422"/>
      </w:pPr>
      <w:r>
        <w:rPr/>
        <w:t>投保人与本公司在本合同效力中止之日起满两年，仍未达成复效协议的，本合同即自行终止，本公司向投保人退还合同效力中止时保险单的现金价值。</w:t>
      </w:r>
    </w:p>
    <w:p>
      <w:pPr>
        <w:pStyle w:val="BodyText"/>
        <w:spacing w:before="5"/>
        <w:ind w:left="0"/>
        <w:rPr>
          <w:sz w:val="24"/>
        </w:rPr>
      </w:pPr>
    </w:p>
    <w:p>
      <w:pPr>
        <w:pStyle w:val="BodyText"/>
        <w:spacing w:before="1"/>
      </w:pPr>
      <w:r>
        <w:rPr/>
        <w:t>第二十二条【减额交清】</w:t>
      </w:r>
    </w:p>
    <w:p>
      <w:pPr>
        <w:pStyle w:val="BodyText"/>
        <w:spacing w:before="8"/>
        <w:ind w:left="0"/>
        <w:rPr>
          <w:sz w:val="26"/>
        </w:rPr>
      </w:pPr>
    </w:p>
    <w:p>
      <w:pPr>
        <w:pStyle w:val="BodyText"/>
        <w:spacing w:line="273" w:lineRule="auto" w:before="1"/>
        <w:ind w:right="114" w:firstLine="422"/>
        <w:jc w:val="both"/>
      </w:pPr>
      <w:r>
        <w:rPr/>
        <w:t>在本合同有效期内，投保人可随时申请减额交清。我们以投保人提出申请时的保险单现金价值净额为计算依据，对本合同的保险金额作相应地调整，减额后的保险金额不得低于本公司规定的最低承保金额。</w:t>
      </w:r>
    </w:p>
    <w:p>
      <w:pPr>
        <w:pStyle w:val="BodyText"/>
        <w:spacing w:before="5"/>
        <w:ind w:left="0"/>
        <w:rPr>
          <w:sz w:val="20"/>
        </w:rPr>
      </w:pPr>
    </w:p>
    <w:p>
      <w:pPr>
        <w:pStyle w:val="BodyText"/>
      </w:pPr>
      <w:r>
        <w:rPr/>
        <w:t>第二十三条【保险责任的开始】</w:t>
      </w:r>
    </w:p>
    <w:p>
      <w:pPr>
        <w:pStyle w:val="BodyText"/>
        <w:spacing w:before="8"/>
        <w:ind w:left="0"/>
        <w:rPr>
          <w:sz w:val="26"/>
        </w:rPr>
      </w:pPr>
    </w:p>
    <w:p>
      <w:pPr>
        <w:pStyle w:val="BodyText"/>
        <w:spacing w:line="273" w:lineRule="auto"/>
        <w:ind w:right="114" w:firstLine="422"/>
        <w:jc w:val="both"/>
      </w:pPr>
      <w:r>
        <w:rPr/>
        <w:t>本公司在收取保险费并同意承保后，将签发保险单或批注作为保险凭证。本公司自本合同生效日即保险单所载的保险单生效日的零时起承担保险责任。</w:t>
      </w:r>
    </w:p>
    <w:p>
      <w:pPr>
        <w:pStyle w:val="BodyText"/>
        <w:spacing w:line="273" w:lineRule="auto" w:before="7"/>
        <w:ind w:right="115" w:firstLine="422"/>
        <w:jc w:val="both"/>
      </w:pPr>
      <w:r>
        <w:rPr>
          <w:spacing w:val="-3"/>
        </w:rPr>
        <w:t>本合同的保险单周年日 </w:t>
      </w:r>
      <w:hyperlink w:history="true" w:anchor="_bookmark2">
        <w:r>
          <w:rPr>
            <w:position w:val="11"/>
            <w:sz w:val="11"/>
          </w:rPr>
          <w:t>4</w:t>
        </w:r>
      </w:hyperlink>
      <w:r>
        <w:rPr>
          <w:spacing w:val="-6"/>
        </w:rPr>
        <w:t>、保险单年度、保险单月份、保险费到期日和保险合同满期日均</w:t>
      </w:r>
      <w:r>
        <w:rPr>
          <w:spacing w:val="-5"/>
        </w:rPr>
        <w:t>以本合同生效日为基础计算。</w:t>
      </w:r>
    </w:p>
    <w:p>
      <w:pPr>
        <w:pStyle w:val="BodyText"/>
        <w:spacing w:before="9"/>
        <w:ind w:left="0"/>
        <w:rPr>
          <w:sz w:val="9"/>
        </w:rPr>
      </w:pPr>
      <w:r>
        <w:rPr/>
        <w:pict>
          <v:line style="position:absolute;mso-position-horizontal-relative:page;mso-position-vertical-relative:paragraph;z-index:1048;mso-wrap-distance-left:0;mso-wrap-distance-right:0" from="87.839996pt,8.557489pt" to="231.839996pt,8.557489pt" stroked="true" strokeweight=".481pt" strokecolor="#000000">
            <v:stroke dashstyle="solid"/>
            <w10:wrap type="topAndBottom"/>
          </v:line>
        </w:pict>
      </w:r>
    </w:p>
    <w:p>
      <w:pPr>
        <w:spacing w:line="233" w:lineRule="exact" w:before="39"/>
        <w:ind w:left="116" w:right="0" w:firstLine="0"/>
        <w:jc w:val="left"/>
        <w:rPr>
          <w:sz w:val="18"/>
        </w:rPr>
      </w:pPr>
      <w:bookmarkStart w:name="_bookmark2" w:id="3"/>
      <w:bookmarkEnd w:id="3"/>
      <w:r>
        <w:rPr/>
      </w:r>
      <w:r>
        <w:rPr>
          <w:rFonts w:ascii="Times New Roman" w:eastAsia="Times New Roman"/>
          <w:position w:val="8"/>
          <w:sz w:val="12"/>
        </w:rPr>
        <w:t>3</w:t>
      </w:r>
      <w:r>
        <w:rPr>
          <w:sz w:val="18"/>
        </w:rPr>
        <w:t>保险单借款利率：我们参照同期中国人民银行公布的一年期流动资金贷款法定利率制订，并定期公布。</w:t>
      </w:r>
    </w:p>
    <w:p>
      <w:pPr>
        <w:spacing w:line="233" w:lineRule="exact" w:before="0"/>
        <w:ind w:left="116" w:right="0" w:firstLine="0"/>
        <w:jc w:val="left"/>
        <w:rPr>
          <w:sz w:val="18"/>
        </w:rPr>
      </w:pPr>
      <w:r>
        <w:rPr>
          <w:rFonts w:ascii="Times New Roman" w:eastAsia="Times New Roman"/>
          <w:position w:val="8"/>
          <w:sz w:val="12"/>
        </w:rPr>
        <w:t>4</w:t>
      </w:r>
      <w:r>
        <w:rPr>
          <w:sz w:val="18"/>
        </w:rPr>
        <w:t>保险单周年日指在本合同有效期内的每一个保险单年度内本合同生效日的对应日。第一个保险单周年日是指</w:t>
      </w:r>
    </w:p>
    <w:p>
      <w:pPr>
        <w:spacing w:line="235" w:lineRule="exact" w:before="0"/>
        <w:ind w:left="116" w:right="0" w:firstLine="0"/>
        <w:jc w:val="left"/>
        <w:rPr>
          <w:sz w:val="18"/>
        </w:rPr>
      </w:pPr>
      <w:r>
        <w:rPr>
          <w:sz w:val="18"/>
        </w:rPr>
        <w:t>保险单生效一年后的本合同生效日期的对应日。</w:t>
      </w:r>
    </w:p>
    <w:p>
      <w:pPr>
        <w:spacing w:after="0" w:line="235" w:lineRule="exact"/>
        <w:jc w:val="left"/>
        <w:rPr>
          <w:sz w:val="18"/>
        </w:rPr>
        <w:sectPr>
          <w:pgSz w:w="11910" w:h="16840"/>
          <w:pgMar w:header="0" w:footer="929" w:top="1400" w:bottom="1200" w:left="1640" w:right="1520"/>
        </w:sectPr>
      </w:pPr>
    </w:p>
    <w:p>
      <w:pPr>
        <w:pStyle w:val="BodyText"/>
        <w:spacing w:before="2"/>
        <w:ind w:left="0"/>
        <w:rPr>
          <w:sz w:val="8"/>
        </w:rPr>
      </w:pPr>
    </w:p>
    <w:p>
      <w:pPr>
        <w:pStyle w:val="BodyText"/>
        <w:spacing w:before="37"/>
      </w:pPr>
      <w:r>
        <w:rPr/>
        <w:t>第二十四条【保险合同的终止】</w:t>
      </w:r>
    </w:p>
    <w:p>
      <w:pPr>
        <w:pStyle w:val="BodyText"/>
        <w:spacing w:before="7"/>
        <w:ind w:left="0"/>
        <w:rPr>
          <w:sz w:val="25"/>
        </w:rPr>
      </w:pPr>
    </w:p>
    <w:p>
      <w:pPr>
        <w:pStyle w:val="BodyText"/>
        <w:ind w:left="539"/>
      </w:pPr>
      <w:r>
        <w:rPr/>
        <w:t>发生下列情况之一时，本合同终止：</w:t>
      </w:r>
    </w:p>
    <w:p>
      <w:pPr>
        <w:pStyle w:val="BodyText"/>
        <w:spacing w:before="36"/>
        <w:ind w:left="544"/>
      </w:pPr>
      <w:r>
        <w:rPr/>
        <w:t>1、 投保人于本合同有效期内向本公司申请解除本合同；</w:t>
      </w:r>
    </w:p>
    <w:p>
      <w:pPr>
        <w:pStyle w:val="BodyText"/>
        <w:spacing w:before="36"/>
        <w:ind w:left="544"/>
      </w:pPr>
      <w:r>
        <w:rPr/>
        <w:t>2、 保险期间届满；</w:t>
      </w:r>
    </w:p>
    <w:p>
      <w:pPr>
        <w:pStyle w:val="BodyText"/>
        <w:spacing w:line="556" w:lineRule="auto" w:before="36"/>
        <w:ind w:right="4410" w:firstLine="427"/>
      </w:pPr>
      <w:r>
        <w:rPr/>
        <w:t>3、 本合同因其他条款所列情况而终止。第二十五条【保险金的申领】</w:t>
      </w:r>
    </w:p>
    <w:p>
      <w:pPr>
        <w:pStyle w:val="BodyText"/>
        <w:spacing w:before="71"/>
        <w:ind w:left="529"/>
      </w:pPr>
      <w:r>
        <w:rPr/>
        <w:t>一、重大疾病保险金</w:t>
      </w:r>
    </w:p>
    <w:p>
      <w:pPr>
        <w:pStyle w:val="BodyText"/>
        <w:spacing w:line="273" w:lineRule="auto" w:before="36"/>
        <w:ind w:left="107" w:right="120" w:firstLine="422"/>
      </w:pPr>
      <w:r>
        <w:rPr>
          <w:spacing w:val="-9"/>
        </w:rPr>
        <w:t>若被保险人初次患本合同约定的重大疾病且申请理赔时仍生存，索赔权利人需填写保险金</w:t>
      </w:r>
      <w:r>
        <w:rPr>
          <w:spacing w:val="-7"/>
        </w:rPr>
        <w:t>给付申请书并凭下列证明材料向本公司申请理赔：</w:t>
      </w:r>
    </w:p>
    <w:p>
      <w:pPr>
        <w:pStyle w:val="ListParagraph"/>
        <w:numPr>
          <w:ilvl w:val="0"/>
          <w:numId w:val="2"/>
        </w:numPr>
        <w:tabs>
          <w:tab w:pos="794" w:val="left" w:leader="none"/>
        </w:tabs>
        <w:spacing w:line="240" w:lineRule="auto" w:before="7" w:after="0"/>
        <w:ind w:left="793" w:right="0" w:hanging="264"/>
        <w:jc w:val="left"/>
        <w:rPr>
          <w:sz w:val="21"/>
        </w:rPr>
      </w:pPr>
      <w:r>
        <w:rPr>
          <w:spacing w:val="-3"/>
          <w:sz w:val="21"/>
        </w:rPr>
        <w:t>被保险人的分保单；</w:t>
      </w:r>
    </w:p>
    <w:p>
      <w:pPr>
        <w:pStyle w:val="ListParagraph"/>
        <w:numPr>
          <w:ilvl w:val="0"/>
          <w:numId w:val="2"/>
        </w:numPr>
        <w:tabs>
          <w:tab w:pos="794" w:val="left" w:leader="none"/>
        </w:tabs>
        <w:spacing w:line="240" w:lineRule="auto" w:before="21" w:after="0"/>
        <w:ind w:left="793" w:right="0" w:hanging="264"/>
        <w:jc w:val="left"/>
        <w:rPr>
          <w:sz w:val="21"/>
        </w:rPr>
      </w:pPr>
      <w:r>
        <w:rPr>
          <w:spacing w:val="-4"/>
          <w:sz w:val="21"/>
        </w:rPr>
        <w:t>被保险人的身份证及身份证复印件；</w:t>
      </w:r>
    </w:p>
    <w:p>
      <w:pPr>
        <w:pStyle w:val="ListParagraph"/>
        <w:numPr>
          <w:ilvl w:val="0"/>
          <w:numId w:val="2"/>
        </w:numPr>
        <w:tabs>
          <w:tab w:pos="794" w:val="left" w:leader="none"/>
        </w:tabs>
        <w:spacing w:line="240" w:lineRule="auto" w:before="21" w:after="0"/>
        <w:ind w:left="793" w:right="0" w:hanging="264"/>
        <w:jc w:val="left"/>
        <w:rPr>
          <w:sz w:val="21"/>
        </w:rPr>
      </w:pPr>
      <w:r>
        <w:rPr>
          <w:spacing w:val="-5"/>
          <w:sz w:val="21"/>
        </w:rPr>
        <w:t>索赔权利人的身份证明及索赔权利证明；</w:t>
      </w:r>
    </w:p>
    <w:p>
      <w:pPr>
        <w:pStyle w:val="ListParagraph"/>
        <w:numPr>
          <w:ilvl w:val="0"/>
          <w:numId w:val="2"/>
        </w:numPr>
        <w:tabs>
          <w:tab w:pos="794" w:val="left" w:leader="none"/>
        </w:tabs>
        <w:spacing w:line="240" w:lineRule="auto" w:before="21" w:after="0"/>
        <w:ind w:left="793" w:right="0" w:hanging="264"/>
        <w:jc w:val="left"/>
        <w:rPr>
          <w:sz w:val="21"/>
        </w:rPr>
      </w:pPr>
      <w:r>
        <w:rPr>
          <w:spacing w:val="-5"/>
          <w:sz w:val="21"/>
        </w:rPr>
        <w:t>本公司认可的医疗机构的专科医生出具的诊断证明以及相关资料；</w:t>
      </w:r>
    </w:p>
    <w:p>
      <w:pPr>
        <w:pStyle w:val="ListParagraph"/>
        <w:numPr>
          <w:ilvl w:val="0"/>
          <w:numId w:val="2"/>
        </w:numPr>
        <w:tabs>
          <w:tab w:pos="794" w:val="left" w:leader="none"/>
        </w:tabs>
        <w:spacing w:line="240" w:lineRule="auto" w:before="21" w:after="0"/>
        <w:ind w:left="793" w:right="0" w:hanging="264"/>
        <w:jc w:val="left"/>
        <w:rPr>
          <w:sz w:val="21"/>
        </w:rPr>
      </w:pPr>
      <w:r>
        <w:rPr>
          <w:spacing w:val="-5"/>
          <w:sz w:val="21"/>
        </w:rPr>
        <w:t>本公司所需的并且索赔权利人能够提供的与事故有关的其他材料。</w:t>
      </w:r>
    </w:p>
    <w:p>
      <w:pPr>
        <w:pStyle w:val="BodyText"/>
        <w:spacing w:before="5"/>
        <w:ind w:left="0"/>
        <w:rPr>
          <w:sz w:val="25"/>
        </w:rPr>
      </w:pPr>
    </w:p>
    <w:p>
      <w:pPr>
        <w:pStyle w:val="BodyText"/>
        <w:spacing w:before="1"/>
        <w:ind w:left="529"/>
      </w:pPr>
      <w:r>
        <w:rPr/>
        <w:t>二、身故保险金</w:t>
      </w:r>
    </w:p>
    <w:p>
      <w:pPr>
        <w:pStyle w:val="BodyText"/>
        <w:spacing w:line="273" w:lineRule="auto" w:before="37"/>
        <w:ind w:left="107" w:right="114" w:firstLine="422"/>
      </w:pPr>
      <w:r>
        <w:rPr>
          <w:spacing w:val="-10"/>
        </w:rPr>
        <w:t>若被保险人身故，索赔权利人需填写保险金给付申请书，并凭下列证明材料向本公司申请理赔：</w:t>
      </w:r>
    </w:p>
    <w:p>
      <w:pPr>
        <w:pStyle w:val="ListParagraph"/>
        <w:numPr>
          <w:ilvl w:val="0"/>
          <w:numId w:val="3"/>
        </w:numPr>
        <w:tabs>
          <w:tab w:pos="956" w:val="left" w:leader="none"/>
          <w:tab w:pos="958" w:val="left" w:leader="none"/>
        </w:tabs>
        <w:spacing w:line="240" w:lineRule="auto" w:before="7" w:after="0"/>
        <w:ind w:left="107" w:right="0" w:firstLine="422"/>
        <w:jc w:val="left"/>
        <w:rPr>
          <w:sz w:val="21"/>
        </w:rPr>
      </w:pPr>
      <w:r>
        <w:rPr>
          <w:spacing w:val="-1"/>
          <w:sz w:val="21"/>
        </w:rPr>
        <w:t>被保险人的分保单；</w:t>
      </w:r>
    </w:p>
    <w:p>
      <w:pPr>
        <w:pStyle w:val="ListParagraph"/>
        <w:numPr>
          <w:ilvl w:val="0"/>
          <w:numId w:val="3"/>
        </w:numPr>
        <w:tabs>
          <w:tab w:pos="957" w:val="left" w:leader="none"/>
          <w:tab w:pos="958" w:val="left" w:leader="none"/>
        </w:tabs>
        <w:spacing w:line="240" w:lineRule="auto" w:before="20" w:after="0"/>
        <w:ind w:left="957" w:right="0" w:hanging="427"/>
        <w:jc w:val="left"/>
        <w:rPr>
          <w:sz w:val="21"/>
        </w:rPr>
      </w:pPr>
      <w:r>
        <w:rPr>
          <w:spacing w:val="-5"/>
          <w:sz w:val="21"/>
        </w:rPr>
        <w:t>索赔权利人的身份证、身份证复印件及索赔权利证明；</w:t>
      </w:r>
    </w:p>
    <w:p>
      <w:pPr>
        <w:pStyle w:val="ListParagraph"/>
        <w:numPr>
          <w:ilvl w:val="0"/>
          <w:numId w:val="3"/>
        </w:numPr>
        <w:tabs>
          <w:tab w:pos="957" w:val="left" w:leader="none"/>
          <w:tab w:pos="958" w:val="left" w:leader="none"/>
        </w:tabs>
        <w:spacing w:line="256" w:lineRule="auto" w:before="20" w:after="0"/>
        <w:ind w:left="107" w:right="118" w:firstLine="423"/>
        <w:jc w:val="left"/>
        <w:rPr>
          <w:sz w:val="21"/>
        </w:rPr>
      </w:pPr>
      <w:r>
        <w:rPr>
          <w:sz w:val="21"/>
        </w:rPr>
        <w:t>本公司认可的医疗机构出具的被保险人死亡证明书或政府职能部门法医出具的尸体检验报告；</w:t>
      </w:r>
    </w:p>
    <w:p>
      <w:pPr>
        <w:pStyle w:val="ListParagraph"/>
        <w:numPr>
          <w:ilvl w:val="0"/>
          <w:numId w:val="3"/>
        </w:numPr>
        <w:tabs>
          <w:tab w:pos="957" w:val="left" w:leader="none"/>
          <w:tab w:pos="958" w:val="left" w:leader="none"/>
        </w:tabs>
        <w:spacing w:line="240" w:lineRule="auto" w:before="22" w:after="0"/>
        <w:ind w:left="957" w:right="0" w:hanging="427"/>
        <w:jc w:val="left"/>
        <w:rPr>
          <w:sz w:val="21"/>
        </w:rPr>
      </w:pPr>
      <w:r>
        <w:rPr>
          <w:spacing w:val="-5"/>
          <w:sz w:val="21"/>
        </w:rPr>
        <w:t>若被保险人为宣告死亡，索赔权利人须提供由法院出具的宣告死亡证明文件；</w:t>
      </w:r>
    </w:p>
    <w:p>
      <w:pPr>
        <w:pStyle w:val="ListParagraph"/>
        <w:numPr>
          <w:ilvl w:val="0"/>
          <w:numId w:val="3"/>
        </w:numPr>
        <w:tabs>
          <w:tab w:pos="957" w:val="left" w:leader="none"/>
          <w:tab w:pos="958" w:val="left" w:leader="none"/>
        </w:tabs>
        <w:spacing w:line="240" w:lineRule="auto" w:before="21" w:after="0"/>
        <w:ind w:left="957" w:right="0" w:hanging="427"/>
        <w:jc w:val="left"/>
        <w:rPr>
          <w:sz w:val="21"/>
        </w:rPr>
      </w:pPr>
      <w:r>
        <w:rPr>
          <w:spacing w:val="-2"/>
          <w:sz w:val="21"/>
        </w:rPr>
        <w:t>被保险人的户籍注销证明；</w:t>
      </w:r>
    </w:p>
    <w:p>
      <w:pPr>
        <w:pStyle w:val="ListParagraph"/>
        <w:numPr>
          <w:ilvl w:val="0"/>
          <w:numId w:val="3"/>
        </w:numPr>
        <w:tabs>
          <w:tab w:pos="957" w:val="left" w:leader="none"/>
          <w:tab w:pos="958" w:val="left" w:leader="none"/>
        </w:tabs>
        <w:spacing w:line="240" w:lineRule="auto" w:before="21" w:after="0"/>
        <w:ind w:left="957" w:right="0" w:hanging="427"/>
        <w:jc w:val="left"/>
        <w:rPr>
          <w:sz w:val="21"/>
        </w:rPr>
      </w:pPr>
      <w:r>
        <w:rPr>
          <w:spacing w:val="-5"/>
          <w:sz w:val="21"/>
        </w:rPr>
        <w:t>索赔权利人所能提供的与确认保险事故的性质、原因有关的证明文件和资料；</w:t>
      </w:r>
    </w:p>
    <w:p>
      <w:pPr>
        <w:pStyle w:val="ListParagraph"/>
        <w:numPr>
          <w:ilvl w:val="0"/>
          <w:numId w:val="3"/>
        </w:numPr>
        <w:tabs>
          <w:tab w:pos="957" w:val="left" w:leader="none"/>
          <w:tab w:pos="958" w:val="left" w:leader="none"/>
        </w:tabs>
        <w:spacing w:line="240" w:lineRule="auto" w:before="21" w:after="0"/>
        <w:ind w:left="957" w:right="0" w:hanging="427"/>
        <w:jc w:val="left"/>
        <w:rPr>
          <w:sz w:val="21"/>
        </w:rPr>
      </w:pPr>
      <w:r>
        <w:rPr>
          <w:spacing w:val="-5"/>
          <w:sz w:val="21"/>
        </w:rPr>
        <w:t>本公司所需且索赔权利人能够提供的与保险事故有关的其他材料。</w:t>
      </w:r>
    </w:p>
    <w:p>
      <w:pPr>
        <w:pStyle w:val="BodyText"/>
        <w:spacing w:before="5"/>
        <w:ind w:left="0"/>
        <w:rPr>
          <w:sz w:val="25"/>
        </w:rPr>
      </w:pPr>
    </w:p>
    <w:p>
      <w:pPr>
        <w:pStyle w:val="BodyText"/>
        <w:spacing w:line="273" w:lineRule="auto"/>
        <w:ind w:left="107" w:right="119" w:firstLine="422"/>
        <w:jc w:val="both"/>
      </w:pPr>
      <w:r>
        <w:rPr>
          <w:spacing w:val="-9"/>
        </w:rPr>
        <w:t>本公司收到申请人保险金给付申请书及相应的证明材料后，对确属保险责任范围的，在与</w:t>
      </w:r>
      <w:r>
        <w:rPr>
          <w:spacing w:val="-11"/>
        </w:rPr>
        <w:t>申请人达成有关给付保险金数额的协议后十天内，履行给付保险金责任；对不属于保险责任范</w:t>
      </w:r>
      <w:r>
        <w:rPr>
          <w:spacing w:val="-7"/>
        </w:rPr>
        <w:t>围的，向申请人发出拒绝给付保险金通知书。</w:t>
      </w:r>
    </w:p>
    <w:p>
      <w:pPr>
        <w:pStyle w:val="BodyText"/>
        <w:spacing w:line="273" w:lineRule="auto" w:before="7"/>
        <w:ind w:left="107" w:right="119" w:firstLine="422"/>
        <w:jc w:val="both"/>
      </w:pPr>
      <w:r>
        <w:rPr>
          <w:spacing w:val="-8"/>
        </w:rPr>
        <w:t>本公司自收到申请人的保险金给付申请书及相应的证明材料之日起六十天内，对属于保险</w:t>
      </w:r>
      <w:r>
        <w:rPr>
          <w:spacing w:val="-11"/>
        </w:rPr>
        <w:t>责任而给付保险金的数额暂时不能确定的，根据已有的证明材料，按可以确定的最低数额先予</w:t>
      </w:r>
      <w:r>
        <w:rPr>
          <w:spacing w:val="-7"/>
        </w:rPr>
        <w:t>支付，本公司最终确定给付保险金数额后，再支付相应的差额。</w:t>
      </w:r>
    </w:p>
    <w:p>
      <w:pPr>
        <w:pStyle w:val="BodyText"/>
        <w:spacing w:line="547" w:lineRule="auto" w:before="7"/>
        <w:ind w:right="1281" w:firstLine="413"/>
      </w:pPr>
      <w:r>
        <w:rPr/>
        <w:t>保险金作为被保险人遗产时，必须提供可证明合法继承权的相关权利文件。第二十六条【名词释义】</w:t>
      </w:r>
    </w:p>
    <w:p>
      <w:pPr>
        <w:pStyle w:val="BodyText"/>
        <w:spacing w:before="79"/>
      </w:pPr>
      <w:r>
        <w:rPr/>
        <w:t>本合同中的下列名词，其特定含义如下：</w:t>
      </w:r>
    </w:p>
    <w:p>
      <w:pPr>
        <w:spacing w:after="0"/>
        <w:sectPr>
          <w:pgSz w:w="11910" w:h="16840"/>
          <w:pgMar w:header="0" w:footer="929" w:top="1580" w:bottom="1200" w:left="1640" w:right="1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7"/>
        <w:gridCol w:w="6594"/>
      </w:tblGrid>
      <w:tr>
        <w:trPr>
          <w:trHeight w:val="885" w:hRule="atLeast"/>
        </w:trPr>
        <w:tc>
          <w:tcPr>
            <w:tcW w:w="2197" w:type="dxa"/>
          </w:tcPr>
          <w:p>
            <w:pPr>
              <w:pStyle w:val="TableParagraph"/>
              <w:spacing w:line="206" w:lineRule="exact"/>
              <w:ind w:left="200"/>
              <w:rPr>
                <w:sz w:val="21"/>
              </w:rPr>
            </w:pPr>
            <w:r>
              <w:rPr>
                <w:sz w:val="21"/>
              </w:rPr>
              <w:t>本公司：</w:t>
            </w:r>
          </w:p>
          <w:p>
            <w:pPr>
              <w:pStyle w:val="TableParagraph"/>
              <w:spacing w:line="240" w:lineRule="auto" w:before="37"/>
              <w:ind w:left="200"/>
              <w:rPr>
                <w:sz w:val="21"/>
              </w:rPr>
            </w:pPr>
            <w:r>
              <w:rPr>
                <w:sz w:val="21"/>
              </w:rPr>
              <w:t>团体：</w:t>
            </w:r>
          </w:p>
        </w:tc>
        <w:tc>
          <w:tcPr>
            <w:tcW w:w="6594" w:type="dxa"/>
          </w:tcPr>
          <w:p>
            <w:pPr>
              <w:pStyle w:val="TableParagraph"/>
              <w:spacing w:line="206" w:lineRule="exact"/>
              <w:rPr>
                <w:sz w:val="21"/>
              </w:rPr>
            </w:pPr>
            <w:r>
              <w:rPr>
                <w:sz w:val="21"/>
              </w:rPr>
              <w:t>指光大永明人寿保险有限公司。</w:t>
            </w:r>
          </w:p>
          <w:p>
            <w:pPr>
              <w:pStyle w:val="TableParagraph"/>
              <w:spacing w:line="273" w:lineRule="auto" w:before="37"/>
              <w:ind w:right="198"/>
              <w:rPr>
                <w:sz w:val="21"/>
              </w:rPr>
            </w:pPr>
            <w:r>
              <w:rPr>
                <w:sz w:val="21"/>
              </w:rPr>
              <w:t>指中国境内非因购买保险而组织的合法团体。包括国家机关、院校、企事业单位、行业组织、职业工会等。</w:t>
            </w:r>
          </w:p>
        </w:tc>
      </w:tr>
      <w:tr>
        <w:trPr>
          <w:trHeight w:val="928" w:hRule="atLeast"/>
        </w:trPr>
        <w:tc>
          <w:tcPr>
            <w:tcW w:w="2197" w:type="dxa"/>
          </w:tcPr>
          <w:p>
            <w:pPr>
              <w:pStyle w:val="TableParagraph"/>
              <w:ind w:left="200"/>
              <w:rPr>
                <w:sz w:val="21"/>
              </w:rPr>
            </w:pPr>
            <w:r>
              <w:rPr>
                <w:sz w:val="21"/>
              </w:rPr>
              <w:t>本公司认可的医疗</w:t>
            </w:r>
          </w:p>
          <w:p>
            <w:pPr>
              <w:pStyle w:val="TableParagraph"/>
              <w:spacing w:line="240" w:lineRule="auto" w:before="37"/>
              <w:ind w:left="200"/>
              <w:rPr>
                <w:sz w:val="21"/>
              </w:rPr>
            </w:pPr>
            <w:r>
              <w:rPr>
                <w:sz w:val="21"/>
              </w:rPr>
              <w:t>机构：</w:t>
            </w:r>
          </w:p>
        </w:tc>
        <w:tc>
          <w:tcPr>
            <w:tcW w:w="6594" w:type="dxa"/>
          </w:tcPr>
          <w:p>
            <w:pPr>
              <w:pStyle w:val="TableParagraph"/>
              <w:rPr>
                <w:sz w:val="21"/>
              </w:rPr>
            </w:pPr>
            <w:r>
              <w:rPr>
                <w:sz w:val="21"/>
              </w:rPr>
              <w:t>指在中国境内（不包括香港、澳门、台湾）按国家卫生部医院等级分</w:t>
            </w:r>
          </w:p>
          <w:p>
            <w:pPr>
              <w:pStyle w:val="TableParagraph"/>
              <w:spacing w:line="273" w:lineRule="auto" w:before="37"/>
              <w:ind w:right="198"/>
              <w:rPr>
                <w:sz w:val="21"/>
              </w:rPr>
            </w:pPr>
            <w:r>
              <w:rPr>
                <w:sz w:val="21"/>
              </w:rPr>
              <w:t>类中二级以上（含）公立医院或投保人与本公司协商共同指定的医院或医疗机构。</w:t>
            </w:r>
          </w:p>
        </w:tc>
      </w:tr>
      <w:tr>
        <w:trPr>
          <w:trHeight w:val="1255" w:hRule="atLeast"/>
        </w:trPr>
        <w:tc>
          <w:tcPr>
            <w:tcW w:w="2197" w:type="dxa"/>
          </w:tcPr>
          <w:p>
            <w:pPr>
              <w:pStyle w:val="TableParagraph"/>
              <w:spacing w:line="264" w:lineRule="exact"/>
              <w:ind w:left="200"/>
              <w:rPr>
                <w:sz w:val="21"/>
              </w:rPr>
            </w:pPr>
            <w:r>
              <w:rPr>
                <w:sz w:val="21"/>
              </w:rPr>
              <w:t>现金价值：</w:t>
            </w:r>
          </w:p>
          <w:p>
            <w:pPr>
              <w:pStyle w:val="TableParagraph"/>
              <w:spacing w:line="240" w:lineRule="auto" w:before="8"/>
              <w:ind w:left="0"/>
              <w:rPr>
                <w:sz w:val="26"/>
              </w:rPr>
            </w:pPr>
          </w:p>
          <w:p>
            <w:pPr>
              <w:pStyle w:val="TableParagraph"/>
              <w:spacing w:line="240" w:lineRule="auto" w:before="1"/>
              <w:ind w:left="200"/>
              <w:rPr>
                <w:sz w:val="21"/>
              </w:rPr>
            </w:pPr>
            <w:r>
              <w:rPr>
                <w:sz w:val="21"/>
              </w:rPr>
              <w:t>现金价值净额：</w:t>
            </w:r>
          </w:p>
        </w:tc>
        <w:tc>
          <w:tcPr>
            <w:tcW w:w="6594" w:type="dxa"/>
          </w:tcPr>
          <w:p>
            <w:pPr>
              <w:pStyle w:val="TableParagraph"/>
              <w:spacing w:line="250" w:lineRule="exact"/>
              <w:rPr>
                <w:sz w:val="21"/>
              </w:rPr>
            </w:pPr>
            <w:r>
              <w:rPr>
                <w:sz w:val="21"/>
              </w:rPr>
              <w:t>指保险单所具有的价值，通常体现为解除合同时，根据精算原理计算</w:t>
            </w:r>
          </w:p>
          <w:p>
            <w:pPr>
              <w:pStyle w:val="TableParagraph"/>
              <w:spacing w:line="240" w:lineRule="auto" w:before="37"/>
              <w:rPr>
                <w:sz w:val="21"/>
              </w:rPr>
            </w:pPr>
            <w:r>
              <w:rPr>
                <w:sz w:val="21"/>
              </w:rPr>
              <w:t>的，由我们退还的那部分金额。</w:t>
            </w:r>
          </w:p>
          <w:p>
            <w:pPr>
              <w:pStyle w:val="TableParagraph"/>
              <w:spacing w:line="273" w:lineRule="auto" w:before="51"/>
              <w:ind w:right="269"/>
              <w:rPr>
                <w:sz w:val="21"/>
              </w:rPr>
            </w:pPr>
            <w:r>
              <w:rPr>
                <w:sz w:val="21"/>
              </w:rPr>
              <w:t>现金价值扣除保险单借款和垫交保险费及上述款项应付利息后的余额。</w:t>
            </w:r>
          </w:p>
        </w:tc>
      </w:tr>
      <w:tr>
        <w:trPr>
          <w:trHeight w:val="1559" w:hRule="atLeast"/>
        </w:trPr>
        <w:tc>
          <w:tcPr>
            <w:tcW w:w="2197" w:type="dxa"/>
          </w:tcPr>
          <w:p>
            <w:pPr>
              <w:pStyle w:val="TableParagraph"/>
              <w:ind w:left="200"/>
              <w:rPr>
                <w:sz w:val="21"/>
              </w:rPr>
            </w:pPr>
            <w:r>
              <w:rPr>
                <w:sz w:val="21"/>
              </w:rPr>
              <w:t>专科医生：</w:t>
            </w:r>
          </w:p>
        </w:tc>
        <w:tc>
          <w:tcPr>
            <w:tcW w:w="6594" w:type="dxa"/>
          </w:tcPr>
          <w:p>
            <w:pPr>
              <w:pStyle w:val="TableParagraph"/>
              <w:rPr>
                <w:sz w:val="21"/>
              </w:rPr>
            </w:pPr>
            <w:r>
              <w:rPr>
                <w:spacing w:val="-4"/>
                <w:w w:val="100"/>
                <w:sz w:val="21"/>
              </w:rPr>
              <w:t>专科医生应当同时满足以下四项资格条件</w:t>
            </w:r>
            <w:r>
              <w:rPr>
                <w:spacing w:val="-145"/>
                <w:w w:val="100"/>
                <w:sz w:val="21"/>
              </w:rPr>
              <w:t>：</w:t>
            </w:r>
            <w:r>
              <w:rPr>
                <w:w w:val="100"/>
                <w:sz w:val="21"/>
              </w:rPr>
              <w:t>（1</w:t>
            </w:r>
            <w:r>
              <w:rPr>
                <w:spacing w:val="-39"/>
                <w:w w:val="100"/>
                <w:sz w:val="21"/>
              </w:rPr>
              <w:t>）</w:t>
            </w:r>
            <w:r>
              <w:rPr>
                <w:spacing w:val="-4"/>
                <w:w w:val="100"/>
                <w:sz w:val="21"/>
              </w:rPr>
              <w:t>具有有效的中华人民</w:t>
            </w:r>
          </w:p>
          <w:p>
            <w:pPr>
              <w:pStyle w:val="TableParagraph"/>
              <w:spacing w:line="273" w:lineRule="auto" w:before="37"/>
              <w:ind w:right="275"/>
              <w:jc w:val="both"/>
              <w:rPr>
                <w:sz w:val="21"/>
              </w:rPr>
            </w:pPr>
            <w:r>
              <w:rPr>
                <w:spacing w:val="-18"/>
                <w:w w:val="100"/>
                <w:sz w:val="21"/>
              </w:rPr>
              <w:t>共和国《医师资格证书》；</w:t>
            </w:r>
            <w:r>
              <w:rPr>
                <w:w w:val="100"/>
                <w:sz w:val="21"/>
              </w:rPr>
              <w:t>（2）</w:t>
            </w:r>
            <w:r>
              <w:rPr>
                <w:spacing w:val="-1"/>
                <w:w w:val="100"/>
                <w:sz w:val="21"/>
              </w:rPr>
              <w:t>具有有效的中华人民共和国《医师执</w:t>
            </w:r>
            <w:r>
              <w:rPr>
                <w:spacing w:val="-18"/>
                <w:w w:val="100"/>
                <w:sz w:val="21"/>
              </w:rPr>
              <w:t>业证书》，并按期到相关部门登记注册；</w:t>
            </w:r>
            <w:r>
              <w:rPr>
                <w:w w:val="100"/>
                <w:sz w:val="21"/>
              </w:rPr>
              <w:t>（3）</w:t>
            </w:r>
            <w:r>
              <w:rPr>
                <w:spacing w:val="-2"/>
                <w:w w:val="100"/>
                <w:sz w:val="21"/>
              </w:rPr>
              <w:t>具有有效的中华人民共</w:t>
            </w:r>
            <w:r>
              <w:rPr>
                <w:spacing w:val="-12"/>
                <w:w w:val="100"/>
                <w:sz w:val="21"/>
              </w:rPr>
              <w:t>和国主治医师或主治医师以上职称的《医师职称证书》；</w:t>
            </w:r>
            <w:r>
              <w:rPr>
                <w:w w:val="100"/>
                <w:sz w:val="21"/>
              </w:rPr>
              <w:t>（4）在二级</w:t>
            </w:r>
            <w:r>
              <w:rPr>
                <w:spacing w:val="-5"/>
                <w:sz w:val="21"/>
              </w:rPr>
              <w:t>或二级以上医院的相应科室从事临床工作三年以上。</w:t>
            </w:r>
          </w:p>
        </w:tc>
      </w:tr>
      <w:tr>
        <w:trPr>
          <w:trHeight w:val="422" w:hRule="atLeast"/>
        </w:trPr>
        <w:tc>
          <w:tcPr>
            <w:tcW w:w="2197" w:type="dxa"/>
          </w:tcPr>
          <w:p>
            <w:pPr>
              <w:pStyle w:val="TableParagraph"/>
              <w:ind w:left="200"/>
              <w:rPr>
                <w:sz w:val="21"/>
              </w:rPr>
            </w:pPr>
            <w:r>
              <w:rPr>
                <w:sz w:val="21"/>
              </w:rPr>
              <w:t>艾滋病：</w:t>
            </w:r>
          </w:p>
        </w:tc>
        <w:tc>
          <w:tcPr>
            <w:tcW w:w="6594" w:type="dxa"/>
          </w:tcPr>
          <w:p>
            <w:pPr>
              <w:pStyle w:val="TableParagraph"/>
              <w:rPr>
                <w:sz w:val="21"/>
              </w:rPr>
            </w:pPr>
            <w:r>
              <w:rPr>
                <w:sz w:val="21"/>
              </w:rPr>
              <w:t>获得性免疫力缺乏综合征（AIDS）的简称。</w:t>
            </w:r>
          </w:p>
        </w:tc>
      </w:tr>
      <w:tr>
        <w:trPr>
          <w:trHeight w:val="1358" w:hRule="atLeast"/>
        </w:trPr>
        <w:tc>
          <w:tcPr>
            <w:tcW w:w="2197" w:type="dxa"/>
          </w:tcPr>
          <w:p>
            <w:pPr>
              <w:pStyle w:val="TableParagraph"/>
              <w:spacing w:line="240" w:lineRule="auto" w:before="92"/>
              <w:ind w:left="200"/>
              <w:rPr>
                <w:sz w:val="21"/>
              </w:rPr>
            </w:pPr>
            <w:r>
              <w:rPr>
                <w:sz w:val="21"/>
              </w:rPr>
              <w:t>艾滋病病毒：</w:t>
            </w:r>
          </w:p>
        </w:tc>
        <w:tc>
          <w:tcPr>
            <w:tcW w:w="6594" w:type="dxa"/>
          </w:tcPr>
          <w:p>
            <w:pPr>
              <w:pStyle w:val="TableParagraph"/>
              <w:spacing w:line="273" w:lineRule="auto" w:before="92"/>
              <w:ind w:right="275"/>
              <w:jc w:val="both"/>
              <w:rPr>
                <w:sz w:val="21"/>
              </w:rPr>
            </w:pPr>
            <w:r>
              <w:rPr>
                <w:sz w:val="21"/>
              </w:rPr>
              <w:t>获得性免疫力缺乏综合征病毒（HIV）</w:t>
            </w:r>
            <w:r>
              <w:rPr>
                <w:spacing w:val="-1"/>
                <w:sz w:val="21"/>
              </w:rPr>
              <w:t>的简称。获得性免疫力缺乏综</w:t>
            </w:r>
            <w:r>
              <w:rPr>
                <w:spacing w:val="-9"/>
                <w:sz w:val="21"/>
              </w:rPr>
              <w:t>合征的定义应按世界卫生组织制定的定义为准，如在血液样本中发现</w:t>
            </w:r>
            <w:r>
              <w:rPr>
                <w:spacing w:val="-12"/>
                <w:sz w:val="21"/>
              </w:rPr>
              <w:t>获得性免疫力缺乏综合征病毒或其抗体，则可认定为感染艾滋病或艾滋病病毒。</w:t>
            </w:r>
          </w:p>
        </w:tc>
      </w:tr>
      <w:tr>
        <w:trPr>
          <w:trHeight w:val="623" w:hRule="atLeast"/>
        </w:trPr>
        <w:tc>
          <w:tcPr>
            <w:tcW w:w="2197" w:type="dxa"/>
          </w:tcPr>
          <w:p>
            <w:pPr>
              <w:pStyle w:val="TableParagraph"/>
              <w:ind w:left="200"/>
              <w:rPr>
                <w:sz w:val="21"/>
              </w:rPr>
            </w:pPr>
            <w:r>
              <w:rPr>
                <w:sz w:val="21"/>
              </w:rPr>
              <w:t>遗传性疾病：</w:t>
            </w:r>
          </w:p>
        </w:tc>
        <w:tc>
          <w:tcPr>
            <w:tcW w:w="6594" w:type="dxa"/>
          </w:tcPr>
          <w:p>
            <w:pPr>
              <w:pStyle w:val="TableParagraph"/>
              <w:rPr>
                <w:sz w:val="21"/>
              </w:rPr>
            </w:pPr>
            <w:r>
              <w:rPr>
                <w:sz w:val="21"/>
              </w:rPr>
              <w:t>指生殖细胞或受精卵的遗传物质（染色体和基因）发生突变或畸变所</w:t>
            </w:r>
          </w:p>
          <w:p>
            <w:pPr>
              <w:pStyle w:val="TableParagraph"/>
              <w:spacing w:line="240" w:lineRule="auto" w:before="37"/>
              <w:rPr>
                <w:sz w:val="21"/>
              </w:rPr>
            </w:pPr>
            <w:r>
              <w:rPr>
                <w:sz w:val="21"/>
              </w:rPr>
              <w:t>引起的疾病，通常具有由亲代传至后代的垂直传递的特征。</w:t>
            </w:r>
          </w:p>
        </w:tc>
      </w:tr>
      <w:tr>
        <w:trPr>
          <w:trHeight w:val="936" w:hRule="atLeast"/>
        </w:trPr>
        <w:tc>
          <w:tcPr>
            <w:tcW w:w="2197" w:type="dxa"/>
          </w:tcPr>
          <w:p>
            <w:pPr>
              <w:pStyle w:val="TableParagraph"/>
              <w:ind w:left="200"/>
              <w:rPr>
                <w:sz w:val="21"/>
              </w:rPr>
            </w:pPr>
            <w:r>
              <w:rPr>
                <w:sz w:val="21"/>
              </w:rPr>
              <w:t>先天性畸形、变形或</w:t>
            </w:r>
          </w:p>
          <w:p>
            <w:pPr>
              <w:pStyle w:val="TableParagraph"/>
              <w:spacing w:line="240" w:lineRule="auto" w:before="37"/>
              <w:ind w:left="200"/>
              <w:rPr>
                <w:sz w:val="21"/>
              </w:rPr>
            </w:pPr>
            <w:r>
              <w:rPr>
                <w:sz w:val="21"/>
              </w:rPr>
              <w:t>染色体异常：</w:t>
            </w:r>
          </w:p>
        </w:tc>
        <w:tc>
          <w:tcPr>
            <w:tcW w:w="6594" w:type="dxa"/>
          </w:tcPr>
          <w:p>
            <w:pPr>
              <w:pStyle w:val="TableParagraph"/>
              <w:rPr>
                <w:sz w:val="21"/>
              </w:rPr>
            </w:pPr>
            <w:r>
              <w:rPr>
                <w:sz w:val="21"/>
              </w:rPr>
              <w:t>指被保险人出生时就具有的畸形、变形或染色体异常。先天性畸形、</w:t>
            </w:r>
          </w:p>
          <w:p>
            <w:pPr>
              <w:pStyle w:val="TableParagraph"/>
              <w:spacing w:line="273" w:lineRule="auto" w:before="37"/>
              <w:ind w:right="275"/>
              <w:rPr>
                <w:sz w:val="21"/>
              </w:rPr>
            </w:pPr>
            <w:r>
              <w:rPr>
                <w:spacing w:val="-8"/>
                <w:sz w:val="21"/>
              </w:rPr>
              <w:t>变形和染色体异常依照世界卫生组织《疾病和有关健康问题的国际统</w:t>
            </w:r>
            <w:r>
              <w:rPr>
                <w:spacing w:val="-28"/>
                <w:sz w:val="21"/>
              </w:rPr>
              <w:t>计分类》</w:t>
            </w:r>
            <w:r>
              <w:rPr>
                <w:spacing w:val="-1"/>
                <w:sz w:val="21"/>
              </w:rPr>
              <w:t>（ICD-10）</w:t>
            </w:r>
            <w:r>
              <w:rPr>
                <w:spacing w:val="-2"/>
                <w:sz w:val="21"/>
              </w:rPr>
              <w:t>确定。</w:t>
            </w:r>
          </w:p>
        </w:tc>
      </w:tr>
      <w:tr>
        <w:trPr>
          <w:trHeight w:val="1248" w:hRule="atLeast"/>
        </w:trPr>
        <w:tc>
          <w:tcPr>
            <w:tcW w:w="2197" w:type="dxa"/>
          </w:tcPr>
          <w:p>
            <w:pPr>
              <w:pStyle w:val="TableParagraph"/>
              <w:ind w:left="200"/>
              <w:rPr>
                <w:sz w:val="21"/>
              </w:rPr>
            </w:pPr>
            <w:r>
              <w:rPr>
                <w:sz w:val="21"/>
              </w:rPr>
              <w:t>毒品：</w:t>
            </w:r>
          </w:p>
        </w:tc>
        <w:tc>
          <w:tcPr>
            <w:tcW w:w="6594" w:type="dxa"/>
          </w:tcPr>
          <w:p>
            <w:pPr>
              <w:pStyle w:val="TableParagraph"/>
              <w:rPr>
                <w:sz w:val="21"/>
              </w:rPr>
            </w:pPr>
            <w:r>
              <w:rPr>
                <w:spacing w:val="-1"/>
                <w:sz w:val="21"/>
              </w:rPr>
              <w:t>指中华人民共和国刑法规定的鸦片、海洛因、甲基苯丙胺</w:t>
            </w:r>
            <w:r>
              <w:rPr>
                <w:sz w:val="21"/>
              </w:rPr>
              <w:t>（冰毒</w:t>
            </w:r>
            <w:r>
              <w:rPr>
                <w:spacing w:val="-106"/>
                <w:sz w:val="21"/>
              </w:rPr>
              <w:t>）</w:t>
            </w:r>
            <w:r>
              <w:rPr>
                <w:sz w:val="21"/>
              </w:rPr>
              <w:t>、</w:t>
            </w:r>
          </w:p>
          <w:p>
            <w:pPr>
              <w:pStyle w:val="TableParagraph"/>
              <w:spacing w:line="273" w:lineRule="auto" w:before="37"/>
              <w:ind w:right="275"/>
              <w:jc w:val="both"/>
              <w:rPr>
                <w:sz w:val="21"/>
              </w:rPr>
            </w:pPr>
            <w:r>
              <w:rPr>
                <w:spacing w:val="-10"/>
                <w:sz w:val="21"/>
              </w:rPr>
              <w:t>吗啡、大麻、可卡因以及国家规定管制的其他能够使人形成瘾癖的麻</w:t>
            </w:r>
            <w:r>
              <w:rPr>
                <w:spacing w:val="-12"/>
                <w:sz w:val="21"/>
              </w:rPr>
              <w:t>醉药品和精神药品，但不包括由医生开具并遵医嘱使用的用于治疗疾</w:t>
            </w:r>
            <w:r>
              <w:rPr>
                <w:spacing w:val="-8"/>
                <w:sz w:val="21"/>
              </w:rPr>
              <w:t>病但含有毒品成分的处方药品。</w:t>
            </w:r>
          </w:p>
        </w:tc>
      </w:tr>
      <w:tr>
        <w:trPr>
          <w:trHeight w:val="936" w:hRule="atLeast"/>
        </w:trPr>
        <w:tc>
          <w:tcPr>
            <w:tcW w:w="2197" w:type="dxa"/>
          </w:tcPr>
          <w:p>
            <w:pPr>
              <w:pStyle w:val="TableParagraph"/>
              <w:ind w:left="200"/>
              <w:rPr>
                <w:sz w:val="21"/>
              </w:rPr>
            </w:pPr>
            <w:r>
              <w:rPr>
                <w:sz w:val="21"/>
              </w:rPr>
              <w:t>酒后驾驶：</w:t>
            </w:r>
          </w:p>
        </w:tc>
        <w:tc>
          <w:tcPr>
            <w:tcW w:w="6594" w:type="dxa"/>
          </w:tcPr>
          <w:p>
            <w:pPr>
              <w:pStyle w:val="TableParagraph"/>
              <w:rPr>
                <w:sz w:val="21"/>
              </w:rPr>
            </w:pPr>
            <w:r>
              <w:rPr>
                <w:sz w:val="21"/>
              </w:rPr>
              <w:t>指经检测或鉴定，发生事故时车辆驾驶人员每百毫升血液中的酒精含</w:t>
            </w:r>
          </w:p>
          <w:p>
            <w:pPr>
              <w:pStyle w:val="TableParagraph"/>
              <w:spacing w:line="273" w:lineRule="auto" w:before="37"/>
              <w:ind w:right="275"/>
              <w:rPr>
                <w:sz w:val="21"/>
              </w:rPr>
            </w:pPr>
            <w:r>
              <w:rPr>
                <w:spacing w:val="-8"/>
                <w:sz w:val="21"/>
              </w:rPr>
              <w:t>量达到或超过一定的标准，公安机关交通管理部门依据《道路交通安</w:t>
            </w:r>
            <w:r>
              <w:rPr>
                <w:spacing w:val="-6"/>
                <w:sz w:val="21"/>
              </w:rPr>
              <w:t>全法》的规定认定为饮酒后驾驶或醉酒后驾驶。</w:t>
            </w:r>
          </w:p>
        </w:tc>
      </w:tr>
      <w:tr>
        <w:trPr>
          <w:trHeight w:val="1871" w:hRule="atLeast"/>
        </w:trPr>
        <w:tc>
          <w:tcPr>
            <w:tcW w:w="2197" w:type="dxa"/>
          </w:tcPr>
          <w:p>
            <w:pPr>
              <w:pStyle w:val="TableParagraph"/>
              <w:ind w:left="200"/>
              <w:rPr>
                <w:sz w:val="21"/>
              </w:rPr>
            </w:pPr>
            <w:r>
              <w:rPr>
                <w:sz w:val="21"/>
              </w:rPr>
              <w:t>无合法有效驾驶证</w:t>
            </w:r>
          </w:p>
          <w:p>
            <w:pPr>
              <w:pStyle w:val="TableParagraph"/>
              <w:spacing w:line="240" w:lineRule="auto" w:before="37"/>
              <w:ind w:left="200"/>
              <w:rPr>
                <w:sz w:val="21"/>
              </w:rPr>
            </w:pPr>
            <w:r>
              <w:rPr>
                <w:sz w:val="21"/>
              </w:rPr>
              <w:t>驾驶：</w:t>
            </w:r>
          </w:p>
        </w:tc>
        <w:tc>
          <w:tcPr>
            <w:tcW w:w="6594" w:type="dxa"/>
          </w:tcPr>
          <w:p>
            <w:pPr>
              <w:pStyle w:val="TableParagraph"/>
              <w:rPr>
                <w:sz w:val="21"/>
              </w:rPr>
            </w:pPr>
            <w:r>
              <w:rPr>
                <w:sz w:val="21"/>
              </w:rPr>
              <w:t>指下列情形之一：</w:t>
            </w:r>
          </w:p>
          <w:p>
            <w:pPr>
              <w:pStyle w:val="TableParagraph"/>
              <w:numPr>
                <w:ilvl w:val="0"/>
                <w:numId w:val="4"/>
              </w:numPr>
              <w:tabs>
                <w:tab w:pos="931" w:val="left" w:leader="none"/>
                <w:tab w:pos="932" w:val="left" w:leader="none"/>
              </w:tabs>
              <w:spacing w:line="240" w:lineRule="auto" w:before="37" w:after="0"/>
              <w:ind w:left="91" w:right="0" w:firstLine="0"/>
              <w:jc w:val="left"/>
              <w:rPr>
                <w:sz w:val="21"/>
              </w:rPr>
            </w:pPr>
            <w:r>
              <w:rPr>
                <w:spacing w:val="-1"/>
                <w:sz w:val="21"/>
              </w:rPr>
              <w:t>没有取得驾驶资格；</w:t>
            </w:r>
          </w:p>
          <w:p>
            <w:pPr>
              <w:pStyle w:val="TableParagraph"/>
              <w:numPr>
                <w:ilvl w:val="0"/>
                <w:numId w:val="4"/>
              </w:numPr>
              <w:tabs>
                <w:tab w:pos="931" w:val="left" w:leader="none"/>
                <w:tab w:pos="932" w:val="left" w:leader="none"/>
              </w:tabs>
              <w:spacing w:line="240" w:lineRule="auto" w:before="37" w:after="0"/>
              <w:ind w:left="91" w:right="0" w:firstLine="0"/>
              <w:jc w:val="left"/>
              <w:rPr>
                <w:sz w:val="21"/>
              </w:rPr>
            </w:pPr>
            <w:r>
              <w:rPr>
                <w:spacing w:val="-4"/>
                <w:sz w:val="21"/>
              </w:rPr>
              <w:t>驾驶与驾驶证准驾车型不相符合的车辆；</w:t>
            </w:r>
          </w:p>
          <w:p>
            <w:pPr>
              <w:pStyle w:val="TableParagraph"/>
              <w:numPr>
                <w:ilvl w:val="0"/>
                <w:numId w:val="4"/>
              </w:numPr>
              <w:tabs>
                <w:tab w:pos="930" w:val="left" w:leader="none"/>
                <w:tab w:pos="931" w:val="left" w:leader="none"/>
              </w:tabs>
              <w:spacing w:line="240" w:lineRule="auto" w:before="37" w:after="0"/>
              <w:ind w:left="930" w:right="0" w:hanging="839"/>
              <w:jc w:val="left"/>
              <w:rPr>
                <w:sz w:val="21"/>
              </w:rPr>
            </w:pPr>
            <w:r>
              <w:rPr>
                <w:spacing w:val="-2"/>
                <w:sz w:val="21"/>
              </w:rPr>
              <w:t>持审验不合格的驾驶证驾驶；</w:t>
            </w:r>
          </w:p>
          <w:p>
            <w:pPr>
              <w:pStyle w:val="TableParagraph"/>
              <w:numPr>
                <w:ilvl w:val="0"/>
                <w:numId w:val="4"/>
              </w:numPr>
              <w:tabs>
                <w:tab w:pos="931" w:val="left" w:leader="none"/>
                <w:tab w:pos="932" w:val="left" w:leader="none"/>
              </w:tabs>
              <w:spacing w:line="273" w:lineRule="auto" w:before="37" w:after="0"/>
              <w:ind w:left="91" w:right="275" w:firstLine="0"/>
              <w:jc w:val="left"/>
              <w:rPr>
                <w:sz w:val="21"/>
              </w:rPr>
            </w:pPr>
            <w:r>
              <w:rPr>
                <w:spacing w:val="-8"/>
                <w:sz w:val="21"/>
              </w:rPr>
              <w:t>持学习驾驶证学习驾车时，无教练员随车指导，或不按指定</w:t>
            </w:r>
            <w:r>
              <w:rPr>
                <w:spacing w:val="-6"/>
                <w:sz w:val="21"/>
              </w:rPr>
              <w:t>时间、路线学习驾车。</w:t>
            </w:r>
          </w:p>
        </w:tc>
      </w:tr>
      <w:tr>
        <w:trPr>
          <w:trHeight w:val="935" w:hRule="atLeast"/>
        </w:trPr>
        <w:tc>
          <w:tcPr>
            <w:tcW w:w="2197" w:type="dxa"/>
          </w:tcPr>
          <w:p>
            <w:pPr>
              <w:pStyle w:val="TableParagraph"/>
              <w:ind w:left="200"/>
              <w:rPr>
                <w:sz w:val="21"/>
              </w:rPr>
            </w:pPr>
            <w:r>
              <w:rPr>
                <w:sz w:val="21"/>
              </w:rPr>
              <w:t>无有效行驶证：</w:t>
            </w:r>
          </w:p>
        </w:tc>
        <w:tc>
          <w:tcPr>
            <w:tcW w:w="6594" w:type="dxa"/>
          </w:tcPr>
          <w:p>
            <w:pPr>
              <w:pStyle w:val="TableParagraph"/>
              <w:rPr>
                <w:sz w:val="21"/>
              </w:rPr>
            </w:pPr>
            <w:r>
              <w:rPr>
                <w:sz w:val="21"/>
              </w:rPr>
              <w:t>指下列情形之一：</w:t>
            </w:r>
          </w:p>
          <w:p>
            <w:pPr>
              <w:pStyle w:val="TableParagraph"/>
              <w:numPr>
                <w:ilvl w:val="0"/>
                <w:numId w:val="5"/>
              </w:numPr>
              <w:tabs>
                <w:tab w:pos="931" w:val="left" w:leader="none"/>
                <w:tab w:pos="932" w:val="left" w:leader="none"/>
              </w:tabs>
              <w:spacing w:line="240" w:lineRule="auto" w:before="37" w:after="0"/>
              <w:ind w:left="931" w:right="0" w:hanging="840"/>
              <w:jc w:val="left"/>
              <w:rPr>
                <w:sz w:val="21"/>
              </w:rPr>
            </w:pPr>
            <w:r>
              <w:rPr>
                <w:spacing w:val="-2"/>
                <w:sz w:val="21"/>
              </w:rPr>
              <w:t>机动车被依法注销登记的；</w:t>
            </w:r>
          </w:p>
          <w:p>
            <w:pPr>
              <w:pStyle w:val="TableParagraph"/>
              <w:numPr>
                <w:ilvl w:val="0"/>
                <w:numId w:val="5"/>
              </w:numPr>
              <w:tabs>
                <w:tab w:pos="931" w:val="left" w:leader="none"/>
                <w:tab w:pos="932" w:val="left" w:leader="none"/>
              </w:tabs>
              <w:spacing w:line="240" w:lineRule="auto" w:before="37" w:after="0"/>
              <w:ind w:left="931" w:right="0" w:hanging="840"/>
              <w:jc w:val="left"/>
              <w:rPr>
                <w:sz w:val="21"/>
              </w:rPr>
            </w:pPr>
            <w:r>
              <w:rPr>
                <w:spacing w:val="-4"/>
                <w:sz w:val="21"/>
              </w:rPr>
              <w:t>未依法按时进行或通过机动车安全技术检验。</w:t>
            </w:r>
          </w:p>
        </w:tc>
      </w:tr>
      <w:tr>
        <w:trPr>
          <w:trHeight w:val="573" w:hRule="atLeast"/>
        </w:trPr>
        <w:tc>
          <w:tcPr>
            <w:tcW w:w="2197" w:type="dxa"/>
          </w:tcPr>
          <w:p>
            <w:pPr>
              <w:pStyle w:val="TableParagraph"/>
              <w:ind w:left="200"/>
              <w:rPr>
                <w:sz w:val="21"/>
              </w:rPr>
            </w:pPr>
            <w:r>
              <w:rPr>
                <w:sz w:val="21"/>
              </w:rPr>
              <w:t>减额交清：</w:t>
            </w:r>
          </w:p>
        </w:tc>
        <w:tc>
          <w:tcPr>
            <w:tcW w:w="6594" w:type="dxa"/>
          </w:tcPr>
          <w:p>
            <w:pPr>
              <w:pStyle w:val="TableParagraph"/>
              <w:rPr>
                <w:sz w:val="21"/>
              </w:rPr>
            </w:pPr>
            <w:r>
              <w:rPr>
                <w:sz w:val="21"/>
              </w:rPr>
              <w:t>当投保人决定不再支付本合同的续期保险费时，可以本合同的现金价</w:t>
            </w:r>
          </w:p>
          <w:p>
            <w:pPr>
              <w:pStyle w:val="TableParagraph"/>
              <w:spacing w:line="260" w:lineRule="exact" w:before="37"/>
              <w:rPr>
                <w:sz w:val="21"/>
              </w:rPr>
            </w:pPr>
            <w:r>
              <w:rPr>
                <w:sz w:val="21"/>
              </w:rPr>
              <w:t>值净额作为一次性交清的净保险费，重新计算本合同的保险金额，保</w:t>
            </w:r>
          </w:p>
        </w:tc>
      </w:tr>
    </w:tbl>
    <w:p>
      <w:pPr>
        <w:spacing w:after="0" w:line="260" w:lineRule="exact"/>
        <w:rPr>
          <w:sz w:val="21"/>
        </w:rPr>
        <w:sectPr>
          <w:pgSz w:w="11910" w:h="16840"/>
          <w:pgMar w:header="0" w:footer="929" w:top="1480" w:bottom="1120" w:left="1440" w:right="1440"/>
        </w:sectPr>
      </w:pPr>
    </w:p>
    <w:p>
      <w:pPr>
        <w:pStyle w:val="BodyText"/>
        <w:spacing w:line="273" w:lineRule="auto" w:before="11"/>
        <w:ind w:left="2204" w:right="411"/>
        <w:jc w:val="both"/>
      </w:pPr>
      <w:r>
        <w:rPr>
          <w:spacing w:val="-8"/>
        </w:rPr>
        <w:t>险金额相应降低，本合同继续有效。其中，现金价值净额是指在投保</w:t>
      </w:r>
      <w:r>
        <w:rPr>
          <w:spacing w:val="-12"/>
        </w:rPr>
        <w:t>人申请减额交清当日，本合同的现金价值扣除投保人尚未清偿的各种</w:t>
      </w:r>
      <w:r>
        <w:rPr>
          <w:spacing w:val="-8"/>
        </w:rPr>
        <w:t>款项之后的余额。</w:t>
      </w:r>
    </w:p>
    <w:p>
      <w:pPr>
        <w:pStyle w:val="BodyText"/>
        <w:ind w:left="0"/>
        <w:rPr>
          <w:sz w:val="20"/>
        </w:rPr>
      </w:pPr>
    </w:p>
    <w:p>
      <w:pPr>
        <w:pStyle w:val="BodyText"/>
        <w:spacing w:before="6"/>
        <w:ind w:left="0"/>
        <w:rPr>
          <w:sz w:val="23"/>
        </w:rPr>
      </w:pPr>
    </w:p>
    <w:p>
      <w:pPr>
        <w:pStyle w:val="Heading2"/>
        <w:spacing w:line="337" w:lineRule="exact"/>
      </w:pPr>
      <w:r>
        <w:rPr/>
        <w:t>本合同所指重大疾病：</w:t>
      </w:r>
    </w:p>
    <w:p>
      <w:pPr>
        <w:spacing w:line="337" w:lineRule="exact" w:before="0"/>
        <w:ind w:left="116" w:right="0" w:firstLine="0"/>
        <w:jc w:val="left"/>
        <w:rPr>
          <w:rFonts w:ascii="微软雅黑" w:eastAsia="微软雅黑" w:hint="eastAsia"/>
          <w:b/>
          <w:sz w:val="21"/>
        </w:rPr>
      </w:pPr>
      <w:r>
        <w:rPr>
          <w:rFonts w:ascii="微软雅黑" w:eastAsia="微软雅黑" w:hint="eastAsia"/>
          <w:b/>
          <w:sz w:val="21"/>
        </w:rPr>
        <w:t>1、 恶性肿瘤：</w:t>
      </w:r>
    </w:p>
    <w:p>
      <w:pPr>
        <w:pStyle w:val="BodyText"/>
        <w:spacing w:line="273" w:lineRule="auto" w:before="12"/>
        <w:ind w:right="214" w:firstLine="422"/>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8"/>
        <w:ind w:left="539"/>
      </w:pPr>
      <w:r>
        <w:rPr/>
        <w:t>下列疾病不在保障范围内：</w:t>
      </w:r>
    </w:p>
    <w:p>
      <w:pPr>
        <w:pStyle w:val="BodyText"/>
        <w:spacing w:before="37"/>
        <w:ind w:left="409"/>
      </w:pPr>
      <w:r>
        <w:rPr/>
        <w:t>（1）原位癌；</w:t>
      </w:r>
    </w:p>
    <w:p>
      <w:pPr>
        <w:pStyle w:val="BodyText"/>
        <w:spacing w:before="37"/>
        <w:ind w:left="409"/>
      </w:pPr>
      <w:r>
        <w:rPr/>
        <w:t>（2）相当于Binet 分期方案 A 期程度的慢性淋巴细胞白血病；</w:t>
      </w:r>
    </w:p>
    <w:p>
      <w:pPr>
        <w:pStyle w:val="BodyText"/>
        <w:spacing w:before="37"/>
        <w:ind w:left="409"/>
      </w:pPr>
      <w:r>
        <w:rPr/>
        <w:t>（3）相当于Ann Arbor 分期方案 I 期程度的何杰金氏病；</w:t>
      </w:r>
    </w:p>
    <w:p>
      <w:pPr>
        <w:pStyle w:val="BodyText"/>
        <w:spacing w:before="37"/>
        <w:ind w:left="409"/>
      </w:pPr>
      <w:r>
        <w:rPr>
          <w:w w:val="100"/>
        </w:rPr>
        <w:t>（4）</w:t>
      </w:r>
      <w:r>
        <w:rPr>
          <w:spacing w:val="-2"/>
          <w:w w:val="100"/>
        </w:rPr>
        <w:t>皮肤癌</w:t>
      </w:r>
      <w:r>
        <w:rPr>
          <w:w w:val="100"/>
        </w:rPr>
        <w:t>（</w:t>
      </w:r>
      <w:r>
        <w:rPr>
          <w:spacing w:val="-5"/>
          <w:w w:val="100"/>
        </w:rPr>
        <w:t>不包括恶性黑色素瘤及已发生转移的皮肤癌</w:t>
      </w:r>
      <w:r>
        <w:rPr>
          <w:spacing w:val="-106"/>
          <w:w w:val="100"/>
        </w:rPr>
        <w:t>）</w:t>
      </w:r>
      <w:r>
        <w:rPr>
          <w:w w:val="100"/>
        </w:rPr>
        <w:t>；</w:t>
      </w:r>
    </w:p>
    <w:p>
      <w:pPr>
        <w:pStyle w:val="ListParagraph"/>
        <w:numPr>
          <w:ilvl w:val="0"/>
          <w:numId w:val="6"/>
        </w:numPr>
        <w:tabs>
          <w:tab w:pos="939" w:val="left" w:leader="none"/>
        </w:tabs>
        <w:spacing w:line="240" w:lineRule="auto" w:before="37" w:after="0"/>
        <w:ind w:left="938" w:right="0" w:hanging="529"/>
        <w:jc w:val="left"/>
        <w:rPr>
          <w:sz w:val="21"/>
        </w:rPr>
      </w:pPr>
      <w:r>
        <w:rPr>
          <w:position w:val="1"/>
          <w:sz w:val="21"/>
        </w:rPr>
        <w:t>TNM</w:t>
      </w:r>
      <w:r>
        <w:rPr>
          <w:spacing w:val="-21"/>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38"/>
          <w:sz w:val="11"/>
        </w:rPr>
        <w:t> </w:t>
      </w:r>
      <w:r>
        <w:rPr>
          <w:spacing w:val="-4"/>
          <w:position w:val="1"/>
          <w:sz w:val="21"/>
        </w:rPr>
        <w:t>期或更轻分期的前列腺癌；</w:t>
      </w:r>
    </w:p>
    <w:p>
      <w:pPr>
        <w:pStyle w:val="BodyText"/>
        <w:spacing w:line="262" w:lineRule="exact" w:before="37"/>
        <w:ind w:left="409"/>
      </w:pPr>
      <w:r>
        <w:rPr/>
        <w:t>（6）感染艾滋病病毒或患艾滋病期间所患恶性肿瘤。</w:t>
      </w:r>
    </w:p>
    <w:p>
      <w:pPr>
        <w:pStyle w:val="Heading2"/>
        <w:spacing w:line="350" w:lineRule="exact"/>
      </w:pPr>
      <w:r>
        <w:rPr/>
        <w:t>2、 急性心肌梗塞：</w:t>
      </w:r>
    </w:p>
    <w:p>
      <w:pPr>
        <w:pStyle w:val="BodyText"/>
        <w:spacing w:line="273" w:lineRule="auto" w:before="12"/>
        <w:ind w:right="214" w:firstLine="422"/>
      </w:pPr>
      <w:r>
        <w:rPr/>
        <w:t>指因冠状动脉阻塞导致的相应区域供血不足造成部分心肌坏死。须满足下列至少三项条件：</w:t>
      </w:r>
    </w:p>
    <w:p>
      <w:pPr>
        <w:pStyle w:val="BodyText"/>
        <w:spacing w:before="7"/>
        <w:ind w:left="409"/>
      </w:pPr>
      <w:r>
        <w:rPr/>
        <w:t>（1）典型临床表现，例如急性胸痛等；</w:t>
      </w:r>
    </w:p>
    <w:p>
      <w:pPr>
        <w:pStyle w:val="BodyText"/>
        <w:spacing w:before="36"/>
        <w:ind w:left="409"/>
      </w:pPr>
      <w:r>
        <w:rPr/>
        <w:t>（2）新近的心电图改变提示急性心肌梗塞；</w:t>
      </w:r>
    </w:p>
    <w:p>
      <w:pPr>
        <w:pStyle w:val="BodyText"/>
        <w:spacing w:before="36"/>
        <w:ind w:left="409"/>
      </w:pPr>
      <w:r>
        <w:rPr/>
        <w:t>（3）心肌酶或肌钙蛋白有诊断意义的升高，或呈符合急性心肌梗塞的动态性变化；</w:t>
      </w:r>
    </w:p>
    <w:p>
      <w:pPr>
        <w:pStyle w:val="BodyText"/>
        <w:spacing w:line="262" w:lineRule="exact" w:before="36"/>
        <w:ind w:left="409"/>
      </w:pPr>
      <w:r>
        <w:rPr/>
        <w:drawing>
          <wp:anchor distT="0" distB="0" distL="0" distR="0" allowOverlap="1" layoutInCell="1" locked="0" behindDoc="1" simplePos="0" relativeHeight="268422671">
            <wp:simplePos x="0" y="0"/>
            <wp:positionH relativeFrom="page">
              <wp:posOffset>5739438</wp:posOffset>
            </wp:positionH>
            <wp:positionV relativeFrom="paragraph">
              <wp:posOffset>77008</wp:posOffset>
            </wp:positionV>
            <wp:extent cx="60324" cy="10477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0324" cy="104774"/>
                    </a:xfrm>
                    <a:prstGeom prst="rect">
                      <a:avLst/>
                    </a:prstGeom>
                  </pic:spPr>
                </pic:pic>
              </a:graphicData>
            </a:graphic>
          </wp:anchor>
        </w:drawing>
      </w:r>
      <w:r>
        <w:rPr/>
        <w:t>（4）发病 90 天后，经检查证实左心室功能降低，如左心室射血分数低于 50。</w:t>
      </w:r>
    </w:p>
    <w:p>
      <w:pPr>
        <w:pStyle w:val="Heading2"/>
        <w:spacing w:line="350" w:lineRule="exact"/>
      </w:pPr>
      <w:r>
        <w:rPr/>
        <w:t>3、 脑中风后遗症：</w:t>
      </w:r>
    </w:p>
    <w:p>
      <w:pPr>
        <w:pStyle w:val="BodyText"/>
        <w:spacing w:line="273" w:lineRule="auto" w:before="12"/>
        <w:ind w:right="214" w:firstLine="422"/>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452"/>
      </w:pPr>
      <w:r>
        <w:rPr/>
        <w:t>（1）一肢或一肢以上肢体机能完全丧失；</w:t>
      </w:r>
    </w:p>
    <w:p>
      <w:pPr>
        <w:pStyle w:val="BodyText"/>
        <w:spacing w:before="36"/>
        <w:ind w:left="452"/>
      </w:pPr>
      <w:r>
        <w:rPr/>
        <w:t>（2）语言能力或咀嚼吞咽能力完全丧失；</w:t>
      </w:r>
    </w:p>
    <w:p>
      <w:pPr>
        <w:pStyle w:val="BodyText"/>
        <w:spacing w:line="262" w:lineRule="exact" w:before="36"/>
        <w:ind w:left="452"/>
      </w:pPr>
      <w:r>
        <w:rPr/>
        <w:t>（3）自主生活能力完全丧失，无法独立完成六项基本日常生活活动中的三项或三项以上。</w:t>
      </w:r>
    </w:p>
    <w:p>
      <w:pPr>
        <w:pStyle w:val="Heading2"/>
        <w:spacing w:line="350" w:lineRule="exact"/>
      </w:pPr>
      <w:r>
        <w:rPr/>
        <w:t>4、 重大器官移植术或造血干细胞移植术：</w:t>
      </w:r>
    </w:p>
    <w:p>
      <w:pPr>
        <w:pStyle w:val="BodyText"/>
        <w:spacing w:line="273" w:lineRule="auto" w:before="12"/>
        <w:ind w:right="214" w:firstLine="422"/>
        <w:jc w:val="both"/>
      </w:pPr>
      <w:r>
        <w:rPr/>
        <w:t>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Heading2"/>
      </w:pPr>
      <w:r>
        <w:rPr>
          <w:w w:val="81"/>
        </w:rPr>
        <w:t>5</w:t>
      </w:r>
      <w:r>
        <w:rPr>
          <w:w w:val="100"/>
        </w:rPr>
        <w:t>、</w:t>
      </w:r>
      <w:r>
        <w:rPr>
          <w:spacing w:val="-10"/>
        </w:rPr>
        <w:t>  </w:t>
      </w:r>
      <w:r>
        <w:rPr>
          <w:w w:val="100"/>
        </w:rPr>
        <w:t>冠状动脉搭桥术（</w:t>
      </w:r>
      <w:r>
        <w:rPr>
          <w:spacing w:val="-1"/>
          <w:w w:val="100"/>
        </w:rPr>
        <w:t>或称冠状动脉旁路移植术</w:t>
      </w:r>
      <w:r>
        <w:rPr>
          <w:spacing w:val="-106"/>
          <w:w w:val="100"/>
        </w:rPr>
        <w:t>）</w:t>
      </w:r>
      <w:r>
        <w:rPr>
          <w:w w:val="100"/>
        </w:rPr>
        <w:t>：</w:t>
      </w:r>
    </w:p>
    <w:p>
      <w:pPr>
        <w:pStyle w:val="BodyText"/>
        <w:spacing w:before="12"/>
        <w:ind w:left="539"/>
      </w:pPr>
      <w:r>
        <w:rPr/>
        <w:t>指为治疗严重的冠心病，实际实施了开胸进行的冠状动脉血管旁路移植的手术。</w:t>
      </w:r>
    </w:p>
    <w:p>
      <w:pPr>
        <w:pStyle w:val="BodyText"/>
        <w:spacing w:line="273" w:lineRule="auto" w:before="37"/>
        <w:ind w:right="214" w:firstLine="422"/>
      </w:pPr>
      <w:r>
        <w:rPr/>
        <w:t>冠状动脉支架植入术、心导管球囊扩张术、激光射频技术及其它非开胸的介入手术、腔镜手术不在保障范围内。</w:t>
      </w:r>
    </w:p>
    <w:p>
      <w:pPr>
        <w:pStyle w:val="Heading2"/>
      </w:pPr>
      <w:r>
        <w:rPr>
          <w:w w:val="81"/>
        </w:rPr>
        <w:t>6</w:t>
      </w:r>
      <w:r>
        <w:rPr>
          <w:w w:val="100"/>
        </w:rPr>
        <w:t>、</w:t>
      </w:r>
      <w:r>
        <w:rPr>
          <w:spacing w:val="-10"/>
        </w:rPr>
        <w:t>  </w:t>
      </w:r>
      <w:r>
        <w:rPr>
          <w:w w:val="100"/>
        </w:rPr>
        <w:t>终末期肾病（</w:t>
      </w:r>
      <w:r>
        <w:rPr>
          <w:spacing w:val="-1"/>
          <w:w w:val="100"/>
        </w:rPr>
        <w:t>或称慢性肾功能衰竭尿毒症期</w:t>
      </w:r>
      <w:r>
        <w:rPr>
          <w:spacing w:val="-106"/>
          <w:w w:val="100"/>
        </w:rPr>
        <w:t>）</w:t>
      </w:r>
      <w:r>
        <w:rPr>
          <w:w w:val="100"/>
        </w:rPr>
        <w:t>：</w:t>
      </w:r>
    </w:p>
    <w:p>
      <w:pPr>
        <w:pStyle w:val="BodyText"/>
        <w:spacing w:line="273" w:lineRule="auto" w:before="12"/>
        <w:ind w:right="214" w:firstLine="422"/>
      </w:pPr>
      <w:r>
        <w:rPr>
          <w:spacing w:val="-6"/>
        </w:rPr>
        <w:t>指双肾功能慢性不可逆性衰竭，达到尿毒症期，经诊断后已经进行了至少 </w:t>
      </w:r>
      <w:r>
        <w:rPr/>
        <w:t>90</w:t>
      </w:r>
      <w:r>
        <w:rPr>
          <w:spacing w:val="-7"/>
        </w:rPr>
        <w:t> 天的规律性</w:t>
      </w:r>
      <w:r>
        <w:rPr>
          <w:spacing w:val="-6"/>
        </w:rPr>
        <w:t>透析治疗或实施了肾脏移植手术。</w:t>
      </w:r>
    </w:p>
    <w:p>
      <w:pPr>
        <w:pStyle w:val="Heading2"/>
      </w:pPr>
      <w:r>
        <w:rPr/>
        <w:t>7、 多个肢体缺失：</w:t>
      </w:r>
    </w:p>
    <w:p>
      <w:pPr>
        <w:pStyle w:val="BodyText"/>
        <w:spacing w:before="11"/>
        <w:ind w:left="539"/>
      </w:pPr>
      <w:r>
        <w:rPr/>
        <w:t>指因疾病或意外伤害导致两个或两个以上肢体自腕关节或踝关节近端（靠近躯干端）以</w:t>
      </w:r>
    </w:p>
    <w:p>
      <w:pPr>
        <w:spacing w:after="0"/>
        <w:sectPr>
          <w:pgSz w:w="11910" w:h="16840"/>
          <w:pgMar w:header="0" w:footer="929" w:top="1400" w:bottom="1120" w:left="1640" w:right="1420"/>
        </w:sectPr>
      </w:pPr>
    </w:p>
    <w:p>
      <w:pPr>
        <w:pStyle w:val="BodyText"/>
        <w:spacing w:line="262" w:lineRule="exact" w:before="11"/>
        <w:ind w:left="156"/>
      </w:pPr>
      <w:r>
        <w:rPr/>
        <w:t>上完全性断离。</w:t>
      </w:r>
    </w:p>
    <w:p>
      <w:pPr>
        <w:pStyle w:val="Heading2"/>
        <w:spacing w:line="350" w:lineRule="exact"/>
        <w:ind w:left="156"/>
      </w:pPr>
      <w:r>
        <w:rPr/>
        <w:t>8、 急性或亚急性重症肝炎：</w:t>
      </w:r>
    </w:p>
    <w:p>
      <w:pPr>
        <w:pStyle w:val="BodyText"/>
        <w:spacing w:line="273" w:lineRule="auto" w:before="12"/>
        <w:ind w:left="156" w:right="194" w:firstLine="422"/>
        <w:jc w:val="both"/>
      </w:pPr>
      <w:r>
        <w:rPr/>
        <w:t>指因肝炎病毒感染引起肝脏组织弥漫性坏死，导致急性肝功能衰竭，且经血清学或病毒学检查证实，并须满足下列全部条件：</w:t>
      </w:r>
    </w:p>
    <w:p>
      <w:pPr>
        <w:pStyle w:val="BodyText"/>
        <w:spacing w:before="7"/>
        <w:ind w:left="463"/>
      </w:pPr>
      <w:r>
        <w:rPr/>
        <w:t>（1）重度黄疸或黄疸迅速加重；</w:t>
      </w:r>
    </w:p>
    <w:p>
      <w:pPr>
        <w:pStyle w:val="BodyText"/>
        <w:spacing w:before="36"/>
        <w:ind w:left="463"/>
      </w:pPr>
      <w:r>
        <w:rPr/>
        <w:t>（2）肝性脑病；</w:t>
      </w:r>
    </w:p>
    <w:p>
      <w:pPr>
        <w:pStyle w:val="BodyText"/>
        <w:spacing w:before="36"/>
        <w:ind w:left="463"/>
      </w:pPr>
      <w:r>
        <w:rPr/>
        <w:t>（3）B 超或其它影像学检查显示肝脏体积急速萎缩；</w:t>
      </w:r>
    </w:p>
    <w:p>
      <w:pPr>
        <w:pStyle w:val="BodyText"/>
        <w:spacing w:line="262" w:lineRule="exact" w:before="36"/>
        <w:ind w:left="463"/>
      </w:pPr>
      <w:r>
        <w:rPr/>
        <w:t>（4）肝功能指标进行性恶化。</w:t>
      </w:r>
    </w:p>
    <w:p>
      <w:pPr>
        <w:pStyle w:val="Heading2"/>
        <w:spacing w:line="350" w:lineRule="exact"/>
        <w:ind w:left="156"/>
      </w:pPr>
      <w:r>
        <w:rPr/>
        <w:t>9、 良性脑肿瘤：</w:t>
      </w:r>
    </w:p>
    <w:p>
      <w:pPr>
        <w:pStyle w:val="BodyText"/>
        <w:spacing w:line="273" w:lineRule="auto" w:before="12"/>
        <w:ind w:left="156" w:right="194" w:firstLine="422"/>
        <w:jc w:val="both"/>
      </w:pPr>
      <w:r>
        <w:rPr/>
        <w:t>指脑的良性肿瘤，已经引起颅内压增高，临床表现为视神经乳头水肿、精神症状、癫痫</w:t>
      </w:r>
      <w:r>
        <w:rPr>
          <w:w w:val="100"/>
        </w:rPr>
        <w:t>及运动感觉障碍等，并危及生命。须由头颅断层扫描</w:t>
      </w:r>
      <w:r>
        <w:rPr>
          <w:spacing w:val="3"/>
          <w:w w:val="100"/>
        </w:rPr>
        <w:t>（</w:t>
      </w:r>
      <w:r>
        <w:rPr>
          <w:w w:val="100"/>
        </w:rPr>
        <w:t>CT</w:t>
      </w:r>
      <w:r>
        <w:rPr>
          <w:spacing w:val="-106"/>
          <w:w w:val="100"/>
        </w:rPr>
        <w:t>）</w:t>
      </w:r>
      <w:r>
        <w:rPr>
          <w:w w:val="100"/>
        </w:rPr>
        <w:t>、核磁共振检查</w:t>
      </w:r>
      <w:r>
        <w:rPr>
          <w:spacing w:val="3"/>
          <w:w w:val="100"/>
        </w:rPr>
        <w:t>（</w:t>
      </w:r>
      <w:r>
        <w:rPr>
          <w:w w:val="100"/>
        </w:rPr>
        <w:t>MRI）或正电子</w:t>
      </w:r>
      <w:r>
        <w:rPr>
          <w:spacing w:val="-2"/>
        </w:rPr>
        <w:t>发射断层扫描</w:t>
      </w:r>
      <w:r>
        <w:rPr/>
        <w:t>（PET）</w:t>
      </w:r>
      <w:r>
        <w:rPr>
          <w:spacing w:val="-5"/>
        </w:rPr>
        <w:t>等影像学检查证实，并须满足下列至少一项条件：</w:t>
      </w:r>
    </w:p>
    <w:p>
      <w:pPr>
        <w:pStyle w:val="BodyText"/>
        <w:spacing w:before="7"/>
        <w:ind w:left="478"/>
      </w:pPr>
      <w:r>
        <w:rPr/>
        <w:t>（1）实际实施了开颅进行的脑肿瘤完全切除或部分切除的手术；</w:t>
      </w:r>
    </w:p>
    <w:p>
      <w:pPr>
        <w:pStyle w:val="BodyText"/>
        <w:spacing w:before="37"/>
        <w:ind w:left="478"/>
      </w:pPr>
      <w:r>
        <w:rPr/>
        <w:t>（2）实际实施了对脑肿瘤进行的放射治疗。</w:t>
      </w:r>
    </w:p>
    <w:p>
      <w:pPr>
        <w:pStyle w:val="BodyText"/>
        <w:spacing w:line="262" w:lineRule="exact" w:before="37"/>
        <w:ind w:left="579"/>
      </w:pPr>
      <w:r>
        <w:rPr/>
        <w:t>脑垂体瘤、脑囊肿、脑血管性疾病不在保障范围内。</w:t>
      </w:r>
    </w:p>
    <w:p>
      <w:pPr>
        <w:pStyle w:val="Heading2"/>
        <w:spacing w:line="350" w:lineRule="exact"/>
        <w:ind w:left="128"/>
      </w:pPr>
      <w:r>
        <w:rPr>
          <w:w w:val="95"/>
        </w:rPr>
        <w:t>10、慢性肝功能衰竭失代偿期：</w:t>
      </w:r>
    </w:p>
    <w:p>
      <w:pPr>
        <w:pStyle w:val="BodyText"/>
        <w:spacing w:before="12"/>
        <w:ind w:left="579"/>
      </w:pPr>
      <w:r>
        <w:rPr/>
        <w:t>指因慢性肝脏疾病导致肝功能衰竭。须满足下列全部条件：</w:t>
      </w:r>
    </w:p>
    <w:p>
      <w:pPr>
        <w:pStyle w:val="BodyText"/>
        <w:spacing w:before="37"/>
        <w:ind w:left="449"/>
      </w:pPr>
      <w:r>
        <w:rPr/>
        <w:t>（1）持续性黄疸；</w:t>
      </w:r>
    </w:p>
    <w:p>
      <w:pPr>
        <w:pStyle w:val="BodyText"/>
        <w:spacing w:before="37"/>
        <w:ind w:left="449"/>
      </w:pPr>
      <w:r>
        <w:rPr/>
        <w:t>（2）腹水；</w:t>
      </w:r>
    </w:p>
    <w:p>
      <w:pPr>
        <w:pStyle w:val="BodyText"/>
        <w:spacing w:before="37"/>
        <w:ind w:left="449"/>
      </w:pPr>
      <w:r>
        <w:rPr/>
        <w:t>（3）肝性脑病；</w:t>
      </w:r>
    </w:p>
    <w:p>
      <w:pPr>
        <w:pStyle w:val="BodyText"/>
        <w:spacing w:line="273" w:lineRule="auto" w:before="37"/>
        <w:ind w:left="578" w:right="3243" w:hanging="130"/>
      </w:pPr>
      <w:r>
        <w:rPr/>
        <w:t>（4）充血性脾肿大伴脾功能亢进或食管胃底静脉曲张。因酗酒或药物滥用导致的肝功能衰竭不在保障范围内。</w:t>
      </w:r>
    </w:p>
    <w:p>
      <w:pPr>
        <w:pStyle w:val="Heading2"/>
        <w:ind w:left="113"/>
      </w:pPr>
      <w:r>
        <w:rPr>
          <w:w w:val="95"/>
        </w:rPr>
        <w:t>11、  脑炎后遗症或脑膜炎后遗症：</w:t>
      </w:r>
    </w:p>
    <w:p>
      <w:pPr>
        <w:pStyle w:val="BodyText"/>
        <w:spacing w:line="273" w:lineRule="auto" w:before="12"/>
        <w:ind w:left="156" w:right="194" w:firstLine="422"/>
        <w:jc w:val="both"/>
      </w:pPr>
      <w:r>
        <w:rPr/>
        <w:t>指因患脑炎或脑膜炎导致的神经系统永久性的功能障碍。神经系统永久性的功能障碍， 指疾病确诊 180 天后，仍遗留下列一种或一种以上障碍：</w:t>
      </w:r>
    </w:p>
    <w:p>
      <w:pPr>
        <w:pStyle w:val="BodyText"/>
        <w:spacing w:before="8"/>
        <w:ind w:left="464"/>
      </w:pPr>
      <w:r>
        <w:rPr/>
        <w:t>（1）一肢或一肢以上肢体机能完全丧失；</w:t>
      </w:r>
    </w:p>
    <w:p>
      <w:pPr>
        <w:pStyle w:val="BodyText"/>
        <w:spacing w:before="37"/>
        <w:ind w:left="464"/>
      </w:pPr>
      <w:r>
        <w:rPr/>
        <w:t>（2）语言能力或咀嚼吞咽能力完全丧失；</w:t>
      </w:r>
    </w:p>
    <w:p>
      <w:pPr>
        <w:pStyle w:val="BodyText"/>
        <w:spacing w:line="262" w:lineRule="exact" w:before="37"/>
        <w:ind w:left="464"/>
      </w:pPr>
      <w:r>
        <w:rPr/>
        <w:t>（3）自主生活能力完全丧失，无法独立完成六项基本日常生活活动中的三项或三项以上。</w:t>
      </w:r>
    </w:p>
    <w:p>
      <w:pPr>
        <w:pStyle w:val="Heading2"/>
        <w:spacing w:line="350" w:lineRule="exact"/>
        <w:ind w:left="128"/>
      </w:pPr>
      <w:r>
        <w:rPr>
          <w:w w:val="95"/>
        </w:rPr>
        <w:t>12、深度昏迷：</w:t>
      </w:r>
    </w:p>
    <w:p>
      <w:pPr>
        <w:pStyle w:val="BodyText"/>
        <w:spacing w:line="273" w:lineRule="auto" w:before="11"/>
        <w:ind w:left="156" w:right="194" w:firstLine="422"/>
        <w:jc w:val="both"/>
      </w:pPr>
      <w:r>
        <w:rPr/>
        <w:t>指因疾病或意外伤害导致意识丧失,对外界刺激和体内需求均无反应,昏迷程度按照格拉</w:t>
      </w:r>
      <w:r>
        <w:rPr>
          <w:spacing w:val="-1"/>
        </w:rPr>
        <w:t>斯哥昏迷分级</w:t>
      </w:r>
      <w:r>
        <w:rPr/>
        <w:t>（Glasgow coma scale）</w:t>
      </w:r>
      <w:r>
        <w:rPr>
          <w:spacing w:val="-6"/>
        </w:rPr>
        <w:t>结果为 </w:t>
      </w:r>
      <w:r>
        <w:rPr/>
        <w:t>5</w:t>
      </w:r>
      <w:r>
        <w:rPr>
          <w:spacing w:val="-14"/>
        </w:rPr>
        <w:t> 分或 </w:t>
      </w:r>
      <w:r>
        <w:rPr/>
        <w:t>5</w:t>
      </w:r>
      <w:r>
        <w:rPr>
          <w:spacing w:val="-5"/>
        </w:rPr>
        <w:t> 分以下，且已经持续使用呼吸机及其</w:t>
      </w:r>
      <w:r>
        <w:rPr>
          <w:spacing w:val="-11"/>
        </w:rPr>
        <w:t>它生命维持系统 </w:t>
      </w:r>
      <w:r>
        <w:rPr/>
        <w:t>96</w:t>
      </w:r>
      <w:r>
        <w:rPr>
          <w:spacing w:val="-10"/>
        </w:rPr>
        <w:t> 小时以上。</w:t>
      </w:r>
    </w:p>
    <w:p>
      <w:pPr>
        <w:pStyle w:val="BodyText"/>
        <w:spacing w:line="262" w:lineRule="exact" w:before="7"/>
        <w:ind w:left="579"/>
      </w:pPr>
      <w:r>
        <w:rPr/>
        <w:t>因酗酒或药物滥用导致的深度昏迷不在保障范围内。</w:t>
      </w:r>
    </w:p>
    <w:p>
      <w:pPr>
        <w:pStyle w:val="Heading2"/>
        <w:spacing w:line="350" w:lineRule="exact"/>
        <w:ind w:left="128"/>
      </w:pPr>
      <w:r>
        <w:rPr>
          <w:w w:val="95"/>
        </w:rPr>
        <w:t>13、双耳失聪：</w:t>
      </w:r>
    </w:p>
    <w:p>
      <w:pPr>
        <w:pStyle w:val="BodyText"/>
        <w:spacing w:before="12"/>
        <w:ind w:left="579"/>
      </w:pPr>
      <w:r>
        <w:rPr>
          <w:spacing w:val="-8"/>
        </w:rPr>
        <w:t>指因疾病或意外伤害导致双耳听力永久不可逆性丧失，在 </w:t>
      </w:r>
      <w:r>
        <w:rPr/>
        <w:t>500</w:t>
      </w:r>
      <w:r>
        <w:rPr>
          <w:spacing w:val="-20"/>
        </w:rPr>
        <w:t> 赫兹、</w:t>
      </w:r>
      <w:r>
        <w:rPr/>
        <w:t>1000</w:t>
      </w:r>
      <w:r>
        <w:rPr>
          <w:spacing w:val="-19"/>
        </w:rPr>
        <w:t> 赫兹和 </w:t>
      </w:r>
      <w:r>
        <w:rPr/>
        <w:t>2000</w:t>
      </w:r>
      <w:r>
        <w:rPr>
          <w:spacing w:val="-24"/>
        </w:rPr>
        <w:t> 赫</w:t>
      </w:r>
    </w:p>
    <w:p>
      <w:pPr>
        <w:pStyle w:val="BodyText"/>
        <w:spacing w:line="273" w:lineRule="auto" w:before="37"/>
        <w:ind w:left="156" w:right="199"/>
      </w:pPr>
      <w:r>
        <w:rPr>
          <w:spacing w:val="-5"/>
        </w:rPr>
        <w:t>兹语音频率下，平均听阈大于 </w:t>
      </w:r>
      <w:r>
        <w:rPr/>
        <w:t>90</w:t>
      </w:r>
      <w:r>
        <w:rPr>
          <w:spacing w:val="-7"/>
        </w:rPr>
        <w:t> 分贝，且经纯音听力测试、声导抗检测或听觉诱发电位检测等证实。</w:t>
      </w:r>
    </w:p>
    <w:p>
      <w:pPr>
        <w:pStyle w:val="Heading2"/>
        <w:ind w:left="142"/>
      </w:pPr>
      <w:r>
        <w:rPr>
          <w:w w:val="95"/>
        </w:rPr>
        <w:t>14、双目失明：</w:t>
      </w:r>
    </w:p>
    <w:p>
      <w:pPr>
        <w:pStyle w:val="BodyText"/>
        <w:spacing w:line="273" w:lineRule="auto" w:before="12"/>
        <w:ind w:left="156" w:right="194" w:firstLine="422"/>
        <w:jc w:val="both"/>
      </w:pPr>
      <w:r>
        <w:rPr/>
        <w:t>指因疾病或意外伤害导致双眼视力永久不可逆性丧失，双眼中较好眼须满足下列至少一项条件：</w:t>
      </w:r>
    </w:p>
    <w:p>
      <w:pPr>
        <w:pStyle w:val="BodyText"/>
        <w:spacing w:before="7"/>
        <w:ind w:left="463"/>
      </w:pPr>
      <w:r>
        <w:rPr/>
        <w:t>（1）眼球缺失或摘除；</w:t>
      </w:r>
    </w:p>
    <w:p>
      <w:pPr>
        <w:pStyle w:val="BodyText"/>
        <w:spacing w:before="36"/>
        <w:ind w:left="463"/>
      </w:pPr>
      <w:r>
        <w:rPr>
          <w:w w:val="100"/>
        </w:rPr>
        <w:t>（2）</w:t>
      </w:r>
      <w:r>
        <w:rPr>
          <w:spacing w:val="-2"/>
          <w:w w:val="100"/>
        </w:rPr>
        <w:t>矫正视力低于</w:t>
      </w:r>
      <w:r>
        <w:rPr>
          <w:spacing w:val="-53"/>
        </w:rPr>
        <w:t> </w:t>
      </w:r>
      <w:r>
        <w:rPr>
          <w:spacing w:val="-5"/>
          <w:w w:val="100"/>
        </w:rPr>
        <w:t>0</w:t>
      </w:r>
      <w:r>
        <w:rPr>
          <w:w w:val="100"/>
        </w:rPr>
        <w:t>.02（</w:t>
      </w:r>
      <w:r>
        <w:rPr>
          <w:spacing w:val="-5"/>
          <w:w w:val="100"/>
        </w:rPr>
        <w:t>采用国际标准视力表，如果使用其它视力表应进行换算</w:t>
      </w:r>
      <w:r>
        <w:rPr>
          <w:spacing w:val="-111"/>
          <w:w w:val="100"/>
        </w:rPr>
        <w:t>）</w:t>
      </w:r>
      <w:r>
        <w:rPr>
          <w:w w:val="100"/>
        </w:rPr>
        <w:t>；</w:t>
      </w:r>
    </w:p>
    <w:p>
      <w:pPr>
        <w:pStyle w:val="BodyText"/>
        <w:spacing w:before="36"/>
        <w:ind w:left="463"/>
      </w:pPr>
      <w:r>
        <w:rPr/>
        <w:t>（3）视野半径小于 5 度。</w:t>
      </w:r>
    </w:p>
    <w:p>
      <w:pPr>
        <w:spacing w:after="0"/>
        <w:sectPr>
          <w:pgSz w:w="11910" w:h="16840"/>
          <w:pgMar w:header="0" w:footer="929" w:top="1400" w:bottom="1200" w:left="1600" w:right="1440"/>
        </w:sectPr>
      </w:pPr>
    </w:p>
    <w:p>
      <w:pPr>
        <w:pStyle w:val="Heading2"/>
        <w:spacing w:line="312" w:lineRule="exact"/>
        <w:ind w:left="142"/>
      </w:pPr>
      <w:r>
        <w:rPr>
          <w:w w:val="95"/>
        </w:rPr>
        <w:t>15、瘫痪：</w:t>
      </w:r>
    </w:p>
    <w:p>
      <w:pPr>
        <w:pStyle w:val="BodyText"/>
        <w:spacing w:line="273" w:lineRule="auto" w:before="11"/>
        <w:ind w:left="156" w:right="194" w:firstLine="422"/>
        <w:jc w:val="both"/>
      </w:pPr>
      <w:r>
        <w:rPr/>
        <w:t>指因疾病或意外伤害导致两肢或两肢以上肢体机能永久完全丧失。肢体机能永久完全丧</w:t>
      </w:r>
      <w:r>
        <w:rPr>
          <w:spacing w:val="-4"/>
        </w:rPr>
        <w:t>失，指疾病确诊 </w:t>
      </w:r>
      <w:r>
        <w:rPr/>
        <w:t>180</w:t>
      </w:r>
      <w:r>
        <w:rPr>
          <w:spacing w:val="-7"/>
        </w:rPr>
        <w:t> 天后或意外伤害发生 </w:t>
      </w:r>
      <w:r>
        <w:rPr/>
        <w:t>180</w:t>
      </w:r>
      <w:r>
        <w:rPr>
          <w:spacing w:val="-5"/>
        </w:rPr>
        <w:t> 天后，每肢三大关节中的两大关节仍然完全僵硬，或不能随意识活动。</w:t>
      </w:r>
    </w:p>
    <w:p>
      <w:pPr>
        <w:pStyle w:val="Heading2"/>
        <w:ind w:left="128"/>
      </w:pPr>
      <w:r>
        <w:rPr>
          <w:w w:val="95"/>
        </w:rPr>
        <w:t>16、心脏瓣膜手术：</w:t>
      </w:r>
    </w:p>
    <w:p>
      <w:pPr>
        <w:pStyle w:val="BodyText"/>
        <w:spacing w:line="262" w:lineRule="exact" w:before="12"/>
        <w:ind w:left="579"/>
      </w:pPr>
      <w:r>
        <w:rPr/>
        <w:t>指为治疗心脏瓣膜疾病，实际实施了开胸进行的心脏瓣膜置换或修复的手术。</w:t>
      </w:r>
    </w:p>
    <w:p>
      <w:pPr>
        <w:pStyle w:val="Heading2"/>
        <w:spacing w:line="350" w:lineRule="exact"/>
        <w:ind w:left="128"/>
      </w:pPr>
      <w:r>
        <w:rPr>
          <w:w w:val="95"/>
        </w:rPr>
        <w:t>17、严重阿尔茨海默病：</w:t>
      </w:r>
    </w:p>
    <w:p>
      <w:pPr>
        <w:pStyle w:val="BodyText"/>
        <w:spacing w:line="273" w:lineRule="auto" w:before="12"/>
        <w:ind w:left="156" w:right="194" w:firstLine="422"/>
        <w:jc w:val="both"/>
      </w:pPr>
      <w:r>
        <w:rPr/>
        <w:t>指因大脑进行性、不可逆性改变导致智能严重衰退或丧失，临床表现为明显的认知能力</w:t>
      </w:r>
      <w:r>
        <w:rPr>
          <w:spacing w:val="-20"/>
          <w:w w:val="100"/>
        </w:rPr>
        <w:t>障碍、行为异常和社交能力减退，其日常生活必须持续受到他人监护。须由头颅断层扫描</w:t>
      </w:r>
      <w:r>
        <w:rPr>
          <w:w w:val="100"/>
        </w:rPr>
        <w:t>（CT</w:t>
      </w:r>
      <w:r>
        <w:rPr>
          <w:spacing w:val="-111"/>
          <w:w w:val="100"/>
        </w:rPr>
        <w:t>）、</w:t>
      </w:r>
      <w:r>
        <w:rPr/>
        <w:t>核磁共振检查（MRI）或正电子发射断层扫描（PET）等影像学检查证实，且自主生活能力完</w:t>
      </w:r>
      <w:r>
        <w:rPr>
          <w:spacing w:val="-5"/>
        </w:rPr>
        <w:t>全丧失，无法独立完成六项基本日常生活活动中的三项或三项以上。</w:t>
      </w:r>
    </w:p>
    <w:p>
      <w:pPr>
        <w:pStyle w:val="BodyText"/>
        <w:spacing w:line="262" w:lineRule="exact" w:before="7"/>
        <w:ind w:left="579"/>
      </w:pPr>
      <w:r>
        <w:rPr/>
        <w:t>神经官能症和精神疾病不在保障范围内。</w:t>
      </w:r>
    </w:p>
    <w:p>
      <w:pPr>
        <w:pStyle w:val="Heading2"/>
        <w:spacing w:line="350" w:lineRule="exact"/>
        <w:ind w:left="137"/>
      </w:pPr>
      <w:r>
        <w:rPr>
          <w:w w:val="95"/>
        </w:rPr>
        <w:t>18、严重脑损伤：</w:t>
      </w:r>
    </w:p>
    <w:p>
      <w:pPr>
        <w:pStyle w:val="BodyText"/>
        <w:spacing w:line="273" w:lineRule="auto" w:before="12"/>
        <w:ind w:left="156" w:right="194" w:firstLine="422"/>
        <w:jc w:val="both"/>
      </w:pPr>
      <w:r>
        <w:rPr/>
        <w:t>指因头部遭受机械性外力，引起脑重要部位损伤，导致神经系统永久性的功能障碍。须</w:t>
      </w:r>
      <w:r>
        <w:rPr>
          <w:spacing w:val="-1"/>
          <w:w w:val="100"/>
        </w:rPr>
        <w:t>由头颅断层扫描</w:t>
      </w:r>
      <w:r>
        <w:rPr>
          <w:w w:val="100"/>
        </w:rPr>
        <w:t>（CT</w:t>
      </w:r>
      <w:r>
        <w:rPr>
          <w:spacing w:val="-111"/>
          <w:w w:val="100"/>
        </w:rPr>
        <w:t>）</w:t>
      </w:r>
      <w:r>
        <w:rPr>
          <w:spacing w:val="-3"/>
          <w:w w:val="100"/>
        </w:rPr>
        <w:t>、核磁共振检查</w:t>
      </w:r>
      <w:r>
        <w:rPr>
          <w:w w:val="100"/>
        </w:rPr>
        <w:t>（MRI</w:t>
      </w:r>
      <w:r>
        <w:rPr>
          <w:spacing w:val="-5"/>
          <w:w w:val="100"/>
        </w:rPr>
        <w:t>）</w:t>
      </w:r>
      <w:r>
        <w:rPr>
          <w:spacing w:val="-3"/>
          <w:w w:val="100"/>
        </w:rPr>
        <w:t>或正电子发射断层扫描</w:t>
      </w:r>
      <w:r>
        <w:rPr>
          <w:w w:val="100"/>
        </w:rPr>
        <w:t>（PE</w:t>
      </w:r>
      <w:r>
        <w:rPr>
          <w:spacing w:val="-5"/>
          <w:w w:val="100"/>
        </w:rPr>
        <w:t>T</w:t>
      </w:r>
      <w:r>
        <w:rPr>
          <w:w w:val="100"/>
        </w:rPr>
        <w:t>）</w:t>
      </w:r>
      <w:r>
        <w:rPr>
          <w:spacing w:val="-3"/>
          <w:w w:val="100"/>
        </w:rPr>
        <w:t>等影像学检查证</w:t>
      </w:r>
      <w:r>
        <w:rPr>
          <w:spacing w:val="-7"/>
        </w:rPr>
        <w:t>实。神经系统永久性的功能障碍，指脑损伤 </w:t>
      </w:r>
      <w:r>
        <w:rPr/>
        <w:t>180</w:t>
      </w:r>
      <w:r>
        <w:rPr>
          <w:spacing w:val="-8"/>
        </w:rPr>
        <w:t> 天后，仍遗留下列一种或一种以上障碍：</w:t>
      </w:r>
    </w:p>
    <w:p>
      <w:pPr>
        <w:pStyle w:val="BodyText"/>
        <w:spacing w:before="7"/>
        <w:ind w:left="463"/>
      </w:pPr>
      <w:r>
        <w:rPr/>
        <w:t>（1）一肢或一肢以上肢体机能完全丧失；</w:t>
      </w:r>
    </w:p>
    <w:p>
      <w:pPr>
        <w:pStyle w:val="BodyText"/>
        <w:spacing w:before="36"/>
        <w:ind w:left="463"/>
      </w:pPr>
      <w:r>
        <w:rPr/>
        <w:t>（2）语言能力或咀嚼吞咽能力完全丧失；</w:t>
      </w:r>
    </w:p>
    <w:p>
      <w:pPr>
        <w:pStyle w:val="BodyText"/>
        <w:spacing w:line="262" w:lineRule="exact" w:before="36"/>
        <w:ind w:left="463"/>
      </w:pPr>
      <w:r>
        <w:rPr/>
        <w:t>（3）自主生活能力完全丧失，无法独立完成六项基本日常生活活动中的三项或三项以上。</w:t>
      </w:r>
    </w:p>
    <w:p>
      <w:pPr>
        <w:pStyle w:val="Heading2"/>
        <w:spacing w:line="350" w:lineRule="exact"/>
        <w:ind w:left="128"/>
      </w:pPr>
      <w:r>
        <w:rPr>
          <w:w w:val="95"/>
        </w:rPr>
        <w:t>19、严重帕金森病：</w:t>
      </w:r>
    </w:p>
    <w:p>
      <w:pPr>
        <w:pStyle w:val="BodyText"/>
        <w:spacing w:line="273" w:lineRule="auto" w:before="12"/>
        <w:ind w:left="156" w:right="194" w:firstLine="422"/>
        <w:jc w:val="both"/>
      </w:pPr>
      <w:r>
        <w:rPr/>
        <w:t>是一种中枢神经系统的退行性疾病，临床表现为震颤麻痹、共济失调等。须满足下列全部条件：</w:t>
      </w:r>
    </w:p>
    <w:p>
      <w:pPr>
        <w:pStyle w:val="BodyText"/>
        <w:spacing w:before="7"/>
        <w:ind w:left="449"/>
      </w:pPr>
      <w:r>
        <w:rPr/>
        <w:t>（1）药物治疗无法控制病情；</w:t>
      </w:r>
    </w:p>
    <w:p>
      <w:pPr>
        <w:pStyle w:val="BodyText"/>
        <w:spacing w:line="273" w:lineRule="auto" w:before="36"/>
        <w:ind w:left="578" w:right="113" w:hanging="130"/>
      </w:pPr>
      <w:r>
        <w:rPr/>
        <w:t>（2）自主生活能力完全丧失，无法独立完成六项基本日常生活活动中的三项或三项以上。继发性帕金森综合征不在保障范围内。</w:t>
      </w:r>
    </w:p>
    <w:p>
      <w:pPr>
        <w:pStyle w:val="Heading2"/>
        <w:ind w:left="113"/>
      </w:pPr>
      <w:r>
        <w:rPr>
          <w:w w:val="95"/>
        </w:rPr>
        <w:t>20、 严重Ⅲ度烧伤：</w:t>
      </w:r>
    </w:p>
    <w:p>
      <w:pPr>
        <w:pStyle w:val="BodyText"/>
        <w:spacing w:line="273" w:lineRule="auto" w:before="12"/>
        <w:ind w:left="156" w:right="194" w:firstLine="422"/>
        <w:jc w:val="both"/>
      </w:pPr>
      <w:r>
        <w:rPr>
          <w:spacing w:val="-7"/>
        </w:rPr>
        <w:t>指烧伤程度为Ⅲ度，且Ⅲ度烧伤的面积达到全身体表面积的 </w:t>
      </w:r>
      <w:r>
        <w:rPr/>
        <w:t>20</w:t>
      </w:r>
      <w:r>
        <w:rPr>
          <w:spacing w:val="-12"/>
        </w:rPr>
        <w:t>％或 </w:t>
      </w:r>
      <w:r>
        <w:rPr/>
        <w:t>20％</w:t>
      </w:r>
      <w:r>
        <w:rPr>
          <w:spacing w:val="-3"/>
        </w:rPr>
        <w:t>以上。体表面积</w:t>
      </w:r>
      <w:r>
        <w:rPr>
          <w:spacing w:val="-5"/>
        </w:rPr>
        <w:t>根据《中国新九分法》计算。</w:t>
      </w:r>
    </w:p>
    <w:p>
      <w:pPr>
        <w:pStyle w:val="Heading2"/>
        <w:ind w:left="142"/>
      </w:pPr>
      <w:r>
        <w:rPr>
          <w:w w:val="95"/>
        </w:rPr>
        <w:t>21、严重原发性肺动脉高压：</w:t>
      </w:r>
    </w:p>
    <w:p>
      <w:pPr>
        <w:pStyle w:val="BodyText"/>
        <w:spacing w:line="273" w:lineRule="auto" w:before="12"/>
        <w:ind w:left="156" w:right="194" w:firstLine="422"/>
        <w:jc w:val="both"/>
      </w:pPr>
      <w:r>
        <w:rPr/>
        <w:t>指不明原因的肺动脉压力持续性增高，进行性发展而导致的慢性疾病，已经造成永久不</w:t>
      </w:r>
      <w:r>
        <w:rPr>
          <w:spacing w:val="-6"/>
        </w:rPr>
        <w:t>可逆性的体力活动能力受限，达到美国纽约心脏病学会心功能状态分级 </w:t>
      </w:r>
      <w:r>
        <w:rPr/>
        <w:t>IV</w:t>
      </w:r>
      <w:r>
        <w:rPr>
          <w:spacing w:val="-8"/>
        </w:rPr>
        <w:t> 级，且静息状态下</w:t>
      </w:r>
      <w:r>
        <w:rPr>
          <w:spacing w:val="-11"/>
        </w:rPr>
        <w:t>肺动脉平均压超过 </w:t>
      </w:r>
      <w:r>
        <w:rPr/>
        <w:t>30mmHg。</w:t>
      </w:r>
    </w:p>
    <w:p>
      <w:pPr>
        <w:pStyle w:val="Heading2"/>
        <w:ind w:left="142"/>
      </w:pPr>
      <w:r>
        <w:rPr>
          <w:w w:val="95"/>
        </w:rPr>
        <w:t>22、严重运动神经元病：</w:t>
      </w:r>
    </w:p>
    <w:p>
      <w:pPr>
        <w:pStyle w:val="BodyText"/>
        <w:spacing w:line="273" w:lineRule="auto" w:before="12"/>
        <w:ind w:left="156" w:right="194" w:firstLine="42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ind w:left="142"/>
      </w:pPr>
      <w:r>
        <w:rPr>
          <w:w w:val="95"/>
        </w:rPr>
        <w:t>23、语言能力丧失：</w:t>
      </w:r>
    </w:p>
    <w:p>
      <w:pPr>
        <w:pStyle w:val="BodyText"/>
        <w:spacing w:line="273" w:lineRule="auto" w:before="11"/>
        <w:ind w:left="156" w:right="194" w:firstLine="422"/>
        <w:jc w:val="both"/>
      </w:pPr>
      <w:r>
        <w:rPr>
          <w:spacing w:val="-6"/>
        </w:rPr>
        <w:t>指因疾病或意外伤害导致完全丧失语言能力，经过积极治疗至少 </w:t>
      </w:r>
      <w:r>
        <w:rPr>
          <w:spacing w:val="-3"/>
        </w:rPr>
        <w:t>12</w:t>
      </w:r>
      <w:r>
        <w:rPr>
          <w:spacing w:val="-13"/>
        </w:rPr>
        <w:t> 个月</w:t>
      </w:r>
      <w:r>
        <w:rPr/>
        <w:t>（</w:t>
      </w:r>
      <w:r>
        <w:rPr>
          <w:spacing w:val="-2"/>
        </w:rPr>
        <w:t>声带完全切除</w:t>
      </w:r>
      <w:r>
        <w:rPr>
          <w:spacing w:val="-3"/>
          <w:w w:val="100"/>
        </w:rPr>
        <w:t>不受此时间限制</w:t>
      </w:r>
      <w:r>
        <w:rPr>
          <w:spacing w:val="-106"/>
          <w:w w:val="100"/>
        </w:rPr>
        <w:t>）</w:t>
      </w:r>
      <w:r>
        <w:rPr>
          <w:spacing w:val="-5"/>
          <w:w w:val="100"/>
        </w:rPr>
        <w:t>，仍无法通过现有医疗手段恢复。</w:t>
      </w:r>
    </w:p>
    <w:p>
      <w:pPr>
        <w:pStyle w:val="BodyText"/>
        <w:spacing w:line="262" w:lineRule="exact" w:before="7"/>
        <w:ind w:left="579"/>
      </w:pPr>
      <w:r>
        <w:rPr/>
        <w:t>精神心理因素所致的语言能力丧失不在保障范围内。</w:t>
      </w:r>
    </w:p>
    <w:p>
      <w:pPr>
        <w:pStyle w:val="Heading2"/>
        <w:spacing w:line="350" w:lineRule="exact"/>
        <w:ind w:left="142"/>
      </w:pPr>
      <w:r>
        <w:rPr>
          <w:w w:val="95"/>
        </w:rPr>
        <w:t>24、重型再生障碍性贫血：</w:t>
      </w:r>
    </w:p>
    <w:p>
      <w:pPr>
        <w:pStyle w:val="BodyText"/>
        <w:spacing w:line="273" w:lineRule="auto" w:before="11"/>
        <w:ind w:left="156" w:right="194" w:firstLine="422"/>
        <w:jc w:val="both"/>
      </w:pPr>
      <w:r>
        <w:rPr/>
        <w:t>指因骨髓造血功能慢性持续性衰竭导致的贫血、中性粒细胞减少及血小板减少。须满足下列全部条件：</w:t>
      </w:r>
    </w:p>
    <w:p>
      <w:pPr>
        <w:spacing w:after="0" w:line="273" w:lineRule="auto"/>
        <w:jc w:val="both"/>
        <w:sectPr>
          <w:pgSz w:w="11910" w:h="16840"/>
          <w:pgMar w:header="0" w:footer="929" w:top="1400" w:bottom="1200" w:left="1600" w:right="1440"/>
        </w:sectPr>
      </w:pPr>
    </w:p>
    <w:p>
      <w:pPr>
        <w:pStyle w:val="BodyText"/>
        <w:spacing w:before="11"/>
        <w:ind w:left="444"/>
      </w:pPr>
      <w:r>
        <w:rPr/>
        <w:t>（1）骨髓穿刺检查或骨髓活检结果支持诊断；</w:t>
      </w:r>
    </w:p>
    <w:p>
      <w:pPr>
        <w:pStyle w:val="BodyText"/>
        <w:spacing w:before="36"/>
        <w:ind w:left="444"/>
      </w:pPr>
      <w:r>
        <w:rPr/>
        <w:t>（2）外周血象须具备以下三项条件：</w:t>
      </w:r>
    </w:p>
    <w:p>
      <w:pPr>
        <w:pStyle w:val="BodyText"/>
        <w:spacing w:before="36"/>
        <w:ind w:left="837"/>
      </w:pPr>
      <w:r>
        <w:rPr/>
        <w:t>① 中性粒细胞绝对值≤0.5×10</w:t>
      </w:r>
      <w:r>
        <w:rPr>
          <w:position w:val="11"/>
          <w:sz w:val="11"/>
        </w:rPr>
        <w:t>9</w:t>
      </w:r>
      <w:r>
        <w:rPr/>
        <w:t>/L ；</w:t>
      </w:r>
    </w:p>
    <w:p>
      <w:pPr>
        <w:pStyle w:val="BodyText"/>
        <w:spacing w:before="36"/>
        <w:ind w:left="837"/>
      </w:pPr>
      <w:r>
        <w:rPr/>
        <w:drawing>
          <wp:anchor distT="0" distB="0" distL="0" distR="0" allowOverlap="1" layoutInCell="1" locked="0" behindDoc="1" simplePos="0" relativeHeight="268422695">
            <wp:simplePos x="0" y="0"/>
            <wp:positionH relativeFrom="page">
              <wp:posOffset>2633501</wp:posOffset>
            </wp:positionH>
            <wp:positionV relativeFrom="paragraph">
              <wp:posOffset>77008</wp:posOffset>
            </wp:positionV>
            <wp:extent cx="60324" cy="104774"/>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0324" cy="104774"/>
                    </a:xfrm>
                    <a:prstGeom prst="rect">
                      <a:avLst/>
                    </a:prstGeom>
                  </pic:spPr>
                </pic:pic>
              </a:graphicData>
            </a:graphic>
          </wp:anchor>
        </w:drawing>
      </w:r>
      <w:r>
        <w:rPr/>
        <w:t>② 网织红细胞＜1；</w:t>
      </w:r>
    </w:p>
    <w:p>
      <w:pPr>
        <w:pStyle w:val="BodyText"/>
        <w:spacing w:line="262" w:lineRule="exact" w:before="36"/>
        <w:ind w:left="837"/>
      </w:pPr>
      <w:r>
        <w:rPr/>
        <w:t>③ 血小板绝对值≤20×10</w:t>
      </w:r>
      <w:r>
        <w:rPr>
          <w:position w:val="11"/>
          <w:sz w:val="11"/>
        </w:rPr>
        <w:t>9</w:t>
      </w:r>
      <w:r>
        <w:rPr/>
        <w:t>/L。</w:t>
      </w:r>
    </w:p>
    <w:p>
      <w:pPr>
        <w:pStyle w:val="Heading2"/>
        <w:spacing w:line="350" w:lineRule="exact"/>
        <w:ind w:left="108"/>
      </w:pPr>
      <w:r>
        <w:rPr>
          <w:w w:val="95"/>
        </w:rPr>
        <w:t>25、主动脉手术：</w:t>
      </w:r>
    </w:p>
    <w:p>
      <w:pPr>
        <w:pStyle w:val="BodyText"/>
        <w:spacing w:line="273" w:lineRule="auto" w:before="12"/>
        <w:ind w:left="136" w:right="214" w:firstLine="422"/>
      </w:pPr>
      <w:r>
        <w:rPr/>
        <w:t>指为治疗主动脉疾病，实际实施了开胸或开腹进行的切除、置换、修补病损主动脉血管的手术。主动脉指胸主动脉和腹主动脉，不包括胸主动脉和腹主动脉的分支血管。</w:t>
      </w:r>
    </w:p>
    <w:p>
      <w:pPr>
        <w:pStyle w:val="BodyText"/>
        <w:spacing w:line="262" w:lineRule="exact" w:before="7"/>
        <w:ind w:left="559"/>
      </w:pPr>
      <w:r>
        <w:rPr/>
        <w:t>动脉内血管成形术不在保障范围内。</w:t>
      </w:r>
    </w:p>
    <w:p>
      <w:pPr>
        <w:pStyle w:val="Heading2"/>
        <w:spacing w:line="350" w:lineRule="exact"/>
        <w:ind w:left="108"/>
      </w:pPr>
      <w:r>
        <w:rPr>
          <w:w w:val="95"/>
        </w:rPr>
        <w:t>26、肌营养不良症</w:t>
      </w:r>
    </w:p>
    <w:p>
      <w:pPr>
        <w:pStyle w:val="BodyText"/>
        <w:spacing w:line="273" w:lineRule="auto" w:before="12"/>
        <w:ind w:left="136" w:right="214" w:firstLine="422"/>
      </w:pPr>
      <w:r>
        <w:rPr/>
        <w:t>指一组遗传性肌肉变性病变，临床特征为与神经系统无关的骨骼肌对称地进行性无力和萎缩，其诊断需满足下列全部条件：</w:t>
      </w:r>
    </w:p>
    <w:p>
      <w:pPr>
        <w:pStyle w:val="ListParagraph"/>
        <w:numPr>
          <w:ilvl w:val="1"/>
          <w:numId w:val="6"/>
        </w:numPr>
        <w:tabs>
          <w:tab w:pos="1193" w:val="left" w:leader="none"/>
        </w:tabs>
        <w:spacing w:line="240" w:lineRule="auto" w:before="7" w:after="0"/>
        <w:ind w:left="137" w:right="0" w:firstLine="422"/>
        <w:jc w:val="left"/>
        <w:rPr>
          <w:sz w:val="21"/>
        </w:rPr>
      </w:pPr>
      <w:r>
        <w:rPr>
          <w:spacing w:val="-5"/>
          <w:sz w:val="21"/>
        </w:rPr>
        <w:t>肌电图显示典型肌营养不良症的阳性改变；</w:t>
      </w:r>
    </w:p>
    <w:p>
      <w:pPr>
        <w:pStyle w:val="ListParagraph"/>
        <w:numPr>
          <w:ilvl w:val="1"/>
          <w:numId w:val="6"/>
        </w:numPr>
        <w:tabs>
          <w:tab w:pos="1193" w:val="left" w:leader="none"/>
        </w:tabs>
        <w:spacing w:line="240" w:lineRule="auto" w:before="37" w:after="0"/>
        <w:ind w:left="137" w:right="0" w:firstLine="422"/>
        <w:jc w:val="left"/>
        <w:rPr>
          <w:sz w:val="21"/>
        </w:rPr>
      </w:pPr>
      <w:r>
        <w:rPr>
          <w:spacing w:val="-5"/>
          <w:sz w:val="21"/>
        </w:rPr>
        <w:t>肌肉活检的病理学诊断符合肌营养不良症的肌肉细胞变性、坏死等阳性改变。</w:t>
      </w:r>
    </w:p>
    <w:p>
      <w:pPr>
        <w:pStyle w:val="ListParagraph"/>
        <w:numPr>
          <w:ilvl w:val="1"/>
          <w:numId w:val="6"/>
        </w:numPr>
        <w:tabs>
          <w:tab w:pos="1203" w:val="left" w:leader="none"/>
        </w:tabs>
        <w:spacing w:line="273" w:lineRule="auto" w:before="37" w:after="0"/>
        <w:ind w:left="137" w:right="214" w:firstLine="422"/>
        <w:jc w:val="left"/>
        <w:rPr>
          <w:sz w:val="21"/>
        </w:rPr>
      </w:pPr>
      <w:r>
        <w:rPr>
          <w:sz w:val="21"/>
        </w:rPr>
        <w:t>已导致被保险人持续超过三个月无法独立完成六项基本日常生活活动中的三项或三项以上。</w:t>
      </w:r>
    </w:p>
    <w:p>
      <w:pPr>
        <w:pStyle w:val="Heading2"/>
        <w:ind w:left="108"/>
      </w:pPr>
      <w:r>
        <w:rPr>
          <w:w w:val="95"/>
        </w:rPr>
        <w:t>27、象皮病</w:t>
      </w:r>
    </w:p>
    <w:p>
      <w:pPr>
        <w:pStyle w:val="BodyText"/>
        <w:spacing w:line="273" w:lineRule="auto" w:before="12"/>
        <w:ind w:left="136" w:right="214" w:firstLine="422"/>
        <w:jc w:val="both"/>
      </w:pPr>
      <w:r>
        <w:rPr/>
        <w:t>指末期丝虫病，按国际淋巴学会分级为三度淋巴液肿，其临床表现为肢体非凹陷性水肿伴畸形增大、硬皮症和疣状增生。此病症须经专科医生根据临床表现和微丝蚴的化验结果确诊。</w:t>
      </w:r>
    </w:p>
    <w:p>
      <w:pPr>
        <w:pStyle w:val="Heading2"/>
        <w:ind w:left="108"/>
      </w:pPr>
      <w:r>
        <w:rPr>
          <w:w w:val="95"/>
        </w:rPr>
        <w:t>28、肝豆状核变性</w:t>
      </w:r>
    </w:p>
    <w:p>
      <w:pPr>
        <w:pStyle w:val="BodyText"/>
        <w:spacing w:line="273" w:lineRule="auto" w:before="12"/>
        <w:ind w:left="136" w:right="214" w:firstLine="422"/>
      </w:pPr>
      <w:r>
        <w:rPr/>
        <w:t>指一种常染色体隐性遗传的铜代谢缺陷病，以不同程度的肝细胞损害、脑退行性病变和角膜边缘有铜盐沉着环为其临床特征，并须满足下列全部条件：</w:t>
      </w:r>
    </w:p>
    <w:p>
      <w:pPr>
        <w:pStyle w:val="ListParagraph"/>
        <w:numPr>
          <w:ilvl w:val="0"/>
          <w:numId w:val="7"/>
        </w:numPr>
        <w:tabs>
          <w:tab w:pos="1399" w:val="left" w:leader="none"/>
          <w:tab w:pos="1400" w:val="left" w:leader="none"/>
        </w:tabs>
        <w:spacing w:line="240" w:lineRule="auto" w:before="8" w:after="0"/>
        <w:ind w:left="1399" w:right="0" w:hanging="840"/>
        <w:jc w:val="left"/>
        <w:rPr>
          <w:sz w:val="21"/>
        </w:rPr>
      </w:pPr>
      <w:r>
        <w:rPr>
          <w:sz w:val="21"/>
        </w:rPr>
        <w:t>典型症状；</w:t>
      </w:r>
    </w:p>
    <w:p>
      <w:pPr>
        <w:pStyle w:val="ListParagraph"/>
        <w:numPr>
          <w:ilvl w:val="0"/>
          <w:numId w:val="7"/>
        </w:numPr>
        <w:tabs>
          <w:tab w:pos="1398" w:val="left" w:leader="none"/>
          <w:tab w:pos="1399" w:val="left" w:leader="none"/>
        </w:tabs>
        <w:spacing w:line="240" w:lineRule="auto" w:before="37" w:after="0"/>
        <w:ind w:left="1398" w:right="0" w:hanging="840"/>
        <w:jc w:val="left"/>
        <w:rPr>
          <w:sz w:val="21"/>
        </w:rPr>
      </w:pPr>
      <w:r>
        <w:rPr>
          <w:spacing w:val="-1"/>
          <w:sz w:val="21"/>
        </w:rPr>
        <w:t>角膜色素环</w:t>
      </w:r>
      <w:r>
        <w:rPr>
          <w:sz w:val="21"/>
        </w:rPr>
        <w:t>（K-F</w:t>
      </w:r>
      <w:r>
        <w:rPr>
          <w:spacing w:val="-21"/>
          <w:sz w:val="21"/>
        </w:rPr>
        <w:t> 环</w:t>
      </w:r>
      <w:r>
        <w:rPr>
          <w:spacing w:val="-111"/>
          <w:sz w:val="21"/>
        </w:rPr>
        <w:t>）；</w:t>
      </w:r>
    </w:p>
    <w:p>
      <w:pPr>
        <w:pStyle w:val="ListParagraph"/>
        <w:numPr>
          <w:ilvl w:val="0"/>
          <w:numId w:val="7"/>
        </w:numPr>
        <w:tabs>
          <w:tab w:pos="1398" w:val="left" w:leader="none"/>
          <w:tab w:pos="1399" w:val="left" w:leader="none"/>
        </w:tabs>
        <w:spacing w:line="240" w:lineRule="auto" w:before="37" w:after="0"/>
        <w:ind w:left="1398" w:right="0" w:hanging="840"/>
        <w:jc w:val="left"/>
        <w:rPr>
          <w:sz w:val="21"/>
        </w:rPr>
      </w:pPr>
      <w:r>
        <w:rPr>
          <w:spacing w:val="-4"/>
          <w:sz w:val="21"/>
        </w:rPr>
        <w:t>血清铜和血清铜蓝蛋白降低，尿铜增加；</w:t>
      </w:r>
    </w:p>
    <w:p>
      <w:pPr>
        <w:pStyle w:val="ListParagraph"/>
        <w:numPr>
          <w:ilvl w:val="0"/>
          <w:numId w:val="7"/>
        </w:numPr>
        <w:tabs>
          <w:tab w:pos="1398" w:val="left" w:leader="none"/>
          <w:tab w:pos="1399" w:val="left" w:leader="none"/>
        </w:tabs>
        <w:spacing w:line="240" w:lineRule="auto" w:before="37" w:after="0"/>
        <w:ind w:left="1398" w:right="0" w:hanging="840"/>
        <w:jc w:val="left"/>
        <w:rPr>
          <w:sz w:val="21"/>
        </w:rPr>
      </w:pPr>
      <w:r>
        <w:rPr>
          <w:spacing w:val="-4"/>
          <w:sz w:val="21"/>
        </w:rPr>
        <w:t>经皮做肝脏活检来定量分析肝脏铜的含量。</w:t>
      </w:r>
    </w:p>
    <w:p>
      <w:pPr>
        <w:pStyle w:val="BodyText"/>
        <w:spacing w:before="11"/>
        <w:ind w:left="0"/>
      </w:pPr>
    </w:p>
    <w:p>
      <w:pPr>
        <w:pStyle w:val="Heading2"/>
        <w:spacing w:line="337" w:lineRule="exact" w:before="1"/>
        <w:ind w:left="136"/>
      </w:pPr>
      <w:r>
        <w:rPr/>
        <w:t>术语解释：</w:t>
      </w:r>
    </w:p>
    <w:p>
      <w:pPr>
        <w:spacing w:line="337" w:lineRule="exact" w:before="0"/>
        <w:ind w:left="136"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1"/>
        <w:ind w:left="137" w:right="113" w:firstLine="422"/>
      </w:pPr>
      <w:r>
        <w:rPr>
          <w:spacing w:val="-9"/>
          <w:w w:val="100"/>
        </w:rPr>
        <w:t>六项基本日常生活活动是指：</w:t>
      </w:r>
      <w:r>
        <w:rPr>
          <w:spacing w:val="3"/>
          <w:w w:val="100"/>
        </w:rPr>
        <w:t>（</w:t>
      </w:r>
      <w:r>
        <w:rPr>
          <w:w w:val="100"/>
        </w:rPr>
        <w:t>1）</w:t>
      </w:r>
      <w:r>
        <w:rPr>
          <w:spacing w:val="-9"/>
          <w:w w:val="100"/>
        </w:rPr>
        <w:t>穿衣：自己能够穿衣及脱衣；</w:t>
      </w:r>
      <w:r>
        <w:rPr>
          <w:w w:val="100"/>
        </w:rPr>
        <w:t>（</w:t>
      </w:r>
      <w:r>
        <w:rPr>
          <w:spacing w:val="3"/>
          <w:w w:val="100"/>
        </w:rPr>
        <w:t>2</w:t>
      </w:r>
      <w:r>
        <w:rPr>
          <w:w w:val="100"/>
        </w:rPr>
        <w:t>）移动：自己从一个</w:t>
      </w:r>
      <w:r>
        <w:rPr>
          <w:spacing w:val="-1"/>
          <w:w w:val="100"/>
        </w:rPr>
        <w:t>房间到另一个房间</w:t>
      </w:r>
      <w:r>
        <w:rPr>
          <w:spacing w:val="-140"/>
          <w:w w:val="100"/>
        </w:rPr>
        <w:t>；</w:t>
      </w:r>
      <w:r>
        <w:rPr>
          <w:w w:val="100"/>
        </w:rPr>
        <w:t>（3</w:t>
      </w:r>
      <w:r>
        <w:rPr>
          <w:spacing w:val="-34"/>
          <w:w w:val="100"/>
        </w:rPr>
        <w:t>）</w:t>
      </w:r>
      <w:r>
        <w:rPr>
          <w:spacing w:val="-7"/>
          <w:w w:val="100"/>
        </w:rPr>
        <w:t>行动：自己上下床或上下轮椅</w:t>
      </w:r>
      <w:r>
        <w:rPr>
          <w:spacing w:val="-135"/>
          <w:w w:val="100"/>
        </w:rPr>
        <w:t>；</w:t>
      </w:r>
      <w:r>
        <w:rPr>
          <w:w w:val="100"/>
        </w:rPr>
        <w:t>（</w:t>
      </w:r>
      <w:r>
        <w:rPr>
          <w:spacing w:val="-5"/>
          <w:w w:val="100"/>
        </w:rPr>
        <w:t>4</w:t>
      </w:r>
      <w:r>
        <w:rPr>
          <w:spacing w:val="-29"/>
          <w:w w:val="100"/>
        </w:rPr>
        <w:t>）</w:t>
      </w:r>
      <w:r>
        <w:rPr>
          <w:spacing w:val="-7"/>
          <w:w w:val="100"/>
        </w:rPr>
        <w:t>如厕：自己控制进行大小便</w:t>
      </w:r>
      <w:r>
        <w:rPr>
          <w:spacing w:val="-140"/>
          <w:w w:val="100"/>
        </w:rPr>
        <w:t>；</w:t>
      </w:r>
      <w:r>
        <w:rPr>
          <w:w w:val="100"/>
        </w:rPr>
        <w:t>（5）</w:t>
      </w:r>
      <w:r>
        <w:rPr>
          <w:spacing w:val="-10"/>
          <w:w w:val="100"/>
        </w:rPr>
        <w:t>进食：自己从已准备好的碗或碟中取食物放入口中；</w:t>
      </w:r>
      <w:r>
        <w:rPr>
          <w:w w:val="100"/>
        </w:rPr>
        <w:t>（6）</w:t>
      </w:r>
      <w:r>
        <w:rPr>
          <w:spacing w:val="-4"/>
          <w:w w:val="100"/>
        </w:rPr>
        <w:t>洗澡：自己进行淋浴或盆浴。</w:t>
      </w:r>
    </w:p>
    <w:p>
      <w:pPr>
        <w:pStyle w:val="Heading2"/>
        <w:ind w:left="136"/>
      </w:pPr>
      <w:r>
        <w:rPr/>
        <w:t>肢体机能完全丧失：</w:t>
      </w:r>
    </w:p>
    <w:p>
      <w:pPr>
        <w:pStyle w:val="BodyText"/>
        <w:spacing w:line="273" w:lineRule="auto" w:before="12"/>
        <w:ind w:left="136" w:right="214" w:firstLine="422"/>
      </w:pPr>
      <w:r>
        <w:rPr/>
        <w:t>指肢体的三大关节中的两大关节僵硬，或不能随意识活动。肢体是指包括肩关节的整个上肢或包括髋关节的整个下肢。</w:t>
      </w:r>
    </w:p>
    <w:p>
      <w:pPr>
        <w:pStyle w:val="Heading2"/>
        <w:ind w:left="136"/>
      </w:pPr>
      <w:r>
        <w:rPr/>
        <w:t>语言能力或咀嚼吞咽能力完全丧失：</w:t>
      </w:r>
    </w:p>
    <w:p>
      <w:pPr>
        <w:pStyle w:val="BodyText"/>
        <w:spacing w:line="273" w:lineRule="auto" w:before="12"/>
        <w:ind w:left="136" w:right="214" w:firstLine="422"/>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36" w:right="214" w:firstLine="422"/>
      </w:pPr>
      <w:r>
        <w:rPr/>
        <w:t>咀嚼吞咽能力完全丧失，指因牙齿以外的原因导致器质障碍或机能障碍，以致不能作咀嚼吞咽运动，除流质食物外不能摄取或吞咽的状态。</w:t>
      </w:r>
    </w:p>
    <w:p>
      <w:pPr>
        <w:pStyle w:val="Heading2"/>
        <w:ind w:left="136"/>
      </w:pPr>
      <w:r>
        <w:rPr/>
        <w:t>永久不可逆：</w:t>
      </w:r>
    </w:p>
    <w:p>
      <w:pPr>
        <w:pStyle w:val="BodyText"/>
        <w:spacing w:before="12"/>
        <w:ind w:left="559"/>
      </w:pPr>
      <w:r>
        <w:rPr/>
        <w:t>指自疾病确诊或意外伤害发生之日起，经过积极治疗 180 天后，仍无法通过现有医疗手</w:t>
      </w:r>
    </w:p>
    <w:p>
      <w:pPr>
        <w:spacing w:after="0"/>
        <w:sectPr>
          <w:pgSz w:w="11910" w:h="16840"/>
          <w:pgMar w:header="0" w:footer="929" w:top="1400" w:bottom="1200" w:left="1620" w:right="1420"/>
        </w:sectPr>
      </w:pPr>
    </w:p>
    <w:p>
      <w:pPr>
        <w:pStyle w:val="BodyText"/>
        <w:spacing w:line="262" w:lineRule="exact" w:before="11"/>
      </w:pPr>
      <w:r>
        <w:rPr/>
        <w:t>段恢复。</w:t>
      </w:r>
    </w:p>
    <w:p>
      <w:pPr>
        <w:pStyle w:val="Heading2"/>
        <w:spacing w:line="350" w:lineRule="exact"/>
      </w:pPr>
      <w:r>
        <w:rPr/>
        <w:t>感染艾滋病病毒或患艾滋病：</w:t>
      </w:r>
    </w:p>
    <w:p>
      <w:pPr>
        <w:pStyle w:val="BodyText"/>
        <w:spacing w:line="273" w:lineRule="auto" w:before="12"/>
        <w:ind w:right="114" w:firstLine="422"/>
      </w:pPr>
      <w:r>
        <w:rPr>
          <w:spacing w:val="-6"/>
        </w:rPr>
        <w:t>艾滋病病毒指人类免疫缺陷病毒，英文缩写为 </w:t>
      </w:r>
      <w:r>
        <w:rPr/>
        <w:t>HIV</w:t>
      </w:r>
      <w:r>
        <w:rPr>
          <w:spacing w:val="-7"/>
        </w:rPr>
        <w:t>。艾滋病指人类免疫缺陷病毒引起的获</w:t>
      </w:r>
      <w:r>
        <w:rPr>
          <w:spacing w:val="-8"/>
        </w:rPr>
        <w:t>得性免疫缺陷综合征，英文缩写为 </w:t>
      </w:r>
      <w:r>
        <w:rPr/>
        <w:t>AIDS。</w:t>
      </w:r>
    </w:p>
    <w:p>
      <w:pPr>
        <w:pStyle w:val="BodyText"/>
        <w:spacing w:line="273" w:lineRule="auto" w:before="7"/>
        <w:ind w:right="114"/>
      </w:pPr>
      <w:r>
        <w:rPr/>
        <w:t>在人体血液或其它样本中检测到艾滋病病毒或其抗体呈阳性，没有出现临床症状或体征的， 为感染艾滋病病毒；如果同时出现了明显临床症状或体征的，为患艾滋病。</w:t>
      </w:r>
    </w:p>
    <w:sectPr>
      <w:pgSz w:w="11910" w:h="16840"/>
      <w:pgMar w:header="0" w:footer="929" w:top="1400" w:bottom="1200" w:left="164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2"/>
      </w:rPr>
    </w:pPr>
    <w:r>
      <w:rPr/>
      <w:pict>
        <v:shapetype id="_x0000_t202" o:spt="202" coordsize="21600,21600" path="m,l,21600r21600,l21600,xe">
          <v:stroke joinstyle="miter"/>
          <v:path gradientshapeok="t" o:connecttype="rect"/>
        </v:shapetype>
        <v:shape style="position:absolute;margin-left:261.079987pt;margin-top:780.473022pt;width:78.850pt;height:12.1pt;mso-position-horizontal-relative:page;mso-position-vertical-relative:page;z-index:-12832" type="#_x0000_t202" filled="false" stroked="false">
          <v:textbox inset="0,0,0,0">
            <w:txbxContent>
              <w:p>
                <w:pPr>
                  <w:spacing w:line="221"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12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399" w:hanging="840"/>
        <w:jc w:val="left"/>
      </w:pPr>
      <w:rPr>
        <w:rFonts w:hint="default" w:ascii="宋体" w:hAnsi="宋体" w:eastAsia="宋体" w:cs="宋体"/>
        <w:w w:val="100"/>
        <w:sz w:val="21"/>
        <w:szCs w:val="21"/>
      </w:rPr>
    </w:lvl>
    <w:lvl w:ilvl="1">
      <w:start w:val="0"/>
      <w:numFmt w:val="bullet"/>
      <w:lvlText w:val="•"/>
      <w:lvlJc w:val="left"/>
      <w:pPr>
        <w:ind w:left="2146" w:hanging="840"/>
      </w:pPr>
      <w:rPr>
        <w:rFonts w:hint="default"/>
      </w:rPr>
    </w:lvl>
    <w:lvl w:ilvl="2">
      <w:start w:val="0"/>
      <w:numFmt w:val="bullet"/>
      <w:lvlText w:val="•"/>
      <w:lvlJc w:val="left"/>
      <w:pPr>
        <w:ind w:left="2892" w:hanging="840"/>
      </w:pPr>
      <w:rPr>
        <w:rFonts w:hint="default"/>
      </w:rPr>
    </w:lvl>
    <w:lvl w:ilvl="3">
      <w:start w:val="0"/>
      <w:numFmt w:val="bullet"/>
      <w:lvlText w:val="•"/>
      <w:lvlJc w:val="left"/>
      <w:pPr>
        <w:ind w:left="3639" w:hanging="840"/>
      </w:pPr>
      <w:rPr>
        <w:rFonts w:hint="default"/>
      </w:rPr>
    </w:lvl>
    <w:lvl w:ilvl="4">
      <w:start w:val="0"/>
      <w:numFmt w:val="bullet"/>
      <w:lvlText w:val="•"/>
      <w:lvlJc w:val="left"/>
      <w:pPr>
        <w:ind w:left="4385" w:hanging="840"/>
      </w:pPr>
      <w:rPr>
        <w:rFonts w:hint="default"/>
      </w:rPr>
    </w:lvl>
    <w:lvl w:ilvl="5">
      <w:start w:val="0"/>
      <w:numFmt w:val="bullet"/>
      <w:lvlText w:val="•"/>
      <w:lvlJc w:val="left"/>
      <w:pPr>
        <w:ind w:left="5132" w:hanging="840"/>
      </w:pPr>
      <w:rPr>
        <w:rFonts w:hint="default"/>
      </w:rPr>
    </w:lvl>
    <w:lvl w:ilvl="6">
      <w:start w:val="0"/>
      <w:numFmt w:val="bullet"/>
      <w:lvlText w:val="•"/>
      <w:lvlJc w:val="left"/>
      <w:pPr>
        <w:ind w:left="5878" w:hanging="840"/>
      </w:pPr>
      <w:rPr>
        <w:rFonts w:hint="default"/>
      </w:rPr>
    </w:lvl>
    <w:lvl w:ilvl="7">
      <w:start w:val="0"/>
      <w:numFmt w:val="bullet"/>
      <w:lvlText w:val="•"/>
      <w:lvlJc w:val="left"/>
      <w:pPr>
        <w:ind w:left="6624" w:hanging="840"/>
      </w:pPr>
      <w:rPr>
        <w:rFonts w:hint="default"/>
      </w:rPr>
    </w:lvl>
    <w:lvl w:ilvl="8">
      <w:start w:val="0"/>
      <w:numFmt w:val="bullet"/>
      <w:lvlText w:val="•"/>
      <w:lvlJc w:val="left"/>
      <w:pPr>
        <w:ind w:left="7371" w:hanging="840"/>
      </w:pPr>
      <w:rPr>
        <w:rFonts w:hint="default"/>
      </w:rPr>
    </w:lvl>
  </w:abstractNum>
  <w:abstractNum w:abstractNumId="5">
    <w:multiLevelType w:val="hybridMultilevel"/>
    <w:lvl w:ilvl="0">
      <w:start w:val="5"/>
      <w:numFmt w:val="decimal"/>
      <w:lvlText w:val="（%1）"/>
      <w:lvlJc w:val="left"/>
      <w:pPr>
        <w:ind w:left="938" w:hanging="529"/>
        <w:jc w:val="left"/>
      </w:pPr>
      <w:rPr>
        <w:rFonts w:hint="default" w:ascii="宋体" w:hAnsi="宋体" w:eastAsia="宋体" w:cs="宋体"/>
        <w:spacing w:val="-53"/>
        <w:w w:val="100"/>
        <w:position w:val="1"/>
        <w:sz w:val="19"/>
        <w:szCs w:val="19"/>
      </w:rPr>
    </w:lvl>
    <w:lvl w:ilvl="1">
      <w:start w:val="1"/>
      <w:numFmt w:val="decimal"/>
      <w:lvlText w:val="（%2）"/>
      <w:lvlJc w:val="left"/>
      <w:pPr>
        <w:ind w:left="137" w:hanging="634"/>
        <w:jc w:val="left"/>
      </w:pPr>
      <w:rPr>
        <w:rFonts w:hint="default" w:ascii="宋体" w:hAnsi="宋体" w:eastAsia="宋体" w:cs="宋体"/>
        <w:w w:val="100"/>
        <w:sz w:val="21"/>
        <w:szCs w:val="21"/>
      </w:rPr>
    </w:lvl>
    <w:lvl w:ilvl="2">
      <w:start w:val="0"/>
      <w:numFmt w:val="bullet"/>
      <w:lvlText w:val="•"/>
      <w:lvlJc w:val="left"/>
      <w:pPr>
        <w:ind w:left="1818" w:hanging="634"/>
      </w:pPr>
      <w:rPr>
        <w:rFonts w:hint="default"/>
      </w:rPr>
    </w:lvl>
    <w:lvl w:ilvl="3">
      <w:start w:val="0"/>
      <w:numFmt w:val="bullet"/>
      <w:lvlText w:val="•"/>
      <w:lvlJc w:val="left"/>
      <w:pPr>
        <w:ind w:left="2696" w:hanging="634"/>
      </w:pPr>
      <w:rPr>
        <w:rFonts w:hint="default"/>
      </w:rPr>
    </w:lvl>
    <w:lvl w:ilvl="4">
      <w:start w:val="0"/>
      <w:numFmt w:val="bullet"/>
      <w:lvlText w:val="•"/>
      <w:lvlJc w:val="left"/>
      <w:pPr>
        <w:ind w:left="3574" w:hanging="634"/>
      </w:pPr>
      <w:rPr>
        <w:rFonts w:hint="default"/>
      </w:rPr>
    </w:lvl>
    <w:lvl w:ilvl="5">
      <w:start w:val="0"/>
      <w:numFmt w:val="bullet"/>
      <w:lvlText w:val="•"/>
      <w:lvlJc w:val="left"/>
      <w:pPr>
        <w:ind w:left="4452" w:hanging="634"/>
      </w:pPr>
      <w:rPr>
        <w:rFonts w:hint="default"/>
      </w:rPr>
    </w:lvl>
    <w:lvl w:ilvl="6">
      <w:start w:val="0"/>
      <w:numFmt w:val="bullet"/>
      <w:lvlText w:val="•"/>
      <w:lvlJc w:val="left"/>
      <w:pPr>
        <w:ind w:left="5331" w:hanging="634"/>
      </w:pPr>
      <w:rPr>
        <w:rFonts w:hint="default"/>
      </w:rPr>
    </w:lvl>
    <w:lvl w:ilvl="7">
      <w:start w:val="0"/>
      <w:numFmt w:val="bullet"/>
      <w:lvlText w:val="•"/>
      <w:lvlJc w:val="left"/>
      <w:pPr>
        <w:ind w:left="6209" w:hanging="634"/>
      </w:pPr>
      <w:rPr>
        <w:rFonts w:hint="default"/>
      </w:rPr>
    </w:lvl>
    <w:lvl w:ilvl="8">
      <w:start w:val="0"/>
      <w:numFmt w:val="bullet"/>
      <w:lvlText w:val="•"/>
      <w:lvlJc w:val="left"/>
      <w:pPr>
        <w:ind w:left="7087" w:hanging="634"/>
      </w:pPr>
      <w:rPr>
        <w:rFonts w:hint="default"/>
      </w:rPr>
    </w:lvl>
  </w:abstractNum>
  <w:abstractNum w:abstractNumId="4">
    <w:multiLevelType w:val="hybridMultilevel"/>
    <w:lvl w:ilvl="0">
      <w:start w:val="1"/>
      <w:numFmt w:val="decimal"/>
      <w:lvlText w:val="（%1）"/>
      <w:lvlJc w:val="left"/>
      <w:pPr>
        <w:ind w:left="931" w:hanging="840"/>
        <w:jc w:val="left"/>
      </w:pPr>
      <w:rPr>
        <w:rFonts w:hint="default" w:ascii="宋体" w:hAnsi="宋体" w:eastAsia="宋体" w:cs="宋体"/>
        <w:w w:val="100"/>
        <w:sz w:val="21"/>
        <w:szCs w:val="21"/>
      </w:rPr>
    </w:lvl>
    <w:lvl w:ilvl="1">
      <w:start w:val="0"/>
      <w:numFmt w:val="bullet"/>
      <w:lvlText w:val="•"/>
      <w:lvlJc w:val="left"/>
      <w:pPr>
        <w:ind w:left="1505" w:hanging="840"/>
      </w:pPr>
      <w:rPr>
        <w:rFonts w:hint="default"/>
      </w:rPr>
    </w:lvl>
    <w:lvl w:ilvl="2">
      <w:start w:val="0"/>
      <w:numFmt w:val="bullet"/>
      <w:lvlText w:val="•"/>
      <w:lvlJc w:val="left"/>
      <w:pPr>
        <w:ind w:left="2070" w:hanging="840"/>
      </w:pPr>
      <w:rPr>
        <w:rFonts w:hint="default"/>
      </w:rPr>
    </w:lvl>
    <w:lvl w:ilvl="3">
      <w:start w:val="0"/>
      <w:numFmt w:val="bullet"/>
      <w:lvlText w:val="•"/>
      <w:lvlJc w:val="left"/>
      <w:pPr>
        <w:ind w:left="2636" w:hanging="840"/>
      </w:pPr>
      <w:rPr>
        <w:rFonts w:hint="default"/>
      </w:rPr>
    </w:lvl>
    <w:lvl w:ilvl="4">
      <w:start w:val="0"/>
      <w:numFmt w:val="bullet"/>
      <w:lvlText w:val="•"/>
      <w:lvlJc w:val="left"/>
      <w:pPr>
        <w:ind w:left="3201" w:hanging="840"/>
      </w:pPr>
      <w:rPr>
        <w:rFonts w:hint="default"/>
      </w:rPr>
    </w:lvl>
    <w:lvl w:ilvl="5">
      <w:start w:val="0"/>
      <w:numFmt w:val="bullet"/>
      <w:lvlText w:val="•"/>
      <w:lvlJc w:val="left"/>
      <w:pPr>
        <w:ind w:left="3767" w:hanging="840"/>
      </w:pPr>
      <w:rPr>
        <w:rFonts w:hint="default"/>
      </w:rPr>
    </w:lvl>
    <w:lvl w:ilvl="6">
      <w:start w:val="0"/>
      <w:numFmt w:val="bullet"/>
      <w:lvlText w:val="•"/>
      <w:lvlJc w:val="left"/>
      <w:pPr>
        <w:ind w:left="4332" w:hanging="840"/>
      </w:pPr>
      <w:rPr>
        <w:rFonts w:hint="default"/>
      </w:rPr>
    </w:lvl>
    <w:lvl w:ilvl="7">
      <w:start w:val="0"/>
      <w:numFmt w:val="bullet"/>
      <w:lvlText w:val="•"/>
      <w:lvlJc w:val="left"/>
      <w:pPr>
        <w:ind w:left="4897" w:hanging="840"/>
      </w:pPr>
      <w:rPr>
        <w:rFonts w:hint="default"/>
      </w:rPr>
    </w:lvl>
    <w:lvl w:ilvl="8">
      <w:start w:val="0"/>
      <w:numFmt w:val="bullet"/>
      <w:lvlText w:val="•"/>
      <w:lvlJc w:val="left"/>
      <w:pPr>
        <w:ind w:left="5463" w:hanging="840"/>
      </w:pPr>
      <w:rPr>
        <w:rFonts w:hint="default"/>
      </w:rPr>
    </w:lvl>
  </w:abstractNum>
  <w:abstractNum w:abstractNumId="3">
    <w:multiLevelType w:val="hybridMultilevel"/>
    <w:lvl w:ilvl="0">
      <w:start w:val="1"/>
      <w:numFmt w:val="decimal"/>
      <w:lvlText w:val="（%1）"/>
      <w:lvlJc w:val="left"/>
      <w:pPr>
        <w:ind w:left="91" w:hanging="840"/>
        <w:jc w:val="left"/>
      </w:pPr>
      <w:rPr>
        <w:rFonts w:hint="default" w:ascii="宋体" w:hAnsi="宋体" w:eastAsia="宋体" w:cs="宋体"/>
        <w:w w:val="100"/>
        <w:sz w:val="21"/>
        <w:szCs w:val="21"/>
      </w:rPr>
    </w:lvl>
    <w:lvl w:ilvl="1">
      <w:start w:val="0"/>
      <w:numFmt w:val="bullet"/>
      <w:lvlText w:val="•"/>
      <w:lvlJc w:val="left"/>
      <w:pPr>
        <w:ind w:left="749" w:hanging="840"/>
      </w:pPr>
      <w:rPr>
        <w:rFonts w:hint="default"/>
      </w:rPr>
    </w:lvl>
    <w:lvl w:ilvl="2">
      <w:start w:val="0"/>
      <w:numFmt w:val="bullet"/>
      <w:lvlText w:val="•"/>
      <w:lvlJc w:val="left"/>
      <w:pPr>
        <w:ind w:left="1398" w:hanging="840"/>
      </w:pPr>
      <w:rPr>
        <w:rFonts w:hint="default"/>
      </w:rPr>
    </w:lvl>
    <w:lvl w:ilvl="3">
      <w:start w:val="0"/>
      <w:numFmt w:val="bullet"/>
      <w:lvlText w:val="•"/>
      <w:lvlJc w:val="left"/>
      <w:pPr>
        <w:ind w:left="2048" w:hanging="840"/>
      </w:pPr>
      <w:rPr>
        <w:rFonts w:hint="default"/>
      </w:rPr>
    </w:lvl>
    <w:lvl w:ilvl="4">
      <w:start w:val="0"/>
      <w:numFmt w:val="bullet"/>
      <w:lvlText w:val="•"/>
      <w:lvlJc w:val="left"/>
      <w:pPr>
        <w:ind w:left="2697" w:hanging="840"/>
      </w:pPr>
      <w:rPr>
        <w:rFonts w:hint="default"/>
      </w:rPr>
    </w:lvl>
    <w:lvl w:ilvl="5">
      <w:start w:val="0"/>
      <w:numFmt w:val="bullet"/>
      <w:lvlText w:val="•"/>
      <w:lvlJc w:val="left"/>
      <w:pPr>
        <w:ind w:left="3347" w:hanging="840"/>
      </w:pPr>
      <w:rPr>
        <w:rFonts w:hint="default"/>
      </w:rPr>
    </w:lvl>
    <w:lvl w:ilvl="6">
      <w:start w:val="0"/>
      <w:numFmt w:val="bullet"/>
      <w:lvlText w:val="•"/>
      <w:lvlJc w:val="left"/>
      <w:pPr>
        <w:ind w:left="3996" w:hanging="840"/>
      </w:pPr>
      <w:rPr>
        <w:rFonts w:hint="default"/>
      </w:rPr>
    </w:lvl>
    <w:lvl w:ilvl="7">
      <w:start w:val="0"/>
      <w:numFmt w:val="bullet"/>
      <w:lvlText w:val="•"/>
      <w:lvlJc w:val="left"/>
      <w:pPr>
        <w:ind w:left="4645" w:hanging="840"/>
      </w:pPr>
      <w:rPr>
        <w:rFonts w:hint="default"/>
      </w:rPr>
    </w:lvl>
    <w:lvl w:ilvl="8">
      <w:start w:val="0"/>
      <w:numFmt w:val="bullet"/>
      <w:lvlText w:val="•"/>
      <w:lvlJc w:val="left"/>
      <w:pPr>
        <w:ind w:left="5295" w:hanging="840"/>
      </w:pPr>
      <w:rPr>
        <w:rFonts w:hint="default"/>
      </w:rPr>
    </w:lvl>
  </w:abstractNum>
  <w:abstractNum w:abstractNumId="2">
    <w:multiLevelType w:val="hybridMultilevel"/>
    <w:lvl w:ilvl="0">
      <w:start w:val="1"/>
      <w:numFmt w:val="decimal"/>
      <w:lvlText w:val="%1."/>
      <w:lvlJc w:val="left"/>
      <w:pPr>
        <w:ind w:left="107" w:hanging="428"/>
        <w:jc w:val="left"/>
      </w:pPr>
      <w:rPr>
        <w:rFonts w:hint="default" w:ascii="Times New Roman" w:hAnsi="Times New Roman" w:eastAsia="Times New Roman" w:cs="Times New Roman"/>
        <w:w w:val="100"/>
        <w:sz w:val="21"/>
        <w:szCs w:val="21"/>
      </w:rPr>
    </w:lvl>
    <w:lvl w:ilvl="1">
      <w:start w:val="0"/>
      <w:numFmt w:val="bullet"/>
      <w:lvlText w:val="•"/>
      <w:lvlJc w:val="left"/>
      <w:pPr>
        <w:ind w:left="964" w:hanging="428"/>
      </w:pPr>
      <w:rPr>
        <w:rFonts w:hint="default"/>
      </w:rPr>
    </w:lvl>
    <w:lvl w:ilvl="2">
      <w:start w:val="0"/>
      <w:numFmt w:val="bullet"/>
      <w:lvlText w:val="•"/>
      <w:lvlJc w:val="left"/>
      <w:pPr>
        <w:ind w:left="1828" w:hanging="428"/>
      </w:pPr>
      <w:rPr>
        <w:rFonts w:hint="default"/>
      </w:rPr>
    </w:lvl>
    <w:lvl w:ilvl="3">
      <w:start w:val="0"/>
      <w:numFmt w:val="bullet"/>
      <w:lvlText w:val="•"/>
      <w:lvlJc w:val="left"/>
      <w:pPr>
        <w:ind w:left="2693" w:hanging="428"/>
      </w:pPr>
      <w:rPr>
        <w:rFonts w:hint="default"/>
      </w:rPr>
    </w:lvl>
    <w:lvl w:ilvl="4">
      <w:start w:val="0"/>
      <w:numFmt w:val="bullet"/>
      <w:lvlText w:val="•"/>
      <w:lvlJc w:val="left"/>
      <w:pPr>
        <w:ind w:left="3557" w:hanging="428"/>
      </w:pPr>
      <w:rPr>
        <w:rFonts w:hint="default"/>
      </w:rPr>
    </w:lvl>
    <w:lvl w:ilvl="5">
      <w:start w:val="0"/>
      <w:numFmt w:val="bullet"/>
      <w:lvlText w:val="•"/>
      <w:lvlJc w:val="left"/>
      <w:pPr>
        <w:ind w:left="4422" w:hanging="428"/>
      </w:pPr>
      <w:rPr>
        <w:rFonts w:hint="default"/>
      </w:rPr>
    </w:lvl>
    <w:lvl w:ilvl="6">
      <w:start w:val="0"/>
      <w:numFmt w:val="bullet"/>
      <w:lvlText w:val="•"/>
      <w:lvlJc w:val="left"/>
      <w:pPr>
        <w:ind w:left="5286" w:hanging="428"/>
      </w:pPr>
      <w:rPr>
        <w:rFonts w:hint="default"/>
      </w:rPr>
    </w:lvl>
    <w:lvl w:ilvl="7">
      <w:start w:val="0"/>
      <w:numFmt w:val="bullet"/>
      <w:lvlText w:val="•"/>
      <w:lvlJc w:val="left"/>
      <w:pPr>
        <w:ind w:left="6150" w:hanging="428"/>
      </w:pPr>
      <w:rPr>
        <w:rFonts w:hint="default"/>
      </w:rPr>
    </w:lvl>
    <w:lvl w:ilvl="8">
      <w:start w:val="0"/>
      <w:numFmt w:val="bullet"/>
      <w:lvlText w:val="•"/>
      <w:lvlJc w:val="left"/>
      <w:pPr>
        <w:ind w:left="7015" w:hanging="428"/>
      </w:pPr>
      <w:rPr>
        <w:rFonts w:hint="default"/>
      </w:rPr>
    </w:lvl>
  </w:abstractNum>
  <w:abstractNum w:abstractNumId="1">
    <w:multiLevelType w:val="hybridMultilevel"/>
    <w:lvl w:ilvl="0">
      <w:start w:val="1"/>
      <w:numFmt w:val="decimal"/>
      <w:lvlText w:val="%1."/>
      <w:lvlJc w:val="left"/>
      <w:pPr>
        <w:ind w:left="793"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94" w:hanging="264"/>
      </w:pPr>
      <w:rPr>
        <w:rFonts w:hint="default"/>
      </w:rPr>
    </w:lvl>
    <w:lvl w:ilvl="2">
      <w:start w:val="0"/>
      <w:numFmt w:val="bullet"/>
      <w:lvlText w:val="•"/>
      <w:lvlJc w:val="left"/>
      <w:pPr>
        <w:ind w:left="2388" w:hanging="264"/>
      </w:pPr>
      <w:rPr>
        <w:rFonts w:hint="default"/>
      </w:rPr>
    </w:lvl>
    <w:lvl w:ilvl="3">
      <w:start w:val="0"/>
      <w:numFmt w:val="bullet"/>
      <w:lvlText w:val="•"/>
      <w:lvlJc w:val="left"/>
      <w:pPr>
        <w:ind w:left="3183" w:hanging="264"/>
      </w:pPr>
      <w:rPr>
        <w:rFonts w:hint="default"/>
      </w:rPr>
    </w:lvl>
    <w:lvl w:ilvl="4">
      <w:start w:val="0"/>
      <w:numFmt w:val="bullet"/>
      <w:lvlText w:val="•"/>
      <w:lvlJc w:val="left"/>
      <w:pPr>
        <w:ind w:left="3977" w:hanging="264"/>
      </w:pPr>
      <w:rPr>
        <w:rFonts w:hint="default"/>
      </w:rPr>
    </w:lvl>
    <w:lvl w:ilvl="5">
      <w:start w:val="0"/>
      <w:numFmt w:val="bullet"/>
      <w:lvlText w:val="•"/>
      <w:lvlJc w:val="left"/>
      <w:pPr>
        <w:ind w:left="4772" w:hanging="264"/>
      </w:pPr>
      <w:rPr>
        <w:rFonts w:hint="default"/>
      </w:rPr>
    </w:lvl>
    <w:lvl w:ilvl="6">
      <w:start w:val="0"/>
      <w:numFmt w:val="bullet"/>
      <w:lvlText w:val="•"/>
      <w:lvlJc w:val="left"/>
      <w:pPr>
        <w:ind w:left="5566" w:hanging="264"/>
      </w:pPr>
      <w:rPr>
        <w:rFonts w:hint="default"/>
      </w:rPr>
    </w:lvl>
    <w:lvl w:ilvl="7">
      <w:start w:val="0"/>
      <w:numFmt w:val="bullet"/>
      <w:lvlText w:val="•"/>
      <w:lvlJc w:val="left"/>
      <w:pPr>
        <w:ind w:left="6360" w:hanging="264"/>
      </w:pPr>
      <w:rPr>
        <w:rFonts w:hint="default"/>
      </w:rPr>
    </w:lvl>
    <w:lvl w:ilvl="8">
      <w:start w:val="0"/>
      <w:numFmt w:val="bullet"/>
      <w:lvlText w:val="•"/>
      <w:lvlJc w:val="left"/>
      <w:pPr>
        <w:ind w:left="7155" w:hanging="264"/>
      </w:pPr>
      <w:rPr>
        <w:rFonts w:hint="default"/>
      </w:rPr>
    </w:lvl>
  </w:abstractNum>
  <w:abstractNum w:abstractNumId="0">
    <w:multiLevelType w:val="hybridMultilevel"/>
    <w:lvl w:ilvl="0">
      <w:start w:val="1"/>
      <w:numFmt w:val="decimal"/>
      <w:lvlText w:val="%1."/>
      <w:lvlJc w:val="left"/>
      <w:pPr>
        <w:ind w:left="116" w:hanging="423"/>
        <w:jc w:val="left"/>
      </w:pPr>
      <w:rPr>
        <w:rFonts w:hint="default" w:ascii="宋体" w:hAnsi="宋体" w:eastAsia="宋体" w:cs="宋体"/>
        <w:w w:val="100"/>
        <w:sz w:val="21"/>
        <w:szCs w:val="21"/>
      </w:rPr>
    </w:lvl>
    <w:lvl w:ilvl="1">
      <w:start w:val="0"/>
      <w:numFmt w:val="bullet"/>
      <w:lvlText w:val="•"/>
      <w:lvlJc w:val="left"/>
      <w:pPr>
        <w:ind w:left="988" w:hanging="423"/>
      </w:pPr>
      <w:rPr>
        <w:rFonts w:hint="default"/>
      </w:rPr>
    </w:lvl>
    <w:lvl w:ilvl="2">
      <w:start w:val="0"/>
      <w:numFmt w:val="bullet"/>
      <w:lvlText w:val="•"/>
      <w:lvlJc w:val="left"/>
      <w:pPr>
        <w:ind w:left="1856" w:hanging="423"/>
      </w:pPr>
      <w:rPr>
        <w:rFonts w:hint="default"/>
      </w:rPr>
    </w:lvl>
    <w:lvl w:ilvl="3">
      <w:start w:val="0"/>
      <w:numFmt w:val="bullet"/>
      <w:lvlText w:val="•"/>
      <w:lvlJc w:val="left"/>
      <w:pPr>
        <w:ind w:left="2725" w:hanging="423"/>
      </w:pPr>
      <w:rPr>
        <w:rFonts w:hint="default"/>
      </w:rPr>
    </w:lvl>
    <w:lvl w:ilvl="4">
      <w:start w:val="0"/>
      <w:numFmt w:val="bullet"/>
      <w:lvlText w:val="•"/>
      <w:lvlJc w:val="left"/>
      <w:pPr>
        <w:ind w:left="3593" w:hanging="423"/>
      </w:pPr>
      <w:rPr>
        <w:rFonts w:hint="default"/>
      </w:rPr>
    </w:lvl>
    <w:lvl w:ilvl="5">
      <w:start w:val="0"/>
      <w:numFmt w:val="bullet"/>
      <w:lvlText w:val="•"/>
      <w:lvlJc w:val="left"/>
      <w:pPr>
        <w:ind w:left="4462" w:hanging="423"/>
      </w:pPr>
      <w:rPr>
        <w:rFonts w:hint="default"/>
      </w:rPr>
    </w:lvl>
    <w:lvl w:ilvl="6">
      <w:start w:val="0"/>
      <w:numFmt w:val="bullet"/>
      <w:lvlText w:val="•"/>
      <w:lvlJc w:val="left"/>
      <w:pPr>
        <w:ind w:left="5330" w:hanging="423"/>
      </w:pPr>
      <w:rPr>
        <w:rFonts w:hint="default"/>
      </w:rPr>
    </w:lvl>
    <w:lvl w:ilvl="7">
      <w:start w:val="0"/>
      <w:numFmt w:val="bullet"/>
      <w:lvlText w:val="•"/>
      <w:lvlJc w:val="left"/>
      <w:pPr>
        <w:ind w:left="6198" w:hanging="423"/>
      </w:pPr>
      <w:rPr>
        <w:rFonts w:hint="default"/>
      </w:rPr>
    </w:lvl>
    <w:lvl w:ilvl="8">
      <w:start w:val="0"/>
      <w:numFmt w:val="bullet"/>
      <w:lvlText w:val="•"/>
      <w:lvlJc w:val="left"/>
      <w:pPr>
        <w:ind w:left="7067" w:hanging="42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6"/>
    </w:pPr>
    <w:rPr>
      <w:rFonts w:ascii="宋体" w:hAnsi="宋体" w:eastAsia="宋体" w:cs="宋体"/>
      <w:sz w:val="21"/>
      <w:szCs w:val="21"/>
    </w:rPr>
  </w:style>
  <w:style w:styleId="Heading1" w:type="paragraph">
    <w:name w:val="Heading 1"/>
    <w:basedOn w:val="Normal"/>
    <w:uiPriority w:val="1"/>
    <w:qFormat/>
    <w:pPr>
      <w:ind w:left="2329" w:right="2397"/>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spacing w:line="308" w:lineRule="exact"/>
      <w:ind w:left="116"/>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1"/>
      <w:ind w:left="793" w:hanging="427"/>
    </w:pPr>
    <w:rPr>
      <w:rFonts w:ascii="宋体" w:hAnsi="宋体" w:eastAsia="宋体" w:cs="宋体"/>
    </w:rPr>
  </w:style>
  <w:style w:styleId="TableParagraph" w:type="paragraph">
    <w:name w:val="Table Paragraph"/>
    <w:basedOn w:val="Normal"/>
    <w:uiPriority w:val="1"/>
    <w:qFormat/>
    <w:pPr>
      <w:spacing w:line="257" w:lineRule="exact"/>
      <w:ind w:left="9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cgao</dc:creator>
  <dc:title>光大永明人寿保险有限公司</dc:title>
  <dcterms:created xsi:type="dcterms:W3CDTF">2018-10-19T22:33:48Z</dcterms:created>
  <dcterms:modified xsi:type="dcterms:W3CDTF">2018-10-19T22:33:48Z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Acrobat PDFMaker 10.1 Word 版</vt:lpwstr>
  </property>
  <property fmtid="{D5CDD505-2E9C-101B-9397-08002B2CF9AE}" pid="4" name="LastSaved">
    <vt:filetime>2018-10-19T00:00:00Z</vt:filetime>
  </property>
</Properties>
</file>