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9"/>
        <w:ind w:left="5557"/>
      </w:pPr>
      <w:r>
        <w:rPr/>
        <w:drawing>
          <wp:anchor distT="0" distB="0" distL="0" distR="0" allowOverlap="1" layoutInCell="1" locked="0" behindDoc="0" simplePos="0" relativeHeight="0">
            <wp:simplePos x="0" y="0"/>
            <wp:positionH relativeFrom="page">
              <wp:posOffset>5154929</wp:posOffset>
            </wp:positionH>
            <wp:positionV relativeFrom="paragraph">
              <wp:posOffset>238425</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5" cstate="print"/>
                    <a:stretch>
                      <a:fillRect/>
                    </a:stretch>
                  </pic:blipFill>
                  <pic:spPr>
                    <a:xfrm>
                      <a:off x="0" y="0"/>
                      <a:ext cx="723900" cy="723900"/>
                    </a:xfrm>
                    <a:prstGeom prst="rect">
                      <a:avLst/>
                    </a:prstGeom>
                  </pic:spPr>
                </pic:pic>
              </a:graphicData>
            </a:graphic>
          </wp:anchor>
        </w:drawing>
      </w:r>
      <w:r>
        <w:rPr/>
        <w:t>中英人寿</w:t>
      </w:r>
      <w:r>
        <w:rPr>
          <w:rFonts w:ascii="Times New Roman" w:eastAsia="Times New Roman"/>
        </w:rPr>
        <w:t>[2016]</w:t>
      </w:r>
      <w:r>
        <w:rPr/>
        <w:t>疾病保险 </w:t>
      </w:r>
      <w:r>
        <w:rPr>
          <w:rFonts w:ascii="Times New Roman" w:eastAsia="Times New Roman"/>
        </w:rPr>
        <w:t>009 </w:t>
      </w:r>
      <w:r>
        <w:rPr/>
        <w:t>号</w:t>
      </w:r>
    </w:p>
    <w:p>
      <w:pPr>
        <w:pStyle w:val="BodyText"/>
        <w:ind w:left="5847"/>
      </w:pPr>
      <w:r>
        <w:rPr/>
        <w:t>请扫描以查询验证条款</w:t>
      </w:r>
    </w:p>
    <w:p>
      <w:pPr>
        <w:pStyle w:val="BodyText"/>
        <w:spacing w:before="11"/>
        <w:rPr>
          <w:sz w:val="19"/>
        </w:rPr>
      </w:pPr>
    </w:p>
    <w:p>
      <w:pPr>
        <w:spacing w:before="0"/>
        <w:ind w:left="2234" w:right="0" w:firstLine="0"/>
        <w:jc w:val="left"/>
        <w:rPr>
          <w:rFonts w:ascii="黑体" w:eastAsia="黑体" w:hint="eastAsia"/>
          <w:b/>
          <w:sz w:val="28"/>
        </w:rPr>
      </w:pPr>
      <w:r>
        <w:rPr>
          <w:rFonts w:ascii="黑体" w:eastAsia="黑体" w:hint="eastAsia"/>
          <w:b/>
          <w:w w:val="95"/>
          <w:sz w:val="28"/>
        </w:rPr>
        <w:t>中英人寿爱相随尊享版重大疾病保险</w:t>
      </w:r>
    </w:p>
    <w:p>
      <w:pPr>
        <w:pStyle w:val="BodyText"/>
        <w:rPr>
          <w:rFonts w:ascii="黑体"/>
          <w:b/>
          <w:sz w:val="28"/>
        </w:rPr>
      </w:pPr>
    </w:p>
    <w:p>
      <w:pPr>
        <w:pStyle w:val="BodyText"/>
        <w:spacing w:before="9"/>
        <w:rPr>
          <w:rFonts w:ascii="黑体"/>
          <w:b/>
          <w:sz w:val="25"/>
        </w:rPr>
      </w:pPr>
    </w:p>
    <w:p>
      <w:pPr>
        <w:spacing w:line="408" w:lineRule="auto" w:before="1"/>
        <w:ind w:left="120" w:right="125" w:firstLine="0"/>
        <w:jc w:val="left"/>
        <w:rPr>
          <w:b/>
          <w:sz w:val="21"/>
        </w:rPr>
      </w:pPr>
      <w:r>
        <w:rPr>
          <w:b/>
          <w:sz w:val="21"/>
        </w:rPr>
        <w:t>阅读指引和条款目录仅供辅助理解保险条款使用，不构成保险合同的组成部分。对保险合同的解释以保险条款为准。</w:t>
      </w:r>
    </w:p>
    <w:p>
      <w:pPr>
        <w:spacing w:before="67"/>
        <w:ind w:left="3693" w:right="3692" w:firstLine="0"/>
        <w:jc w:val="center"/>
        <w:rPr>
          <w:b/>
          <w:sz w:val="28"/>
        </w:rPr>
      </w:pPr>
      <w:r>
        <w:rPr>
          <w:b/>
          <w:sz w:val="28"/>
        </w:rPr>
        <w:t>阅读指引</w:t>
      </w:r>
    </w:p>
    <w:p>
      <w:pPr>
        <w:pStyle w:val="BodyText"/>
        <w:rPr>
          <w:b/>
          <w:sz w:val="28"/>
        </w:rPr>
      </w:pPr>
    </w:p>
    <w:p>
      <w:pPr>
        <w:pStyle w:val="BodyText"/>
        <w:spacing w:before="10"/>
        <w:rPr>
          <w:b/>
          <w:sz w:val="25"/>
        </w:rPr>
      </w:pPr>
    </w:p>
    <w:p>
      <w:pPr>
        <w:spacing w:before="0"/>
        <w:ind w:left="120" w:right="0" w:firstLine="0"/>
        <w:jc w:val="left"/>
        <w:rPr>
          <w:b/>
          <w:sz w:val="21"/>
        </w:rPr>
      </w:pPr>
      <w:r>
        <w:rPr>
          <w:b/>
          <w:sz w:val="21"/>
        </w:rPr>
        <w:t>您享有的重要权益</w:t>
      </w:r>
    </w:p>
    <w:p>
      <w:pPr>
        <w:pStyle w:val="BodyText"/>
        <w:spacing w:before="9"/>
        <w:rPr>
          <w:b/>
          <w:sz w:val="14"/>
        </w:rPr>
      </w:pPr>
    </w:p>
    <w:p>
      <w:pPr>
        <w:pStyle w:val="BodyText"/>
        <w:tabs>
          <w:tab w:pos="7167" w:val="left" w:leader="none"/>
        </w:tabs>
        <w:ind w:left="331"/>
      </w:pPr>
      <w:r>
        <w:rPr/>
        <w:t>签收</w:t>
      </w:r>
      <w:r>
        <w:rPr>
          <w:spacing w:val="-3"/>
        </w:rPr>
        <w:t>本</w:t>
      </w:r>
      <w:r>
        <w:rPr/>
        <w:t>合</w:t>
      </w:r>
      <w:r>
        <w:rPr>
          <w:spacing w:val="-3"/>
        </w:rPr>
        <w:t>同后</w:t>
      </w:r>
      <w:r>
        <w:rPr/>
        <w:t>的</w:t>
      </w:r>
      <w:r>
        <w:rPr>
          <w:spacing w:val="-48"/>
        </w:rPr>
        <w:t> </w:t>
      </w:r>
      <w:r>
        <w:rPr>
          <w:rFonts w:ascii="Times New Roman" w:eastAsia="Times New Roman"/>
        </w:rPr>
        <w:t>10</w:t>
      </w:r>
      <w:r>
        <w:rPr>
          <w:rFonts w:ascii="Times New Roman" w:eastAsia="Times New Roman"/>
          <w:spacing w:val="1"/>
        </w:rPr>
        <w:t> </w:t>
      </w:r>
      <w:r>
        <w:rPr/>
        <w:t>天</w:t>
      </w:r>
      <w:r>
        <w:rPr>
          <w:spacing w:val="-3"/>
        </w:rPr>
        <w:t>内</w:t>
      </w:r>
      <w:r>
        <w:rPr>
          <w:spacing w:val="-10"/>
        </w:rPr>
        <w:t>，</w:t>
      </w:r>
      <w:r>
        <w:rPr/>
        <w:t>您可</w:t>
      </w:r>
      <w:r>
        <w:rPr>
          <w:spacing w:val="-3"/>
        </w:rPr>
        <w:t>以</w:t>
      </w:r>
      <w:r>
        <w:rPr/>
        <w:t>要</w:t>
      </w:r>
      <w:r>
        <w:rPr>
          <w:spacing w:val="-3"/>
        </w:rPr>
        <w:t>求</w:t>
      </w:r>
      <w:r>
        <w:rPr/>
        <w:t>退</w:t>
      </w:r>
      <w:r>
        <w:rPr>
          <w:spacing w:val="-3"/>
        </w:rPr>
        <w:t>还</w:t>
      </w:r>
      <w:r>
        <w:rPr/>
        <w:t>保</w:t>
      </w:r>
      <w:r>
        <w:rPr>
          <w:spacing w:val="-3"/>
        </w:rPr>
        <w:t>险费</w:t>
      </w:r>
      <w:r>
        <w:rPr>
          <w:spacing w:val="-3"/>
          <w:u w:val="single"/>
        </w:rPr>
        <w:t> </w:t>
        <w:tab/>
      </w:r>
      <w:r>
        <w:rPr/>
        <w:t>第</w:t>
      </w:r>
      <w:r>
        <w:rPr>
          <w:spacing w:val="-52"/>
        </w:rPr>
        <w:t> </w:t>
      </w:r>
      <w:r>
        <w:rPr>
          <w:rFonts w:ascii="Times New Roman" w:eastAsia="Times New Roman"/>
        </w:rPr>
        <w:t>1</w:t>
      </w:r>
      <w:r>
        <w:rPr>
          <w:rFonts w:ascii="Times New Roman" w:eastAsia="Times New Roman"/>
          <w:spacing w:val="-2"/>
        </w:rPr>
        <w:t> </w:t>
      </w:r>
      <w:r>
        <w:rPr/>
        <w:t>章第</w:t>
      </w:r>
      <w:r>
        <w:rPr>
          <w:spacing w:val="-51"/>
        </w:rPr>
        <w:t> </w:t>
      </w:r>
      <w:r>
        <w:rPr>
          <w:rFonts w:ascii="Times New Roman" w:eastAsia="Times New Roman"/>
        </w:rPr>
        <w:t>8</w:t>
      </w:r>
      <w:r>
        <w:rPr>
          <w:rFonts w:ascii="Times New Roman" w:eastAsia="Times New Roman"/>
          <w:spacing w:val="-2"/>
        </w:rPr>
        <w:t> </w:t>
      </w:r>
      <w:r>
        <w:rPr/>
        <w:t>条</w:t>
      </w:r>
    </w:p>
    <w:p>
      <w:pPr>
        <w:pStyle w:val="BodyText"/>
        <w:tabs>
          <w:tab w:pos="7198" w:val="left" w:leader="none"/>
        </w:tabs>
        <w:spacing w:before="177"/>
        <w:ind w:left="331"/>
      </w:pPr>
      <w:r>
        <w:rPr/>
        <w:t>本合</w:t>
      </w:r>
      <w:r>
        <w:rPr>
          <w:spacing w:val="-3"/>
        </w:rPr>
        <w:t>同</w:t>
      </w:r>
      <w:r>
        <w:rPr/>
        <w:t>提</w:t>
      </w:r>
      <w:r>
        <w:rPr>
          <w:spacing w:val="-3"/>
        </w:rPr>
        <w:t>供</w:t>
      </w:r>
      <w:r>
        <w:rPr/>
        <w:t>的</w:t>
      </w:r>
      <w:r>
        <w:rPr>
          <w:spacing w:val="-3"/>
        </w:rPr>
        <w:t>保障</w:t>
      </w:r>
      <w:r>
        <w:rPr>
          <w:spacing w:val="-3"/>
          <w:u w:val="single"/>
        </w:rPr>
        <w:t> </w:t>
        <w:tab/>
      </w:r>
      <w:r>
        <w:rPr/>
        <w:t>第</w:t>
      </w:r>
      <w:r>
        <w:rPr>
          <w:spacing w:val="-59"/>
        </w:rPr>
        <w:t> </w:t>
      </w:r>
      <w:r>
        <w:rPr>
          <w:rFonts w:ascii="Times New Roman" w:eastAsia="Times New Roman"/>
        </w:rPr>
        <w:t>2</w:t>
      </w:r>
      <w:r>
        <w:rPr>
          <w:rFonts w:ascii="Times New Roman" w:eastAsia="Times New Roman"/>
          <w:spacing w:val="-8"/>
        </w:rPr>
        <w:t> </w:t>
      </w:r>
      <w:r>
        <w:rPr/>
        <w:t>章第</w:t>
      </w:r>
      <w:r>
        <w:rPr>
          <w:spacing w:val="-61"/>
        </w:rPr>
        <w:t> </w:t>
      </w:r>
      <w:r>
        <w:rPr>
          <w:rFonts w:ascii="Times New Roman" w:eastAsia="Times New Roman"/>
        </w:rPr>
        <w:t>1</w:t>
      </w:r>
      <w:r>
        <w:rPr>
          <w:rFonts w:ascii="Times New Roman" w:eastAsia="Times New Roman"/>
          <w:spacing w:val="-9"/>
        </w:rPr>
        <w:t> </w:t>
      </w:r>
      <w:r>
        <w:rPr/>
        <w:t>条</w:t>
      </w:r>
    </w:p>
    <w:p>
      <w:pPr>
        <w:pStyle w:val="BodyText"/>
        <w:tabs>
          <w:tab w:pos="7830" w:val="left" w:leader="none"/>
        </w:tabs>
        <w:spacing w:before="177"/>
        <w:ind w:left="331"/>
      </w:pPr>
      <w:r>
        <w:rPr/>
        <w:t>您拥</w:t>
      </w:r>
      <w:r>
        <w:rPr>
          <w:spacing w:val="-3"/>
        </w:rPr>
        <w:t>有</w:t>
      </w:r>
      <w:r>
        <w:rPr/>
        <w:t>保</w:t>
      </w:r>
      <w:r>
        <w:rPr>
          <w:spacing w:val="-3"/>
        </w:rPr>
        <w:t>单</w:t>
      </w:r>
      <w:r>
        <w:rPr/>
        <w:t>借</w:t>
      </w:r>
      <w:r>
        <w:rPr>
          <w:spacing w:val="-3"/>
        </w:rPr>
        <w:t>款</w:t>
      </w:r>
      <w:r>
        <w:rPr/>
        <w:t>的</w:t>
      </w:r>
      <w:r>
        <w:rPr>
          <w:spacing w:val="-3"/>
        </w:rPr>
        <w:t>权利</w:t>
      </w:r>
      <w:r>
        <w:rPr>
          <w:spacing w:val="-3"/>
          <w:u w:val="single"/>
        </w:rPr>
        <w:t> </w:t>
        <w:tab/>
      </w:r>
      <w:r>
        <w:rPr>
          <w:spacing w:val="35"/>
        </w:rPr>
        <w:t>第</w:t>
      </w:r>
      <w:r>
        <w:rPr>
          <w:rFonts w:ascii="Times New Roman" w:eastAsia="Times New Roman"/>
        </w:rPr>
        <w:t>4</w:t>
      </w:r>
      <w:r>
        <w:rPr>
          <w:rFonts w:ascii="Times New Roman" w:eastAsia="Times New Roman"/>
          <w:spacing w:val="-13"/>
        </w:rPr>
        <w:t> </w:t>
      </w:r>
      <w:r>
        <w:rPr/>
        <w:t>章</w:t>
      </w:r>
    </w:p>
    <w:p>
      <w:pPr>
        <w:pStyle w:val="BodyText"/>
        <w:tabs>
          <w:tab w:pos="7830" w:val="left" w:leader="none"/>
        </w:tabs>
        <w:spacing w:before="177"/>
        <w:ind w:left="331"/>
      </w:pPr>
      <w:r>
        <w:rPr/>
        <w:t>您拥</w:t>
      </w:r>
      <w:r>
        <w:rPr>
          <w:spacing w:val="-3"/>
        </w:rPr>
        <w:t>有</w:t>
      </w:r>
      <w:r>
        <w:rPr/>
        <w:t>解</w:t>
      </w:r>
      <w:r>
        <w:rPr>
          <w:spacing w:val="-3"/>
        </w:rPr>
        <w:t>除</w:t>
      </w:r>
      <w:r>
        <w:rPr/>
        <w:t>合</w:t>
      </w:r>
      <w:r>
        <w:rPr>
          <w:spacing w:val="-3"/>
        </w:rPr>
        <w:t>同</w:t>
      </w:r>
      <w:r>
        <w:rPr/>
        <w:t>的</w:t>
      </w:r>
      <w:r>
        <w:rPr>
          <w:spacing w:val="-3"/>
        </w:rPr>
        <w:t>权利</w:t>
      </w:r>
      <w:r>
        <w:rPr>
          <w:spacing w:val="-3"/>
          <w:u w:val="single"/>
        </w:rPr>
        <w:t> </w:t>
        <w:tab/>
      </w:r>
      <w:r>
        <w:rPr>
          <w:spacing w:val="35"/>
        </w:rPr>
        <w:t>第</w:t>
      </w:r>
      <w:r>
        <w:rPr>
          <w:rFonts w:ascii="Times New Roman" w:eastAsia="Times New Roman"/>
        </w:rPr>
        <w:t>9</w:t>
      </w:r>
      <w:r>
        <w:rPr>
          <w:rFonts w:ascii="Times New Roman" w:eastAsia="Times New Roman"/>
          <w:spacing w:val="-13"/>
        </w:rPr>
        <w:t> </w:t>
      </w:r>
      <w:r>
        <w:rPr/>
        <w:t>章</w:t>
      </w:r>
    </w:p>
    <w:p>
      <w:pPr>
        <w:pStyle w:val="BodyText"/>
        <w:rPr>
          <w:sz w:val="22"/>
        </w:rPr>
      </w:pPr>
    </w:p>
    <w:p>
      <w:pPr>
        <w:pStyle w:val="BodyText"/>
        <w:spacing w:before="4"/>
        <w:rPr>
          <w:sz w:val="27"/>
        </w:rPr>
      </w:pPr>
    </w:p>
    <w:p>
      <w:pPr>
        <w:spacing w:before="0"/>
        <w:ind w:left="120" w:right="0" w:firstLine="0"/>
        <w:jc w:val="left"/>
        <w:rPr>
          <w:b/>
          <w:sz w:val="21"/>
        </w:rPr>
      </w:pPr>
      <w:r>
        <w:rPr>
          <w:b/>
          <w:sz w:val="21"/>
        </w:rPr>
        <w:t>您应当特别注意的事项</w:t>
      </w:r>
    </w:p>
    <w:p>
      <w:pPr>
        <w:pStyle w:val="BodyText"/>
        <w:spacing w:before="10"/>
        <w:rPr>
          <w:b/>
          <w:sz w:val="14"/>
        </w:rPr>
      </w:pPr>
    </w:p>
    <w:p>
      <w:pPr>
        <w:pStyle w:val="BodyText"/>
        <w:tabs>
          <w:tab w:pos="7196" w:val="left" w:leader="none"/>
        </w:tabs>
        <w:ind w:left="331"/>
      </w:pPr>
      <w:r>
        <w:rPr/>
        <w:t>您有</w:t>
      </w:r>
      <w:r>
        <w:rPr>
          <w:spacing w:val="-3"/>
        </w:rPr>
        <w:t>如</w:t>
      </w:r>
      <w:r>
        <w:rPr/>
        <w:t>实</w:t>
      </w:r>
      <w:r>
        <w:rPr>
          <w:spacing w:val="-3"/>
        </w:rPr>
        <w:t>告</w:t>
      </w:r>
      <w:r>
        <w:rPr/>
        <w:t>知</w:t>
      </w:r>
      <w:r>
        <w:rPr>
          <w:spacing w:val="-3"/>
        </w:rPr>
        <w:t>的</w:t>
      </w:r>
      <w:r>
        <w:rPr/>
        <w:t>义</w:t>
      </w:r>
      <w:r>
        <w:rPr>
          <w:spacing w:val="-3"/>
        </w:rPr>
        <w:t>务</w:t>
      </w:r>
      <w:r>
        <w:rPr>
          <w:spacing w:val="-3"/>
          <w:u w:val="single"/>
        </w:rPr>
        <w:t> </w:t>
        <w:tab/>
      </w:r>
      <w:r>
        <w:rPr/>
        <w:t>第</w:t>
      </w:r>
      <w:r>
        <w:rPr>
          <w:spacing w:val="-59"/>
        </w:rPr>
        <w:t> </w:t>
      </w:r>
      <w:r>
        <w:rPr>
          <w:rFonts w:ascii="Times New Roman" w:eastAsia="Times New Roman"/>
        </w:rPr>
        <w:t>1</w:t>
      </w:r>
      <w:r>
        <w:rPr>
          <w:rFonts w:ascii="Times New Roman" w:eastAsia="Times New Roman"/>
          <w:spacing w:val="-8"/>
        </w:rPr>
        <w:t> </w:t>
      </w:r>
      <w:r>
        <w:rPr/>
        <w:t>章第</w:t>
      </w:r>
      <w:r>
        <w:rPr>
          <w:spacing w:val="-59"/>
        </w:rPr>
        <w:t> </w:t>
      </w:r>
      <w:r>
        <w:rPr>
          <w:rFonts w:ascii="Times New Roman" w:eastAsia="Times New Roman"/>
        </w:rPr>
        <w:t>6</w:t>
      </w:r>
      <w:r>
        <w:rPr>
          <w:rFonts w:ascii="Times New Roman" w:eastAsia="Times New Roman"/>
          <w:spacing w:val="-9"/>
        </w:rPr>
        <w:t> </w:t>
      </w:r>
      <w:r>
        <w:rPr/>
        <w:t>条</w:t>
      </w:r>
    </w:p>
    <w:p>
      <w:pPr>
        <w:pStyle w:val="BodyText"/>
        <w:tabs>
          <w:tab w:pos="7170" w:val="left" w:leader="none"/>
        </w:tabs>
        <w:spacing w:before="177"/>
        <w:ind w:left="331"/>
      </w:pPr>
      <w:r>
        <w:rPr/>
        <w:t>在责</w:t>
      </w:r>
      <w:r>
        <w:rPr>
          <w:spacing w:val="-3"/>
        </w:rPr>
        <w:t>任</w:t>
      </w:r>
      <w:r>
        <w:rPr/>
        <w:t>免</w:t>
      </w:r>
      <w:r>
        <w:rPr>
          <w:spacing w:val="-3"/>
        </w:rPr>
        <w:t>除</w:t>
      </w:r>
      <w:r>
        <w:rPr/>
        <w:t>条</w:t>
      </w:r>
      <w:r>
        <w:rPr>
          <w:spacing w:val="-3"/>
        </w:rPr>
        <w:t>款</w:t>
      </w:r>
      <w:r>
        <w:rPr/>
        <w:t>约</w:t>
      </w:r>
      <w:r>
        <w:rPr>
          <w:spacing w:val="-3"/>
        </w:rPr>
        <w:t>定</w:t>
      </w:r>
      <w:r>
        <w:rPr/>
        <w:t>的</w:t>
      </w:r>
      <w:r>
        <w:rPr>
          <w:spacing w:val="-3"/>
        </w:rPr>
        <w:t>情</w:t>
      </w:r>
      <w:r>
        <w:rPr/>
        <w:t>况下</w:t>
      </w:r>
      <w:r>
        <w:rPr>
          <w:spacing w:val="-8"/>
        </w:rPr>
        <w:t>，</w:t>
      </w:r>
      <w:r>
        <w:rPr/>
        <w:t>我</w:t>
      </w:r>
      <w:r>
        <w:rPr>
          <w:spacing w:val="-3"/>
        </w:rPr>
        <w:t>们</w:t>
      </w:r>
      <w:r>
        <w:rPr/>
        <w:t>不</w:t>
      </w:r>
      <w:r>
        <w:rPr>
          <w:spacing w:val="-3"/>
        </w:rPr>
        <w:t>承</w:t>
      </w:r>
      <w:r>
        <w:rPr/>
        <w:t>担</w:t>
      </w:r>
      <w:r>
        <w:rPr>
          <w:spacing w:val="-3"/>
        </w:rPr>
        <w:t>保</w:t>
      </w:r>
      <w:r>
        <w:rPr/>
        <w:t>险</w:t>
      </w:r>
      <w:r>
        <w:rPr>
          <w:spacing w:val="-3"/>
        </w:rPr>
        <w:t>责</w:t>
      </w:r>
      <w:r>
        <w:rPr/>
        <w:t>任</w:t>
      </w:r>
      <w:r>
        <w:rPr>
          <w:u w:val="single"/>
        </w:rPr>
        <w:t> </w:t>
        <w:tab/>
      </w:r>
      <w:r>
        <w:rPr/>
        <w:t>第</w:t>
      </w:r>
      <w:r>
        <w:rPr>
          <w:spacing w:val="-52"/>
        </w:rPr>
        <w:t> </w:t>
      </w:r>
      <w:r>
        <w:rPr>
          <w:rFonts w:ascii="Times New Roman" w:eastAsia="Times New Roman"/>
        </w:rPr>
        <w:t>2</w:t>
      </w:r>
      <w:r>
        <w:rPr>
          <w:rFonts w:ascii="Times New Roman" w:eastAsia="Times New Roman"/>
          <w:spacing w:val="0"/>
        </w:rPr>
        <w:t> </w:t>
      </w:r>
      <w:r>
        <w:rPr>
          <w:spacing w:val="-3"/>
        </w:rPr>
        <w:t>章</w:t>
      </w:r>
      <w:r>
        <w:rPr/>
        <w:t>第</w:t>
      </w:r>
      <w:r>
        <w:rPr>
          <w:spacing w:val="-53"/>
        </w:rPr>
        <w:t> </w:t>
      </w:r>
      <w:r>
        <w:rPr>
          <w:rFonts w:ascii="Times New Roman" w:eastAsia="Times New Roman"/>
        </w:rPr>
        <w:t>2</w:t>
      </w:r>
      <w:r>
        <w:rPr>
          <w:rFonts w:ascii="Times New Roman" w:eastAsia="Times New Roman"/>
          <w:spacing w:val="-2"/>
        </w:rPr>
        <w:t> </w:t>
      </w:r>
      <w:r>
        <w:rPr/>
        <w:t>条</w:t>
      </w:r>
    </w:p>
    <w:p>
      <w:pPr>
        <w:pStyle w:val="BodyText"/>
        <w:tabs>
          <w:tab w:pos="7830" w:val="left" w:leader="none"/>
        </w:tabs>
        <w:spacing w:before="177"/>
        <w:ind w:left="331"/>
      </w:pPr>
      <w:r>
        <w:rPr/>
        <w:t>您应</w:t>
      </w:r>
      <w:r>
        <w:rPr>
          <w:spacing w:val="-3"/>
        </w:rPr>
        <w:t>当</w:t>
      </w:r>
      <w:r>
        <w:rPr/>
        <w:t>按</w:t>
      </w:r>
      <w:r>
        <w:rPr>
          <w:spacing w:val="-3"/>
        </w:rPr>
        <w:t>时</w:t>
      </w:r>
      <w:r>
        <w:rPr/>
        <w:t>缴</w:t>
      </w:r>
      <w:r>
        <w:rPr>
          <w:spacing w:val="-3"/>
        </w:rPr>
        <w:t>纳</w:t>
      </w:r>
      <w:r>
        <w:rPr/>
        <w:t>保</w:t>
      </w:r>
      <w:r>
        <w:rPr>
          <w:spacing w:val="-3"/>
        </w:rPr>
        <w:t>险费</w:t>
      </w:r>
      <w:r>
        <w:rPr>
          <w:spacing w:val="-3"/>
          <w:u w:val="single"/>
        </w:rPr>
        <w:t> </w:t>
        <w:tab/>
      </w:r>
      <w:r>
        <w:rPr>
          <w:spacing w:val="35"/>
        </w:rPr>
        <w:t>第</w:t>
      </w:r>
      <w:r>
        <w:rPr>
          <w:rFonts w:ascii="Times New Roman" w:eastAsia="Times New Roman"/>
        </w:rPr>
        <w:t>3</w:t>
      </w:r>
      <w:r>
        <w:rPr>
          <w:rFonts w:ascii="Times New Roman" w:eastAsia="Times New Roman"/>
          <w:spacing w:val="-13"/>
        </w:rPr>
        <w:t> </w:t>
      </w:r>
      <w:r>
        <w:rPr/>
        <w:t>章</w:t>
      </w:r>
    </w:p>
    <w:p>
      <w:pPr>
        <w:pStyle w:val="BodyText"/>
        <w:tabs>
          <w:tab w:pos="7170" w:val="left" w:leader="none"/>
        </w:tabs>
        <w:spacing w:before="177"/>
        <w:ind w:left="331"/>
      </w:pPr>
      <w:r>
        <w:rPr/>
        <w:t>如果</w:t>
      </w:r>
      <w:r>
        <w:rPr>
          <w:spacing w:val="-3"/>
        </w:rPr>
        <w:t>您</w:t>
      </w:r>
      <w:r>
        <w:rPr/>
        <w:t>未</w:t>
      </w:r>
      <w:r>
        <w:rPr>
          <w:spacing w:val="-3"/>
        </w:rPr>
        <w:t>能</w:t>
      </w:r>
      <w:r>
        <w:rPr/>
        <w:t>及</w:t>
      </w:r>
      <w:r>
        <w:rPr>
          <w:spacing w:val="-3"/>
        </w:rPr>
        <w:t>时</w:t>
      </w:r>
      <w:r>
        <w:rPr/>
        <w:t>缴</w:t>
      </w:r>
      <w:r>
        <w:rPr>
          <w:spacing w:val="-3"/>
        </w:rPr>
        <w:t>纳</w:t>
      </w:r>
      <w:r>
        <w:rPr/>
        <w:t>保</w:t>
      </w:r>
      <w:r>
        <w:rPr>
          <w:spacing w:val="-3"/>
        </w:rPr>
        <w:t>险</w:t>
      </w:r>
      <w:r>
        <w:rPr/>
        <w:t>费</w:t>
      </w:r>
      <w:r>
        <w:rPr>
          <w:spacing w:val="-5"/>
        </w:rPr>
        <w:t>，</w:t>
      </w:r>
      <w:r>
        <w:rPr>
          <w:spacing w:val="-3"/>
        </w:rPr>
        <w:t>保</w:t>
      </w:r>
      <w:r>
        <w:rPr/>
        <w:t>险</w:t>
      </w:r>
      <w:r>
        <w:rPr>
          <w:spacing w:val="-3"/>
        </w:rPr>
        <w:t>费</w:t>
      </w:r>
      <w:r>
        <w:rPr/>
        <w:t>可</w:t>
      </w:r>
      <w:r>
        <w:rPr>
          <w:spacing w:val="-3"/>
        </w:rPr>
        <w:t>能</w:t>
      </w:r>
      <w:r>
        <w:rPr/>
        <w:t>将</w:t>
      </w:r>
      <w:r>
        <w:rPr>
          <w:spacing w:val="-3"/>
        </w:rPr>
        <w:t>自</w:t>
      </w:r>
      <w:r>
        <w:rPr/>
        <w:t>动</w:t>
      </w:r>
      <w:r>
        <w:rPr>
          <w:spacing w:val="-3"/>
        </w:rPr>
        <w:t>垫</w:t>
      </w:r>
      <w:r>
        <w:rPr/>
        <w:t>缴</w:t>
      </w:r>
      <w:r>
        <w:rPr>
          <w:u w:val="single"/>
        </w:rPr>
        <w:t> </w:t>
        <w:tab/>
      </w:r>
      <w:r>
        <w:rPr/>
        <w:t>第</w:t>
      </w:r>
      <w:r>
        <w:rPr>
          <w:spacing w:val="-52"/>
        </w:rPr>
        <w:t> </w:t>
      </w:r>
      <w:r>
        <w:rPr>
          <w:rFonts w:ascii="Times New Roman" w:eastAsia="Times New Roman"/>
        </w:rPr>
        <w:t>3</w:t>
      </w:r>
      <w:r>
        <w:rPr>
          <w:rFonts w:ascii="Times New Roman" w:eastAsia="Times New Roman"/>
          <w:spacing w:val="0"/>
        </w:rPr>
        <w:t> </w:t>
      </w:r>
      <w:r>
        <w:rPr>
          <w:spacing w:val="-3"/>
        </w:rPr>
        <w:t>章</w:t>
      </w:r>
      <w:r>
        <w:rPr/>
        <w:t>第</w:t>
      </w:r>
      <w:r>
        <w:rPr>
          <w:spacing w:val="-53"/>
        </w:rPr>
        <w:t> </w:t>
      </w:r>
      <w:r>
        <w:rPr>
          <w:rFonts w:ascii="Times New Roman" w:eastAsia="Times New Roman"/>
        </w:rPr>
        <w:t>3</w:t>
      </w:r>
      <w:r>
        <w:rPr>
          <w:rFonts w:ascii="Times New Roman" w:eastAsia="Times New Roman"/>
          <w:spacing w:val="-2"/>
        </w:rPr>
        <w:t> </w:t>
      </w:r>
      <w:r>
        <w:rPr/>
        <w:t>条</w:t>
      </w:r>
    </w:p>
    <w:p>
      <w:pPr>
        <w:pStyle w:val="BodyText"/>
        <w:tabs>
          <w:tab w:pos="7170" w:val="left" w:leader="none"/>
        </w:tabs>
        <w:spacing w:before="177"/>
        <w:ind w:left="331"/>
      </w:pPr>
      <w:r>
        <w:rPr/>
        <w:t>发生</w:t>
      </w:r>
      <w:r>
        <w:rPr>
          <w:spacing w:val="-3"/>
        </w:rPr>
        <w:t>保</w:t>
      </w:r>
      <w:r>
        <w:rPr/>
        <w:t>险</w:t>
      </w:r>
      <w:r>
        <w:rPr>
          <w:spacing w:val="-3"/>
        </w:rPr>
        <w:t>事</w:t>
      </w:r>
      <w:r>
        <w:rPr/>
        <w:t>故</w:t>
      </w:r>
      <w:r>
        <w:rPr>
          <w:spacing w:val="-3"/>
        </w:rPr>
        <w:t>后</w:t>
      </w:r>
      <w:r>
        <w:rPr>
          <w:spacing w:val="-15"/>
        </w:rPr>
        <w:t>，</w:t>
      </w:r>
      <w:r>
        <w:rPr>
          <w:spacing w:val="-3"/>
        </w:rPr>
        <w:t>您</w:t>
      </w:r>
      <w:r>
        <w:rPr/>
        <w:t>应</w:t>
      </w:r>
      <w:r>
        <w:rPr>
          <w:spacing w:val="-3"/>
        </w:rPr>
        <w:t>当</w:t>
      </w:r>
      <w:r>
        <w:rPr/>
        <w:t>及时</w:t>
      </w:r>
      <w:r>
        <w:rPr>
          <w:spacing w:val="-3"/>
        </w:rPr>
        <w:t>通</w:t>
      </w:r>
      <w:r>
        <w:rPr/>
        <w:t>知</w:t>
      </w:r>
      <w:r>
        <w:rPr>
          <w:spacing w:val="-3"/>
        </w:rPr>
        <w:t>我们</w:t>
      </w:r>
      <w:r>
        <w:rPr>
          <w:spacing w:val="-3"/>
          <w:u w:val="single"/>
        </w:rPr>
        <w:t> </w:t>
        <w:tab/>
      </w:r>
      <w:r>
        <w:rPr/>
        <w:t>第</w:t>
      </w:r>
      <w:r>
        <w:rPr>
          <w:spacing w:val="-54"/>
        </w:rPr>
        <w:t> </w:t>
      </w:r>
      <w:r>
        <w:rPr>
          <w:rFonts w:ascii="Times New Roman" w:eastAsia="Times New Roman"/>
        </w:rPr>
        <w:t>6</w:t>
      </w:r>
      <w:r>
        <w:rPr>
          <w:rFonts w:ascii="Times New Roman" w:eastAsia="Times New Roman"/>
          <w:spacing w:val="0"/>
        </w:rPr>
        <w:t> </w:t>
      </w:r>
      <w:r>
        <w:rPr/>
        <w:t>章第</w:t>
      </w:r>
      <w:r>
        <w:rPr>
          <w:spacing w:val="-53"/>
        </w:rPr>
        <w:t> </w:t>
      </w:r>
      <w:r>
        <w:rPr>
          <w:rFonts w:ascii="Times New Roman" w:eastAsia="Times New Roman"/>
        </w:rPr>
        <w:t>2</w:t>
      </w:r>
      <w:r>
        <w:rPr>
          <w:rFonts w:ascii="Times New Roman" w:eastAsia="Times New Roman"/>
          <w:spacing w:val="-2"/>
        </w:rPr>
        <w:t> </w:t>
      </w:r>
      <w:r>
        <w:rPr/>
        <w:t>条</w:t>
      </w:r>
    </w:p>
    <w:p>
      <w:pPr>
        <w:pStyle w:val="BodyText"/>
        <w:tabs>
          <w:tab w:pos="7194" w:val="left" w:leader="none"/>
        </w:tabs>
        <w:spacing w:before="177"/>
        <w:ind w:left="331"/>
      </w:pPr>
      <w:r>
        <w:rPr/>
        <w:t>应当</w:t>
      </w:r>
      <w:r>
        <w:rPr>
          <w:spacing w:val="-3"/>
        </w:rPr>
        <w:t>如</w:t>
      </w:r>
      <w:r>
        <w:rPr/>
        <w:t>何</w:t>
      </w:r>
      <w:r>
        <w:rPr>
          <w:spacing w:val="-3"/>
        </w:rPr>
        <w:t>向</w:t>
      </w:r>
      <w:r>
        <w:rPr/>
        <w:t>我</w:t>
      </w:r>
      <w:r>
        <w:rPr>
          <w:spacing w:val="-3"/>
        </w:rPr>
        <w:t>们</w:t>
      </w:r>
      <w:r>
        <w:rPr/>
        <w:t>申</w:t>
      </w:r>
      <w:r>
        <w:rPr>
          <w:spacing w:val="-3"/>
        </w:rPr>
        <w:t>请</w:t>
      </w:r>
      <w:r>
        <w:rPr/>
        <w:t>保</w:t>
      </w:r>
      <w:r>
        <w:rPr>
          <w:spacing w:val="-3"/>
        </w:rPr>
        <w:t>险</w:t>
      </w:r>
      <w:r>
        <w:rPr/>
        <w:t>金</w:t>
      </w:r>
      <w:r>
        <w:rPr>
          <w:u w:val="single"/>
        </w:rPr>
        <w:t> </w:t>
        <w:tab/>
      </w:r>
      <w:r>
        <w:rPr/>
        <w:t>第</w:t>
      </w:r>
      <w:r>
        <w:rPr>
          <w:spacing w:val="-59"/>
        </w:rPr>
        <w:t> </w:t>
      </w:r>
      <w:r>
        <w:rPr>
          <w:rFonts w:ascii="Times New Roman" w:eastAsia="Times New Roman"/>
        </w:rPr>
        <w:t>6</w:t>
      </w:r>
      <w:r>
        <w:rPr>
          <w:rFonts w:ascii="Times New Roman" w:eastAsia="Times New Roman"/>
          <w:spacing w:val="-6"/>
        </w:rPr>
        <w:t> </w:t>
      </w:r>
      <w:r>
        <w:rPr>
          <w:spacing w:val="-3"/>
        </w:rPr>
        <w:t>章</w:t>
      </w:r>
      <w:r>
        <w:rPr/>
        <w:t>第</w:t>
      </w:r>
      <w:r>
        <w:rPr>
          <w:spacing w:val="-59"/>
        </w:rPr>
        <w:t> </w:t>
      </w:r>
      <w:r>
        <w:rPr>
          <w:rFonts w:ascii="Times New Roman" w:eastAsia="Times New Roman"/>
        </w:rPr>
        <w:t>4</w:t>
      </w:r>
      <w:r>
        <w:rPr>
          <w:rFonts w:ascii="Times New Roman" w:eastAsia="Times New Roman"/>
          <w:spacing w:val="-6"/>
        </w:rPr>
        <w:t> </w:t>
      </w:r>
      <w:r>
        <w:rPr/>
        <w:t>条</w:t>
      </w:r>
    </w:p>
    <w:p>
      <w:pPr>
        <w:pStyle w:val="BodyText"/>
        <w:tabs>
          <w:tab w:pos="7801" w:val="left" w:leader="none"/>
        </w:tabs>
        <w:spacing w:before="177"/>
        <w:ind w:left="331"/>
      </w:pPr>
      <w:r>
        <w:rPr/>
        <w:t>在某</w:t>
      </w:r>
      <w:r>
        <w:rPr>
          <w:spacing w:val="-3"/>
        </w:rPr>
        <w:t>些</w:t>
      </w:r>
      <w:r>
        <w:rPr/>
        <w:t>情</w:t>
      </w:r>
      <w:r>
        <w:rPr>
          <w:spacing w:val="-3"/>
        </w:rPr>
        <w:t>况下</w:t>
      </w:r>
      <w:r>
        <w:rPr>
          <w:spacing w:val="-20"/>
        </w:rPr>
        <w:t>，</w:t>
      </w:r>
      <w:r>
        <w:rPr>
          <w:spacing w:val="-3"/>
        </w:rPr>
        <w:t>我</w:t>
      </w:r>
      <w:r>
        <w:rPr/>
        <w:t>们有</w:t>
      </w:r>
      <w:r>
        <w:rPr>
          <w:spacing w:val="-3"/>
        </w:rPr>
        <w:t>权</w:t>
      </w:r>
      <w:r>
        <w:rPr/>
        <w:t>扣除</w:t>
      </w:r>
      <w:r>
        <w:rPr>
          <w:spacing w:val="-3"/>
        </w:rPr>
        <w:t>相</w:t>
      </w:r>
      <w:r>
        <w:rPr/>
        <w:t>关</w:t>
      </w:r>
      <w:r>
        <w:rPr>
          <w:spacing w:val="-3"/>
        </w:rPr>
        <w:t>欠款</w:t>
      </w:r>
      <w:r>
        <w:rPr>
          <w:spacing w:val="-3"/>
          <w:u w:val="single"/>
        </w:rPr>
        <w:t> </w:t>
        <w:tab/>
      </w:r>
      <w:r>
        <w:rPr/>
        <w:t>第</w:t>
      </w:r>
      <w:r>
        <w:rPr>
          <w:spacing w:val="-55"/>
        </w:rPr>
        <w:t> </w:t>
      </w:r>
      <w:r>
        <w:rPr>
          <w:rFonts w:ascii="Times New Roman" w:eastAsia="Times New Roman"/>
        </w:rPr>
        <w:t>7 </w:t>
      </w:r>
      <w:r>
        <w:rPr/>
        <w:t>章</w:t>
      </w:r>
    </w:p>
    <w:p>
      <w:pPr>
        <w:pStyle w:val="BodyText"/>
        <w:tabs>
          <w:tab w:pos="7799" w:val="left" w:leader="none"/>
        </w:tabs>
        <w:spacing w:before="177"/>
        <w:ind w:left="331"/>
      </w:pPr>
      <w:r>
        <w:rPr/>
        <w:t>您可</w:t>
      </w:r>
      <w:r>
        <w:rPr>
          <w:spacing w:val="-3"/>
        </w:rPr>
        <w:t>以</w:t>
      </w:r>
      <w:r>
        <w:rPr/>
        <w:t>解</w:t>
      </w:r>
      <w:r>
        <w:rPr>
          <w:spacing w:val="-3"/>
        </w:rPr>
        <w:t>除</w:t>
      </w:r>
      <w:r>
        <w:rPr/>
        <w:t>合</w:t>
      </w:r>
      <w:r>
        <w:rPr>
          <w:spacing w:val="-3"/>
        </w:rPr>
        <w:t>同</w:t>
      </w:r>
      <w:r>
        <w:rPr>
          <w:spacing w:val="-27"/>
        </w:rPr>
        <w:t>，</w:t>
      </w:r>
      <w:r>
        <w:rPr/>
        <w:t>请</w:t>
      </w:r>
      <w:r>
        <w:rPr>
          <w:spacing w:val="-3"/>
        </w:rPr>
        <w:t>您慎</w:t>
      </w:r>
      <w:r>
        <w:rPr/>
        <w:t>重决</w:t>
      </w:r>
      <w:r>
        <w:rPr>
          <w:spacing w:val="-3"/>
        </w:rPr>
        <w:t>定</w:t>
      </w:r>
      <w:r>
        <w:rPr>
          <w:spacing w:val="-3"/>
          <w:u w:val="single"/>
        </w:rPr>
        <w:t> </w:t>
        <w:tab/>
      </w:r>
      <w:r>
        <w:rPr/>
        <w:t>第</w:t>
      </w:r>
      <w:r>
        <w:rPr>
          <w:spacing w:val="-52"/>
        </w:rPr>
        <w:t> </w:t>
      </w:r>
      <w:r>
        <w:rPr>
          <w:rFonts w:ascii="Times New Roman" w:eastAsia="Times New Roman"/>
        </w:rPr>
        <w:t>9 </w:t>
      </w:r>
      <w:r>
        <w:rPr/>
        <w:t>章</w:t>
      </w:r>
    </w:p>
    <w:p>
      <w:pPr>
        <w:pStyle w:val="BodyText"/>
        <w:tabs>
          <w:tab w:pos="7725" w:val="left" w:leader="none"/>
        </w:tabs>
        <w:spacing w:before="177"/>
        <w:ind w:left="331"/>
      </w:pPr>
      <w:r>
        <w:rPr/>
        <w:t>我们</w:t>
      </w:r>
      <w:r>
        <w:rPr>
          <w:spacing w:val="-3"/>
        </w:rPr>
        <w:t>对</w:t>
      </w:r>
      <w:r>
        <w:rPr/>
        <w:t>各</w:t>
      </w:r>
      <w:r>
        <w:rPr>
          <w:spacing w:val="-3"/>
        </w:rPr>
        <w:t>项</w:t>
      </w:r>
      <w:r>
        <w:rPr/>
        <w:t>名</w:t>
      </w:r>
      <w:r>
        <w:rPr>
          <w:spacing w:val="-3"/>
        </w:rPr>
        <w:t>词</w:t>
      </w:r>
      <w:r>
        <w:rPr/>
        <w:t>的</w:t>
      </w:r>
      <w:r>
        <w:rPr>
          <w:spacing w:val="-3"/>
        </w:rPr>
        <w:t>解释</w:t>
      </w:r>
      <w:r>
        <w:rPr>
          <w:spacing w:val="-3"/>
          <w:u w:val="single"/>
        </w:rPr>
        <w:t> </w:t>
        <w:tab/>
      </w:r>
      <w:r>
        <w:rPr/>
        <w:t>第</w:t>
      </w:r>
      <w:r>
        <w:rPr>
          <w:spacing w:val="-72"/>
        </w:rPr>
        <w:t> </w:t>
      </w:r>
      <w:r>
        <w:rPr>
          <w:rFonts w:ascii="Times New Roman" w:eastAsia="Times New Roman"/>
          <w:spacing w:val="-4"/>
        </w:rPr>
        <w:t>11 </w:t>
      </w:r>
      <w:r>
        <w:rPr/>
        <w:t>章</w:t>
      </w:r>
    </w:p>
    <w:p>
      <w:pPr>
        <w:spacing w:after="0"/>
        <w:sectPr>
          <w:type w:val="continuous"/>
          <w:pgSz w:w="11910" w:h="16840"/>
          <w:pgMar w:top="1200" w:bottom="280" w:left="1680" w:right="1680"/>
        </w:sectPr>
      </w:pPr>
    </w:p>
    <w:p>
      <w:pPr>
        <w:pStyle w:val="BodyText"/>
        <w:rPr>
          <w:sz w:val="20"/>
        </w:rPr>
      </w:pPr>
    </w:p>
    <w:p>
      <w:pPr>
        <w:spacing w:before="151"/>
        <w:ind w:left="4033" w:right="3692" w:firstLine="0"/>
        <w:jc w:val="center"/>
        <w:rPr>
          <w:b/>
          <w:sz w:val="28"/>
        </w:rPr>
      </w:pPr>
      <w:r>
        <w:rPr>
          <w:b/>
          <w:sz w:val="28"/>
        </w:rPr>
        <w:t>条款目录</w:t>
      </w:r>
    </w:p>
    <w:p>
      <w:pPr>
        <w:pStyle w:val="BodyText"/>
        <w:rPr>
          <w:b/>
          <w:sz w:val="20"/>
        </w:rPr>
      </w:pPr>
    </w:p>
    <w:p>
      <w:pPr>
        <w:pStyle w:val="BodyText"/>
        <w:rPr>
          <w:b/>
          <w:sz w:val="20"/>
        </w:rPr>
      </w:pPr>
    </w:p>
    <w:p>
      <w:pPr>
        <w:pStyle w:val="BodyText"/>
        <w:spacing w:before="9" w:after="1"/>
        <w:rPr>
          <w:b/>
          <w:sz w:val="25"/>
        </w:rPr>
      </w:pPr>
    </w:p>
    <w:tbl>
      <w:tblPr>
        <w:tblW w:w="0" w:type="auto"/>
        <w:jc w:val="left"/>
        <w:tblInd w:w="1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459"/>
        <w:gridCol w:w="3408"/>
      </w:tblGrid>
      <w:tr>
        <w:trPr>
          <w:trHeight w:val="336" w:hRule="atLeast"/>
        </w:trPr>
        <w:tc>
          <w:tcPr>
            <w:tcW w:w="4459" w:type="dxa"/>
          </w:tcPr>
          <w:p>
            <w:pPr>
              <w:pStyle w:val="TableParagraph"/>
              <w:spacing w:line="266" w:lineRule="exact"/>
              <w:ind w:left="200"/>
              <w:rPr>
                <w:b/>
                <w:sz w:val="24"/>
              </w:rPr>
            </w:pPr>
            <w:r>
              <w:rPr>
                <w:rFonts w:ascii="Times New Roman" w:eastAsia="Times New Roman"/>
                <w:b/>
                <w:sz w:val="24"/>
              </w:rPr>
              <w:t>1</w:t>
            </w:r>
            <w:r>
              <w:rPr>
                <w:rFonts w:ascii="Times New Roman" w:eastAsia="Times New Roman"/>
                <w:b/>
                <w:spacing w:val="58"/>
                <w:sz w:val="24"/>
              </w:rPr>
              <w:t> </w:t>
            </w:r>
            <w:r>
              <w:rPr>
                <w:b/>
                <w:sz w:val="24"/>
              </w:rPr>
              <w:t>您与我们的保险合同</w:t>
            </w:r>
          </w:p>
        </w:tc>
        <w:tc>
          <w:tcPr>
            <w:tcW w:w="3408" w:type="dxa"/>
          </w:tcPr>
          <w:p>
            <w:pPr>
              <w:pStyle w:val="TableParagraph"/>
              <w:spacing w:line="266" w:lineRule="exact"/>
              <w:ind w:left="159"/>
              <w:rPr>
                <w:b/>
                <w:sz w:val="24"/>
              </w:rPr>
            </w:pPr>
            <w:r>
              <w:rPr>
                <w:rFonts w:ascii="Times New Roman" w:eastAsia="Times New Roman"/>
                <w:b/>
                <w:sz w:val="24"/>
              </w:rPr>
              <w:t>6  </w:t>
            </w:r>
            <w:r>
              <w:rPr>
                <w:b/>
                <w:sz w:val="24"/>
              </w:rPr>
              <w:t>保险金的给付</w:t>
            </w:r>
          </w:p>
        </w:tc>
      </w:tr>
      <w:tr>
        <w:trPr>
          <w:trHeight w:val="383" w:hRule="atLeast"/>
        </w:trPr>
        <w:tc>
          <w:tcPr>
            <w:tcW w:w="4459" w:type="dxa"/>
          </w:tcPr>
          <w:p>
            <w:pPr>
              <w:pStyle w:val="TableParagraph"/>
              <w:spacing w:before="13"/>
              <w:ind w:left="411"/>
              <w:rPr>
                <w:sz w:val="21"/>
              </w:rPr>
            </w:pPr>
            <w:r>
              <w:rPr>
                <w:rFonts w:ascii="Times New Roman" w:eastAsia="Times New Roman"/>
                <w:sz w:val="21"/>
              </w:rPr>
              <w:t>1.1 </w:t>
            </w:r>
            <w:r>
              <w:rPr>
                <w:sz w:val="21"/>
              </w:rPr>
              <w:t>保险合同的构成</w:t>
            </w:r>
          </w:p>
        </w:tc>
        <w:tc>
          <w:tcPr>
            <w:tcW w:w="3408" w:type="dxa"/>
          </w:tcPr>
          <w:p>
            <w:pPr>
              <w:pStyle w:val="TableParagraph"/>
              <w:spacing w:before="13"/>
              <w:ind w:right="197"/>
              <w:jc w:val="right"/>
              <w:rPr>
                <w:sz w:val="21"/>
              </w:rPr>
            </w:pPr>
            <w:r>
              <w:rPr>
                <w:rFonts w:ascii="Times New Roman" w:eastAsia="Times New Roman"/>
                <w:sz w:val="21"/>
              </w:rPr>
              <w:t>6.1 </w:t>
            </w:r>
            <w:r>
              <w:rPr>
                <w:sz w:val="21"/>
              </w:rPr>
              <w:t>请求给付保险金的诉讼时效</w:t>
            </w:r>
          </w:p>
        </w:tc>
      </w:tr>
      <w:tr>
        <w:trPr>
          <w:trHeight w:val="390" w:hRule="atLeast"/>
        </w:trPr>
        <w:tc>
          <w:tcPr>
            <w:tcW w:w="4459" w:type="dxa"/>
          </w:tcPr>
          <w:p>
            <w:pPr>
              <w:pStyle w:val="TableParagraph"/>
              <w:spacing w:before="21"/>
              <w:ind w:left="411"/>
              <w:rPr>
                <w:sz w:val="21"/>
              </w:rPr>
            </w:pPr>
            <w:r>
              <w:rPr>
                <w:rFonts w:ascii="Times New Roman" w:eastAsia="Times New Roman"/>
                <w:sz w:val="21"/>
              </w:rPr>
              <w:t>1.2 </w:t>
            </w:r>
            <w:r>
              <w:rPr>
                <w:sz w:val="21"/>
              </w:rPr>
              <w:t>投保年龄、年龄计算与错误的处理</w:t>
            </w:r>
          </w:p>
        </w:tc>
        <w:tc>
          <w:tcPr>
            <w:tcW w:w="3408" w:type="dxa"/>
          </w:tcPr>
          <w:p>
            <w:pPr>
              <w:pStyle w:val="TableParagraph"/>
              <w:spacing w:before="21"/>
              <w:ind w:left="371"/>
              <w:rPr>
                <w:sz w:val="21"/>
              </w:rPr>
            </w:pPr>
            <w:r>
              <w:rPr>
                <w:rFonts w:ascii="Times New Roman" w:eastAsia="Times New Roman"/>
                <w:sz w:val="21"/>
              </w:rPr>
              <w:t>6.2 </w:t>
            </w:r>
            <w:r>
              <w:rPr>
                <w:sz w:val="21"/>
              </w:rPr>
              <w:t>保险事故的通知</w:t>
            </w:r>
          </w:p>
        </w:tc>
      </w:tr>
      <w:tr>
        <w:trPr>
          <w:trHeight w:val="390" w:hRule="atLeast"/>
        </w:trPr>
        <w:tc>
          <w:tcPr>
            <w:tcW w:w="4459" w:type="dxa"/>
          </w:tcPr>
          <w:p>
            <w:pPr>
              <w:pStyle w:val="TableParagraph"/>
              <w:spacing w:before="20"/>
              <w:ind w:left="411"/>
              <w:rPr>
                <w:sz w:val="21"/>
              </w:rPr>
            </w:pPr>
            <w:r>
              <w:rPr>
                <w:rFonts w:ascii="Times New Roman" w:eastAsia="Times New Roman"/>
                <w:sz w:val="21"/>
              </w:rPr>
              <w:t>1.3 </w:t>
            </w:r>
            <w:r>
              <w:rPr>
                <w:sz w:val="21"/>
              </w:rPr>
              <w:t>合同的生效日</w:t>
            </w:r>
          </w:p>
        </w:tc>
        <w:tc>
          <w:tcPr>
            <w:tcW w:w="3408" w:type="dxa"/>
          </w:tcPr>
          <w:p>
            <w:pPr>
              <w:pStyle w:val="TableParagraph"/>
              <w:spacing w:before="20"/>
              <w:ind w:right="197"/>
              <w:jc w:val="right"/>
              <w:rPr>
                <w:sz w:val="21"/>
              </w:rPr>
            </w:pPr>
            <w:r>
              <w:rPr>
                <w:rFonts w:ascii="Times New Roman" w:eastAsia="Times New Roman"/>
                <w:sz w:val="21"/>
              </w:rPr>
              <w:t>6.3 </w:t>
            </w:r>
            <w:r>
              <w:rPr>
                <w:sz w:val="21"/>
              </w:rPr>
              <w:t>保险金受益人的指定与变更</w:t>
            </w:r>
          </w:p>
        </w:tc>
      </w:tr>
      <w:tr>
        <w:trPr>
          <w:trHeight w:val="390" w:hRule="atLeast"/>
        </w:trPr>
        <w:tc>
          <w:tcPr>
            <w:tcW w:w="4459" w:type="dxa"/>
          </w:tcPr>
          <w:p>
            <w:pPr>
              <w:pStyle w:val="TableParagraph"/>
              <w:spacing w:before="21"/>
              <w:ind w:left="411"/>
              <w:rPr>
                <w:sz w:val="21"/>
              </w:rPr>
            </w:pPr>
            <w:r>
              <w:rPr>
                <w:rFonts w:ascii="Times New Roman" w:eastAsia="Times New Roman"/>
                <w:sz w:val="21"/>
              </w:rPr>
              <w:t>1.4 </w:t>
            </w:r>
            <w:r>
              <w:rPr>
                <w:sz w:val="21"/>
              </w:rPr>
              <w:t>保险期间</w:t>
            </w:r>
          </w:p>
        </w:tc>
        <w:tc>
          <w:tcPr>
            <w:tcW w:w="3408" w:type="dxa"/>
          </w:tcPr>
          <w:p>
            <w:pPr>
              <w:pStyle w:val="TableParagraph"/>
              <w:spacing w:before="21"/>
              <w:ind w:left="371"/>
              <w:rPr>
                <w:sz w:val="21"/>
              </w:rPr>
            </w:pPr>
            <w:r>
              <w:rPr>
                <w:rFonts w:ascii="Times New Roman" w:eastAsia="Times New Roman"/>
                <w:sz w:val="21"/>
              </w:rPr>
              <w:t>6.4 </w:t>
            </w:r>
            <w:r>
              <w:rPr>
                <w:sz w:val="21"/>
              </w:rPr>
              <w:t>如何申请保险金</w:t>
            </w:r>
          </w:p>
        </w:tc>
      </w:tr>
      <w:tr>
        <w:trPr>
          <w:trHeight w:val="390" w:hRule="atLeast"/>
        </w:trPr>
        <w:tc>
          <w:tcPr>
            <w:tcW w:w="4459" w:type="dxa"/>
          </w:tcPr>
          <w:p>
            <w:pPr>
              <w:pStyle w:val="TableParagraph"/>
              <w:spacing w:before="20"/>
              <w:ind w:left="411"/>
              <w:rPr>
                <w:sz w:val="21"/>
              </w:rPr>
            </w:pPr>
            <w:r>
              <w:rPr>
                <w:rFonts w:ascii="Times New Roman" w:eastAsia="Times New Roman"/>
                <w:sz w:val="21"/>
              </w:rPr>
              <w:t>1.5 </w:t>
            </w:r>
            <w:r>
              <w:rPr>
                <w:sz w:val="21"/>
              </w:rPr>
              <w:t>基本保险金额与申请减少基本保险金额</w:t>
            </w:r>
          </w:p>
        </w:tc>
        <w:tc>
          <w:tcPr>
            <w:tcW w:w="3408" w:type="dxa"/>
          </w:tcPr>
          <w:p>
            <w:pPr>
              <w:pStyle w:val="TableParagraph"/>
              <w:spacing w:before="20"/>
              <w:ind w:left="371"/>
              <w:rPr>
                <w:sz w:val="21"/>
              </w:rPr>
            </w:pPr>
            <w:r>
              <w:rPr>
                <w:rFonts w:ascii="Times New Roman" w:eastAsia="Times New Roman"/>
                <w:sz w:val="21"/>
              </w:rPr>
              <w:t>6.5 </w:t>
            </w:r>
            <w:r>
              <w:rPr>
                <w:sz w:val="21"/>
              </w:rPr>
              <w:t>保险金的给付时效</w:t>
            </w:r>
          </w:p>
        </w:tc>
      </w:tr>
      <w:tr>
        <w:trPr>
          <w:trHeight w:val="390" w:hRule="atLeast"/>
        </w:trPr>
        <w:tc>
          <w:tcPr>
            <w:tcW w:w="4459" w:type="dxa"/>
          </w:tcPr>
          <w:p>
            <w:pPr>
              <w:pStyle w:val="TableParagraph"/>
              <w:spacing w:before="22"/>
              <w:ind w:left="411"/>
              <w:rPr>
                <w:sz w:val="21"/>
              </w:rPr>
            </w:pPr>
            <w:r>
              <w:rPr>
                <w:rFonts w:ascii="Times New Roman" w:eastAsia="Times New Roman"/>
                <w:sz w:val="21"/>
              </w:rPr>
              <w:t>1.6 </w:t>
            </w:r>
            <w:r>
              <w:rPr>
                <w:sz w:val="21"/>
              </w:rPr>
              <w:t>明确说明与如实告知</w:t>
            </w:r>
          </w:p>
        </w:tc>
        <w:tc>
          <w:tcPr>
            <w:tcW w:w="3408" w:type="dxa"/>
          </w:tcPr>
          <w:p>
            <w:pPr>
              <w:pStyle w:val="TableParagraph"/>
              <w:spacing w:before="22"/>
              <w:ind w:left="371"/>
              <w:rPr>
                <w:sz w:val="21"/>
              </w:rPr>
            </w:pPr>
            <w:r>
              <w:rPr>
                <w:rFonts w:ascii="Times New Roman" w:eastAsia="Times New Roman"/>
                <w:sz w:val="21"/>
              </w:rPr>
              <w:t>6.6 </w:t>
            </w:r>
            <w:r>
              <w:rPr>
                <w:sz w:val="21"/>
              </w:rPr>
              <w:t>身体检查与司法鉴定</w:t>
            </w:r>
          </w:p>
        </w:tc>
      </w:tr>
      <w:tr>
        <w:trPr>
          <w:trHeight w:val="390" w:hRule="atLeast"/>
        </w:trPr>
        <w:tc>
          <w:tcPr>
            <w:tcW w:w="4459" w:type="dxa"/>
          </w:tcPr>
          <w:p>
            <w:pPr>
              <w:pStyle w:val="TableParagraph"/>
              <w:spacing w:before="20"/>
              <w:ind w:left="411"/>
              <w:rPr>
                <w:sz w:val="21"/>
              </w:rPr>
            </w:pPr>
            <w:r>
              <w:rPr>
                <w:rFonts w:ascii="Times New Roman" w:eastAsia="Times New Roman"/>
                <w:sz w:val="21"/>
              </w:rPr>
              <w:t>1.7 </w:t>
            </w:r>
            <w:r>
              <w:rPr>
                <w:sz w:val="21"/>
              </w:rPr>
              <w:t>本公司合同解除权的限制</w:t>
            </w:r>
          </w:p>
        </w:tc>
        <w:tc>
          <w:tcPr>
            <w:tcW w:w="3408" w:type="dxa"/>
          </w:tcPr>
          <w:p>
            <w:pPr>
              <w:pStyle w:val="TableParagraph"/>
              <w:spacing w:before="20"/>
              <w:ind w:left="371"/>
              <w:rPr>
                <w:sz w:val="21"/>
              </w:rPr>
            </w:pPr>
            <w:r>
              <w:rPr>
                <w:rFonts w:ascii="Times New Roman" w:eastAsia="Times New Roman"/>
                <w:sz w:val="21"/>
              </w:rPr>
              <w:t>6.7 </w:t>
            </w:r>
            <w:r>
              <w:rPr>
                <w:sz w:val="21"/>
              </w:rPr>
              <w:t>失踪处理</w:t>
            </w:r>
          </w:p>
        </w:tc>
      </w:tr>
      <w:tr>
        <w:trPr>
          <w:trHeight w:val="380" w:hRule="atLeast"/>
        </w:trPr>
        <w:tc>
          <w:tcPr>
            <w:tcW w:w="4459" w:type="dxa"/>
          </w:tcPr>
          <w:p>
            <w:pPr>
              <w:pStyle w:val="TableParagraph"/>
              <w:spacing w:before="21"/>
              <w:ind w:left="411"/>
              <w:rPr>
                <w:sz w:val="21"/>
              </w:rPr>
            </w:pPr>
            <w:r>
              <w:rPr>
                <w:rFonts w:ascii="Times New Roman" w:eastAsia="Times New Roman"/>
                <w:sz w:val="21"/>
              </w:rPr>
              <w:t>1.8 </w:t>
            </w:r>
            <w:r>
              <w:rPr>
                <w:sz w:val="21"/>
              </w:rPr>
              <w:t>犹豫期内的合同解除权</w:t>
            </w:r>
          </w:p>
        </w:tc>
        <w:tc>
          <w:tcPr>
            <w:tcW w:w="3408" w:type="dxa"/>
          </w:tcPr>
          <w:p>
            <w:pPr>
              <w:pStyle w:val="TableParagraph"/>
              <w:rPr>
                <w:rFonts w:ascii="Times New Roman"/>
                <w:sz w:val="22"/>
              </w:rPr>
            </w:pPr>
          </w:p>
        </w:tc>
      </w:tr>
      <w:tr>
        <w:trPr>
          <w:trHeight w:val="396" w:hRule="atLeast"/>
        </w:trPr>
        <w:tc>
          <w:tcPr>
            <w:tcW w:w="4459" w:type="dxa"/>
          </w:tcPr>
          <w:p>
            <w:pPr>
              <w:pStyle w:val="TableParagraph"/>
              <w:rPr>
                <w:rFonts w:ascii="Times New Roman"/>
                <w:sz w:val="22"/>
              </w:rPr>
            </w:pPr>
          </w:p>
        </w:tc>
        <w:tc>
          <w:tcPr>
            <w:tcW w:w="3408" w:type="dxa"/>
          </w:tcPr>
          <w:p>
            <w:pPr>
              <w:pStyle w:val="TableParagraph"/>
              <w:spacing w:before="1"/>
              <w:ind w:left="159"/>
              <w:rPr>
                <w:b/>
                <w:sz w:val="24"/>
              </w:rPr>
            </w:pPr>
            <w:r>
              <w:rPr>
                <w:rFonts w:ascii="Times New Roman" w:eastAsia="Times New Roman"/>
                <w:b/>
                <w:sz w:val="24"/>
              </w:rPr>
              <w:t>7</w:t>
            </w:r>
            <w:r>
              <w:rPr>
                <w:rFonts w:ascii="Times New Roman" w:eastAsia="Times New Roman"/>
                <w:b/>
                <w:spacing w:val="58"/>
                <w:sz w:val="24"/>
              </w:rPr>
              <w:t> </w:t>
            </w:r>
            <w:r>
              <w:rPr>
                <w:b/>
                <w:sz w:val="24"/>
              </w:rPr>
              <w:t>欠款的扣除</w:t>
            </w:r>
          </w:p>
        </w:tc>
      </w:tr>
      <w:tr>
        <w:trPr>
          <w:trHeight w:val="390" w:hRule="atLeast"/>
        </w:trPr>
        <w:tc>
          <w:tcPr>
            <w:tcW w:w="4459" w:type="dxa"/>
          </w:tcPr>
          <w:p>
            <w:pPr>
              <w:pStyle w:val="TableParagraph"/>
              <w:spacing w:line="328" w:lineRule="exact"/>
              <w:ind w:left="200"/>
              <w:rPr>
                <w:b/>
                <w:sz w:val="24"/>
              </w:rPr>
            </w:pPr>
            <w:r>
              <w:rPr>
                <w:rFonts w:ascii="Times New Roman" w:eastAsia="Times New Roman"/>
                <w:b/>
                <w:sz w:val="24"/>
              </w:rPr>
              <w:t>2  </w:t>
            </w:r>
            <w:r>
              <w:rPr>
                <w:b/>
                <w:sz w:val="24"/>
              </w:rPr>
              <w:t>保障范围</w:t>
            </w:r>
          </w:p>
        </w:tc>
        <w:tc>
          <w:tcPr>
            <w:tcW w:w="3408" w:type="dxa"/>
          </w:tcPr>
          <w:p>
            <w:pPr>
              <w:pStyle w:val="TableParagraph"/>
              <w:rPr>
                <w:rFonts w:ascii="Times New Roman"/>
                <w:sz w:val="22"/>
              </w:rPr>
            </w:pPr>
          </w:p>
        </w:tc>
      </w:tr>
      <w:tr>
        <w:trPr>
          <w:trHeight w:val="399" w:hRule="atLeast"/>
        </w:trPr>
        <w:tc>
          <w:tcPr>
            <w:tcW w:w="4459" w:type="dxa"/>
          </w:tcPr>
          <w:p>
            <w:pPr>
              <w:pStyle w:val="TableParagraph"/>
              <w:spacing w:before="23"/>
              <w:ind w:left="411"/>
              <w:rPr>
                <w:sz w:val="21"/>
              </w:rPr>
            </w:pPr>
            <w:r>
              <w:rPr>
                <w:rFonts w:ascii="Times New Roman" w:eastAsia="Times New Roman"/>
                <w:sz w:val="21"/>
              </w:rPr>
              <w:t>2.1 </w:t>
            </w:r>
            <w:r>
              <w:rPr>
                <w:sz w:val="21"/>
              </w:rPr>
              <w:t>保险责任</w:t>
            </w:r>
          </w:p>
        </w:tc>
        <w:tc>
          <w:tcPr>
            <w:tcW w:w="3408" w:type="dxa"/>
          </w:tcPr>
          <w:p>
            <w:pPr>
              <w:pStyle w:val="TableParagraph"/>
              <w:spacing w:line="327" w:lineRule="exact"/>
              <w:ind w:left="159"/>
              <w:rPr>
                <w:b/>
                <w:sz w:val="24"/>
              </w:rPr>
            </w:pPr>
            <w:r>
              <w:rPr>
                <w:rFonts w:ascii="Times New Roman" w:eastAsia="Times New Roman"/>
                <w:b/>
                <w:sz w:val="24"/>
              </w:rPr>
              <w:t>8</w:t>
            </w:r>
            <w:r>
              <w:rPr>
                <w:rFonts w:ascii="Times New Roman" w:eastAsia="Times New Roman"/>
                <w:b/>
                <w:spacing w:val="58"/>
                <w:sz w:val="24"/>
              </w:rPr>
              <w:t> </w:t>
            </w:r>
            <w:r>
              <w:rPr>
                <w:b/>
                <w:sz w:val="24"/>
              </w:rPr>
              <w:t>保险合同的变更</w:t>
            </w:r>
          </w:p>
        </w:tc>
      </w:tr>
      <w:tr>
        <w:trPr>
          <w:trHeight w:val="383" w:hRule="atLeast"/>
        </w:trPr>
        <w:tc>
          <w:tcPr>
            <w:tcW w:w="4459" w:type="dxa"/>
          </w:tcPr>
          <w:p>
            <w:pPr>
              <w:pStyle w:val="TableParagraph"/>
              <w:spacing w:before="15"/>
              <w:ind w:left="411"/>
              <w:rPr>
                <w:sz w:val="21"/>
              </w:rPr>
            </w:pPr>
            <w:r>
              <w:rPr>
                <w:rFonts w:ascii="Times New Roman" w:eastAsia="Times New Roman"/>
                <w:sz w:val="21"/>
              </w:rPr>
              <w:t>2.2 </w:t>
            </w:r>
            <w:r>
              <w:rPr>
                <w:sz w:val="21"/>
              </w:rPr>
              <w:t>责任免除</w:t>
            </w:r>
          </w:p>
        </w:tc>
        <w:tc>
          <w:tcPr>
            <w:tcW w:w="3408" w:type="dxa"/>
          </w:tcPr>
          <w:p>
            <w:pPr>
              <w:pStyle w:val="TableParagraph"/>
              <w:spacing w:before="15"/>
              <w:ind w:left="371"/>
              <w:rPr>
                <w:sz w:val="21"/>
              </w:rPr>
            </w:pPr>
            <w:r>
              <w:rPr>
                <w:rFonts w:ascii="Times New Roman" w:eastAsia="Times New Roman"/>
                <w:sz w:val="21"/>
              </w:rPr>
              <w:t>8.1 </w:t>
            </w:r>
            <w:r>
              <w:rPr>
                <w:sz w:val="21"/>
              </w:rPr>
              <w:t>住所或通讯地址的变更</w:t>
            </w:r>
          </w:p>
        </w:tc>
      </w:tr>
      <w:tr>
        <w:trPr>
          <w:trHeight w:val="380" w:hRule="atLeast"/>
        </w:trPr>
        <w:tc>
          <w:tcPr>
            <w:tcW w:w="4459" w:type="dxa"/>
          </w:tcPr>
          <w:p>
            <w:pPr>
              <w:pStyle w:val="TableParagraph"/>
              <w:rPr>
                <w:rFonts w:ascii="Times New Roman"/>
                <w:sz w:val="22"/>
              </w:rPr>
            </w:pPr>
          </w:p>
        </w:tc>
        <w:tc>
          <w:tcPr>
            <w:tcW w:w="3408" w:type="dxa"/>
          </w:tcPr>
          <w:p>
            <w:pPr>
              <w:pStyle w:val="TableParagraph"/>
              <w:spacing w:before="20"/>
              <w:ind w:left="371"/>
              <w:rPr>
                <w:sz w:val="21"/>
              </w:rPr>
            </w:pPr>
            <w:r>
              <w:rPr>
                <w:rFonts w:ascii="Times New Roman" w:eastAsia="Times New Roman"/>
                <w:sz w:val="21"/>
              </w:rPr>
              <w:t>8.2 </w:t>
            </w:r>
            <w:r>
              <w:rPr>
                <w:sz w:val="21"/>
              </w:rPr>
              <w:t>合同内容的变更</w:t>
            </w:r>
          </w:p>
        </w:tc>
      </w:tr>
      <w:tr>
        <w:trPr>
          <w:trHeight w:val="396" w:hRule="atLeast"/>
        </w:trPr>
        <w:tc>
          <w:tcPr>
            <w:tcW w:w="4459" w:type="dxa"/>
          </w:tcPr>
          <w:p>
            <w:pPr>
              <w:pStyle w:val="TableParagraph"/>
              <w:spacing w:before="3"/>
              <w:ind w:left="200"/>
              <w:rPr>
                <w:b/>
                <w:sz w:val="24"/>
              </w:rPr>
            </w:pPr>
            <w:r>
              <w:rPr>
                <w:rFonts w:ascii="Times New Roman" w:eastAsia="Times New Roman"/>
                <w:b/>
                <w:sz w:val="24"/>
              </w:rPr>
              <w:t>3</w:t>
            </w:r>
            <w:r>
              <w:rPr>
                <w:rFonts w:ascii="Times New Roman" w:eastAsia="Times New Roman"/>
                <w:b/>
                <w:spacing w:val="58"/>
                <w:sz w:val="24"/>
              </w:rPr>
              <w:t> </w:t>
            </w:r>
            <w:r>
              <w:rPr>
                <w:b/>
                <w:sz w:val="24"/>
              </w:rPr>
              <w:t>保险费</w:t>
            </w:r>
          </w:p>
        </w:tc>
        <w:tc>
          <w:tcPr>
            <w:tcW w:w="3408" w:type="dxa"/>
          </w:tcPr>
          <w:p>
            <w:pPr>
              <w:pStyle w:val="TableParagraph"/>
              <w:rPr>
                <w:rFonts w:ascii="Times New Roman"/>
                <w:sz w:val="22"/>
              </w:rPr>
            </w:pPr>
          </w:p>
        </w:tc>
      </w:tr>
      <w:tr>
        <w:trPr>
          <w:trHeight w:val="399" w:hRule="atLeast"/>
        </w:trPr>
        <w:tc>
          <w:tcPr>
            <w:tcW w:w="4459" w:type="dxa"/>
          </w:tcPr>
          <w:p>
            <w:pPr>
              <w:pStyle w:val="TableParagraph"/>
              <w:spacing w:before="23"/>
              <w:ind w:left="411"/>
              <w:rPr>
                <w:sz w:val="21"/>
              </w:rPr>
            </w:pPr>
            <w:r>
              <w:rPr>
                <w:rFonts w:ascii="Times New Roman" w:eastAsia="Times New Roman"/>
                <w:sz w:val="21"/>
              </w:rPr>
              <w:t>3.1 </w:t>
            </w:r>
            <w:r>
              <w:rPr>
                <w:sz w:val="21"/>
              </w:rPr>
              <w:t>保险费的缴纳</w:t>
            </w:r>
          </w:p>
        </w:tc>
        <w:tc>
          <w:tcPr>
            <w:tcW w:w="3408" w:type="dxa"/>
          </w:tcPr>
          <w:p>
            <w:pPr>
              <w:pStyle w:val="TableParagraph"/>
              <w:spacing w:line="327" w:lineRule="exact"/>
              <w:ind w:left="159"/>
              <w:rPr>
                <w:b/>
                <w:sz w:val="24"/>
              </w:rPr>
            </w:pPr>
            <w:r>
              <w:rPr>
                <w:rFonts w:ascii="Times New Roman" w:eastAsia="Times New Roman"/>
                <w:b/>
                <w:sz w:val="24"/>
              </w:rPr>
              <w:t>9</w:t>
            </w:r>
            <w:r>
              <w:rPr>
                <w:rFonts w:ascii="Times New Roman" w:eastAsia="Times New Roman"/>
                <w:b/>
                <w:spacing w:val="58"/>
                <w:sz w:val="24"/>
              </w:rPr>
              <w:t> </w:t>
            </w:r>
            <w:r>
              <w:rPr>
                <w:b/>
                <w:sz w:val="24"/>
              </w:rPr>
              <w:t>合同效力的终止</w:t>
            </w:r>
          </w:p>
        </w:tc>
      </w:tr>
      <w:tr>
        <w:trPr>
          <w:trHeight w:val="374" w:hRule="atLeast"/>
        </w:trPr>
        <w:tc>
          <w:tcPr>
            <w:tcW w:w="4459" w:type="dxa"/>
          </w:tcPr>
          <w:p>
            <w:pPr>
              <w:pStyle w:val="TableParagraph"/>
              <w:spacing w:before="15"/>
              <w:ind w:left="411"/>
              <w:rPr>
                <w:sz w:val="21"/>
              </w:rPr>
            </w:pPr>
            <w:r>
              <w:rPr>
                <w:rFonts w:ascii="Times New Roman" w:eastAsia="Times New Roman"/>
                <w:sz w:val="21"/>
              </w:rPr>
              <w:t>3.2 </w:t>
            </w:r>
            <w:r>
              <w:rPr>
                <w:sz w:val="21"/>
              </w:rPr>
              <w:t>宽限期</w:t>
            </w:r>
          </w:p>
        </w:tc>
        <w:tc>
          <w:tcPr>
            <w:tcW w:w="3408" w:type="dxa"/>
          </w:tcPr>
          <w:p>
            <w:pPr>
              <w:pStyle w:val="TableParagraph"/>
              <w:rPr>
                <w:rFonts w:ascii="Times New Roman"/>
                <w:sz w:val="22"/>
              </w:rPr>
            </w:pPr>
          </w:p>
        </w:tc>
      </w:tr>
      <w:tr>
        <w:trPr>
          <w:trHeight w:val="591" w:hRule="atLeast"/>
        </w:trPr>
        <w:tc>
          <w:tcPr>
            <w:tcW w:w="4459" w:type="dxa"/>
          </w:tcPr>
          <w:p>
            <w:pPr>
              <w:pStyle w:val="TableParagraph"/>
              <w:spacing w:before="29"/>
              <w:ind w:left="411"/>
              <w:rPr>
                <w:sz w:val="21"/>
              </w:rPr>
            </w:pPr>
            <w:r>
              <w:rPr>
                <w:rFonts w:ascii="Times New Roman" w:eastAsia="Times New Roman"/>
                <w:sz w:val="21"/>
              </w:rPr>
              <w:t>3.3 </w:t>
            </w:r>
            <w:r>
              <w:rPr>
                <w:sz w:val="21"/>
              </w:rPr>
              <w:t>保险费的自动垫缴</w:t>
            </w:r>
          </w:p>
        </w:tc>
        <w:tc>
          <w:tcPr>
            <w:tcW w:w="3408" w:type="dxa"/>
          </w:tcPr>
          <w:p>
            <w:pPr>
              <w:pStyle w:val="TableParagraph"/>
              <w:spacing w:before="1"/>
              <w:ind w:left="159"/>
              <w:rPr>
                <w:b/>
                <w:sz w:val="24"/>
              </w:rPr>
            </w:pPr>
            <w:r>
              <w:rPr>
                <w:rFonts w:ascii="Times New Roman" w:eastAsia="Times New Roman"/>
                <w:b/>
                <w:sz w:val="24"/>
              </w:rPr>
              <w:t>10</w:t>
            </w:r>
            <w:r>
              <w:rPr>
                <w:rFonts w:ascii="Times New Roman" w:eastAsia="Times New Roman"/>
                <w:b/>
                <w:spacing w:val="58"/>
                <w:sz w:val="24"/>
              </w:rPr>
              <w:t> </w:t>
            </w:r>
            <w:r>
              <w:rPr>
                <w:b/>
                <w:sz w:val="24"/>
              </w:rPr>
              <w:t>争议的处理</w:t>
            </w:r>
          </w:p>
        </w:tc>
      </w:tr>
      <w:tr>
        <w:trPr>
          <w:trHeight w:val="780" w:hRule="atLeast"/>
        </w:trPr>
        <w:tc>
          <w:tcPr>
            <w:tcW w:w="4459" w:type="dxa"/>
          </w:tcPr>
          <w:p>
            <w:pPr>
              <w:pStyle w:val="TableParagraph"/>
              <w:spacing w:before="190"/>
              <w:ind w:left="200"/>
              <w:rPr>
                <w:b/>
                <w:sz w:val="24"/>
              </w:rPr>
            </w:pPr>
            <w:r>
              <w:rPr>
                <w:rFonts w:ascii="Times New Roman" w:eastAsia="Times New Roman"/>
                <w:b/>
                <w:sz w:val="24"/>
              </w:rPr>
              <w:t>4  </w:t>
            </w:r>
            <w:r>
              <w:rPr>
                <w:b/>
                <w:sz w:val="24"/>
              </w:rPr>
              <w:t>保单借款</w:t>
            </w:r>
          </w:p>
        </w:tc>
        <w:tc>
          <w:tcPr>
            <w:tcW w:w="3408" w:type="dxa"/>
          </w:tcPr>
          <w:p>
            <w:pPr>
              <w:pStyle w:val="TableParagraph"/>
              <w:spacing w:before="190"/>
              <w:ind w:left="159"/>
              <w:rPr>
                <w:b/>
                <w:sz w:val="24"/>
              </w:rPr>
            </w:pPr>
            <w:r>
              <w:rPr>
                <w:rFonts w:ascii="Times New Roman" w:eastAsia="Times New Roman"/>
                <w:b/>
                <w:sz w:val="24"/>
              </w:rPr>
              <w:t>11  </w:t>
            </w:r>
            <w:r>
              <w:rPr>
                <w:b/>
                <w:sz w:val="24"/>
              </w:rPr>
              <w:t>名词释义</w:t>
            </w:r>
          </w:p>
        </w:tc>
      </w:tr>
      <w:tr>
        <w:trPr>
          <w:trHeight w:val="570" w:hRule="atLeast"/>
        </w:trPr>
        <w:tc>
          <w:tcPr>
            <w:tcW w:w="4459" w:type="dxa"/>
          </w:tcPr>
          <w:p>
            <w:pPr>
              <w:pStyle w:val="TableParagraph"/>
              <w:spacing w:before="190"/>
              <w:ind w:left="200"/>
              <w:rPr>
                <w:b/>
                <w:sz w:val="24"/>
              </w:rPr>
            </w:pPr>
            <w:r>
              <w:rPr>
                <w:rFonts w:ascii="Times New Roman" w:eastAsia="Times New Roman"/>
                <w:b/>
                <w:sz w:val="24"/>
              </w:rPr>
              <w:t>5</w:t>
            </w:r>
            <w:r>
              <w:rPr>
                <w:rFonts w:ascii="Times New Roman" w:eastAsia="Times New Roman"/>
                <w:b/>
                <w:spacing w:val="57"/>
                <w:sz w:val="24"/>
              </w:rPr>
              <w:t> </w:t>
            </w:r>
            <w:r>
              <w:rPr>
                <w:b/>
                <w:sz w:val="24"/>
              </w:rPr>
              <w:t>合同效力的中止和恢复</w:t>
            </w:r>
          </w:p>
        </w:tc>
        <w:tc>
          <w:tcPr>
            <w:tcW w:w="3408" w:type="dxa"/>
          </w:tcPr>
          <w:p>
            <w:pPr>
              <w:pStyle w:val="TableParagraph"/>
              <w:spacing w:before="190"/>
              <w:ind w:left="159"/>
              <w:rPr>
                <w:b/>
                <w:sz w:val="24"/>
              </w:rPr>
            </w:pPr>
            <w:r>
              <w:rPr>
                <w:b/>
                <w:w w:val="95"/>
                <w:sz w:val="24"/>
              </w:rPr>
              <w:t>附表一：重大疾病列表</w:t>
            </w:r>
          </w:p>
        </w:tc>
      </w:tr>
      <w:tr>
        <w:trPr>
          <w:trHeight w:val="599" w:hRule="atLeast"/>
        </w:trPr>
        <w:tc>
          <w:tcPr>
            <w:tcW w:w="4459" w:type="dxa"/>
          </w:tcPr>
          <w:p>
            <w:pPr>
              <w:pStyle w:val="TableParagraph"/>
              <w:rPr>
                <w:rFonts w:ascii="Times New Roman"/>
                <w:sz w:val="22"/>
              </w:rPr>
            </w:pPr>
          </w:p>
        </w:tc>
        <w:tc>
          <w:tcPr>
            <w:tcW w:w="3408" w:type="dxa"/>
          </w:tcPr>
          <w:p>
            <w:pPr>
              <w:pStyle w:val="TableParagraph"/>
              <w:spacing w:line="312" w:lineRule="exact" w:before="4"/>
              <w:ind w:left="159" w:right="836"/>
              <w:rPr>
                <w:b/>
                <w:sz w:val="24"/>
              </w:rPr>
            </w:pPr>
            <w:r>
              <w:rPr>
                <w:b/>
                <w:sz w:val="24"/>
              </w:rPr>
              <w:t>附表二：轻症疾病列表</w:t>
            </w:r>
            <w:r>
              <w:rPr>
                <w:b/>
                <w:w w:val="95"/>
                <w:sz w:val="24"/>
              </w:rPr>
              <w:t>附表三：重大疾病分组</w:t>
            </w:r>
          </w:p>
        </w:tc>
      </w:tr>
    </w:tbl>
    <w:p>
      <w:pPr>
        <w:spacing w:after="0" w:line="312" w:lineRule="exact"/>
        <w:rPr>
          <w:sz w:val="24"/>
        </w:rPr>
        <w:sectPr>
          <w:pgSz w:w="11910" w:h="16840"/>
          <w:pgMar w:top="1580" w:bottom="280" w:left="1340" w:right="1680"/>
        </w:sectPr>
      </w:pPr>
    </w:p>
    <w:tbl>
      <w:tblPr>
        <w:tblW w:w="0" w:type="auto"/>
        <w:jc w:val="left"/>
        <w:tblInd w:w="11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2"/>
        <w:gridCol w:w="1693"/>
        <w:gridCol w:w="7164"/>
      </w:tblGrid>
      <w:tr>
        <w:trPr>
          <w:trHeight w:val="475" w:hRule="atLeast"/>
        </w:trPr>
        <w:tc>
          <w:tcPr>
            <w:tcW w:w="942" w:type="dxa"/>
          </w:tcPr>
          <w:p>
            <w:pPr>
              <w:pStyle w:val="TableParagraph"/>
              <w:rPr>
                <w:rFonts w:ascii="Times New Roman"/>
                <w:sz w:val="20"/>
              </w:rPr>
            </w:pPr>
          </w:p>
        </w:tc>
        <w:tc>
          <w:tcPr>
            <w:tcW w:w="1693" w:type="dxa"/>
          </w:tcPr>
          <w:p>
            <w:pPr>
              <w:pStyle w:val="TableParagraph"/>
              <w:rPr>
                <w:rFonts w:ascii="Times New Roman"/>
                <w:sz w:val="20"/>
              </w:rPr>
            </w:pPr>
          </w:p>
        </w:tc>
        <w:tc>
          <w:tcPr>
            <w:tcW w:w="7164" w:type="dxa"/>
          </w:tcPr>
          <w:p>
            <w:pPr>
              <w:pStyle w:val="TableParagraph"/>
              <w:spacing w:line="281" w:lineRule="exact"/>
              <w:ind w:left="63"/>
              <w:rPr>
                <w:rFonts w:ascii="黑体" w:eastAsia="黑体" w:hint="eastAsia"/>
                <w:b/>
                <w:sz w:val="28"/>
              </w:rPr>
            </w:pPr>
            <w:r>
              <w:rPr>
                <w:rFonts w:ascii="黑体" w:eastAsia="黑体" w:hint="eastAsia"/>
                <w:b/>
                <w:w w:val="95"/>
                <w:sz w:val="28"/>
              </w:rPr>
              <w:t>中英人寿爱相随尊享版重大疾病保险</w:t>
            </w:r>
          </w:p>
        </w:tc>
      </w:tr>
      <w:tr>
        <w:trPr>
          <w:trHeight w:val="867" w:hRule="atLeast"/>
        </w:trPr>
        <w:tc>
          <w:tcPr>
            <w:tcW w:w="9799" w:type="dxa"/>
            <w:gridSpan w:val="3"/>
          </w:tcPr>
          <w:p>
            <w:pPr>
              <w:pStyle w:val="TableParagraph"/>
              <w:spacing w:before="137"/>
              <w:ind w:left="1306"/>
              <w:rPr>
                <w:sz w:val="21"/>
              </w:rPr>
            </w:pPr>
            <w:r>
              <w:rPr>
                <w:sz w:val="21"/>
              </w:rPr>
              <w:t>在本条款中，</w:t>
            </w:r>
            <w:r>
              <w:rPr>
                <w:rFonts w:ascii="Times New Roman" w:hAnsi="Times New Roman" w:eastAsia="Times New Roman"/>
                <w:sz w:val="21"/>
              </w:rPr>
              <w:t>“</w:t>
            </w:r>
            <w:r>
              <w:rPr>
                <w:sz w:val="21"/>
              </w:rPr>
              <w:t>您</w:t>
            </w:r>
            <w:r>
              <w:rPr>
                <w:rFonts w:ascii="Times New Roman" w:hAnsi="Times New Roman" w:eastAsia="Times New Roman"/>
                <w:sz w:val="21"/>
              </w:rPr>
              <w:t>”</w:t>
            </w:r>
            <w:r>
              <w:rPr>
                <w:sz w:val="21"/>
              </w:rPr>
              <w:t>指投保人，</w:t>
            </w:r>
            <w:r>
              <w:rPr>
                <w:rFonts w:ascii="Times New Roman" w:hAnsi="Times New Roman" w:eastAsia="Times New Roman"/>
                <w:sz w:val="21"/>
              </w:rPr>
              <w:t>“</w:t>
            </w:r>
            <w:r>
              <w:rPr>
                <w:sz w:val="21"/>
              </w:rPr>
              <w:t>我们</w:t>
            </w:r>
            <w:r>
              <w:rPr>
                <w:rFonts w:ascii="Times New Roman" w:hAnsi="Times New Roman" w:eastAsia="Times New Roman"/>
                <w:sz w:val="21"/>
              </w:rPr>
              <w:t>”</w:t>
            </w:r>
            <w:r>
              <w:rPr>
                <w:sz w:val="21"/>
              </w:rPr>
              <w:t>、</w:t>
            </w:r>
            <w:r>
              <w:rPr>
                <w:rFonts w:ascii="Times New Roman" w:hAnsi="Times New Roman" w:eastAsia="Times New Roman"/>
                <w:sz w:val="21"/>
              </w:rPr>
              <w:t>“</w:t>
            </w:r>
            <w:r>
              <w:rPr>
                <w:sz w:val="21"/>
              </w:rPr>
              <w:t>本公司</w:t>
            </w:r>
            <w:r>
              <w:rPr>
                <w:rFonts w:ascii="Times New Roman" w:hAnsi="Times New Roman" w:eastAsia="Times New Roman"/>
                <w:sz w:val="21"/>
              </w:rPr>
              <w:t>”</w:t>
            </w:r>
            <w:r>
              <w:rPr>
                <w:sz w:val="21"/>
              </w:rPr>
              <w:t>均指中英人寿保险有限公司</w:t>
            </w:r>
          </w:p>
        </w:tc>
      </w:tr>
      <w:tr>
        <w:trPr>
          <w:trHeight w:val="861" w:hRule="atLeast"/>
        </w:trPr>
        <w:tc>
          <w:tcPr>
            <w:tcW w:w="942" w:type="dxa"/>
          </w:tcPr>
          <w:p>
            <w:pPr>
              <w:pStyle w:val="TableParagraph"/>
              <w:spacing w:before="2"/>
              <w:rPr>
                <w:b/>
                <w:sz w:val="29"/>
              </w:rPr>
            </w:pPr>
          </w:p>
          <w:p>
            <w:pPr>
              <w:pStyle w:val="TableParagraph"/>
              <w:ind w:right="106"/>
              <w:jc w:val="right"/>
              <w:rPr>
                <w:b/>
                <w:sz w:val="21"/>
              </w:rPr>
            </w:pPr>
            <w:r>
              <w:rPr>
                <w:b/>
                <w:sz w:val="21"/>
              </w:rPr>
              <w:t>第 </w:t>
            </w:r>
            <w:r>
              <w:rPr>
                <w:rFonts w:ascii="Times New Roman" w:eastAsia="Times New Roman"/>
                <w:b/>
                <w:sz w:val="21"/>
              </w:rPr>
              <w:t>1 </w:t>
            </w:r>
            <w:r>
              <w:rPr>
                <w:b/>
                <w:sz w:val="21"/>
              </w:rPr>
              <w:t>章</w:t>
            </w:r>
          </w:p>
        </w:tc>
        <w:tc>
          <w:tcPr>
            <w:tcW w:w="8857" w:type="dxa"/>
            <w:gridSpan w:val="2"/>
          </w:tcPr>
          <w:p>
            <w:pPr>
              <w:pStyle w:val="TableParagraph"/>
              <w:spacing w:before="2"/>
              <w:rPr>
                <w:b/>
                <w:sz w:val="29"/>
              </w:rPr>
            </w:pPr>
          </w:p>
          <w:p>
            <w:pPr>
              <w:pStyle w:val="TableParagraph"/>
              <w:ind w:left="105"/>
              <w:rPr>
                <w:b/>
                <w:sz w:val="21"/>
              </w:rPr>
            </w:pPr>
            <w:r>
              <w:rPr>
                <w:b/>
                <w:sz w:val="21"/>
              </w:rPr>
              <w:t>您与我们的保险合同</w:t>
            </w:r>
          </w:p>
        </w:tc>
      </w:tr>
      <w:tr>
        <w:trPr>
          <w:trHeight w:val="1106" w:hRule="atLeast"/>
        </w:trPr>
        <w:tc>
          <w:tcPr>
            <w:tcW w:w="942" w:type="dxa"/>
          </w:tcPr>
          <w:p>
            <w:pPr>
              <w:pStyle w:val="TableParagraph"/>
              <w:spacing w:before="181"/>
              <w:ind w:right="103"/>
              <w:jc w:val="right"/>
              <w:rPr>
                <w:rFonts w:ascii="Times New Roman"/>
                <w:b/>
                <w:sz w:val="21"/>
              </w:rPr>
            </w:pPr>
            <w:r>
              <w:rPr>
                <w:rFonts w:ascii="Times New Roman"/>
                <w:b/>
                <w:sz w:val="21"/>
              </w:rPr>
              <w:t>1.1</w:t>
            </w:r>
          </w:p>
        </w:tc>
        <w:tc>
          <w:tcPr>
            <w:tcW w:w="1693" w:type="dxa"/>
          </w:tcPr>
          <w:p>
            <w:pPr>
              <w:pStyle w:val="TableParagraph"/>
              <w:spacing w:before="148"/>
              <w:ind w:left="105"/>
              <w:rPr>
                <w:b/>
                <w:sz w:val="21"/>
              </w:rPr>
            </w:pPr>
            <w:r>
              <w:rPr>
                <w:b/>
                <w:sz w:val="21"/>
              </w:rPr>
              <w:t>保险合同的构成</w:t>
            </w:r>
          </w:p>
        </w:tc>
        <w:tc>
          <w:tcPr>
            <w:tcW w:w="7164" w:type="dxa"/>
          </w:tcPr>
          <w:p>
            <w:pPr>
              <w:pStyle w:val="TableParagraph"/>
              <w:spacing w:line="237" w:lineRule="auto" w:before="151"/>
              <w:ind w:left="109" w:right="305"/>
              <w:jc w:val="both"/>
              <w:rPr>
                <w:sz w:val="21"/>
              </w:rPr>
            </w:pPr>
            <w:r>
              <w:rPr>
                <w:sz w:val="21"/>
              </w:rPr>
              <w:t>我们与您订立的《中英人寿爱相随尊享版重大疾病保险》合同（以下简称本合同）由保险单、保险条款、所附的投保书及其它与本合同有关的投保文件、合法有效的声明、批注、批单及其它书面协议构成。</w:t>
            </w:r>
          </w:p>
        </w:tc>
      </w:tr>
      <w:tr>
        <w:trPr>
          <w:trHeight w:val="4810" w:hRule="atLeast"/>
        </w:trPr>
        <w:tc>
          <w:tcPr>
            <w:tcW w:w="942" w:type="dxa"/>
          </w:tcPr>
          <w:p>
            <w:pPr>
              <w:pStyle w:val="TableParagraph"/>
              <w:spacing w:before="132"/>
              <w:ind w:right="103"/>
              <w:jc w:val="right"/>
              <w:rPr>
                <w:rFonts w:ascii="Times New Roman"/>
                <w:b/>
                <w:sz w:val="21"/>
              </w:rPr>
            </w:pPr>
            <w:r>
              <w:rPr>
                <w:rFonts w:ascii="Times New Roman"/>
                <w:b/>
                <w:sz w:val="21"/>
              </w:rPr>
              <w:t>1.2</w:t>
            </w:r>
          </w:p>
        </w:tc>
        <w:tc>
          <w:tcPr>
            <w:tcW w:w="1693" w:type="dxa"/>
          </w:tcPr>
          <w:p>
            <w:pPr>
              <w:pStyle w:val="TableParagraph"/>
              <w:spacing w:line="237" w:lineRule="auto" w:before="103"/>
              <w:ind w:left="105" w:right="106"/>
              <w:jc w:val="both"/>
              <w:rPr>
                <w:b/>
                <w:sz w:val="21"/>
              </w:rPr>
            </w:pPr>
            <w:r>
              <w:rPr>
                <w:b/>
                <w:sz w:val="21"/>
              </w:rPr>
              <w:t>投保年龄、年龄计算与错误的处理</w:t>
            </w:r>
          </w:p>
        </w:tc>
        <w:tc>
          <w:tcPr>
            <w:tcW w:w="7164" w:type="dxa"/>
          </w:tcPr>
          <w:p>
            <w:pPr>
              <w:pStyle w:val="TableParagraph"/>
              <w:spacing w:before="100"/>
              <w:ind w:left="109"/>
              <w:rPr>
                <w:sz w:val="21"/>
              </w:rPr>
            </w:pPr>
            <w:r>
              <w:rPr>
                <w:spacing w:val="-3"/>
                <w:w w:val="100"/>
                <w:sz w:val="21"/>
              </w:rPr>
              <w:t>本合同接受的被保险人投保年龄为</w:t>
            </w:r>
            <w:r>
              <w:rPr>
                <w:spacing w:val="-65"/>
                <w:sz w:val="21"/>
              </w:rPr>
              <w:t> </w:t>
            </w:r>
            <w:r>
              <w:rPr>
                <w:rFonts w:ascii="Times New Roman" w:eastAsia="Times New Roman"/>
                <w:w w:val="100"/>
                <w:sz w:val="21"/>
              </w:rPr>
              <w:t>0</w:t>
            </w:r>
            <w:r>
              <w:rPr>
                <w:rFonts w:ascii="Times New Roman" w:eastAsia="Times New Roman"/>
                <w:spacing w:val="-12"/>
                <w:sz w:val="21"/>
              </w:rPr>
              <w:t> </w:t>
            </w:r>
            <w:r>
              <w:rPr>
                <w:spacing w:val="-106"/>
                <w:w w:val="100"/>
                <w:sz w:val="21"/>
              </w:rPr>
              <w:t>岁</w:t>
            </w:r>
            <w:r>
              <w:rPr>
                <w:w w:val="100"/>
                <w:sz w:val="21"/>
              </w:rPr>
              <w:t>（</w:t>
            </w:r>
            <w:r>
              <w:rPr>
                <w:spacing w:val="-2"/>
                <w:w w:val="100"/>
                <w:sz w:val="21"/>
              </w:rPr>
              <w:t>出生满</w:t>
            </w:r>
            <w:r>
              <w:rPr>
                <w:spacing w:val="-62"/>
                <w:sz w:val="21"/>
              </w:rPr>
              <w:t> </w:t>
            </w:r>
            <w:r>
              <w:rPr>
                <w:rFonts w:ascii="Times New Roman" w:eastAsia="Times New Roman"/>
                <w:spacing w:val="-3"/>
                <w:w w:val="100"/>
                <w:sz w:val="21"/>
              </w:rPr>
              <w:t>3</w:t>
            </w:r>
            <w:r>
              <w:rPr>
                <w:rFonts w:ascii="Times New Roman" w:eastAsia="Times New Roman"/>
                <w:w w:val="100"/>
                <w:sz w:val="21"/>
              </w:rPr>
              <w:t>0</w:t>
            </w:r>
            <w:r>
              <w:rPr>
                <w:rFonts w:ascii="Times New Roman" w:eastAsia="Times New Roman"/>
                <w:spacing w:val="-12"/>
                <w:sz w:val="21"/>
              </w:rPr>
              <w:t> </w:t>
            </w:r>
            <w:r>
              <w:rPr>
                <w:w w:val="100"/>
                <w:sz w:val="21"/>
              </w:rPr>
              <w:t>天</w:t>
            </w:r>
            <w:r>
              <w:rPr>
                <w:spacing w:val="-108"/>
                <w:w w:val="100"/>
                <w:sz w:val="21"/>
              </w:rPr>
              <w:t>）</w:t>
            </w:r>
            <w:r>
              <w:rPr>
                <w:w w:val="100"/>
                <w:sz w:val="21"/>
              </w:rPr>
              <w:t>至</w:t>
            </w:r>
            <w:r>
              <w:rPr>
                <w:spacing w:val="-62"/>
                <w:sz w:val="21"/>
              </w:rPr>
              <w:t> </w:t>
            </w:r>
            <w:r>
              <w:rPr>
                <w:rFonts w:ascii="Times New Roman" w:eastAsia="Times New Roman"/>
                <w:spacing w:val="-3"/>
                <w:w w:val="100"/>
                <w:sz w:val="21"/>
              </w:rPr>
              <w:t>5</w:t>
            </w:r>
            <w:r>
              <w:rPr>
                <w:rFonts w:ascii="Times New Roman" w:eastAsia="Times New Roman"/>
                <w:w w:val="100"/>
                <w:sz w:val="21"/>
              </w:rPr>
              <w:t>0</w:t>
            </w:r>
            <w:r>
              <w:rPr>
                <w:rFonts w:ascii="Times New Roman" w:eastAsia="Times New Roman"/>
                <w:spacing w:val="-10"/>
                <w:sz w:val="21"/>
              </w:rPr>
              <w:t> </w:t>
            </w:r>
            <w:r>
              <w:rPr>
                <w:rFonts w:ascii="黑体" w:eastAsia="黑体" w:hint="eastAsia"/>
                <w:spacing w:val="-55"/>
                <w:w w:val="100"/>
                <w:sz w:val="21"/>
              </w:rPr>
              <w:t>周岁</w:t>
            </w:r>
            <w:r>
              <w:rPr>
                <w:spacing w:val="-3"/>
                <w:w w:val="100"/>
                <w:sz w:val="21"/>
              </w:rPr>
              <w:t>（</w:t>
            </w:r>
            <w:r>
              <w:rPr>
                <w:w w:val="100"/>
                <w:sz w:val="21"/>
              </w:rPr>
              <w:t>见</w:t>
            </w:r>
            <w:r>
              <w:rPr>
                <w:spacing w:val="-62"/>
                <w:sz w:val="21"/>
              </w:rPr>
              <w:t> </w:t>
            </w:r>
            <w:r>
              <w:rPr>
                <w:rFonts w:ascii="Times New Roman" w:eastAsia="Times New Roman"/>
                <w:spacing w:val="-8"/>
                <w:w w:val="100"/>
                <w:sz w:val="21"/>
              </w:rPr>
              <w:t>1</w:t>
            </w:r>
            <w:r>
              <w:rPr>
                <w:rFonts w:ascii="Times New Roman" w:eastAsia="Times New Roman"/>
                <w:spacing w:val="-3"/>
                <w:w w:val="100"/>
                <w:sz w:val="21"/>
              </w:rPr>
              <w:t>1</w:t>
            </w:r>
            <w:r>
              <w:rPr>
                <w:rFonts w:ascii="Times New Roman" w:eastAsia="Times New Roman"/>
                <w:w w:val="100"/>
                <w:sz w:val="21"/>
              </w:rPr>
              <w:t>.1</w:t>
            </w:r>
            <w:r>
              <w:rPr>
                <w:spacing w:val="-108"/>
                <w:w w:val="100"/>
                <w:sz w:val="21"/>
              </w:rPr>
              <w:t>）</w:t>
            </w:r>
            <w:r>
              <w:rPr>
                <w:w w:val="100"/>
                <w:sz w:val="21"/>
              </w:rPr>
              <w:t>。</w:t>
            </w:r>
          </w:p>
          <w:p>
            <w:pPr>
              <w:pStyle w:val="TableParagraph"/>
              <w:spacing w:before="2"/>
              <w:rPr>
                <w:b/>
                <w:sz w:val="17"/>
              </w:rPr>
            </w:pPr>
          </w:p>
          <w:p>
            <w:pPr>
              <w:pStyle w:val="TableParagraph"/>
              <w:spacing w:line="237" w:lineRule="auto" w:before="1"/>
              <w:ind w:left="109" w:right="305"/>
              <w:jc w:val="both"/>
              <w:rPr>
                <w:sz w:val="21"/>
              </w:rPr>
            </w:pPr>
            <w:r>
              <w:rPr>
                <w:sz w:val="21"/>
              </w:rPr>
              <w:t>被保险人的投保年龄，以有效身份证件登记的周岁年龄为准。您在申请投保时，应将与有效身份证件相符的被保险人的出生日期在投保书上填明， 如果发生错误则按下列方式办理：</w:t>
            </w:r>
          </w:p>
          <w:p>
            <w:pPr>
              <w:pStyle w:val="TableParagraph"/>
              <w:spacing w:before="1"/>
              <w:rPr>
                <w:b/>
                <w:sz w:val="19"/>
              </w:rPr>
            </w:pPr>
          </w:p>
          <w:p>
            <w:pPr>
              <w:pStyle w:val="TableParagraph"/>
              <w:spacing w:line="230" w:lineRule="auto" w:before="1"/>
              <w:ind w:left="541" w:right="303" w:hanging="432"/>
              <w:jc w:val="both"/>
              <w:rPr>
                <w:sz w:val="21"/>
              </w:rPr>
            </w:pPr>
            <w:r>
              <w:rPr>
                <w:rFonts w:ascii="Times New Roman" w:eastAsia="Times New Roman"/>
                <w:sz w:val="21"/>
              </w:rPr>
              <w:t>1</w:t>
            </w:r>
            <w:r>
              <w:rPr>
                <w:spacing w:val="21"/>
                <w:sz w:val="21"/>
              </w:rPr>
              <w:t>、 </w:t>
            </w:r>
            <w:r>
              <w:rPr>
                <w:rFonts w:ascii="黑体" w:eastAsia="黑体" w:hint="eastAsia"/>
                <w:spacing w:val="-3"/>
                <w:sz w:val="21"/>
              </w:rPr>
              <w:t>您申报的被保险人年龄不真实，并且其真实年龄不符合本合同约定投保年龄限制的，我们有权解除合同，对于本合同解除前发</w:t>
            </w:r>
            <w:r>
              <w:rPr>
                <w:rFonts w:ascii="黑体" w:eastAsia="黑体" w:hint="eastAsia"/>
                <w:sz w:val="21"/>
              </w:rPr>
              <w:t>Th</w:t>
            </w:r>
            <w:r>
              <w:rPr>
                <w:rFonts w:ascii="黑体" w:eastAsia="黑体" w:hint="eastAsia"/>
                <w:spacing w:val="-1"/>
                <w:sz w:val="21"/>
              </w:rPr>
              <w:t>的保险事</w:t>
            </w:r>
            <w:r>
              <w:rPr>
                <w:rFonts w:ascii="黑体" w:eastAsia="黑体" w:hint="eastAsia"/>
                <w:spacing w:val="-3"/>
                <w:sz w:val="21"/>
              </w:rPr>
              <w:t>故，不承担赔偿或给付保险金的责任，但将退还本合同终止时的现金价值（</w:t>
            </w:r>
            <w:r>
              <w:rPr>
                <w:rFonts w:ascii="黑体" w:eastAsia="黑体" w:hint="eastAsia"/>
                <w:spacing w:val="-21"/>
                <w:sz w:val="21"/>
              </w:rPr>
              <w:t>见 </w:t>
            </w:r>
            <w:r>
              <w:rPr>
                <w:rFonts w:ascii="黑体" w:eastAsia="黑体" w:hint="eastAsia"/>
                <w:sz w:val="21"/>
              </w:rPr>
              <w:t>11.2）</w:t>
            </w:r>
            <w:r>
              <w:rPr>
                <w:rFonts w:ascii="黑体" w:eastAsia="黑体" w:hint="eastAsia"/>
                <w:spacing w:val="-3"/>
                <w:sz w:val="21"/>
              </w:rPr>
              <w:t>给您。</w:t>
            </w:r>
            <w:r>
              <w:rPr>
                <w:spacing w:val="-6"/>
                <w:sz w:val="21"/>
              </w:rPr>
              <w:t>我们行使合同解除权适用第 </w:t>
            </w:r>
            <w:r>
              <w:rPr>
                <w:rFonts w:ascii="Times New Roman" w:eastAsia="Times New Roman"/>
                <w:sz w:val="21"/>
              </w:rPr>
              <w:t>1.7 </w:t>
            </w:r>
            <w:r>
              <w:rPr>
                <w:spacing w:val="-3"/>
                <w:sz w:val="21"/>
              </w:rPr>
              <w:t>条的规定，我</w:t>
            </w:r>
            <w:r>
              <w:rPr>
                <w:spacing w:val="-7"/>
                <w:sz w:val="21"/>
              </w:rPr>
              <w:t>们不解除合同的按本条第 </w:t>
            </w:r>
            <w:r>
              <w:rPr>
                <w:rFonts w:ascii="Times New Roman" w:eastAsia="Times New Roman"/>
                <w:sz w:val="21"/>
              </w:rPr>
              <w:t>2</w:t>
            </w:r>
            <w:r>
              <w:rPr>
                <w:sz w:val="21"/>
              </w:rPr>
              <w:t>、</w:t>
            </w:r>
            <w:r>
              <w:rPr>
                <w:rFonts w:ascii="Times New Roman" w:eastAsia="Times New Roman"/>
                <w:sz w:val="21"/>
              </w:rPr>
              <w:t>3 </w:t>
            </w:r>
            <w:r>
              <w:rPr>
                <w:spacing w:val="-2"/>
                <w:sz w:val="21"/>
              </w:rPr>
              <w:t>款办理。</w:t>
            </w:r>
          </w:p>
          <w:p>
            <w:pPr>
              <w:pStyle w:val="TableParagraph"/>
              <w:spacing w:line="230" w:lineRule="auto"/>
              <w:ind w:left="541" w:right="197" w:hanging="432"/>
              <w:rPr>
                <w:sz w:val="21"/>
              </w:rPr>
            </w:pPr>
            <w:r>
              <w:rPr>
                <w:rFonts w:ascii="Times New Roman" w:eastAsia="Times New Roman"/>
                <w:sz w:val="21"/>
              </w:rPr>
              <w:t>2</w:t>
            </w:r>
            <w:r>
              <w:rPr>
                <w:spacing w:val="-9"/>
                <w:sz w:val="21"/>
              </w:rPr>
              <w:t>、 您申报的被保险人年龄不真实，致使您实付保险费少于应付保险费的， </w:t>
            </w:r>
            <w:r>
              <w:rPr>
                <w:spacing w:val="-6"/>
                <w:sz w:val="21"/>
              </w:rPr>
              <w:t>我们有权更正并要求您补缴保险费。若已经发生保险事故，我们将按</w:t>
            </w:r>
            <w:r>
              <w:rPr>
                <w:spacing w:val="-3"/>
                <w:sz w:val="21"/>
              </w:rPr>
              <w:t>实付保险费和应付保险费的比例给付保险金。</w:t>
            </w:r>
          </w:p>
          <w:p>
            <w:pPr>
              <w:pStyle w:val="TableParagraph"/>
              <w:spacing w:line="230" w:lineRule="auto" w:before="18"/>
              <w:ind w:left="541" w:right="197" w:hanging="432"/>
              <w:rPr>
                <w:sz w:val="21"/>
              </w:rPr>
            </w:pPr>
            <w:r>
              <w:rPr>
                <w:rFonts w:ascii="Times New Roman" w:eastAsia="Times New Roman"/>
                <w:sz w:val="21"/>
              </w:rPr>
              <w:t>3</w:t>
            </w:r>
            <w:r>
              <w:rPr>
                <w:spacing w:val="-9"/>
                <w:sz w:val="21"/>
              </w:rPr>
              <w:t>、 您申报的被保险人年龄不真实，致使您实付保险费多于应付保险费的， </w:t>
            </w:r>
            <w:r>
              <w:rPr>
                <w:spacing w:val="-6"/>
                <w:sz w:val="21"/>
              </w:rPr>
              <w:t>我们会将多收的保险费退还给您，本合同的基本保险金额不因此而改变。</w:t>
            </w:r>
          </w:p>
        </w:tc>
      </w:tr>
      <w:tr>
        <w:trPr>
          <w:trHeight w:val="3424" w:hRule="atLeast"/>
        </w:trPr>
        <w:tc>
          <w:tcPr>
            <w:tcW w:w="942" w:type="dxa"/>
          </w:tcPr>
          <w:p>
            <w:pPr>
              <w:pStyle w:val="TableParagraph"/>
              <w:spacing w:before="133"/>
              <w:ind w:right="103"/>
              <w:jc w:val="right"/>
              <w:rPr>
                <w:rFonts w:ascii="Times New Roman"/>
                <w:b/>
                <w:sz w:val="21"/>
              </w:rPr>
            </w:pPr>
            <w:r>
              <w:rPr>
                <w:rFonts w:ascii="Times New Roman"/>
                <w:b/>
                <w:sz w:val="21"/>
              </w:rPr>
              <w:t>1.3</w:t>
            </w:r>
          </w:p>
        </w:tc>
        <w:tc>
          <w:tcPr>
            <w:tcW w:w="1693" w:type="dxa"/>
          </w:tcPr>
          <w:p>
            <w:pPr>
              <w:pStyle w:val="TableParagraph"/>
              <w:spacing w:before="100"/>
              <w:ind w:left="105"/>
              <w:rPr>
                <w:b/>
                <w:sz w:val="21"/>
              </w:rPr>
            </w:pPr>
            <w:r>
              <w:rPr>
                <w:b/>
                <w:sz w:val="21"/>
              </w:rPr>
              <w:t>合同的生效日</w:t>
            </w:r>
          </w:p>
        </w:tc>
        <w:tc>
          <w:tcPr>
            <w:tcW w:w="7164" w:type="dxa"/>
          </w:tcPr>
          <w:p>
            <w:pPr>
              <w:pStyle w:val="TableParagraph"/>
              <w:spacing w:line="237" w:lineRule="auto" w:before="103"/>
              <w:ind w:left="118" w:right="302"/>
              <w:jc w:val="both"/>
              <w:rPr>
                <w:sz w:val="21"/>
              </w:rPr>
            </w:pPr>
            <w:r>
              <w:rPr>
                <w:sz w:val="21"/>
              </w:rPr>
              <w:t>本合同的生效日经我们同意承保，自您缴纳首期保险费当日的二十四时开始。我们将签发保险单作为承保的凭证。</w:t>
            </w:r>
          </w:p>
          <w:p>
            <w:pPr>
              <w:pStyle w:val="TableParagraph"/>
              <w:spacing w:before="5"/>
              <w:rPr>
                <w:b/>
                <w:sz w:val="18"/>
              </w:rPr>
            </w:pPr>
          </w:p>
          <w:p>
            <w:pPr>
              <w:pStyle w:val="TableParagraph"/>
              <w:spacing w:line="237" w:lineRule="auto"/>
              <w:ind w:left="118" w:right="302"/>
              <w:jc w:val="both"/>
              <w:rPr>
                <w:sz w:val="21"/>
              </w:rPr>
            </w:pPr>
            <w:r>
              <w:rPr>
                <w:sz w:val="21"/>
              </w:rPr>
              <w:t>在我们签发保险单之前，如果您已缴纳首期保险费，且您已履行如实告知义务并符合我们的承保条件，则本合同的生效日将追溯至您缴纳首期保险费当日二十四时开始。</w:t>
            </w:r>
          </w:p>
          <w:p>
            <w:pPr>
              <w:pStyle w:val="TableParagraph"/>
              <w:spacing w:before="6"/>
              <w:rPr>
                <w:b/>
                <w:sz w:val="19"/>
              </w:rPr>
            </w:pPr>
          </w:p>
          <w:p>
            <w:pPr>
              <w:pStyle w:val="TableParagraph"/>
              <w:spacing w:line="225" w:lineRule="auto" w:before="1"/>
              <w:ind w:left="118" w:right="302"/>
              <w:jc w:val="both"/>
              <w:rPr>
                <w:sz w:val="21"/>
              </w:rPr>
            </w:pPr>
            <w:r>
              <w:rPr>
                <w:spacing w:val="-5"/>
                <w:w w:val="100"/>
                <w:sz w:val="21"/>
              </w:rPr>
              <w:t>本合同的生效日以保险单所载的日期为准。</w:t>
            </w:r>
            <w:r>
              <w:rPr>
                <w:rFonts w:ascii="黑体" w:eastAsia="黑体" w:hint="eastAsia"/>
                <w:spacing w:val="-9"/>
                <w:w w:val="100"/>
                <w:sz w:val="21"/>
              </w:rPr>
              <w:t>保单周年日</w:t>
            </w:r>
            <w:r>
              <w:rPr>
                <w:spacing w:val="-3"/>
                <w:w w:val="100"/>
                <w:sz w:val="21"/>
              </w:rPr>
              <w:t>（</w:t>
            </w:r>
            <w:r>
              <w:rPr>
                <w:w w:val="100"/>
                <w:sz w:val="21"/>
              </w:rPr>
              <w:t>见</w:t>
            </w:r>
            <w:r>
              <w:rPr>
                <w:spacing w:val="-53"/>
                <w:sz w:val="21"/>
              </w:rPr>
              <w:t> </w:t>
            </w:r>
            <w:r>
              <w:rPr>
                <w:rFonts w:ascii="Times New Roman" w:eastAsia="Times New Roman"/>
                <w:spacing w:val="-8"/>
                <w:w w:val="100"/>
                <w:sz w:val="21"/>
              </w:rPr>
              <w:t>1</w:t>
            </w:r>
            <w:r>
              <w:rPr>
                <w:rFonts w:ascii="Times New Roman" w:eastAsia="Times New Roman"/>
                <w:w w:val="100"/>
                <w:sz w:val="21"/>
              </w:rPr>
              <w:t>1</w:t>
            </w:r>
            <w:r>
              <w:rPr>
                <w:rFonts w:ascii="Times New Roman" w:eastAsia="Times New Roman"/>
                <w:spacing w:val="-3"/>
                <w:w w:val="100"/>
                <w:sz w:val="21"/>
              </w:rPr>
              <w:t>.</w:t>
            </w:r>
            <w:r>
              <w:rPr>
                <w:rFonts w:ascii="Times New Roman" w:eastAsia="Times New Roman"/>
                <w:w w:val="100"/>
                <w:sz w:val="21"/>
              </w:rPr>
              <w:t>3</w:t>
            </w:r>
            <w:r>
              <w:rPr>
                <w:spacing w:val="-108"/>
                <w:w w:val="100"/>
                <w:sz w:val="21"/>
              </w:rPr>
              <w:t>）</w:t>
            </w:r>
            <w:r>
              <w:rPr>
                <w:spacing w:val="-27"/>
                <w:w w:val="100"/>
                <w:sz w:val="21"/>
              </w:rPr>
              <w:t>、</w:t>
            </w:r>
            <w:r>
              <w:rPr>
                <w:rFonts w:ascii="黑体" w:eastAsia="黑体" w:hint="eastAsia"/>
                <w:spacing w:val="-2"/>
                <w:w w:val="100"/>
                <w:sz w:val="21"/>
              </w:rPr>
              <w:t>保单年</w:t>
            </w:r>
            <w:r>
              <w:rPr>
                <w:rFonts w:ascii="黑体" w:eastAsia="黑体" w:hint="eastAsia"/>
                <w:spacing w:val="-20"/>
                <w:w w:val="100"/>
                <w:sz w:val="21"/>
              </w:rPr>
              <w:t>度</w:t>
            </w:r>
            <w:r>
              <w:rPr>
                <w:w w:val="100"/>
                <w:sz w:val="21"/>
              </w:rPr>
              <w:t>（见</w:t>
            </w:r>
            <w:r>
              <w:rPr>
                <w:spacing w:val="-54"/>
                <w:sz w:val="21"/>
              </w:rPr>
              <w:t> </w:t>
            </w:r>
            <w:r>
              <w:rPr>
                <w:rFonts w:ascii="Times New Roman" w:eastAsia="Times New Roman"/>
                <w:spacing w:val="-8"/>
                <w:w w:val="100"/>
                <w:sz w:val="21"/>
              </w:rPr>
              <w:t>1</w:t>
            </w:r>
            <w:r>
              <w:rPr>
                <w:rFonts w:ascii="Times New Roman" w:eastAsia="Times New Roman"/>
                <w:w w:val="100"/>
                <w:sz w:val="21"/>
              </w:rPr>
              <w:t>1.</w:t>
            </w:r>
            <w:r>
              <w:rPr>
                <w:rFonts w:ascii="Times New Roman" w:eastAsia="Times New Roman"/>
                <w:spacing w:val="-3"/>
                <w:w w:val="100"/>
                <w:sz w:val="21"/>
              </w:rPr>
              <w:t>4</w:t>
            </w:r>
            <w:r>
              <w:rPr>
                <w:spacing w:val="-106"/>
                <w:w w:val="100"/>
                <w:sz w:val="21"/>
              </w:rPr>
              <w:t>）</w:t>
            </w:r>
            <w:r>
              <w:rPr>
                <w:spacing w:val="-6"/>
                <w:w w:val="100"/>
                <w:sz w:val="21"/>
              </w:rPr>
              <w:t>、保单满期日和</w:t>
            </w:r>
            <w:r>
              <w:rPr>
                <w:rFonts w:ascii="黑体" w:eastAsia="黑体" w:hint="eastAsia"/>
                <w:spacing w:val="-7"/>
                <w:w w:val="100"/>
                <w:sz w:val="21"/>
              </w:rPr>
              <w:t>保险费到期日</w:t>
            </w:r>
            <w:r>
              <w:rPr>
                <w:w w:val="100"/>
                <w:sz w:val="21"/>
              </w:rPr>
              <w:t>（见</w:t>
            </w:r>
            <w:r>
              <w:rPr>
                <w:spacing w:val="-55"/>
                <w:sz w:val="21"/>
              </w:rPr>
              <w:t> </w:t>
            </w:r>
            <w:r>
              <w:rPr>
                <w:rFonts w:ascii="Times New Roman" w:eastAsia="Times New Roman"/>
                <w:spacing w:val="-8"/>
                <w:w w:val="100"/>
                <w:sz w:val="21"/>
              </w:rPr>
              <w:t>1</w:t>
            </w:r>
            <w:r>
              <w:rPr>
                <w:rFonts w:ascii="Times New Roman" w:eastAsia="Times New Roman"/>
                <w:w w:val="100"/>
                <w:sz w:val="21"/>
              </w:rPr>
              <w:t>1.</w:t>
            </w:r>
            <w:r>
              <w:rPr>
                <w:rFonts w:ascii="Times New Roman" w:eastAsia="Times New Roman"/>
                <w:spacing w:val="-3"/>
                <w:w w:val="100"/>
                <w:sz w:val="21"/>
              </w:rPr>
              <w:t>5</w:t>
            </w:r>
            <w:r>
              <w:rPr>
                <w:spacing w:val="-20"/>
                <w:w w:val="100"/>
                <w:sz w:val="21"/>
              </w:rPr>
              <w:t>）</w:t>
            </w:r>
            <w:r>
              <w:rPr>
                <w:spacing w:val="-3"/>
                <w:w w:val="100"/>
                <w:sz w:val="21"/>
              </w:rPr>
              <w:t>均以该日期为基准计</w:t>
            </w:r>
            <w:r>
              <w:rPr>
                <w:spacing w:val="-3"/>
                <w:sz w:val="21"/>
              </w:rPr>
              <w:t>算。</w:t>
            </w:r>
          </w:p>
          <w:p>
            <w:pPr>
              <w:pStyle w:val="TableParagraph"/>
              <w:spacing w:before="3"/>
              <w:rPr>
                <w:b/>
                <w:sz w:val="18"/>
              </w:rPr>
            </w:pPr>
          </w:p>
          <w:p>
            <w:pPr>
              <w:pStyle w:val="TableParagraph"/>
              <w:ind w:left="118"/>
              <w:jc w:val="both"/>
              <w:rPr>
                <w:sz w:val="21"/>
              </w:rPr>
            </w:pPr>
            <w:r>
              <w:rPr>
                <w:sz w:val="21"/>
              </w:rPr>
              <w:t>本合同生效后，我们将依照第 </w:t>
            </w:r>
            <w:r>
              <w:rPr>
                <w:rFonts w:ascii="Times New Roman" w:eastAsia="Times New Roman"/>
                <w:sz w:val="21"/>
              </w:rPr>
              <w:t>2.1 </w:t>
            </w:r>
            <w:r>
              <w:rPr>
                <w:sz w:val="21"/>
              </w:rPr>
              <w:t>条的约定开始承担保险责任。</w:t>
            </w:r>
          </w:p>
        </w:tc>
      </w:tr>
      <w:tr>
        <w:trPr>
          <w:trHeight w:val="505" w:hRule="atLeast"/>
        </w:trPr>
        <w:tc>
          <w:tcPr>
            <w:tcW w:w="942" w:type="dxa"/>
          </w:tcPr>
          <w:p>
            <w:pPr>
              <w:pStyle w:val="TableParagraph"/>
              <w:spacing w:before="123"/>
              <w:ind w:right="103"/>
              <w:jc w:val="right"/>
              <w:rPr>
                <w:rFonts w:ascii="Times New Roman"/>
                <w:b/>
                <w:sz w:val="21"/>
              </w:rPr>
            </w:pPr>
            <w:r>
              <w:rPr>
                <w:rFonts w:ascii="Times New Roman"/>
                <w:b/>
                <w:sz w:val="21"/>
              </w:rPr>
              <w:t>1.4</w:t>
            </w:r>
          </w:p>
        </w:tc>
        <w:tc>
          <w:tcPr>
            <w:tcW w:w="1693" w:type="dxa"/>
          </w:tcPr>
          <w:p>
            <w:pPr>
              <w:pStyle w:val="TableParagraph"/>
              <w:spacing w:before="91"/>
              <w:ind w:left="105"/>
              <w:rPr>
                <w:b/>
                <w:sz w:val="21"/>
              </w:rPr>
            </w:pPr>
            <w:r>
              <w:rPr>
                <w:b/>
                <w:sz w:val="21"/>
              </w:rPr>
              <w:t>保险期间</w:t>
            </w:r>
          </w:p>
        </w:tc>
        <w:tc>
          <w:tcPr>
            <w:tcW w:w="7164" w:type="dxa"/>
          </w:tcPr>
          <w:p>
            <w:pPr>
              <w:pStyle w:val="TableParagraph"/>
              <w:spacing w:before="91"/>
              <w:ind w:left="109"/>
              <w:rPr>
                <w:sz w:val="21"/>
              </w:rPr>
            </w:pPr>
            <w:r>
              <w:rPr>
                <w:sz w:val="21"/>
              </w:rPr>
              <w:t>本合同提供终身保障，保险期间自合同生效日起，至合同约定终止时止。</w:t>
            </w:r>
          </w:p>
        </w:tc>
      </w:tr>
      <w:tr>
        <w:trPr>
          <w:trHeight w:val="1706" w:hRule="atLeast"/>
        </w:trPr>
        <w:tc>
          <w:tcPr>
            <w:tcW w:w="942" w:type="dxa"/>
          </w:tcPr>
          <w:p>
            <w:pPr>
              <w:pStyle w:val="TableParagraph"/>
              <w:spacing w:before="132"/>
              <w:ind w:right="103"/>
              <w:jc w:val="right"/>
              <w:rPr>
                <w:rFonts w:ascii="Times New Roman"/>
                <w:b/>
                <w:sz w:val="21"/>
              </w:rPr>
            </w:pPr>
            <w:r>
              <w:rPr>
                <w:rFonts w:ascii="Times New Roman"/>
                <w:b/>
                <w:sz w:val="21"/>
              </w:rPr>
              <w:t>1.5</w:t>
            </w:r>
          </w:p>
        </w:tc>
        <w:tc>
          <w:tcPr>
            <w:tcW w:w="1693" w:type="dxa"/>
          </w:tcPr>
          <w:p>
            <w:pPr>
              <w:pStyle w:val="TableParagraph"/>
              <w:spacing w:line="237" w:lineRule="auto" w:before="102"/>
              <w:ind w:left="105" w:right="108"/>
              <w:jc w:val="both"/>
              <w:rPr>
                <w:b/>
                <w:sz w:val="21"/>
              </w:rPr>
            </w:pPr>
            <w:r>
              <w:rPr>
                <w:b/>
                <w:sz w:val="21"/>
              </w:rPr>
              <w:t>基本保险金额与申请减少基本保险金额</w:t>
            </w:r>
          </w:p>
        </w:tc>
        <w:tc>
          <w:tcPr>
            <w:tcW w:w="7164" w:type="dxa"/>
          </w:tcPr>
          <w:p>
            <w:pPr>
              <w:pStyle w:val="TableParagraph"/>
              <w:spacing w:before="99"/>
              <w:ind w:left="109" w:right="304"/>
              <w:rPr>
                <w:sz w:val="21"/>
              </w:rPr>
            </w:pPr>
            <w:r>
              <w:rPr>
                <w:sz w:val="21"/>
              </w:rPr>
              <w:t>本合同的基本保险金额由您和我们约定并在保险单上载明。如果该基本保险金额有所变更，以变更后的金额为准。</w:t>
            </w:r>
          </w:p>
          <w:p>
            <w:pPr>
              <w:pStyle w:val="TableParagraph"/>
              <w:spacing w:before="5"/>
              <w:rPr>
                <w:b/>
                <w:sz w:val="18"/>
              </w:rPr>
            </w:pPr>
          </w:p>
          <w:p>
            <w:pPr>
              <w:pStyle w:val="TableParagraph"/>
              <w:spacing w:line="237" w:lineRule="auto"/>
              <w:ind w:left="109" w:right="304"/>
              <w:rPr>
                <w:sz w:val="21"/>
              </w:rPr>
            </w:pPr>
            <w:r>
              <w:rPr>
                <w:sz w:val="21"/>
              </w:rPr>
              <w:t>在本合同有效期内，您可以书面申请减少基本保险金额，但减少后的基本保险金额，须符合我们当时规定的最低承保金额。基本保险金额的减少部</w:t>
            </w:r>
          </w:p>
          <w:p>
            <w:pPr>
              <w:pStyle w:val="TableParagraph"/>
              <w:spacing w:line="254" w:lineRule="exact"/>
              <w:ind w:left="109"/>
              <w:rPr>
                <w:sz w:val="21"/>
              </w:rPr>
            </w:pPr>
            <w:r>
              <w:rPr>
                <w:sz w:val="21"/>
              </w:rPr>
              <w:t>分视为终止合同，我们将退还基本保险金额减少部分所对应的现金价值。</w:t>
            </w:r>
          </w:p>
        </w:tc>
      </w:tr>
    </w:tbl>
    <w:p>
      <w:pPr>
        <w:spacing w:after="0" w:line="254" w:lineRule="exact"/>
        <w:rPr>
          <w:sz w:val="21"/>
        </w:rPr>
        <w:sectPr>
          <w:pgSz w:w="11910" w:h="16840"/>
          <w:pgMar w:top="1280" w:bottom="280" w:left="560" w:right="13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0"/>
        <w:gridCol w:w="1693"/>
        <w:gridCol w:w="7165"/>
      </w:tblGrid>
      <w:tr>
        <w:trPr>
          <w:trHeight w:val="895" w:hRule="atLeast"/>
        </w:trPr>
        <w:tc>
          <w:tcPr>
            <w:tcW w:w="940" w:type="dxa"/>
          </w:tcPr>
          <w:p>
            <w:pPr>
              <w:pStyle w:val="TableParagraph"/>
              <w:rPr>
                <w:rFonts w:ascii="Times New Roman"/>
                <w:sz w:val="20"/>
              </w:rPr>
            </w:pPr>
          </w:p>
        </w:tc>
        <w:tc>
          <w:tcPr>
            <w:tcW w:w="1693" w:type="dxa"/>
          </w:tcPr>
          <w:p>
            <w:pPr>
              <w:pStyle w:val="TableParagraph"/>
              <w:rPr>
                <w:rFonts w:ascii="Times New Roman"/>
                <w:sz w:val="20"/>
              </w:rPr>
            </w:pPr>
          </w:p>
        </w:tc>
        <w:tc>
          <w:tcPr>
            <w:tcW w:w="7165" w:type="dxa"/>
          </w:tcPr>
          <w:p>
            <w:pPr>
              <w:pStyle w:val="TableParagraph"/>
              <w:spacing w:line="209" w:lineRule="exact"/>
              <w:ind w:left="108"/>
              <w:rPr>
                <w:sz w:val="21"/>
              </w:rPr>
            </w:pPr>
            <w:r>
              <w:rPr>
                <w:sz w:val="21"/>
              </w:rPr>
              <w:t>您为您未成年子女投保的人身保险，因被保险人身故给付的保险金总和不</w:t>
            </w:r>
          </w:p>
          <w:p>
            <w:pPr>
              <w:pStyle w:val="TableParagraph"/>
              <w:ind w:left="108" w:right="307"/>
              <w:rPr>
                <w:sz w:val="21"/>
              </w:rPr>
            </w:pPr>
            <w:r>
              <w:rPr>
                <w:sz w:val="21"/>
              </w:rPr>
              <w:t>得超过国务院保险监督管理机构规定的限额，身故给付的基本保险金额总和约定也不得超过前述限额。</w:t>
            </w:r>
          </w:p>
        </w:tc>
      </w:tr>
      <w:tr>
        <w:trPr>
          <w:trHeight w:val="5261" w:hRule="atLeast"/>
        </w:trPr>
        <w:tc>
          <w:tcPr>
            <w:tcW w:w="940" w:type="dxa"/>
          </w:tcPr>
          <w:p>
            <w:pPr>
              <w:pStyle w:val="TableParagraph"/>
              <w:spacing w:before="131"/>
              <w:ind w:right="103"/>
              <w:jc w:val="right"/>
              <w:rPr>
                <w:rFonts w:ascii="Times New Roman"/>
                <w:b/>
                <w:sz w:val="21"/>
              </w:rPr>
            </w:pPr>
            <w:r>
              <w:rPr>
                <w:rFonts w:ascii="Times New Roman"/>
                <w:b/>
                <w:sz w:val="21"/>
              </w:rPr>
              <w:t>1.6</w:t>
            </w:r>
          </w:p>
        </w:tc>
        <w:tc>
          <w:tcPr>
            <w:tcW w:w="1693" w:type="dxa"/>
          </w:tcPr>
          <w:p>
            <w:pPr>
              <w:pStyle w:val="TableParagraph"/>
              <w:spacing w:line="237" w:lineRule="auto" w:before="102"/>
              <w:ind w:left="105" w:right="107"/>
              <w:rPr>
                <w:b/>
                <w:sz w:val="21"/>
              </w:rPr>
            </w:pPr>
            <w:r>
              <w:rPr>
                <w:b/>
                <w:sz w:val="21"/>
              </w:rPr>
              <w:t>明确说明与如实告知</w:t>
            </w:r>
          </w:p>
        </w:tc>
        <w:tc>
          <w:tcPr>
            <w:tcW w:w="7165" w:type="dxa"/>
          </w:tcPr>
          <w:p>
            <w:pPr>
              <w:pStyle w:val="TableParagraph"/>
              <w:spacing w:line="237" w:lineRule="auto" w:before="102"/>
              <w:ind w:left="108" w:right="306"/>
              <w:jc w:val="both"/>
              <w:rPr>
                <w:sz w:val="21"/>
              </w:rPr>
            </w:pPr>
            <w:r>
              <w:rPr>
                <w:sz w:val="21"/>
              </w:rPr>
              <w:t>订立本合同时，我们应向您说明本合同的内容。对保险条款中免除我们责任的条款，我们在订立合同时应当在投保书、保险单或其它保险凭证上作出足以引起您注意的提示，并对该条款的内容以书面或口头形式向您作出明确说明，未作提示或明确说明的，该条款不产生效力。</w:t>
            </w:r>
          </w:p>
          <w:p>
            <w:pPr>
              <w:pStyle w:val="TableParagraph"/>
              <w:spacing w:before="3"/>
              <w:rPr>
                <w:b/>
                <w:sz w:val="18"/>
              </w:rPr>
            </w:pPr>
          </w:p>
          <w:p>
            <w:pPr>
              <w:pStyle w:val="TableParagraph"/>
              <w:ind w:left="108"/>
              <w:rPr>
                <w:sz w:val="21"/>
              </w:rPr>
            </w:pPr>
            <w:r>
              <w:rPr>
                <w:sz w:val="21"/>
              </w:rPr>
              <w:t>我们就您和被保险人的有关情况提出询问，您应当如实告知。</w:t>
            </w:r>
          </w:p>
          <w:p>
            <w:pPr>
              <w:pStyle w:val="TableParagraph"/>
              <w:spacing w:before="3"/>
              <w:rPr>
                <w:b/>
                <w:sz w:val="18"/>
              </w:rPr>
            </w:pPr>
          </w:p>
          <w:p>
            <w:pPr>
              <w:pStyle w:val="TableParagraph"/>
              <w:ind w:left="108" w:right="307"/>
              <w:rPr>
                <w:rFonts w:ascii="黑体" w:eastAsia="黑体" w:hint="eastAsia"/>
                <w:sz w:val="21"/>
              </w:rPr>
            </w:pPr>
            <w:r>
              <w:rPr>
                <w:rFonts w:ascii="黑体" w:eastAsia="黑体" w:hint="eastAsia"/>
                <w:sz w:val="21"/>
              </w:rPr>
              <w:t>如果您故意或因重大过失未履行前款规定的如实告知义务，足以影响我们决定是否同意承保或提高保险费率的，我们有权解除本合同。</w:t>
            </w:r>
          </w:p>
          <w:p>
            <w:pPr>
              <w:pStyle w:val="TableParagraph"/>
              <w:spacing w:before="3"/>
              <w:rPr>
                <w:b/>
                <w:sz w:val="18"/>
              </w:rPr>
            </w:pPr>
          </w:p>
          <w:p>
            <w:pPr>
              <w:pStyle w:val="TableParagraph"/>
              <w:ind w:left="108" w:right="307"/>
              <w:rPr>
                <w:rFonts w:ascii="黑体" w:eastAsia="黑体" w:hint="eastAsia"/>
                <w:sz w:val="21"/>
              </w:rPr>
            </w:pPr>
            <w:r>
              <w:rPr>
                <w:rFonts w:ascii="黑体" w:eastAsia="黑体" w:hint="eastAsia"/>
                <w:sz w:val="21"/>
              </w:rPr>
              <w:t>如果您故意不履行如实告知义务，对于本合同解除前发Th的保险事故，我们不承担给付保险金的责任，并不退还保险费。</w:t>
            </w:r>
          </w:p>
          <w:p>
            <w:pPr>
              <w:pStyle w:val="TableParagraph"/>
              <w:spacing w:before="6"/>
              <w:rPr>
                <w:b/>
                <w:sz w:val="18"/>
              </w:rPr>
            </w:pPr>
          </w:p>
          <w:p>
            <w:pPr>
              <w:pStyle w:val="TableParagraph"/>
              <w:spacing w:line="237" w:lineRule="auto"/>
              <w:ind w:left="108" w:right="198"/>
              <w:rPr>
                <w:rFonts w:ascii="黑体" w:eastAsia="黑体" w:hint="eastAsia"/>
                <w:sz w:val="21"/>
              </w:rPr>
            </w:pPr>
            <w:r>
              <w:rPr>
                <w:rFonts w:ascii="黑体" w:eastAsia="黑体" w:hint="eastAsia"/>
                <w:spacing w:val="-8"/>
                <w:sz w:val="21"/>
              </w:rPr>
              <w:t>如果您因重大过失未履行如实告知义务，对保险事故的发</w:t>
            </w:r>
            <w:r>
              <w:rPr>
                <w:rFonts w:ascii="黑体" w:eastAsia="黑体" w:hint="eastAsia"/>
                <w:sz w:val="21"/>
              </w:rPr>
              <w:t>Th</w:t>
            </w:r>
            <w:r>
              <w:rPr>
                <w:rFonts w:ascii="黑体" w:eastAsia="黑体" w:hint="eastAsia"/>
                <w:spacing w:val="-3"/>
                <w:sz w:val="21"/>
              </w:rPr>
              <w:t>有严重影响的， 对于本合同解除前发</w:t>
            </w:r>
            <w:r>
              <w:rPr>
                <w:rFonts w:ascii="黑体" w:eastAsia="黑体" w:hint="eastAsia"/>
                <w:sz w:val="21"/>
              </w:rPr>
              <w:t>Th</w:t>
            </w:r>
            <w:r>
              <w:rPr>
                <w:rFonts w:ascii="黑体" w:eastAsia="黑体" w:hint="eastAsia"/>
                <w:spacing w:val="-3"/>
                <w:sz w:val="21"/>
              </w:rPr>
              <w:t>的保险事故，我们不承担给付保险金的责任，但应当退还保险费。</w:t>
            </w:r>
          </w:p>
          <w:p>
            <w:pPr>
              <w:pStyle w:val="TableParagraph"/>
              <w:spacing w:before="5"/>
              <w:rPr>
                <w:b/>
                <w:sz w:val="18"/>
              </w:rPr>
            </w:pPr>
          </w:p>
          <w:p>
            <w:pPr>
              <w:pStyle w:val="TableParagraph"/>
              <w:spacing w:line="237" w:lineRule="auto"/>
              <w:ind w:left="108" w:right="306"/>
              <w:rPr>
                <w:sz w:val="21"/>
              </w:rPr>
            </w:pPr>
            <w:r>
              <w:rPr>
                <w:sz w:val="21"/>
              </w:rPr>
              <w:t>我们在合同订立时已经知道您未如实告知的情况的，我们不得解除合同； 发生保险事故的，我们按本合同约定承担保险责任。</w:t>
            </w:r>
          </w:p>
        </w:tc>
      </w:tr>
      <w:tr>
        <w:trPr>
          <w:trHeight w:val="1058" w:hRule="atLeast"/>
        </w:trPr>
        <w:tc>
          <w:tcPr>
            <w:tcW w:w="940" w:type="dxa"/>
          </w:tcPr>
          <w:p>
            <w:pPr>
              <w:pStyle w:val="TableParagraph"/>
              <w:spacing w:before="131"/>
              <w:ind w:right="104"/>
              <w:jc w:val="right"/>
              <w:rPr>
                <w:rFonts w:ascii="Times New Roman"/>
                <w:b/>
                <w:sz w:val="21"/>
              </w:rPr>
            </w:pPr>
            <w:r>
              <w:rPr>
                <w:rFonts w:ascii="Times New Roman"/>
                <w:b/>
                <w:sz w:val="21"/>
              </w:rPr>
              <w:t>1.7</w:t>
            </w:r>
          </w:p>
        </w:tc>
        <w:tc>
          <w:tcPr>
            <w:tcW w:w="1693" w:type="dxa"/>
          </w:tcPr>
          <w:p>
            <w:pPr>
              <w:pStyle w:val="TableParagraph"/>
              <w:spacing w:before="99"/>
              <w:ind w:left="105" w:right="107"/>
              <w:rPr>
                <w:b/>
                <w:sz w:val="21"/>
              </w:rPr>
            </w:pPr>
            <w:r>
              <w:rPr>
                <w:b/>
                <w:sz w:val="21"/>
              </w:rPr>
              <w:t>本公司合同解除权的限制</w:t>
            </w:r>
          </w:p>
        </w:tc>
        <w:tc>
          <w:tcPr>
            <w:tcW w:w="7165" w:type="dxa"/>
          </w:tcPr>
          <w:p>
            <w:pPr>
              <w:pStyle w:val="TableParagraph"/>
              <w:spacing w:line="230" w:lineRule="auto" w:before="111"/>
              <w:ind w:left="108" w:right="303"/>
              <w:jc w:val="both"/>
              <w:rPr>
                <w:sz w:val="21"/>
              </w:rPr>
            </w:pPr>
            <w:r>
              <w:rPr>
                <w:spacing w:val="-11"/>
                <w:sz w:val="21"/>
              </w:rPr>
              <w:t>前条规定的合同解除权，自我们知道有解除事由之日起，超过 </w:t>
            </w:r>
            <w:r>
              <w:rPr>
                <w:rFonts w:ascii="Times New Roman" w:eastAsia="Times New Roman"/>
                <w:sz w:val="21"/>
              </w:rPr>
              <w:t>30 </w:t>
            </w:r>
            <w:r>
              <w:rPr>
                <w:spacing w:val="-3"/>
                <w:sz w:val="21"/>
              </w:rPr>
              <w:t>日不行使而消灭。自本合同成立之日起超过二年的，我们不得解除合同；发生保险事故的，我们按本合同约定承担保险责任。</w:t>
            </w:r>
          </w:p>
        </w:tc>
      </w:tr>
      <w:tr>
        <w:trPr>
          <w:trHeight w:val="2246" w:hRule="atLeast"/>
        </w:trPr>
        <w:tc>
          <w:tcPr>
            <w:tcW w:w="940" w:type="dxa"/>
          </w:tcPr>
          <w:p>
            <w:pPr>
              <w:pStyle w:val="TableParagraph"/>
              <w:spacing w:before="131"/>
              <w:ind w:right="104"/>
              <w:jc w:val="right"/>
              <w:rPr>
                <w:rFonts w:ascii="Times New Roman"/>
                <w:b/>
                <w:sz w:val="21"/>
              </w:rPr>
            </w:pPr>
            <w:r>
              <w:rPr>
                <w:rFonts w:ascii="Times New Roman"/>
                <w:b/>
                <w:sz w:val="21"/>
              </w:rPr>
              <w:t>1.8</w:t>
            </w:r>
          </w:p>
        </w:tc>
        <w:tc>
          <w:tcPr>
            <w:tcW w:w="1693" w:type="dxa"/>
          </w:tcPr>
          <w:p>
            <w:pPr>
              <w:pStyle w:val="TableParagraph"/>
              <w:spacing w:before="99"/>
              <w:ind w:left="105" w:right="107"/>
              <w:rPr>
                <w:b/>
                <w:sz w:val="21"/>
              </w:rPr>
            </w:pPr>
            <w:r>
              <w:rPr>
                <w:b/>
                <w:sz w:val="21"/>
              </w:rPr>
              <w:t>犹豫期内的合同解除权</w:t>
            </w:r>
          </w:p>
        </w:tc>
        <w:tc>
          <w:tcPr>
            <w:tcW w:w="7165" w:type="dxa"/>
          </w:tcPr>
          <w:p>
            <w:pPr>
              <w:pStyle w:val="TableParagraph"/>
              <w:spacing w:line="230" w:lineRule="auto" w:before="111"/>
              <w:ind w:left="108" w:right="306"/>
              <w:jc w:val="both"/>
              <w:rPr>
                <w:sz w:val="21"/>
              </w:rPr>
            </w:pPr>
            <w:r>
              <w:rPr>
                <w:spacing w:val="-8"/>
                <w:sz w:val="21"/>
              </w:rPr>
              <w:t>自您签收本合同之日起，有 </w:t>
            </w:r>
            <w:r>
              <w:rPr>
                <w:rFonts w:ascii="Times New Roman" w:eastAsia="Times New Roman"/>
                <w:sz w:val="21"/>
              </w:rPr>
              <w:t>10 </w:t>
            </w:r>
            <w:r>
              <w:rPr>
                <w:spacing w:val="-17"/>
                <w:sz w:val="21"/>
              </w:rPr>
              <w:t>天</w:t>
            </w:r>
            <w:r>
              <w:rPr>
                <w:sz w:val="21"/>
              </w:rPr>
              <w:t>（</w:t>
            </w:r>
            <w:r>
              <w:rPr>
                <w:spacing w:val="-3"/>
                <w:sz w:val="21"/>
              </w:rPr>
              <w:t>含</w:t>
            </w:r>
            <w:r>
              <w:rPr>
                <w:spacing w:val="-17"/>
                <w:sz w:val="21"/>
              </w:rPr>
              <w:t>）</w:t>
            </w:r>
            <w:r>
              <w:rPr>
                <w:spacing w:val="-8"/>
                <w:sz w:val="21"/>
              </w:rPr>
              <w:t>的犹豫期。在此期间，请您认真阅</w:t>
            </w:r>
            <w:r>
              <w:rPr>
                <w:spacing w:val="-5"/>
                <w:sz w:val="21"/>
              </w:rPr>
              <w:t>读本合同，如果您认为本合同与您的需求不相符，您可以在此期间解除本</w:t>
            </w:r>
            <w:r>
              <w:rPr>
                <w:spacing w:val="-4"/>
                <w:sz w:val="21"/>
              </w:rPr>
              <w:t>合同，我们将无息退还您所缴纳的保险费。</w:t>
            </w:r>
          </w:p>
          <w:p>
            <w:pPr>
              <w:pStyle w:val="TableParagraph"/>
              <w:spacing w:before="6"/>
              <w:rPr>
                <w:b/>
                <w:sz w:val="18"/>
              </w:rPr>
            </w:pPr>
          </w:p>
          <w:p>
            <w:pPr>
              <w:pStyle w:val="TableParagraph"/>
              <w:spacing w:line="237" w:lineRule="auto"/>
              <w:ind w:left="108" w:right="198"/>
              <w:rPr>
                <w:sz w:val="21"/>
              </w:rPr>
            </w:pPr>
            <w:r>
              <w:rPr>
                <w:spacing w:val="-10"/>
                <w:sz w:val="21"/>
              </w:rPr>
              <w:t>解除本合同时，您需要填写申请书，并提供您的保险合同及有效身份证件。</w:t>
            </w:r>
            <w:r>
              <w:rPr>
                <w:spacing w:val="-5"/>
                <w:sz w:val="21"/>
              </w:rPr>
              <w:t>自我们收到您解除合同的书面申请时起，本合同即被解除，合同解除前发</w:t>
            </w:r>
            <w:r>
              <w:rPr>
                <w:spacing w:val="-4"/>
                <w:sz w:val="21"/>
              </w:rPr>
              <w:t>生的保险事故我们不承担保险责任。</w:t>
            </w:r>
          </w:p>
        </w:tc>
      </w:tr>
      <w:tr>
        <w:trPr>
          <w:trHeight w:val="634" w:hRule="atLeast"/>
        </w:trPr>
        <w:tc>
          <w:tcPr>
            <w:tcW w:w="940" w:type="dxa"/>
          </w:tcPr>
          <w:p>
            <w:pPr>
              <w:pStyle w:val="TableParagraph"/>
              <w:spacing w:before="2"/>
              <w:rPr>
                <w:b/>
                <w:sz w:val="16"/>
              </w:rPr>
            </w:pPr>
          </w:p>
          <w:p>
            <w:pPr>
              <w:pStyle w:val="TableParagraph"/>
              <w:ind w:right="104"/>
              <w:jc w:val="right"/>
              <w:rPr>
                <w:b/>
                <w:sz w:val="21"/>
              </w:rPr>
            </w:pPr>
            <w:r>
              <w:rPr>
                <w:b/>
                <w:sz w:val="21"/>
              </w:rPr>
              <w:t>第 </w:t>
            </w:r>
            <w:r>
              <w:rPr>
                <w:rFonts w:ascii="Times New Roman" w:eastAsia="Times New Roman"/>
                <w:b/>
                <w:sz w:val="21"/>
              </w:rPr>
              <w:t>2 </w:t>
            </w:r>
            <w:r>
              <w:rPr>
                <w:b/>
                <w:sz w:val="21"/>
              </w:rPr>
              <w:t>章</w:t>
            </w:r>
          </w:p>
        </w:tc>
        <w:tc>
          <w:tcPr>
            <w:tcW w:w="1693" w:type="dxa"/>
          </w:tcPr>
          <w:p>
            <w:pPr>
              <w:pStyle w:val="TableParagraph"/>
              <w:spacing w:before="2"/>
              <w:rPr>
                <w:b/>
                <w:sz w:val="16"/>
              </w:rPr>
            </w:pPr>
          </w:p>
          <w:p>
            <w:pPr>
              <w:pStyle w:val="TableParagraph"/>
              <w:ind w:left="105"/>
              <w:rPr>
                <w:b/>
                <w:sz w:val="21"/>
              </w:rPr>
            </w:pPr>
            <w:r>
              <w:rPr>
                <w:b/>
                <w:sz w:val="21"/>
              </w:rPr>
              <w:t>保障范围</w:t>
            </w:r>
          </w:p>
        </w:tc>
        <w:tc>
          <w:tcPr>
            <w:tcW w:w="7165" w:type="dxa"/>
          </w:tcPr>
          <w:p>
            <w:pPr>
              <w:pStyle w:val="TableParagraph"/>
              <w:rPr>
                <w:rFonts w:ascii="Times New Roman"/>
                <w:sz w:val="20"/>
              </w:rPr>
            </w:pPr>
          </w:p>
        </w:tc>
      </w:tr>
      <w:tr>
        <w:trPr>
          <w:trHeight w:val="4086" w:hRule="atLeast"/>
        </w:trPr>
        <w:tc>
          <w:tcPr>
            <w:tcW w:w="940" w:type="dxa"/>
          </w:tcPr>
          <w:p>
            <w:pPr>
              <w:pStyle w:val="TableParagraph"/>
              <w:spacing w:before="123"/>
              <w:ind w:right="103"/>
              <w:jc w:val="right"/>
              <w:rPr>
                <w:rFonts w:ascii="Times New Roman"/>
                <w:b/>
                <w:sz w:val="21"/>
              </w:rPr>
            </w:pPr>
            <w:r>
              <w:rPr>
                <w:rFonts w:ascii="Times New Roman"/>
                <w:b/>
                <w:sz w:val="21"/>
              </w:rPr>
              <w:t>2.1</w:t>
            </w:r>
          </w:p>
        </w:tc>
        <w:tc>
          <w:tcPr>
            <w:tcW w:w="1693" w:type="dxa"/>
          </w:tcPr>
          <w:p>
            <w:pPr>
              <w:pStyle w:val="TableParagraph"/>
              <w:spacing w:before="91"/>
              <w:ind w:left="105"/>
              <w:rPr>
                <w:b/>
                <w:sz w:val="21"/>
              </w:rPr>
            </w:pPr>
            <w:r>
              <w:rPr>
                <w:b/>
                <w:sz w:val="21"/>
              </w:rPr>
              <w:t>保险责任</w:t>
            </w:r>
          </w:p>
        </w:tc>
        <w:tc>
          <w:tcPr>
            <w:tcW w:w="7165" w:type="dxa"/>
          </w:tcPr>
          <w:p>
            <w:pPr>
              <w:pStyle w:val="TableParagraph"/>
              <w:spacing w:before="91"/>
              <w:ind w:left="108"/>
              <w:rPr>
                <w:sz w:val="21"/>
              </w:rPr>
            </w:pPr>
            <w:r>
              <w:rPr>
                <w:sz w:val="21"/>
              </w:rPr>
              <w:t>在本合同有效期内，我们按照以下约定承担保险责任：</w:t>
            </w:r>
          </w:p>
          <w:p>
            <w:pPr>
              <w:pStyle w:val="TableParagraph"/>
              <w:spacing w:before="8"/>
              <w:rPr>
                <w:b/>
                <w:sz w:val="18"/>
              </w:rPr>
            </w:pPr>
          </w:p>
          <w:p>
            <w:pPr>
              <w:pStyle w:val="TableParagraph"/>
              <w:spacing w:line="235" w:lineRule="auto"/>
              <w:ind w:left="108" w:right="303"/>
              <w:jc w:val="both"/>
              <w:rPr>
                <w:sz w:val="21"/>
              </w:rPr>
            </w:pPr>
            <w:r>
              <w:rPr>
                <w:rFonts w:ascii="黑体" w:eastAsia="黑体" w:hint="eastAsia"/>
                <w:spacing w:val="-1"/>
                <w:sz w:val="21"/>
              </w:rPr>
              <w:t>自本合同</w:t>
            </w:r>
            <w:r>
              <w:rPr>
                <w:rFonts w:ascii="黑体" w:eastAsia="黑体" w:hint="eastAsia"/>
                <w:sz w:val="21"/>
              </w:rPr>
              <w:t>Th</w:t>
            </w:r>
            <w:r>
              <w:rPr>
                <w:rFonts w:ascii="黑体" w:eastAsia="黑体" w:hint="eastAsia"/>
                <w:spacing w:val="-2"/>
                <w:sz w:val="21"/>
              </w:rPr>
              <w:t>效日</w:t>
            </w:r>
            <w:r>
              <w:rPr>
                <w:rFonts w:ascii="黑体" w:eastAsia="黑体" w:hint="eastAsia"/>
                <w:sz w:val="21"/>
              </w:rPr>
              <w:t>（</w:t>
            </w:r>
            <w:r>
              <w:rPr>
                <w:rFonts w:ascii="黑体" w:eastAsia="黑体" w:hint="eastAsia"/>
                <w:spacing w:val="-3"/>
                <w:sz w:val="21"/>
              </w:rPr>
              <w:t>或最后复效日</w:t>
            </w:r>
            <w:r>
              <w:rPr>
                <w:rFonts w:ascii="黑体" w:eastAsia="黑体" w:hint="eastAsia"/>
                <w:sz w:val="21"/>
              </w:rPr>
              <w:t>）</w:t>
            </w:r>
            <w:r>
              <w:rPr>
                <w:rFonts w:ascii="黑体" w:eastAsia="黑体" w:hint="eastAsia"/>
                <w:spacing w:val="-20"/>
                <w:sz w:val="21"/>
              </w:rPr>
              <w:t>起 </w:t>
            </w:r>
            <w:r>
              <w:rPr>
                <w:rFonts w:ascii="黑体" w:eastAsia="黑体" w:hint="eastAsia"/>
                <w:sz w:val="21"/>
              </w:rPr>
              <w:t>90</w:t>
            </w:r>
            <w:r>
              <w:rPr>
                <w:rFonts w:ascii="黑体" w:eastAsia="黑体" w:hint="eastAsia"/>
                <w:spacing w:val="-15"/>
                <w:sz w:val="21"/>
              </w:rPr>
              <w:t> 天内</w:t>
            </w:r>
            <w:r>
              <w:rPr>
                <w:rFonts w:ascii="黑体" w:eastAsia="黑体" w:hint="eastAsia"/>
                <w:spacing w:val="-3"/>
                <w:sz w:val="21"/>
              </w:rPr>
              <w:t>（</w:t>
            </w:r>
            <w:r>
              <w:rPr>
                <w:rFonts w:ascii="黑体" w:eastAsia="黑体" w:hint="eastAsia"/>
                <w:spacing w:val="-15"/>
                <w:sz w:val="21"/>
              </w:rPr>
              <w:t>含第 </w:t>
            </w:r>
            <w:r>
              <w:rPr>
                <w:rFonts w:ascii="黑体" w:eastAsia="黑体" w:hint="eastAsia"/>
                <w:sz w:val="21"/>
              </w:rPr>
              <w:t>90</w:t>
            </w:r>
            <w:r>
              <w:rPr>
                <w:rFonts w:ascii="黑体" w:eastAsia="黑体" w:hint="eastAsia"/>
                <w:spacing w:val="-21"/>
                <w:sz w:val="21"/>
              </w:rPr>
              <w:t> 天</w:t>
            </w:r>
            <w:r>
              <w:rPr>
                <w:rFonts w:ascii="黑体" w:eastAsia="黑体" w:hint="eastAsia"/>
                <w:spacing w:val="-3"/>
                <w:sz w:val="21"/>
              </w:rPr>
              <w:t>）</w:t>
            </w:r>
            <w:r>
              <w:rPr>
                <w:rFonts w:ascii="黑体" w:eastAsia="黑体" w:hint="eastAsia"/>
                <w:spacing w:val="-1"/>
                <w:sz w:val="21"/>
              </w:rPr>
              <w:t>的期间为等待</w:t>
            </w:r>
            <w:r>
              <w:rPr>
                <w:rFonts w:ascii="黑体" w:eastAsia="黑体" w:hint="eastAsia"/>
                <w:spacing w:val="-3"/>
                <w:sz w:val="21"/>
              </w:rPr>
              <w:t>期。如果被保险人在等待期内发</w:t>
            </w:r>
            <w:r>
              <w:rPr>
                <w:rFonts w:ascii="黑体" w:eastAsia="黑体" w:hint="eastAsia"/>
                <w:sz w:val="21"/>
              </w:rPr>
              <w:t>Th</w:t>
            </w:r>
            <w:r>
              <w:rPr>
                <w:rFonts w:ascii="黑体" w:eastAsia="黑体" w:hint="eastAsia"/>
                <w:spacing w:val="-2"/>
                <w:sz w:val="21"/>
              </w:rPr>
              <w:t>或确诊患本合同附表一所列任何一种重</w:t>
            </w:r>
            <w:r>
              <w:rPr>
                <w:rFonts w:ascii="黑体" w:eastAsia="黑体" w:hint="eastAsia"/>
                <w:spacing w:val="-2"/>
                <w:w w:val="100"/>
                <w:sz w:val="21"/>
              </w:rPr>
              <w:t>大疾病</w:t>
            </w:r>
            <w:r>
              <w:rPr>
                <w:rFonts w:ascii="黑体" w:eastAsia="黑体" w:hint="eastAsia"/>
                <w:w w:val="100"/>
                <w:sz w:val="21"/>
              </w:rPr>
              <w:t>（见</w:t>
            </w:r>
            <w:r>
              <w:rPr>
                <w:rFonts w:ascii="黑体" w:eastAsia="黑体" w:hint="eastAsia"/>
                <w:spacing w:val="-43"/>
                <w:sz w:val="21"/>
              </w:rPr>
              <w:t> </w:t>
            </w:r>
            <w:r>
              <w:rPr>
                <w:rFonts w:ascii="黑体" w:eastAsia="黑体" w:hint="eastAsia"/>
                <w:w w:val="100"/>
                <w:sz w:val="21"/>
              </w:rPr>
              <w:t>11.</w:t>
            </w:r>
            <w:r>
              <w:rPr>
                <w:rFonts w:ascii="黑体" w:eastAsia="黑体" w:hint="eastAsia"/>
                <w:spacing w:val="-3"/>
                <w:w w:val="100"/>
                <w:sz w:val="21"/>
              </w:rPr>
              <w:t>6</w:t>
            </w:r>
            <w:r>
              <w:rPr>
                <w:rFonts w:ascii="黑体" w:eastAsia="黑体" w:hint="eastAsia"/>
                <w:w w:val="100"/>
                <w:sz w:val="21"/>
              </w:rPr>
              <w:t>）</w:t>
            </w:r>
            <w:r>
              <w:rPr>
                <w:rFonts w:ascii="黑体" w:eastAsia="黑体" w:hint="eastAsia"/>
                <w:spacing w:val="-3"/>
                <w:w w:val="100"/>
                <w:sz w:val="21"/>
              </w:rPr>
              <w:t>或附表二所列任何一种轻症疾病</w:t>
            </w:r>
            <w:r>
              <w:rPr>
                <w:rFonts w:ascii="黑体" w:eastAsia="黑体" w:hint="eastAsia"/>
                <w:w w:val="100"/>
                <w:sz w:val="21"/>
              </w:rPr>
              <w:t>（见</w:t>
            </w:r>
            <w:r>
              <w:rPr>
                <w:rFonts w:ascii="黑体" w:eastAsia="黑体" w:hint="eastAsia"/>
                <w:spacing w:val="-41"/>
                <w:sz w:val="21"/>
              </w:rPr>
              <w:t> </w:t>
            </w:r>
            <w:r>
              <w:rPr>
                <w:rFonts w:ascii="黑体" w:eastAsia="黑体" w:hint="eastAsia"/>
                <w:w w:val="100"/>
                <w:sz w:val="21"/>
              </w:rPr>
              <w:t>1</w:t>
            </w:r>
            <w:r>
              <w:rPr>
                <w:rFonts w:ascii="黑体" w:eastAsia="黑体" w:hint="eastAsia"/>
                <w:spacing w:val="-3"/>
                <w:w w:val="100"/>
                <w:sz w:val="21"/>
              </w:rPr>
              <w:t>1</w:t>
            </w:r>
            <w:r>
              <w:rPr>
                <w:rFonts w:ascii="黑体" w:eastAsia="黑体" w:hint="eastAsia"/>
                <w:spacing w:val="-1"/>
                <w:w w:val="100"/>
                <w:sz w:val="21"/>
              </w:rPr>
              <w:t>.</w:t>
            </w:r>
            <w:r>
              <w:rPr>
                <w:rFonts w:ascii="黑体" w:eastAsia="黑体" w:hint="eastAsia"/>
                <w:w w:val="100"/>
                <w:sz w:val="21"/>
              </w:rPr>
              <w:t>7</w:t>
            </w:r>
            <w:r>
              <w:rPr>
                <w:rFonts w:ascii="黑体" w:eastAsia="黑体" w:hint="eastAsia"/>
                <w:spacing w:val="-108"/>
                <w:w w:val="100"/>
                <w:sz w:val="21"/>
              </w:rPr>
              <w:t>）</w:t>
            </w:r>
            <w:r>
              <w:rPr>
                <w:rFonts w:ascii="黑体" w:eastAsia="黑体" w:hint="eastAsia"/>
                <w:spacing w:val="-3"/>
                <w:w w:val="100"/>
                <w:sz w:val="21"/>
              </w:rPr>
              <w:t>，我们将无</w:t>
            </w:r>
            <w:r>
              <w:rPr>
                <w:rFonts w:ascii="黑体" w:eastAsia="黑体" w:hint="eastAsia"/>
                <w:spacing w:val="-3"/>
                <w:sz w:val="21"/>
              </w:rPr>
              <w:t>息退回您已缴纳的本合同的保险费，同时本合同终止。</w:t>
            </w:r>
            <w:r>
              <w:rPr>
                <w:spacing w:val="-1"/>
                <w:sz w:val="21"/>
              </w:rPr>
              <w:t>但如果被保险人因</w:t>
            </w:r>
            <w:r>
              <w:rPr>
                <w:rFonts w:ascii="黑体" w:eastAsia="黑体" w:hint="eastAsia"/>
                <w:spacing w:val="-3"/>
                <w:sz w:val="21"/>
              </w:rPr>
              <w:t>意外伤害事故</w:t>
            </w:r>
            <w:r>
              <w:rPr>
                <w:spacing w:val="-3"/>
                <w:sz w:val="21"/>
              </w:rPr>
              <w:t>（</w:t>
            </w:r>
            <w:r>
              <w:rPr>
                <w:spacing w:val="5"/>
                <w:sz w:val="21"/>
              </w:rPr>
              <w:t>见 </w:t>
            </w:r>
            <w:r>
              <w:rPr>
                <w:rFonts w:ascii="Times New Roman" w:eastAsia="Times New Roman"/>
                <w:spacing w:val="-3"/>
                <w:sz w:val="21"/>
              </w:rPr>
              <w:t>11.8</w:t>
            </w:r>
            <w:r>
              <w:rPr>
                <w:spacing w:val="-3"/>
                <w:sz w:val="21"/>
              </w:rPr>
              <w:t>）导致患本合同附表一所列任何一种重大疾病或附表二所列任何一种轻症疾病，则无等待期。</w:t>
            </w:r>
          </w:p>
          <w:p>
            <w:pPr>
              <w:pStyle w:val="TableParagraph"/>
              <w:spacing w:before="2"/>
              <w:rPr>
                <w:b/>
                <w:sz w:val="18"/>
              </w:rPr>
            </w:pPr>
          </w:p>
          <w:p>
            <w:pPr>
              <w:pStyle w:val="TableParagraph"/>
              <w:ind w:left="108"/>
              <w:rPr>
                <w:sz w:val="21"/>
              </w:rPr>
            </w:pPr>
            <w:r>
              <w:rPr>
                <w:rFonts w:ascii="Times New Roman" w:eastAsia="Times New Roman"/>
                <w:sz w:val="21"/>
              </w:rPr>
              <w:t>1</w:t>
            </w:r>
            <w:r>
              <w:rPr>
                <w:sz w:val="21"/>
              </w:rPr>
              <w:t>、 重大疾病保险金</w:t>
            </w:r>
          </w:p>
          <w:p>
            <w:pPr>
              <w:pStyle w:val="TableParagraph"/>
              <w:spacing w:before="12"/>
              <w:rPr>
                <w:b/>
                <w:sz w:val="16"/>
              </w:rPr>
            </w:pPr>
          </w:p>
          <w:p>
            <w:pPr>
              <w:pStyle w:val="TableParagraph"/>
              <w:tabs>
                <w:tab w:pos="1100" w:val="left" w:leader="none"/>
              </w:tabs>
              <w:spacing w:line="273" w:lineRule="exact" w:before="1"/>
              <w:ind w:left="533"/>
              <w:rPr>
                <w:sz w:val="21"/>
              </w:rPr>
            </w:pPr>
            <w:r>
              <w:rPr>
                <w:sz w:val="21"/>
              </w:rPr>
              <w:t>1.1</w:t>
              <w:tab/>
            </w:r>
            <w:r>
              <w:rPr>
                <w:spacing w:val="-3"/>
                <w:sz w:val="21"/>
              </w:rPr>
              <w:t>首次重大疾病保险金</w:t>
            </w:r>
          </w:p>
          <w:p>
            <w:pPr>
              <w:pStyle w:val="TableParagraph"/>
              <w:spacing w:line="280" w:lineRule="exact"/>
              <w:ind w:left="533"/>
              <w:rPr>
                <w:sz w:val="21"/>
              </w:rPr>
            </w:pPr>
            <w:r>
              <w:rPr>
                <w:rFonts w:ascii="黑体" w:eastAsia="黑体" w:hint="eastAsia"/>
                <w:sz w:val="21"/>
              </w:rPr>
              <w:t>在等待期后，</w:t>
            </w:r>
            <w:r>
              <w:rPr>
                <w:sz w:val="21"/>
              </w:rPr>
              <w:t>按本合同附表一对</w:t>
            </w:r>
            <w:r>
              <w:rPr>
                <w:rFonts w:ascii="黑体" w:eastAsia="黑体" w:hint="eastAsia"/>
                <w:sz w:val="21"/>
              </w:rPr>
              <w:t>重大疾病</w:t>
            </w:r>
            <w:r>
              <w:rPr>
                <w:sz w:val="21"/>
              </w:rPr>
              <w:t>（见 </w:t>
            </w:r>
            <w:r>
              <w:rPr>
                <w:rFonts w:ascii="Times New Roman" w:eastAsia="Times New Roman"/>
                <w:sz w:val="21"/>
              </w:rPr>
              <w:t>11.6</w:t>
            </w:r>
            <w:r>
              <w:rPr>
                <w:sz w:val="21"/>
              </w:rPr>
              <w:t>）的定义和诊断标</w:t>
            </w:r>
          </w:p>
          <w:p>
            <w:pPr>
              <w:pStyle w:val="TableParagraph"/>
              <w:spacing w:line="272" w:lineRule="exact" w:before="19"/>
              <w:ind w:left="533" w:right="251"/>
              <w:rPr>
                <w:sz w:val="21"/>
              </w:rPr>
            </w:pPr>
            <w:r>
              <w:rPr>
                <w:sz w:val="21"/>
              </w:rPr>
              <w:t>准，如果被保险人</w:t>
            </w:r>
            <w:r>
              <w:rPr>
                <w:rFonts w:ascii="黑体" w:eastAsia="黑体" w:hint="eastAsia"/>
                <w:sz w:val="21"/>
              </w:rPr>
              <w:t>初次</w:t>
            </w:r>
            <w:r>
              <w:rPr>
                <w:sz w:val="21"/>
              </w:rPr>
              <w:t>发生并被</w:t>
            </w:r>
            <w:r>
              <w:rPr>
                <w:rFonts w:ascii="黑体" w:eastAsia="黑体" w:hint="eastAsia"/>
                <w:sz w:val="21"/>
              </w:rPr>
              <w:t>专科医Th</w:t>
            </w:r>
            <w:r>
              <w:rPr>
                <w:sz w:val="21"/>
              </w:rPr>
              <w:t>（见 </w:t>
            </w:r>
            <w:r>
              <w:rPr>
                <w:rFonts w:ascii="Times New Roman" w:eastAsia="Times New Roman"/>
                <w:sz w:val="21"/>
              </w:rPr>
              <w:t>11.9</w:t>
            </w:r>
            <w:r>
              <w:rPr>
                <w:sz w:val="21"/>
              </w:rPr>
              <w:t>）确诊患本合同附表一所列任何一种或一种以上的重大疾病，我们将按本合同基本保险</w:t>
            </w:r>
          </w:p>
        </w:tc>
      </w:tr>
    </w:tbl>
    <w:p>
      <w:pPr>
        <w:spacing w:after="0" w:line="272" w:lineRule="exact"/>
        <w:rPr>
          <w:sz w:val="21"/>
        </w:rPr>
        <w:sectPr>
          <w:pgSz w:w="11910" w:h="16840"/>
          <w:pgMar w:top="1060" w:bottom="280" w:left="580" w:right="1320"/>
        </w:sectPr>
      </w:pPr>
    </w:p>
    <w:p>
      <w:pPr>
        <w:pStyle w:val="BodyText"/>
        <w:spacing w:line="237" w:lineRule="auto" w:before="28"/>
        <w:ind w:left="2167" w:right="111"/>
        <w:jc w:val="both"/>
      </w:pPr>
      <w:r>
        <w:rPr/>
        <w:t>金额给付首次重大疾病保险金，同时对该重大疾病所属组别（见附表三：重大疾病分组）内所有重大疾病的保险责任终止，</w:t>
      </w:r>
      <w:r>
        <w:rPr>
          <w:rFonts w:ascii="黑体" w:eastAsia="黑体" w:hint="eastAsia"/>
        </w:rPr>
        <w:t>本合同轻症疾病保险金和身故保险金的保险责任同时终止，我们不再承担给付轻症疾病保险金和身故保险金的保险责任。我们给付首次重大疾病保险金后，本合同的现金价值降低为零</w:t>
      </w:r>
      <w:r>
        <w:rPr/>
        <w:t>。</w:t>
      </w:r>
    </w:p>
    <w:p>
      <w:pPr>
        <w:pStyle w:val="BodyText"/>
        <w:spacing w:before="7"/>
        <w:rPr>
          <w:sz w:val="20"/>
        </w:rPr>
      </w:pPr>
    </w:p>
    <w:p>
      <w:pPr>
        <w:pStyle w:val="BodyText"/>
        <w:spacing w:line="273" w:lineRule="exact"/>
        <w:ind w:left="2167"/>
        <w:jc w:val="both"/>
      </w:pPr>
      <w:r>
        <w:rPr/>
        <w:t>1.2  第二次重大疾病保险金</w:t>
      </w:r>
    </w:p>
    <w:p>
      <w:pPr>
        <w:pStyle w:val="BodyText"/>
        <w:spacing w:line="237" w:lineRule="auto"/>
        <w:ind w:left="2167" w:right="111"/>
        <w:jc w:val="both"/>
      </w:pPr>
      <w:r>
        <w:rPr>
          <w:spacing w:val="-3"/>
        </w:rPr>
        <w:t>我们给付首次重大疾病保险金后，按本合同附表一对重大疾病的定义和诊断标准，</w:t>
      </w:r>
      <w:r>
        <w:rPr>
          <w:rFonts w:ascii="黑体" w:eastAsia="黑体" w:hint="eastAsia"/>
          <w:spacing w:val="-5"/>
        </w:rPr>
        <w:t>在确诊患首次重大疾病之日起 </w:t>
      </w:r>
      <w:r>
        <w:rPr>
          <w:rFonts w:ascii="黑体" w:eastAsia="黑体" w:hint="eastAsia"/>
        </w:rPr>
        <w:t>365</w:t>
      </w:r>
      <w:r>
        <w:rPr>
          <w:rFonts w:ascii="黑体" w:eastAsia="黑体" w:hint="eastAsia"/>
          <w:spacing w:val="-12"/>
        </w:rPr>
        <w:t> 天后</w:t>
      </w:r>
      <w:r>
        <w:rPr>
          <w:spacing w:val="-3"/>
        </w:rPr>
        <w:t>，如果被保险人</w:t>
      </w:r>
      <w:r>
        <w:rPr>
          <w:rFonts w:ascii="黑体" w:eastAsia="黑体" w:hint="eastAsia"/>
          <w:spacing w:val="-1"/>
        </w:rPr>
        <w:t>初次</w:t>
      </w:r>
      <w:r>
        <w:rPr>
          <w:spacing w:val="-3"/>
        </w:rPr>
        <w:t>发生并被专科医生确诊患首次重大疾病所属组别以外的其他组别</w:t>
      </w:r>
    </w:p>
    <w:p>
      <w:pPr>
        <w:pStyle w:val="BodyText"/>
        <w:spacing w:line="237" w:lineRule="auto" w:before="1"/>
        <w:ind w:left="2167" w:right="111"/>
        <w:jc w:val="both"/>
      </w:pPr>
      <w:r>
        <w:rPr/>
        <w:t>（见附表三：重大疾病分组）中的任何一种或一种以上的重大疾病， 我们将按本合同基本保险金额给付第二次重大疾病保险金，同时本合同终止。</w:t>
      </w:r>
    </w:p>
    <w:p>
      <w:pPr>
        <w:pStyle w:val="BodyText"/>
        <w:spacing w:before="8"/>
        <w:rPr>
          <w:sz w:val="20"/>
        </w:rPr>
      </w:pPr>
    </w:p>
    <w:p>
      <w:pPr>
        <w:pStyle w:val="BodyText"/>
        <w:spacing w:line="237" w:lineRule="auto"/>
        <w:ind w:left="1742" w:right="114"/>
        <w:jc w:val="both"/>
        <w:rPr>
          <w:rFonts w:ascii="黑体" w:eastAsia="黑体" w:hint="eastAsia"/>
        </w:rPr>
      </w:pPr>
      <w:r>
        <w:rPr>
          <w:rFonts w:ascii="黑体" w:eastAsia="黑体" w:hint="eastAsia"/>
        </w:rPr>
        <w:t>如果被保险人在申请重大疾病保险金前已经申请并获得轻症疾病保险金的，且该轻症疾病的确诊发Th在被保险人符合重大疾病保险金给付条件之后，则我们在给付重大疾病保险金时，将把已经给付的轻症疾病保险金扣除。</w:t>
      </w:r>
    </w:p>
    <w:p>
      <w:pPr>
        <w:pStyle w:val="BodyText"/>
        <w:spacing w:before="2"/>
        <w:rPr>
          <w:rFonts w:ascii="黑体"/>
          <w:sz w:val="18"/>
        </w:rPr>
      </w:pPr>
    </w:p>
    <w:p>
      <w:pPr>
        <w:pStyle w:val="BodyText"/>
        <w:spacing w:before="1"/>
        <w:ind w:left="1742"/>
        <w:jc w:val="both"/>
      </w:pPr>
      <w:r>
        <w:rPr>
          <w:rFonts w:ascii="Times New Roman" w:eastAsia="Times New Roman"/>
        </w:rPr>
        <w:t>2</w:t>
      </w:r>
      <w:r>
        <w:rPr/>
        <w:t>、 轻症疾病保险金</w:t>
      </w:r>
    </w:p>
    <w:p>
      <w:pPr>
        <w:pStyle w:val="BodyText"/>
        <w:spacing w:before="9"/>
        <w:rPr>
          <w:sz w:val="17"/>
        </w:rPr>
      </w:pPr>
    </w:p>
    <w:p>
      <w:pPr>
        <w:pStyle w:val="BodyText"/>
        <w:spacing w:line="232" w:lineRule="auto"/>
        <w:ind w:left="1742" w:right="111"/>
        <w:jc w:val="both"/>
      </w:pPr>
      <w:r>
        <w:rPr>
          <w:rFonts w:ascii="黑体" w:eastAsia="黑体" w:hint="eastAsia"/>
          <w:spacing w:val="-1"/>
        </w:rPr>
        <w:t>在等待期后，</w:t>
      </w:r>
      <w:r>
        <w:rPr>
          <w:spacing w:val="-3"/>
        </w:rPr>
        <w:t>按本合同附表二对</w:t>
      </w:r>
      <w:r>
        <w:rPr>
          <w:rFonts w:ascii="黑体" w:eastAsia="黑体" w:hint="eastAsia"/>
          <w:spacing w:val="-1"/>
        </w:rPr>
        <w:t>轻症疾病</w:t>
      </w:r>
      <w:r>
        <w:rPr>
          <w:spacing w:val="-3"/>
        </w:rPr>
        <w:t>（</w:t>
      </w:r>
      <w:r>
        <w:rPr>
          <w:spacing w:val="5"/>
        </w:rPr>
        <w:t>见 </w:t>
      </w:r>
      <w:r>
        <w:rPr>
          <w:rFonts w:ascii="Times New Roman" w:eastAsia="Times New Roman"/>
          <w:spacing w:val="-3"/>
        </w:rPr>
        <w:t>11.7</w:t>
      </w:r>
      <w:r>
        <w:rPr>
          <w:spacing w:val="-3"/>
        </w:rPr>
        <w:t>）的定义和诊断标准， 如果被保险人</w:t>
      </w:r>
      <w:r>
        <w:rPr>
          <w:rFonts w:ascii="黑体" w:eastAsia="黑体" w:hint="eastAsia"/>
          <w:spacing w:val="-3"/>
        </w:rPr>
        <w:t>初次</w:t>
      </w:r>
      <w:r>
        <w:rPr>
          <w:spacing w:val="-3"/>
        </w:rPr>
        <w:t>发生并被专科医生确诊患本合同附表二所列任何一种轻症疾病，并且在轻症疾病确诊前未被确诊患本合同附表一所列任何一种重</w:t>
      </w:r>
      <w:r>
        <w:rPr>
          <w:spacing w:val="-5"/>
        </w:rPr>
        <w:t>大疾病，我们将按本合同基本保险金额的 </w:t>
      </w:r>
      <w:r>
        <w:rPr>
          <w:rFonts w:ascii="Times New Roman" w:eastAsia="Times New Roman"/>
        </w:rPr>
        <w:t>20%</w:t>
      </w:r>
      <w:r>
        <w:rPr>
          <w:spacing w:val="-3"/>
        </w:rPr>
        <w:t>给付轻症疾病保险金。</w:t>
      </w:r>
    </w:p>
    <w:p>
      <w:pPr>
        <w:pStyle w:val="BodyText"/>
        <w:rPr>
          <w:sz w:val="17"/>
        </w:rPr>
      </w:pPr>
    </w:p>
    <w:p>
      <w:pPr>
        <w:pStyle w:val="BodyText"/>
        <w:spacing w:line="273" w:lineRule="exact"/>
        <w:ind w:left="1742"/>
        <w:jc w:val="both"/>
        <w:rPr>
          <w:rFonts w:ascii="黑体" w:eastAsia="黑体" w:hint="eastAsia"/>
        </w:rPr>
      </w:pPr>
      <w:r>
        <w:rPr>
          <w:rFonts w:ascii="黑体" w:eastAsia="黑体" w:hint="eastAsia"/>
        </w:rPr>
        <w:t>同一种轻症疾病仅给付一次轻症疾病保险金，轻症疾病保险金最多给付 2</w:t>
      </w:r>
    </w:p>
    <w:p>
      <w:pPr>
        <w:pStyle w:val="BodyText"/>
        <w:spacing w:line="273" w:lineRule="exact"/>
        <w:ind w:left="1742"/>
        <w:jc w:val="both"/>
        <w:rPr>
          <w:rFonts w:ascii="黑体" w:eastAsia="黑体" w:hint="eastAsia"/>
        </w:rPr>
      </w:pPr>
      <w:r>
        <w:rPr>
          <w:rFonts w:ascii="黑体" w:eastAsia="黑体" w:hint="eastAsia"/>
        </w:rPr>
        <w:t>次，轻症疾病保险金给付满 2 次后，本项保险责任终止。</w:t>
      </w:r>
    </w:p>
    <w:p>
      <w:pPr>
        <w:pStyle w:val="BodyText"/>
        <w:spacing w:before="6"/>
        <w:rPr>
          <w:rFonts w:ascii="黑体"/>
          <w:sz w:val="18"/>
        </w:rPr>
      </w:pPr>
    </w:p>
    <w:p>
      <w:pPr>
        <w:pStyle w:val="BodyText"/>
        <w:spacing w:line="237" w:lineRule="auto"/>
        <w:ind w:left="1742" w:right="113"/>
        <w:jc w:val="both"/>
        <w:rPr>
          <w:rFonts w:ascii="黑体" w:eastAsia="黑体" w:hint="eastAsia"/>
        </w:rPr>
      </w:pPr>
      <w:r>
        <w:rPr>
          <w:rFonts w:ascii="黑体" w:eastAsia="黑体" w:hint="eastAsia"/>
        </w:rPr>
        <w:t>如果被保险人因同一意外伤害事故或相同疾病导致其确诊患本合同附表二所列任何两种或两种以上的轻症疾病，且两次轻症疾病的确诊之日相距不超过 180 天，我们仅按一种轻症疾病给付一次轻症疾病保险金。</w:t>
      </w:r>
    </w:p>
    <w:p>
      <w:pPr>
        <w:pStyle w:val="BodyText"/>
        <w:spacing w:before="3"/>
        <w:rPr>
          <w:rFonts w:ascii="黑体"/>
          <w:sz w:val="18"/>
        </w:rPr>
      </w:pPr>
    </w:p>
    <w:p>
      <w:pPr>
        <w:pStyle w:val="BodyText"/>
        <w:ind w:left="1742"/>
        <w:jc w:val="both"/>
      </w:pPr>
      <w:r>
        <w:rPr>
          <w:rFonts w:ascii="Times New Roman" w:eastAsia="Times New Roman"/>
        </w:rPr>
        <w:t>3</w:t>
      </w:r>
      <w:r>
        <w:rPr/>
        <w:t>、 身故保险金</w:t>
      </w:r>
    </w:p>
    <w:p>
      <w:pPr>
        <w:pStyle w:val="BodyText"/>
        <w:spacing w:before="11"/>
        <w:rPr>
          <w:sz w:val="17"/>
        </w:rPr>
      </w:pPr>
    </w:p>
    <w:p>
      <w:pPr>
        <w:pStyle w:val="BodyText"/>
        <w:spacing w:line="230" w:lineRule="auto" w:before="1"/>
        <w:ind w:left="1745" w:right="111"/>
        <w:jc w:val="both"/>
      </w:pPr>
      <w:r>
        <w:rPr>
          <w:spacing w:val="-7"/>
        </w:rPr>
        <w:t>如果被保险人在年满 </w:t>
      </w:r>
      <w:r>
        <w:rPr>
          <w:rFonts w:ascii="Times New Roman" w:eastAsia="Times New Roman"/>
        </w:rPr>
        <w:t>18 </w:t>
      </w:r>
      <w:r>
        <w:rPr>
          <w:spacing w:val="-2"/>
        </w:rPr>
        <w:t>周岁前</w:t>
      </w:r>
      <w:r>
        <w:rPr>
          <w:spacing w:val="-3"/>
        </w:rPr>
        <w:t>（</w:t>
      </w:r>
      <w:r>
        <w:rPr>
          <w:spacing w:val="-14"/>
        </w:rPr>
        <w:t>不含 </w:t>
      </w:r>
      <w:r>
        <w:rPr>
          <w:rFonts w:ascii="Times New Roman" w:eastAsia="Times New Roman"/>
        </w:rPr>
        <w:t>18 </w:t>
      </w:r>
      <w:r>
        <w:rPr>
          <w:spacing w:val="-3"/>
        </w:rPr>
        <w:t>周岁生日当天</w:t>
      </w:r>
      <w:r>
        <w:rPr/>
        <w:t>）</w:t>
      </w:r>
      <w:r>
        <w:rPr>
          <w:spacing w:val="-3"/>
        </w:rPr>
        <w:t>因意外伤害事故或疾病导致身故，我们将按您已经缴纳的本合同的全部保险费给付身故保险金，同时本合同终止。</w:t>
      </w:r>
    </w:p>
    <w:p>
      <w:pPr>
        <w:pStyle w:val="BodyText"/>
        <w:spacing w:before="1"/>
        <w:rPr>
          <w:sz w:val="19"/>
        </w:rPr>
      </w:pPr>
    </w:p>
    <w:p>
      <w:pPr>
        <w:pStyle w:val="BodyText"/>
        <w:spacing w:line="230" w:lineRule="auto"/>
        <w:ind w:left="1745" w:right="111"/>
        <w:jc w:val="both"/>
      </w:pPr>
      <w:r>
        <w:rPr/>
        <w:t>本合同的全部保险费是指保险事故发生时本合同基本保险金额所对应的已缴保险费，其中包含依照本合同第 </w:t>
      </w:r>
      <w:r>
        <w:rPr>
          <w:rFonts w:ascii="Times New Roman" w:eastAsia="Times New Roman"/>
        </w:rPr>
        <w:t>3.3 </w:t>
      </w:r>
      <w:r>
        <w:rPr/>
        <w:t>条以保险费自动垫缴方式垫缴的保险费。</w:t>
      </w:r>
    </w:p>
    <w:p>
      <w:pPr>
        <w:pStyle w:val="BodyText"/>
        <w:spacing w:before="1"/>
        <w:rPr>
          <w:sz w:val="19"/>
        </w:rPr>
      </w:pPr>
    </w:p>
    <w:p>
      <w:pPr>
        <w:pStyle w:val="BodyText"/>
        <w:spacing w:line="230" w:lineRule="auto"/>
        <w:ind w:left="1745" w:right="111"/>
        <w:jc w:val="both"/>
      </w:pPr>
      <w:r>
        <w:rPr>
          <w:spacing w:val="-7"/>
        </w:rPr>
        <w:t>如果被保险人在年满 </w:t>
      </w:r>
      <w:r>
        <w:rPr>
          <w:rFonts w:ascii="Times New Roman" w:eastAsia="Times New Roman"/>
        </w:rPr>
        <w:t>18 </w:t>
      </w:r>
      <w:r>
        <w:rPr>
          <w:spacing w:val="-2"/>
        </w:rPr>
        <w:t>周岁后</w:t>
      </w:r>
      <w:r>
        <w:rPr>
          <w:spacing w:val="-3"/>
        </w:rPr>
        <w:t>（</w:t>
      </w:r>
      <w:r>
        <w:rPr>
          <w:spacing w:val="-20"/>
        </w:rPr>
        <w:t>含 </w:t>
      </w:r>
      <w:r>
        <w:rPr>
          <w:rFonts w:ascii="Times New Roman" w:eastAsia="Times New Roman"/>
        </w:rPr>
        <w:t>18 </w:t>
      </w:r>
      <w:r>
        <w:rPr>
          <w:spacing w:val="-3"/>
        </w:rPr>
        <w:t>周岁生日当天</w:t>
      </w:r>
      <w:r>
        <w:rPr/>
        <w:t>）</w:t>
      </w:r>
      <w:r>
        <w:rPr>
          <w:spacing w:val="-3"/>
        </w:rPr>
        <w:t>因意外伤害事故或疾病导致身故，我们将按本合同基本保险金额给付身故保险金，同时本合同终止。</w:t>
      </w:r>
    </w:p>
    <w:p>
      <w:pPr>
        <w:pStyle w:val="BodyText"/>
        <w:spacing w:before="2"/>
        <w:rPr>
          <w:sz w:val="18"/>
        </w:rPr>
      </w:pPr>
    </w:p>
    <w:p>
      <w:pPr>
        <w:pStyle w:val="BodyText"/>
        <w:ind w:left="1742"/>
        <w:jc w:val="both"/>
      </w:pPr>
      <w:r>
        <w:rPr>
          <w:rFonts w:ascii="Times New Roman" w:eastAsia="Times New Roman"/>
        </w:rPr>
        <w:t>4</w:t>
      </w:r>
      <w:r>
        <w:rPr/>
        <w:t>、 豁免保费</w:t>
      </w:r>
    </w:p>
    <w:p>
      <w:pPr>
        <w:pStyle w:val="BodyText"/>
        <w:spacing w:before="4"/>
        <w:rPr>
          <w:sz w:val="17"/>
        </w:rPr>
      </w:pPr>
    </w:p>
    <w:p>
      <w:pPr>
        <w:pStyle w:val="BodyText"/>
        <w:spacing w:line="237" w:lineRule="auto" w:before="1"/>
        <w:ind w:left="1742" w:right="113"/>
        <w:jc w:val="both"/>
      </w:pPr>
      <w:r>
        <w:rPr>
          <w:rFonts w:ascii="黑体" w:eastAsia="黑体" w:hint="eastAsia"/>
        </w:rPr>
        <w:t>在等待期后，</w:t>
      </w:r>
      <w:r>
        <w:rPr/>
        <w:t>如果被保险人</w:t>
      </w:r>
      <w:r>
        <w:rPr>
          <w:rFonts w:ascii="黑体" w:eastAsia="黑体" w:hint="eastAsia"/>
        </w:rPr>
        <w:t>初次</w:t>
      </w:r>
      <w:r>
        <w:rPr/>
        <w:t>发生并被专科医生确诊患本合同附表一所列任何一种重大疾病或附表二所列任何一种轻症疾病，我们将豁免疾病确诊日后本合同保险期间内的各期保险费。</w:t>
      </w:r>
    </w:p>
    <w:p>
      <w:pPr>
        <w:pStyle w:val="BodyText"/>
        <w:spacing w:before="3"/>
        <w:rPr>
          <w:sz w:val="18"/>
        </w:rPr>
      </w:pPr>
    </w:p>
    <w:p>
      <w:pPr>
        <w:pStyle w:val="BodyText"/>
        <w:ind w:left="1742"/>
        <w:jc w:val="both"/>
        <w:rPr>
          <w:rFonts w:ascii="黑体" w:eastAsia="黑体" w:hint="eastAsia"/>
        </w:rPr>
      </w:pPr>
      <w:r>
        <w:rPr>
          <w:rFonts w:ascii="黑体" w:eastAsia="黑体" w:hint="eastAsia"/>
        </w:rPr>
        <w:t>我们豁免保险费后，您不得再办理本合同基本保险金额的变更。</w:t>
      </w:r>
    </w:p>
    <w:p>
      <w:pPr>
        <w:spacing w:after="0"/>
        <w:jc w:val="both"/>
        <w:rPr>
          <w:rFonts w:ascii="黑体" w:eastAsia="黑体" w:hint="eastAsia"/>
        </w:rPr>
        <w:sectPr>
          <w:pgSz w:w="11910" w:h="16840"/>
          <w:pgMar w:top="980" w:bottom="280" w:left="1680" w:right="16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0"/>
        <w:gridCol w:w="1693"/>
        <w:gridCol w:w="7059"/>
      </w:tblGrid>
      <w:tr>
        <w:trPr>
          <w:trHeight w:val="7189" w:hRule="atLeast"/>
        </w:trPr>
        <w:tc>
          <w:tcPr>
            <w:tcW w:w="940" w:type="dxa"/>
          </w:tcPr>
          <w:p>
            <w:pPr>
              <w:pStyle w:val="TableParagraph"/>
              <w:spacing w:line="234" w:lineRule="exact"/>
              <w:ind w:right="103"/>
              <w:jc w:val="right"/>
              <w:rPr>
                <w:rFonts w:ascii="Times New Roman"/>
                <w:b/>
                <w:sz w:val="21"/>
              </w:rPr>
            </w:pPr>
            <w:r>
              <w:rPr>
                <w:rFonts w:ascii="Times New Roman"/>
                <w:b/>
                <w:sz w:val="21"/>
              </w:rPr>
              <w:t>2.2</w:t>
            </w:r>
          </w:p>
        </w:tc>
        <w:tc>
          <w:tcPr>
            <w:tcW w:w="1693" w:type="dxa"/>
          </w:tcPr>
          <w:p>
            <w:pPr>
              <w:pStyle w:val="TableParagraph"/>
              <w:spacing w:line="235" w:lineRule="exact"/>
              <w:ind w:left="105"/>
              <w:rPr>
                <w:b/>
                <w:sz w:val="21"/>
              </w:rPr>
            </w:pPr>
            <w:r>
              <w:rPr>
                <w:b/>
                <w:sz w:val="21"/>
              </w:rPr>
              <w:t>责任免除</w:t>
            </w:r>
          </w:p>
        </w:tc>
        <w:tc>
          <w:tcPr>
            <w:tcW w:w="7059" w:type="dxa"/>
          </w:tcPr>
          <w:p>
            <w:pPr>
              <w:pStyle w:val="TableParagraph"/>
              <w:spacing w:line="234" w:lineRule="exact"/>
              <w:ind w:left="108"/>
              <w:rPr>
                <w:rFonts w:ascii="黑体" w:eastAsia="黑体" w:hint="eastAsia"/>
                <w:sz w:val="21"/>
              </w:rPr>
            </w:pPr>
            <w:r>
              <w:rPr>
                <w:rFonts w:ascii="黑体" w:eastAsia="黑体" w:hint="eastAsia"/>
                <w:sz w:val="21"/>
              </w:rPr>
              <w:t>如果由于以下任何一种情形，导致被保险人身故、或患本合同附表一所列</w:t>
            </w:r>
          </w:p>
          <w:p>
            <w:pPr>
              <w:pStyle w:val="TableParagraph"/>
              <w:spacing w:line="237" w:lineRule="auto" w:before="2"/>
              <w:ind w:left="108" w:right="199"/>
              <w:rPr>
                <w:rFonts w:ascii="黑体" w:eastAsia="黑体" w:hint="eastAsia"/>
                <w:sz w:val="21"/>
              </w:rPr>
            </w:pPr>
            <w:r>
              <w:rPr>
                <w:rFonts w:ascii="黑体" w:eastAsia="黑体" w:hint="eastAsia"/>
                <w:sz w:val="21"/>
              </w:rPr>
              <w:t>任何一种重大疾病，或患本合同附表二所列任何一种轻症疾病，我们不承担保险责任，同时本合同终止：</w:t>
            </w:r>
          </w:p>
          <w:p>
            <w:pPr>
              <w:pStyle w:val="TableParagraph"/>
              <w:spacing w:before="2"/>
              <w:rPr>
                <w:rFonts w:ascii="黑体"/>
                <w:sz w:val="18"/>
              </w:rPr>
            </w:pPr>
          </w:p>
          <w:p>
            <w:pPr>
              <w:pStyle w:val="TableParagraph"/>
              <w:spacing w:line="274" w:lineRule="exact" w:before="1"/>
              <w:ind w:left="111"/>
              <w:rPr>
                <w:rFonts w:ascii="黑体" w:eastAsia="黑体" w:hint="eastAsia"/>
                <w:sz w:val="21"/>
              </w:rPr>
            </w:pPr>
            <w:r>
              <w:rPr>
                <w:rFonts w:ascii="黑体" w:eastAsia="黑体" w:hint="eastAsia"/>
                <w:sz w:val="21"/>
              </w:rPr>
              <w:t>1、 投保人对被保险人的故意杀害、故意伤害；</w:t>
            </w:r>
          </w:p>
          <w:p>
            <w:pPr>
              <w:pStyle w:val="TableParagraph"/>
              <w:spacing w:line="272" w:lineRule="exact"/>
              <w:ind w:left="111"/>
              <w:rPr>
                <w:rFonts w:ascii="黑体" w:eastAsia="黑体" w:hint="eastAsia"/>
                <w:sz w:val="21"/>
              </w:rPr>
            </w:pPr>
            <w:r>
              <w:rPr>
                <w:rFonts w:ascii="黑体" w:eastAsia="黑体" w:hint="eastAsia"/>
                <w:sz w:val="21"/>
              </w:rPr>
              <w:t>2、 被保险人故意犯罪或抗拒依法采取的刑事强制措施；</w:t>
            </w:r>
          </w:p>
          <w:p>
            <w:pPr>
              <w:pStyle w:val="TableParagraph"/>
              <w:ind w:left="541" w:right="198" w:hanging="430"/>
              <w:rPr>
                <w:rFonts w:ascii="黑体" w:eastAsia="黑体" w:hint="eastAsia"/>
                <w:sz w:val="21"/>
              </w:rPr>
            </w:pPr>
            <w:r>
              <w:rPr>
                <w:rFonts w:ascii="黑体" w:eastAsia="黑体" w:hint="eastAsia"/>
                <w:sz w:val="21"/>
              </w:rPr>
              <w:t>3、 被保险人自伤，或自合同Th效日起二年内或最后复效日起二年内（以较迟者为准）自杀，但被保险人自杀时为无民事行为能力人的除外；</w:t>
            </w:r>
          </w:p>
          <w:p>
            <w:pPr>
              <w:pStyle w:val="TableParagraph"/>
              <w:spacing w:line="269" w:lineRule="exact" w:before="2"/>
              <w:ind w:left="111"/>
              <w:rPr>
                <w:rFonts w:ascii="黑体" w:eastAsia="黑体" w:hint="eastAsia"/>
                <w:sz w:val="21"/>
              </w:rPr>
            </w:pPr>
            <w:r>
              <w:rPr>
                <w:rFonts w:ascii="黑体" w:eastAsia="黑体" w:hint="eastAsia"/>
                <w:w w:val="100"/>
                <w:sz w:val="21"/>
              </w:rPr>
              <w:t>4、</w:t>
            </w:r>
            <w:r>
              <w:rPr>
                <w:rFonts w:ascii="黑体" w:eastAsia="黑体" w:hint="eastAsia"/>
                <w:spacing w:val="6"/>
                <w:sz w:val="21"/>
              </w:rPr>
              <w:t> </w:t>
            </w:r>
            <w:r>
              <w:rPr>
                <w:rFonts w:ascii="黑体" w:eastAsia="黑体" w:hint="eastAsia"/>
                <w:spacing w:val="-3"/>
                <w:w w:val="100"/>
                <w:sz w:val="21"/>
              </w:rPr>
              <w:t>被保险人主动吸食或注射毒品（</w:t>
            </w:r>
            <w:r>
              <w:rPr>
                <w:rFonts w:ascii="黑体" w:eastAsia="黑体" w:hint="eastAsia"/>
                <w:w w:val="100"/>
                <w:sz w:val="21"/>
              </w:rPr>
              <w:t>见</w:t>
            </w:r>
            <w:r>
              <w:rPr>
                <w:rFonts w:ascii="黑体" w:eastAsia="黑体" w:hint="eastAsia"/>
                <w:spacing w:val="-52"/>
                <w:sz w:val="21"/>
              </w:rPr>
              <w:t> </w:t>
            </w:r>
            <w:r>
              <w:rPr>
                <w:rFonts w:ascii="黑体" w:eastAsia="黑体" w:hint="eastAsia"/>
                <w:spacing w:val="-3"/>
                <w:w w:val="100"/>
                <w:sz w:val="21"/>
              </w:rPr>
              <w:t>1</w:t>
            </w:r>
            <w:r>
              <w:rPr>
                <w:rFonts w:ascii="黑体" w:eastAsia="黑体" w:hint="eastAsia"/>
                <w:w w:val="100"/>
                <w:sz w:val="21"/>
              </w:rPr>
              <w:t>1.1</w:t>
            </w:r>
            <w:r>
              <w:rPr>
                <w:rFonts w:ascii="黑体" w:eastAsia="黑体" w:hint="eastAsia"/>
                <w:spacing w:val="-3"/>
                <w:w w:val="100"/>
                <w:sz w:val="21"/>
              </w:rPr>
              <w:t>0</w:t>
            </w:r>
            <w:r>
              <w:rPr>
                <w:rFonts w:ascii="黑体" w:eastAsia="黑体" w:hint="eastAsia"/>
                <w:spacing w:val="-106"/>
                <w:w w:val="100"/>
                <w:sz w:val="21"/>
              </w:rPr>
              <w:t>）；</w:t>
            </w:r>
          </w:p>
          <w:p>
            <w:pPr>
              <w:pStyle w:val="TableParagraph"/>
              <w:ind w:left="541" w:right="213" w:hanging="430"/>
              <w:rPr>
                <w:rFonts w:ascii="黑体" w:eastAsia="黑体" w:hint="eastAsia"/>
                <w:sz w:val="21"/>
              </w:rPr>
            </w:pPr>
            <w:r>
              <w:rPr>
                <w:rFonts w:ascii="黑体" w:eastAsia="黑体" w:hint="eastAsia"/>
                <w:w w:val="100"/>
                <w:sz w:val="21"/>
              </w:rPr>
              <w:t>5、</w:t>
            </w:r>
            <w:r>
              <w:rPr>
                <w:rFonts w:ascii="黑体" w:eastAsia="黑体" w:hint="eastAsia"/>
                <w:sz w:val="21"/>
              </w:rPr>
              <w:t> </w:t>
            </w:r>
            <w:r>
              <w:rPr>
                <w:rFonts w:ascii="黑体" w:eastAsia="黑体" w:hint="eastAsia"/>
                <w:spacing w:val="-3"/>
                <w:w w:val="100"/>
                <w:sz w:val="21"/>
              </w:rPr>
              <w:t>被保险人酒后驾驶（</w:t>
            </w:r>
            <w:r>
              <w:rPr>
                <w:rFonts w:ascii="黑体" w:eastAsia="黑体" w:hint="eastAsia"/>
                <w:w w:val="100"/>
                <w:sz w:val="21"/>
              </w:rPr>
              <w:t>见</w:t>
            </w:r>
            <w:r>
              <w:rPr>
                <w:rFonts w:ascii="黑体" w:eastAsia="黑体" w:hint="eastAsia"/>
                <w:spacing w:val="-52"/>
                <w:sz w:val="21"/>
              </w:rPr>
              <w:t> </w:t>
            </w:r>
            <w:r>
              <w:rPr>
                <w:rFonts w:ascii="黑体" w:eastAsia="黑体" w:hint="eastAsia"/>
                <w:spacing w:val="-3"/>
                <w:w w:val="100"/>
                <w:sz w:val="21"/>
              </w:rPr>
              <w:t>11</w:t>
            </w:r>
            <w:r>
              <w:rPr>
                <w:rFonts w:ascii="黑体" w:eastAsia="黑体" w:hint="eastAsia"/>
                <w:w w:val="100"/>
                <w:sz w:val="21"/>
              </w:rPr>
              <w:t>.11</w:t>
            </w:r>
            <w:r>
              <w:rPr>
                <w:rFonts w:ascii="黑体" w:eastAsia="黑体" w:hint="eastAsia"/>
                <w:spacing w:val="-106"/>
                <w:w w:val="100"/>
                <w:sz w:val="21"/>
              </w:rPr>
              <w:t>）</w:t>
            </w:r>
            <w:r>
              <w:rPr>
                <w:rFonts w:ascii="黑体" w:eastAsia="黑体" w:hint="eastAsia"/>
                <w:spacing w:val="-3"/>
                <w:w w:val="100"/>
                <w:sz w:val="21"/>
              </w:rPr>
              <w:t>，无合法有效驾驶证驾驶（</w:t>
            </w:r>
            <w:r>
              <w:rPr>
                <w:rFonts w:ascii="黑体" w:eastAsia="黑体" w:hint="eastAsia"/>
                <w:w w:val="100"/>
                <w:sz w:val="21"/>
              </w:rPr>
              <w:t>见</w:t>
            </w:r>
            <w:r>
              <w:rPr>
                <w:rFonts w:ascii="黑体" w:eastAsia="黑体" w:hint="eastAsia"/>
                <w:spacing w:val="-52"/>
                <w:sz w:val="21"/>
              </w:rPr>
              <w:t> </w:t>
            </w:r>
            <w:r>
              <w:rPr>
                <w:rFonts w:ascii="黑体" w:eastAsia="黑体" w:hint="eastAsia"/>
                <w:spacing w:val="-3"/>
                <w:w w:val="100"/>
                <w:sz w:val="21"/>
              </w:rPr>
              <w:t>1</w:t>
            </w:r>
            <w:r>
              <w:rPr>
                <w:rFonts w:ascii="黑体" w:eastAsia="黑体" w:hint="eastAsia"/>
                <w:w w:val="100"/>
                <w:sz w:val="21"/>
              </w:rPr>
              <w:t>1.1</w:t>
            </w:r>
            <w:r>
              <w:rPr>
                <w:rFonts w:ascii="黑体" w:eastAsia="黑体" w:hint="eastAsia"/>
                <w:spacing w:val="-3"/>
                <w:w w:val="100"/>
                <w:sz w:val="21"/>
              </w:rPr>
              <w:t>2</w:t>
            </w:r>
            <w:r>
              <w:rPr>
                <w:rFonts w:ascii="黑体" w:eastAsia="黑体" w:hint="eastAsia"/>
                <w:spacing w:val="-106"/>
                <w:w w:val="100"/>
                <w:sz w:val="21"/>
              </w:rPr>
              <w:t>），</w:t>
            </w:r>
            <w:r>
              <w:rPr>
                <w:rFonts w:ascii="黑体" w:eastAsia="黑体" w:hint="eastAsia"/>
                <w:spacing w:val="-3"/>
                <w:sz w:val="21"/>
              </w:rPr>
              <w:t>或驾驶无有效行驶证（</w:t>
            </w:r>
            <w:r>
              <w:rPr>
                <w:rFonts w:ascii="黑体" w:eastAsia="黑体" w:hint="eastAsia"/>
                <w:spacing w:val="-18"/>
                <w:sz w:val="21"/>
              </w:rPr>
              <w:t>见 </w:t>
            </w:r>
            <w:r>
              <w:rPr>
                <w:rFonts w:ascii="黑体" w:eastAsia="黑体" w:hint="eastAsia"/>
                <w:sz w:val="21"/>
              </w:rPr>
              <w:t>11.13）</w:t>
            </w:r>
            <w:r>
              <w:rPr>
                <w:rFonts w:ascii="黑体" w:eastAsia="黑体" w:hint="eastAsia"/>
                <w:spacing w:val="-3"/>
                <w:sz w:val="21"/>
              </w:rPr>
              <w:t>的机动车；</w:t>
            </w:r>
          </w:p>
          <w:p>
            <w:pPr>
              <w:pStyle w:val="TableParagraph"/>
              <w:spacing w:line="271" w:lineRule="exact" w:before="1"/>
              <w:ind w:left="111"/>
              <w:rPr>
                <w:rFonts w:ascii="黑体" w:eastAsia="黑体" w:hint="eastAsia"/>
                <w:sz w:val="21"/>
              </w:rPr>
            </w:pPr>
            <w:r>
              <w:rPr>
                <w:rFonts w:ascii="黑体" w:eastAsia="黑体" w:hint="eastAsia"/>
                <w:sz w:val="21"/>
              </w:rPr>
              <w:t>6、 战争、军事冲突、暴乱或武装叛乱；</w:t>
            </w:r>
          </w:p>
          <w:p>
            <w:pPr>
              <w:pStyle w:val="TableParagraph"/>
              <w:spacing w:line="272" w:lineRule="exact"/>
              <w:ind w:left="111"/>
              <w:rPr>
                <w:rFonts w:ascii="黑体" w:eastAsia="黑体" w:hint="eastAsia"/>
                <w:sz w:val="21"/>
              </w:rPr>
            </w:pPr>
            <w:r>
              <w:rPr>
                <w:rFonts w:ascii="黑体" w:eastAsia="黑体" w:hint="eastAsia"/>
                <w:sz w:val="21"/>
              </w:rPr>
              <w:t>7、 核爆炸、核辐射或核污染；</w:t>
            </w:r>
          </w:p>
          <w:p>
            <w:pPr>
              <w:pStyle w:val="TableParagraph"/>
              <w:ind w:left="541" w:right="197" w:hanging="430"/>
              <w:rPr>
                <w:rFonts w:ascii="黑体" w:eastAsia="黑体" w:hint="eastAsia"/>
                <w:sz w:val="21"/>
              </w:rPr>
            </w:pPr>
            <w:r>
              <w:rPr>
                <w:rFonts w:ascii="黑体" w:eastAsia="黑体" w:hint="eastAsia"/>
                <w:w w:val="100"/>
                <w:sz w:val="21"/>
              </w:rPr>
              <w:t>8、</w:t>
            </w:r>
            <w:r>
              <w:rPr>
                <w:rFonts w:ascii="黑体" w:eastAsia="黑体" w:hint="eastAsia"/>
                <w:spacing w:val="6"/>
                <w:sz w:val="21"/>
              </w:rPr>
              <w:t> </w:t>
            </w:r>
            <w:r>
              <w:rPr>
                <w:rFonts w:ascii="黑体" w:eastAsia="黑体" w:hint="eastAsia"/>
                <w:spacing w:val="-4"/>
                <w:w w:val="100"/>
                <w:sz w:val="21"/>
              </w:rPr>
              <w:t>被保险人感染艾滋病病毒</w:t>
            </w:r>
            <w:r>
              <w:rPr>
                <w:rFonts w:ascii="黑体" w:eastAsia="黑体" w:hint="eastAsia"/>
                <w:w w:val="100"/>
                <w:sz w:val="21"/>
              </w:rPr>
              <w:t>（H</w:t>
            </w:r>
            <w:r>
              <w:rPr>
                <w:rFonts w:ascii="黑体" w:eastAsia="黑体" w:hint="eastAsia"/>
                <w:spacing w:val="-3"/>
                <w:w w:val="100"/>
                <w:sz w:val="21"/>
              </w:rPr>
              <w:t>I</w:t>
            </w:r>
            <w:r>
              <w:rPr>
                <w:rFonts w:ascii="黑体" w:eastAsia="黑体" w:hint="eastAsia"/>
                <w:w w:val="100"/>
                <w:sz w:val="21"/>
              </w:rPr>
              <w:t>V</w:t>
            </w:r>
            <w:r>
              <w:rPr>
                <w:rFonts w:ascii="黑体" w:eastAsia="黑体" w:hint="eastAsia"/>
                <w:spacing w:val="-10"/>
                <w:w w:val="100"/>
                <w:sz w:val="21"/>
              </w:rPr>
              <w:t>）</w:t>
            </w:r>
            <w:r>
              <w:rPr>
                <w:rFonts w:ascii="黑体" w:eastAsia="黑体" w:hint="eastAsia"/>
                <w:spacing w:val="-5"/>
                <w:w w:val="100"/>
                <w:sz w:val="21"/>
              </w:rPr>
              <w:t>或患艾滋病</w:t>
            </w:r>
            <w:r>
              <w:rPr>
                <w:rFonts w:ascii="黑体" w:eastAsia="黑体" w:hint="eastAsia"/>
                <w:spacing w:val="-1"/>
                <w:w w:val="100"/>
                <w:sz w:val="21"/>
              </w:rPr>
              <w:t>（</w:t>
            </w:r>
            <w:r>
              <w:rPr>
                <w:rFonts w:ascii="黑体" w:eastAsia="黑体" w:hint="eastAsia"/>
                <w:w w:val="100"/>
                <w:sz w:val="21"/>
              </w:rPr>
              <w:t>AI</w:t>
            </w:r>
            <w:r>
              <w:rPr>
                <w:rFonts w:ascii="黑体" w:eastAsia="黑体" w:hint="eastAsia"/>
                <w:spacing w:val="-3"/>
                <w:w w:val="100"/>
                <w:sz w:val="21"/>
              </w:rPr>
              <w:t>DS</w:t>
            </w:r>
            <w:r>
              <w:rPr>
                <w:rFonts w:ascii="黑体" w:eastAsia="黑体" w:hint="eastAsia"/>
                <w:spacing w:val="-113"/>
                <w:w w:val="100"/>
                <w:sz w:val="21"/>
              </w:rPr>
              <w:t>）</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3"/>
                <w:sz w:val="21"/>
              </w:rPr>
              <w:t> </w:t>
            </w:r>
            <w:r>
              <w:rPr>
                <w:rFonts w:ascii="黑体" w:eastAsia="黑体" w:hint="eastAsia"/>
                <w:w w:val="100"/>
                <w:sz w:val="21"/>
              </w:rPr>
              <w:t>11</w:t>
            </w:r>
            <w:r>
              <w:rPr>
                <w:rFonts w:ascii="黑体" w:eastAsia="黑体" w:hint="eastAsia"/>
                <w:spacing w:val="-3"/>
                <w:w w:val="100"/>
                <w:sz w:val="21"/>
              </w:rPr>
              <w:t>.</w:t>
            </w:r>
            <w:r>
              <w:rPr>
                <w:rFonts w:ascii="黑体" w:eastAsia="黑体" w:hint="eastAsia"/>
                <w:w w:val="100"/>
                <w:sz w:val="21"/>
              </w:rPr>
              <w:t>14</w:t>
            </w:r>
            <w:r>
              <w:rPr>
                <w:rFonts w:ascii="黑体" w:eastAsia="黑体" w:hint="eastAsia"/>
                <w:spacing w:val="-116"/>
                <w:w w:val="100"/>
                <w:sz w:val="21"/>
              </w:rPr>
              <w:t>）</w:t>
            </w:r>
            <w:r>
              <w:rPr>
                <w:rFonts w:ascii="黑体" w:eastAsia="黑体" w:hint="eastAsia"/>
                <w:w w:val="100"/>
                <w:sz w:val="21"/>
              </w:rPr>
              <w:t>（因</w:t>
            </w:r>
            <w:r>
              <w:rPr>
                <w:rFonts w:ascii="黑体" w:eastAsia="黑体" w:hint="eastAsia"/>
                <w:spacing w:val="-3"/>
                <w:w w:val="100"/>
                <w:sz w:val="21"/>
              </w:rPr>
              <w:t>本合同附表一所列第</w:t>
            </w:r>
            <w:r>
              <w:rPr>
                <w:rFonts w:ascii="黑体" w:eastAsia="黑体" w:hint="eastAsia"/>
                <w:spacing w:val="-53"/>
                <w:sz w:val="21"/>
              </w:rPr>
              <w:t> </w:t>
            </w:r>
            <w:r>
              <w:rPr>
                <w:rFonts w:ascii="黑体" w:eastAsia="黑体" w:hint="eastAsia"/>
                <w:w w:val="100"/>
                <w:sz w:val="21"/>
              </w:rPr>
              <w:t>28</w:t>
            </w:r>
            <w:r>
              <w:rPr>
                <w:rFonts w:ascii="黑体" w:eastAsia="黑体" w:hint="eastAsia"/>
                <w:spacing w:val="-55"/>
                <w:sz w:val="21"/>
              </w:rPr>
              <w:t> </w:t>
            </w:r>
            <w:r>
              <w:rPr>
                <w:rFonts w:ascii="黑体" w:eastAsia="黑体" w:hint="eastAsia"/>
                <w:spacing w:val="-2"/>
                <w:w w:val="100"/>
                <w:sz w:val="21"/>
              </w:rPr>
              <w:t>项、第</w:t>
            </w:r>
            <w:r>
              <w:rPr>
                <w:rFonts w:ascii="黑体" w:eastAsia="黑体" w:hint="eastAsia"/>
                <w:spacing w:val="-52"/>
                <w:sz w:val="21"/>
              </w:rPr>
              <w:t> </w:t>
            </w:r>
            <w:r>
              <w:rPr>
                <w:rFonts w:ascii="黑体" w:eastAsia="黑体" w:hint="eastAsia"/>
                <w:spacing w:val="-3"/>
                <w:w w:val="100"/>
                <w:sz w:val="21"/>
              </w:rPr>
              <w:t>7</w:t>
            </w:r>
            <w:r>
              <w:rPr>
                <w:rFonts w:ascii="黑体" w:eastAsia="黑体" w:hint="eastAsia"/>
                <w:w w:val="100"/>
                <w:sz w:val="21"/>
              </w:rPr>
              <w:t>9</w:t>
            </w:r>
            <w:r>
              <w:rPr>
                <w:rFonts w:ascii="黑体" w:eastAsia="黑体" w:hint="eastAsia"/>
                <w:spacing w:val="-53"/>
                <w:sz w:val="21"/>
              </w:rPr>
              <w:t> </w:t>
            </w:r>
            <w:r>
              <w:rPr>
                <w:rFonts w:ascii="黑体" w:eastAsia="黑体" w:hint="eastAsia"/>
                <w:spacing w:val="-2"/>
                <w:w w:val="100"/>
                <w:sz w:val="21"/>
              </w:rPr>
              <w:t>项和第</w:t>
            </w:r>
            <w:r>
              <w:rPr>
                <w:rFonts w:ascii="黑体" w:eastAsia="黑体" w:hint="eastAsia"/>
                <w:spacing w:val="-55"/>
                <w:sz w:val="21"/>
              </w:rPr>
              <w:t> </w:t>
            </w:r>
            <w:r>
              <w:rPr>
                <w:rFonts w:ascii="黑体" w:eastAsia="黑体" w:hint="eastAsia"/>
                <w:w w:val="100"/>
                <w:sz w:val="21"/>
              </w:rPr>
              <w:t>80</w:t>
            </w:r>
            <w:r>
              <w:rPr>
                <w:rFonts w:ascii="黑体" w:eastAsia="黑体" w:hint="eastAsia"/>
                <w:spacing w:val="-53"/>
                <w:sz w:val="21"/>
              </w:rPr>
              <w:t> </w:t>
            </w:r>
            <w:r>
              <w:rPr>
                <w:rFonts w:ascii="黑体" w:eastAsia="黑体" w:hint="eastAsia"/>
                <w:spacing w:val="-3"/>
                <w:w w:val="100"/>
                <w:sz w:val="21"/>
              </w:rPr>
              <w:t>项所导致的除外</w:t>
            </w:r>
            <w:r>
              <w:rPr>
                <w:rFonts w:ascii="黑体" w:eastAsia="黑体" w:hint="eastAsia"/>
                <w:spacing w:val="-108"/>
                <w:w w:val="100"/>
                <w:sz w:val="21"/>
              </w:rPr>
              <w:t>）</w:t>
            </w:r>
            <w:r>
              <w:rPr>
                <w:rFonts w:ascii="黑体" w:eastAsia="黑体" w:hint="eastAsia"/>
                <w:w w:val="100"/>
                <w:sz w:val="21"/>
              </w:rPr>
              <w:t>；</w:t>
            </w:r>
          </w:p>
          <w:p>
            <w:pPr>
              <w:pStyle w:val="TableParagraph"/>
              <w:spacing w:line="272" w:lineRule="exact" w:before="1"/>
              <w:ind w:left="111"/>
              <w:rPr>
                <w:rFonts w:ascii="黑体" w:eastAsia="黑体" w:hint="eastAsia"/>
                <w:sz w:val="21"/>
              </w:rPr>
            </w:pPr>
            <w:r>
              <w:rPr>
                <w:rFonts w:ascii="黑体" w:eastAsia="黑体" w:hint="eastAsia"/>
                <w:w w:val="100"/>
                <w:sz w:val="21"/>
              </w:rPr>
              <w:t>9、</w:t>
            </w:r>
            <w:r>
              <w:rPr>
                <w:rFonts w:ascii="黑体" w:eastAsia="黑体" w:hint="eastAsia"/>
                <w:spacing w:val="6"/>
                <w:sz w:val="21"/>
              </w:rPr>
              <w:t> </w:t>
            </w:r>
            <w:r>
              <w:rPr>
                <w:rFonts w:ascii="黑体" w:eastAsia="黑体" w:hint="eastAsia"/>
                <w:spacing w:val="-11"/>
                <w:w w:val="100"/>
                <w:sz w:val="21"/>
              </w:rPr>
              <w:t>遗传性疾病</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2"/>
                <w:sz w:val="21"/>
              </w:rPr>
              <w:t> </w:t>
            </w:r>
            <w:r>
              <w:rPr>
                <w:rFonts w:ascii="黑体" w:eastAsia="黑体" w:hint="eastAsia"/>
                <w:spacing w:val="-3"/>
                <w:w w:val="100"/>
                <w:sz w:val="21"/>
              </w:rPr>
              <w:t>1</w:t>
            </w:r>
            <w:r>
              <w:rPr>
                <w:rFonts w:ascii="黑体" w:eastAsia="黑体" w:hint="eastAsia"/>
                <w:w w:val="100"/>
                <w:sz w:val="21"/>
              </w:rPr>
              <w:t>1.1</w:t>
            </w:r>
            <w:r>
              <w:rPr>
                <w:rFonts w:ascii="黑体" w:eastAsia="黑体" w:hint="eastAsia"/>
                <w:spacing w:val="-3"/>
                <w:w w:val="100"/>
                <w:sz w:val="21"/>
              </w:rPr>
              <w:t>5</w:t>
            </w:r>
            <w:r>
              <w:rPr>
                <w:rFonts w:ascii="黑体" w:eastAsia="黑体" w:hint="eastAsia"/>
                <w:spacing w:val="-106"/>
                <w:w w:val="100"/>
                <w:sz w:val="21"/>
              </w:rPr>
              <w:t>）</w:t>
            </w:r>
            <w:r>
              <w:rPr>
                <w:rFonts w:ascii="黑体" w:eastAsia="黑体" w:hint="eastAsia"/>
                <w:spacing w:val="-15"/>
                <w:w w:val="100"/>
                <w:sz w:val="21"/>
              </w:rPr>
              <w:t>，先天性畸形、变形或染色体异常</w:t>
            </w:r>
            <w:r>
              <w:rPr>
                <w:rFonts w:ascii="黑体" w:eastAsia="黑体" w:hint="eastAsia"/>
                <w:spacing w:val="-3"/>
                <w:w w:val="100"/>
                <w:sz w:val="21"/>
              </w:rPr>
              <w:t>（</w:t>
            </w:r>
            <w:r>
              <w:rPr>
                <w:rFonts w:ascii="黑体" w:eastAsia="黑体" w:hint="eastAsia"/>
                <w:w w:val="100"/>
                <w:sz w:val="21"/>
              </w:rPr>
              <w:t>见</w:t>
            </w:r>
            <w:r>
              <w:rPr>
                <w:rFonts w:ascii="黑体" w:eastAsia="黑体" w:hint="eastAsia"/>
                <w:spacing w:val="-52"/>
                <w:sz w:val="21"/>
              </w:rPr>
              <w:t> </w:t>
            </w:r>
            <w:r>
              <w:rPr>
                <w:rFonts w:ascii="黑体" w:eastAsia="黑体" w:hint="eastAsia"/>
                <w:spacing w:val="-3"/>
                <w:w w:val="100"/>
                <w:sz w:val="21"/>
              </w:rPr>
              <w:t>1</w:t>
            </w:r>
            <w:r>
              <w:rPr>
                <w:rFonts w:ascii="黑体" w:eastAsia="黑体" w:hint="eastAsia"/>
                <w:w w:val="100"/>
                <w:sz w:val="21"/>
              </w:rPr>
              <w:t>1.1</w:t>
            </w:r>
            <w:r>
              <w:rPr>
                <w:rFonts w:ascii="黑体" w:eastAsia="黑体" w:hint="eastAsia"/>
                <w:spacing w:val="-3"/>
                <w:w w:val="100"/>
                <w:sz w:val="21"/>
              </w:rPr>
              <w:t>6</w:t>
            </w:r>
            <w:r>
              <w:rPr>
                <w:rFonts w:ascii="黑体" w:eastAsia="黑体" w:hint="eastAsia"/>
                <w:spacing w:val="-106"/>
                <w:w w:val="100"/>
                <w:sz w:val="21"/>
              </w:rPr>
              <w:t>）。</w:t>
            </w:r>
          </w:p>
          <w:p>
            <w:pPr>
              <w:pStyle w:val="TableParagraph"/>
              <w:spacing w:before="1"/>
              <w:rPr>
                <w:rFonts w:ascii="黑体"/>
                <w:sz w:val="19"/>
              </w:rPr>
            </w:pPr>
          </w:p>
          <w:p>
            <w:pPr>
              <w:pStyle w:val="TableParagraph"/>
              <w:spacing w:line="230" w:lineRule="auto"/>
              <w:ind w:left="108" w:right="197"/>
              <w:jc w:val="both"/>
              <w:rPr>
                <w:sz w:val="21"/>
              </w:rPr>
            </w:pPr>
            <w:r>
              <w:rPr>
                <w:spacing w:val="-6"/>
                <w:sz w:val="21"/>
              </w:rPr>
              <w:t>发生上述第 </w:t>
            </w:r>
            <w:r>
              <w:rPr>
                <w:rFonts w:ascii="Times New Roman" w:eastAsia="Times New Roman"/>
                <w:sz w:val="21"/>
              </w:rPr>
              <w:t>1 </w:t>
            </w:r>
            <w:r>
              <w:rPr>
                <w:spacing w:val="-3"/>
                <w:sz w:val="21"/>
              </w:rPr>
              <w:t>种情形导致本合同终止的，如果您已缴足二年保险费，我们将退还本合同终止时的现金价值给被保险人；如果被保险人身故的，该现金价值将作为被保险人的遗产处理。</w:t>
            </w:r>
          </w:p>
          <w:p>
            <w:pPr>
              <w:pStyle w:val="TableParagraph"/>
              <w:spacing w:before="6"/>
              <w:rPr>
                <w:rFonts w:ascii="黑体"/>
                <w:sz w:val="19"/>
              </w:rPr>
            </w:pPr>
          </w:p>
          <w:p>
            <w:pPr>
              <w:pStyle w:val="TableParagraph"/>
              <w:spacing w:line="225" w:lineRule="auto" w:before="1"/>
              <w:ind w:left="108" w:right="147"/>
              <w:rPr>
                <w:sz w:val="21"/>
              </w:rPr>
            </w:pPr>
            <w:r>
              <w:rPr>
                <w:sz w:val="21"/>
              </w:rPr>
              <w:t>发生上述第 </w:t>
            </w:r>
            <w:r>
              <w:rPr>
                <w:rFonts w:ascii="Times New Roman" w:eastAsia="Times New Roman"/>
                <w:sz w:val="21"/>
              </w:rPr>
              <w:t>2 </w:t>
            </w:r>
            <w:r>
              <w:rPr>
                <w:sz w:val="21"/>
              </w:rPr>
              <w:t>种情形导致本合同终止的，如果您已缴足二年保险费，我们将退还本合同终止时的现金价值给您。</w:t>
            </w:r>
          </w:p>
          <w:p>
            <w:pPr>
              <w:pStyle w:val="TableParagraph"/>
              <w:spacing w:before="7"/>
              <w:rPr>
                <w:rFonts w:ascii="黑体"/>
                <w:sz w:val="19"/>
              </w:rPr>
            </w:pPr>
          </w:p>
          <w:p>
            <w:pPr>
              <w:pStyle w:val="TableParagraph"/>
              <w:spacing w:line="225" w:lineRule="auto"/>
              <w:ind w:left="108" w:right="120"/>
              <w:rPr>
                <w:sz w:val="21"/>
              </w:rPr>
            </w:pPr>
            <w:r>
              <w:rPr>
                <w:sz w:val="21"/>
              </w:rPr>
              <w:t>发生上述第 </w:t>
            </w:r>
            <w:r>
              <w:rPr>
                <w:rFonts w:ascii="Times New Roman" w:eastAsia="Times New Roman"/>
                <w:sz w:val="21"/>
              </w:rPr>
              <w:t>3 </w:t>
            </w:r>
            <w:r>
              <w:rPr>
                <w:sz w:val="21"/>
              </w:rPr>
              <w:t>种至第 </w:t>
            </w:r>
            <w:r>
              <w:rPr>
                <w:rFonts w:ascii="Times New Roman" w:eastAsia="Times New Roman"/>
                <w:sz w:val="21"/>
              </w:rPr>
              <w:t>9 </w:t>
            </w:r>
            <w:r>
              <w:rPr>
                <w:sz w:val="21"/>
              </w:rPr>
              <w:t>种情形导致本合同终止的，我们将退还本合同终止时的现金价值给您。</w:t>
            </w:r>
          </w:p>
        </w:tc>
      </w:tr>
      <w:tr>
        <w:trPr>
          <w:trHeight w:val="633" w:hRule="atLeast"/>
        </w:trPr>
        <w:tc>
          <w:tcPr>
            <w:tcW w:w="940" w:type="dxa"/>
          </w:tcPr>
          <w:p>
            <w:pPr>
              <w:pStyle w:val="TableParagraph"/>
              <w:spacing w:before="1"/>
              <w:rPr>
                <w:rFonts w:ascii="黑体"/>
                <w:sz w:val="16"/>
              </w:rPr>
            </w:pPr>
          </w:p>
          <w:p>
            <w:pPr>
              <w:pStyle w:val="TableParagraph"/>
              <w:ind w:right="104"/>
              <w:jc w:val="right"/>
              <w:rPr>
                <w:b/>
                <w:sz w:val="21"/>
              </w:rPr>
            </w:pPr>
            <w:r>
              <w:rPr>
                <w:b/>
                <w:sz w:val="21"/>
              </w:rPr>
              <w:t>第 </w:t>
            </w:r>
            <w:r>
              <w:rPr>
                <w:rFonts w:ascii="Times New Roman" w:eastAsia="Times New Roman"/>
                <w:b/>
                <w:sz w:val="21"/>
              </w:rPr>
              <w:t>3 </w:t>
            </w:r>
            <w:r>
              <w:rPr>
                <w:b/>
                <w:sz w:val="21"/>
              </w:rPr>
              <w:t>章</w:t>
            </w:r>
          </w:p>
        </w:tc>
        <w:tc>
          <w:tcPr>
            <w:tcW w:w="1693" w:type="dxa"/>
          </w:tcPr>
          <w:p>
            <w:pPr>
              <w:pStyle w:val="TableParagraph"/>
              <w:spacing w:before="1"/>
              <w:rPr>
                <w:rFonts w:ascii="黑体"/>
                <w:sz w:val="16"/>
              </w:rPr>
            </w:pPr>
          </w:p>
          <w:p>
            <w:pPr>
              <w:pStyle w:val="TableParagraph"/>
              <w:ind w:left="105"/>
              <w:rPr>
                <w:b/>
                <w:sz w:val="21"/>
              </w:rPr>
            </w:pPr>
            <w:r>
              <w:rPr>
                <w:b/>
                <w:sz w:val="21"/>
              </w:rPr>
              <w:t>保险费</w:t>
            </w:r>
          </w:p>
        </w:tc>
        <w:tc>
          <w:tcPr>
            <w:tcW w:w="7059" w:type="dxa"/>
          </w:tcPr>
          <w:p>
            <w:pPr>
              <w:pStyle w:val="TableParagraph"/>
              <w:rPr>
                <w:rFonts w:ascii="Times New Roman"/>
                <w:sz w:val="20"/>
              </w:rPr>
            </w:pPr>
          </w:p>
        </w:tc>
      </w:tr>
      <w:tr>
        <w:trPr>
          <w:trHeight w:val="1806" w:hRule="atLeast"/>
        </w:trPr>
        <w:tc>
          <w:tcPr>
            <w:tcW w:w="940" w:type="dxa"/>
          </w:tcPr>
          <w:p>
            <w:pPr>
              <w:pStyle w:val="TableParagraph"/>
              <w:spacing w:before="124"/>
              <w:ind w:right="103"/>
              <w:jc w:val="right"/>
              <w:rPr>
                <w:rFonts w:ascii="Times New Roman"/>
                <w:b/>
                <w:sz w:val="21"/>
              </w:rPr>
            </w:pPr>
            <w:r>
              <w:rPr>
                <w:rFonts w:ascii="Times New Roman"/>
                <w:b/>
                <w:sz w:val="21"/>
              </w:rPr>
              <w:t>3.1</w:t>
            </w:r>
          </w:p>
        </w:tc>
        <w:tc>
          <w:tcPr>
            <w:tcW w:w="1693" w:type="dxa"/>
          </w:tcPr>
          <w:p>
            <w:pPr>
              <w:pStyle w:val="TableParagraph"/>
              <w:spacing w:before="91"/>
              <w:ind w:left="105"/>
              <w:rPr>
                <w:b/>
                <w:sz w:val="21"/>
              </w:rPr>
            </w:pPr>
            <w:r>
              <w:rPr>
                <w:b/>
                <w:sz w:val="21"/>
              </w:rPr>
              <w:t>保险费的缴纳</w:t>
            </w:r>
          </w:p>
        </w:tc>
        <w:tc>
          <w:tcPr>
            <w:tcW w:w="7059" w:type="dxa"/>
          </w:tcPr>
          <w:p>
            <w:pPr>
              <w:pStyle w:val="TableParagraph"/>
              <w:spacing w:before="91"/>
              <w:ind w:left="108"/>
              <w:rPr>
                <w:sz w:val="21"/>
              </w:rPr>
            </w:pPr>
            <w:r>
              <w:rPr>
                <w:sz w:val="21"/>
              </w:rPr>
              <w:t>本合同的保险费金额、缴费期间和缴费方式将在保险单上载明。</w:t>
            </w:r>
          </w:p>
          <w:p>
            <w:pPr>
              <w:pStyle w:val="TableParagraph"/>
              <w:spacing w:before="2"/>
              <w:rPr>
                <w:rFonts w:ascii="黑体"/>
                <w:sz w:val="18"/>
              </w:rPr>
            </w:pPr>
          </w:p>
          <w:p>
            <w:pPr>
              <w:pStyle w:val="TableParagraph"/>
              <w:spacing w:before="1"/>
              <w:ind w:left="108" w:right="200"/>
              <w:rPr>
                <w:sz w:val="21"/>
              </w:rPr>
            </w:pPr>
            <w:r>
              <w:rPr>
                <w:sz w:val="21"/>
              </w:rPr>
              <w:t>保险费按照我们核定的保险费率计算，根据您与我们约定的基本保险金额确定。</w:t>
            </w:r>
          </w:p>
          <w:p>
            <w:pPr>
              <w:pStyle w:val="TableParagraph"/>
              <w:spacing w:before="3"/>
              <w:rPr>
                <w:rFonts w:ascii="黑体"/>
                <w:sz w:val="18"/>
              </w:rPr>
            </w:pPr>
          </w:p>
          <w:p>
            <w:pPr>
              <w:pStyle w:val="TableParagraph"/>
              <w:ind w:left="108"/>
              <w:rPr>
                <w:sz w:val="21"/>
              </w:rPr>
            </w:pPr>
            <w:r>
              <w:rPr>
                <w:sz w:val="21"/>
              </w:rPr>
              <w:t>您应于保险费到期日或之前向我们缴纳保险费。</w:t>
            </w:r>
          </w:p>
        </w:tc>
      </w:tr>
      <w:tr>
        <w:trPr>
          <w:trHeight w:val="1845" w:hRule="atLeast"/>
        </w:trPr>
        <w:tc>
          <w:tcPr>
            <w:tcW w:w="940" w:type="dxa"/>
          </w:tcPr>
          <w:p>
            <w:pPr>
              <w:pStyle w:val="TableParagraph"/>
              <w:spacing w:before="131"/>
              <w:ind w:right="103"/>
              <w:jc w:val="right"/>
              <w:rPr>
                <w:rFonts w:ascii="Times New Roman"/>
                <w:b/>
                <w:sz w:val="21"/>
              </w:rPr>
            </w:pPr>
            <w:r>
              <w:rPr>
                <w:rFonts w:ascii="Times New Roman"/>
                <w:b/>
                <w:sz w:val="21"/>
              </w:rPr>
              <w:t>3.2</w:t>
            </w:r>
          </w:p>
        </w:tc>
        <w:tc>
          <w:tcPr>
            <w:tcW w:w="1693" w:type="dxa"/>
          </w:tcPr>
          <w:p>
            <w:pPr>
              <w:pStyle w:val="TableParagraph"/>
              <w:spacing w:before="99"/>
              <w:ind w:left="105"/>
              <w:rPr>
                <w:b/>
                <w:sz w:val="21"/>
              </w:rPr>
            </w:pPr>
            <w:r>
              <w:rPr>
                <w:b/>
                <w:sz w:val="21"/>
              </w:rPr>
              <w:t>宽限期</w:t>
            </w:r>
          </w:p>
        </w:tc>
        <w:tc>
          <w:tcPr>
            <w:tcW w:w="7059" w:type="dxa"/>
          </w:tcPr>
          <w:p>
            <w:pPr>
              <w:pStyle w:val="TableParagraph"/>
              <w:spacing w:line="230" w:lineRule="auto" w:before="111"/>
              <w:ind w:left="108" w:right="197"/>
              <w:jc w:val="both"/>
              <w:rPr>
                <w:sz w:val="21"/>
              </w:rPr>
            </w:pPr>
            <w:r>
              <w:rPr>
                <w:spacing w:val="-12"/>
                <w:sz w:val="21"/>
              </w:rPr>
              <w:t>如果您没有按期缴纳保险费，自保险费到期日次日零时起 </w:t>
            </w:r>
            <w:r>
              <w:rPr>
                <w:rFonts w:ascii="Times New Roman" w:eastAsia="Times New Roman"/>
                <w:sz w:val="21"/>
              </w:rPr>
              <w:t>60 </w:t>
            </w:r>
            <w:r>
              <w:rPr>
                <w:spacing w:val="-3"/>
                <w:sz w:val="21"/>
              </w:rPr>
              <w:t>天为我们给予您的宽限期。宽限期内，您的保险合同继续有效，如果发生保险事故，我们仍按本合同约定承担保险责任。</w:t>
            </w:r>
          </w:p>
          <w:p>
            <w:pPr>
              <w:pStyle w:val="TableParagraph"/>
              <w:spacing w:before="3"/>
              <w:rPr>
                <w:rFonts w:ascii="黑体"/>
                <w:sz w:val="18"/>
              </w:rPr>
            </w:pPr>
          </w:p>
          <w:p>
            <w:pPr>
              <w:pStyle w:val="TableParagraph"/>
              <w:ind w:left="108" w:right="200"/>
              <w:jc w:val="both"/>
              <w:rPr>
                <w:rFonts w:ascii="黑体" w:eastAsia="黑体" w:hint="eastAsia"/>
                <w:sz w:val="21"/>
              </w:rPr>
            </w:pPr>
            <w:r>
              <w:rPr>
                <w:rFonts w:ascii="黑体" w:eastAsia="黑体" w:hint="eastAsia"/>
                <w:sz w:val="21"/>
              </w:rPr>
              <w:t>除本合同其它条款另有约定外，如果宽限期结束后您仍未缴纳保险费，本合同自宽限期满当日二十四时起效力中止。</w:t>
            </w:r>
          </w:p>
        </w:tc>
      </w:tr>
      <w:tr>
        <w:trPr>
          <w:trHeight w:val="1735" w:hRule="atLeast"/>
        </w:trPr>
        <w:tc>
          <w:tcPr>
            <w:tcW w:w="940" w:type="dxa"/>
          </w:tcPr>
          <w:p>
            <w:pPr>
              <w:pStyle w:val="TableParagraph"/>
              <w:spacing w:before="132"/>
              <w:ind w:right="103"/>
              <w:jc w:val="right"/>
              <w:rPr>
                <w:rFonts w:ascii="Times New Roman"/>
                <w:b/>
                <w:sz w:val="21"/>
              </w:rPr>
            </w:pPr>
            <w:r>
              <w:rPr>
                <w:rFonts w:ascii="Times New Roman"/>
                <w:b/>
                <w:sz w:val="21"/>
              </w:rPr>
              <w:t>3.3</w:t>
            </w:r>
          </w:p>
        </w:tc>
        <w:tc>
          <w:tcPr>
            <w:tcW w:w="1693" w:type="dxa"/>
          </w:tcPr>
          <w:p>
            <w:pPr>
              <w:pStyle w:val="TableParagraph"/>
              <w:spacing w:line="237" w:lineRule="auto" w:before="102"/>
              <w:ind w:left="105" w:right="107"/>
              <w:rPr>
                <w:b/>
                <w:sz w:val="21"/>
              </w:rPr>
            </w:pPr>
            <w:r>
              <w:rPr>
                <w:b/>
                <w:sz w:val="21"/>
              </w:rPr>
              <w:t>保险费的自动垫缴</w:t>
            </w:r>
          </w:p>
        </w:tc>
        <w:tc>
          <w:tcPr>
            <w:tcW w:w="7059" w:type="dxa"/>
          </w:tcPr>
          <w:p>
            <w:pPr>
              <w:pStyle w:val="TableParagraph"/>
              <w:spacing w:line="235" w:lineRule="auto" w:before="105"/>
              <w:ind w:left="108" w:right="197"/>
              <w:jc w:val="both"/>
              <w:rPr>
                <w:rFonts w:ascii="黑体" w:eastAsia="黑体" w:hint="eastAsia"/>
                <w:sz w:val="21"/>
              </w:rPr>
            </w:pPr>
            <w:r>
              <w:rPr>
                <w:spacing w:val="-3"/>
                <w:sz w:val="21"/>
              </w:rPr>
              <w:t>当宽限期结束后您仍未缴纳到期保险费时，如果本合同当时的现金价值扣除您尚未偿清的保单借款本金和</w:t>
            </w:r>
            <w:r>
              <w:rPr>
                <w:rFonts w:ascii="黑体" w:eastAsia="黑体" w:hint="eastAsia"/>
                <w:spacing w:val="-13"/>
                <w:sz w:val="21"/>
              </w:rPr>
              <w:t>利息</w:t>
            </w:r>
            <w:r>
              <w:rPr>
                <w:spacing w:val="-3"/>
                <w:sz w:val="21"/>
              </w:rPr>
              <w:t>（</w:t>
            </w:r>
            <w:r>
              <w:rPr>
                <w:spacing w:val="-10"/>
                <w:sz w:val="21"/>
              </w:rPr>
              <w:t>见 </w:t>
            </w:r>
            <w:r>
              <w:rPr>
                <w:rFonts w:ascii="Times New Roman" w:eastAsia="Times New Roman"/>
                <w:spacing w:val="-7"/>
                <w:sz w:val="21"/>
              </w:rPr>
              <w:t>11.17</w:t>
            </w:r>
            <w:r>
              <w:rPr>
                <w:spacing w:val="-7"/>
                <w:sz w:val="21"/>
              </w:rPr>
              <w:t>）之后，足以垫付本合同及其附加合同当期欠缴的保险费，我们将按保单借款的方式自动借款给您， 用来支付保险费，本合同及其附加合同继续有效。</w:t>
            </w:r>
            <w:r>
              <w:rPr>
                <w:rFonts w:ascii="黑体" w:eastAsia="黑体" w:hint="eastAsia"/>
                <w:spacing w:val="-1"/>
                <w:sz w:val="21"/>
              </w:rPr>
              <w:t>如果本合同当时的现金</w:t>
            </w:r>
            <w:r>
              <w:rPr>
                <w:rFonts w:ascii="黑体" w:eastAsia="黑体" w:hint="eastAsia"/>
                <w:spacing w:val="-3"/>
                <w:sz w:val="21"/>
              </w:rPr>
              <w:t>价值扣除您尚未偿清的保单借款本金和利息之后，不足以垫付本合同及其</w:t>
            </w:r>
          </w:p>
          <w:p>
            <w:pPr>
              <w:pStyle w:val="TableParagraph"/>
              <w:spacing w:line="251" w:lineRule="exact"/>
              <w:ind w:left="108"/>
              <w:jc w:val="both"/>
              <w:rPr>
                <w:rFonts w:ascii="黑体" w:eastAsia="黑体" w:hint="eastAsia"/>
                <w:sz w:val="21"/>
              </w:rPr>
            </w:pPr>
            <w:r>
              <w:rPr>
                <w:rFonts w:ascii="黑体" w:eastAsia="黑体" w:hint="eastAsia"/>
                <w:sz w:val="21"/>
              </w:rPr>
              <w:t>附加合同当期欠缴的保险费，本合同及其附加合同的效力将中止。</w:t>
            </w:r>
          </w:p>
        </w:tc>
      </w:tr>
    </w:tbl>
    <w:p>
      <w:pPr>
        <w:spacing w:after="0" w:line="251" w:lineRule="exact"/>
        <w:jc w:val="both"/>
        <w:rPr>
          <w:rFonts w:ascii="黑体" w:eastAsia="黑体" w:hint="eastAsia"/>
          <w:sz w:val="21"/>
        </w:rPr>
        <w:sectPr>
          <w:pgSz w:w="11910" w:h="16840"/>
          <w:pgMar w:top="1520" w:bottom="280" w:left="580" w:right="1420"/>
        </w:sect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940"/>
        <w:gridCol w:w="1695"/>
        <w:gridCol w:w="7138"/>
      </w:tblGrid>
      <w:tr>
        <w:trPr>
          <w:trHeight w:val="3657" w:hRule="atLeast"/>
        </w:trPr>
        <w:tc>
          <w:tcPr>
            <w:tcW w:w="940" w:type="dxa"/>
          </w:tcPr>
          <w:p>
            <w:pPr>
              <w:pStyle w:val="TableParagraph"/>
              <w:spacing w:line="234" w:lineRule="exact"/>
              <w:ind w:right="104"/>
              <w:jc w:val="right"/>
              <w:rPr>
                <w:b/>
                <w:sz w:val="21"/>
              </w:rPr>
            </w:pPr>
            <w:r>
              <w:rPr>
                <w:b/>
                <w:sz w:val="21"/>
              </w:rPr>
              <w:t>第 </w:t>
            </w:r>
            <w:r>
              <w:rPr>
                <w:rFonts w:ascii="Times New Roman" w:eastAsia="Times New Roman"/>
                <w:b/>
                <w:sz w:val="21"/>
              </w:rPr>
              <w:t>4 </w:t>
            </w:r>
            <w:r>
              <w:rPr>
                <w:b/>
                <w:sz w:val="21"/>
              </w:rPr>
              <w:t>章</w:t>
            </w:r>
          </w:p>
        </w:tc>
        <w:tc>
          <w:tcPr>
            <w:tcW w:w="1695" w:type="dxa"/>
          </w:tcPr>
          <w:p>
            <w:pPr>
              <w:pStyle w:val="TableParagraph"/>
              <w:spacing w:line="218" w:lineRule="exact"/>
              <w:ind w:left="105"/>
              <w:rPr>
                <w:b/>
                <w:sz w:val="21"/>
              </w:rPr>
            </w:pPr>
            <w:r>
              <w:rPr>
                <w:b/>
                <w:sz w:val="21"/>
              </w:rPr>
              <w:t>保单借款</w:t>
            </w:r>
          </w:p>
        </w:tc>
        <w:tc>
          <w:tcPr>
            <w:tcW w:w="7138" w:type="dxa"/>
          </w:tcPr>
          <w:p>
            <w:pPr>
              <w:pStyle w:val="TableParagraph"/>
              <w:spacing w:line="216" w:lineRule="exact"/>
              <w:ind w:left="106"/>
              <w:rPr>
                <w:sz w:val="21"/>
              </w:rPr>
            </w:pPr>
            <w:r>
              <w:rPr>
                <w:sz w:val="21"/>
              </w:rPr>
              <w:t>在本合同有效期内，经被保险人书面同意，您可以书面形式向我们申请借</w:t>
            </w:r>
          </w:p>
          <w:p>
            <w:pPr>
              <w:pStyle w:val="TableParagraph"/>
              <w:spacing w:line="230" w:lineRule="auto" w:before="9"/>
              <w:ind w:left="106" w:right="278"/>
              <w:jc w:val="both"/>
              <w:rPr>
                <w:sz w:val="21"/>
              </w:rPr>
            </w:pPr>
            <w:r>
              <w:rPr>
                <w:spacing w:val="-3"/>
                <w:sz w:val="21"/>
              </w:rPr>
              <w:t>款。每次借款期限一般不超过六个月，申请借款时累计借款金额本金和利</w:t>
            </w:r>
            <w:r>
              <w:rPr>
                <w:spacing w:val="-4"/>
                <w:sz w:val="21"/>
              </w:rPr>
              <w:t>息最高不得超过本合同当时现金价值的 </w:t>
            </w:r>
            <w:r>
              <w:rPr>
                <w:rFonts w:ascii="Times New Roman" w:eastAsia="Times New Roman"/>
                <w:sz w:val="21"/>
              </w:rPr>
              <w:t>80%</w:t>
            </w:r>
            <w:r>
              <w:rPr>
                <w:sz w:val="21"/>
              </w:rPr>
              <w:t>（</w:t>
            </w:r>
            <w:r>
              <w:rPr>
                <w:spacing w:val="-3"/>
                <w:sz w:val="21"/>
              </w:rPr>
              <w:t>因垫缴到期保险费则不受此限</w:t>
            </w:r>
            <w:r>
              <w:rPr>
                <w:spacing w:val="-106"/>
                <w:sz w:val="21"/>
              </w:rPr>
              <w:t>）</w:t>
            </w:r>
            <w:r>
              <w:rPr>
                <w:sz w:val="21"/>
              </w:rPr>
              <w:t>。</w:t>
            </w:r>
          </w:p>
          <w:p>
            <w:pPr>
              <w:pStyle w:val="TableParagraph"/>
              <w:spacing w:before="1"/>
              <w:rPr>
                <w:rFonts w:ascii="黑体"/>
                <w:sz w:val="16"/>
              </w:rPr>
            </w:pPr>
          </w:p>
          <w:p>
            <w:pPr>
              <w:pStyle w:val="TableParagraph"/>
              <w:spacing w:line="235" w:lineRule="auto"/>
              <w:ind w:left="106" w:right="278"/>
              <w:jc w:val="both"/>
              <w:rPr>
                <w:sz w:val="21"/>
              </w:rPr>
            </w:pPr>
            <w:r>
              <w:rPr>
                <w:sz w:val="21"/>
              </w:rPr>
              <w:t>我们将对您的保单借款通过年复利方式进行计息：我们将于每月第一个营业日公布借款利率，该借款利率不会超过当时中国人民银行六个月贷款利率上浮 </w:t>
            </w:r>
            <w:r>
              <w:rPr>
                <w:rFonts w:ascii="Times New Roman" w:eastAsia="Times New Roman"/>
                <w:sz w:val="21"/>
              </w:rPr>
              <w:t>0.25%</w:t>
            </w:r>
            <w:r>
              <w:rPr>
                <w:sz w:val="21"/>
              </w:rPr>
              <w:t>。您应于每个保单周年日前缴纳借款利息，至借款金额全部偿清时止；若逾期未付，则所有应付而未付的利息将并入借款金额中计算利息。</w:t>
            </w:r>
          </w:p>
          <w:p>
            <w:pPr>
              <w:pStyle w:val="TableParagraph"/>
              <w:spacing w:before="5"/>
              <w:rPr>
                <w:rFonts w:ascii="黑体"/>
                <w:sz w:val="18"/>
              </w:rPr>
            </w:pPr>
          </w:p>
          <w:p>
            <w:pPr>
              <w:pStyle w:val="TableParagraph"/>
              <w:spacing w:line="237" w:lineRule="auto" w:before="1"/>
              <w:ind w:left="106" w:right="281"/>
              <w:jc w:val="both"/>
              <w:rPr>
                <w:rFonts w:ascii="黑体" w:eastAsia="黑体" w:hint="eastAsia"/>
                <w:sz w:val="21"/>
              </w:rPr>
            </w:pPr>
            <w:r>
              <w:rPr>
                <w:rFonts w:ascii="黑体" w:eastAsia="黑体" w:hint="eastAsia"/>
                <w:sz w:val="21"/>
              </w:rPr>
              <w:t>若您尚未偿清的保单借款本金及利息等于或超过本合同的现金价值，本合同效力中止。</w:t>
            </w:r>
          </w:p>
        </w:tc>
      </w:tr>
      <w:tr>
        <w:trPr>
          <w:trHeight w:val="3145" w:hRule="atLeast"/>
        </w:trPr>
        <w:tc>
          <w:tcPr>
            <w:tcW w:w="940" w:type="dxa"/>
          </w:tcPr>
          <w:p>
            <w:pPr>
              <w:pStyle w:val="TableParagraph"/>
              <w:spacing w:before="2"/>
              <w:rPr>
                <w:rFonts w:ascii="黑体"/>
                <w:sz w:val="16"/>
              </w:rPr>
            </w:pPr>
          </w:p>
          <w:p>
            <w:pPr>
              <w:pStyle w:val="TableParagraph"/>
              <w:ind w:right="104"/>
              <w:jc w:val="right"/>
              <w:rPr>
                <w:b/>
                <w:sz w:val="21"/>
              </w:rPr>
            </w:pPr>
            <w:r>
              <w:rPr>
                <w:b/>
                <w:sz w:val="21"/>
              </w:rPr>
              <w:t>第 </w:t>
            </w:r>
            <w:r>
              <w:rPr>
                <w:rFonts w:ascii="Times New Roman" w:eastAsia="Times New Roman"/>
                <w:b/>
                <w:sz w:val="21"/>
              </w:rPr>
              <w:t>5 </w:t>
            </w:r>
            <w:r>
              <w:rPr>
                <w:b/>
                <w:sz w:val="21"/>
              </w:rPr>
              <w:t>章</w:t>
            </w:r>
          </w:p>
        </w:tc>
        <w:tc>
          <w:tcPr>
            <w:tcW w:w="1695" w:type="dxa"/>
          </w:tcPr>
          <w:p>
            <w:pPr>
              <w:pStyle w:val="TableParagraph"/>
              <w:rPr>
                <w:rFonts w:ascii="黑体"/>
                <w:sz w:val="17"/>
              </w:rPr>
            </w:pPr>
          </w:p>
          <w:p>
            <w:pPr>
              <w:pStyle w:val="TableParagraph"/>
              <w:spacing w:line="230" w:lineRule="auto"/>
              <w:ind w:left="105" w:right="108"/>
              <w:jc w:val="both"/>
              <w:rPr>
                <w:b/>
                <w:sz w:val="21"/>
              </w:rPr>
            </w:pPr>
            <w:r>
              <w:rPr>
                <w:b/>
                <w:sz w:val="21"/>
              </w:rPr>
              <w:t>合同效力的中止</w:t>
            </w:r>
            <w:r>
              <w:rPr>
                <w:b/>
                <w:spacing w:val="-34"/>
                <w:sz w:val="21"/>
              </w:rPr>
              <w:t>和恢复</w:t>
            </w:r>
            <w:r>
              <w:rPr>
                <w:b/>
                <w:sz w:val="21"/>
              </w:rPr>
              <w:t>（下称</w:t>
            </w:r>
            <w:r>
              <w:rPr>
                <w:rFonts w:ascii="Times New Roman" w:hAnsi="Times New Roman" w:eastAsia="Times New Roman"/>
                <w:b/>
                <w:spacing w:val="-3"/>
                <w:sz w:val="21"/>
              </w:rPr>
              <w:t>“</w:t>
            </w:r>
            <w:r>
              <w:rPr>
                <w:b/>
                <w:sz w:val="21"/>
              </w:rPr>
              <w:t>复</w:t>
            </w:r>
            <w:r>
              <w:rPr>
                <w:b/>
                <w:spacing w:val="-1"/>
                <w:sz w:val="21"/>
              </w:rPr>
              <w:t>效</w:t>
            </w:r>
            <w:r>
              <w:rPr>
                <w:rFonts w:ascii="Times New Roman" w:hAnsi="Times New Roman" w:eastAsia="Times New Roman"/>
                <w:b/>
                <w:spacing w:val="-1"/>
                <w:sz w:val="21"/>
              </w:rPr>
              <w:t>”</w:t>
            </w:r>
            <w:r>
              <w:rPr>
                <w:b/>
                <w:spacing w:val="-1"/>
                <w:sz w:val="21"/>
              </w:rPr>
              <w:t>）</w:t>
            </w:r>
          </w:p>
        </w:tc>
        <w:tc>
          <w:tcPr>
            <w:tcW w:w="7138" w:type="dxa"/>
          </w:tcPr>
          <w:p>
            <w:pPr>
              <w:pStyle w:val="TableParagraph"/>
              <w:spacing w:before="2"/>
              <w:rPr>
                <w:rFonts w:ascii="黑体"/>
                <w:sz w:val="16"/>
              </w:rPr>
            </w:pPr>
          </w:p>
          <w:p>
            <w:pPr>
              <w:pStyle w:val="TableParagraph"/>
              <w:ind w:left="106"/>
              <w:rPr>
                <w:rFonts w:ascii="黑体" w:eastAsia="黑体" w:hint="eastAsia"/>
                <w:sz w:val="21"/>
              </w:rPr>
            </w:pPr>
            <w:r>
              <w:rPr>
                <w:rFonts w:ascii="黑体" w:eastAsia="黑体" w:hint="eastAsia"/>
                <w:sz w:val="21"/>
              </w:rPr>
              <w:t>在本合同效力中止期间，我们不承担保险责任。</w:t>
            </w:r>
          </w:p>
          <w:p>
            <w:pPr>
              <w:pStyle w:val="TableParagraph"/>
              <w:spacing w:before="5"/>
              <w:rPr>
                <w:rFonts w:ascii="黑体"/>
                <w:sz w:val="18"/>
              </w:rPr>
            </w:pPr>
          </w:p>
          <w:p>
            <w:pPr>
              <w:pStyle w:val="TableParagraph"/>
              <w:spacing w:line="237" w:lineRule="auto" w:before="1"/>
              <w:ind w:left="106" w:right="281"/>
              <w:jc w:val="both"/>
              <w:rPr>
                <w:sz w:val="21"/>
              </w:rPr>
            </w:pPr>
            <w:r>
              <w:rPr>
                <w:sz w:val="21"/>
              </w:rPr>
              <w:t>本合同效力中止二年内，您可以书面申请恢复合同效力。经我们与您协商并达成协议，并且您已偿清保单借款、自动垫缴的保险费等款项的本金和利息以及您欠缴的保险费，我们将出具批单或在本合同上进行批注，本合同从我们同意您的复效申请当日二十四时起恢复效力，此日期我们将在批单或批注上载明。</w:t>
            </w:r>
          </w:p>
          <w:p>
            <w:pPr>
              <w:pStyle w:val="TableParagraph"/>
              <w:spacing w:before="3"/>
              <w:rPr>
                <w:rFonts w:ascii="黑体"/>
                <w:sz w:val="18"/>
              </w:rPr>
            </w:pPr>
          </w:p>
          <w:p>
            <w:pPr>
              <w:pStyle w:val="TableParagraph"/>
              <w:ind w:left="106" w:right="282"/>
              <w:jc w:val="both"/>
              <w:rPr>
                <w:sz w:val="21"/>
              </w:rPr>
            </w:pPr>
            <w:r>
              <w:rPr>
                <w:sz w:val="21"/>
              </w:rPr>
              <w:t>自本合同效力中止之日起满二年您和我们未达成协议的，我们有权解除合同。我们解除合同的，将向您退还合同效力中止时本合同的现金价值。</w:t>
            </w:r>
          </w:p>
        </w:tc>
      </w:tr>
      <w:tr>
        <w:trPr>
          <w:trHeight w:val="618" w:hRule="atLeast"/>
        </w:trPr>
        <w:tc>
          <w:tcPr>
            <w:tcW w:w="940" w:type="dxa"/>
          </w:tcPr>
          <w:p>
            <w:pPr>
              <w:pStyle w:val="TableParagraph"/>
              <w:spacing w:before="1"/>
              <w:rPr>
                <w:rFonts w:ascii="黑体"/>
                <w:sz w:val="16"/>
              </w:rPr>
            </w:pPr>
          </w:p>
          <w:p>
            <w:pPr>
              <w:pStyle w:val="TableParagraph"/>
              <w:ind w:right="104"/>
              <w:jc w:val="right"/>
              <w:rPr>
                <w:b/>
                <w:sz w:val="21"/>
              </w:rPr>
            </w:pPr>
            <w:r>
              <w:rPr>
                <w:b/>
                <w:sz w:val="21"/>
              </w:rPr>
              <w:t>第 </w:t>
            </w:r>
            <w:r>
              <w:rPr>
                <w:rFonts w:ascii="Times New Roman" w:eastAsia="Times New Roman"/>
                <w:b/>
                <w:sz w:val="21"/>
              </w:rPr>
              <w:t>6 </w:t>
            </w:r>
            <w:r>
              <w:rPr>
                <w:b/>
                <w:sz w:val="21"/>
              </w:rPr>
              <w:t>章</w:t>
            </w:r>
          </w:p>
        </w:tc>
        <w:tc>
          <w:tcPr>
            <w:tcW w:w="1695" w:type="dxa"/>
          </w:tcPr>
          <w:p>
            <w:pPr>
              <w:pStyle w:val="TableParagraph"/>
              <w:spacing w:before="1"/>
              <w:rPr>
                <w:rFonts w:ascii="黑体"/>
                <w:sz w:val="16"/>
              </w:rPr>
            </w:pPr>
          </w:p>
          <w:p>
            <w:pPr>
              <w:pStyle w:val="TableParagraph"/>
              <w:ind w:left="105"/>
              <w:rPr>
                <w:b/>
                <w:sz w:val="21"/>
              </w:rPr>
            </w:pPr>
            <w:r>
              <w:rPr>
                <w:b/>
                <w:sz w:val="21"/>
              </w:rPr>
              <w:t>保险金的给付</w:t>
            </w:r>
          </w:p>
        </w:tc>
        <w:tc>
          <w:tcPr>
            <w:tcW w:w="7138" w:type="dxa"/>
          </w:tcPr>
          <w:p>
            <w:pPr>
              <w:pStyle w:val="TableParagraph"/>
              <w:rPr>
                <w:rFonts w:ascii="Times New Roman"/>
                <w:sz w:val="20"/>
              </w:rPr>
            </w:pPr>
          </w:p>
        </w:tc>
      </w:tr>
      <w:tr>
        <w:trPr>
          <w:trHeight w:val="1550" w:hRule="atLeast"/>
        </w:trPr>
        <w:tc>
          <w:tcPr>
            <w:tcW w:w="940" w:type="dxa"/>
          </w:tcPr>
          <w:p>
            <w:pPr>
              <w:pStyle w:val="TableParagraph"/>
              <w:spacing w:before="109"/>
              <w:ind w:right="103"/>
              <w:jc w:val="right"/>
              <w:rPr>
                <w:rFonts w:ascii="Times New Roman"/>
                <w:b/>
                <w:sz w:val="21"/>
              </w:rPr>
            </w:pPr>
            <w:r>
              <w:rPr>
                <w:rFonts w:ascii="Times New Roman"/>
                <w:b/>
                <w:sz w:val="21"/>
              </w:rPr>
              <w:t>6.1</w:t>
            </w:r>
          </w:p>
        </w:tc>
        <w:tc>
          <w:tcPr>
            <w:tcW w:w="1695" w:type="dxa"/>
          </w:tcPr>
          <w:p>
            <w:pPr>
              <w:pStyle w:val="TableParagraph"/>
              <w:spacing w:line="237" w:lineRule="auto" w:before="79"/>
              <w:ind w:left="105" w:right="109"/>
              <w:rPr>
                <w:b/>
                <w:sz w:val="21"/>
              </w:rPr>
            </w:pPr>
            <w:r>
              <w:rPr>
                <w:b/>
                <w:sz w:val="21"/>
              </w:rPr>
              <w:t>请求给付保险金的诉讼时效</w:t>
            </w:r>
          </w:p>
        </w:tc>
        <w:tc>
          <w:tcPr>
            <w:tcW w:w="7138" w:type="dxa"/>
          </w:tcPr>
          <w:p>
            <w:pPr>
              <w:pStyle w:val="TableParagraph"/>
              <w:spacing w:line="237" w:lineRule="auto" w:before="79"/>
              <w:ind w:left="106" w:right="281"/>
              <w:rPr>
                <w:sz w:val="21"/>
              </w:rPr>
            </w:pPr>
            <w:r>
              <w:rPr>
                <w:sz w:val="21"/>
              </w:rPr>
              <w:t>本合同受益人向我们请求给付身故保险金的诉讼时效期间为五年，自其知道或应当知道保险事故发生之日起计算。</w:t>
            </w:r>
          </w:p>
          <w:p>
            <w:pPr>
              <w:pStyle w:val="TableParagraph"/>
              <w:spacing w:before="3"/>
              <w:rPr>
                <w:rFonts w:ascii="黑体"/>
                <w:sz w:val="18"/>
              </w:rPr>
            </w:pPr>
          </w:p>
          <w:p>
            <w:pPr>
              <w:pStyle w:val="TableParagraph"/>
              <w:ind w:left="106" w:right="280"/>
              <w:rPr>
                <w:sz w:val="21"/>
              </w:rPr>
            </w:pPr>
            <w:r>
              <w:rPr>
                <w:sz w:val="21"/>
              </w:rPr>
              <w:t>本合同受益人向我们请求给付重大疾病保险金和轻症疾病保险金的诉讼时效期间为二年，自其知道或应当知道保险事故发生之日起计算。</w:t>
            </w:r>
          </w:p>
        </w:tc>
      </w:tr>
      <w:tr>
        <w:trPr>
          <w:trHeight w:val="1874" w:hRule="atLeast"/>
        </w:trPr>
        <w:tc>
          <w:tcPr>
            <w:tcW w:w="940" w:type="dxa"/>
          </w:tcPr>
          <w:p>
            <w:pPr>
              <w:pStyle w:val="TableParagraph"/>
              <w:spacing w:before="131"/>
              <w:ind w:right="103"/>
              <w:jc w:val="right"/>
              <w:rPr>
                <w:rFonts w:ascii="Times New Roman"/>
                <w:b/>
                <w:sz w:val="21"/>
              </w:rPr>
            </w:pPr>
            <w:r>
              <w:rPr>
                <w:rFonts w:ascii="Times New Roman"/>
                <w:b/>
                <w:sz w:val="21"/>
              </w:rPr>
              <w:t>6.2</w:t>
            </w:r>
          </w:p>
        </w:tc>
        <w:tc>
          <w:tcPr>
            <w:tcW w:w="1695" w:type="dxa"/>
          </w:tcPr>
          <w:p>
            <w:pPr>
              <w:pStyle w:val="TableParagraph"/>
              <w:spacing w:before="99"/>
              <w:ind w:left="105"/>
              <w:rPr>
                <w:b/>
                <w:sz w:val="21"/>
              </w:rPr>
            </w:pPr>
            <w:r>
              <w:rPr>
                <w:b/>
                <w:sz w:val="21"/>
              </w:rPr>
              <w:t>保险事故的通知</w:t>
            </w:r>
          </w:p>
        </w:tc>
        <w:tc>
          <w:tcPr>
            <w:tcW w:w="7138" w:type="dxa"/>
          </w:tcPr>
          <w:p>
            <w:pPr>
              <w:pStyle w:val="TableParagraph"/>
              <w:spacing w:line="237" w:lineRule="auto" w:before="102"/>
              <w:ind w:left="106" w:right="199"/>
              <w:rPr>
                <w:rFonts w:ascii="黑体" w:eastAsia="黑体" w:hint="eastAsia"/>
                <w:sz w:val="21"/>
              </w:rPr>
            </w:pPr>
            <w:r>
              <w:rPr>
                <w:rFonts w:ascii="黑体" w:eastAsia="黑体" w:hint="eastAsia"/>
                <w:spacing w:val="-3"/>
                <w:sz w:val="21"/>
              </w:rPr>
              <w:t>您或保险金受益人应在知道保险事故发</w:t>
            </w:r>
            <w:r>
              <w:rPr>
                <w:rFonts w:ascii="黑体" w:eastAsia="黑体" w:hint="eastAsia"/>
                <w:sz w:val="21"/>
              </w:rPr>
              <w:t>Th</w:t>
            </w:r>
            <w:r>
              <w:rPr>
                <w:rFonts w:ascii="黑体" w:eastAsia="黑体" w:hint="eastAsia"/>
                <w:spacing w:val="-11"/>
                <w:sz w:val="21"/>
              </w:rPr>
              <w:t>之日起 </w:t>
            </w:r>
            <w:r>
              <w:rPr>
                <w:rFonts w:ascii="黑体" w:eastAsia="黑体" w:hint="eastAsia"/>
                <w:sz w:val="21"/>
              </w:rPr>
              <w:t>10</w:t>
            </w:r>
            <w:r>
              <w:rPr>
                <w:rFonts w:ascii="黑体" w:eastAsia="黑体" w:hint="eastAsia"/>
                <w:spacing w:val="-8"/>
                <w:sz w:val="21"/>
              </w:rPr>
              <w:t> 个工作日内通知我们， 如果您或受益人故意或因重大过失未及时通知，致使保险事故的性质、原因、损失程度等难以确定的，我们对无法确定的部分，不承担给付保险金的责任，但我们通过其它途径已经及时知道或应当及时知道保险事故发</w:t>
            </w:r>
            <w:r>
              <w:rPr>
                <w:rFonts w:ascii="黑体" w:eastAsia="黑体" w:hint="eastAsia"/>
                <w:sz w:val="21"/>
              </w:rPr>
              <w:t>Th </w:t>
            </w:r>
            <w:r>
              <w:rPr>
                <w:rFonts w:ascii="黑体" w:eastAsia="黑体" w:hint="eastAsia"/>
                <w:spacing w:val="-3"/>
                <w:sz w:val="21"/>
              </w:rPr>
              <w:t>或虽未及时通知但不影响我们确定保险事故的性质、原因、损失程度的除外。</w:t>
            </w:r>
          </w:p>
        </w:tc>
      </w:tr>
      <w:tr>
        <w:trPr>
          <w:trHeight w:val="3309" w:hRule="atLeast"/>
        </w:trPr>
        <w:tc>
          <w:tcPr>
            <w:tcW w:w="940" w:type="dxa"/>
          </w:tcPr>
          <w:p>
            <w:pPr>
              <w:pStyle w:val="TableParagraph"/>
              <w:spacing w:before="131"/>
              <w:ind w:right="103"/>
              <w:jc w:val="right"/>
              <w:rPr>
                <w:rFonts w:ascii="Times New Roman"/>
                <w:b/>
                <w:sz w:val="21"/>
              </w:rPr>
            </w:pPr>
            <w:r>
              <w:rPr>
                <w:rFonts w:ascii="Times New Roman"/>
                <w:b/>
                <w:sz w:val="21"/>
              </w:rPr>
              <w:t>6.3</w:t>
            </w:r>
          </w:p>
        </w:tc>
        <w:tc>
          <w:tcPr>
            <w:tcW w:w="1695" w:type="dxa"/>
          </w:tcPr>
          <w:p>
            <w:pPr>
              <w:pStyle w:val="TableParagraph"/>
              <w:spacing w:before="99"/>
              <w:ind w:left="105" w:right="109"/>
              <w:rPr>
                <w:b/>
                <w:sz w:val="21"/>
              </w:rPr>
            </w:pPr>
            <w:r>
              <w:rPr>
                <w:b/>
                <w:sz w:val="21"/>
              </w:rPr>
              <w:t>保险金受益人的指定与变更</w:t>
            </w:r>
          </w:p>
        </w:tc>
        <w:tc>
          <w:tcPr>
            <w:tcW w:w="7138" w:type="dxa"/>
          </w:tcPr>
          <w:p>
            <w:pPr>
              <w:pStyle w:val="TableParagraph"/>
              <w:spacing w:before="99"/>
              <w:ind w:left="106" w:right="281"/>
              <w:jc w:val="both"/>
              <w:rPr>
                <w:sz w:val="21"/>
              </w:rPr>
            </w:pPr>
            <w:r>
              <w:rPr>
                <w:sz w:val="21"/>
              </w:rPr>
              <w:t>除另有指定外，本合同重大疾病保险金和轻症疾病保险金的受益人是被保险人本人。</w:t>
            </w:r>
          </w:p>
          <w:p>
            <w:pPr>
              <w:pStyle w:val="TableParagraph"/>
              <w:spacing w:before="5"/>
              <w:rPr>
                <w:rFonts w:ascii="黑体"/>
                <w:sz w:val="18"/>
              </w:rPr>
            </w:pPr>
          </w:p>
          <w:p>
            <w:pPr>
              <w:pStyle w:val="TableParagraph"/>
              <w:spacing w:line="237" w:lineRule="auto" w:before="1"/>
              <w:ind w:left="106" w:right="282"/>
              <w:jc w:val="both"/>
              <w:rPr>
                <w:sz w:val="21"/>
              </w:rPr>
            </w:pPr>
            <w:r>
              <w:rPr>
                <w:sz w:val="21"/>
              </w:rPr>
              <w:t>您或被保险人可以指定一人或多人为身故保险金受益人。身故保险金受益人为多人时，可以确定受益顺序和受益份额；如果没有确定份额，各受益人按照相等份额享有受益权。如果受益人先于被保险人死亡或依法丧失受益权或放弃受益权，您或被保险人未重新指定受益人的，对该受益人应得份额由其他受益人按照约定份额比例享有。被保险人为无民事行为能力人或限制民事行为能力人的，可以由其监护人指定受益人。</w:t>
            </w:r>
          </w:p>
          <w:p>
            <w:pPr>
              <w:pStyle w:val="TableParagraph"/>
              <w:spacing w:before="3"/>
              <w:rPr>
                <w:rFonts w:ascii="黑体"/>
                <w:sz w:val="20"/>
              </w:rPr>
            </w:pPr>
          </w:p>
          <w:p>
            <w:pPr>
              <w:pStyle w:val="TableParagraph"/>
              <w:spacing w:line="274" w:lineRule="exact"/>
              <w:ind w:left="106" w:right="282"/>
              <w:jc w:val="both"/>
              <w:rPr>
                <w:sz w:val="21"/>
              </w:rPr>
            </w:pPr>
            <w:r>
              <w:rPr>
                <w:sz w:val="21"/>
              </w:rPr>
              <w:t>您或被保险人可以变更身故保险金受益人并书面通知我们。我们收到变更受益人的书面通知后，在保险单或其它保险凭证上批注或附贴批单。</w:t>
            </w:r>
          </w:p>
        </w:tc>
      </w:tr>
    </w:tbl>
    <w:p>
      <w:pPr>
        <w:spacing w:after="0" w:line="274" w:lineRule="exact"/>
        <w:jc w:val="both"/>
        <w:rPr>
          <w:sz w:val="21"/>
        </w:rPr>
        <w:sectPr>
          <w:pgSz w:w="11910" w:h="16840"/>
          <w:pgMar w:top="1060" w:bottom="280" w:left="580" w:right="134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70"/>
        <w:gridCol w:w="1694"/>
        <w:gridCol w:w="7161"/>
      </w:tblGrid>
      <w:tr>
        <w:trPr>
          <w:trHeight w:val="3526" w:hRule="atLeast"/>
        </w:trPr>
        <w:tc>
          <w:tcPr>
            <w:tcW w:w="570" w:type="dxa"/>
          </w:tcPr>
          <w:p>
            <w:pPr>
              <w:pStyle w:val="TableParagraph"/>
              <w:rPr>
                <w:rFonts w:ascii="Times New Roman"/>
                <w:sz w:val="20"/>
              </w:rPr>
            </w:pPr>
          </w:p>
        </w:tc>
        <w:tc>
          <w:tcPr>
            <w:tcW w:w="1694" w:type="dxa"/>
          </w:tcPr>
          <w:p>
            <w:pPr>
              <w:pStyle w:val="TableParagraph"/>
              <w:rPr>
                <w:rFonts w:ascii="Times New Roman"/>
                <w:sz w:val="20"/>
              </w:rPr>
            </w:pPr>
          </w:p>
        </w:tc>
        <w:tc>
          <w:tcPr>
            <w:tcW w:w="7161" w:type="dxa"/>
          </w:tcPr>
          <w:p>
            <w:pPr>
              <w:pStyle w:val="TableParagraph"/>
              <w:spacing w:line="211" w:lineRule="exact"/>
              <w:ind w:left="108"/>
              <w:rPr>
                <w:sz w:val="21"/>
              </w:rPr>
            </w:pPr>
            <w:r>
              <w:rPr>
                <w:sz w:val="21"/>
              </w:rPr>
              <w:t>您在指定和变更身故保险金受益人时，必须经过被保险人同意。</w:t>
            </w:r>
          </w:p>
          <w:p>
            <w:pPr>
              <w:pStyle w:val="TableParagraph"/>
              <w:spacing w:before="5"/>
              <w:rPr>
                <w:rFonts w:ascii="黑体"/>
                <w:sz w:val="18"/>
              </w:rPr>
            </w:pPr>
          </w:p>
          <w:p>
            <w:pPr>
              <w:pStyle w:val="TableParagraph"/>
              <w:spacing w:line="237" w:lineRule="auto" w:before="1"/>
              <w:ind w:left="108" w:right="303"/>
              <w:rPr>
                <w:sz w:val="21"/>
              </w:rPr>
            </w:pPr>
            <w:r>
              <w:rPr>
                <w:sz w:val="21"/>
              </w:rPr>
              <w:t>被保险人身故后，有下列情形之一的，保险金作为被保险人的遗产，由我们依照《中华人民共和国继承法》的规定履行给付保险金的义务：</w:t>
            </w:r>
          </w:p>
          <w:p>
            <w:pPr>
              <w:pStyle w:val="TableParagraph"/>
              <w:spacing w:line="280" w:lineRule="exact"/>
              <w:ind w:left="108"/>
              <w:rPr>
                <w:sz w:val="21"/>
              </w:rPr>
            </w:pPr>
            <w:r>
              <w:rPr>
                <w:rFonts w:ascii="Times New Roman" w:eastAsia="Times New Roman"/>
                <w:sz w:val="21"/>
              </w:rPr>
              <w:t>1</w:t>
            </w:r>
            <w:r>
              <w:rPr>
                <w:sz w:val="21"/>
              </w:rPr>
              <w:t>、没有指定受益人，或受益人指定不明无法确定的；</w:t>
            </w:r>
          </w:p>
          <w:p>
            <w:pPr>
              <w:pStyle w:val="TableParagraph"/>
              <w:spacing w:line="272" w:lineRule="exact"/>
              <w:ind w:left="108"/>
              <w:rPr>
                <w:sz w:val="21"/>
              </w:rPr>
            </w:pPr>
            <w:r>
              <w:rPr>
                <w:rFonts w:ascii="Times New Roman" w:eastAsia="Times New Roman"/>
                <w:sz w:val="21"/>
              </w:rPr>
              <w:t>2</w:t>
            </w:r>
            <w:r>
              <w:rPr>
                <w:sz w:val="21"/>
              </w:rPr>
              <w:t>、受益人先于被保险人身故，没有其他受益人的；</w:t>
            </w:r>
          </w:p>
          <w:p>
            <w:pPr>
              <w:pStyle w:val="TableParagraph"/>
              <w:spacing w:line="282" w:lineRule="exact"/>
              <w:ind w:left="108"/>
              <w:rPr>
                <w:sz w:val="21"/>
              </w:rPr>
            </w:pPr>
            <w:r>
              <w:rPr>
                <w:rFonts w:ascii="Times New Roman" w:eastAsia="Times New Roman"/>
                <w:sz w:val="21"/>
              </w:rPr>
              <w:t>3</w:t>
            </w:r>
            <w:r>
              <w:rPr>
                <w:sz w:val="21"/>
              </w:rPr>
              <w:t>、受益人依法丧失受益权或放弃受益权，没有其他受益人的。</w:t>
            </w:r>
          </w:p>
          <w:p>
            <w:pPr>
              <w:pStyle w:val="TableParagraph"/>
              <w:spacing w:before="3"/>
              <w:rPr>
                <w:rFonts w:ascii="黑体"/>
                <w:sz w:val="17"/>
              </w:rPr>
            </w:pPr>
          </w:p>
          <w:p>
            <w:pPr>
              <w:pStyle w:val="TableParagraph"/>
              <w:spacing w:line="237" w:lineRule="auto"/>
              <w:ind w:left="108" w:right="303"/>
              <w:rPr>
                <w:sz w:val="21"/>
              </w:rPr>
            </w:pPr>
            <w:r>
              <w:rPr>
                <w:sz w:val="21"/>
              </w:rPr>
              <w:t>受益人与被保险人在同一事件中身故，且不能确定身故先后顺序的，推定受益人身故在先。</w:t>
            </w:r>
          </w:p>
          <w:p>
            <w:pPr>
              <w:pStyle w:val="TableParagraph"/>
              <w:spacing w:before="3"/>
              <w:rPr>
                <w:rFonts w:ascii="黑体"/>
                <w:sz w:val="18"/>
              </w:rPr>
            </w:pPr>
          </w:p>
          <w:p>
            <w:pPr>
              <w:pStyle w:val="TableParagraph"/>
              <w:ind w:left="108" w:right="303"/>
              <w:rPr>
                <w:sz w:val="21"/>
              </w:rPr>
            </w:pPr>
            <w:r>
              <w:rPr>
                <w:sz w:val="21"/>
              </w:rPr>
              <w:t>受益人故意造成被保险人身故、伤残、疾病的，或故意杀害被保险人未遂的，该受益人丧失受益权。</w:t>
            </w:r>
          </w:p>
        </w:tc>
      </w:tr>
      <w:tr>
        <w:trPr>
          <w:trHeight w:val="6686" w:hRule="atLeast"/>
        </w:trPr>
        <w:tc>
          <w:tcPr>
            <w:tcW w:w="570" w:type="dxa"/>
          </w:tcPr>
          <w:p>
            <w:pPr>
              <w:pStyle w:val="TableParagraph"/>
              <w:spacing w:before="131"/>
              <w:ind w:right="103"/>
              <w:jc w:val="right"/>
              <w:rPr>
                <w:rFonts w:ascii="Times New Roman"/>
                <w:b/>
                <w:sz w:val="21"/>
              </w:rPr>
            </w:pPr>
            <w:r>
              <w:rPr>
                <w:rFonts w:ascii="Times New Roman"/>
                <w:b/>
                <w:sz w:val="21"/>
              </w:rPr>
              <w:t>6.4</w:t>
            </w:r>
          </w:p>
        </w:tc>
        <w:tc>
          <w:tcPr>
            <w:tcW w:w="1694" w:type="dxa"/>
          </w:tcPr>
          <w:p>
            <w:pPr>
              <w:pStyle w:val="TableParagraph"/>
              <w:spacing w:before="99"/>
              <w:ind w:left="105"/>
              <w:rPr>
                <w:b/>
                <w:sz w:val="21"/>
              </w:rPr>
            </w:pPr>
            <w:r>
              <w:rPr>
                <w:b/>
                <w:sz w:val="21"/>
              </w:rPr>
              <w:t>如何申请保险金</w:t>
            </w:r>
          </w:p>
        </w:tc>
        <w:tc>
          <w:tcPr>
            <w:tcW w:w="7161" w:type="dxa"/>
          </w:tcPr>
          <w:p>
            <w:pPr>
              <w:pStyle w:val="TableParagraph"/>
              <w:spacing w:line="225" w:lineRule="auto" w:before="116"/>
              <w:ind w:left="108" w:right="221"/>
              <w:rPr>
                <w:sz w:val="21"/>
              </w:rPr>
            </w:pPr>
            <w:r>
              <w:rPr>
                <w:rFonts w:ascii="Times New Roman" w:eastAsia="Times New Roman"/>
                <w:sz w:val="21"/>
              </w:rPr>
              <w:t>1</w:t>
            </w:r>
            <w:r>
              <w:rPr>
                <w:sz w:val="21"/>
              </w:rPr>
              <w:t>、申请重大疾病保险金或轻症疾病保险金时，申请人须填写理赔申请书， 并提供下列证明和资料原件：</w:t>
            </w:r>
          </w:p>
          <w:p>
            <w:pPr>
              <w:pStyle w:val="TableParagraph"/>
              <w:spacing w:line="270" w:lineRule="exact"/>
              <w:ind w:left="108"/>
              <w:rPr>
                <w:sz w:val="21"/>
              </w:rPr>
            </w:pPr>
            <w:r>
              <w:rPr>
                <w:sz w:val="21"/>
              </w:rPr>
              <w:t>（1） 保险合同；</w:t>
            </w:r>
          </w:p>
          <w:p>
            <w:pPr>
              <w:pStyle w:val="TableParagraph"/>
              <w:spacing w:line="273" w:lineRule="exact"/>
              <w:ind w:left="108"/>
              <w:rPr>
                <w:sz w:val="21"/>
              </w:rPr>
            </w:pPr>
            <w:r>
              <w:rPr>
                <w:sz w:val="21"/>
              </w:rPr>
              <w:t>（2） 被保险人的有效身份证件；</w:t>
            </w:r>
          </w:p>
          <w:p>
            <w:pPr>
              <w:pStyle w:val="TableParagraph"/>
              <w:spacing w:line="223" w:lineRule="auto" w:before="19"/>
              <w:ind w:left="655" w:right="300" w:hanging="548"/>
              <w:rPr>
                <w:sz w:val="21"/>
              </w:rPr>
            </w:pPr>
            <w:r>
              <w:rPr>
                <w:sz w:val="21"/>
              </w:rPr>
              <w:t>（3）</w:t>
            </w:r>
            <w:r>
              <w:rPr>
                <w:spacing w:val="-78"/>
                <w:sz w:val="21"/>
              </w:rPr>
              <w:t> </w:t>
            </w:r>
            <w:r>
              <w:rPr>
                <w:rFonts w:ascii="黑体" w:eastAsia="黑体" w:hint="eastAsia"/>
                <w:sz w:val="21"/>
              </w:rPr>
              <w:t>医院</w:t>
            </w:r>
            <w:r>
              <w:rPr>
                <w:spacing w:val="-3"/>
                <w:sz w:val="21"/>
              </w:rPr>
              <w:t>（</w:t>
            </w:r>
            <w:r>
              <w:rPr>
                <w:spacing w:val="-8"/>
                <w:sz w:val="21"/>
              </w:rPr>
              <w:t>见 </w:t>
            </w:r>
            <w:r>
              <w:rPr>
                <w:rFonts w:ascii="Times New Roman" w:eastAsia="Times New Roman"/>
                <w:spacing w:val="-3"/>
                <w:sz w:val="21"/>
              </w:rPr>
              <w:t>11.18</w:t>
            </w:r>
            <w:r>
              <w:rPr>
                <w:spacing w:val="-3"/>
                <w:sz w:val="21"/>
              </w:rPr>
              <w:t>）诊断证明</w:t>
            </w:r>
            <w:r>
              <w:rPr>
                <w:sz w:val="21"/>
              </w:rPr>
              <w:t>（</w:t>
            </w:r>
            <w:r>
              <w:rPr>
                <w:spacing w:val="-3"/>
                <w:sz w:val="21"/>
              </w:rPr>
              <w:t>包括完整的门诊病历、出院小结或出院</w:t>
            </w:r>
            <w:r>
              <w:rPr>
                <w:spacing w:val="-3"/>
                <w:w w:val="100"/>
                <w:sz w:val="21"/>
              </w:rPr>
              <w:t>证明、相关的检查检验报告等</w:t>
            </w:r>
            <w:r>
              <w:rPr>
                <w:spacing w:val="-108"/>
                <w:w w:val="100"/>
                <w:sz w:val="21"/>
              </w:rPr>
              <w:t>）</w:t>
            </w:r>
            <w:r>
              <w:rPr>
                <w:w w:val="100"/>
                <w:sz w:val="21"/>
              </w:rPr>
              <w:t>；</w:t>
            </w:r>
          </w:p>
          <w:p>
            <w:pPr>
              <w:pStyle w:val="TableParagraph"/>
              <w:spacing w:line="237" w:lineRule="auto" w:before="1"/>
              <w:ind w:left="655" w:right="300" w:hanging="548"/>
              <w:rPr>
                <w:sz w:val="21"/>
              </w:rPr>
            </w:pPr>
            <w:r>
              <w:rPr>
                <w:sz w:val="21"/>
              </w:rPr>
              <w:t>（4）</w:t>
            </w:r>
            <w:r>
              <w:rPr>
                <w:spacing w:val="-6"/>
                <w:sz w:val="21"/>
              </w:rPr>
              <w:t> 本合同附表一所列相应重大疾病和附表二所列相应轻症疾病中明确</w:t>
            </w:r>
            <w:r>
              <w:rPr>
                <w:spacing w:val="-4"/>
                <w:sz w:val="21"/>
              </w:rPr>
              <w:t>要求的其它医疗证明；</w:t>
            </w:r>
          </w:p>
          <w:p>
            <w:pPr>
              <w:pStyle w:val="TableParagraph"/>
              <w:spacing w:line="274" w:lineRule="exact"/>
              <w:ind w:left="108"/>
              <w:rPr>
                <w:sz w:val="21"/>
              </w:rPr>
            </w:pPr>
            <w:r>
              <w:rPr>
                <w:sz w:val="21"/>
              </w:rPr>
              <w:t>（5） 所能提供的与确认保险事故的性质、原因等有关的其它证明和资料。</w:t>
            </w:r>
          </w:p>
          <w:p>
            <w:pPr>
              <w:pStyle w:val="TableParagraph"/>
              <w:spacing w:before="10"/>
              <w:rPr>
                <w:rFonts w:ascii="黑体"/>
                <w:sz w:val="19"/>
              </w:rPr>
            </w:pPr>
          </w:p>
          <w:p>
            <w:pPr>
              <w:pStyle w:val="TableParagraph"/>
              <w:spacing w:line="223" w:lineRule="auto" w:before="1"/>
              <w:ind w:left="108" w:right="302"/>
              <w:rPr>
                <w:sz w:val="21"/>
              </w:rPr>
            </w:pPr>
            <w:r>
              <w:rPr>
                <w:rFonts w:ascii="Times New Roman" w:eastAsia="Times New Roman"/>
                <w:sz w:val="21"/>
              </w:rPr>
              <w:t>2</w:t>
            </w:r>
            <w:r>
              <w:rPr>
                <w:spacing w:val="-11"/>
                <w:sz w:val="21"/>
              </w:rPr>
              <w:t>、申请身故保险金时，申请人须填写理赔申请书，并提供下列证明和资料原件：</w:t>
            </w:r>
          </w:p>
          <w:p>
            <w:pPr>
              <w:pStyle w:val="TableParagraph"/>
              <w:spacing w:line="272" w:lineRule="exact"/>
              <w:ind w:left="108"/>
              <w:rPr>
                <w:sz w:val="21"/>
              </w:rPr>
            </w:pPr>
            <w:r>
              <w:rPr>
                <w:sz w:val="21"/>
              </w:rPr>
              <w:t>（1） 保险合同；</w:t>
            </w:r>
          </w:p>
          <w:p>
            <w:pPr>
              <w:pStyle w:val="TableParagraph"/>
              <w:spacing w:line="272" w:lineRule="exact"/>
              <w:ind w:left="108"/>
              <w:rPr>
                <w:sz w:val="21"/>
              </w:rPr>
            </w:pPr>
            <w:r>
              <w:rPr>
                <w:sz w:val="21"/>
              </w:rPr>
              <w:t>（2） 身故保险金受益人的有效身份证件，与被保险人的关系证明；</w:t>
            </w:r>
          </w:p>
          <w:p>
            <w:pPr>
              <w:pStyle w:val="TableParagraph"/>
              <w:spacing w:line="272" w:lineRule="exact"/>
              <w:ind w:left="108"/>
              <w:rPr>
                <w:sz w:val="21"/>
              </w:rPr>
            </w:pPr>
            <w:r>
              <w:rPr>
                <w:sz w:val="21"/>
              </w:rPr>
              <w:t>（3） 被保险人的有效身份证件，户籍注销证明，丧葬证明；</w:t>
            </w:r>
          </w:p>
          <w:p>
            <w:pPr>
              <w:pStyle w:val="TableParagraph"/>
              <w:ind w:left="660" w:right="304" w:hanging="552"/>
              <w:rPr>
                <w:sz w:val="21"/>
              </w:rPr>
            </w:pPr>
            <w:r>
              <w:rPr>
                <w:sz w:val="21"/>
              </w:rPr>
              <w:t>（4） 国家卫生行政部门认定的医疗机构、公安部门或其它相关机构出具的被保险人的死亡证明或人民法院出具的宣告死亡证明文件；</w:t>
            </w:r>
          </w:p>
          <w:p>
            <w:pPr>
              <w:pStyle w:val="TableParagraph"/>
              <w:spacing w:line="272" w:lineRule="exact" w:before="2"/>
              <w:ind w:left="108"/>
              <w:rPr>
                <w:sz w:val="21"/>
              </w:rPr>
            </w:pPr>
            <w:r>
              <w:rPr>
                <w:sz w:val="21"/>
              </w:rPr>
              <w:t>（5） 所能提供的与确认保险事故的性质、原因等有关的其它证明和资料。</w:t>
            </w:r>
          </w:p>
          <w:p>
            <w:pPr>
              <w:pStyle w:val="TableParagraph"/>
              <w:spacing w:before="3"/>
              <w:rPr>
                <w:rFonts w:ascii="黑体"/>
                <w:sz w:val="18"/>
              </w:rPr>
            </w:pPr>
          </w:p>
          <w:p>
            <w:pPr>
              <w:pStyle w:val="TableParagraph"/>
              <w:ind w:left="108" w:right="302"/>
              <w:rPr>
                <w:sz w:val="21"/>
              </w:rPr>
            </w:pPr>
            <w:r>
              <w:rPr>
                <w:sz w:val="21"/>
              </w:rPr>
              <w:t>保险金作为被保险人遗产时，申请人必须提供可证明合法继承权的相关权利文件。</w:t>
            </w:r>
          </w:p>
          <w:p>
            <w:pPr>
              <w:pStyle w:val="TableParagraph"/>
              <w:spacing w:before="5"/>
              <w:rPr>
                <w:rFonts w:ascii="黑体"/>
                <w:sz w:val="18"/>
              </w:rPr>
            </w:pPr>
          </w:p>
          <w:p>
            <w:pPr>
              <w:pStyle w:val="TableParagraph"/>
              <w:spacing w:line="237" w:lineRule="auto"/>
              <w:ind w:left="108" w:right="303"/>
              <w:rPr>
                <w:sz w:val="21"/>
              </w:rPr>
            </w:pPr>
            <w:r>
              <w:rPr>
                <w:sz w:val="21"/>
              </w:rPr>
              <w:t>以上证明和资料不完整的，我们将及时一次性通知申请人补充提供有关证明和资料。</w:t>
            </w:r>
          </w:p>
        </w:tc>
      </w:tr>
      <w:tr>
        <w:trPr>
          <w:trHeight w:val="3551" w:hRule="atLeast"/>
        </w:trPr>
        <w:tc>
          <w:tcPr>
            <w:tcW w:w="570" w:type="dxa"/>
          </w:tcPr>
          <w:p>
            <w:pPr>
              <w:pStyle w:val="TableParagraph"/>
              <w:spacing w:before="132"/>
              <w:ind w:right="103"/>
              <w:jc w:val="right"/>
              <w:rPr>
                <w:rFonts w:ascii="Times New Roman"/>
                <w:b/>
                <w:sz w:val="21"/>
              </w:rPr>
            </w:pPr>
            <w:r>
              <w:rPr>
                <w:rFonts w:ascii="Times New Roman"/>
                <w:b/>
                <w:sz w:val="21"/>
              </w:rPr>
              <w:t>6.5</w:t>
            </w:r>
          </w:p>
        </w:tc>
        <w:tc>
          <w:tcPr>
            <w:tcW w:w="1694" w:type="dxa"/>
          </w:tcPr>
          <w:p>
            <w:pPr>
              <w:pStyle w:val="TableParagraph"/>
              <w:spacing w:line="237" w:lineRule="auto" w:before="103"/>
              <w:ind w:left="105" w:right="105"/>
              <w:rPr>
                <w:b/>
                <w:sz w:val="21"/>
              </w:rPr>
            </w:pPr>
            <w:r>
              <w:rPr>
                <w:b/>
                <w:sz w:val="21"/>
              </w:rPr>
              <w:t>保险金的给付时效</w:t>
            </w:r>
          </w:p>
        </w:tc>
        <w:tc>
          <w:tcPr>
            <w:tcW w:w="7161" w:type="dxa"/>
          </w:tcPr>
          <w:p>
            <w:pPr>
              <w:pStyle w:val="TableParagraph"/>
              <w:spacing w:line="237" w:lineRule="auto" w:before="103"/>
              <w:ind w:left="108" w:right="302"/>
              <w:rPr>
                <w:sz w:val="21"/>
              </w:rPr>
            </w:pPr>
            <w:r>
              <w:rPr>
                <w:spacing w:val="-3"/>
                <w:sz w:val="21"/>
              </w:rPr>
              <w:t>我们在收到理赔申请书及合同约定的证明和资料后，会及时作出核定；情</w:t>
            </w:r>
            <w:r>
              <w:rPr>
                <w:spacing w:val="-11"/>
                <w:sz w:val="21"/>
              </w:rPr>
              <w:t>形复杂的，在 </w:t>
            </w:r>
            <w:r>
              <w:rPr>
                <w:rFonts w:ascii="Times New Roman" w:eastAsia="Times New Roman"/>
                <w:sz w:val="21"/>
              </w:rPr>
              <w:t>30 </w:t>
            </w:r>
            <w:r>
              <w:rPr>
                <w:spacing w:val="-9"/>
                <w:sz w:val="21"/>
              </w:rPr>
              <w:t>日内作出核定。对属于保险责任的，我们在与受益人达成</w:t>
            </w:r>
          </w:p>
          <w:p>
            <w:pPr>
              <w:pStyle w:val="TableParagraph"/>
              <w:spacing w:line="271" w:lineRule="exact"/>
              <w:ind w:left="108"/>
              <w:rPr>
                <w:sz w:val="21"/>
              </w:rPr>
            </w:pPr>
            <w:r>
              <w:rPr>
                <w:sz w:val="21"/>
              </w:rPr>
              <w:t>给付保险金的协议后 </w:t>
            </w:r>
            <w:r>
              <w:rPr>
                <w:rFonts w:ascii="Times New Roman" w:eastAsia="Times New Roman"/>
                <w:sz w:val="21"/>
              </w:rPr>
              <w:t>10 </w:t>
            </w:r>
            <w:r>
              <w:rPr>
                <w:sz w:val="21"/>
              </w:rPr>
              <w:t>日内，履行给付保险金义务。</w:t>
            </w:r>
          </w:p>
          <w:p>
            <w:pPr>
              <w:pStyle w:val="TableParagraph"/>
              <w:spacing w:before="5"/>
              <w:rPr>
                <w:rFonts w:ascii="黑体"/>
                <w:sz w:val="17"/>
              </w:rPr>
            </w:pPr>
          </w:p>
          <w:p>
            <w:pPr>
              <w:pStyle w:val="TableParagraph"/>
              <w:spacing w:line="237" w:lineRule="auto"/>
              <w:ind w:left="108" w:right="303"/>
              <w:rPr>
                <w:sz w:val="21"/>
              </w:rPr>
            </w:pPr>
            <w:r>
              <w:rPr>
                <w:sz w:val="21"/>
              </w:rPr>
              <w:t>我们未及时履行前款规定义务的，除支付保险金外，应当赔偿受益人因此受到的损失。</w:t>
            </w:r>
          </w:p>
          <w:p>
            <w:pPr>
              <w:pStyle w:val="TableParagraph"/>
              <w:spacing w:before="7"/>
              <w:rPr>
                <w:rFonts w:ascii="黑体"/>
                <w:sz w:val="19"/>
              </w:rPr>
            </w:pPr>
          </w:p>
          <w:p>
            <w:pPr>
              <w:pStyle w:val="TableParagraph"/>
              <w:spacing w:line="225" w:lineRule="auto"/>
              <w:ind w:left="108" w:right="249"/>
              <w:rPr>
                <w:sz w:val="21"/>
              </w:rPr>
            </w:pPr>
            <w:r>
              <w:rPr>
                <w:sz w:val="21"/>
              </w:rPr>
              <w:t>对不属于保险责任的，我们自作出核定之日起 </w:t>
            </w:r>
            <w:r>
              <w:rPr>
                <w:rFonts w:ascii="Times New Roman" w:eastAsia="Times New Roman"/>
                <w:sz w:val="21"/>
              </w:rPr>
              <w:t>3 </w:t>
            </w:r>
            <w:r>
              <w:rPr>
                <w:sz w:val="21"/>
              </w:rPr>
              <w:t>日内向受益人发出拒绝给付保险金通知书并说明理由。</w:t>
            </w:r>
          </w:p>
          <w:p>
            <w:pPr>
              <w:pStyle w:val="TableParagraph"/>
              <w:spacing w:before="10"/>
              <w:rPr>
                <w:rFonts w:ascii="黑体"/>
                <w:sz w:val="19"/>
              </w:rPr>
            </w:pPr>
          </w:p>
          <w:p>
            <w:pPr>
              <w:pStyle w:val="TableParagraph"/>
              <w:spacing w:line="223" w:lineRule="auto"/>
              <w:ind w:left="108" w:right="300"/>
              <w:rPr>
                <w:sz w:val="21"/>
              </w:rPr>
            </w:pPr>
            <w:r>
              <w:rPr>
                <w:spacing w:val="-5"/>
                <w:sz w:val="21"/>
              </w:rPr>
              <w:t>我们在收到理赔申请书及有关证明和资料之日起 </w:t>
            </w:r>
            <w:r>
              <w:rPr>
                <w:rFonts w:ascii="Times New Roman" w:eastAsia="Times New Roman"/>
                <w:sz w:val="21"/>
              </w:rPr>
              <w:t>60 </w:t>
            </w:r>
            <w:r>
              <w:rPr>
                <w:spacing w:val="-11"/>
                <w:sz w:val="21"/>
              </w:rPr>
              <w:t>日内，对给付保险金的</w:t>
            </w:r>
            <w:r>
              <w:rPr>
                <w:spacing w:val="-10"/>
                <w:sz w:val="21"/>
              </w:rPr>
              <w:t>数额不能确定的，根据已有证明和资料可以确定的数额先予支付；我们最</w:t>
            </w:r>
          </w:p>
          <w:p>
            <w:pPr>
              <w:pStyle w:val="TableParagraph"/>
              <w:spacing w:line="254" w:lineRule="exact"/>
              <w:ind w:left="108"/>
              <w:rPr>
                <w:sz w:val="21"/>
              </w:rPr>
            </w:pPr>
            <w:r>
              <w:rPr>
                <w:sz w:val="21"/>
              </w:rPr>
              <w:t>终确定给付保险金的数额后，将支付相应的差额。</w:t>
            </w:r>
          </w:p>
        </w:tc>
      </w:tr>
    </w:tbl>
    <w:p>
      <w:pPr>
        <w:spacing w:after="0" w:line="254" w:lineRule="exact"/>
        <w:rPr>
          <w:sz w:val="21"/>
        </w:rPr>
        <w:sectPr>
          <w:pgSz w:w="11910" w:h="16840"/>
          <w:pgMar w:top="1060" w:bottom="280" w:left="940" w:right="1320"/>
        </w:sectPr>
      </w:pPr>
    </w:p>
    <w:tbl>
      <w:tblPr>
        <w:tblW w:w="0" w:type="auto"/>
        <w:jc w:val="left"/>
        <w:tblInd w:w="11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019"/>
        <w:gridCol w:w="1694"/>
        <w:gridCol w:w="7190"/>
      </w:tblGrid>
      <w:tr>
        <w:trPr>
          <w:trHeight w:val="645" w:hRule="atLeast"/>
        </w:trPr>
        <w:tc>
          <w:tcPr>
            <w:tcW w:w="1019" w:type="dxa"/>
          </w:tcPr>
          <w:p>
            <w:pPr>
              <w:pStyle w:val="TableParagraph"/>
              <w:spacing w:line="234" w:lineRule="exact"/>
              <w:ind w:right="77"/>
              <w:jc w:val="right"/>
              <w:rPr>
                <w:rFonts w:ascii="Times New Roman"/>
                <w:b/>
                <w:sz w:val="21"/>
              </w:rPr>
            </w:pPr>
            <w:r>
              <w:rPr>
                <w:rFonts w:ascii="Times New Roman"/>
                <w:b/>
                <w:sz w:val="21"/>
              </w:rPr>
              <w:t>6.6</w:t>
            </w:r>
          </w:p>
        </w:tc>
        <w:tc>
          <w:tcPr>
            <w:tcW w:w="1694" w:type="dxa"/>
          </w:tcPr>
          <w:p>
            <w:pPr>
              <w:pStyle w:val="TableParagraph"/>
              <w:spacing w:line="233" w:lineRule="exact"/>
              <w:ind w:left="131"/>
              <w:rPr>
                <w:b/>
                <w:sz w:val="21"/>
              </w:rPr>
            </w:pPr>
            <w:r>
              <w:rPr>
                <w:b/>
                <w:sz w:val="21"/>
              </w:rPr>
              <w:t>身体检查与司法</w:t>
            </w:r>
          </w:p>
          <w:p>
            <w:pPr>
              <w:pStyle w:val="TableParagraph"/>
              <w:spacing w:line="273" w:lineRule="exact"/>
              <w:ind w:left="131"/>
              <w:rPr>
                <w:b/>
                <w:sz w:val="21"/>
              </w:rPr>
            </w:pPr>
            <w:r>
              <w:rPr>
                <w:b/>
                <w:sz w:val="21"/>
              </w:rPr>
              <w:t>鉴定</w:t>
            </w:r>
          </w:p>
        </w:tc>
        <w:tc>
          <w:tcPr>
            <w:tcW w:w="7190" w:type="dxa"/>
          </w:tcPr>
          <w:p>
            <w:pPr>
              <w:pStyle w:val="TableParagraph"/>
              <w:spacing w:line="233" w:lineRule="exact"/>
              <w:ind w:left="134"/>
              <w:rPr>
                <w:sz w:val="21"/>
              </w:rPr>
            </w:pPr>
            <w:r>
              <w:rPr>
                <w:sz w:val="21"/>
              </w:rPr>
              <w:t>申请保险金时，我们有权要求被保险人在我们指定的机构做身体检查及鉴</w:t>
            </w:r>
          </w:p>
          <w:p>
            <w:pPr>
              <w:pStyle w:val="TableParagraph"/>
              <w:spacing w:line="273" w:lineRule="exact"/>
              <w:ind w:left="134"/>
              <w:rPr>
                <w:sz w:val="21"/>
              </w:rPr>
            </w:pPr>
            <w:r>
              <w:rPr>
                <w:sz w:val="21"/>
              </w:rPr>
              <w:t>定。申请身故保险金时，我们有权通过司法鉴定机构对保险事故进行鉴定。</w:t>
            </w:r>
          </w:p>
        </w:tc>
      </w:tr>
      <w:tr>
        <w:trPr>
          <w:trHeight w:val="2791" w:hRule="atLeast"/>
        </w:trPr>
        <w:tc>
          <w:tcPr>
            <w:tcW w:w="1019" w:type="dxa"/>
          </w:tcPr>
          <w:p>
            <w:pPr>
              <w:pStyle w:val="TableParagraph"/>
              <w:spacing w:before="131"/>
              <w:ind w:right="77"/>
              <w:jc w:val="right"/>
              <w:rPr>
                <w:rFonts w:ascii="Times New Roman"/>
                <w:b/>
                <w:sz w:val="21"/>
              </w:rPr>
            </w:pPr>
            <w:r>
              <w:rPr>
                <w:rFonts w:ascii="Times New Roman"/>
                <w:b/>
                <w:sz w:val="21"/>
              </w:rPr>
              <w:t>6.7</w:t>
            </w:r>
          </w:p>
        </w:tc>
        <w:tc>
          <w:tcPr>
            <w:tcW w:w="1694" w:type="dxa"/>
          </w:tcPr>
          <w:p>
            <w:pPr>
              <w:pStyle w:val="TableParagraph"/>
              <w:spacing w:before="99"/>
              <w:ind w:left="131"/>
              <w:rPr>
                <w:b/>
                <w:sz w:val="21"/>
              </w:rPr>
            </w:pPr>
            <w:r>
              <w:rPr>
                <w:b/>
                <w:sz w:val="21"/>
              </w:rPr>
              <w:t>失踪处理</w:t>
            </w:r>
          </w:p>
        </w:tc>
        <w:tc>
          <w:tcPr>
            <w:tcW w:w="7190" w:type="dxa"/>
          </w:tcPr>
          <w:p>
            <w:pPr>
              <w:pStyle w:val="TableParagraph"/>
              <w:spacing w:line="237" w:lineRule="auto" w:before="102"/>
              <w:ind w:left="134" w:right="306"/>
              <w:jc w:val="both"/>
              <w:rPr>
                <w:sz w:val="21"/>
              </w:rPr>
            </w:pPr>
            <w:r>
              <w:rPr>
                <w:sz w:val="21"/>
              </w:rPr>
              <w:t>被保险人在本合同有效期内失踪，而且被法院宣告死亡，我们以判决书所确定的身故日为准，按照本合同的约定给付身故保险金；如果您或身故保险金受益人能提供证明文件，足以证明被保险人因意外伤害事故身故的， 我们将以意外伤害事故发生日为准，按照本合同约定给付身故保险金。</w:t>
            </w:r>
          </w:p>
          <w:p>
            <w:pPr>
              <w:pStyle w:val="TableParagraph"/>
              <w:spacing w:before="5"/>
              <w:rPr>
                <w:rFonts w:ascii="黑体"/>
                <w:sz w:val="18"/>
              </w:rPr>
            </w:pPr>
          </w:p>
          <w:p>
            <w:pPr>
              <w:pStyle w:val="TableParagraph"/>
              <w:spacing w:line="237" w:lineRule="auto" w:before="1"/>
              <w:ind w:left="134" w:right="197"/>
              <w:rPr>
                <w:sz w:val="21"/>
              </w:rPr>
            </w:pPr>
            <w:r>
              <w:rPr>
                <w:spacing w:val="-7"/>
                <w:sz w:val="21"/>
              </w:rPr>
              <w:t>如果领取我们因被保险人身故而给付的保险金后，发现被保险人仍然生存， 保险金领取人必须于知道被保险人仍然生存之日起一个月内将我们因被保险人身故而给付的保险金归还我们，在被保险人失踪期间，如果有其它应</w:t>
            </w:r>
            <w:r>
              <w:rPr>
                <w:spacing w:val="-5"/>
                <w:sz w:val="21"/>
              </w:rPr>
              <w:t>给付的保险金的，我们将依约给付。</w:t>
            </w:r>
          </w:p>
        </w:tc>
      </w:tr>
      <w:tr>
        <w:trPr>
          <w:trHeight w:val="1301" w:hRule="atLeast"/>
        </w:trPr>
        <w:tc>
          <w:tcPr>
            <w:tcW w:w="1019" w:type="dxa"/>
          </w:tcPr>
          <w:p>
            <w:pPr>
              <w:pStyle w:val="TableParagraph"/>
              <w:spacing w:before="2"/>
              <w:rPr>
                <w:rFonts w:ascii="黑体"/>
                <w:sz w:val="16"/>
              </w:rPr>
            </w:pPr>
          </w:p>
          <w:p>
            <w:pPr>
              <w:pStyle w:val="TableParagraph"/>
              <w:ind w:right="77"/>
              <w:jc w:val="right"/>
              <w:rPr>
                <w:b/>
                <w:sz w:val="21"/>
              </w:rPr>
            </w:pPr>
            <w:r>
              <w:rPr>
                <w:b/>
                <w:sz w:val="21"/>
              </w:rPr>
              <w:t>第 </w:t>
            </w:r>
            <w:r>
              <w:rPr>
                <w:rFonts w:ascii="Times New Roman" w:eastAsia="Times New Roman"/>
                <w:b/>
                <w:sz w:val="21"/>
              </w:rPr>
              <w:t>7 </w:t>
            </w:r>
            <w:r>
              <w:rPr>
                <w:b/>
                <w:sz w:val="21"/>
              </w:rPr>
              <w:t>章</w:t>
            </w:r>
          </w:p>
        </w:tc>
        <w:tc>
          <w:tcPr>
            <w:tcW w:w="1694" w:type="dxa"/>
          </w:tcPr>
          <w:p>
            <w:pPr>
              <w:pStyle w:val="TableParagraph"/>
              <w:spacing w:before="2"/>
              <w:rPr>
                <w:rFonts w:ascii="黑体"/>
                <w:sz w:val="16"/>
              </w:rPr>
            </w:pPr>
          </w:p>
          <w:p>
            <w:pPr>
              <w:pStyle w:val="TableParagraph"/>
              <w:ind w:left="131"/>
              <w:rPr>
                <w:b/>
                <w:sz w:val="21"/>
              </w:rPr>
            </w:pPr>
            <w:r>
              <w:rPr>
                <w:b/>
                <w:sz w:val="21"/>
              </w:rPr>
              <w:t>欠款的扣除</w:t>
            </w:r>
          </w:p>
        </w:tc>
        <w:tc>
          <w:tcPr>
            <w:tcW w:w="7190" w:type="dxa"/>
          </w:tcPr>
          <w:p>
            <w:pPr>
              <w:pStyle w:val="TableParagraph"/>
              <w:spacing w:before="5"/>
              <w:rPr>
                <w:rFonts w:ascii="黑体"/>
                <w:sz w:val="16"/>
              </w:rPr>
            </w:pPr>
          </w:p>
          <w:p>
            <w:pPr>
              <w:pStyle w:val="TableParagraph"/>
              <w:spacing w:line="237" w:lineRule="auto"/>
              <w:ind w:left="134" w:right="197"/>
              <w:rPr>
                <w:rFonts w:ascii="黑体" w:eastAsia="黑体" w:hint="eastAsia"/>
                <w:sz w:val="21"/>
              </w:rPr>
            </w:pPr>
            <w:r>
              <w:rPr>
                <w:rFonts w:ascii="黑体" w:eastAsia="黑体" w:hint="eastAsia"/>
                <w:spacing w:val="-3"/>
                <w:sz w:val="21"/>
              </w:rPr>
              <w:t>我们在给付保险金、退还本合同现金价值或保险费时，如果您有任何尚未</w:t>
            </w:r>
            <w:r>
              <w:rPr>
                <w:rFonts w:ascii="黑体" w:eastAsia="黑体" w:hint="eastAsia"/>
                <w:spacing w:val="-10"/>
                <w:sz w:val="21"/>
              </w:rPr>
              <w:t>偿清的保单借款、自动垫缴的保险费等款项的本金和利息或欠缴的保险费， </w:t>
            </w:r>
            <w:r>
              <w:rPr>
                <w:rFonts w:ascii="黑体" w:eastAsia="黑体" w:hint="eastAsia"/>
                <w:spacing w:val="-5"/>
                <w:sz w:val="21"/>
              </w:rPr>
              <w:t>我们有权先行扣除上述欠款。</w:t>
            </w:r>
          </w:p>
        </w:tc>
      </w:tr>
      <w:tr>
        <w:trPr>
          <w:trHeight w:val="634" w:hRule="atLeast"/>
        </w:trPr>
        <w:tc>
          <w:tcPr>
            <w:tcW w:w="1019" w:type="dxa"/>
          </w:tcPr>
          <w:p>
            <w:pPr>
              <w:pStyle w:val="TableParagraph"/>
              <w:spacing w:before="2"/>
              <w:rPr>
                <w:rFonts w:ascii="黑体"/>
                <w:sz w:val="16"/>
              </w:rPr>
            </w:pPr>
          </w:p>
          <w:p>
            <w:pPr>
              <w:pStyle w:val="TableParagraph"/>
              <w:spacing w:before="1"/>
              <w:ind w:right="77"/>
              <w:jc w:val="right"/>
              <w:rPr>
                <w:b/>
                <w:sz w:val="21"/>
              </w:rPr>
            </w:pPr>
            <w:r>
              <w:rPr>
                <w:b/>
                <w:sz w:val="21"/>
              </w:rPr>
              <w:t>第 </w:t>
            </w:r>
            <w:r>
              <w:rPr>
                <w:rFonts w:ascii="Times New Roman" w:eastAsia="Times New Roman"/>
                <w:b/>
                <w:sz w:val="21"/>
              </w:rPr>
              <w:t>8 </w:t>
            </w:r>
            <w:r>
              <w:rPr>
                <w:b/>
                <w:sz w:val="21"/>
              </w:rPr>
              <w:t>章</w:t>
            </w:r>
          </w:p>
        </w:tc>
        <w:tc>
          <w:tcPr>
            <w:tcW w:w="1694" w:type="dxa"/>
          </w:tcPr>
          <w:p>
            <w:pPr>
              <w:pStyle w:val="TableParagraph"/>
              <w:spacing w:before="2"/>
              <w:rPr>
                <w:rFonts w:ascii="黑体"/>
                <w:sz w:val="16"/>
              </w:rPr>
            </w:pPr>
          </w:p>
          <w:p>
            <w:pPr>
              <w:pStyle w:val="TableParagraph"/>
              <w:spacing w:before="1"/>
              <w:ind w:right="81"/>
              <w:jc w:val="right"/>
              <w:rPr>
                <w:b/>
                <w:sz w:val="21"/>
              </w:rPr>
            </w:pPr>
            <w:r>
              <w:rPr>
                <w:b/>
                <w:sz w:val="21"/>
              </w:rPr>
              <w:t>保险合同的变更</w:t>
            </w:r>
          </w:p>
        </w:tc>
        <w:tc>
          <w:tcPr>
            <w:tcW w:w="7190" w:type="dxa"/>
          </w:tcPr>
          <w:p>
            <w:pPr>
              <w:pStyle w:val="TableParagraph"/>
              <w:rPr>
                <w:rFonts w:ascii="Times New Roman"/>
                <w:sz w:val="20"/>
              </w:rPr>
            </w:pPr>
          </w:p>
        </w:tc>
      </w:tr>
      <w:tr>
        <w:trPr>
          <w:trHeight w:val="1564" w:hRule="atLeast"/>
        </w:trPr>
        <w:tc>
          <w:tcPr>
            <w:tcW w:w="1019" w:type="dxa"/>
          </w:tcPr>
          <w:p>
            <w:pPr>
              <w:pStyle w:val="TableParagraph"/>
              <w:spacing w:before="123"/>
              <w:ind w:right="77"/>
              <w:jc w:val="right"/>
              <w:rPr>
                <w:rFonts w:ascii="Times New Roman"/>
                <w:b/>
                <w:sz w:val="21"/>
              </w:rPr>
            </w:pPr>
            <w:r>
              <w:rPr>
                <w:rFonts w:ascii="Times New Roman"/>
                <w:b/>
                <w:sz w:val="21"/>
              </w:rPr>
              <w:t>8.1</w:t>
            </w:r>
          </w:p>
        </w:tc>
        <w:tc>
          <w:tcPr>
            <w:tcW w:w="1694" w:type="dxa"/>
          </w:tcPr>
          <w:p>
            <w:pPr>
              <w:pStyle w:val="TableParagraph"/>
              <w:spacing w:line="237" w:lineRule="auto" w:before="94"/>
              <w:ind w:left="131" w:right="79"/>
              <w:rPr>
                <w:b/>
                <w:sz w:val="21"/>
              </w:rPr>
            </w:pPr>
            <w:r>
              <w:rPr>
                <w:b/>
                <w:sz w:val="21"/>
              </w:rPr>
              <w:t>住所或通讯地址的变更</w:t>
            </w:r>
          </w:p>
        </w:tc>
        <w:tc>
          <w:tcPr>
            <w:tcW w:w="7190" w:type="dxa"/>
          </w:tcPr>
          <w:p>
            <w:pPr>
              <w:pStyle w:val="TableParagraph"/>
              <w:spacing w:before="91"/>
              <w:ind w:left="134"/>
              <w:rPr>
                <w:sz w:val="21"/>
              </w:rPr>
            </w:pPr>
            <w:r>
              <w:rPr>
                <w:sz w:val="21"/>
              </w:rPr>
              <w:t>您的住所或通讯地址变更时，应及时书面通知我们。</w:t>
            </w:r>
          </w:p>
          <w:p>
            <w:pPr>
              <w:pStyle w:val="TableParagraph"/>
              <w:spacing w:before="5"/>
              <w:rPr>
                <w:rFonts w:ascii="黑体"/>
                <w:sz w:val="18"/>
              </w:rPr>
            </w:pPr>
          </w:p>
          <w:p>
            <w:pPr>
              <w:pStyle w:val="TableParagraph"/>
              <w:spacing w:line="237" w:lineRule="auto" w:before="1"/>
              <w:ind w:left="134" w:right="305"/>
              <w:jc w:val="both"/>
              <w:rPr>
                <w:rFonts w:ascii="黑体" w:eastAsia="黑体" w:hint="eastAsia"/>
                <w:sz w:val="21"/>
              </w:rPr>
            </w:pPr>
            <w:r>
              <w:rPr>
                <w:sz w:val="21"/>
              </w:rPr>
              <w:t>如果您没有以书面形式通知我们，我们按本合同所载的最后住所或通讯地址所发送的通知，均视为已经送达。</w:t>
            </w:r>
            <w:r>
              <w:rPr>
                <w:rFonts w:ascii="黑体" w:eastAsia="黑体" w:hint="eastAsia"/>
                <w:sz w:val="21"/>
              </w:rPr>
              <w:t>如果因您未能及时通知我们，而使我们无法提供给您相应的服务，我们将不承担责任。</w:t>
            </w:r>
          </w:p>
        </w:tc>
      </w:tr>
      <w:tr>
        <w:trPr>
          <w:trHeight w:val="1701" w:hRule="atLeast"/>
        </w:trPr>
        <w:tc>
          <w:tcPr>
            <w:tcW w:w="1019" w:type="dxa"/>
          </w:tcPr>
          <w:p>
            <w:pPr>
              <w:pStyle w:val="TableParagraph"/>
              <w:spacing w:before="131"/>
              <w:ind w:right="77"/>
              <w:jc w:val="right"/>
              <w:rPr>
                <w:rFonts w:ascii="Times New Roman"/>
                <w:b/>
                <w:sz w:val="21"/>
              </w:rPr>
            </w:pPr>
            <w:r>
              <w:rPr>
                <w:rFonts w:ascii="Times New Roman"/>
                <w:b/>
                <w:sz w:val="21"/>
              </w:rPr>
              <w:t>8.2</w:t>
            </w:r>
          </w:p>
        </w:tc>
        <w:tc>
          <w:tcPr>
            <w:tcW w:w="1694" w:type="dxa"/>
          </w:tcPr>
          <w:p>
            <w:pPr>
              <w:pStyle w:val="TableParagraph"/>
              <w:spacing w:before="99"/>
              <w:ind w:right="81"/>
              <w:jc w:val="right"/>
              <w:rPr>
                <w:b/>
                <w:sz w:val="21"/>
              </w:rPr>
            </w:pPr>
            <w:r>
              <w:rPr>
                <w:b/>
                <w:sz w:val="21"/>
              </w:rPr>
              <w:t>合同内容的变更</w:t>
            </w:r>
          </w:p>
        </w:tc>
        <w:tc>
          <w:tcPr>
            <w:tcW w:w="7190" w:type="dxa"/>
          </w:tcPr>
          <w:p>
            <w:pPr>
              <w:pStyle w:val="TableParagraph"/>
              <w:spacing w:line="237" w:lineRule="auto" w:before="102"/>
              <w:ind w:left="134" w:right="306"/>
              <w:jc w:val="both"/>
              <w:rPr>
                <w:sz w:val="21"/>
              </w:rPr>
            </w:pPr>
            <w:r>
              <w:rPr>
                <w:sz w:val="21"/>
              </w:rPr>
              <w:t>在本合同有效期内，您可以书面形式向我们申请变更本合同的有关内容。该项变更须符合我们的规定，经我们审核同意并在本合同上批注或出具批单或与您订立书面变更协议后生效。</w:t>
            </w:r>
          </w:p>
          <w:p>
            <w:pPr>
              <w:pStyle w:val="TableParagraph"/>
              <w:spacing w:before="3"/>
              <w:rPr>
                <w:rFonts w:ascii="黑体"/>
                <w:sz w:val="18"/>
              </w:rPr>
            </w:pPr>
          </w:p>
          <w:p>
            <w:pPr>
              <w:pStyle w:val="TableParagraph"/>
              <w:ind w:left="134"/>
              <w:jc w:val="both"/>
              <w:rPr>
                <w:sz w:val="21"/>
              </w:rPr>
            </w:pPr>
            <w:r>
              <w:rPr>
                <w:sz w:val="21"/>
              </w:rPr>
              <w:t>若被保险人身故，则我们不接受本合同任何内容的变更申请。</w:t>
            </w:r>
          </w:p>
        </w:tc>
      </w:tr>
      <w:tr>
        <w:trPr>
          <w:trHeight w:val="3456" w:hRule="atLeast"/>
        </w:trPr>
        <w:tc>
          <w:tcPr>
            <w:tcW w:w="1019" w:type="dxa"/>
          </w:tcPr>
          <w:p>
            <w:pPr>
              <w:pStyle w:val="TableParagraph"/>
              <w:spacing w:before="2"/>
              <w:rPr>
                <w:rFonts w:ascii="黑体"/>
                <w:sz w:val="16"/>
              </w:rPr>
            </w:pPr>
          </w:p>
          <w:p>
            <w:pPr>
              <w:pStyle w:val="TableParagraph"/>
              <w:spacing w:before="1"/>
              <w:ind w:right="77"/>
              <w:jc w:val="right"/>
              <w:rPr>
                <w:b/>
                <w:sz w:val="21"/>
              </w:rPr>
            </w:pPr>
            <w:r>
              <w:rPr>
                <w:b/>
                <w:sz w:val="21"/>
              </w:rPr>
              <w:t>第 </w:t>
            </w:r>
            <w:r>
              <w:rPr>
                <w:rFonts w:ascii="Times New Roman" w:eastAsia="Times New Roman"/>
                <w:b/>
                <w:sz w:val="21"/>
              </w:rPr>
              <w:t>9 </w:t>
            </w:r>
            <w:r>
              <w:rPr>
                <w:b/>
                <w:sz w:val="21"/>
              </w:rPr>
              <w:t>章</w:t>
            </w:r>
          </w:p>
        </w:tc>
        <w:tc>
          <w:tcPr>
            <w:tcW w:w="1694" w:type="dxa"/>
          </w:tcPr>
          <w:p>
            <w:pPr>
              <w:pStyle w:val="TableParagraph"/>
              <w:spacing w:before="2"/>
              <w:rPr>
                <w:rFonts w:ascii="黑体"/>
                <w:sz w:val="16"/>
              </w:rPr>
            </w:pPr>
          </w:p>
          <w:p>
            <w:pPr>
              <w:pStyle w:val="TableParagraph"/>
              <w:spacing w:before="1"/>
              <w:ind w:left="79"/>
              <w:rPr>
                <w:b/>
                <w:sz w:val="21"/>
              </w:rPr>
            </w:pPr>
            <w:r>
              <w:rPr>
                <w:b/>
                <w:sz w:val="21"/>
              </w:rPr>
              <w:t>合同效力的终止</w:t>
            </w:r>
          </w:p>
        </w:tc>
        <w:tc>
          <w:tcPr>
            <w:tcW w:w="7190" w:type="dxa"/>
          </w:tcPr>
          <w:p>
            <w:pPr>
              <w:pStyle w:val="TableParagraph"/>
              <w:spacing w:before="2"/>
              <w:rPr>
                <w:rFonts w:ascii="黑体"/>
                <w:sz w:val="16"/>
              </w:rPr>
            </w:pPr>
          </w:p>
          <w:p>
            <w:pPr>
              <w:pStyle w:val="TableParagraph"/>
              <w:spacing w:before="1"/>
              <w:ind w:left="81"/>
              <w:rPr>
                <w:sz w:val="21"/>
              </w:rPr>
            </w:pPr>
            <w:r>
              <w:rPr>
                <w:sz w:val="21"/>
              </w:rPr>
              <w:t>发生下列任何一种情形时，本合同终止：</w:t>
            </w:r>
          </w:p>
          <w:p>
            <w:pPr>
              <w:pStyle w:val="TableParagraph"/>
              <w:spacing w:before="10"/>
              <w:rPr>
                <w:rFonts w:ascii="黑体"/>
                <w:sz w:val="19"/>
              </w:rPr>
            </w:pPr>
          </w:p>
          <w:p>
            <w:pPr>
              <w:pStyle w:val="TableParagraph"/>
              <w:spacing w:line="223" w:lineRule="auto"/>
              <w:ind w:left="566" w:right="303" w:hanging="430"/>
              <w:rPr>
                <w:sz w:val="21"/>
              </w:rPr>
            </w:pPr>
            <w:r>
              <w:rPr>
                <w:rFonts w:ascii="Times New Roman" w:eastAsia="Times New Roman"/>
                <w:sz w:val="21"/>
              </w:rPr>
              <w:t>1</w:t>
            </w:r>
            <w:r>
              <w:rPr>
                <w:sz w:val="21"/>
              </w:rPr>
              <w:t>、 投保人解除合同。如果您在犹豫期后申请解除本合同，请填写解除合同申请书并向我们提供下列资料：</w:t>
            </w:r>
          </w:p>
          <w:p>
            <w:pPr>
              <w:pStyle w:val="TableParagraph"/>
              <w:spacing w:line="280" w:lineRule="exact"/>
              <w:ind w:left="556"/>
              <w:rPr>
                <w:sz w:val="21"/>
              </w:rPr>
            </w:pPr>
            <w:r>
              <w:rPr>
                <w:sz w:val="21"/>
              </w:rPr>
              <w:t>（</w:t>
            </w:r>
            <w:r>
              <w:rPr>
                <w:rFonts w:ascii="Times New Roman" w:eastAsia="Times New Roman"/>
                <w:sz w:val="21"/>
              </w:rPr>
              <w:t>1</w:t>
            </w:r>
            <w:r>
              <w:rPr>
                <w:sz w:val="21"/>
              </w:rPr>
              <w:t>）保险合同</w:t>
            </w:r>
          </w:p>
          <w:p>
            <w:pPr>
              <w:pStyle w:val="TableParagraph"/>
              <w:spacing w:line="272" w:lineRule="exact"/>
              <w:ind w:left="556"/>
              <w:rPr>
                <w:sz w:val="21"/>
              </w:rPr>
            </w:pPr>
            <w:r>
              <w:rPr>
                <w:sz w:val="21"/>
              </w:rPr>
              <w:t>（</w:t>
            </w:r>
            <w:r>
              <w:rPr>
                <w:rFonts w:ascii="Times New Roman" w:eastAsia="Times New Roman"/>
                <w:sz w:val="21"/>
              </w:rPr>
              <w:t>2</w:t>
            </w:r>
            <w:r>
              <w:rPr>
                <w:sz w:val="21"/>
              </w:rPr>
              <w:t>）投保人的有效身份证件</w:t>
            </w:r>
          </w:p>
          <w:p>
            <w:pPr>
              <w:pStyle w:val="TableParagraph"/>
              <w:spacing w:line="230" w:lineRule="auto" w:before="1"/>
              <w:ind w:left="506" w:right="271"/>
              <w:jc w:val="both"/>
              <w:rPr>
                <w:sz w:val="21"/>
              </w:rPr>
            </w:pPr>
            <w:r>
              <w:rPr>
                <w:sz w:val="21"/>
              </w:rPr>
              <w:t>自我们收到解除合同申请书时起，本合同终止。我们自收到解除合同</w:t>
            </w:r>
            <w:r>
              <w:rPr>
                <w:spacing w:val="-8"/>
                <w:sz w:val="21"/>
              </w:rPr>
              <w:t>申请书之日起 </w:t>
            </w:r>
            <w:r>
              <w:rPr>
                <w:rFonts w:ascii="Times New Roman" w:eastAsia="Times New Roman"/>
                <w:sz w:val="21"/>
              </w:rPr>
              <w:t>30 </w:t>
            </w:r>
            <w:r>
              <w:rPr>
                <w:spacing w:val="-3"/>
                <w:sz w:val="21"/>
              </w:rPr>
              <w:t>日内按合同约定向您退还本合同终止时的现金价值。您犹豫期后解除合同会遭受一定损失；</w:t>
            </w:r>
          </w:p>
          <w:p>
            <w:pPr>
              <w:pStyle w:val="TableParagraph"/>
              <w:spacing w:line="279" w:lineRule="exact"/>
              <w:ind w:left="136"/>
              <w:rPr>
                <w:sz w:val="21"/>
              </w:rPr>
            </w:pPr>
            <w:r>
              <w:rPr>
                <w:rFonts w:ascii="Times New Roman" w:eastAsia="Times New Roman"/>
                <w:sz w:val="21"/>
              </w:rPr>
              <w:t>2</w:t>
            </w:r>
            <w:r>
              <w:rPr>
                <w:sz w:val="21"/>
              </w:rPr>
              <w:t>、 您自本合同效力中止之日起超过二年未书面申请恢复合同效力；</w:t>
            </w:r>
          </w:p>
          <w:p>
            <w:pPr>
              <w:pStyle w:val="TableParagraph"/>
              <w:spacing w:line="282" w:lineRule="exact"/>
              <w:ind w:left="136"/>
              <w:rPr>
                <w:sz w:val="21"/>
              </w:rPr>
            </w:pPr>
            <w:r>
              <w:rPr>
                <w:rFonts w:ascii="Times New Roman" w:eastAsia="Times New Roman"/>
                <w:sz w:val="21"/>
              </w:rPr>
              <w:t>3</w:t>
            </w:r>
            <w:r>
              <w:rPr>
                <w:sz w:val="21"/>
              </w:rPr>
              <w:t>、 因本合同其它条款或其附加合同条款所列情况终止。</w:t>
            </w:r>
          </w:p>
        </w:tc>
      </w:tr>
      <w:tr>
        <w:trPr>
          <w:trHeight w:val="1020" w:hRule="atLeast"/>
        </w:trPr>
        <w:tc>
          <w:tcPr>
            <w:tcW w:w="1019" w:type="dxa"/>
          </w:tcPr>
          <w:p>
            <w:pPr>
              <w:pStyle w:val="TableParagraph"/>
              <w:spacing w:before="6"/>
              <w:rPr>
                <w:rFonts w:ascii="黑体"/>
                <w:sz w:val="15"/>
              </w:rPr>
            </w:pPr>
          </w:p>
          <w:p>
            <w:pPr>
              <w:pStyle w:val="TableParagraph"/>
              <w:ind w:right="80"/>
              <w:jc w:val="right"/>
              <w:rPr>
                <w:b/>
                <w:sz w:val="21"/>
              </w:rPr>
            </w:pPr>
            <w:r>
              <w:rPr>
                <w:b/>
                <w:sz w:val="21"/>
              </w:rPr>
              <w:t>第 </w:t>
            </w:r>
            <w:r>
              <w:rPr>
                <w:rFonts w:ascii="Times New Roman" w:eastAsia="Times New Roman"/>
                <w:b/>
                <w:sz w:val="21"/>
              </w:rPr>
              <w:t>10 </w:t>
            </w:r>
            <w:r>
              <w:rPr>
                <w:b/>
                <w:sz w:val="21"/>
              </w:rPr>
              <w:t>章</w:t>
            </w:r>
          </w:p>
        </w:tc>
        <w:tc>
          <w:tcPr>
            <w:tcW w:w="1694" w:type="dxa"/>
          </w:tcPr>
          <w:p>
            <w:pPr>
              <w:pStyle w:val="TableParagraph"/>
              <w:spacing w:before="6"/>
              <w:rPr>
                <w:rFonts w:ascii="黑体"/>
                <w:sz w:val="15"/>
              </w:rPr>
            </w:pPr>
          </w:p>
          <w:p>
            <w:pPr>
              <w:pStyle w:val="TableParagraph"/>
              <w:ind w:left="79"/>
              <w:rPr>
                <w:b/>
                <w:sz w:val="21"/>
              </w:rPr>
            </w:pPr>
            <w:r>
              <w:rPr>
                <w:b/>
                <w:sz w:val="21"/>
              </w:rPr>
              <w:t>争议的处理</w:t>
            </w:r>
          </w:p>
        </w:tc>
        <w:tc>
          <w:tcPr>
            <w:tcW w:w="7190" w:type="dxa"/>
          </w:tcPr>
          <w:p>
            <w:pPr>
              <w:pStyle w:val="TableParagraph"/>
              <w:spacing w:before="6"/>
              <w:rPr>
                <w:rFonts w:ascii="黑体"/>
                <w:sz w:val="15"/>
              </w:rPr>
            </w:pPr>
          </w:p>
          <w:p>
            <w:pPr>
              <w:pStyle w:val="TableParagraph"/>
              <w:ind w:left="81" w:right="311"/>
              <w:rPr>
                <w:sz w:val="21"/>
              </w:rPr>
            </w:pPr>
            <w:r>
              <w:rPr>
                <w:sz w:val="21"/>
              </w:rPr>
              <w:t>在本合同履行过程中发生任何争议，双方应首先通过协商解决。若双方协商无效的，可依法向人民法院提出诉讼。</w:t>
            </w:r>
          </w:p>
        </w:tc>
      </w:tr>
      <w:tr>
        <w:trPr>
          <w:trHeight w:val="502" w:hRule="atLeast"/>
        </w:trPr>
        <w:tc>
          <w:tcPr>
            <w:tcW w:w="1019" w:type="dxa"/>
          </w:tcPr>
          <w:p>
            <w:pPr>
              <w:pStyle w:val="TableParagraph"/>
              <w:spacing w:before="2"/>
              <w:rPr>
                <w:rFonts w:ascii="黑体"/>
                <w:sz w:val="16"/>
              </w:rPr>
            </w:pPr>
          </w:p>
          <w:p>
            <w:pPr>
              <w:pStyle w:val="TableParagraph"/>
              <w:spacing w:line="271" w:lineRule="exact"/>
              <w:ind w:right="80"/>
              <w:jc w:val="right"/>
              <w:rPr>
                <w:b/>
                <w:sz w:val="21"/>
              </w:rPr>
            </w:pPr>
            <w:r>
              <w:rPr>
                <w:b/>
                <w:sz w:val="21"/>
              </w:rPr>
              <w:t>第 </w:t>
            </w:r>
            <w:r>
              <w:rPr>
                <w:rFonts w:ascii="Times New Roman" w:eastAsia="Times New Roman"/>
                <w:b/>
                <w:sz w:val="21"/>
              </w:rPr>
              <w:t>11 </w:t>
            </w:r>
            <w:r>
              <w:rPr>
                <w:b/>
                <w:sz w:val="21"/>
              </w:rPr>
              <w:t>章</w:t>
            </w:r>
          </w:p>
        </w:tc>
        <w:tc>
          <w:tcPr>
            <w:tcW w:w="1694" w:type="dxa"/>
          </w:tcPr>
          <w:p>
            <w:pPr>
              <w:pStyle w:val="TableParagraph"/>
              <w:spacing w:before="2"/>
              <w:rPr>
                <w:rFonts w:ascii="黑体"/>
                <w:sz w:val="16"/>
              </w:rPr>
            </w:pPr>
          </w:p>
          <w:p>
            <w:pPr>
              <w:pStyle w:val="TableParagraph"/>
              <w:spacing w:line="271" w:lineRule="exact"/>
              <w:ind w:left="131"/>
              <w:rPr>
                <w:b/>
                <w:sz w:val="21"/>
              </w:rPr>
            </w:pPr>
            <w:r>
              <w:rPr>
                <w:b/>
                <w:sz w:val="21"/>
              </w:rPr>
              <w:t>名词释义</w:t>
            </w:r>
          </w:p>
        </w:tc>
        <w:tc>
          <w:tcPr>
            <w:tcW w:w="7190" w:type="dxa"/>
          </w:tcPr>
          <w:p>
            <w:pPr>
              <w:pStyle w:val="TableParagraph"/>
              <w:rPr>
                <w:rFonts w:ascii="Times New Roman"/>
                <w:sz w:val="20"/>
              </w:rPr>
            </w:pPr>
          </w:p>
        </w:tc>
      </w:tr>
    </w:tbl>
    <w:p>
      <w:pPr>
        <w:spacing w:after="0"/>
        <w:rPr>
          <w:rFonts w:ascii="Times New Roman"/>
          <w:sz w:val="20"/>
        </w:rPr>
        <w:sectPr>
          <w:pgSz w:w="11910" w:h="16840"/>
          <w:pgMar w:top="1040" w:bottom="280" w:left="460" w:right="1320"/>
        </w:sect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69"/>
        <w:gridCol w:w="1669"/>
        <w:gridCol w:w="7190"/>
      </w:tblGrid>
      <w:tr>
        <w:trPr>
          <w:trHeight w:val="645" w:hRule="atLeast"/>
        </w:trPr>
        <w:tc>
          <w:tcPr>
            <w:tcW w:w="769" w:type="dxa"/>
          </w:tcPr>
          <w:p>
            <w:pPr>
              <w:pStyle w:val="TableParagraph"/>
              <w:spacing w:line="234" w:lineRule="exact"/>
              <w:ind w:right="103"/>
              <w:jc w:val="right"/>
              <w:rPr>
                <w:rFonts w:ascii="Times New Roman"/>
                <w:b/>
                <w:sz w:val="21"/>
              </w:rPr>
            </w:pPr>
            <w:r>
              <w:rPr>
                <w:rFonts w:ascii="Times New Roman"/>
                <w:b/>
                <w:sz w:val="21"/>
              </w:rPr>
              <w:t>11.1</w:t>
            </w:r>
          </w:p>
        </w:tc>
        <w:tc>
          <w:tcPr>
            <w:tcW w:w="1669" w:type="dxa"/>
          </w:tcPr>
          <w:p>
            <w:pPr>
              <w:pStyle w:val="TableParagraph"/>
              <w:spacing w:line="235" w:lineRule="exact"/>
              <w:ind w:left="105"/>
              <w:rPr>
                <w:b/>
                <w:sz w:val="21"/>
              </w:rPr>
            </w:pPr>
            <w:r>
              <w:rPr>
                <w:b/>
                <w:sz w:val="21"/>
              </w:rPr>
              <w:t>周岁：</w:t>
            </w:r>
          </w:p>
        </w:tc>
        <w:tc>
          <w:tcPr>
            <w:tcW w:w="7190" w:type="dxa"/>
          </w:tcPr>
          <w:p>
            <w:pPr>
              <w:pStyle w:val="TableParagraph"/>
              <w:spacing w:line="233" w:lineRule="exact"/>
              <w:ind w:left="133"/>
              <w:rPr>
                <w:sz w:val="21"/>
              </w:rPr>
            </w:pPr>
            <w:r>
              <w:rPr>
                <w:sz w:val="21"/>
              </w:rPr>
              <w:t>指按有效身份证件中记载的出生日期计算的年龄，自出生之日起为零周岁，</w:t>
            </w:r>
          </w:p>
          <w:p>
            <w:pPr>
              <w:pStyle w:val="TableParagraph"/>
              <w:spacing w:line="273" w:lineRule="exact"/>
              <w:ind w:left="133"/>
              <w:rPr>
                <w:sz w:val="21"/>
              </w:rPr>
            </w:pPr>
            <w:r>
              <w:rPr>
                <w:sz w:val="21"/>
              </w:rPr>
              <w:t>每经过一年增加一岁，不足一年的不计。</w:t>
            </w:r>
          </w:p>
        </w:tc>
      </w:tr>
      <w:tr>
        <w:trPr>
          <w:trHeight w:val="1058" w:hRule="atLeast"/>
        </w:trPr>
        <w:tc>
          <w:tcPr>
            <w:tcW w:w="769" w:type="dxa"/>
          </w:tcPr>
          <w:p>
            <w:pPr>
              <w:pStyle w:val="TableParagraph"/>
              <w:spacing w:before="131"/>
              <w:ind w:right="103"/>
              <w:jc w:val="right"/>
              <w:rPr>
                <w:rFonts w:ascii="Times New Roman"/>
                <w:b/>
                <w:sz w:val="21"/>
              </w:rPr>
            </w:pPr>
            <w:r>
              <w:rPr>
                <w:rFonts w:ascii="Times New Roman"/>
                <w:b/>
                <w:sz w:val="21"/>
              </w:rPr>
              <w:t>11.2</w:t>
            </w:r>
          </w:p>
        </w:tc>
        <w:tc>
          <w:tcPr>
            <w:tcW w:w="1669" w:type="dxa"/>
          </w:tcPr>
          <w:p>
            <w:pPr>
              <w:pStyle w:val="TableParagraph"/>
              <w:spacing w:before="99"/>
              <w:ind w:left="105"/>
              <w:rPr>
                <w:b/>
                <w:sz w:val="21"/>
              </w:rPr>
            </w:pPr>
            <w:r>
              <w:rPr>
                <w:b/>
                <w:sz w:val="21"/>
              </w:rPr>
              <w:t>现金价值：</w:t>
            </w:r>
          </w:p>
        </w:tc>
        <w:tc>
          <w:tcPr>
            <w:tcW w:w="7190" w:type="dxa"/>
          </w:tcPr>
          <w:p>
            <w:pPr>
              <w:pStyle w:val="TableParagraph"/>
              <w:spacing w:line="237" w:lineRule="auto" w:before="102"/>
              <w:ind w:left="133" w:right="306"/>
              <w:jc w:val="both"/>
              <w:rPr>
                <w:sz w:val="21"/>
              </w:rPr>
            </w:pPr>
            <w:r>
              <w:rPr>
                <w:sz w:val="21"/>
              </w:rPr>
              <w:t>指本合同所具有的价值，通常体现为解除合同时，根据精算原理计算的， 由我们退还的那部分金额。我们会在保险单或批注上载明本合同保单年度末的现金价值。</w:t>
            </w:r>
          </w:p>
        </w:tc>
      </w:tr>
      <w:tr>
        <w:trPr>
          <w:trHeight w:val="787" w:hRule="atLeast"/>
        </w:trPr>
        <w:tc>
          <w:tcPr>
            <w:tcW w:w="769" w:type="dxa"/>
          </w:tcPr>
          <w:p>
            <w:pPr>
              <w:pStyle w:val="TableParagraph"/>
              <w:spacing w:before="131"/>
              <w:ind w:right="103"/>
              <w:jc w:val="right"/>
              <w:rPr>
                <w:rFonts w:ascii="Times New Roman"/>
                <w:b/>
                <w:sz w:val="21"/>
              </w:rPr>
            </w:pPr>
            <w:r>
              <w:rPr>
                <w:rFonts w:ascii="Times New Roman"/>
                <w:b/>
                <w:sz w:val="21"/>
              </w:rPr>
              <w:t>11.3</w:t>
            </w:r>
          </w:p>
        </w:tc>
        <w:tc>
          <w:tcPr>
            <w:tcW w:w="1669" w:type="dxa"/>
          </w:tcPr>
          <w:p>
            <w:pPr>
              <w:pStyle w:val="TableParagraph"/>
              <w:spacing w:before="99"/>
              <w:ind w:left="105"/>
              <w:rPr>
                <w:b/>
                <w:sz w:val="21"/>
              </w:rPr>
            </w:pPr>
            <w:r>
              <w:rPr>
                <w:b/>
                <w:sz w:val="21"/>
              </w:rPr>
              <w:t>保单周年日：</w:t>
            </w:r>
          </w:p>
        </w:tc>
        <w:tc>
          <w:tcPr>
            <w:tcW w:w="7190" w:type="dxa"/>
          </w:tcPr>
          <w:p>
            <w:pPr>
              <w:pStyle w:val="TableParagraph"/>
              <w:spacing w:before="99"/>
              <w:ind w:left="133" w:right="307"/>
              <w:rPr>
                <w:sz w:val="21"/>
              </w:rPr>
            </w:pPr>
            <w:r>
              <w:rPr>
                <w:sz w:val="21"/>
              </w:rPr>
              <w:t>指本合同生效日在以后每年的对应日，如果当年无对应的同一日，则以合同生效日所在月份最后一日为对应日。</w:t>
            </w:r>
          </w:p>
        </w:tc>
      </w:tr>
      <w:tr>
        <w:trPr>
          <w:trHeight w:val="1058" w:hRule="atLeast"/>
        </w:trPr>
        <w:tc>
          <w:tcPr>
            <w:tcW w:w="769" w:type="dxa"/>
          </w:tcPr>
          <w:p>
            <w:pPr>
              <w:pStyle w:val="TableParagraph"/>
              <w:spacing w:before="131"/>
              <w:ind w:right="103"/>
              <w:jc w:val="right"/>
              <w:rPr>
                <w:rFonts w:ascii="Times New Roman"/>
                <w:b/>
                <w:sz w:val="21"/>
              </w:rPr>
            </w:pPr>
            <w:r>
              <w:rPr>
                <w:rFonts w:ascii="Times New Roman"/>
                <w:b/>
                <w:sz w:val="21"/>
              </w:rPr>
              <w:t>11.4</w:t>
            </w:r>
          </w:p>
        </w:tc>
        <w:tc>
          <w:tcPr>
            <w:tcW w:w="1669" w:type="dxa"/>
          </w:tcPr>
          <w:p>
            <w:pPr>
              <w:pStyle w:val="TableParagraph"/>
              <w:spacing w:before="99"/>
              <w:ind w:left="105"/>
              <w:rPr>
                <w:b/>
                <w:sz w:val="21"/>
              </w:rPr>
            </w:pPr>
            <w:r>
              <w:rPr>
                <w:b/>
                <w:sz w:val="21"/>
              </w:rPr>
              <w:t>保单年度：</w:t>
            </w:r>
          </w:p>
        </w:tc>
        <w:tc>
          <w:tcPr>
            <w:tcW w:w="7190" w:type="dxa"/>
          </w:tcPr>
          <w:p>
            <w:pPr>
              <w:pStyle w:val="TableParagraph"/>
              <w:spacing w:line="237" w:lineRule="auto" w:before="102"/>
              <w:ind w:left="133" w:right="307"/>
              <w:jc w:val="both"/>
              <w:rPr>
                <w:sz w:val="21"/>
              </w:rPr>
            </w:pPr>
            <w:r>
              <w:rPr>
                <w:sz w:val="21"/>
              </w:rPr>
              <w:t>从本合同生效日或以后每一年之对应日二十四时起，至下一年度合同生效日之对应日二十四时止，如果当年无对应的同一日，则以合同生效日所在月份最后一日为对应日。</w:t>
            </w:r>
          </w:p>
        </w:tc>
      </w:tr>
      <w:tr>
        <w:trPr>
          <w:trHeight w:val="787" w:hRule="atLeast"/>
        </w:trPr>
        <w:tc>
          <w:tcPr>
            <w:tcW w:w="769" w:type="dxa"/>
          </w:tcPr>
          <w:p>
            <w:pPr>
              <w:pStyle w:val="TableParagraph"/>
              <w:spacing w:before="131"/>
              <w:ind w:right="103"/>
              <w:jc w:val="right"/>
              <w:rPr>
                <w:rFonts w:ascii="Times New Roman"/>
                <w:b/>
                <w:sz w:val="21"/>
              </w:rPr>
            </w:pPr>
            <w:r>
              <w:rPr>
                <w:rFonts w:ascii="Times New Roman"/>
                <w:b/>
                <w:sz w:val="21"/>
              </w:rPr>
              <w:t>11.5</w:t>
            </w:r>
          </w:p>
        </w:tc>
        <w:tc>
          <w:tcPr>
            <w:tcW w:w="1669" w:type="dxa"/>
          </w:tcPr>
          <w:p>
            <w:pPr>
              <w:pStyle w:val="TableParagraph"/>
              <w:spacing w:before="99"/>
              <w:ind w:left="105"/>
              <w:rPr>
                <w:b/>
                <w:sz w:val="21"/>
              </w:rPr>
            </w:pPr>
            <w:r>
              <w:rPr>
                <w:b/>
                <w:sz w:val="21"/>
              </w:rPr>
              <w:t>保险费到期日：</w:t>
            </w:r>
          </w:p>
        </w:tc>
        <w:tc>
          <w:tcPr>
            <w:tcW w:w="7190" w:type="dxa"/>
          </w:tcPr>
          <w:p>
            <w:pPr>
              <w:pStyle w:val="TableParagraph"/>
              <w:spacing w:before="99"/>
              <w:ind w:left="133" w:right="306"/>
              <w:rPr>
                <w:sz w:val="21"/>
              </w:rPr>
            </w:pPr>
            <w:r>
              <w:rPr>
                <w:sz w:val="21"/>
              </w:rPr>
              <w:t>指本合同生效日在每月、每季、每半年或每年（根据缴费方式确定）的对应日，如果当月无对应的同一日，则以该月最后一日为对应日。</w:t>
            </w:r>
          </w:p>
        </w:tc>
      </w:tr>
      <w:tr>
        <w:trPr>
          <w:trHeight w:val="560" w:hRule="atLeast"/>
        </w:trPr>
        <w:tc>
          <w:tcPr>
            <w:tcW w:w="769" w:type="dxa"/>
          </w:tcPr>
          <w:p>
            <w:pPr>
              <w:pStyle w:val="TableParagraph"/>
              <w:spacing w:before="132"/>
              <w:ind w:right="103"/>
              <w:jc w:val="right"/>
              <w:rPr>
                <w:rFonts w:ascii="Times New Roman"/>
                <w:b/>
                <w:sz w:val="21"/>
              </w:rPr>
            </w:pPr>
            <w:r>
              <w:rPr>
                <w:rFonts w:ascii="Times New Roman"/>
                <w:b/>
                <w:sz w:val="21"/>
              </w:rPr>
              <w:t>11.6</w:t>
            </w:r>
          </w:p>
        </w:tc>
        <w:tc>
          <w:tcPr>
            <w:tcW w:w="1669" w:type="dxa"/>
          </w:tcPr>
          <w:p>
            <w:pPr>
              <w:pStyle w:val="TableParagraph"/>
              <w:spacing w:before="99"/>
              <w:ind w:left="105"/>
              <w:rPr>
                <w:b/>
                <w:sz w:val="21"/>
              </w:rPr>
            </w:pPr>
            <w:r>
              <w:rPr>
                <w:b/>
                <w:sz w:val="21"/>
              </w:rPr>
              <w:t>重大疾病：</w:t>
            </w:r>
          </w:p>
        </w:tc>
        <w:tc>
          <w:tcPr>
            <w:tcW w:w="7190" w:type="dxa"/>
          </w:tcPr>
          <w:p>
            <w:pPr>
              <w:pStyle w:val="TableParagraph"/>
              <w:spacing w:before="99"/>
              <w:ind w:left="143"/>
              <w:rPr>
                <w:rFonts w:ascii="黑体" w:eastAsia="黑体" w:hint="eastAsia"/>
                <w:sz w:val="21"/>
              </w:rPr>
            </w:pPr>
            <w:r>
              <w:rPr>
                <w:rFonts w:ascii="黑体" w:eastAsia="黑体" w:hint="eastAsia"/>
                <w:sz w:val="21"/>
              </w:rPr>
              <w:t>指符合本合同附表一中所列的任何一种疾病定义所述条件的疾病。</w:t>
            </w:r>
          </w:p>
        </w:tc>
      </w:tr>
      <w:tr>
        <w:trPr>
          <w:trHeight w:val="607" w:hRule="atLeast"/>
        </w:trPr>
        <w:tc>
          <w:tcPr>
            <w:tcW w:w="769" w:type="dxa"/>
          </w:tcPr>
          <w:p>
            <w:pPr>
              <w:pStyle w:val="TableParagraph"/>
              <w:spacing w:before="178"/>
              <w:ind w:right="103"/>
              <w:jc w:val="right"/>
              <w:rPr>
                <w:rFonts w:ascii="Times New Roman"/>
                <w:b/>
                <w:sz w:val="21"/>
              </w:rPr>
            </w:pPr>
            <w:r>
              <w:rPr>
                <w:rFonts w:ascii="Times New Roman"/>
                <w:b/>
                <w:sz w:val="21"/>
              </w:rPr>
              <w:t>11.7</w:t>
            </w:r>
          </w:p>
        </w:tc>
        <w:tc>
          <w:tcPr>
            <w:tcW w:w="1669" w:type="dxa"/>
          </w:tcPr>
          <w:p>
            <w:pPr>
              <w:pStyle w:val="TableParagraph"/>
              <w:spacing w:before="146"/>
              <w:ind w:left="105"/>
              <w:rPr>
                <w:b/>
                <w:sz w:val="21"/>
              </w:rPr>
            </w:pPr>
            <w:r>
              <w:rPr>
                <w:b/>
                <w:sz w:val="21"/>
              </w:rPr>
              <w:t>轻症疾病：</w:t>
            </w:r>
          </w:p>
        </w:tc>
        <w:tc>
          <w:tcPr>
            <w:tcW w:w="7190" w:type="dxa"/>
          </w:tcPr>
          <w:p>
            <w:pPr>
              <w:pStyle w:val="TableParagraph"/>
              <w:spacing w:before="146"/>
              <w:ind w:left="143"/>
              <w:rPr>
                <w:rFonts w:ascii="黑体" w:eastAsia="黑体" w:hint="eastAsia"/>
                <w:sz w:val="21"/>
              </w:rPr>
            </w:pPr>
            <w:r>
              <w:rPr>
                <w:rFonts w:ascii="黑体" w:eastAsia="黑体" w:hint="eastAsia"/>
                <w:sz w:val="21"/>
              </w:rPr>
              <w:t>指符合本合同附表二中所列的任何一种疾病定义所述条件的疾病。</w:t>
            </w:r>
          </w:p>
        </w:tc>
      </w:tr>
      <w:tr>
        <w:trPr>
          <w:trHeight w:val="833" w:hRule="atLeast"/>
        </w:trPr>
        <w:tc>
          <w:tcPr>
            <w:tcW w:w="769" w:type="dxa"/>
          </w:tcPr>
          <w:p>
            <w:pPr>
              <w:pStyle w:val="TableParagraph"/>
              <w:spacing w:before="178"/>
              <w:ind w:right="103"/>
              <w:jc w:val="right"/>
              <w:rPr>
                <w:rFonts w:ascii="Times New Roman"/>
                <w:b/>
                <w:sz w:val="21"/>
              </w:rPr>
            </w:pPr>
            <w:r>
              <w:rPr>
                <w:rFonts w:ascii="Times New Roman"/>
                <w:b/>
                <w:sz w:val="21"/>
              </w:rPr>
              <w:t>11.8</w:t>
            </w:r>
          </w:p>
        </w:tc>
        <w:tc>
          <w:tcPr>
            <w:tcW w:w="1669" w:type="dxa"/>
          </w:tcPr>
          <w:p>
            <w:pPr>
              <w:pStyle w:val="TableParagraph"/>
              <w:spacing w:before="146"/>
              <w:ind w:left="105"/>
              <w:rPr>
                <w:b/>
                <w:sz w:val="21"/>
              </w:rPr>
            </w:pPr>
            <w:r>
              <w:rPr>
                <w:b/>
                <w:sz w:val="21"/>
              </w:rPr>
              <w:t>意外伤害事故：</w:t>
            </w:r>
          </w:p>
        </w:tc>
        <w:tc>
          <w:tcPr>
            <w:tcW w:w="7190" w:type="dxa"/>
          </w:tcPr>
          <w:p>
            <w:pPr>
              <w:pStyle w:val="TableParagraph"/>
              <w:spacing w:before="146"/>
              <w:ind w:left="133" w:right="307"/>
              <w:rPr>
                <w:sz w:val="21"/>
              </w:rPr>
            </w:pPr>
            <w:r>
              <w:rPr>
                <w:sz w:val="21"/>
              </w:rPr>
              <w:t>指外来的、不可预知的、突发的、非本意的、非由疾病引起的使身体受到伤害的客观事件。</w:t>
            </w:r>
          </w:p>
        </w:tc>
      </w:tr>
      <w:tr>
        <w:trPr>
          <w:trHeight w:val="1603" w:hRule="atLeast"/>
        </w:trPr>
        <w:tc>
          <w:tcPr>
            <w:tcW w:w="769" w:type="dxa"/>
          </w:tcPr>
          <w:p>
            <w:pPr>
              <w:pStyle w:val="TableParagraph"/>
              <w:spacing w:before="131"/>
              <w:ind w:right="103"/>
              <w:jc w:val="right"/>
              <w:rPr>
                <w:rFonts w:ascii="Times New Roman"/>
                <w:b/>
                <w:sz w:val="21"/>
              </w:rPr>
            </w:pPr>
            <w:r>
              <w:rPr>
                <w:rFonts w:ascii="Times New Roman"/>
                <w:b/>
                <w:sz w:val="21"/>
              </w:rPr>
              <w:t>11.9</w:t>
            </w:r>
          </w:p>
        </w:tc>
        <w:tc>
          <w:tcPr>
            <w:tcW w:w="1669" w:type="dxa"/>
          </w:tcPr>
          <w:p>
            <w:pPr>
              <w:pStyle w:val="TableParagraph"/>
              <w:spacing w:before="99"/>
              <w:ind w:left="105"/>
              <w:rPr>
                <w:b/>
                <w:sz w:val="21"/>
              </w:rPr>
            </w:pPr>
            <w:r>
              <w:rPr>
                <w:b/>
                <w:sz w:val="21"/>
              </w:rPr>
              <w:t>专科医生：</w:t>
            </w:r>
          </w:p>
        </w:tc>
        <w:tc>
          <w:tcPr>
            <w:tcW w:w="7190" w:type="dxa"/>
          </w:tcPr>
          <w:p>
            <w:pPr>
              <w:pStyle w:val="TableParagraph"/>
              <w:spacing w:line="225" w:lineRule="auto" w:before="116"/>
              <w:ind w:left="133" w:right="306"/>
              <w:jc w:val="both"/>
              <w:rPr>
                <w:sz w:val="21"/>
              </w:rPr>
            </w:pPr>
            <w:r>
              <w:rPr>
                <w:spacing w:val="-9"/>
                <w:w w:val="100"/>
                <w:sz w:val="21"/>
              </w:rPr>
              <w:t>专科医生应当同时满足以下四项资格条件：</w:t>
            </w:r>
            <w:r>
              <w:rPr>
                <w:w w:val="100"/>
                <w:sz w:val="21"/>
              </w:rPr>
              <w:t>（</w:t>
            </w:r>
            <w:r>
              <w:rPr>
                <w:rFonts w:ascii="Times New Roman" w:eastAsia="Times New Roman"/>
                <w:w w:val="100"/>
                <w:sz w:val="21"/>
              </w:rPr>
              <w:t>1</w:t>
            </w:r>
            <w:r>
              <w:rPr>
                <w:spacing w:val="-3"/>
                <w:w w:val="100"/>
                <w:sz w:val="21"/>
              </w:rPr>
              <w:t>）具有有效的中华人民共和</w:t>
            </w:r>
            <w:r>
              <w:rPr>
                <w:spacing w:val="-24"/>
                <w:w w:val="100"/>
                <w:sz w:val="21"/>
              </w:rPr>
              <w:t>国《医师资格证书》；</w:t>
            </w:r>
            <w:r>
              <w:rPr>
                <w:w w:val="100"/>
                <w:sz w:val="21"/>
              </w:rPr>
              <w:t>（</w:t>
            </w:r>
            <w:r>
              <w:rPr>
                <w:rFonts w:ascii="Times New Roman" w:eastAsia="Times New Roman"/>
                <w:spacing w:val="-3"/>
                <w:w w:val="100"/>
                <w:sz w:val="21"/>
              </w:rPr>
              <w:t>2</w:t>
            </w:r>
            <w:r>
              <w:rPr>
                <w:spacing w:val="-3"/>
                <w:w w:val="100"/>
                <w:sz w:val="21"/>
              </w:rPr>
              <w:t>）</w:t>
            </w:r>
            <w:r>
              <w:rPr>
                <w:spacing w:val="-9"/>
                <w:w w:val="100"/>
                <w:sz w:val="21"/>
              </w:rPr>
              <w:t>具有有效的中华人民共和国《医师执业证书》，</w:t>
            </w:r>
            <w:r>
              <w:rPr>
                <w:spacing w:val="-16"/>
                <w:w w:val="100"/>
                <w:sz w:val="21"/>
              </w:rPr>
              <w:t>并按期到相关部门登记注册；</w:t>
            </w:r>
            <w:r>
              <w:rPr>
                <w:w w:val="100"/>
                <w:sz w:val="21"/>
              </w:rPr>
              <w:t>（</w:t>
            </w:r>
            <w:r>
              <w:rPr>
                <w:rFonts w:ascii="Times New Roman" w:eastAsia="Times New Roman"/>
                <w:w w:val="100"/>
                <w:sz w:val="21"/>
              </w:rPr>
              <w:t>3</w:t>
            </w:r>
            <w:r>
              <w:rPr>
                <w:spacing w:val="-3"/>
                <w:w w:val="100"/>
                <w:sz w:val="21"/>
              </w:rPr>
              <w:t>）具有有效的中华人民共和国主治医师或</w:t>
            </w:r>
            <w:r>
              <w:rPr>
                <w:spacing w:val="-12"/>
                <w:w w:val="100"/>
                <w:sz w:val="21"/>
              </w:rPr>
              <w:t>主治医师以上职称的《医师职称证书》</w:t>
            </w:r>
            <w:r>
              <w:rPr>
                <w:spacing w:val="-135"/>
                <w:w w:val="100"/>
                <w:sz w:val="21"/>
              </w:rPr>
              <w:t>；</w:t>
            </w:r>
            <w:r>
              <w:rPr>
                <w:w w:val="100"/>
                <w:sz w:val="21"/>
              </w:rPr>
              <w:t>（</w:t>
            </w:r>
            <w:r>
              <w:rPr>
                <w:rFonts w:ascii="Times New Roman" w:eastAsia="Times New Roman"/>
                <w:w w:val="100"/>
                <w:sz w:val="21"/>
              </w:rPr>
              <w:t>4</w:t>
            </w:r>
            <w:r>
              <w:rPr>
                <w:spacing w:val="-29"/>
                <w:w w:val="100"/>
                <w:sz w:val="21"/>
              </w:rPr>
              <w:t>）</w:t>
            </w:r>
            <w:r>
              <w:rPr>
                <w:spacing w:val="-3"/>
                <w:w w:val="100"/>
                <w:sz w:val="21"/>
              </w:rPr>
              <w:t>在二级或二级以上医院的相应</w:t>
            </w:r>
            <w:r>
              <w:rPr>
                <w:spacing w:val="-3"/>
                <w:sz w:val="21"/>
              </w:rPr>
              <w:t>科室从事临床工作三年以上。</w:t>
            </w:r>
          </w:p>
        </w:tc>
      </w:tr>
      <w:tr>
        <w:trPr>
          <w:trHeight w:val="1330" w:hRule="atLeast"/>
        </w:trPr>
        <w:tc>
          <w:tcPr>
            <w:tcW w:w="769" w:type="dxa"/>
          </w:tcPr>
          <w:p>
            <w:pPr>
              <w:pStyle w:val="TableParagraph"/>
              <w:spacing w:before="131"/>
              <w:ind w:right="103"/>
              <w:jc w:val="right"/>
              <w:rPr>
                <w:rFonts w:ascii="Times New Roman"/>
                <w:b/>
                <w:sz w:val="21"/>
              </w:rPr>
            </w:pPr>
            <w:r>
              <w:rPr>
                <w:rFonts w:ascii="Times New Roman"/>
                <w:b/>
                <w:sz w:val="21"/>
              </w:rPr>
              <w:t>11.10</w:t>
            </w:r>
          </w:p>
        </w:tc>
        <w:tc>
          <w:tcPr>
            <w:tcW w:w="1669" w:type="dxa"/>
          </w:tcPr>
          <w:p>
            <w:pPr>
              <w:pStyle w:val="TableParagraph"/>
              <w:spacing w:before="99"/>
              <w:ind w:left="105"/>
              <w:rPr>
                <w:b/>
                <w:sz w:val="21"/>
              </w:rPr>
            </w:pPr>
            <w:r>
              <w:rPr>
                <w:b/>
                <w:sz w:val="21"/>
              </w:rPr>
              <w:t>毒品：</w:t>
            </w:r>
          </w:p>
        </w:tc>
        <w:tc>
          <w:tcPr>
            <w:tcW w:w="7190" w:type="dxa"/>
          </w:tcPr>
          <w:p>
            <w:pPr>
              <w:pStyle w:val="TableParagraph"/>
              <w:spacing w:line="237" w:lineRule="auto" w:before="102"/>
              <w:ind w:left="133" w:right="304"/>
              <w:jc w:val="both"/>
              <w:rPr>
                <w:sz w:val="21"/>
              </w:rPr>
            </w:pPr>
            <w:r>
              <w:rPr>
                <w:spacing w:val="-9"/>
                <w:sz w:val="21"/>
              </w:rPr>
              <w:t>指《中华人民共和国刑法》规定的鸦片、海洛因、甲基苯丙胺</w:t>
            </w:r>
            <w:r>
              <w:rPr>
                <w:sz w:val="21"/>
              </w:rPr>
              <w:t>（</w:t>
            </w:r>
            <w:r>
              <w:rPr>
                <w:spacing w:val="-2"/>
                <w:sz w:val="21"/>
              </w:rPr>
              <w:t>冰毒</w:t>
            </w:r>
            <w:r>
              <w:rPr>
                <w:spacing w:val="-106"/>
                <w:sz w:val="21"/>
              </w:rPr>
              <w:t>）</w:t>
            </w:r>
            <w:r>
              <w:rPr>
                <w:spacing w:val="-8"/>
                <w:sz w:val="21"/>
              </w:rPr>
              <w:t>、吗啡、大麻、可卡因以及国家规定管制的其它能够使人形成瘾癖的麻醉药品和精神药品，但不包括由医生开具并遵医嘱使用的用于治疗疾病但含有毒</w:t>
            </w:r>
            <w:r>
              <w:rPr>
                <w:spacing w:val="-5"/>
                <w:sz w:val="21"/>
              </w:rPr>
              <w:t>品成分的处方药品。</w:t>
            </w:r>
          </w:p>
        </w:tc>
      </w:tr>
      <w:tr>
        <w:trPr>
          <w:trHeight w:val="1058" w:hRule="atLeast"/>
        </w:trPr>
        <w:tc>
          <w:tcPr>
            <w:tcW w:w="769" w:type="dxa"/>
          </w:tcPr>
          <w:p>
            <w:pPr>
              <w:pStyle w:val="TableParagraph"/>
              <w:spacing w:before="131"/>
              <w:ind w:right="103"/>
              <w:jc w:val="right"/>
              <w:rPr>
                <w:rFonts w:ascii="Times New Roman"/>
                <w:b/>
                <w:sz w:val="21"/>
              </w:rPr>
            </w:pPr>
            <w:r>
              <w:rPr>
                <w:rFonts w:ascii="Times New Roman"/>
                <w:b/>
                <w:sz w:val="21"/>
              </w:rPr>
              <w:t>11.11</w:t>
            </w:r>
          </w:p>
        </w:tc>
        <w:tc>
          <w:tcPr>
            <w:tcW w:w="1669" w:type="dxa"/>
          </w:tcPr>
          <w:p>
            <w:pPr>
              <w:pStyle w:val="TableParagraph"/>
              <w:spacing w:before="99"/>
              <w:ind w:left="105"/>
              <w:rPr>
                <w:b/>
                <w:sz w:val="21"/>
              </w:rPr>
            </w:pPr>
            <w:r>
              <w:rPr>
                <w:b/>
                <w:sz w:val="21"/>
              </w:rPr>
              <w:t>酒后驾驶：</w:t>
            </w:r>
          </w:p>
        </w:tc>
        <w:tc>
          <w:tcPr>
            <w:tcW w:w="7190" w:type="dxa"/>
          </w:tcPr>
          <w:p>
            <w:pPr>
              <w:pStyle w:val="TableParagraph"/>
              <w:spacing w:line="237" w:lineRule="auto" w:before="102"/>
              <w:ind w:left="133" w:right="307"/>
              <w:jc w:val="both"/>
              <w:rPr>
                <w:sz w:val="21"/>
              </w:rPr>
            </w:pPr>
            <w:r>
              <w:rPr>
                <w:sz w:val="21"/>
              </w:rPr>
              <w:t>指经检测或鉴定，发生事故时车辆驾驶人员每百毫升血液中的酒精含量达到或超过一定的标准，公安机关交通管理部门依据《中华人民共和国道路交通安全法》的规定认定为饮酒后驾驶或醉酒后驾驶。</w:t>
            </w:r>
          </w:p>
        </w:tc>
      </w:tr>
      <w:tr>
        <w:trPr>
          <w:trHeight w:val="1877" w:hRule="atLeast"/>
        </w:trPr>
        <w:tc>
          <w:tcPr>
            <w:tcW w:w="769" w:type="dxa"/>
          </w:tcPr>
          <w:p>
            <w:pPr>
              <w:pStyle w:val="TableParagraph"/>
              <w:spacing w:before="131"/>
              <w:ind w:right="103"/>
              <w:jc w:val="right"/>
              <w:rPr>
                <w:rFonts w:ascii="Times New Roman"/>
                <w:b/>
                <w:sz w:val="21"/>
              </w:rPr>
            </w:pPr>
            <w:r>
              <w:rPr>
                <w:rFonts w:ascii="Times New Roman"/>
                <w:b/>
                <w:sz w:val="21"/>
              </w:rPr>
              <w:t>11.12</w:t>
            </w:r>
          </w:p>
        </w:tc>
        <w:tc>
          <w:tcPr>
            <w:tcW w:w="1669" w:type="dxa"/>
          </w:tcPr>
          <w:p>
            <w:pPr>
              <w:pStyle w:val="TableParagraph"/>
              <w:spacing w:before="99"/>
              <w:ind w:left="105" w:right="80"/>
              <w:rPr>
                <w:b/>
                <w:sz w:val="21"/>
              </w:rPr>
            </w:pPr>
            <w:r>
              <w:rPr>
                <w:b/>
                <w:sz w:val="21"/>
              </w:rPr>
              <w:t>无合法有效驾驶证驾驶：</w:t>
            </w:r>
          </w:p>
        </w:tc>
        <w:tc>
          <w:tcPr>
            <w:tcW w:w="7190" w:type="dxa"/>
          </w:tcPr>
          <w:p>
            <w:pPr>
              <w:pStyle w:val="TableParagraph"/>
              <w:spacing w:line="274" w:lineRule="exact" w:before="99"/>
              <w:ind w:left="133"/>
              <w:rPr>
                <w:sz w:val="21"/>
              </w:rPr>
            </w:pPr>
            <w:r>
              <w:rPr>
                <w:sz w:val="21"/>
              </w:rPr>
              <w:t>指下列情形之一：</w:t>
            </w:r>
          </w:p>
          <w:p>
            <w:pPr>
              <w:pStyle w:val="TableParagraph"/>
              <w:spacing w:line="280" w:lineRule="exact"/>
              <w:ind w:left="133"/>
              <w:rPr>
                <w:sz w:val="21"/>
              </w:rPr>
            </w:pPr>
            <w:r>
              <w:rPr>
                <w:rFonts w:ascii="Times New Roman" w:eastAsia="Times New Roman"/>
                <w:sz w:val="21"/>
              </w:rPr>
              <w:t>1</w:t>
            </w:r>
            <w:r>
              <w:rPr>
                <w:sz w:val="21"/>
              </w:rPr>
              <w:t>、没有取得驾驶资格；</w:t>
            </w:r>
          </w:p>
          <w:p>
            <w:pPr>
              <w:pStyle w:val="TableParagraph"/>
              <w:spacing w:line="272" w:lineRule="exact"/>
              <w:ind w:left="133"/>
              <w:rPr>
                <w:sz w:val="21"/>
              </w:rPr>
            </w:pPr>
            <w:r>
              <w:rPr>
                <w:rFonts w:ascii="Times New Roman" w:eastAsia="Times New Roman"/>
                <w:sz w:val="21"/>
              </w:rPr>
              <w:t>2</w:t>
            </w:r>
            <w:r>
              <w:rPr>
                <w:sz w:val="21"/>
              </w:rPr>
              <w:t>、驾驶与驾驶证准驾车型不相符合的车辆；</w:t>
            </w:r>
          </w:p>
          <w:p>
            <w:pPr>
              <w:pStyle w:val="TableParagraph"/>
              <w:spacing w:line="272" w:lineRule="exact"/>
              <w:ind w:left="133"/>
              <w:rPr>
                <w:sz w:val="21"/>
              </w:rPr>
            </w:pPr>
            <w:r>
              <w:rPr>
                <w:rFonts w:ascii="Times New Roman" w:eastAsia="Times New Roman"/>
                <w:sz w:val="21"/>
              </w:rPr>
              <w:t>3</w:t>
            </w:r>
            <w:r>
              <w:rPr>
                <w:sz w:val="21"/>
              </w:rPr>
              <w:t>、持审验不合格的驾驶证驾驶；</w:t>
            </w:r>
          </w:p>
          <w:p>
            <w:pPr>
              <w:pStyle w:val="TableParagraph"/>
              <w:spacing w:line="225" w:lineRule="auto" w:before="8"/>
              <w:ind w:left="448" w:right="306" w:hanging="315"/>
              <w:rPr>
                <w:sz w:val="21"/>
              </w:rPr>
            </w:pPr>
            <w:r>
              <w:rPr>
                <w:rFonts w:ascii="Times New Roman" w:eastAsia="Times New Roman"/>
                <w:sz w:val="21"/>
              </w:rPr>
              <w:t>4</w:t>
            </w:r>
            <w:r>
              <w:rPr>
                <w:spacing w:val="-10"/>
                <w:sz w:val="21"/>
              </w:rPr>
              <w:t>、持学习驾驶证学习驾车时，无教练员随车指导，或不按指定时间、路线</w:t>
            </w:r>
            <w:r>
              <w:rPr>
                <w:spacing w:val="-5"/>
                <w:sz w:val="21"/>
              </w:rPr>
              <w:t>学习驾车。</w:t>
            </w:r>
          </w:p>
        </w:tc>
      </w:tr>
      <w:tr>
        <w:trPr>
          <w:trHeight w:val="1066" w:hRule="atLeast"/>
        </w:trPr>
        <w:tc>
          <w:tcPr>
            <w:tcW w:w="769" w:type="dxa"/>
          </w:tcPr>
          <w:p>
            <w:pPr>
              <w:pStyle w:val="TableParagraph"/>
              <w:spacing w:before="132"/>
              <w:ind w:right="103"/>
              <w:jc w:val="right"/>
              <w:rPr>
                <w:rFonts w:ascii="Times New Roman"/>
                <w:b/>
                <w:sz w:val="21"/>
              </w:rPr>
            </w:pPr>
            <w:r>
              <w:rPr>
                <w:rFonts w:ascii="Times New Roman"/>
                <w:b/>
                <w:sz w:val="21"/>
              </w:rPr>
              <w:t>11.13</w:t>
            </w:r>
          </w:p>
        </w:tc>
        <w:tc>
          <w:tcPr>
            <w:tcW w:w="1669" w:type="dxa"/>
          </w:tcPr>
          <w:p>
            <w:pPr>
              <w:pStyle w:val="TableParagraph"/>
              <w:spacing w:before="99"/>
              <w:ind w:left="105"/>
              <w:rPr>
                <w:b/>
                <w:sz w:val="21"/>
              </w:rPr>
            </w:pPr>
            <w:r>
              <w:rPr>
                <w:b/>
                <w:sz w:val="21"/>
              </w:rPr>
              <w:t>无有效行驶证：</w:t>
            </w:r>
          </w:p>
        </w:tc>
        <w:tc>
          <w:tcPr>
            <w:tcW w:w="7190" w:type="dxa"/>
          </w:tcPr>
          <w:p>
            <w:pPr>
              <w:pStyle w:val="TableParagraph"/>
              <w:spacing w:line="273" w:lineRule="exact" w:before="99"/>
              <w:ind w:left="133"/>
              <w:rPr>
                <w:sz w:val="21"/>
              </w:rPr>
            </w:pPr>
            <w:r>
              <w:rPr>
                <w:sz w:val="21"/>
              </w:rPr>
              <w:t>指下列情形之一：</w:t>
            </w:r>
          </w:p>
          <w:p>
            <w:pPr>
              <w:pStyle w:val="TableParagraph"/>
              <w:spacing w:line="280" w:lineRule="exact"/>
              <w:ind w:left="133"/>
              <w:rPr>
                <w:sz w:val="21"/>
              </w:rPr>
            </w:pPr>
            <w:r>
              <w:rPr>
                <w:rFonts w:ascii="Times New Roman" w:eastAsia="Times New Roman"/>
                <w:sz w:val="21"/>
              </w:rPr>
              <w:t>1</w:t>
            </w:r>
            <w:r>
              <w:rPr>
                <w:sz w:val="21"/>
              </w:rPr>
              <w:t>、机动车被依法注销登记的；</w:t>
            </w:r>
          </w:p>
          <w:p>
            <w:pPr>
              <w:pStyle w:val="TableParagraph"/>
              <w:spacing w:line="282" w:lineRule="exact"/>
              <w:ind w:left="133"/>
              <w:rPr>
                <w:sz w:val="21"/>
              </w:rPr>
            </w:pPr>
            <w:r>
              <w:rPr>
                <w:rFonts w:ascii="Times New Roman" w:eastAsia="Times New Roman"/>
                <w:sz w:val="21"/>
              </w:rPr>
              <w:t>2</w:t>
            </w:r>
            <w:r>
              <w:rPr>
                <w:sz w:val="21"/>
              </w:rPr>
              <w:t>、未依法按时进行或通过机动车安全技术检验。</w:t>
            </w:r>
          </w:p>
        </w:tc>
      </w:tr>
      <w:tr>
        <w:trPr>
          <w:trHeight w:val="926" w:hRule="atLeast"/>
        </w:trPr>
        <w:tc>
          <w:tcPr>
            <w:tcW w:w="769" w:type="dxa"/>
          </w:tcPr>
          <w:p>
            <w:pPr>
              <w:pStyle w:val="TableParagraph"/>
              <w:spacing w:before="123"/>
              <w:ind w:right="103"/>
              <w:jc w:val="right"/>
              <w:rPr>
                <w:rFonts w:ascii="Times New Roman"/>
                <w:b/>
                <w:sz w:val="21"/>
              </w:rPr>
            </w:pPr>
            <w:r>
              <w:rPr>
                <w:rFonts w:ascii="Times New Roman"/>
                <w:b/>
                <w:sz w:val="21"/>
              </w:rPr>
              <w:t>11.14</w:t>
            </w:r>
          </w:p>
        </w:tc>
        <w:tc>
          <w:tcPr>
            <w:tcW w:w="1669" w:type="dxa"/>
          </w:tcPr>
          <w:p>
            <w:pPr>
              <w:pStyle w:val="TableParagraph"/>
              <w:spacing w:line="273" w:lineRule="exact" w:before="91"/>
              <w:ind w:left="105"/>
              <w:rPr>
                <w:b/>
                <w:sz w:val="21"/>
              </w:rPr>
            </w:pPr>
            <w:r>
              <w:rPr>
                <w:b/>
                <w:sz w:val="21"/>
              </w:rPr>
              <w:t>感染艾滋病病毒</w:t>
            </w:r>
          </w:p>
          <w:p>
            <w:pPr>
              <w:pStyle w:val="TableParagraph"/>
              <w:spacing w:line="274" w:lineRule="exact" w:before="24"/>
              <w:ind w:left="105" w:right="78"/>
              <w:rPr>
                <w:b/>
                <w:sz w:val="21"/>
              </w:rPr>
            </w:pPr>
            <w:r>
              <w:rPr>
                <w:b/>
                <w:sz w:val="21"/>
              </w:rPr>
              <w:t>（</w:t>
            </w:r>
            <w:r>
              <w:rPr>
                <w:rFonts w:ascii="Times New Roman" w:eastAsia="Times New Roman"/>
                <w:b/>
                <w:sz w:val="21"/>
              </w:rPr>
              <w:t>HIV</w:t>
            </w:r>
            <w:r>
              <w:rPr>
                <w:b/>
                <w:sz w:val="21"/>
              </w:rPr>
              <w:t>）</w:t>
            </w:r>
            <w:r>
              <w:rPr>
                <w:b/>
                <w:spacing w:val="0"/>
                <w:sz w:val="21"/>
              </w:rPr>
              <w:t>或患艾</w:t>
            </w:r>
            <w:r>
              <w:rPr>
                <w:b/>
                <w:spacing w:val="0"/>
                <w:w w:val="100"/>
                <w:sz w:val="21"/>
              </w:rPr>
              <w:t>滋病</w:t>
            </w:r>
            <w:r>
              <w:rPr>
                <w:b/>
                <w:spacing w:val="-1"/>
                <w:w w:val="100"/>
                <w:sz w:val="21"/>
              </w:rPr>
              <w:t>（</w:t>
            </w:r>
            <w:r>
              <w:rPr>
                <w:rFonts w:ascii="Times New Roman" w:eastAsia="Times New Roman"/>
                <w:b/>
                <w:w w:val="100"/>
                <w:sz w:val="21"/>
              </w:rPr>
              <w:t>A</w:t>
            </w:r>
            <w:r>
              <w:rPr>
                <w:rFonts w:ascii="Times New Roman" w:eastAsia="Times New Roman"/>
                <w:b/>
                <w:spacing w:val="-3"/>
                <w:w w:val="100"/>
                <w:sz w:val="21"/>
              </w:rPr>
              <w:t>I</w:t>
            </w:r>
            <w:r>
              <w:rPr>
                <w:rFonts w:ascii="Times New Roman" w:eastAsia="Times New Roman"/>
                <w:b/>
                <w:w w:val="100"/>
                <w:sz w:val="21"/>
              </w:rPr>
              <w:t>D</w:t>
            </w:r>
            <w:r>
              <w:rPr>
                <w:rFonts w:ascii="Times New Roman" w:eastAsia="Times New Roman"/>
                <w:b/>
                <w:spacing w:val="-2"/>
                <w:w w:val="100"/>
                <w:sz w:val="21"/>
              </w:rPr>
              <w:t>S</w:t>
            </w:r>
            <w:r>
              <w:rPr>
                <w:b/>
                <w:spacing w:val="-106"/>
                <w:w w:val="100"/>
                <w:sz w:val="21"/>
              </w:rPr>
              <w:t>）：</w:t>
            </w:r>
          </w:p>
        </w:tc>
        <w:tc>
          <w:tcPr>
            <w:tcW w:w="7190" w:type="dxa"/>
          </w:tcPr>
          <w:p>
            <w:pPr>
              <w:pStyle w:val="TableParagraph"/>
              <w:spacing w:line="223" w:lineRule="auto" w:before="111"/>
              <w:ind w:left="80" w:right="304"/>
              <w:rPr>
                <w:sz w:val="21"/>
              </w:rPr>
            </w:pPr>
            <w:r>
              <w:rPr>
                <w:spacing w:val="-2"/>
                <w:sz w:val="21"/>
              </w:rPr>
              <w:t>艾滋病病毒指人类免疫缺陷病毒，英文缩写为 </w:t>
            </w:r>
            <w:r>
              <w:rPr>
                <w:rFonts w:ascii="Times New Roman" w:eastAsia="Times New Roman"/>
                <w:sz w:val="21"/>
              </w:rPr>
              <w:t>HIV</w:t>
            </w:r>
            <w:r>
              <w:rPr>
                <w:spacing w:val="-2"/>
                <w:sz w:val="21"/>
              </w:rPr>
              <w:t>。艾滋病指人类免疫缺</w:t>
            </w:r>
            <w:r>
              <w:rPr>
                <w:spacing w:val="-6"/>
                <w:sz w:val="21"/>
              </w:rPr>
              <w:t>陷病毒引起的获得性免疫缺陷综合征，英文缩写为 </w:t>
            </w:r>
            <w:r>
              <w:rPr>
                <w:rFonts w:ascii="Times New Roman" w:eastAsia="Times New Roman"/>
                <w:sz w:val="21"/>
              </w:rPr>
              <w:t>AIDS</w:t>
            </w:r>
            <w:r>
              <w:rPr>
                <w:spacing w:val="-6"/>
                <w:sz w:val="21"/>
              </w:rPr>
              <w:t>。在人体血液或其</w:t>
            </w:r>
          </w:p>
          <w:p>
            <w:pPr>
              <w:pStyle w:val="TableParagraph"/>
              <w:spacing w:line="254" w:lineRule="exact"/>
              <w:ind w:left="80"/>
              <w:rPr>
                <w:sz w:val="21"/>
              </w:rPr>
            </w:pPr>
            <w:r>
              <w:rPr>
                <w:sz w:val="21"/>
              </w:rPr>
              <w:t>它样本中检测到艾滋病病毒或其抗体呈阳性，没有出现临床症状或体征的，</w:t>
            </w:r>
          </w:p>
        </w:tc>
      </w:tr>
    </w:tbl>
    <w:p>
      <w:pPr>
        <w:spacing w:after="0" w:line="254" w:lineRule="exact"/>
        <w:rPr>
          <w:sz w:val="21"/>
        </w:rPr>
        <w:sectPr>
          <w:pgSz w:w="11910" w:h="16840"/>
          <w:pgMar w:top="1040" w:bottom="280" w:left="740" w:right="132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1"/>
        <w:gridCol w:w="1691"/>
        <w:gridCol w:w="7171"/>
      </w:tblGrid>
      <w:tr>
        <w:trPr>
          <w:trHeight w:val="397" w:hRule="atLeast"/>
        </w:trPr>
        <w:tc>
          <w:tcPr>
            <w:tcW w:w="1151" w:type="dxa"/>
          </w:tcPr>
          <w:p>
            <w:pPr>
              <w:pStyle w:val="TableParagraph"/>
              <w:rPr>
                <w:rFonts w:ascii="Times New Roman"/>
                <w:sz w:val="20"/>
              </w:rPr>
            </w:pPr>
          </w:p>
        </w:tc>
        <w:tc>
          <w:tcPr>
            <w:tcW w:w="1691" w:type="dxa"/>
          </w:tcPr>
          <w:p>
            <w:pPr>
              <w:pStyle w:val="TableParagraph"/>
              <w:rPr>
                <w:rFonts w:ascii="Times New Roman"/>
                <w:sz w:val="20"/>
              </w:rPr>
            </w:pPr>
          </w:p>
        </w:tc>
        <w:tc>
          <w:tcPr>
            <w:tcW w:w="7171" w:type="dxa"/>
          </w:tcPr>
          <w:p>
            <w:pPr>
              <w:pStyle w:val="TableParagraph"/>
              <w:spacing w:line="211" w:lineRule="exact"/>
              <w:ind w:left="58"/>
              <w:rPr>
                <w:sz w:val="21"/>
              </w:rPr>
            </w:pPr>
            <w:r>
              <w:rPr>
                <w:sz w:val="21"/>
              </w:rPr>
              <w:t>为感染艾滋病病毒；如果同时出现了明显临床症状或体征的，为患艾滋病。</w:t>
            </w:r>
          </w:p>
        </w:tc>
      </w:tr>
      <w:tr>
        <w:trPr>
          <w:trHeight w:val="834" w:hRule="atLeast"/>
        </w:trPr>
        <w:tc>
          <w:tcPr>
            <w:tcW w:w="1151" w:type="dxa"/>
          </w:tcPr>
          <w:p>
            <w:pPr>
              <w:pStyle w:val="TableParagraph"/>
              <w:spacing w:before="178"/>
              <w:ind w:right="103"/>
              <w:jc w:val="right"/>
              <w:rPr>
                <w:rFonts w:ascii="Times New Roman"/>
                <w:b/>
                <w:sz w:val="21"/>
              </w:rPr>
            </w:pPr>
            <w:r>
              <w:rPr>
                <w:rFonts w:ascii="Times New Roman"/>
                <w:b/>
                <w:sz w:val="21"/>
              </w:rPr>
              <w:t>11.15</w:t>
            </w:r>
          </w:p>
        </w:tc>
        <w:tc>
          <w:tcPr>
            <w:tcW w:w="1691" w:type="dxa"/>
          </w:tcPr>
          <w:p>
            <w:pPr>
              <w:pStyle w:val="TableParagraph"/>
              <w:spacing w:before="146"/>
              <w:ind w:left="105"/>
              <w:rPr>
                <w:b/>
                <w:sz w:val="21"/>
              </w:rPr>
            </w:pPr>
            <w:r>
              <w:rPr>
                <w:b/>
                <w:sz w:val="21"/>
              </w:rPr>
              <w:t>遗传性疾病：</w:t>
            </w:r>
          </w:p>
        </w:tc>
        <w:tc>
          <w:tcPr>
            <w:tcW w:w="7171" w:type="dxa"/>
          </w:tcPr>
          <w:p>
            <w:pPr>
              <w:pStyle w:val="TableParagraph"/>
              <w:spacing w:before="146"/>
              <w:ind w:left="58" w:right="316"/>
              <w:rPr>
                <w:sz w:val="21"/>
              </w:rPr>
            </w:pPr>
            <w:r>
              <w:rPr>
                <w:sz w:val="21"/>
              </w:rPr>
              <w:t>指生殖细胞或受精卵的遗传物质（染色体和基因）发生突变或畸变所引起的疾病，通常具有由亲代传至后代的垂直传递的特征。</w:t>
            </w:r>
          </w:p>
        </w:tc>
      </w:tr>
      <w:tr>
        <w:trPr>
          <w:trHeight w:val="1066" w:hRule="atLeast"/>
        </w:trPr>
        <w:tc>
          <w:tcPr>
            <w:tcW w:w="1151" w:type="dxa"/>
          </w:tcPr>
          <w:p>
            <w:pPr>
              <w:pStyle w:val="TableParagraph"/>
              <w:spacing w:before="131"/>
              <w:ind w:right="103"/>
              <w:jc w:val="right"/>
              <w:rPr>
                <w:rFonts w:ascii="Times New Roman"/>
                <w:b/>
                <w:sz w:val="21"/>
              </w:rPr>
            </w:pPr>
            <w:r>
              <w:rPr>
                <w:rFonts w:ascii="Times New Roman"/>
                <w:b/>
                <w:sz w:val="21"/>
              </w:rPr>
              <w:t>11.16</w:t>
            </w:r>
          </w:p>
        </w:tc>
        <w:tc>
          <w:tcPr>
            <w:tcW w:w="1691" w:type="dxa"/>
          </w:tcPr>
          <w:p>
            <w:pPr>
              <w:pStyle w:val="TableParagraph"/>
              <w:spacing w:line="237" w:lineRule="auto" w:before="102"/>
              <w:ind w:left="105" w:right="57"/>
              <w:jc w:val="both"/>
              <w:rPr>
                <w:b/>
                <w:sz w:val="21"/>
              </w:rPr>
            </w:pPr>
            <w:r>
              <w:rPr>
                <w:b/>
                <w:sz w:val="21"/>
              </w:rPr>
              <w:t>先天性畸形、变形或染色体异常：</w:t>
            </w:r>
          </w:p>
        </w:tc>
        <w:tc>
          <w:tcPr>
            <w:tcW w:w="7171" w:type="dxa"/>
          </w:tcPr>
          <w:p>
            <w:pPr>
              <w:pStyle w:val="TableParagraph"/>
              <w:spacing w:line="237" w:lineRule="auto" w:before="102"/>
              <w:ind w:left="58" w:right="198"/>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line="289" w:lineRule="exact"/>
              <w:ind w:left="58"/>
              <w:rPr>
                <w:sz w:val="21"/>
              </w:rPr>
            </w:pPr>
            <w:r>
              <w:rPr>
                <w:sz w:val="21"/>
              </w:rPr>
              <w:t>（</w:t>
            </w:r>
            <w:r>
              <w:rPr>
                <w:rFonts w:ascii="Times New Roman" w:eastAsia="Times New Roman"/>
                <w:sz w:val="21"/>
              </w:rPr>
              <w:t>ICD-10</w:t>
            </w:r>
            <w:r>
              <w:rPr>
                <w:sz w:val="21"/>
              </w:rPr>
              <w:t>）确定。</w:t>
            </w:r>
          </w:p>
        </w:tc>
      </w:tr>
      <w:tr>
        <w:trPr>
          <w:trHeight w:val="776" w:hRule="atLeast"/>
        </w:trPr>
        <w:tc>
          <w:tcPr>
            <w:tcW w:w="1151" w:type="dxa"/>
          </w:tcPr>
          <w:p>
            <w:pPr>
              <w:pStyle w:val="TableParagraph"/>
              <w:spacing w:before="123"/>
              <w:ind w:right="103"/>
              <w:jc w:val="right"/>
              <w:rPr>
                <w:rFonts w:ascii="Times New Roman"/>
                <w:b/>
                <w:sz w:val="21"/>
              </w:rPr>
            </w:pPr>
            <w:r>
              <w:rPr>
                <w:rFonts w:ascii="Times New Roman"/>
                <w:b/>
                <w:sz w:val="21"/>
              </w:rPr>
              <w:t>11.17</w:t>
            </w:r>
          </w:p>
        </w:tc>
        <w:tc>
          <w:tcPr>
            <w:tcW w:w="1691" w:type="dxa"/>
          </w:tcPr>
          <w:p>
            <w:pPr>
              <w:pStyle w:val="TableParagraph"/>
              <w:spacing w:before="91"/>
              <w:ind w:left="105"/>
              <w:rPr>
                <w:b/>
                <w:sz w:val="21"/>
              </w:rPr>
            </w:pPr>
            <w:r>
              <w:rPr>
                <w:b/>
                <w:sz w:val="21"/>
              </w:rPr>
              <w:t>利息：</w:t>
            </w:r>
          </w:p>
        </w:tc>
        <w:tc>
          <w:tcPr>
            <w:tcW w:w="7171" w:type="dxa"/>
          </w:tcPr>
          <w:p>
            <w:pPr>
              <w:pStyle w:val="TableParagraph"/>
              <w:spacing w:line="223" w:lineRule="auto" w:before="111"/>
              <w:ind w:left="111" w:right="307"/>
              <w:rPr>
                <w:sz w:val="21"/>
              </w:rPr>
            </w:pPr>
            <w:r>
              <w:rPr>
                <w:spacing w:val="-8"/>
                <w:sz w:val="21"/>
              </w:rPr>
              <w:t>指保单借款和自动垫缴的保险费等欠款所产生的利息，该利息按第 </w:t>
            </w:r>
            <w:r>
              <w:rPr>
                <w:rFonts w:ascii="Times New Roman" w:eastAsia="Times New Roman"/>
                <w:sz w:val="21"/>
              </w:rPr>
              <w:t>4 </w:t>
            </w:r>
            <w:r>
              <w:rPr>
                <w:spacing w:val="-33"/>
                <w:sz w:val="21"/>
              </w:rPr>
              <w:t>章《保</w:t>
            </w:r>
            <w:r>
              <w:rPr>
                <w:spacing w:val="-10"/>
                <w:sz w:val="21"/>
              </w:rPr>
              <w:t>单借款》规定的保单借款利率计算。</w:t>
            </w:r>
          </w:p>
        </w:tc>
      </w:tr>
      <w:tr>
        <w:trPr>
          <w:trHeight w:val="2662" w:hRule="atLeast"/>
        </w:trPr>
        <w:tc>
          <w:tcPr>
            <w:tcW w:w="1151" w:type="dxa"/>
          </w:tcPr>
          <w:p>
            <w:pPr>
              <w:pStyle w:val="TableParagraph"/>
              <w:spacing w:before="131"/>
              <w:ind w:right="104"/>
              <w:jc w:val="right"/>
              <w:rPr>
                <w:rFonts w:ascii="Times New Roman"/>
                <w:b/>
                <w:sz w:val="21"/>
              </w:rPr>
            </w:pPr>
            <w:r>
              <w:rPr>
                <w:rFonts w:ascii="Times New Roman"/>
                <w:b/>
                <w:sz w:val="21"/>
              </w:rPr>
              <w:t>11.18</w:t>
            </w:r>
          </w:p>
        </w:tc>
        <w:tc>
          <w:tcPr>
            <w:tcW w:w="1691" w:type="dxa"/>
          </w:tcPr>
          <w:p>
            <w:pPr>
              <w:pStyle w:val="TableParagraph"/>
              <w:spacing w:before="99"/>
              <w:ind w:left="105"/>
              <w:rPr>
                <w:b/>
                <w:sz w:val="21"/>
              </w:rPr>
            </w:pPr>
            <w:r>
              <w:rPr>
                <w:b/>
                <w:sz w:val="21"/>
              </w:rPr>
              <w:t>医院：</w:t>
            </w:r>
          </w:p>
        </w:tc>
        <w:tc>
          <w:tcPr>
            <w:tcW w:w="7171" w:type="dxa"/>
          </w:tcPr>
          <w:p>
            <w:pPr>
              <w:pStyle w:val="TableParagraph"/>
              <w:spacing w:line="237" w:lineRule="auto" w:before="102"/>
              <w:ind w:left="111" w:right="310"/>
              <w:jc w:val="both"/>
              <w:rPr>
                <w:sz w:val="21"/>
              </w:rPr>
            </w:pPr>
            <w:r>
              <w:rPr>
                <w:sz w:val="21"/>
              </w:rPr>
              <w:t>指我们指定的医院或经中华人民共和国卫生部门评审确定的二级或以上的公立医院，</w:t>
            </w:r>
            <w:r>
              <w:rPr>
                <w:rFonts w:ascii="黑体" w:eastAsia="黑体" w:hint="eastAsia"/>
                <w:sz w:val="21"/>
              </w:rPr>
              <w:t>但不包括精神病院及专供康复、护理、疗养、戒酒、戒毒、养老等非以直接诊治病人为目的之医疗机构。</w:t>
            </w:r>
            <w:r>
              <w:rPr>
                <w:sz w:val="21"/>
              </w:rPr>
              <w:t>该医院必须具有符合国家有关医院管理规则设置标准的医疗设备，且全天二十四小时有合格的医生和护士驻院提供医疗和护理服务。当被保险人因遭遇意外伤害事故须急救时不受此限，但经急救处理伤情稳定后，必须及时转入本合同所指医院治疗。</w:t>
            </w:r>
          </w:p>
          <w:p>
            <w:pPr>
              <w:pStyle w:val="TableParagraph"/>
              <w:spacing w:before="6"/>
              <w:rPr>
                <w:rFonts w:ascii="黑体"/>
                <w:sz w:val="18"/>
              </w:rPr>
            </w:pPr>
          </w:p>
          <w:p>
            <w:pPr>
              <w:pStyle w:val="TableParagraph"/>
              <w:spacing w:line="237" w:lineRule="auto"/>
              <w:ind w:left="111" w:right="311"/>
              <w:jc w:val="both"/>
              <w:rPr>
                <w:sz w:val="21"/>
              </w:rPr>
            </w:pPr>
            <w:r>
              <w:rPr>
                <w:sz w:val="21"/>
              </w:rPr>
              <w:t>医生是指领有执业医师执照、在医院内行医并拥有处方权的医生，且非您或被保险人以及您或被保险人的配偶、父母、子女。</w:t>
            </w:r>
          </w:p>
        </w:tc>
      </w:tr>
      <w:tr>
        <w:trPr>
          <w:trHeight w:val="787" w:hRule="atLeast"/>
        </w:trPr>
        <w:tc>
          <w:tcPr>
            <w:tcW w:w="1151" w:type="dxa"/>
          </w:tcPr>
          <w:p>
            <w:pPr>
              <w:pStyle w:val="TableParagraph"/>
              <w:spacing w:before="131"/>
              <w:ind w:right="104"/>
              <w:jc w:val="right"/>
              <w:rPr>
                <w:rFonts w:ascii="Times New Roman"/>
                <w:b/>
                <w:sz w:val="21"/>
              </w:rPr>
            </w:pPr>
            <w:r>
              <w:rPr>
                <w:rFonts w:ascii="Times New Roman"/>
                <w:b/>
                <w:sz w:val="21"/>
              </w:rPr>
              <w:t>11.19</w:t>
            </w:r>
          </w:p>
        </w:tc>
        <w:tc>
          <w:tcPr>
            <w:tcW w:w="1691" w:type="dxa"/>
          </w:tcPr>
          <w:p>
            <w:pPr>
              <w:pStyle w:val="TableParagraph"/>
              <w:spacing w:before="99"/>
              <w:ind w:left="105" w:right="103"/>
              <w:rPr>
                <w:b/>
                <w:sz w:val="21"/>
              </w:rPr>
            </w:pPr>
            <w:r>
              <w:rPr>
                <w:b/>
                <w:sz w:val="21"/>
              </w:rPr>
              <w:t>肢体机能完全丧失：</w:t>
            </w:r>
          </w:p>
        </w:tc>
        <w:tc>
          <w:tcPr>
            <w:tcW w:w="7171" w:type="dxa"/>
          </w:tcPr>
          <w:p>
            <w:pPr>
              <w:pStyle w:val="TableParagraph"/>
              <w:spacing w:before="99"/>
              <w:ind w:left="111" w:right="311"/>
              <w:rPr>
                <w:sz w:val="21"/>
              </w:rPr>
            </w:pPr>
            <w:r>
              <w:rPr>
                <w:sz w:val="21"/>
              </w:rPr>
              <w:t>指肢体的三大关节中的两大关节僵硬，或不能随意识活动。肢体是指包括肩关节的整个上肢或包括髋关节的整个下肢。</w:t>
            </w:r>
          </w:p>
        </w:tc>
      </w:tr>
      <w:tr>
        <w:trPr>
          <w:trHeight w:val="785" w:hRule="atLeast"/>
        </w:trPr>
        <w:tc>
          <w:tcPr>
            <w:tcW w:w="1151" w:type="dxa"/>
          </w:tcPr>
          <w:p>
            <w:pPr>
              <w:pStyle w:val="TableParagraph"/>
              <w:spacing w:before="131"/>
              <w:ind w:right="103"/>
              <w:jc w:val="right"/>
              <w:rPr>
                <w:rFonts w:ascii="Times New Roman"/>
                <w:b/>
                <w:sz w:val="21"/>
              </w:rPr>
            </w:pPr>
            <w:r>
              <w:rPr>
                <w:rFonts w:ascii="Times New Roman"/>
                <w:b/>
                <w:sz w:val="21"/>
              </w:rPr>
              <w:t>11.20</w:t>
            </w:r>
          </w:p>
        </w:tc>
        <w:tc>
          <w:tcPr>
            <w:tcW w:w="1691" w:type="dxa"/>
          </w:tcPr>
          <w:p>
            <w:pPr>
              <w:pStyle w:val="TableParagraph"/>
              <w:spacing w:line="237" w:lineRule="auto" w:before="102"/>
              <w:ind w:left="105" w:right="103"/>
              <w:rPr>
                <w:b/>
                <w:sz w:val="21"/>
              </w:rPr>
            </w:pPr>
            <w:r>
              <w:rPr>
                <w:b/>
                <w:sz w:val="21"/>
              </w:rPr>
              <w:t>语言能力完全丧失：</w:t>
            </w:r>
          </w:p>
        </w:tc>
        <w:tc>
          <w:tcPr>
            <w:tcW w:w="7171" w:type="dxa"/>
          </w:tcPr>
          <w:p>
            <w:pPr>
              <w:pStyle w:val="TableParagraph"/>
              <w:spacing w:line="237" w:lineRule="auto" w:before="102"/>
              <w:ind w:left="111" w:right="311"/>
              <w:rPr>
                <w:sz w:val="21"/>
              </w:rPr>
            </w:pPr>
            <w:r>
              <w:rPr>
                <w:sz w:val="21"/>
              </w:rPr>
              <w:t>指无法发出四种语音（包括口唇音、齿舌音、口盖音和喉头音）中的任何三种、或声带全部切除，或因大脑语言中枢受伤害而患失语症。</w:t>
            </w:r>
          </w:p>
        </w:tc>
      </w:tr>
      <w:tr>
        <w:trPr>
          <w:trHeight w:val="786" w:hRule="atLeast"/>
        </w:trPr>
        <w:tc>
          <w:tcPr>
            <w:tcW w:w="1151" w:type="dxa"/>
          </w:tcPr>
          <w:p>
            <w:pPr>
              <w:pStyle w:val="TableParagraph"/>
              <w:spacing w:before="132"/>
              <w:ind w:right="103"/>
              <w:jc w:val="right"/>
              <w:rPr>
                <w:rFonts w:ascii="Times New Roman"/>
                <w:b/>
                <w:sz w:val="21"/>
              </w:rPr>
            </w:pPr>
            <w:r>
              <w:rPr>
                <w:rFonts w:ascii="Times New Roman"/>
                <w:b/>
                <w:sz w:val="21"/>
              </w:rPr>
              <w:t>11.21</w:t>
            </w:r>
          </w:p>
        </w:tc>
        <w:tc>
          <w:tcPr>
            <w:tcW w:w="1691" w:type="dxa"/>
          </w:tcPr>
          <w:p>
            <w:pPr>
              <w:pStyle w:val="TableParagraph"/>
              <w:spacing w:line="237" w:lineRule="auto" w:before="103"/>
              <w:ind w:left="105" w:right="103"/>
              <w:rPr>
                <w:b/>
                <w:sz w:val="21"/>
              </w:rPr>
            </w:pPr>
            <w:r>
              <w:rPr>
                <w:b/>
                <w:sz w:val="21"/>
              </w:rPr>
              <w:t>咀嚼吞咽能力完全丧失：</w:t>
            </w:r>
          </w:p>
        </w:tc>
        <w:tc>
          <w:tcPr>
            <w:tcW w:w="7171" w:type="dxa"/>
          </w:tcPr>
          <w:p>
            <w:pPr>
              <w:pStyle w:val="TableParagraph"/>
              <w:spacing w:line="237" w:lineRule="auto" w:before="103"/>
              <w:ind w:left="111" w:right="202"/>
              <w:rPr>
                <w:sz w:val="21"/>
              </w:rPr>
            </w:pPr>
            <w:r>
              <w:rPr>
                <w:spacing w:val="-7"/>
                <w:sz w:val="21"/>
              </w:rPr>
              <w:t>指因牙齿以外的原因导致器质障碍或机能障碍，以致不能作咀嚼吞咽运动， </w:t>
            </w:r>
            <w:r>
              <w:rPr>
                <w:spacing w:val="-5"/>
                <w:sz w:val="21"/>
              </w:rPr>
              <w:t>除流质食物外不能摄取或吞咽的状态。</w:t>
            </w:r>
          </w:p>
        </w:tc>
      </w:tr>
      <w:tr>
        <w:trPr>
          <w:trHeight w:val="1340" w:hRule="atLeast"/>
        </w:trPr>
        <w:tc>
          <w:tcPr>
            <w:tcW w:w="1151" w:type="dxa"/>
          </w:tcPr>
          <w:p>
            <w:pPr>
              <w:pStyle w:val="TableParagraph"/>
              <w:spacing w:before="131"/>
              <w:ind w:right="103"/>
              <w:jc w:val="right"/>
              <w:rPr>
                <w:rFonts w:ascii="Times New Roman"/>
                <w:b/>
                <w:sz w:val="21"/>
              </w:rPr>
            </w:pPr>
            <w:r>
              <w:rPr>
                <w:rFonts w:ascii="Times New Roman"/>
                <w:b/>
                <w:sz w:val="21"/>
              </w:rPr>
              <w:t>11.22</w:t>
            </w:r>
          </w:p>
        </w:tc>
        <w:tc>
          <w:tcPr>
            <w:tcW w:w="1691" w:type="dxa"/>
          </w:tcPr>
          <w:p>
            <w:pPr>
              <w:pStyle w:val="TableParagraph"/>
              <w:spacing w:before="99"/>
              <w:ind w:left="105" w:right="103"/>
              <w:rPr>
                <w:b/>
                <w:sz w:val="21"/>
              </w:rPr>
            </w:pPr>
            <w:r>
              <w:rPr>
                <w:b/>
                <w:sz w:val="21"/>
              </w:rPr>
              <w:t>六项基本日常生活活动：</w:t>
            </w:r>
          </w:p>
        </w:tc>
        <w:tc>
          <w:tcPr>
            <w:tcW w:w="7171" w:type="dxa"/>
          </w:tcPr>
          <w:p>
            <w:pPr>
              <w:pStyle w:val="TableParagraph"/>
              <w:spacing w:line="225" w:lineRule="auto" w:before="117"/>
              <w:ind w:left="111" w:right="201"/>
              <w:rPr>
                <w:sz w:val="21"/>
              </w:rPr>
            </w:pPr>
            <w:r>
              <w:rPr>
                <w:spacing w:val="-3"/>
                <w:w w:val="100"/>
                <w:sz w:val="21"/>
              </w:rPr>
              <w:t>六项基本日常生活活动是指</w:t>
            </w:r>
            <w:r>
              <w:rPr>
                <w:spacing w:val="-123"/>
                <w:w w:val="100"/>
                <w:sz w:val="21"/>
              </w:rPr>
              <w:t>：</w:t>
            </w:r>
            <w:r>
              <w:rPr>
                <w:w w:val="100"/>
                <w:sz w:val="21"/>
              </w:rPr>
              <w:t>（</w:t>
            </w:r>
            <w:r>
              <w:rPr>
                <w:rFonts w:ascii="Times New Roman" w:eastAsia="Times New Roman"/>
                <w:w w:val="100"/>
                <w:sz w:val="21"/>
              </w:rPr>
              <w:t>1</w:t>
            </w:r>
            <w:r>
              <w:rPr>
                <w:spacing w:val="-20"/>
                <w:w w:val="100"/>
                <w:sz w:val="21"/>
              </w:rPr>
              <w:t>）</w:t>
            </w:r>
            <w:r>
              <w:rPr>
                <w:spacing w:val="-5"/>
                <w:w w:val="100"/>
                <w:sz w:val="21"/>
              </w:rPr>
              <w:t>穿衣：自己能够穿衣及脱衣</w:t>
            </w:r>
            <w:r>
              <w:rPr>
                <w:spacing w:val="-123"/>
                <w:w w:val="100"/>
                <w:sz w:val="21"/>
              </w:rPr>
              <w:t>；</w:t>
            </w:r>
            <w:r>
              <w:rPr>
                <w:w w:val="100"/>
                <w:sz w:val="21"/>
              </w:rPr>
              <w:t>（</w:t>
            </w:r>
            <w:r>
              <w:rPr>
                <w:rFonts w:ascii="Times New Roman" w:eastAsia="Times New Roman"/>
                <w:w w:val="100"/>
                <w:sz w:val="21"/>
              </w:rPr>
              <w:t>2</w:t>
            </w:r>
            <w:r>
              <w:rPr>
                <w:spacing w:val="-20"/>
                <w:w w:val="100"/>
                <w:sz w:val="21"/>
              </w:rPr>
              <w:t>）</w:t>
            </w:r>
            <w:r>
              <w:rPr>
                <w:spacing w:val="-2"/>
                <w:w w:val="100"/>
                <w:sz w:val="21"/>
              </w:rPr>
              <w:t>移动：</w:t>
            </w:r>
            <w:r>
              <w:rPr>
                <w:spacing w:val="-11"/>
                <w:w w:val="100"/>
                <w:sz w:val="21"/>
              </w:rPr>
              <w:t>自己从一个房间到另一个房间；</w:t>
            </w:r>
            <w:r>
              <w:rPr>
                <w:w w:val="100"/>
                <w:sz w:val="21"/>
              </w:rPr>
              <w:t>（</w:t>
            </w:r>
            <w:r>
              <w:rPr>
                <w:rFonts w:ascii="Times New Roman" w:eastAsia="Times New Roman"/>
                <w:spacing w:val="-3"/>
                <w:w w:val="100"/>
                <w:sz w:val="21"/>
              </w:rPr>
              <w:t>3</w:t>
            </w:r>
            <w:r>
              <w:rPr>
                <w:w w:val="100"/>
                <w:sz w:val="21"/>
              </w:rPr>
              <w:t>）</w:t>
            </w:r>
            <w:r>
              <w:rPr>
                <w:spacing w:val="-11"/>
                <w:w w:val="100"/>
                <w:sz w:val="21"/>
              </w:rPr>
              <w:t>行动：自己上下床或上下轮椅；</w:t>
            </w:r>
            <w:r>
              <w:rPr>
                <w:w w:val="100"/>
                <w:sz w:val="21"/>
              </w:rPr>
              <w:t>（</w:t>
            </w:r>
            <w:r>
              <w:rPr>
                <w:rFonts w:ascii="Times New Roman" w:eastAsia="Times New Roman"/>
                <w:spacing w:val="-3"/>
                <w:w w:val="100"/>
                <w:sz w:val="21"/>
              </w:rPr>
              <w:t>4</w:t>
            </w:r>
            <w:r>
              <w:rPr>
                <w:w w:val="100"/>
                <w:sz w:val="21"/>
              </w:rPr>
              <w:t>）</w:t>
            </w:r>
            <w:r>
              <w:rPr>
                <w:spacing w:val="-10"/>
                <w:w w:val="100"/>
                <w:sz w:val="21"/>
              </w:rPr>
              <w:t>如厕：自己控制进行大小便；</w:t>
            </w:r>
            <w:r>
              <w:rPr>
                <w:w w:val="100"/>
                <w:sz w:val="21"/>
              </w:rPr>
              <w:t>（</w:t>
            </w:r>
            <w:r>
              <w:rPr>
                <w:rFonts w:ascii="Times New Roman" w:eastAsia="Times New Roman"/>
                <w:w w:val="100"/>
                <w:sz w:val="21"/>
              </w:rPr>
              <w:t>5</w:t>
            </w:r>
            <w:r>
              <w:rPr>
                <w:spacing w:val="-3"/>
                <w:w w:val="100"/>
                <w:sz w:val="21"/>
              </w:rPr>
              <w:t>）进食：自己从已准备好的碗或碟中取食</w:t>
            </w:r>
            <w:r>
              <w:rPr>
                <w:spacing w:val="-21"/>
                <w:w w:val="100"/>
                <w:sz w:val="21"/>
              </w:rPr>
              <w:t>物放入口中；</w:t>
            </w:r>
            <w:r>
              <w:rPr>
                <w:w w:val="100"/>
                <w:sz w:val="21"/>
              </w:rPr>
              <w:t>（</w:t>
            </w:r>
            <w:r>
              <w:rPr>
                <w:rFonts w:ascii="Times New Roman" w:eastAsia="Times New Roman"/>
                <w:spacing w:val="-3"/>
                <w:w w:val="100"/>
                <w:sz w:val="21"/>
              </w:rPr>
              <w:t>6</w:t>
            </w:r>
            <w:r>
              <w:rPr>
                <w:w w:val="100"/>
                <w:sz w:val="21"/>
              </w:rPr>
              <w:t>）</w:t>
            </w:r>
            <w:r>
              <w:rPr>
                <w:spacing w:val="-3"/>
                <w:w w:val="100"/>
                <w:sz w:val="21"/>
              </w:rPr>
              <w:t>洗澡：自己进行淋浴或盆浴。</w:t>
            </w:r>
          </w:p>
        </w:tc>
      </w:tr>
      <w:tr>
        <w:trPr>
          <w:trHeight w:val="906" w:hRule="atLeast"/>
        </w:trPr>
        <w:tc>
          <w:tcPr>
            <w:tcW w:w="1151" w:type="dxa"/>
          </w:tcPr>
          <w:p>
            <w:pPr>
              <w:pStyle w:val="TableParagraph"/>
              <w:spacing w:before="123"/>
              <w:ind w:right="103"/>
              <w:jc w:val="right"/>
              <w:rPr>
                <w:rFonts w:ascii="Times New Roman"/>
                <w:b/>
                <w:sz w:val="21"/>
              </w:rPr>
            </w:pPr>
            <w:r>
              <w:rPr>
                <w:rFonts w:ascii="Times New Roman"/>
                <w:b/>
                <w:sz w:val="21"/>
              </w:rPr>
              <w:t>11.23</w:t>
            </w:r>
          </w:p>
        </w:tc>
        <w:tc>
          <w:tcPr>
            <w:tcW w:w="1691" w:type="dxa"/>
          </w:tcPr>
          <w:p>
            <w:pPr>
              <w:pStyle w:val="TableParagraph"/>
              <w:spacing w:before="91"/>
              <w:ind w:left="105"/>
              <w:rPr>
                <w:b/>
                <w:sz w:val="21"/>
              </w:rPr>
            </w:pPr>
            <w:r>
              <w:rPr>
                <w:b/>
                <w:sz w:val="21"/>
              </w:rPr>
              <w:t>永久不可逆：</w:t>
            </w:r>
          </w:p>
        </w:tc>
        <w:tc>
          <w:tcPr>
            <w:tcW w:w="7171" w:type="dxa"/>
          </w:tcPr>
          <w:p>
            <w:pPr>
              <w:pStyle w:val="TableParagraph"/>
              <w:spacing w:line="223" w:lineRule="auto" w:before="111"/>
              <w:ind w:left="111" w:right="256"/>
              <w:rPr>
                <w:sz w:val="21"/>
              </w:rPr>
            </w:pPr>
            <w:r>
              <w:rPr>
                <w:sz w:val="21"/>
              </w:rPr>
              <w:t>指自疾病确诊或意外伤害事故发生之日起，经过积极治疗 </w:t>
            </w:r>
            <w:r>
              <w:rPr>
                <w:rFonts w:ascii="Times New Roman" w:eastAsia="Times New Roman"/>
                <w:sz w:val="21"/>
              </w:rPr>
              <w:t>180 </w:t>
            </w:r>
            <w:r>
              <w:rPr>
                <w:sz w:val="21"/>
              </w:rPr>
              <w:t>天后，仍无法通过现有医疗手段恢复。</w:t>
            </w:r>
          </w:p>
        </w:tc>
      </w:tr>
      <w:tr>
        <w:trPr>
          <w:trHeight w:val="1179" w:hRule="atLeast"/>
        </w:trPr>
        <w:tc>
          <w:tcPr>
            <w:tcW w:w="1151" w:type="dxa"/>
          </w:tcPr>
          <w:p>
            <w:pPr>
              <w:pStyle w:val="TableParagraph"/>
              <w:spacing w:before="2"/>
              <w:rPr>
                <w:rFonts w:ascii="黑体"/>
                <w:sz w:val="16"/>
              </w:rPr>
            </w:pPr>
          </w:p>
          <w:p>
            <w:pPr>
              <w:pStyle w:val="TableParagraph"/>
              <w:ind w:right="104"/>
              <w:jc w:val="right"/>
              <w:rPr>
                <w:b/>
                <w:sz w:val="21"/>
              </w:rPr>
            </w:pPr>
            <w:r>
              <w:rPr>
                <w:b/>
                <w:sz w:val="21"/>
              </w:rPr>
              <w:t>附表一：</w:t>
            </w:r>
          </w:p>
        </w:tc>
        <w:tc>
          <w:tcPr>
            <w:tcW w:w="1691" w:type="dxa"/>
          </w:tcPr>
          <w:p>
            <w:pPr>
              <w:pStyle w:val="TableParagraph"/>
              <w:spacing w:before="2"/>
              <w:rPr>
                <w:rFonts w:ascii="黑体"/>
                <w:sz w:val="16"/>
              </w:rPr>
            </w:pPr>
          </w:p>
          <w:p>
            <w:pPr>
              <w:pStyle w:val="TableParagraph"/>
              <w:ind w:left="105"/>
              <w:rPr>
                <w:b/>
                <w:sz w:val="21"/>
              </w:rPr>
            </w:pPr>
            <w:r>
              <w:rPr>
                <w:b/>
                <w:sz w:val="21"/>
              </w:rPr>
              <w:t>重大疾病列表</w:t>
            </w:r>
          </w:p>
        </w:tc>
        <w:tc>
          <w:tcPr>
            <w:tcW w:w="7171" w:type="dxa"/>
          </w:tcPr>
          <w:p>
            <w:pPr>
              <w:pStyle w:val="TableParagraph"/>
              <w:spacing w:before="2"/>
              <w:rPr>
                <w:rFonts w:ascii="黑体"/>
                <w:sz w:val="16"/>
              </w:rPr>
            </w:pPr>
          </w:p>
          <w:p>
            <w:pPr>
              <w:pStyle w:val="TableParagraph"/>
              <w:spacing w:line="281" w:lineRule="exact"/>
              <w:ind w:left="111"/>
              <w:rPr>
                <w:sz w:val="21"/>
              </w:rPr>
            </w:pPr>
            <w:r>
              <w:rPr>
                <w:sz w:val="21"/>
              </w:rPr>
              <w:t>包括以下疾病、疾病状态或手术。其中第 </w:t>
            </w:r>
            <w:r>
              <w:rPr>
                <w:rFonts w:ascii="Times New Roman" w:eastAsia="Times New Roman"/>
                <w:sz w:val="21"/>
              </w:rPr>
              <w:t>1-25 </w:t>
            </w:r>
            <w:r>
              <w:rPr>
                <w:sz w:val="21"/>
              </w:rPr>
              <w:t>项为中国保险行业协会与中</w:t>
            </w:r>
          </w:p>
          <w:p>
            <w:pPr>
              <w:pStyle w:val="TableParagraph"/>
              <w:spacing w:line="225" w:lineRule="auto" w:before="7"/>
              <w:ind w:left="111" w:right="307"/>
              <w:rPr>
                <w:sz w:val="21"/>
              </w:rPr>
            </w:pPr>
            <w:r>
              <w:rPr>
                <w:sz w:val="21"/>
              </w:rPr>
              <w:t>国医师协会共同制定的疾病定义，第 </w:t>
            </w:r>
            <w:r>
              <w:rPr>
                <w:rFonts w:ascii="Times New Roman" w:eastAsia="Times New Roman"/>
                <w:sz w:val="21"/>
              </w:rPr>
              <w:t>26-80 </w:t>
            </w:r>
            <w:r>
              <w:rPr>
                <w:sz w:val="21"/>
              </w:rPr>
              <w:t>项为我们增加的疾病种类并自行制定的疾病定义。</w:t>
            </w:r>
          </w:p>
        </w:tc>
      </w:tr>
      <w:tr>
        <w:trPr>
          <w:trHeight w:val="2801" w:hRule="atLeast"/>
        </w:trPr>
        <w:tc>
          <w:tcPr>
            <w:tcW w:w="1151" w:type="dxa"/>
          </w:tcPr>
          <w:p>
            <w:pPr>
              <w:pStyle w:val="TableParagraph"/>
              <w:rPr>
                <w:rFonts w:ascii="Times New Roman"/>
                <w:sz w:val="20"/>
              </w:rPr>
            </w:pPr>
          </w:p>
        </w:tc>
        <w:tc>
          <w:tcPr>
            <w:tcW w:w="1691" w:type="dxa"/>
          </w:tcPr>
          <w:p>
            <w:pPr>
              <w:pStyle w:val="TableParagraph"/>
              <w:spacing w:before="90"/>
              <w:ind w:left="105"/>
              <w:rPr>
                <w:b/>
                <w:sz w:val="21"/>
              </w:rPr>
            </w:pPr>
            <w:r>
              <w:rPr>
                <w:rFonts w:ascii="Times New Roman" w:eastAsia="Times New Roman"/>
                <w:b/>
                <w:sz w:val="21"/>
              </w:rPr>
              <w:t>1.</w:t>
            </w:r>
            <w:r>
              <w:rPr>
                <w:b/>
                <w:sz w:val="21"/>
              </w:rPr>
              <w:t>恶性肿瘤</w:t>
            </w:r>
          </w:p>
        </w:tc>
        <w:tc>
          <w:tcPr>
            <w:tcW w:w="7171" w:type="dxa"/>
          </w:tcPr>
          <w:p>
            <w:pPr>
              <w:pStyle w:val="TableParagraph"/>
              <w:spacing w:line="237" w:lineRule="auto" w:before="93"/>
              <w:ind w:left="111" w:right="311"/>
              <w:jc w:val="both"/>
              <w:rPr>
                <w:sz w:val="21"/>
              </w:rPr>
            </w:pPr>
            <w:r>
              <w:rPr>
                <w:sz w:val="21"/>
              </w:rPr>
              <w:t>指恶性细胞不受控制的进行性增长和扩散，浸润和破坏周围正常组织，可以经血管、淋巴管和体腔扩散转移到身体其它部位的疾病。经病理学检查结果确诊，临床诊断属于世界卫生组织《疾病和有关健康问题的国际统计分类》（</w:t>
            </w:r>
            <w:r>
              <w:rPr>
                <w:rFonts w:ascii="Times New Roman" w:eastAsia="Times New Roman"/>
                <w:sz w:val="21"/>
              </w:rPr>
              <w:t>ICD-10</w:t>
            </w:r>
            <w:r>
              <w:rPr>
                <w:sz w:val="21"/>
              </w:rPr>
              <w:t>）的恶性肿瘤范畴。</w:t>
            </w:r>
          </w:p>
          <w:p>
            <w:pPr>
              <w:pStyle w:val="TableParagraph"/>
              <w:spacing w:before="13"/>
              <w:rPr>
                <w:rFonts w:ascii="黑体"/>
                <w:sz w:val="16"/>
              </w:rPr>
            </w:pPr>
          </w:p>
          <w:p>
            <w:pPr>
              <w:pStyle w:val="TableParagraph"/>
              <w:spacing w:line="274" w:lineRule="exact"/>
              <w:ind w:left="111"/>
              <w:jc w:val="both"/>
              <w:rPr>
                <w:rFonts w:ascii="黑体" w:eastAsia="黑体" w:hint="eastAsia"/>
                <w:sz w:val="21"/>
              </w:rPr>
            </w:pPr>
            <w:r>
              <w:rPr>
                <w:rFonts w:ascii="黑体" w:eastAsia="黑体" w:hint="eastAsia"/>
                <w:sz w:val="21"/>
              </w:rPr>
              <w:t>下列疾病不在保障范围内：</w:t>
            </w:r>
          </w:p>
          <w:p>
            <w:pPr>
              <w:pStyle w:val="TableParagraph"/>
              <w:spacing w:line="280" w:lineRule="exact"/>
              <w:ind w:left="111"/>
              <w:jc w:val="both"/>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）原位癌；</w:t>
            </w:r>
          </w:p>
          <w:p>
            <w:pPr>
              <w:pStyle w:val="TableParagraph"/>
              <w:spacing w:line="272" w:lineRule="exact"/>
              <w:ind w:left="111"/>
              <w:jc w:val="both"/>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）相当于 </w:t>
            </w:r>
            <w:r>
              <w:rPr>
                <w:rFonts w:ascii="Times New Roman" w:eastAsia="Times New Roman"/>
                <w:sz w:val="21"/>
              </w:rPr>
              <w:t>Binet </w:t>
            </w:r>
            <w:r>
              <w:rPr>
                <w:rFonts w:ascii="黑体" w:eastAsia="黑体" w:hint="eastAsia"/>
                <w:sz w:val="21"/>
              </w:rPr>
              <w:t>分期方案 </w:t>
            </w:r>
            <w:r>
              <w:rPr>
                <w:rFonts w:ascii="Times New Roman" w:eastAsia="Times New Roman"/>
                <w:sz w:val="21"/>
              </w:rPr>
              <w:t>A </w:t>
            </w:r>
            <w:r>
              <w:rPr>
                <w:rFonts w:ascii="黑体" w:eastAsia="黑体" w:hint="eastAsia"/>
                <w:sz w:val="21"/>
              </w:rPr>
              <w:t>期程度的慢性淋巴细胞白血病；</w:t>
            </w:r>
          </w:p>
          <w:p>
            <w:pPr>
              <w:pStyle w:val="TableParagraph"/>
              <w:spacing w:line="272" w:lineRule="exact"/>
              <w:ind w:left="111"/>
              <w:jc w:val="both"/>
              <w:rPr>
                <w:rFonts w:ascii="黑体" w:eastAsia="黑体" w:hint="eastAsia"/>
                <w:sz w:val="21"/>
              </w:rPr>
            </w:pPr>
            <w:r>
              <w:rPr>
                <w:rFonts w:ascii="黑体" w:eastAsia="黑体" w:hint="eastAsia"/>
                <w:sz w:val="21"/>
              </w:rPr>
              <w:t>（</w:t>
            </w:r>
            <w:r>
              <w:rPr>
                <w:rFonts w:ascii="Times New Roman" w:eastAsia="Times New Roman"/>
                <w:sz w:val="21"/>
              </w:rPr>
              <w:t>3</w:t>
            </w:r>
            <w:r>
              <w:rPr>
                <w:rFonts w:ascii="黑体" w:eastAsia="黑体" w:hint="eastAsia"/>
                <w:sz w:val="21"/>
              </w:rPr>
              <w:t>）相当于 </w:t>
            </w:r>
            <w:r>
              <w:rPr>
                <w:rFonts w:ascii="Times New Roman" w:eastAsia="Times New Roman"/>
                <w:sz w:val="21"/>
              </w:rPr>
              <w:t>Ann Arbor </w:t>
            </w:r>
            <w:r>
              <w:rPr>
                <w:rFonts w:ascii="黑体" w:eastAsia="黑体" w:hint="eastAsia"/>
                <w:sz w:val="21"/>
              </w:rPr>
              <w:t>分期方案 </w:t>
            </w:r>
            <w:r>
              <w:rPr>
                <w:rFonts w:ascii="Times New Roman" w:eastAsia="Times New Roman"/>
                <w:sz w:val="21"/>
              </w:rPr>
              <w:t>I </w:t>
            </w:r>
            <w:r>
              <w:rPr>
                <w:rFonts w:ascii="黑体" w:eastAsia="黑体" w:hint="eastAsia"/>
                <w:sz w:val="21"/>
              </w:rPr>
              <w:t>期程度的何杰金氏病；</w:t>
            </w:r>
          </w:p>
          <w:p>
            <w:pPr>
              <w:pStyle w:val="TableParagraph"/>
              <w:spacing w:line="261" w:lineRule="exact"/>
              <w:ind w:left="111"/>
              <w:jc w:val="both"/>
              <w:rPr>
                <w:rFonts w:ascii="黑体" w:eastAsia="黑体" w:hint="eastAsia"/>
                <w:sz w:val="21"/>
              </w:rPr>
            </w:pPr>
            <w:r>
              <w:rPr>
                <w:rFonts w:ascii="黑体" w:eastAsia="黑体" w:hint="eastAsia"/>
                <w:sz w:val="21"/>
              </w:rPr>
              <w:t>（</w:t>
            </w:r>
            <w:r>
              <w:rPr>
                <w:rFonts w:ascii="Times New Roman" w:eastAsia="Times New Roman"/>
                <w:sz w:val="21"/>
              </w:rPr>
              <w:t>4</w:t>
            </w:r>
            <w:r>
              <w:rPr>
                <w:rFonts w:ascii="黑体" w:eastAsia="黑体" w:hint="eastAsia"/>
                <w:sz w:val="21"/>
              </w:rPr>
              <w:t>）皮肤癌（不包括恶性黑色素瘤及已发Th转移的皮肤癌）；</w:t>
            </w:r>
          </w:p>
        </w:tc>
      </w:tr>
    </w:tbl>
    <w:p>
      <w:pPr>
        <w:spacing w:after="0" w:line="261" w:lineRule="exact"/>
        <w:jc w:val="both"/>
        <w:rPr>
          <w:rFonts w:ascii="黑体" w:eastAsia="黑体" w:hint="eastAsia"/>
          <w:sz w:val="21"/>
        </w:rPr>
        <w:sectPr>
          <w:pgSz w:w="11910" w:h="16840"/>
          <w:pgMar w:top="1060" w:bottom="280" w:left="360" w:right="13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12"/>
        <w:gridCol w:w="7141"/>
      </w:tblGrid>
      <w:tr>
        <w:trPr>
          <w:trHeight w:val="645" w:hRule="atLeast"/>
        </w:trPr>
        <w:tc>
          <w:tcPr>
            <w:tcW w:w="1812" w:type="dxa"/>
          </w:tcPr>
          <w:p>
            <w:pPr>
              <w:pStyle w:val="TableParagraph"/>
              <w:rPr>
                <w:rFonts w:ascii="Times New Roman"/>
                <w:sz w:val="20"/>
              </w:rPr>
            </w:pPr>
          </w:p>
        </w:tc>
        <w:tc>
          <w:tcPr>
            <w:tcW w:w="7141" w:type="dxa"/>
          </w:tcPr>
          <w:p>
            <w:pPr>
              <w:pStyle w:val="TableParagraph"/>
              <w:spacing w:line="224" w:lineRule="exact"/>
              <w:ind w:left="84"/>
              <w:rPr>
                <w:rFonts w:ascii="黑体" w:eastAsia="黑体" w:hint="eastAsia"/>
                <w:sz w:val="21"/>
              </w:rPr>
            </w:pPr>
            <w:r>
              <w:rPr>
                <w:rFonts w:ascii="黑体" w:eastAsia="黑体" w:hint="eastAsia"/>
                <w:sz w:val="21"/>
              </w:rPr>
              <w:t>（</w:t>
            </w:r>
            <w:r>
              <w:rPr>
                <w:rFonts w:ascii="Times New Roman" w:eastAsia="Times New Roman"/>
                <w:sz w:val="21"/>
              </w:rPr>
              <w:t>5</w:t>
            </w:r>
            <w:r>
              <w:rPr>
                <w:rFonts w:ascii="黑体" w:eastAsia="黑体" w:hint="eastAsia"/>
                <w:sz w:val="21"/>
              </w:rPr>
              <w:t>）</w:t>
            </w:r>
            <w:r>
              <w:rPr>
                <w:rFonts w:ascii="Times New Roman" w:eastAsia="Times New Roman"/>
                <w:sz w:val="21"/>
              </w:rPr>
              <w:t>TNM </w:t>
            </w:r>
            <w:r>
              <w:rPr>
                <w:rFonts w:ascii="黑体" w:eastAsia="黑体" w:hint="eastAsia"/>
                <w:sz w:val="21"/>
              </w:rPr>
              <w:t>分期为 </w:t>
            </w:r>
            <w:r>
              <w:rPr>
                <w:rFonts w:ascii="Times New Roman" w:eastAsia="Times New Roman"/>
                <w:sz w:val="21"/>
              </w:rPr>
              <w:t>T</w:t>
            </w:r>
            <w:r>
              <w:rPr>
                <w:rFonts w:ascii="Times New Roman" w:eastAsia="Times New Roman"/>
                <w:sz w:val="21"/>
                <w:vertAlign w:val="subscript"/>
              </w:rPr>
              <w:t>1</w:t>
            </w:r>
            <w:r>
              <w:rPr>
                <w:rFonts w:ascii="Times New Roman" w:eastAsia="Times New Roman"/>
                <w:sz w:val="21"/>
                <w:vertAlign w:val="baseline"/>
              </w:rPr>
              <w:t>N</w:t>
            </w:r>
            <w:r>
              <w:rPr>
                <w:rFonts w:ascii="Times New Roman" w:eastAsia="Times New Roman"/>
                <w:sz w:val="21"/>
                <w:vertAlign w:val="subscript"/>
              </w:rPr>
              <w:t>0</w:t>
            </w:r>
            <w:r>
              <w:rPr>
                <w:rFonts w:ascii="Times New Roman" w:eastAsia="Times New Roman"/>
                <w:sz w:val="21"/>
                <w:vertAlign w:val="baseline"/>
              </w:rPr>
              <w:t>M</w:t>
            </w:r>
            <w:r>
              <w:rPr>
                <w:rFonts w:ascii="Times New Roman" w:eastAsia="Times New Roman"/>
                <w:sz w:val="21"/>
                <w:vertAlign w:val="subscript"/>
              </w:rPr>
              <w:t>0</w:t>
            </w:r>
            <w:r>
              <w:rPr>
                <w:rFonts w:ascii="Times New Roman" w:eastAsia="Times New Roman"/>
                <w:sz w:val="21"/>
                <w:vertAlign w:val="baseline"/>
              </w:rPr>
              <w:t> </w:t>
            </w:r>
            <w:r>
              <w:rPr>
                <w:rFonts w:ascii="黑体" w:eastAsia="黑体" w:hint="eastAsia"/>
                <w:sz w:val="21"/>
                <w:vertAlign w:val="baseline"/>
              </w:rPr>
              <w:t>期或更轻分期的前列腺癌；</w:t>
            </w:r>
          </w:p>
          <w:p>
            <w:pPr>
              <w:pStyle w:val="TableParagraph"/>
              <w:spacing w:line="281" w:lineRule="exact"/>
              <w:ind w:left="84"/>
              <w:rPr>
                <w:rFonts w:ascii="黑体" w:eastAsia="黑体" w:hint="eastAsia"/>
                <w:sz w:val="21"/>
              </w:rPr>
            </w:pPr>
            <w:r>
              <w:rPr>
                <w:rFonts w:ascii="黑体" w:eastAsia="黑体" w:hint="eastAsia"/>
                <w:sz w:val="21"/>
              </w:rPr>
              <w:t>（</w:t>
            </w:r>
            <w:r>
              <w:rPr>
                <w:rFonts w:ascii="Times New Roman" w:eastAsia="Times New Roman"/>
                <w:sz w:val="21"/>
              </w:rPr>
              <w:t>6</w:t>
            </w:r>
            <w:r>
              <w:rPr>
                <w:rFonts w:ascii="黑体" w:eastAsia="黑体" w:hint="eastAsia"/>
                <w:sz w:val="21"/>
              </w:rPr>
              <w:t>）感染艾滋病病毒或患艾滋病期间所患恶性肿瘤。</w:t>
            </w:r>
          </w:p>
        </w:tc>
      </w:tr>
      <w:tr>
        <w:trPr>
          <w:trHeight w:val="2421" w:hRule="atLeast"/>
        </w:trPr>
        <w:tc>
          <w:tcPr>
            <w:tcW w:w="1812" w:type="dxa"/>
          </w:tcPr>
          <w:p>
            <w:pPr>
              <w:pStyle w:val="TableParagraph"/>
              <w:spacing w:before="83"/>
              <w:ind w:left="200"/>
              <w:rPr>
                <w:b/>
                <w:sz w:val="21"/>
              </w:rPr>
            </w:pPr>
            <w:r>
              <w:rPr>
                <w:rFonts w:ascii="Times New Roman" w:eastAsia="Times New Roman"/>
                <w:b/>
                <w:sz w:val="21"/>
              </w:rPr>
              <w:t>2.</w:t>
            </w:r>
            <w:r>
              <w:rPr>
                <w:b/>
                <w:sz w:val="21"/>
              </w:rPr>
              <w:t>急性心肌梗塞</w:t>
            </w:r>
          </w:p>
        </w:tc>
        <w:tc>
          <w:tcPr>
            <w:tcW w:w="7141" w:type="dxa"/>
          </w:tcPr>
          <w:p>
            <w:pPr>
              <w:pStyle w:val="TableParagraph"/>
              <w:spacing w:before="83"/>
              <w:ind w:left="84" w:right="307"/>
              <w:rPr>
                <w:sz w:val="21"/>
              </w:rPr>
            </w:pPr>
            <w:r>
              <w:rPr>
                <w:sz w:val="21"/>
              </w:rPr>
              <w:t>指因冠状动脉阻塞导致的相应区域供血不足造成部分心肌坏死。须满足下列至少三项条件：</w:t>
            </w:r>
          </w:p>
          <w:p>
            <w:pPr>
              <w:pStyle w:val="TableParagraph"/>
              <w:spacing w:line="279" w:lineRule="exact"/>
              <w:ind w:left="84"/>
              <w:rPr>
                <w:sz w:val="21"/>
              </w:rPr>
            </w:pPr>
            <w:r>
              <w:rPr>
                <w:sz w:val="21"/>
              </w:rPr>
              <w:t>（</w:t>
            </w:r>
            <w:r>
              <w:rPr>
                <w:rFonts w:ascii="Times New Roman" w:eastAsia="Times New Roman"/>
                <w:sz w:val="21"/>
              </w:rPr>
              <w:t>1</w:t>
            </w:r>
            <w:r>
              <w:rPr>
                <w:sz w:val="21"/>
              </w:rPr>
              <w:t>）典型临床表现，例如急性胸痛等；</w:t>
            </w:r>
          </w:p>
          <w:p>
            <w:pPr>
              <w:pStyle w:val="TableParagraph"/>
              <w:spacing w:line="272" w:lineRule="exact"/>
              <w:ind w:left="84"/>
              <w:rPr>
                <w:sz w:val="21"/>
              </w:rPr>
            </w:pPr>
            <w:r>
              <w:rPr>
                <w:sz w:val="21"/>
              </w:rPr>
              <w:t>（</w:t>
            </w:r>
            <w:r>
              <w:rPr>
                <w:rFonts w:ascii="Times New Roman" w:eastAsia="Times New Roman"/>
                <w:sz w:val="21"/>
              </w:rPr>
              <w:t>2</w:t>
            </w:r>
            <w:r>
              <w:rPr>
                <w:sz w:val="21"/>
              </w:rPr>
              <w:t>）新近的心电图改变提示急性心肌梗塞；</w:t>
            </w:r>
          </w:p>
          <w:p>
            <w:pPr>
              <w:pStyle w:val="TableParagraph"/>
              <w:spacing w:line="225" w:lineRule="auto" w:before="7"/>
              <w:ind w:left="84" w:right="304"/>
              <w:rPr>
                <w:sz w:val="21"/>
              </w:rPr>
            </w:pPr>
            <w:r>
              <w:rPr>
                <w:spacing w:val="-14"/>
                <w:sz w:val="21"/>
              </w:rPr>
              <w:t>（</w:t>
            </w:r>
            <w:r>
              <w:rPr>
                <w:rFonts w:ascii="Times New Roman" w:eastAsia="Times New Roman"/>
                <w:spacing w:val="-14"/>
                <w:sz w:val="21"/>
              </w:rPr>
              <w:t>3</w:t>
            </w:r>
            <w:r>
              <w:rPr>
                <w:spacing w:val="-14"/>
                <w:sz w:val="21"/>
              </w:rPr>
              <w:t>）</w:t>
            </w:r>
            <w:r>
              <w:rPr>
                <w:spacing w:val="-6"/>
                <w:sz w:val="21"/>
              </w:rPr>
              <w:t>心肌酶或肌钙蛋白有诊断意义的升高，或呈符合急性心肌梗塞的动态</w:t>
            </w:r>
            <w:r>
              <w:rPr>
                <w:spacing w:val="-4"/>
                <w:sz w:val="21"/>
              </w:rPr>
              <w:t>性变化；</w:t>
            </w:r>
          </w:p>
          <w:p>
            <w:pPr>
              <w:pStyle w:val="TableParagraph"/>
              <w:spacing w:line="279" w:lineRule="exact"/>
              <w:ind w:left="84"/>
              <w:rPr>
                <w:sz w:val="21"/>
              </w:rPr>
            </w:pPr>
            <w:r>
              <w:rPr>
                <w:sz w:val="21"/>
              </w:rPr>
              <w:t>（</w:t>
            </w:r>
            <w:r>
              <w:rPr>
                <w:rFonts w:ascii="Times New Roman" w:eastAsia="Times New Roman"/>
                <w:sz w:val="21"/>
              </w:rPr>
              <w:t>4</w:t>
            </w:r>
            <w:r>
              <w:rPr>
                <w:sz w:val="21"/>
              </w:rPr>
              <w:t>）发病 </w:t>
            </w:r>
            <w:r>
              <w:rPr>
                <w:rFonts w:ascii="Times New Roman" w:eastAsia="Times New Roman"/>
                <w:sz w:val="21"/>
              </w:rPr>
              <w:t>90 </w:t>
            </w:r>
            <w:r>
              <w:rPr>
                <w:sz w:val="21"/>
              </w:rPr>
              <w:t>天后，经检查证实左心室功能降低，如左心室射血分数低于</w:t>
            </w:r>
          </w:p>
          <w:p>
            <w:pPr>
              <w:pStyle w:val="TableParagraph"/>
              <w:spacing w:line="282" w:lineRule="exact"/>
              <w:ind w:left="84"/>
              <w:rPr>
                <w:sz w:val="21"/>
              </w:rPr>
            </w:pPr>
            <w:r>
              <w:rPr>
                <w:rFonts w:ascii="Times New Roman" w:eastAsia="Times New Roman"/>
                <w:sz w:val="21"/>
              </w:rPr>
              <w:t>50%</w:t>
            </w:r>
            <w:r>
              <w:rPr>
                <w:sz w:val="21"/>
              </w:rPr>
              <w:t>。</w:t>
            </w:r>
          </w:p>
        </w:tc>
      </w:tr>
      <w:tr>
        <w:trPr>
          <w:trHeight w:val="2148" w:hRule="atLeast"/>
        </w:trPr>
        <w:tc>
          <w:tcPr>
            <w:tcW w:w="1812" w:type="dxa"/>
          </w:tcPr>
          <w:p>
            <w:pPr>
              <w:pStyle w:val="TableParagraph"/>
              <w:spacing w:before="82"/>
              <w:ind w:left="200"/>
              <w:rPr>
                <w:b/>
                <w:sz w:val="21"/>
              </w:rPr>
            </w:pPr>
            <w:r>
              <w:rPr>
                <w:rFonts w:ascii="Times New Roman" w:eastAsia="Times New Roman"/>
                <w:b/>
                <w:sz w:val="21"/>
              </w:rPr>
              <w:t>3.</w:t>
            </w:r>
            <w:r>
              <w:rPr>
                <w:b/>
                <w:sz w:val="21"/>
              </w:rPr>
              <w:t>脑中风后遗症</w:t>
            </w:r>
          </w:p>
        </w:tc>
        <w:tc>
          <w:tcPr>
            <w:tcW w:w="7141" w:type="dxa"/>
          </w:tcPr>
          <w:p>
            <w:pPr>
              <w:pStyle w:val="TableParagraph"/>
              <w:spacing w:line="230" w:lineRule="auto" w:before="93"/>
              <w:ind w:left="84" w:right="303"/>
              <w:jc w:val="both"/>
              <w:rPr>
                <w:sz w:val="21"/>
              </w:rPr>
            </w:pPr>
            <w:r>
              <w:rPr>
                <w:spacing w:val="-3"/>
                <w:sz w:val="21"/>
              </w:rPr>
              <w:t>指因脑血管的突发病变引起脑血管出血、栓塞或梗塞，并导致神经系统永</w:t>
            </w:r>
            <w:r>
              <w:rPr>
                <w:spacing w:val="-4"/>
                <w:sz w:val="21"/>
              </w:rPr>
              <w:t>久性的功能障碍。神经系统永久性的功能障碍，指疾病确诊 </w:t>
            </w:r>
            <w:r>
              <w:rPr>
                <w:rFonts w:ascii="Times New Roman" w:eastAsia="Times New Roman"/>
                <w:sz w:val="21"/>
              </w:rPr>
              <w:t>180 </w:t>
            </w:r>
            <w:r>
              <w:rPr>
                <w:spacing w:val="-3"/>
                <w:sz w:val="21"/>
              </w:rPr>
              <w:t>天后，仍遗留下列一种或一种以上障碍：</w:t>
            </w:r>
          </w:p>
          <w:p>
            <w:pPr>
              <w:pStyle w:val="TableParagraph"/>
              <w:spacing w:line="279" w:lineRule="exact"/>
              <w:ind w:left="94"/>
              <w:jc w:val="both"/>
              <w:rPr>
                <w:sz w:val="21"/>
              </w:rPr>
            </w:pPr>
            <w:r>
              <w:rPr>
                <w:sz w:val="21"/>
              </w:rPr>
              <w:t>（</w:t>
            </w:r>
            <w:r>
              <w:rPr>
                <w:rFonts w:ascii="Times New Roman" w:eastAsia="Times New Roman"/>
                <w:sz w:val="21"/>
              </w:rPr>
              <w:t>1</w:t>
            </w:r>
            <w:r>
              <w:rPr>
                <w:sz w:val="21"/>
              </w:rPr>
              <w:t>）一肢或一肢以上</w:t>
            </w:r>
            <w:r>
              <w:rPr>
                <w:rFonts w:ascii="黑体" w:eastAsia="黑体" w:hint="eastAsia"/>
                <w:sz w:val="21"/>
              </w:rPr>
              <w:t>肢体机能完全丧失</w:t>
            </w:r>
            <w:r>
              <w:rPr>
                <w:sz w:val="21"/>
              </w:rPr>
              <w:t>（见 </w:t>
            </w:r>
            <w:r>
              <w:rPr>
                <w:rFonts w:ascii="Times New Roman" w:eastAsia="Times New Roman"/>
                <w:sz w:val="21"/>
              </w:rPr>
              <w:t>11.19</w:t>
            </w:r>
            <w:r>
              <w:rPr>
                <w:sz w:val="21"/>
              </w:rPr>
              <w:t>）；</w:t>
            </w:r>
          </w:p>
          <w:p>
            <w:pPr>
              <w:pStyle w:val="TableParagraph"/>
              <w:spacing w:line="273" w:lineRule="exact"/>
              <w:ind w:left="94"/>
              <w:jc w:val="both"/>
              <w:rPr>
                <w:sz w:val="21"/>
              </w:rPr>
            </w:pPr>
            <w:r>
              <w:rPr>
                <w:spacing w:val="-14"/>
                <w:sz w:val="21"/>
              </w:rPr>
              <w:t>（</w:t>
            </w:r>
            <w:r>
              <w:rPr>
                <w:rFonts w:ascii="Times New Roman" w:eastAsia="Times New Roman"/>
                <w:spacing w:val="-14"/>
                <w:sz w:val="21"/>
              </w:rPr>
              <w:t>2</w:t>
            </w:r>
            <w:r>
              <w:rPr>
                <w:spacing w:val="-14"/>
                <w:sz w:val="21"/>
              </w:rPr>
              <w:t>）</w:t>
            </w:r>
            <w:r>
              <w:rPr>
                <w:rFonts w:ascii="黑体" w:eastAsia="黑体" w:hint="eastAsia"/>
                <w:spacing w:val="-8"/>
                <w:sz w:val="21"/>
              </w:rPr>
              <w:t>语言能力完全丧失</w:t>
            </w:r>
            <w:r>
              <w:rPr>
                <w:spacing w:val="-3"/>
                <w:sz w:val="21"/>
              </w:rPr>
              <w:t>（</w:t>
            </w:r>
            <w:r>
              <w:rPr>
                <w:spacing w:val="-14"/>
                <w:sz w:val="21"/>
              </w:rPr>
              <w:t>见 </w:t>
            </w:r>
            <w:r>
              <w:rPr>
                <w:rFonts w:ascii="Times New Roman" w:eastAsia="Times New Roman"/>
                <w:spacing w:val="-8"/>
                <w:sz w:val="21"/>
              </w:rPr>
              <w:t>11.20</w:t>
            </w:r>
            <w:r>
              <w:rPr>
                <w:spacing w:val="-8"/>
                <w:sz w:val="21"/>
              </w:rPr>
              <w:t>）</w:t>
            </w:r>
            <w:r>
              <w:rPr>
                <w:sz w:val="21"/>
              </w:rPr>
              <w:t>或</w:t>
            </w:r>
            <w:r>
              <w:rPr>
                <w:rFonts w:ascii="黑体" w:eastAsia="黑体" w:hint="eastAsia"/>
                <w:spacing w:val="-7"/>
                <w:sz w:val="21"/>
              </w:rPr>
              <w:t>咀嚼吞咽能力完全丧失</w:t>
            </w:r>
            <w:r>
              <w:rPr>
                <w:sz w:val="21"/>
              </w:rPr>
              <w:t>（</w:t>
            </w:r>
            <w:r>
              <w:rPr>
                <w:spacing w:val="-15"/>
                <w:sz w:val="21"/>
              </w:rPr>
              <w:t>见 </w:t>
            </w:r>
            <w:r>
              <w:rPr>
                <w:rFonts w:ascii="Times New Roman" w:eastAsia="Times New Roman"/>
                <w:spacing w:val="-13"/>
                <w:sz w:val="21"/>
              </w:rPr>
              <w:t>11.21</w:t>
            </w:r>
            <w:r>
              <w:rPr>
                <w:spacing w:val="-13"/>
                <w:sz w:val="21"/>
              </w:rPr>
              <w:t>）；</w:t>
            </w:r>
          </w:p>
          <w:p>
            <w:pPr>
              <w:pStyle w:val="TableParagraph"/>
              <w:spacing w:line="273" w:lineRule="exact"/>
              <w:ind w:left="94"/>
              <w:jc w:val="both"/>
              <w:rPr>
                <w:sz w:val="21"/>
              </w:rPr>
            </w:pPr>
            <w:r>
              <w:rPr>
                <w:sz w:val="21"/>
              </w:rPr>
              <w:t>（</w:t>
            </w:r>
            <w:r>
              <w:rPr>
                <w:rFonts w:ascii="Times New Roman" w:eastAsia="Times New Roman"/>
                <w:sz w:val="21"/>
              </w:rPr>
              <w:t>3</w:t>
            </w:r>
            <w:r>
              <w:rPr>
                <w:sz w:val="21"/>
              </w:rPr>
              <w:t>）自主生活能力完全丧失，无法独立完成</w:t>
            </w:r>
            <w:r>
              <w:rPr>
                <w:rFonts w:ascii="黑体" w:eastAsia="黑体" w:hint="eastAsia"/>
                <w:sz w:val="21"/>
              </w:rPr>
              <w:t>六项基本日常Th活活动</w:t>
            </w:r>
            <w:r>
              <w:rPr>
                <w:sz w:val="21"/>
              </w:rPr>
              <w:t>（见</w:t>
            </w:r>
          </w:p>
          <w:p>
            <w:pPr>
              <w:pStyle w:val="TableParagraph"/>
              <w:spacing w:line="282" w:lineRule="exact"/>
              <w:ind w:left="91"/>
              <w:jc w:val="both"/>
              <w:rPr>
                <w:sz w:val="21"/>
              </w:rPr>
            </w:pPr>
            <w:r>
              <w:rPr>
                <w:rFonts w:ascii="Times New Roman" w:eastAsia="Times New Roman"/>
                <w:sz w:val="21"/>
              </w:rPr>
              <w:t>11.22</w:t>
            </w:r>
            <w:r>
              <w:rPr>
                <w:sz w:val="21"/>
              </w:rPr>
              <w:t>）中的三项或三项以上。</w:t>
            </w:r>
          </w:p>
        </w:tc>
      </w:tr>
      <w:tr>
        <w:trPr>
          <w:trHeight w:val="1835" w:hRule="atLeast"/>
        </w:trPr>
        <w:tc>
          <w:tcPr>
            <w:tcW w:w="1812" w:type="dxa"/>
          </w:tcPr>
          <w:p>
            <w:pPr>
              <w:pStyle w:val="TableParagraph"/>
              <w:spacing w:line="230" w:lineRule="auto" w:before="94"/>
              <w:ind w:left="200" w:right="117"/>
              <w:jc w:val="both"/>
              <w:rPr>
                <w:b/>
                <w:sz w:val="21"/>
              </w:rPr>
            </w:pPr>
            <w:r>
              <w:rPr>
                <w:rFonts w:ascii="Times New Roman" w:eastAsia="Times New Roman"/>
                <w:b/>
                <w:sz w:val="21"/>
              </w:rPr>
              <w:t>4.</w:t>
            </w:r>
            <w:r>
              <w:rPr>
                <w:b/>
                <w:sz w:val="21"/>
              </w:rPr>
              <w:t>重大器官移植术或造血干细胞移植术</w:t>
            </w:r>
          </w:p>
        </w:tc>
        <w:tc>
          <w:tcPr>
            <w:tcW w:w="7141" w:type="dxa"/>
          </w:tcPr>
          <w:p>
            <w:pPr>
              <w:pStyle w:val="TableParagraph"/>
              <w:spacing w:line="237" w:lineRule="auto" w:before="85"/>
              <w:ind w:left="84" w:right="307"/>
              <w:rPr>
                <w:sz w:val="21"/>
              </w:rPr>
            </w:pPr>
            <w:r>
              <w:rPr>
                <w:sz w:val="21"/>
              </w:rPr>
              <w:t>重大器官移植术，指因相应器官功能衰竭，已经实施了肾脏、肝脏、心脏或肺脏的异体移植手术。</w:t>
            </w:r>
          </w:p>
          <w:p>
            <w:pPr>
              <w:pStyle w:val="TableParagraph"/>
              <w:spacing w:before="5"/>
              <w:rPr>
                <w:rFonts w:ascii="黑体"/>
                <w:sz w:val="18"/>
              </w:rPr>
            </w:pPr>
          </w:p>
          <w:p>
            <w:pPr>
              <w:pStyle w:val="TableParagraph"/>
              <w:spacing w:line="237" w:lineRule="auto"/>
              <w:ind w:left="84" w:right="199"/>
              <w:rPr>
                <w:sz w:val="21"/>
              </w:rPr>
            </w:pPr>
            <w:r>
              <w:rPr>
                <w:spacing w:val="-3"/>
                <w:sz w:val="21"/>
              </w:rPr>
              <w:t>造血干细胞移植术，指因造血功能损害或造血系统恶性肿瘤，已经实施了</w:t>
            </w:r>
            <w:r>
              <w:rPr>
                <w:spacing w:val="-12"/>
                <w:sz w:val="21"/>
              </w:rPr>
              <w:t>造血干细胞</w:t>
            </w:r>
            <w:r>
              <w:rPr>
                <w:sz w:val="21"/>
              </w:rPr>
              <w:t>（</w:t>
            </w:r>
            <w:r>
              <w:rPr>
                <w:spacing w:val="-8"/>
                <w:sz w:val="21"/>
              </w:rPr>
              <w:t>包括骨髓造血干细胞、外周血造血干细胞和脐血造血干细胞</w:t>
            </w:r>
            <w:r>
              <w:rPr>
                <w:sz w:val="21"/>
              </w:rPr>
              <w:t>） </w:t>
            </w:r>
            <w:r>
              <w:rPr>
                <w:spacing w:val="-3"/>
                <w:sz w:val="21"/>
              </w:rPr>
              <w:t>的异体移植手术。</w:t>
            </w:r>
          </w:p>
        </w:tc>
      </w:tr>
      <w:tr>
        <w:trPr>
          <w:trHeight w:val="1573" w:hRule="atLeast"/>
        </w:trPr>
        <w:tc>
          <w:tcPr>
            <w:tcW w:w="1812" w:type="dxa"/>
          </w:tcPr>
          <w:p>
            <w:pPr>
              <w:pStyle w:val="TableParagraph"/>
              <w:spacing w:line="230" w:lineRule="auto" w:before="102"/>
              <w:ind w:left="200" w:right="117"/>
              <w:jc w:val="both"/>
              <w:rPr>
                <w:b/>
                <w:sz w:val="21"/>
              </w:rPr>
            </w:pPr>
            <w:r>
              <w:rPr>
                <w:rFonts w:ascii="Times New Roman" w:eastAsia="Times New Roman"/>
                <w:b/>
                <w:sz w:val="21"/>
              </w:rPr>
              <w:t>5.</w:t>
            </w:r>
            <w:r>
              <w:rPr>
                <w:b/>
                <w:sz w:val="21"/>
              </w:rPr>
              <w:t>冠状动脉搭桥术（或称冠状动脉旁路移植术）</w:t>
            </w:r>
          </w:p>
        </w:tc>
        <w:tc>
          <w:tcPr>
            <w:tcW w:w="7141" w:type="dxa"/>
          </w:tcPr>
          <w:p>
            <w:pPr>
              <w:pStyle w:val="TableParagraph"/>
              <w:spacing w:before="90"/>
              <w:ind w:left="84" w:right="307"/>
              <w:rPr>
                <w:sz w:val="21"/>
              </w:rPr>
            </w:pPr>
            <w:r>
              <w:rPr>
                <w:sz w:val="21"/>
              </w:rPr>
              <w:t>指为治疗严重的冠心病，实际实施了开胸进行的冠状动脉血管旁路移植的手术。</w:t>
            </w:r>
          </w:p>
          <w:p>
            <w:pPr>
              <w:pStyle w:val="TableParagraph"/>
              <w:spacing w:before="5"/>
              <w:rPr>
                <w:rFonts w:ascii="黑体"/>
                <w:sz w:val="18"/>
              </w:rPr>
            </w:pPr>
          </w:p>
          <w:p>
            <w:pPr>
              <w:pStyle w:val="TableParagraph"/>
              <w:spacing w:line="237" w:lineRule="auto"/>
              <w:ind w:left="84" w:right="307"/>
              <w:rPr>
                <w:rFonts w:ascii="黑体" w:eastAsia="黑体" w:hint="eastAsia"/>
                <w:sz w:val="21"/>
              </w:rPr>
            </w:pPr>
            <w:r>
              <w:rPr>
                <w:rFonts w:ascii="黑体" w:eastAsia="黑体" w:hint="eastAsia"/>
                <w:sz w:val="21"/>
              </w:rPr>
              <w:t>冠状动脉支架植入术、心导管球囊扩张术、激光射频技术及其它非开胸的介入手术、腔镜手术不在保障范围内。</w:t>
            </w:r>
          </w:p>
        </w:tc>
      </w:tr>
      <w:tr>
        <w:trPr>
          <w:trHeight w:val="1330" w:hRule="atLeast"/>
        </w:trPr>
        <w:tc>
          <w:tcPr>
            <w:tcW w:w="1812" w:type="dxa"/>
          </w:tcPr>
          <w:p>
            <w:pPr>
              <w:pStyle w:val="TableParagraph"/>
              <w:spacing w:line="281" w:lineRule="exact" w:before="92"/>
              <w:ind w:left="200"/>
              <w:rPr>
                <w:b/>
                <w:sz w:val="21"/>
              </w:rPr>
            </w:pPr>
            <w:r>
              <w:rPr>
                <w:rFonts w:ascii="Times New Roman" w:eastAsia="Times New Roman"/>
                <w:b/>
                <w:sz w:val="21"/>
              </w:rPr>
              <w:t>6. </w:t>
            </w:r>
            <w:r>
              <w:rPr>
                <w:b/>
                <w:spacing w:val="-25"/>
                <w:sz w:val="21"/>
              </w:rPr>
              <w:t>终 末 期 肾 病</w:t>
            </w:r>
          </w:p>
          <w:p>
            <w:pPr>
              <w:pStyle w:val="TableParagraph"/>
              <w:spacing w:line="237" w:lineRule="auto"/>
              <w:ind w:left="200" w:right="83"/>
              <w:jc w:val="both"/>
              <w:rPr>
                <w:b/>
                <w:sz w:val="21"/>
              </w:rPr>
            </w:pPr>
            <w:r>
              <w:rPr>
                <w:b/>
                <w:sz w:val="21"/>
              </w:rPr>
              <w:t>（或称慢性肾功能衰竭尿毒症期）</w:t>
            </w:r>
          </w:p>
        </w:tc>
        <w:tc>
          <w:tcPr>
            <w:tcW w:w="7141" w:type="dxa"/>
          </w:tcPr>
          <w:p>
            <w:pPr>
              <w:pStyle w:val="TableParagraph"/>
              <w:spacing w:line="273" w:lineRule="exact" w:before="92"/>
              <w:ind w:left="84"/>
              <w:rPr>
                <w:sz w:val="21"/>
              </w:rPr>
            </w:pPr>
            <w:r>
              <w:rPr>
                <w:sz w:val="21"/>
              </w:rPr>
              <w:t>指双肾功能慢性不可逆性衰竭，达到尿毒症期，经诊断后已经进行了至少</w:t>
            </w:r>
          </w:p>
          <w:p>
            <w:pPr>
              <w:pStyle w:val="TableParagraph"/>
              <w:spacing w:line="289" w:lineRule="exact"/>
              <w:ind w:left="84"/>
              <w:rPr>
                <w:sz w:val="21"/>
              </w:rPr>
            </w:pPr>
            <w:r>
              <w:rPr>
                <w:rFonts w:ascii="Times New Roman" w:eastAsia="Times New Roman"/>
                <w:sz w:val="21"/>
              </w:rPr>
              <w:t>90 </w:t>
            </w:r>
            <w:r>
              <w:rPr>
                <w:sz w:val="21"/>
              </w:rPr>
              <w:t>天的规律性透析治疗或实施了肾脏移植手术。</w:t>
            </w:r>
          </w:p>
        </w:tc>
      </w:tr>
      <w:tr>
        <w:trPr>
          <w:trHeight w:val="787" w:hRule="atLeast"/>
        </w:trPr>
        <w:tc>
          <w:tcPr>
            <w:tcW w:w="1812" w:type="dxa"/>
          </w:tcPr>
          <w:p>
            <w:pPr>
              <w:pStyle w:val="TableParagraph"/>
              <w:spacing w:before="90"/>
              <w:ind w:left="200"/>
              <w:rPr>
                <w:b/>
                <w:sz w:val="21"/>
              </w:rPr>
            </w:pPr>
            <w:r>
              <w:rPr>
                <w:rFonts w:ascii="Times New Roman" w:eastAsia="Times New Roman"/>
                <w:b/>
                <w:sz w:val="21"/>
              </w:rPr>
              <w:t>7.</w:t>
            </w:r>
            <w:r>
              <w:rPr>
                <w:b/>
                <w:sz w:val="21"/>
              </w:rPr>
              <w:t>多个肢体缺失</w:t>
            </w:r>
          </w:p>
        </w:tc>
        <w:tc>
          <w:tcPr>
            <w:tcW w:w="7141" w:type="dxa"/>
          </w:tcPr>
          <w:p>
            <w:pPr>
              <w:pStyle w:val="TableParagraph"/>
              <w:spacing w:before="90"/>
              <w:ind w:left="84" w:right="307"/>
              <w:rPr>
                <w:sz w:val="21"/>
              </w:rPr>
            </w:pPr>
            <w:r>
              <w:rPr>
                <w:sz w:val="21"/>
              </w:rPr>
              <w:t>指因疾病或意外伤害导致两个或两个以上肢体自腕关节或踝关节近端（靠近躯干端）以上完全性断离。</w:t>
            </w:r>
          </w:p>
        </w:tc>
      </w:tr>
      <w:tr>
        <w:trPr>
          <w:trHeight w:val="1882" w:hRule="atLeast"/>
        </w:trPr>
        <w:tc>
          <w:tcPr>
            <w:tcW w:w="1812" w:type="dxa"/>
          </w:tcPr>
          <w:p>
            <w:pPr>
              <w:pStyle w:val="TableParagraph"/>
              <w:spacing w:line="223" w:lineRule="auto" w:before="111"/>
              <w:ind w:left="200" w:right="117"/>
              <w:rPr>
                <w:b/>
                <w:sz w:val="21"/>
              </w:rPr>
            </w:pPr>
            <w:r>
              <w:rPr>
                <w:rFonts w:ascii="Times New Roman" w:eastAsia="Times New Roman"/>
                <w:b/>
                <w:sz w:val="21"/>
              </w:rPr>
              <w:t>8.</w:t>
            </w:r>
            <w:r>
              <w:rPr>
                <w:b/>
                <w:sz w:val="21"/>
              </w:rPr>
              <w:t>急性或亚急性重症肝炎</w:t>
            </w:r>
          </w:p>
        </w:tc>
        <w:tc>
          <w:tcPr>
            <w:tcW w:w="7141" w:type="dxa"/>
          </w:tcPr>
          <w:p>
            <w:pPr>
              <w:pStyle w:val="TableParagraph"/>
              <w:spacing w:line="237" w:lineRule="auto" w:before="93"/>
              <w:ind w:left="84" w:right="307"/>
              <w:rPr>
                <w:sz w:val="21"/>
              </w:rPr>
            </w:pPr>
            <w:r>
              <w:rPr>
                <w:sz w:val="21"/>
              </w:rPr>
              <w:t>指因肝炎病毒感染引起肝脏组织弥漫性坏死，导致急性肝功能衰竭，且经血清学或病毒学检查证实，并须满足下列全部条件：</w:t>
            </w:r>
          </w:p>
          <w:p>
            <w:pPr>
              <w:pStyle w:val="TableParagraph"/>
              <w:spacing w:line="280" w:lineRule="exact"/>
              <w:ind w:left="84"/>
              <w:rPr>
                <w:sz w:val="21"/>
              </w:rPr>
            </w:pPr>
            <w:r>
              <w:rPr>
                <w:sz w:val="21"/>
              </w:rPr>
              <w:t>（</w:t>
            </w:r>
            <w:r>
              <w:rPr>
                <w:rFonts w:ascii="Times New Roman" w:eastAsia="Times New Roman"/>
                <w:sz w:val="21"/>
              </w:rPr>
              <w:t>1</w:t>
            </w:r>
            <w:r>
              <w:rPr>
                <w:sz w:val="21"/>
              </w:rPr>
              <w:t>）重度黄疸或黄疸迅速加重；</w:t>
            </w:r>
          </w:p>
          <w:p>
            <w:pPr>
              <w:pStyle w:val="TableParagraph"/>
              <w:spacing w:line="273" w:lineRule="exact"/>
              <w:ind w:left="84"/>
              <w:rPr>
                <w:sz w:val="21"/>
              </w:rPr>
            </w:pPr>
            <w:r>
              <w:rPr>
                <w:sz w:val="21"/>
              </w:rPr>
              <w:t>（</w:t>
            </w:r>
            <w:r>
              <w:rPr>
                <w:rFonts w:ascii="Times New Roman" w:eastAsia="Times New Roman"/>
                <w:sz w:val="21"/>
              </w:rPr>
              <w:t>2</w:t>
            </w:r>
            <w:r>
              <w:rPr>
                <w:sz w:val="21"/>
              </w:rPr>
              <w:t>）肝性脑病；</w:t>
            </w:r>
          </w:p>
          <w:p>
            <w:pPr>
              <w:pStyle w:val="TableParagraph"/>
              <w:spacing w:line="273" w:lineRule="exact"/>
              <w:ind w:left="84"/>
              <w:rPr>
                <w:sz w:val="21"/>
              </w:rPr>
            </w:pPr>
            <w:r>
              <w:rPr>
                <w:sz w:val="21"/>
              </w:rPr>
              <w:t>（</w:t>
            </w:r>
            <w:r>
              <w:rPr>
                <w:rFonts w:ascii="Times New Roman" w:eastAsia="Times New Roman"/>
                <w:sz w:val="21"/>
              </w:rPr>
              <w:t>3</w:t>
            </w:r>
            <w:r>
              <w:rPr>
                <w:sz w:val="21"/>
              </w:rPr>
              <w:t>）</w:t>
            </w:r>
            <w:r>
              <w:rPr>
                <w:rFonts w:ascii="Times New Roman" w:eastAsia="Times New Roman"/>
                <w:sz w:val="21"/>
              </w:rPr>
              <w:t>B </w:t>
            </w:r>
            <w:r>
              <w:rPr>
                <w:sz w:val="21"/>
              </w:rPr>
              <w:t>超或其它影像学检查显示肝脏体积急速萎缩；</w:t>
            </w:r>
          </w:p>
          <w:p>
            <w:pPr>
              <w:pStyle w:val="TableParagraph"/>
              <w:spacing w:line="281" w:lineRule="exact"/>
              <w:ind w:left="84"/>
              <w:rPr>
                <w:sz w:val="21"/>
              </w:rPr>
            </w:pPr>
            <w:r>
              <w:rPr>
                <w:sz w:val="21"/>
              </w:rPr>
              <w:t>（</w:t>
            </w:r>
            <w:r>
              <w:rPr>
                <w:rFonts w:ascii="Times New Roman" w:eastAsia="Times New Roman"/>
                <w:sz w:val="21"/>
              </w:rPr>
              <w:t>4</w:t>
            </w:r>
            <w:r>
              <w:rPr>
                <w:sz w:val="21"/>
              </w:rPr>
              <w:t>）肝功能指标进行性恶化。</w:t>
            </w:r>
          </w:p>
        </w:tc>
      </w:tr>
      <w:tr>
        <w:trPr>
          <w:trHeight w:val="1734" w:hRule="atLeast"/>
        </w:trPr>
        <w:tc>
          <w:tcPr>
            <w:tcW w:w="1812" w:type="dxa"/>
          </w:tcPr>
          <w:p>
            <w:pPr>
              <w:pStyle w:val="TableParagraph"/>
              <w:spacing w:before="82"/>
              <w:ind w:left="200"/>
              <w:rPr>
                <w:b/>
                <w:sz w:val="21"/>
              </w:rPr>
            </w:pPr>
            <w:r>
              <w:rPr>
                <w:rFonts w:ascii="Times New Roman" w:eastAsia="Times New Roman"/>
                <w:b/>
                <w:sz w:val="21"/>
              </w:rPr>
              <w:t>9.</w:t>
            </w:r>
            <w:r>
              <w:rPr>
                <w:b/>
                <w:sz w:val="21"/>
              </w:rPr>
              <w:t>良性脑肿瘤</w:t>
            </w:r>
          </w:p>
        </w:tc>
        <w:tc>
          <w:tcPr>
            <w:tcW w:w="7141" w:type="dxa"/>
          </w:tcPr>
          <w:p>
            <w:pPr>
              <w:pStyle w:val="TableParagraph"/>
              <w:spacing w:line="230" w:lineRule="auto" w:before="93"/>
              <w:ind w:left="84" w:right="198"/>
              <w:rPr>
                <w:sz w:val="21"/>
              </w:rPr>
            </w:pPr>
            <w:r>
              <w:rPr>
                <w:spacing w:val="-3"/>
                <w:sz w:val="21"/>
              </w:rPr>
              <w:t>指脑的良性肿瘤，已经引起颅内压增高，临床表现为视神经乳头水肿、精</w:t>
            </w:r>
            <w:r>
              <w:rPr>
                <w:spacing w:val="-11"/>
                <w:sz w:val="21"/>
              </w:rPr>
              <w:t>神症状、癫痫及运动感觉障碍等，并危及生命。须由头颅断层扫描</w:t>
            </w:r>
            <w:r>
              <w:rPr>
                <w:spacing w:val="-9"/>
                <w:sz w:val="21"/>
              </w:rPr>
              <w:t>（</w:t>
            </w:r>
            <w:r>
              <w:rPr>
                <w:rFonts w:ascii="Times New Roman" w:eastAsia="Times New Roman"/>
                <w:spacing w:val="-9"/>
                <w:sz w:val="21"/>
              </w:rPr>
              <w:t>CT</w:t>
            </w:r>
            <w:r>
              <w:rPr>
                <w:spacing w:val="-9"/>
                <w:sz w:val="21"/>
              </w:rPr>
              <w:t>）</w:t>
            </w:r>
            <w:r>
              <w:rPr>
                <w:spacing w:val="-29"/>
                <w:sz w:val="21"/>
              </w:rPr>
              <w:t>、</w:t>
            </w:r>
            <w:r>
              <w:rPr>
                <w:spacing w:val="-4"/>
                <w:sz w:val="21"/>
              </w:rPr>
              <w:t>核磁共振检查</w:t>
            </w:r>
            <w:r>
              <w:rPr>
                <w:spacing w:val="-1"/>
                <w:sz w:val="21"/>
              </w:rPr>
              <w:t>（</w:t>
            </w:r>
            <w:r>
              <w:rPr>
                <w:rFonts w:ascii="Times New Roman" w:eastAsia="Times New Roman"/>
                <w:spacing w:val="-1"/>
                <w:sz w:val="21"/>
              </w:rPr>
              <w:t>MRI</w:t>
            </w:r>
            <w:r>
              <w:rPr>
                <w:spacing w:val="-1"/>
                <w:sz w:val="21"/>
              </w:rPr>
              <w:t>）</w:t>
            </w:r>
            <w:r>
              <w:rPr>
                <w:spacing w:val="-4"/>
                <w:sz w:val="21"/>
              </w:rPr>
              <w:t>或正电子发射断层扫描</w:t>
            </w:r>
            <w:r>
              <w:rPr>
                <w:sz w:val="21"/>
              </w:rPr>
              <w:t>（</w:t>
            </w:r>
            <w:r>
              <w:rPr>
                <w:rFonts w:ascii="Times New Roman" w:eastAsia="Times New Roman"/>
                <w:sz w:val="21"/>
              </w:rPr>
              <w:t>PET</w:t>
            </w:r>
            <w:r>
              <w:rPr>
                <w:sz w:val="21"/>
              </w:rPr>
              <w:t>）</w:t>
            </w:r>
            <w:r>
              <w:rPr>
                <w:spacing w:val="-3"/>
                <w:sz w:val="21"/>
              </w:rPr>
              <w:t>等影像学检查证实， 并须满足下列至少一项条件：</w:t>
            </w:r>
          </w:p>
          <w:p>
            <w:pPr>
              <w:pStyle w:val="TableParagraph"/>
              <w:spacing w:line="277" w:lineRule="exact"/>
              <w:ind w:left="84"/>
              <w:rPr>
                <w:sz w:val="21"/>
              </w:rPr>
            </w:pPr>
            <w:r>
              <w:rPr>
                <w:sz w:val="21"/>
              </w:rPr>
              <w:t>（</w:t>
            </w:r>
            <w:r>
              <w:rPr>
                <w:rFonts w:ascii="Times New Roman" w:eastAsia="Times New Roman"/>
                <w:sz w:val="21"/>
              </w:rPr>
              <w:t>1</w:t>
            </w:r>
            <w:r>
              <w:rPr>
                <w:sz w:val="21"/>
              </w:rPr>
              <w:t>）实际实施了开颅进行的脑肿瘤完全切除或部分切除的手术；</w:t>
            </w:r>
          </w:p>
          <w:p>
            <w:pPr>
              <w:pStyle w:val="TableParagraph"/>
              <w:spacing w:line="261" w:lineRule="exact"/>
              <w:ind w:left="84"/>
              <w:rPr>
                <w:sz w:val="21"/>
              </w:rPr>
            </w:pPr>
            <w:r>
              <w:rPr>
                <w:sz w:val="21"/>
              </w:rPr>
              <w:t>（</w:t>
            </w:r>
            <w:r>
              <w:rPr>
                <w:rFonts w:ascii="Times New Roman" w:eastAsia="Times New Roman"/>
                <w:sz w:val="21"/>
              </w:rPr>
              <w:t>2</w:t>
            </w:r>
            <w:r>
              <w:rPr>
                <w:sz w:val="21"/>
              </w:rPr>
              <w:t>）实际实施了对脑肿瘤进行的放射治疗。</w:t>
            </w:r>
          </w:p>
        </w:tc>
      </w:tr>
    </w:tbl>
    <w:p>
      <w:pPr>
        <w:spacing w:after="0" w:line="261" w:lineRule="exact"/>
        <w:rPr>
          <w:sz w:val="21"/>
        </w:rPr>
        <w:sectPr>
          <w:pgSz w:w="11910" w:h="16840"/>
          <w:pgMar w:top="1060" w:bottom="280" w:left="1420" w:right="13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9"/>
        <w:gridCol w:w="7057"/>
      </w:tblGrid>
      <w:tr>
        <w:trPr>
          <w:trHeight w:val="360" w:hRule="atLeast"/>
        </w:trPr>
        <w:tc>
          <w:tcPr>
            <w:tcW w:w="1789" w:type="dxa"/>
          </w:tcPr>
          <w:p>
            <w:pPr>
              <w:pStyle w:val="TableParagraph"/>
              <w:rPr>
                <w:rFonts w:ascii="Times New Roman"/>
                <w:sz w:val="20"/>
              </w:rPr>
            </w:pPr>
          </w:p>
        </w:tc>
        <w:tc>
          <w:tcPr>
            <w:tcW w:w="7057" w:type="dxa"/>
          </w:tcPr>
          <w:p>
            <w:pPr>
              <w:pStyle w:val="TableParagraph"/>
              <w:spacing w:line="211" w:lineRule="exact"/>
              <w:ind w:left="107"/>
              <w:rPr>
                <w:rFonts w:ascii="黑体" w:eastAsia="黑体" w:hint="eastAsia"/>
                <w:sz w:val="21"/>
              </w:rPr>
            </w:pPr>
            <w:r>
              <w:rPr>
                <w:rFonts w:ascii="黑体" w:eastAsia="黑体" w:hint="eastAsia"/>
                <w:sz w:val="21"/>
              </w:rPr>
              <w:t>脑垂体瘤、脑囊肿、脑血管性疾病不在保障范围内。</w:t>
            </w:r>
          </w:p>
        </w:tc>
      </w:tr>
      <w:tr>
        <w:trPr>
          <w:trHeight w:val="2118" w:hRule="atLeast"/>
        </w:trPr>
        <w:tc>
          <w:tcPr>
            <w:tcW w:w="1789" w:type="dxa"/>
          </w:tcPr>
          <w:p>
            <w:pPr>
              <w:pStyle w:val="TableParagraph"/>
              <w:spacing w:line="223" w:lineRule="auto" w:before="112"/>
              <w:ind w:left="200" w:right="104"/>
              <w:rPr>
                <w:b/>
                <w:sz w:val="21"/>
              </w:rPr>
            </w:pPr>
            <w:r>
              <w:rPr>
                <w:rFonts w:ascii="Times New Roman" w:eastAsia="Times New Roman"/>
                <w:b/>
                <w:sz w:val="21"/>
              </w:rPr>
              <w:t>10. </w:t>
            </w:r>
            <w:r>
              <w:rPr>
                <w:b/>
                <w:sz w:val="21"/>
              </w:rPr>
              <w:t>慢性肝功能衰竭失代偿期</w:t>
            </w:r>
          </w:p>
        </w:tc>
        <w:tc>
          <w:tcPr>
            <w:tcW w:w="7057" w:type="dxa"/>
          </w:tcPr>
          <w:p>
            <w:pPr>
              <w:pStyle w:val="TableParagraph"/>
              <w:spacing w:line="273" w:lineRule="exact" w:before="92"/>
              <w:ind w:left="107"/>
              <w:rPr>
                <w:sz w:val="21"/>
              </w:rPr>
            </w:pPr>
            <w:r>
              <w:rPr>
                <w:sz w:val="21"/>
              </w:rPr>
              <w:t>指因慢性肝脏疾病导致肝功能衰竭，须满足下列全部条件：</w:t>
            </w:r>
          </w:p>
          <w:p>
            <w:pPr>
              <w:pStyle w:val="TableParagraph"/>
              <w:spacing w:line="279" w:lineRule="exact"/>
              <w:ind w:left="107"/>
              <w:rPr>
                <w:sz w:val="21"/>
              </w:rPr>
            </w:pPr>
            <w:r>
              <w:rPr>
                <w:sz w:val="21"/>
              </w:rPr>
              <w:t>（</w:t>
            </w:r>
            <w:r>
              <w:rPr>
                <w:rFonts w:ascii="Times New Roman" w:eastAsia="Times New Roman"/>
                <w:sz w:val="21"/>
              </w:rPr>
              <w:t>1</w:t>
            </w:r>
            <w:r>
              <w:rPr>
                <w:sz w:val="21"/>
              </w:rPr>
              <w:t>）持续性黄疸；</w:t>
            </w:r>
          </w:p>
          <w:p>
            <w:pPr>
              <w:pStyle w:val="TableParagraph"/>
              <w:spacing w:line="272" w:lineRule="exact"/>
              <w:ind w:left="107"/>
              <w:rPr>
                <w:sz w:val="21"/>
              </w:rPr>
            </w:pPr>
            <w:r>
              <w:rPr>
                <w:sz w:val="21"/>
              </w:rPr>
              <w:t>（</w:t>
            </w:r>
            <w:r>
              <w:rPr>
                <w:rFonts w:ascii="Times New Roman" w:eastAsia="Times New Roman"/>
                <w:sz w:val="21"/>
              </w:rPr>
              <w:t>2</w:t>
            </w:r>
            <w:r>
              <w:rPr>
                <w:sz w:val="21"/>
              </w:rPr>
              <w:t>）腹水；</w:t>
            </w:r>
          </w:p>
          <w:p>
            <w:pPr>
              <w:pStyle w:val="TableParagraph"/>
              <w:spacing w:line="272" w:lineRule="exact"/>
              <w:ind w:left="107"/>
              <w:rPr>
                <w:sz w:val="21"/>
              </w:rPr>
            </w:pPr>
            <w:r>
              <w:rPr>
                <w:sz w:val="21"/>
              </w:rPr>
              <w:t>（</w:t>
            </w:r>
            <w:r>
              <w:rPr>
                <w:rFonts w:ascii="Times New Roman" w:eastAsia="Times New Roman"/>
                <w:sz w:val="21"/>
              </w:rPr>
              <w:t>3</w:t>
            </w:r>
            <w:r>
              <w:rPr>
                <w:sz w:val="21"/>
              </w:rPr>
              <w:t>）肝性脑病；</w:t>
            </w:r>
          </w:p>
          <w:p>
            <w:pPr>
              <w:pStyle w:val="TableParagraph"/>
              <w:spacing w:line="281" w:lineRule="exact"/>
              <w:ind w:left="107"/>
              <w:rPr>
                <w:sz w:val="21"/>
              </w:rPr>
            </w:pPr>
            <w:r>
              <w:rPr>
                <w:sz w:val="21"/>
              </w:rPr>
              <w:t>（</w:t>
            </w:r>
            <w:r>
              <w:rPr>
                <w:rFonts w:ascii="Times New Roman" w:eastAsia="Times New Roman"/>
                <w:sz w:val="21"/>
              </w:rPr>
              <w:t>4</w:t>
            </w:r>
            <w:r>
              <w:rPr>
                <w:sz w:val="21"/>
              </w:rPr>
              <w:t>）充血性脾大伴脾功能亢进或食管胃底静脉曲张。</w:t>
            </w:r>
          </w:p>
          <w:p>
            <w:pPr>
              <w:pStyle w:val="TableParagraph"/>
              <w:spacing w:before="2"/>
              <w:rPr>
                <w:rFonts w:ascii="黑体"/>
                <w:sz w:val="17"/>
              </w:rPr>
            </w:pPr>
          </w:p>
          <w:p>
            <w:pPr>
              <w:pStyle w:val="TableParagraph"/>
              <w:ind w:left="107"/>
              <w:rPr>
                <w:rFonts w:ascii="黑体" w:eastAsia="黑体" w:hint="eastAsia"/>
                <w:sz w:val="21"/>
              </w:rPr>
            </w:pPr>
            <w:r>
              <w:rPr>
                <w:rFonts w:ascii="黑体" w:eastAsia="黑体" w:hint="eastAsia"/>
                <w:sz w:val="21"/>
              </w:rPr>
              <w:t>因酗酒或药物滥用导致的肝功能衰竭不在保障范围内。</w:t>
            </w:r>
          </w:p>
        </w:tc>
      </w:tr>
      <w:tr>
        <w:trPr>
          <w:trHeight w:val="1874" w:hRule="atLeast"/>
        </w:trPr>
        <w:tc>
          <w:tcPr>
            <w:tcW w:w="1789" w:type="dxa"/>
          </w:tcPr>
          <w:p>
            <w:pPr>
              <w:pStyle w:val="TableParagraph"/>
              <w:spacing w:line="223" w:lineRule="auto" w:before="111"/>
              <w:ind w:left="200" w:right="105"/>
              <w:rPr>
                <w:b/>
                <w:sz w:val="21"/>
              </w:rPr>
            </w:pPr>
            <w:r>
              <w:rPr>
                <w:rFonts w:ascii="Times New Roman" w:eastAsia="Times New Roman"/>
                <w:b/>
                <w:sz w:val="21"/>
              </w:rPr>
              <w:t>11. </w:t>
            </w:r>
            <w:r>
              <w:rPr>
                <w:b/>
                <w:sz w:val="21"/>
              </w:rPr>
              <w:t>脑炎后遗症或脑膜炎后遗症</w:t>
            </w:r>
          </w:p>
        </w:tc>
        <w:tc>
          <w:tcPr>
            <w:tcW w:w="7057" w:type="dxa"/>
          </w:tcPr>
          <w:p>
            <w:pPr>
              <w:pStyle w:val="TableParagraph"/>
              <w:spacing w:line="237" w:lineRule="auto" w:before="93"/>
              <w:ind w:left="107" w:right="200"/>
              <w:rPr>
                <w:sz w:val="21"/>
              </w:rPr>
            </w:pPr>
            <w:r>
              <w:rPr>
                <w:sz w:val="21"/>
              </w:rPr>
              <w:t>指因患脑炎或脑膜炎导致的神经系统永久性的功能障碍。神经系统永久性的功能障碍，指疾病确诊 </w:t>
            </w:r>
            <w:r>
              <w:rPr>
                <w:rFonts w:ascii="Times New Roman" w:eastAsia="Times New Roman"/>
                <w:sz w:val="21"/>
              </w:rPr>
              <w:t>180 </w:t>
            </w:r>
            <w:r>
              <w:rPr>
                <w:sz w:val="21"/>
              </w:rPr>
              <w:t>天后，仍遗留下列一种或一种以上障碍：</w:t>
            </w:r>
          </w:p>
          <w:p>
            <w:pPr>
              <w:pStyle w:val="TableParagraph"/>
              <w:spacing w:line="264" w:lineRule="exact"/>
              <w:ind w:left="107"/>
              <w:rPr>
                <w:sz w:val="21"/>
              </w:rPr>
            </w:pPr>
            <w:r>
              <w:rPr>
                <w:sz w:val="21"/>
              </w:rPr>
              <w:t>（</w:t>
            </w:r>
            <w:r>
              <w:rPr>
                <w:rFonts w:ascii="Times New Roman" w:eastAsia="Times New Roman"/>
                <w:sz w:val="21"/>
              </w:rPr>
              <w:t>1</w:t>
            </w:r>
            <w:r>
              <w:rPr>
                <w:sz w:val="21"/>
              </w:rPr>
              <w:t>）一肢或一肢以上肢体机能完全丧失；</w:t>
            </w:r>
          </w:p>
          <w:p>
            <w:pPr>
              <w:pStyle w:val="TableParagraph"/>
              <w:spacing w:line="272" w:lineRule="exact"/>
              <w:ind w:left="107"/>
              <w:rPr>
                <w:sz w:val="21"/>
              </w:rPr>
            </w:pPr>
            <w:r>
              <w:rPr>
                <w:sz w:val="21"/>
              </w:rPr>
              <w:t>（</w:t>
            </w:r>
            <w:r>
              <w:rPr>
                <w:rFonts w:ascii="Times New Roman" w:eastAsia="Times New Roman"/>
                <w:sz w:val="21"/>
              </w:rPr>
              <w:t>2</w:t>
            </w:r>
            <w:r>
              <w:rPr>
                <w:sz w:val="21"/>
              </w:rPr>
              <w:t>）语言能力或咀嚼吞咽能力完全丧失；</w:t>
            </w:r>
          </w:p>
          <w:p>
            <w:pPr>
              <w:pStyle w:val="TableParagraph"/>
              <w:spacing w:line="223" w:lineRule="auto" w:before="11"/>
              <w:ind w:left="107" w:right="197"/>
              <w:rPr>
                <w:sz w:val="21"/>
              </w:rPr>
            </w:pPr>
            <w:r>
              <w:rPr>
                <w:spacing w:val="-14"/>
                <w:sz w:val="21"/>
              </w:rPr>
              <w:t>（</w:t>
            </w:r>
            <w:r>
              <w:rPr>
                <w:rFonts w:ascii="Times New Roman" w:eastAsia="Times New Roman"/>
                <w:spacing w:val="-14"/>
                <w:sz w:val="21"/>
              </w:rPr>
              <w:t>3</w:t>
            </w:r>
            <w:r>
              <w:rPr>
                <w:spacing w:val="-14"/>
                <w:sz w:val="21"/>
              </w:rPr>
              <w:t>）</w:t>
            </w:r>
            <w:r>
              <w:rPr>
                <w:spacing w:val="-7"/>
                <w:sz w:val="21"/>
              </w:rPr>
              <w:t>自主生活能力完全丧失，无法独立完成六项基本日常生活活动中的三</w:t>
            </w:r>
            <w:r>
              <w:rPr>
                <w:spacing w:val="-5"/>
                <w:sz w:val="21"/>
              </w:rPr>
              <w:t>项或三项以上。</w:t>
            </w:r>
          </w:p>
        </w:tc>
      </w:tr>
      <w:tr>
        <w:trPr>
          <w:trHeight w:val="1572" w:hRule="atLeast"/>
        </w:trPr>
        <w:tc>
          <w:tcPr>
            <w:tcW w:w="1789" w:type="dxa"/>
          </w:tcPr>
          <w:p>
            <w:pPr>
              <w:pStyle w:val="TableParagraph"/>
              <w:spacing w:before="91"/>
              <w:ind w:left="200"/>
              <w:rPr>
                <w:b/>
                <w:sz w:val="21"/>
              </w:rPr>
            </w:pPr>
            <w:r>
              <w:rPr>
                <w:rFonts w:ascii="Times New Roman" w:eastAsia="Times New Roman"/>
                <w:b/>
                <w:sz w:val="21"/>
              </w:rPr>
              <w:t>12.</w:t>
            </w:r>
            <w:r>
              <w:rPr>
                <w:b/>
                <w:sz w:val="21"/>
              </w:rPr>
              <w:t>深度昏迷</w:t>
            </w:r>
          </w:p>
        </w:tc>
        <w:tc>
          <w:tcPr>
            <w:tcW w:w="7057" w:type="dxa"/>
          </w:tcPr>
          <w:p>
            <w:pPr>
              <w:pStyle w:val="TableParagraph"/>
              <w:spacing w:line="230" w:lineRule="auto" w:before="102"/>
              <w:ind w:left="107" w:right="196"/>
              <w:jc w:val="both"/>
              <w:rPr>
                <w:sz w:val="21"/>
              </w:rPr>
            </w:pPr>
            <w:r>
              <w:rPr>
                <w:spacing w:val="-3"/>
                <w:sz w:val="21"/>
              </w:rPr>
              <w:t>指因疾病或意外伤害导致意识丧失，对外界刺激和体内需求均无反应，昏</w:t>
            </w:r>
            <w:r>
              <w:rPr>
                <w:spacing w:val="-4"/>
                <w:sz w:val="21"/>
              </w:rPr>
              <w:t>迷程度按照格拉斯哥昏迷分级</w:t>
            </w:r>
            <w:r>
              <w:rPr>
                <w:sz w:val="21"/>
              </w:rPr>
              <w:t>（</w:t>
            </w:r>
            <w:r>
              <w:rPr>
                <w:rFonts w:ascii="Times New Roman" w:eastAsia="Times New Roman"/>
                <w:sz w:val="21"/>
              </w:rPr>
              <w:t>Glasgow coma </w:t>
            </w:r>
            <w:r>
              <w:rPr>
                <w:rFonts w:ascii="Times New Roman" w:eastAsia="Times New Roman"/>
                <w:spacing w:val="-3"/>
                <w:sz w:val="21"/>
              </w:rPr>
              <w:t>scale</w:t>
            </w:r>
            <w:r>
              <w:rPr>
                <w:spacing w:val="-3"/>
                <w:sz w:val="21"/>
              </w:rPr>
              <w:t>）</w:t>
            </w:r>
            <w:r>
              <w:rPr>
                <w:spacing w:val="-15"/>
                <w:sz w:val="21"/>
              </w:rPr>
              <w:t>结果为 </w:t>
            </w:r>
            <w:r>
              <w:rPr>
                <w:rFonts w:ascii="Times New Roman" w:eastAsia="Times New Roman"/>
                <w:sz w:val="21"/>
              </w:rPr>
              <w:t>5 </w:t>
            </w:r>
            <w:r>
              <w:rPr>
                <w:spacing w:val="-18"/>
                <w:sz w:val="21"/>
              </w:rPr>
              <w:t>分或 </w:t>
            </w:r>
            <w:r>
              <w:rPr>
                <w:rFonts w:ascii="Times New Roman" w:eastAsia="Times New Roman"/>
                <w:sz w:val="21"/>
              </w:rPr>
              <w:t>5 </w:t>
            </w:r>
            <w:r>
              <w:rPr>
                <w:sz w:val="21"/>
              </w:rPr>
              <w:t>分以</w:t>
            </w:r>
            <w:r>
              <w:rPr>
                <w:spacing w:val="-5"/>
                <w:sz w:val="21"/>
              </w:rPr>
              <w:t>下，且已经持续使用呼吸机及其它生命维持系统 </w:t>
            </w:r>
            <w:r>
              <w:rPr>
                <w:rFonts w:ascii="Times New Roman" w:eastAsia="Times New Roman"/>
                <w:sz w:val="21"/>
              </w:rPr>
              <w:t>96 </w:t>
            </w:r>
            <w:r>
              <w:rPr>
                <w:spacing w:val="-1"/>
                <w:sz w:val="21"/>
              </w:rPr>
              <w:t>小时以上。</w:t>
            </w:r>
          </w:p>
          <w:p>
            <w:pPr>
              <w:pStyle w:val="TableParagraph"/>
              <w:rPr>
                <w:rFonts w:ascii="黑体"/>
                <w:sz w:val="17"/>
              </w:rPr>
            </w:pPr>
          </w:p>
          <w:p>
            <w:pPr>
              <w:pStyle w:val="TableParagraph"/>
              <w:ind w:left="107"/>
              <w:jc w:val="both"/>
              <w:rPr>
                <w:rFonts w:ascii="黑体" w:eastAsia="黑体" w:hint="eastAsia"/>
                <w:sz w:val="21"/>
              </w:rPr>
            </w:pPr>
            <w:r>
              <w:rPr>
                <w:rFonts w:ascii="黑体" w:eastAsia="黑体" w:hint="eastAsia"/>
                <w:sz w:val="21"/>
              </w:rPr>
              <w:t>因酗酒或药物滥用导致的深度昏迷不在保障范围内。</w:t>
            </w:r>
          </w:p>
        </w:tc>
      </w:tr>
      <w:tr>
        <w:trPr>
          <w:trHeight w:val="1845" w:hRule="atLeast"/>
        </w:trPr>
        <w:tc>
          <w:tcPr>
            <w:tcW w:w="1789" w:type="dxa"/>
          </w:tcPr>
          <w:p>
            <w:pPr>
              <w:pStyle w:val="TableParagraph"/>
              <w:spacing w:before="90"/>
              <w:ind w:left="200"/>
              <w:rPr>
                <w:b/>
                <w:sz w:val="21"/>
              </w:rPr>
            </w:pPr>
            <w:r>
              <w:rPr>
                <w:rFonts w:ascii="Times New Roman" w:eastAsia="Times New Roman"/>
                <w:b/>
                <w:sz w:val="21"/>
              </w:rPr>
              <w:t>13.</w:t>
            </w:r>
            <w:r>
              <w:rPr>
                <w:b/>
                <w:sz w:val="21"/>
              </w:rPr>
              <w:t>双耳失聪</w:t>
            </w:r>
          </w:p>
        </w:tc>
        <w:tc>
          <w:tcPr>
            <w:tcW w:w="7057" w:type="dxa"/>
          </w:tcPr>
          <w:p>
            <w:pPr>
              <w:pStyle w:val="TableParagraph"/>
              <w:spacing w:line="282" w:lineRule="exact" w:before="90"/>
              <w:ind w:left="107"/>
              <w:rPr>
                <w:rFonts w:ascii="Times New Roman" w:eastAsia="Times New Roman"/>
                <w:sz w:val="21"/>
              </w:rPr>
            </w:pPr>
            <w:r>
              <w:rPr>
                <w:sz w:val="21"/>
              </w:rPr>
              <w:t>指因疾病或意外伤害导致双耳听力</w:t>
            </w:r>
            <w:r>
              <w:rPr>
                <w:rFonts w:ascii="黑体" w:eastAsia="黑体" w:hint="eastAsia"/>
                <w:sz w:val="21"/>
              </w:rPr>
              <w:t>永久不可逆</w:t>
            </w:r>
            <w:r>
              <w:rPr>
                <w:sz w:val="21"/>
              </w:rPr>
              <w:t>（见 </w:t>
            </w:r>
            <w:r>
              <w:rPr>
                <w:rFonts w:ascii="Times New Roman" w:eastAsia="Times New Roman"/>
                <w:sz w:val="21"/>
              </w:rPr>
              <w:t>11.23</w:t>
            </w:r>
            <w:r>
              <w:rPr>
                <w:sz w:val="21"/>
              </w:rPr>
              <w:t>）性丧失，在 </w:t>
            </w:r>
            <w:r>
              <w:rPr>
                <w:rFonts w:ascii="Times New Roman" w:eastAsia="Times New Roman"/>
                <w:sz w:val="21"/>
              </w:rPr>
              <w:t>500</w:t>
            </w:r>
          </w:p>
          <w:p>
            <w:pPr>
              <w:pStyle w:val="TableParagraph"/>
              <w:spacing w:line="223" w:lineRule="auto" w:before="11"/>
              <w:ind w:left="107" w:right="197"/>
              <w:rPr>
                <w:sz w:val="21"/>
              </w:rPr>
            </w:pPr>
            <w:r>
              <w:rPr>
                <w:spacing w:val="-4"/>
                <w:sz w:val="21"/>
              </w:rPr>
              <w:t>赫兹、</w:t>
            </w:r>
            <w:r>
              <w:rPr>
                <w:rFonts w:ascii="Times New Roman" w:eastAsia="Times New Roman"/>
                <w:sz w:val="21"/>
              </w:rPr>
              <w:t>1000 </w:t>
            </w:r>
            <w:r>
              <w:rPr>
                <w:spacing w:val="-14"/>
                <w:sz w:val="21"/>
              </w:rPr>
              <w:t>赫兹和 </w:t>
            </w:r>
            <w:r>
              <w:rPr>
                <w:rFonts w:ascii="Times New Roman" w:eastAsia="Times New Roman"/>
                <w:sz w:val="21"/>
              </w:rPr>
              <w:t>2000 </w:t>
            </w:r>
            <w:r>
              <w:rPr>
                <w:spacing w:val="-7"/>
                <w:sz w:val="21"/>
              </w:rPr>
              <w:t>赫兹语音频率下，平均听阈大于 </w:t>
            </w:r>
            <w:r>
              <w:rPr>
                <w:rFonts w:ascii="Times New Roman" w:eastAsia="Times New Roman"/>
                <w:sz w:val="21"/>
              </w:rPr>
              <w:t>90 </w:t>
            </w:r>
            <w:r>
              <w:rPr>
                <w:spacing w:val="-4"/>
                <w:sz w:val="21"/>
              </w:rPr>
              <w:t>分贝，且经纯</w:t>
            </w:r>
            <w:r>
              <w:rPr>
                <w:spacing w:val="-3"/>
                <w:sz w:val="21"/>
              </w:rPr>
              <w:t>音听力测试、声导抗检测或听觉诱发电位检测等证实。</w:t>
            </w:r>
          </w:p>
          <w:p>
            <w:pPr>
              <w:pStyle w:val="TableParagraph"/>
              <w:spacing w:before="3"/>
              <w:rPr>
                <w:rFonts w:ascii="黑体"/>
                <w:sz w:val="18"/>
              </w:rPr>
            </w:pPr>
          </w:p>
          <w:p>
            <w:pPr>
              <w:pStyle w:val="TableParagraph"/>
              <w:ind w:left="107" w:right="197"/>
              <w:rPr>
                <w:rFonts w:ascii="黑体" w:eastAsia="黑体" w:hint="eastAsia"/>
                <w:sz w:val="21"/>
              </w:rPr>
            </w:pPr>
            <w:r>
              <w:rPr>
                <w:rFonts w:ascii="黑体" w:eastAsia="黑体" w:hint="eastAsia"/>
                <w:spacing w:val="-3"/>
                <w:sz w:val="21"/>
              </w:rPr>
              <w:t>申请理赔时被保险人年龄必须在</w:t>
            </w:r>
            <w:r>
              <w:rPr>
                <w:rFonts w:ascii="黑体" w:eastAsia="黑体" w:hint="eastAsia"/>
                <w:sz w:val="21"/>
              </w:rPr>
              <w:t>3</w:t>
            </w:r>
            <w:r>
              <w:rPr>
                <w:rFonts w:ascii="黑体" w:eastAsia="黑体" w:hint="eastAsia"/>
                <w:spacing w:val="-11"/>
                <w:sz w:val="21"/>
              </w:rPr>
              <w:t>周岁以上，并且提供理赔当时的听力丧失</w:t>
            </w:r>
            <w:r>
              <w:rPr>
                <w:rFonts w:ascii="黑体" w:eastAsia="黑体" w:hint="eastAsia"/>
                <w:spacing w:val="-6"/>
                <w:sz w:val="21"/>
              </w:rPr>
              <w:t>诊断及检查证明。</w:t>
            </w:r>
          </w:p>
        </w:tc>
      </w:tr>
      <w:tr>
        <w:trPr>
          <w:trHeight w:val="2661" w:hRule="atLeast"/>
        </w:trPr>
        <w:tc>
          <w:tcPr>
            <w:tcW w:w="1789" w:type="dxa"/>
          </w:tcPr>
          <w:p>
            <w:pPr>
              <w:pStyle w:val="TableParagraph"/>
              <w:spacing w:before="91"/>
              <w:ind w:left="200"/>
              <w:rPr>
                <w:b/>
                <w:sz w:val="21"/>
              </w:rPr>
            </w:pPr>
            <w:r>
              <w:rPr>
                <w:rFonts w:ascii="Times New Roman" w:eastAsia="Times New Roman"/>
                <w:b/>
                <w:sz w:val="21"/>
              </w:rPr>
              <w:t>14.</w:t>
            </w:r>
            <w:r>
              <w:rPr>
                <w:b/>
                <w:sz w:val="21"/>
              </w:rPr>
              <w:t>双目失明</w:t>
            </w:r>
          </w:p>
        </w:tc>
        <w:tc>
          <w:tcPr>
            <w:tcW w:w="7057" w:type="dxa"/>
          </w:tcPr>
          <w:p>
            <w:pPr>
              <w:pStyle w:val="TableParagraph"/>
              <w:spacing w:line="237" w:lineRule="auto" w:before="93"/>
              <w:ind w:left="107" w:right="200"/>
              <w:rPr>
                <w:sz w:val="21"/>
              </w:rPr>
            </w:pPr>
            <w:r>
              <w:rPr>
                <w:sz w:val="21"/>
              </w:rPr>
              <w:t>指因疾病或意外伤害导致双目视力永久不可逆性丧失，双眼中较好眼须满足下列至少一项条件：</w:t>
            </w:r>
          </w:p>
          <w:p>
            <w:pPr>
              <w:pStyle w:val="TableParagraph"/>
              <w:spacing w:line="280" w:lineRule="exact"/>
              <w:ind w:left="107"/>
              <w:rPr>
                <w:sz w:val="21"/>
              </w:rPr>
            </w:pPr>
            <w:r>
              <w:rPr>
                <w:sz w:val="21"/>
              </w:rPr>
              <w:t>（</w:t>
            </w:r>
            <w:r>
              <w:rPr>
                <w:rFonts w:ascii="Times New Roman" w:eastAsia="Times New Roman"/>
                <w:sz w:val="21"/>
              </w:rPr>
              <w:t>1</w:t>
            </w:r>
            <w:r>
              <w:rPr>
                <w:sz w:val="21"/>
              </w:rPr>
              <w:t>）眼球缺失或摘除；</w:t>
            </w:r>
          </w:p>
          <w:p>
            <w:pPr>
              <w:pStyle w:val="TableParagraph"/>
              <w:spacing w:line="225" w:lineRule="auto" w:before="8"/>
              <w:ind w:left="107" w:right="199"/>
              <w:rPr>
                <w:sz w:val="21"/>
              </w:rPr>
            </w:pPr>
            <w:r>
              <w:rPr>
                <w:spacing w:val="-10"/>
                <w:sz w:val="21"/>
              </w:rPr>
              <w:t>（</w:t>
            </w:r>
            <w:r>
              <w:rPr>
                <w:rFonts w:ascii="Times New Roman" w:eastAsia="Times New Roman"/>
                <w:spacing w:val="-10"/>
                <w:sz w:val="21"/>
              </w:rPr>
              <w:t>2</w:t>
            </w:r>
            <w:r>
              <w:rPr>
                <w:spacing w:val="-10"/>
                <w:sz w:val="21"/>
              </w:rPr>
              <w:t>）</w:t>
            </w:r>
            <w:r>
              <w:rPr>
                <w:spacing w:val="-6"/>
                <w:sz w:val="21"/>
              </w:rPr>
              <w:t>矫正视力低于 </w:t>
            </w:r>
            <w:r>
              <w:rPr>
                <w:rFonts w:ascii="Times New Roman" w:eastAsia="Times New Roman"/>
                <w:spacing w:val="-7"/>
                <w:sz w:val="21"/>
              </w:rPr>
              <w:t>0.02</w:t>
            </w:r>
            <w:r>
              <w:rPr>
                <w:spacing w:val="-7"/>
                <w:sz w:val="21"/>
              </w:rPr>
              <w:t>（</w:t>
            </w:r>
            <w:r>
              <w:rPr>
                <w:spacing w:val="-6"/>
                <w:sz w:val="21"/>
              </w:rPr>
              <w:t>采用国际标准视力表，如果使用其它视力表应进</w:t>
            </w:r>
            <w:r>
              <w:rPr>
                <w:spacing w:val="-5"/>
                <w:sz w:val="21"/>
              </w:rPr>
              <w:t>行换算</w:t>
            </w:r>
            <w:r>
              <w:rPr>
                <w:sz w:val="21"/>
              </w:rPr>
              <w:t>）；</w:t>
            </w:r>
          </w:p>
          <w:p>
            <w:pPr>
              <w:pStyle w:val="TableParagraph"/>
              <w:spacing w:line="287" w:lineRule="exact"/>
              <w:ind w:left="107"/>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rPr>
                <w:rFonts w:ascii="黑体"/>
                <w:sz w:val="17"/>
              </w:rPr>
            </w:pPr>
          </w:p>
          <w:p>
            <w:pPr>
              <w:pStyle w:val="TableParagraph"/>
              <w:spacing w:before="1"/>
              <w:ind w:left="107" w:right="197"/>
              <w:rPr>
                <w:rFonts w:ascii="黑体" w:eastAsia="黑体" w:hint="eastAsia"/>
                <w:sz w:val="21"/>
              </w:rPr>
            </w:pPr>
            <w:r>
              <w:rPr>
                <w:rFonts w:ascii="黑体" w:eastAsia="黑体" w:hint="eastAsia"/>
                <w:spacing w:val="-3"/>
                <w:sz w:val="21"/>
              </w:rPr>
              <w:t>申请理赔时被保险人年龄必须在</w:t>
            </w:r>
            <w:r>
              <w:rPr>
                <w:rFonts w:ascii="黑体" w:eastAsia="黑体" w:hint="eastAsia"/>
                <w:sz w:val="21"/>
              </w:rPr>
              <w:t>3</w:t>
            </w:r>
            <w:r>
              <w:rPr>
                <w:rFonts w:ascii="黑体" w:eastAsia="黑体" w:hint="eastAsia"/>
                <w:spacing w:val="-11"/>
                <w:sz w:val="21"/>
              </w:rPr>
              <w:t>周岁以上，并且提供理赔当时的视力丧失</w:t>
            </w:r>
            <w:r>
              <w:rPr>
                <w:rFonts w:ascii="黑体" w:eastAsia="黑体" w:hint="eastAsia"/>
                <w:spacing w:val="-6"/>
                <w:sz w:val="21"/>
              </w:rPr>
              <w:t>诊断及检查证明。</w:t>
            </w:r>
          </w:p>
        </w:tc>
      </w:tr>
      <w:tr>
        <w:trPr>
          <w:trHeight w:val="1058" w:hRule="atLeast"/>
        </w:trPr>
        <w:tc>
          <w:tcPr>
            <w:tcW w:w="1789" w:type="dxa"/>
          </w:tcPr>
          <w:p>
            <w:pPr>
              <w:pStyle w:val="TableParagraph"/>
              <w:spacing w:before="90"/>
              <w:ind w:left="200"/>
              <w:rPr>
                <w:b/>
                <w:sz w:val="21"/>
              </w:rPr>
            </w:pPr>
            <w:r>
              <w:rPr>
                <w:rFonts w:ascii="Times New Roman" w:eastAsia="Times New Roman"/>
                <w:b/>
                <w:sz w:val="21"/>
              </w:rPr>
              <w:t>15.</w:t>
            </w:r>
            <w:r>
              <w:rPr>
                <w:b/>
                <w:sz w:val="21"/>
              </w:rPr>
              <w:t>瘫痪</w:t>
            </w:r>
          </w:p>
        </w:tc>
        <w:tc>
          <w:tcPr>
            <w:tcW w:w="7057" w:type="dxa"/>
          </w:tcPr>
          <w:p>
            <w:pPr>
              <w:pStyle w:val="TableParagraph"/>
              <w:spacing w:line="230" w:lineRule="auto" w:before="101"/>
              <w:ind w:left="107" w:right="196"/>
              <w:jc w:val="both"/>
              <w:rPr>
                <w:sz w:val="21"/>
              </w:rPr>
            </w:pPr>
            <w:r>
              <w:rPr>
                <w:spacing w:val="-3"/>
                <w:sz w:val="21"/>
              </w:rPr>
              <w:t>指因疾病或意外伤害导致两肢或两肢以上的肢体机能永久完全丧失。肢体</w:t>
            </w:r>
            <w:r>
              <w:rPr>
                <w:spacing w:val="-6"/>
                <w:sz w:val="21"/>
              </w:rPr>
              <w:t>机能永久完全丧失，指疾病确诊 </w:t>
            </w:r>
            <w:r>
              <w:rPr>
                <w:rFonts w:ascii="Times New Roman" w:eastAsia="Times New Roman"/>
                <w:sz w:val="21"/>
              </w:rPr>
              <w:t>180 </w:t>
            </w:r>
            <w:r>
              <w:rPr>
                <w:spacing w:val="-6"/>
                <w:sz w:val="21"/>
              </w:rPr>
              <w:t>天后或意外伤害事故发生 </w:t>
            </w:r>
            <w:r>
              <w:rPr>
                <w:rFonts w:ascii="Times New Roman" w:eastAsia="Times New Roman"/>
                <w:sz w:val="21"/>
              </w:rPr>
              <w:t>180 </w:t>
            </w:r>
            <w:r>
              <w:rPr>
                <w:spacing w:val="-2"/>
                <w:sz w:val="21"/>
              </w:rPr>
              <w:t>天后， </w:t>
            </w:r>
            <w:r>
              <w:rPr>
                <w:spacing w:val="-3"/>
                <w:sz w:val="21"/>
              </w:rPr>
              <w:t>每肢三大关节中的两大关节仍然完全僵硬，或不能随意识活动。</w:t>
            </w:r>
          </w:p>
        </w:tc>
      </w:tr>
      <w:tr>
        <w:trPr>
          <w:trHeight w:val="786" w:hRule="atLeast"/>
        </w:trPr>
        <w:tc>
          <w:tcPr>
            <w:tcW w:w="1789" w:type="dxa"/>
          </w:tcPr>
          <w:p>
            <w:pPr>
              <w:pStyle w:val="TableParagraph"/>
              <w:spacing w:line="223" w:lineRule="auto" w:before="111"/>
              <w:ind w:left="200" w:right="104"/>
              <w:rPr>
                <w:b/>
                <w:sz w:val="21"/>
              </w:rPr>
            </w:pPr>
            <w:r>
              <w:rPr>
                <w:rFonts w:ascii="Times New Roman" w:eastAsia="Times New Roman"/>
                <w:b/>
                <w:sz w:val="21"/>
              </w:rPr>
              <w:t>16. </w:t>
            </w:r>
            <w:r>
              <w:rPr>
                <w:b/>
                <w:sz w:val="21"/>
              </w:rPr>
              <w:t>心脏瓣膜手术</w:t>
            </w:r>
          </w:p>
        </w:tc>
        <w:tc>
          <w:tcPr>
            <w:tcW w:w="7057" w:type="dxa"/>
          </w:tcPr>
          <w:p>
            <w:pPr>
              <w:pStyle w:val="TableParagraph"/>
              <w:spacing w:line="237" w:lineRule="auto" w:before="93"/>
              <w:ind w:left="107" w:right="200"/>
              <w:rPr>
                <w:sz w:val="21"/>
              </w:rPr>
            </w:pPr>
            <w:r>
              <w:rPr>
                <w:sz w:val="21"/>
              </w:rPr>
              <w:t>指为治疗心脏瓣膜疾病，实际实施了开胸进行的心脏瓣膜置换或修复的手术。</w:t>
            </w:r>
          </w:p>
        </w:tc>
      </w:tr>
      <w:tr>
        <w:trPr>
          <w:trHeight w:val="1454" w:hRule="atLeast"/>
        </w:trPr>
        <w:tc>
          <w:tcPr>
            <w:tcW w:w="1789" w:type="dxa"/>
          </w:tcPr>
          <w:p>
            <w:pPr>
              <w:pStyle w:val="TableParagraph"/>
              <w:spacing w:line="223" w:lineRule="auto" w:before="112"/>
              <w:ind w:left="200" w:right="104"/>
              <w:rPr>
                <w:b/>
                <w:sz w:val="21"/>
              </w:rPr>
            </w:pPr>
            <w:r>
              <w:rPr>
                <w:rFonts w:ascii="Times New Roman" w:eastAsia="Times New Roman"/>
                <w:b/>
                <w:sz w:val="21"/>
              </w:rPr>
              <w:t>17. </w:t>
            </w:r>
            <w:r>
              <w:rPr>
                <w:b/>
                <w:sz w:val="21"/>
              </w:rPr>
              <w:t>严重阿尔茨海默病</w:t>
            </w:r>
          </w:p>
        </w:tc>
        <w:tc>
          <w:tcPr>
            <w:tcW w:w="7057" w:type="dxa"/>
          </w:tcPr>
          <w:p>
            <w:pPr>
              <w:pStyle w:val="TableParagraph"/>
              <w:spacing w:line="237" w:lineRule="auto" w:before="94"/>
              <w:ind w:left="107" w:right="197"/>
              <w:jc w:val="both"/>
              <w:rPr>
                <w:sz w:val="21"/>
              </w:rPr>
            </w:pPr>
            <w:r>
              <w:rPr>
                <w:spacing w:val="-3"/>
                <w:sz w:val="21"/>
              </w:rPr>
              <w:t>指因大脑进行性、不可逆性改变导致智能严重衰退或丧失，临床表现为明显的认知能力障碍、行为异常和社交能力减退，其日常生活必须持续受到他人监护。须由头颅断层扫描</w:t>
            </w:r>
            <w:r>
              <w:rPr>
                <w:spacing w:val="-1"/>
                <w:sz w:val="21"/>
              </w:rPr>
              <w:t>（</w:t>
            </w:r>
            <w:r>
              <w:rPr>
                <w:rFonts w:ascii="Times New Roman" w:eastAsia="Times New Roman"/>
                <w:spacing w:val="-1"/>
                <w:sz w:val="21"/>
              </w:rPr>
              <w:t>CT</w:t>
            </w:r>
            <w:r>
              <w:rPr>
                <w:spacing w:val="-1"/>
                <w:sz w:val="21"/>
              </w:rPr>
              <w:t>）</w:t>
            </w:r>
            <w:r>
              <w:rPr>
                <w:spacing w:val="-3"/>
                <w:sz w:val="21"/>
              </w:rPr>
              <w:t>、核磁共振检查</w:t>
            </w:r>
            <w:r>
              <w:rPr>
                <w:spacing w:val="-1"/>
                <w:sz w:val="21"/>
              </w:rPr>
              <w:t>（</w:t>
            </w:r>
            <w:r>
              <w:rPr>
                <w:rFonts w:ascii="Times New Roman" w:eastAsia="Times New Roman"/>
                <w:spacing w:val="-1"/>
                <w:sz w:val="21"/>
              </w:rPr>
              <w:t>MRI</w:t>
            </w:r>
            <w:r>
              <w:rPr>
                <w:spacing w:val="-1"/>
                <w:sz w:val="21"/>
              </w:rPr>
              <w:t>）或正电子发</w:t>
            </w:r>
          </w:p>
          <w:p>
            <w:pPr>
              <w:pStyle w:val="TableParagraph"/>
              <w:spacing w:line="272" w:lineRule="exact" w:before="10"/>
              <w:ind w:left="107" w:right="201"/>
              <w:jc w:val="both"/>
              <w:rPr>
                <w:sz w:val="21"/>
              </w:rPr>
            </w:pPr>
            <w:r>
              <w:rPr>
                <w:sz w:val="21"/>
              </w:rPr>
              <w:t>射断层扫描（</w:t>
            </w:r>
            <w:r>
              <w:rPr>
                <w:rFonts w:ascii="Times New Roman" w:eastAsia="Times New Roman"/>
                <w:sz w:val="21"/>
              </w:rPr>
              <w:t>PET</w:t>
            </w:r>
            <w:r>
              <w:rPr>
                <w:sz w:val="21"/>
              </w:rPr>
              <w:t>）等影像学检查证实，且自主生活能力完全丧失，无法独立完成六项基本日常生活活动中的三项或三项以上。</w:t>
            </w:r>
          </w:p>
        </w:tc>
      </w:tr>
    </w:tbl>
    <w:p>
      <w:pPr>
        <w:spacing w:after="0" w:line="272" w:lineRule="exact"/>
        <w:jc w:val="both"/>
        <w:rPr>
          <w:sz w:val="21"/>
        </w:rPr>
        <w:sectPr>
          <w:pgSz w:w="11910" w:h="16840"/>
          <w:pgMar w:top="1300" w:bottom="280" w:left="1420" w:right="14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07"/>
        <w:gridCol w:w="7042"/>
      </w:tblGrid>
      <w:tr>
        <w:trPr>
          <w:trHeight w:val="405" w:hRule="atLeast"/>
        </w:trPr>
        <w:tc>
          <w:tcPr>
            <w:tcW w:w="1807" w:type="dxa"/>
          </w:tcPr>
          <w:p>
            <w:pPr>
              <w:pStyle w:val="TableParagraph"/>
              <w:rPr>
                <w:rFonts w:ascii="Times New Roman"/>
                <w:sz w:val="20"/>
              </w:rPr>
            </w:pPr>
          </w:p>
        </w:tc>
        <w:tc>
          <w:tcPr>
            <w:tcW w:w="7042" w:type="dxa"/>
          </w:tcPr>
          <w:p>
            <w:pPr>
              <w:pStyle w:val="TableParagraph"/>
              <w:spacing w:line="211" w:lineRule="exact"/>
              <w:ind w:left="89"/>
              <w:rPr>
                <w:rFonts w:ascii="黑体" w:eastAsia="黑体" w:hint="eastAsia"/>
                <w:sz w:val="21"/>
              </w:rPr>
            </w:pPr>
            <w:r>
              <w:rPr>
                <w:rFonts w:ascii="黑体" w:eastAsia="黑体" w:hint="eastAsia"/>
                <w:sz w:val="21"/>
              </w:rPr>
              <w:t>神经官能症和精神病不在保障范围内。</w:t>
            </w:r>
          </w:p>
        </w:tc>
      </w:tr>
      <w:tr>
        <w:trPr>
          <w:trHeight w:val="2467" w:hRule="atLeast"/>
        </w:trPr>
        <w:tc>
          <w:tcPr>
            <w:tcW w:w="1807" w:type="dxa"/>
          </w:tcPr>
          <w:p>
            <w:pPr>
              <w:pStyle w:val="TableParagraph"/>
              <w:spacing w:before="137"/>
              <w:ind w:left="200"/>
              <w:rPr>
                <w:b/>
                <w:sz w:val="21"/>
              </w:rPr>
            </w:pPr>
            <w:r>
              <w:rPr>
                <w:rFonts w:ascii="Times New Roman" w:eastAsia="Times New Roman"/>
                <w:b/>
                <w:sz w:val="21"/>
              </w:rPr>
              <w:t>18.</w:t>
            </w:r>
            <w:r>
              <w:rPr>
                <w:b/>
                <w:sz w:val="21"/>
              </w:rPr>
              <w:t>严重脑损伤</w:t>
            </w:r>
          </w:p>
        </w:tc>
        <w:tc>
          <w:tcPr>
            <w:tcW w:w="7042" w:type="dxa"/>
          </w:tcPr>
          <w:p>
            <w:pPr>
              <w:pStyle w:val="TableParagraph"/>
              <w:spacing w:line="230" w:lineRule="auto" w:before="148"/>
              <w:ind w:left="89" w:right="198"/>
              <w:jc w:val="both"/>
              <w:rPr>
                <w:sz w:val="21"/>
              </w:rPr>
            </w:pPr>
            <w:r>
              <w:rPr>
                <w:spacing w:val="-3"/>
                <w:sz w:val="21"/>
              </w:rPr>
              <w:t>指因头部遭受机械性外力，引起脑重要部位损伤，导致神经系统永久性的</w:t>
            </w:r>
            <w:r>
              <w:rPr>
                <w:w w:val="100"/>
                <w:sz w:val="21"/>
              </w:rPr>
              <w:t>功能障碍。须由头颅断层扫描</w:t>
            </w:r>
            <w:r>
              <w:rPr>
                <w:spacing w:val="1"/>
                <w:w w:val="100"/>
                <w:sz w:val="21"/>
              </w:rPr>
              <w:t>（</w:t>
            </w:r>
            <w:r>
              <w:rPr>
                <w:rFonts w:ascii="Times New Roman" w:eastAsia="Times New Roman"/>
                <w:w w:val="100"/>
                <w:sz w:val="21"/>
              </w:rPr>
              <w:t>CT</w:t>
            </w:r>
            <w:r>
              <w:rPr>
                <w:spacing w:val="-101"/>
                <w:w w:val="100"/>
                <w:sz w:val="21"/>
              </w:rPr>
              <w:t>）</w:t>
            </w:r>
            <w:r>
              <w:rPr>
                <w:w w:val="100"/>
                <w:sz w:val="21"/>
              </w:rPr>
              <w:t>、核磁共振检查</w:t>
            </w:r>
            <w:r>
              <w:rPr>
                <w:spacing w:val="2"/>
                <w:w w:val="100"/>
                <w:sz w:val="21"/>
              </w:rPr>
              <w:t>（</w:t>
            </w:r>
            <w:r>
              <w:rPr>
                <w:rFonts w:ascii="Times New Roman" w:eastAsia="Times New Roman"/>
                <w:w w:val="100"/>
                <w:sz w:val="21"/>
              </w:rPr>
              <w:t>MR</w:t>
            </w:r>
            <w:r>
              <w:rPr>
                <w:rFonts w:ascii="Times New Roman" w:eastAsia="Times New Roman"/>
                <w:spacing w:val="-1"/>
                <w:w w:val="100"/>
                <w:sz w:val="21"/>
              </w:rPr>
              <w:t>I</w:t>
            </w:r>
            <w:r>
              <w:rPr>
                <w:spacing w:val="1"/>
                <w:w w:val="100"/>
                <w:sz w:val="21"/>
              </w:rPr>
              <w:t>）或正电子发</w:t>
            </w:r>
            <w:r>
              <w:rPr>
                <w:sz w:val="21"/>
              </w:rPr>
              <w:t>射断层扫描（</w:t>
            </w:r>
            <w:r>
              <w:rPr>
                <w:rFonts w:ascii="Times New Roman" w:eastAsia="Times New Roman"/>
                <w:sz w:val="21"/>
              </w:rPr>
              <w:t>PET</w:t>
            </w:r>
            <w:r>
              <w:rPr>
                <w:sz w:val="21"/>
              </w:rPr>
              <w:t>）等影像学检查证实。神经系统永久性的功能障碍，指</w:t>
            </w:r>
            <w:r>
              <w:rPr>
                <w:spacing w:val="-11"/>
                <w:sz w:val="21"/>
              </w:rPr>
              <w:t>脑损伤 </w:t>
            </w:r>
            <w:r>
              <w:rPr>
                <w:rFonts w:ascii="Times New Roman" w:eastAsia="Times New Roman"/>
                <w:sz w:val="21"/>
              </w:rPr>
              <w:t>180 </w:t>
            </w:r>
            <w:r>
              <w:rPr>
                <w:spacing w:val="-3"/>
                <w:sz w:val="21"/>
              </w:rPr>
              <w:t>天后，仍遗留下列一种或一种以上障碍：</w:t>
            </w:r>
          </w:p>
          <w:p>
            <w:pPr>
              <w:pStyle w:val="TableParagraph"/>
              <w:spacing w:line="263" w:lineRule="exact"/>
              <w:ind w:left="89"/>
              <w:rPr>
                <w:sz w:val="21"/>
              </w:rPr>
            </w:pPr>
            <w:r>
              <w:rPr>
                <w:sz w:val="21"/>
              </w:rPr>
              <w:t>（</w:t>
            </w:r>
            <w:r>
              <w:rPr>
                <w:rFonts w:ascii="Times New Roman" w:eastAsia="Times New Roman"/>
                <w:sz w:val="21"/>
              </w:rPr>
              <w:t>1</w:t>
            </w:r>
            <w:r>
              <w:rPr>
                <w:sz w:val="21"/>
              </w:rPr>
              <w:t>）一肢或一肢以上肢体机能完全丧失；</w:t>
            </w:r>
          </w:p>
          <w:p>
            <w:pPr>
              <w:pStyle w:val="TableParagraph"/>
              <w:spacing w:line="272" w:lineRule="exact"/>
              <w:ind w:left="89"/>
              <w:rPr>
                <w:sz w:val="21"/>
              </w:rPr>
            </w:pPr>
            <w:r>
              <w:rPr>
                <w:sz w:val="21"/>
              </w:rPr>
              <w:t>（</w:t>
            </w:r>
            <w:r>
              <w:rPr>
                <w:rFonts w:ascii="Times New Roman" w:eastAsia="Times New Roman"/>
                <w:sz w:val="21"/>
              </w:rPr>
              <w:t>2</w:t>
            </w:r>
            <w:r>
              <w:rPr>
                <w:sz w:val="21"/>
              </w:rPr>
              <w:t>）语言能力或咀嚼吞咽能力完全丧失；</w:t>
            </w:r>
          </w:p>
          <w:p>
            <w:pPr>
              <w:pStyle w:val="TableParagraph"/>
              <w:spacing w:line="223" w:lineRule="auto" w:before="10"/>
              <w:ind w:left="89" w:right="200"/>
              <w:rPr>
                <w:sz w:val="21"/>
              </w:rPr>
            </w:pPr>
            <w:r>
              <w:rPr>
                <w:spacing w:val="-14"/>
                <w:sz w:val="21"/>
              </w:rPr>
              <w:t>（</w:t>
            </w:r>
            <w:r>
              <w:rPr>
                <w:rFonts w:ascii="Times New Roman" w:eastAsia="Times New Roman"/>
                <w:spacing w:val="-14"/>
                <w:sz w:val="21"/>
              </w:rPr>
              <w:t>3</w:t>
            </w:r>
            <w:r>
              <w:rPr>
                <w:spacing w:val="-14"/>
                <w:sz w:val="21"/>
              </w:rPr>
              <w:t>）</w:t>
            </w:r>
            <w:r>
              <w:rPr>
                <w:spacing w:val="-7"/>
                <w:sz w:val="21"/>
              </w:rPr>
              <w:t>自主生活能力完全丧失，无法独立完成六项基本日常生活活动中的三</w:t>
            </w:r>
            <w:r>
              <w:rPr>
                <w:spacing w:val="-5"/>
                <w:sz w:val="21"/>
              </w:rPr>
              <w:t>项或三项以上。</w:t>
            </w:r>
          </w:p>
        </w:tc>
      </w:tr>
      <w:tr>
        <w:trPr>
          <w:trHeight w:val="2118" w:hRule="atLeast"/>
        </w:trPr>
        <w:tc>
          <w:tcPr>
            <w:tcW w:w="1807" w:type="dxa"/>
          </w:tcPr>
          <w:p>
            <w:pPr>
              <w:pStyle w:val="TableParagraph"/>
              <w:spacing w:line="223" w:lineRule="auto" w:before="112"/>
              <w:ind w:left="200" w:right="122"/>
              <w:rPr>
                <w:b/>
                <w:sz w:val="21"/>
              </w:rPr>
            </w:pPr>
            <w:r>
              <w:rPr>
                <w:rFonts w:ascii="Times New Roman" w:eastAsia="Times New Roman"/>
                <w:b/>
                <w:sz w:val="21"/>
              </w:rPr>
              <w:t>19. </w:t>
            </w:r>
            <w:r>
              <w:rPr>
                <w:b/>
                <w:sz w:val="21"/>
              </w:rPr>
              <w:t>严重帕金森病</w:t>
            </w:r>
          </w:p>
        </w:tc>
        <w:tc>
          <w:tcPr>
            <w:tcW w:w="7042" w:type="dxa"/>
          </w:tcPr>
          <w:p>
            <w:pPr>
              <w:pStyle w:val="TableParagraph"/>
              <w:spacing w:line="237" w:lineRule="auto" w:before="94"/>
              <w:ind w:left="89" w:right="203"/>
              <w:rPr>
                <w:sz w:val="21"/>
              </w:rPr>
            </w:pPr>
            <w:r>
              <w:rPr>
                <w:sz w:val="21"/>
              </w:rPr>
              <w:t>是一种中枢神经系统的退行性疾病，临床表现为震颤麻痹、共济失调等。须满足下列全部条件：</w:t>
            </w:r>
          </w:p>
          <w:p>
            <w:pPr>
              <w:pStyle w:val="TableParagraph"/>
              <w:spacing w:line="280" w:lineRule="exact"/>
              <w:ind w:left="89"/>
              <w:rPr>
                <w:sz w:val="21"/>
              </w:rPr>
            </w:pPr>
            <w:r>
              <w:rPr>
                <w:sz w:val="21"/>
              </w:rPr>
              <w:t>（</w:t>
            </w:r>
            <w:r>
              <w:rPr>
                <w:rFonts w:ascii="Times New Roman" w:eastAsia="Times New Roman"/>
                <w:sz w:val="21"/>
              </w:rPr>
              <w:t>1</w:t>
            </w:r>
            <w:r>
              <w:rPr>
                <w:sz w:val="21"/>
              </w:rPr>
              <w:t>）药物治疗无法控制病情；</w:t>
            </w:r>
          </w:p>
          <w:p>
            <w:pPr>
              <w:pStyle w:val="TableParagraph"/>
              <w:spacing w:line="223" w:lineRule="auto" w:before="11"/>
              <w:ind w:left="89" w:right="200"/>
              <w:rPr>
                <w:sz w:val="21"/>
              </w:rPr>
            </w:pPr>
            <w:r>
              <w:rPr>
                <w:spacing w:val="-14"/>
                <w:sz w:val="21"/>
              </w:rPr>
              <w:t>（</w:t>
            </w:r>
            <w:r>
              <w:rPr>
                <w:rFonts w:ascii="Times New Roman" w:eastAsia="Times New Roman"/>
                <w:spacing w:val="-14"/>
                <w:sz w:val="21"/>
              </w:rPr>
              <w:t>2</w:t>
            </w:r>
            <w:r>
              <w:rPr>
                <w:spacing w:val="-14"/>
                <w:sz w:val="21"/>
              </w:rPr>
              <w:t>）</w:t>
            </w:r>
            <w:r>
              <w:rPr>
                <w:spacing w:val="-7"/>
                <w:sz w:val="21"/>
              </w:rPr>
              <w:t>自主生活能力完全丧失，无法独立完成六项基本日常生活活动中的三</w:t>
            </w:r>
            <w:r>
              <w:rPr>
                <w:spacing w:val="-5"/>
                <w:sz w:val="21"/>
              </w:rPr>
              <w:t>项或三项以上。</w:t>
            </w:r>
          </w:p>
          <w:p>
            <w:pPr>
              <w:pStyle w:val="TableParagraph"/>
              <w:spacing w:before="5"/>
              <w:rPr>
                <w:rFonts w:ascii="黑体"/>
                <w:sz w:val="18"/>
              </w:rPr>
            </w:pPr>
          </w:p>
          <w:p>
            <w:pPr>
              <w:pStyle w:val="TableParagraph"/>
              <w:spacing w:before="1"/>
              <w:ind w:left="89"/>
              <w:rPr>
                <w:rFonts w:ascii="黑体" w:eastAsia="黑体" w:hint="eastAsia"/>
                <w:sz w:val="21"/>
              </w:rPr>
            </w:pPr>
            <w:r>
              <w:rPr>
                <w:rFonts w:ascii="黑体" w:eastAsia="黑体" w:hint="eastAsia"/>
                <w:sz w:val="21"/>
              </w:rPr>
              <w:t>继发性帕金森综合症不在保障范围内。</w:t>
            </w:r>
          </w:p>
        </w:tc>
      </w:tr>
      <w:tr>
        <w:trPr>
          <w:trHeight w:val="784" w:hRule="atLeast"/>
        </w:trPr>
        <w:tc>
          <w:tcPr>
            <w:tcW w:w="1807" w:type="dxa"/>
          </w:tcPr>
          <w:p>
            <w:pPr>
              <w:pStyle w:val="TableParagraph"/>
              <w:spacing w:line="223" w:lineRule="auto" w:before="111"/>
              <w:ind w:left="200" w:right="42"/>
              <w:rPr>
                <w:b/>
                <w:sz w:val="21"/>
              </w:rPr>
            </w:pPr>
            <w:r>
              <w:rPr>
                <w:rFonts w:ascii="Times New Roman" w:hAnsi="Times New Roman" w:eastAsia="Times New Roman"/>
                <w:b/>
                <w:sz w:val="21"/>
              </w:rPr>
              <w:t>20. </w:t>
            </w:r>
            <w:r>
              <w:rPr>
                <w:b/>
                <w:spacing w:val="31"/>
                <w:sz w:val="21"/>
              </w:rPr>
              <w:t>严重</w:t>
            </w:r>
            <w:r>
              <w:rPr>
                <w:rFonts w:ascii="宋体" w:hAnsi="宋体" w:eastAsia="宋体" w:hint="eastAsia"/>
                <w:b/>
                <w:spacing w:val="-36"/>
                <w:sz w:val="21"/>
              </w:rPr>
              <w:t>Ⅲ </w:t>
            </w:r>
            <w:r>
              <w:rPr>
                <w:b/>
                <w:spacing w:val="31"/>
                <w:sz w:val="21"/>
              </w:rPr>
              <w:t>度烧</w:t>
            </w:r>
            <w:r>
              <w:rPr>
                <w:b/>
                <w:sz w:val="21"/>
              </w:rPr>
              <w:t>伤</w:t>
            </w:r>
          </w:p>
        </w:tc>
        <w:tc>
          <w:tcPr>
            <w:tcW w:w="7042" w:type="dxa"/>
          </w:tcPr>
          <w:p>
            <w:pPr>
              <w:pStyle w:val="TableParagraph"/>
              <w:spacing w:line="223" w:lineRule="auto" w:before="111"/>
              <w:ind w:left="89" w:right="202"/>
              <w:rPr>
                <w:sz w:val="21"/>
              </w:rPr>
            </w:pPr>
            <w:r>
              <w:rPr>
                <w:spacing w:val="-2"/>
                <w:sz w:val="21"/>
              </w:rPr>
              <w:t>指烧伤程度为</w:t>
            </w:r>
            <w:r>
              <w:rPr>
                <w:rFonts w:ascii="宋体" w:hAnsi="宋体" w:eastAsia="宋体" w:hint="eastAsia"/>
                <w:spacing w:val="-3"/>
                <w:sz w:val="21"/>
              </w:rPr>
              <w:t>Ⅲ</w:t>
            </w:r>
            <w:r>
              <w:rPr>
                <w:spacing w:val="-29"/>
                <w:sz w:val="21"/>
              </w:rPr>
              <w:t>度，且</w:t>
            </w:r>
            <w:r>
              <w:rPr>
                <w:rFonts w:ascii="宋体" w:hAnsi="宋体" w:eastAsia="宋体" w:hint="eastAsia"/>
                <w:sz w:val="21"/>
              </w:rPr>
              <w:t>Ⅲ</w:t>
            </w:r>
            <w:r>
              <w:rPr>
                <w:spacing w:val="-6"/>
                <w:sz w:val="21"/>
              </w:rPr>
              <w:t>度烧伤的面积达到全身体表面积的 </w:t>
            </w:r>
            <w:r>
              <w:rPr>
                <w:rFonts w:ascii="Times New Roman" w:hAnsi="Times New Roman" w:eastAsia="Times New Roman"/>
                <w:sz w:val="21"/>
              </w:rPr>
              <w:t>20</w:t>
            </w:r>
            <w:r>
              <w:rPr>
                <w:spacing w:val="-13"/>
                <w:sz w:val="21"/>
              </w:rPr>
              <w:t>％或 </w:t>
            </w:r>
            <w:r>
              <w:rPr>
                <w:rFonts w:ascii="Times New Roman" w:hAnsi="Times New Roman" w:eastAsia="Times New Roman"/>
                <w:sz w:val="21"/>
              </w:rPr>
              <w:t>20</w:t>
            </w:r>
            <w:r>
              <w:rPr>
                <w:spacing w:val="-2"/>
                <w:sz w:val="21"/>
              </w:rPr>
              <w:t>％以</w:t>
            </w:r>
            <w:r>
              <w:rPr>
                <w:spacing w:val="-3"/>
                <w:sz w:val="21"/>
              </w:rPr>
              <w:t>上。体表面积根据《中国新九分法》计算。</w:t>
            </w:r>
          </w:p>
        </w:tc>
      </w:tr>
      <w:tr>
        <w:trPr>
          <w:trHeight w:val="1066" w:hRule="atLeast"/>
        </w:trPr>
        <w:tc>
          <w:tcPr>
            <w:tcW w:w="1807" w:type="dxa"/>
          </w:tcPr>
          <w:p>
            <w:pPr>
              <w:pStyle w:val="TableParagraph"/>
              <w:spacing w:line="225" w:lineRule="auto" w:before="108"/>
              <w:ind w:left="200" w:right="122"/>
              <w:rPr>
                <w:b/>
                <w:sz w:val="21"/>
              </w:rPr>
            </w:pPr>
            <w:r>
              <w:rPr>
                <w:rFonts w:ascii="Times New Roman" w:eastAsia="Times New Roman"/>
                <w:b/>
                <w:sz w:val="21"/>
              </w:rPr>
              <w:t>21. </w:t>
            </w:r>
            <w:r>
              <w:rPr>
                <w:b/>
                <w:sz w:val="21"/>
              </w:rPr>
              <w:t>严重原发性肺动脉高压</w:t>
            </w:r>
          </w:p>
        </w:tc>
        <w:tc>
          <w:tcPr>
            <w:tcW w:w="7042" w:type="dxa"/>
          </w:tcPr>
          <w:p>
            <w:pPr>
              <w:pStyle w:val="TableParagraph"/>
              <w:spacing w:line="237" w:lineRule="auto" w:before="93"/>
              <w:ind w:left="89" w:right="203"/>
              <w:jc w:val="both"/>
              <w:rPr>
                <w:sz w:val="21"/>
              </w:rPr>
            </w:pPr>
            <w:r>
              <w:rPr>
                <w:sz w:val="21"/>
              </w:rPr>
              <w:t>指不明原因的肺动脉压力持续性增高，进行性发展而导致的慢性疾病，已经造成永久不可逆性的体力活动能力受限，达到美国纽约心脏病学会心功能状态分级</w:t>
            </w:r>
            <w:r>
              <w:rPr>
                <w:rFonts w:ascii="宋体" w:hAnsi="宋体" w:eastAsia="宋体" w:hint="eastAsia"/>
                <w:sz w:val="21"/>
              </w:rPr>
              <w:t>Ⅳ</w:t>
            </w:r>
            <w:r>
              <w:rPr>
                <w:sz w:val="21"/>
              </w:rPr>
              <w:t>级，且静息状态下肺动脉平均压超过 </w:t>
            </w:r>
            <w:r>
              <w:rPr>
                <w:rFonts w:ascii="Times New Roman" w:hAnsi="Times New Roman" w:eastAsia="Times New Roman"/>
                <w:sz w:val="21"/>
              </w:rPr>
              <w:t>30mmHg</w:t>
            </w:r>
            <w:r>
              <w:rPr>
                <w:sz w:val="21"/>
              </w:rPr>
              <w:t>。</w:t>
            </w:r>
          </w:p>
        </w:tc>
      </w:tr>
      <w:tr>
        <w:trPr>
          <w:trHeight w:val="1324" w:hRule="atLeast"/>
        </w:trPr>
        <w:tc>
          <w:tcPr>
            <w:tcW w:w="1807" w:type="dxa"/>
          </w:tcPr>
          <w:p>
            <w:pPr>
              <w:pStyle w:val="TableParagraph"/>
              <w:spacing w:line="225" w:lineRule="auto" w:before="100"/>
              <w:ind w:left="200" w:right="122"/>
              <w:rPr>
                <w:b/>
                <w:sz w:val="21"/>
              </w:rPr>
            </w:pPr>
            <w:r>
              <w:rPr>
                <w:rFonts w:ascii="Times New Roman" w:eastAsia="Times New Roman"/>
                <w:b/>
                <w:sz w:val="21"/>
              </w:rPr>
              <w:t>22. </w:t>
            </w:r>
            <w:r>
              <w:rPr>
                <w:b/>
                <w:sz w:val="21"/>
              </w:rPr>
              <w:t>严重运动神经元病</w:t>
            </w:r>
          </w:p>
        </w:tc>
        <w:tc>
          <w:tcPr>
            <w:tcW w:w="7042" w:type="dxa"/>
          </w:tcPr>
          <w:p>
            <w:pPr>
              <w:pStyle w:val="TableParagraph"/>
              <w:spacing w:line="237" w:lineRule="auto" w:before="85"/>
              <w:ind w:left="89" w:right="203"/>
              <w:jc w:val="both"/>
              <w:rPr>
                <w:sz w:val="21"/>
              </w:rPr>
            </w:pPr>
            <w:r>
              <w:rPr>
                <w:sz w:val="21"/>
              </w:rPr>
              <w:t>指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tc>
      </w:tr>
      <w:tr>
        <w:trPr>
          <w:trHeight w:val="2085" w:hRule="atLeast"/>
        </w:trPr>
        <w:tc>
          <w:tcPr>
            <w:tcW w:w="1807" w:type="dxa"/>
          </w:tcPr>
          <w:p>
            <w:pPr>
              <w:pStyle w:val="TableParagraph"/>
              <w:spacing w:line="223" w:lineRule="auto" w:before="111"/>
              <w:ind w:left="200" w:right="122"/>
              <w:rPr>
                <w:b/>
                <w:sz w:val="21"/>
              </w:rPr>
            </w:pPr>
            <w:r>
              <w:rPr>
                <w:rFonts w:ascii="Times New Roman" w:eastAsia="Times New Roman"/>
                <w:b/>
                <w:sz w:val="21"/>
              </w:rPr>
              <w:t>23. </w:t>
            </w:r>
            <w:r>
              <w:rPr>
                <w:b/>
                <w:sz w:val="21"/>
              </w:rPr>
              <w:t>语言能力丧失</w:t>
            </w:r>
          </w:p>
        </w:tc>
        <w:tc>
          <w:tcPr>
            <w:tcW w:w="7042" w:type="dxa"/>
          </w:tcPr>
          <w:p>
            <w:pPr>
              <w:pStyle w:val="TableParagraph"/>
              <w:spacing w:line="281" w:lineRule="exact" w:before="91"/>
              <w:ind w:left="89"/>
              <w:rPr>
                <w:sz w:val="21"/>
              </w:rPr>
            </w:pPr>
            <w:r>
              <w:rPr>
                <w:sz w:val="21"/>
              </w:rPr>
              <w:t>指因疾病或意外伤害导致完全丧失语言能力，经过积极治疗至少 </w:t>
            </w:r>
            <w:r>
              <w:rPr>
                <w:rFonts w:ascii="Times New Roman" w:eastAsia="Times New Roman"/>
                <w:sz w:val="21"/>
              </w:rPr>
              <w:t>12  </w:t>
            </w:r>
            <w:r>
              <w:rPr>
                <w:sz w:val="21"/>
              </w:rPr>
              <w:t>个月</w:t>
            </w:r>
          </w:p>
          <w:p>
            <w:pPr>
              <w:pStyle w:val="TableParagraph"/>
              <w:spacing w:line="265" w:lineRule="exact"/>
              <w:ind w:left="89"/>
              <w:rPr>
                <w:sz w:val="21"/>
              </w:rPr>
            </w:pPr>
            <w:r>
              <w:rPr>
                <w:sz w:val="21"/>
              </w:rPr>
              <w:t>（声带完全切除不受此时间限制），仍无法通过现有医疗手段恢复。</w:t>
            </w:r>
          </w:p>
          <w:p>
            <w:pPr>
              <w:pStyle w:val="TableParagraph"/>
              <w:spacing w:before="3"/>
              <w:rPr>
                <w:rFonts w:ascii="黑体"/>
                <w:sz w:val="18"/>
              </w:rPr>
            </w:pPr>
          </w:p>
          <w:p>
            <w:pPr>
              <w:pStyle w:val="TableParagraph"/>
              <w:ind w:left="89"/>
              <w:rPr>
                <w:rFonts w:ascii="黑体" w:eastAsia="黑体" w:hint="eastAsia"/>
                <w:sz w:val="21"/>
              </w:rPr>
            </w:pPr>
            <w:r>
              <w:rPr>
                <w:rFonts w:ascii="黑体" w:eastAsia="黑体" w:hint="eastAsia"/>
                <w:sz w:val="21"/>
              </w:rPr>
              <w:t>精神心理因素所致的语言能力丧失不在保障范围内。</w:t>
            </w:r>
          </w:p>
          <w:p>
            <w:pPr>
              <w:pStyle w:val="TableParagraph"/>
              <w:spacing w:before="3"/>
              <w:rPr>
                <w:rFonts w:ascii="黑体"/>
                <w:sz w:val="18"/>
              </w:rPr>
            </w:pPr>
          </w:p>
          <w:p>
            <w:pPr>
              <w:pStyle w:val="TableParagraph"/>
              <w:ind w:left="89" w:right="200"/>
              <w:rPr>
                <w:rFonts w:ascii="黑体" w:eastAsia="黑体" w:hint="eastAsia"/>
                <w:sz w:val="21"/>
              </w:rPr>
            </w:pPr>
            <w:r>
              <w:rPr>
                <w:rFonts w:ascii="黑体" w:eastAsia="黑体" w:hint="eastAsia"/>
                <w:spacing w:val="-3"/>
                <w:sz w:val="21"/>
              </w:rPr>
              <w:t>申请理赔时被保险人年龄必须在</w:t>
            </w:r>
            <w:r>
              <w:rPr>
                <w:rFonts w:ascii="黑体" w:eastAsia="黑体" w:hint="eastAsia"/>
                <w:sz w:val="21"/>
              </w:rPr>
              <w:t>3</w:t>
            </w:r>
            <w:r>
              <w:rPr>
                <w:rFonts w:ascii="黑体" w:eastAsia="黑体" w:hint="eastAsia"/>
                <w:spacing w:val="-11"/>
                <w:sz w:val="21"/>
              </w:rPr>
              <w:t>周岁以上，并且提供理赔当时的语言能力</w:t>
            </w:r>
            <w:r>
              <w:rPr>
                <w:rFonts w:ascii="黑体" w:eastAsia="黑体" w:hint="eastAsia"/>
                <w:spacing w:val="-6"/>
                <w:sz w:val="21"/>
              </w:rPr>
              <w:t>丧失诊断及检查证明。</w:t>
            </w:r>
          </w:p>
        </w:tc>
      </w:tr>
      <w:tr>
        <w:trPr>
          <w:trHeight w:val="2156" w:hRule="atLeast"/>
        </w:trPr>
        <w:tc>
          <w:tcPr>
            <w:tcW w:w="1807" w:type="dxa"/>
          </w:tcPr>
          <w:p>
            <w:pPr>
              <w:pStyle w:val="TableParagraph"/>
              <w:spacing w:line="225" w:lineRule="auto" w:before="108"/>
              <w:ind w:left="200" w:right="122"/>
              <w:rPr>
                <w:b/>
                <w:sz w:val="21"/>
              </w:rPr>
            </w:pPr>
            <w:r>
              <w:rPr>
                <w:rFonts w:ascii="Times New Roman" w:eastAsia="Times New Roman"/>
                <w:b/>
                <w:sz w:val="21"/>
              </w:rPr>
              <w:t>24. </w:t>
            </w:r>
            <w:r>
              <w:rPr>
                <w:b/>
                <w:sz w:val="21"/>
              </w:rPr>
              <w:t>重型再生障碍性贫血</w:t>
            </w:r>
          </w:p>
        </w:tc>
        <w:tc>
          <w:tcPr>
            <w:tcW w:w="7042" w:type="dxa"/>
          </w:tcPr>
          <w:p>
            <w:pPr>
              <w:pStyle w:val="TableParagraph"/>
              <w:spacing w:before="90"/>
              <w:ind w:left="89" w:right="203"/>
              <w:rPr>
                <w:sz w:val="21"/>
              </w:rPr>
            </w:pPr>
            <w:r>
              <w:rPr>
                <w:sz w:val="21"/>
              </w:rPr>
              <w:t>指因骨髓造血功能慢性持续性衰竭导致的贫血、中性粒细胞减少及血小板减少。须满足以下全部条件：</w:t>
            </w:r>
          </w:p>
          <w:p>
            <w:pPr>
              <w:pStyle w:val="TableParagraph"/>
              <w:spacing w:line="277" w:lineRule="exact"/>
              <w:ind w:left="89"/>
              <w:rPr>
                <w:sz w:val="21"/>
              </w:rPr>
            </w:pPr>
            <w:r>
              <w:rPr>
                <w:sz w:val="21"/>
              </w:rPr>
              <w:t>（</w:t>
            </w:r>
            <w:r>
              <w:rPr>
                <w:rFonts w:ascii="Times New Roman" w:eastAsia="Times New Roman"/>
                <w:sz w:val="21"/>
              </w:rPr>
              <w:t>1</w:t>
            </w:r>
            <w:r>
              <w:rPr>
                <w:sz w:val="21"/>
              </w:rPr>
              <w:t>）骨髓穿刺检查或骨髓活检结果支持诊断；</w:t>
            </w:r>
          </w:p>
          <w:p>
            <w:pPr>
              <w:pStyle w:val="TableParagraph"/>
              <w:spacing w:line="272" w:lineRule="exact"/>
              <w:ind w:left="89"/>
              <w:rPr>
                <w:sz w:val="21"/>
              </w:rPr>
            </w:pPr>
            <w:r>
              <w:rPr>
                <w:sz w:val="21"/>
              </w:rPr>
              <w:t>（</w:t>
            </w:r>
            <w:r>
              <w:rPr>
                <w:rFonts w:ascii="Times New Roman" w:eastAsia="Times New Roman"/>
                <w:sz w:val="21"/>
              </w:rPr>
              <w:t>2</w:t>
            </w:r>
            <w:r>
              <w:rPr>
                <w:sz w:val="21"/>
              </w:rPr>
              <w:t>）外周血象必须具备以下三项条件：</w:t>
            </w:r>
          </w:p>
          <w:p>
            <w:pPr>
              <w:pStyle w:val="TableParagraph"/>
              <w:tabs>
                <w:tab w:pos="1035" w:val="left" w:leader="none"/>
              </w:tabs>
              <w:spacing w:line="272" w:lineRule="exact"/>
              <w:ind w:left="615"/>
              <w:rPr>
                <w:sz w:val="21"/>
              </w:rPr>
            </w:pPr>
            <w:r>
              <w:rPr>
                <w:rFonts w:ascii="宋体" w:hAnsi="宋体" w:eastAsia="宋体" w:hint="eastAsia"/>
                <w:sz w:val="21"/>
              </w:rPr>
              <w:t>①</w:t>
              <w:tab/>
            </w:r>
            <w:r>
              <w:rPr>
                <w:spacing w:val="-3"/>
                <w:sz w:val="21"/>
              </w:rPr>
              <w:t>中性粒细胞绝对值</w:t>
            </w:r>
            <w:r>
              <w:rPr>
                <w:rFonts w:ascii="宋体" w:hAnsi="宋体" w:eastAsia="宋体" w:hint="eastAsia"/>
                <w:spacing w:val="-5"/>
                <w:sz w:val="21"/>
              </w:rPr>
              <w:t>≤</w:t>
            </w:r>
            <w:r>
              <w:rPr>
                <w:rFonts w:ascii="Times New Roman" w:hAnsi="Times New Roman" w:eastAsia="Times New Roman"/>
                <w:spacing w:val="-5"/>
                <w:sz w:val="21"/>
              </w:rPr>
              <w:t>0.5×10</w:t>
            </w:r>
            <w:r>
              <w:rPr>
                <w:rFonts w:ascii="Times New Roman" w:hAnsi="Times New Roman" w:eastAsia="Times New Roman"/>
                <w:spacing w:val="-17"/>
                <w:sz w:val="21"/>
              </w:rPr>
              <w:t> </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p>
            <w:pPr>
              <w:pStyle w:val="TableParagraph"/>
              <w:tabs>
                <w:tab w:pos="1035" w:val="left" w:leader="none"/>
              </w:tabs>
              <w:spacing w:line="273" w:lineRule="exact"/>
              <w:ind w:left="615"/>
              <w:rPr>
                <w:sz w:val="21"/>
              </w:rPr>
            </w:pPr>
            <w:r>
              <w:rPr>
                <w:rFonts w:ascii="宋体" w:hAnsi="宋体" w:eastAsia="宋体" w:hint="eastAsia"/>
                <w:sz w:val="21"/>
              </w:rPr>
              <w:t>②</w:t>
              <w:tab/>
            </w:r>
            <w:r>
              <w:rPr>
                <w:spacing w:val="-3"/>
                <w:sz w:val="21"/>
              </w:rPr>
              <w:t>网织红细胞＜</w:t>
            </w:r>
            <w:r>
              <w:rPr>
                <w:rFonts w:ascii="Times New Roman" w:hAnsi="Times New Roman" w:eastAsia="Times New Roman"/>
                <w:spacing w:val="-1"/>
                <w:sz w:val="21"/>
              </w:rPr>
              <w:t>1%</w:t>
            </w:r>
            <w:r>
              <w:rPr>
                <w:spacing w:val="-1"/>
                <w:sz w:val="21"/>
              </w:rPr>
              <w:t>；</w:t>
            </w:r>
          </w:p>
          <w:p>
            <w:pPr>
              <w:pStyle w:val="TableParagraph"/>
              <w:tabs>
                <w:tab w:pos="1035" w:val="left" w:leader="none"/>
              </w:tabs>
              <w:spacing w:line="282" w:lineRule="exact"/>
              <w:ind w:left="615"/>
              <w:rPr>
                <w:sz w:val="21"/>
              </w:rPr>
            </w:pPr>
            <w:r>
              <w:rPr>
                <w:rFonts w:ascii="宋体" w:hAnsi="宋体" w:eastAsia="宋体" w:hint="eastAsia"/>
                <w:sz w:val="21"/>
              </w:rPr>
              <w:t>③</w:t>
              <w:tab/>
            </w:r>
            <w:r>
              <w:rPr>
                <w:spacing w:val="-2"/>
                <w:sz w:val="21"/>
              </w:rPr>
              <w:t>血小板绝对值</w:t>
            </w:r>
            <w:r>
              <w:rPr>
                <w:rFonts w:ascii="宋体" w:hAnsi="宋体" w:eastAsia="宋体" w:hint="eastAsia"/>
                <w:spacing w:val="-5"/>
                <w:sz w:val="21"/>
              </w:rPr>
              <w:t>≤</w:t>
            </w:r>
            <w:r>
              <w:rPr>
                <w:rFonts w:ascii="Times New Roman" w:hAnsi="Times New Roman" w:eastAsia="Times New Roman"/>
                <w:spacing w:val="-5"/>
                <w:sz w:val="21"/>
              </w:rPr>
              <w:t>20×10</w:t>
            </w:r>
            <w:r>
              <w:rPr>
                <w:rFonts w:ascii="Times New Roman" w:hAnsi="Times New Roman" w:eastAsia="Times New Roman"/>
                <w:spacing w:val="-21"/>
                <w:sz w:val="21"/>
              </w:rPr>
              <w:t> </w:t>
            </w:r>
            <w:r>
              <w:rPr>
                <w:rFonts w:ascii="Times New Roman" w:hAnsi="Times New Roman" w:eastAsia="Times New Roman"/>
                <w:sz w:val="21"/>
                <w:vertAlign w:val="superscript"/>
              </w:rPr>
              <w:t>9</w:t>
            </w:r>
            <w:r>
              <w:rPr>
                <w:rFonts w:ascii="Times New Roman" w:hAnsi="Times New Roman" w:eastAsia="Times New Roman"/>
                <w:sz w:val="21"/>
                <w:vertAlign w:val="baseline"/>
              </w:rPr>
              <w:t>/L</w:t>
            </w:r>
            <w:r>
              <w:rPr>
                <w:sz w:val="21"/>
                <w:vertAlign w:val="baseline"/>
              </w:rPr>
              <w:t>。</w:t>
            </w:r>
          </w:p>
        </w:tc>
      </w:tr>
      <w:tr>
        <w:trPr>
          <w:trHeight w:val="1416" w:hRule="atLeast"/>
        </w:trPr>
        <w:tc>
          <w:tcPr>
            <w:tcW w:w="1807" w:type="dxa"/>
          </w:tcPr>
          <w:p>
            <w:pPr>
              <w:pStyle w:val="TableParagraph"/>
              <w:spacing w:before="82"/>
              <w:ind w:left="200"/>
              <w:rPr>
                <w:b/>
                <w:sz w:val="21"/>
              </w:rPr>
            </w:pPr>
            <w:r>
              <w:rPr>
                <w:rFonts w:ascii="Times New Roman" w:eastAsia="Times New Roman"/>
                <w:b/>
                <w:sz w:val="21"/>
              </w:rPr>
              <w:t>25.</w:t>
            </w:r>
            <w:r>
              <w:rPr>
                <w:b/>
                <w:sz w:val="21"/>
              </w:rPr>
              <w:t>主动脉手术</w:t>
            </w:r>
          </w:p>
        </w:tc>
        <w:tc>
          <w:tcPr>
            <w:tcW w:w="7042" w:type="dxa"/>
          </w:tcPr>
          <w:p>
            <w:pPr>
              <w:pStyle w:val="TableParagraph"/>
              <w:spacing w:line="237" w:lineRule="auto" w:before="85"/>
              <w:ind w:left="89" w:right="202"/>
              <w:jc w:val="both"/>
              <w:rPr>
                <w:rFonts w:ascii="黑体" w:eastAsia="黑体" w:hint="eastAsia"/>
                <w:sz w:val="21"/>
              </w:rPr>
            </w:pPr>
            <w:r>
              <w:rPr>
                <w:sz w:val="21"/>
              </w:rPr>
              <w:t>指为治疗主动脉疾病，实际实施了开胸或开腹进行的切除、置换、修补病损主动脉血管的手术。主动脉指胸主动脉和腹主动脉，</w:t>
            </w:r>
            <w:r>
              <w:rPr>
                <w:rFonts w:ascii="黑体" w:eastAsia="黑体" w:hint="eastAsia"/>
                <w:sz w:val="21"/>
              </w:rPr>
              <w:t>不包括胸主动脉和腹主动脉的分支血管。</w:t>
            </w:r>
          </w:p>
          <w:p>
            <w:pPr>
              <w:pStyle w:val="TableParagraph"/>
              <w:spacing w:before="2"/>
              <w:rPr>
                <w:rFonts w:ascii="黑体"/>
                <w:sz w:val="18"/>
              </w:rPr>
            </w:pPr>
          </w:p>
          <w:p>
            <w:pPr>
              <w:pStyle w:val="TableParagraph"/>
              <w:spacing w:line="255" w:lineRule="exact"/>
              <w:ind w:left="89"/>
              <w:jc w:val="both"/>
              <w:rPr>
                <w:rFonts w:ascii="黑体" w:eastAsia="黑体" w:hint="eastAsia"/>
                <w:sz w:val="21"/>
              </w:rPr>
            </w:pPr>
            <w:r>
              <w:rPr>
                <w:rFonts w:ascii="黑体" w:eastAsia="黑体" w:hint="eastAsia"/>
                <w:sz w:val="21"/>
              </w:rPr>
              <w:t>动脉内血管成形术不在保障范围内。</w:t>
            </w:r>
          </w:p>
        </w:tc>
      </w:tr>
    </w:tbl>
    <w:p>
      <w:pPr>
        <w:spacing w:after="0" w:line="255" w:lineRule="exact"/>
        <w:jc w:val="both"/>
        <w:rPr>
          <w:rFonts w:ascii="黑体" w:eastAsia="黑体" w:hint="eastAsia"/>
          <w:sz w:val="21"/>
        </w:rPr>
        <w:sectPr>
          <w:pgSz w:w="11910" w:h="16840"/>
          <w:pgMar w:top="1060" w:bottom="280" w:left="1420" w:right="14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9"/>
        <w:gridCol w:w="7136"/>
      </w:tblGrid>
      <w:tr>
        <w:trPr>
          <w:trHeight w:val="637" w:hRule="atLeast"/>
        </w:trPr>
        <w:tc>
          <w:tcPr>
            <w:tcW w:w="1789" w:type="dxa"/>
          </w:tcPr>
          <w:p>
            <w:pPr>
              <w:pStyle w:val="TableParagraph"/>
              <w:spacing w:line="234" w:lineRule="exact"/>
              <w:ind w:left="200"/>
              <w:rPr>
                <w:b/>
                <w:sz w:val="21"/>
              </w:rPr>
            </w:pPr>
            <w:r>
              <w:rPr>
                <w:rFonts w:ascii="Times New Roman" w:eastAsia="Times New Roman"/>
                <w:b/>
                <w:sz w:val="21"/>
              </w:rPr>
              <w:t>26.</w:t>
            </w:r>
            <w:r>
              <w:rPr>
                <w:b/>
                <w:sz w:val="21"/>
              </w:rPr>
              <w:t>嗜铬细胞瘤</w:t>
            </w:r>
          </w:p>
        </w:tc>
        <w:tc>
          <w:tcPr>
            <w:tcW w:w="7136" w:type="dxa"/>
          </w:tcPr>
          <w:p>
            <w:pPr>
              <w:pStyle w:val="TableParagraph"/>
              <w:spacing w:line="216" w:lineRule="exact"/>
              <w:ind w:left="107"/>
              <w:rPr>
                <w:sz w:val="21"/>
              </w:rPr>
            </w:pPr>
            <w:r>
              <w:rPr>
                <w:sz w:val="21"/>
              </w:rPr>
              <w:t>指肾上腺或者肾上腺外嗜铬组织出现神经内分泌肿瘤，并分泌过多的儿茶</w:t>
            </w:r>
          </w:p>
          <w:p>
            <w:pPr>
              <w:pStyle w:val="TableParagraph"/>
              <w:spacing w:line="273" w:lineRule="exact"/>
              <w:ind w:left="107"/>
              <w:rPr>
                <w:sz w:val="21"/>
              </w:rPr>
            </w:pPr>
            <w:r>
              <w:rPr>
                <w:sz w:val="21"/>
              </w:rPr>
              <w:t>酚胺类，需要确实进行手术以切除肿瘤。</w:t>
            </w:r>
          </w:p>
        </w:tc>
      </w:tr>
      <w:tr>
        <w:trPr>
          <w:trHeight w:val="1044" w:hRule="atLeast"/>
        </w:trPr>
        <w:tc>
          <w:tcPr>
            <w:tcW w:w="1789" w:type="dxa"/>
          </w:tcPr>
          <w:p>
            <w:pPr>
              <w:pStyle w:val="TableParagraph"/>
              <w:spacing w:line="230" w:lineRule="auto" w:before="102"/>
              <w:ind w:left="200" w:right="104"/>
              <w:jc w:val="both"/>
              <w:rPr>
                <w:b/>
                <w:sz w:val="21"/>
              </w:rPr>
            </w:pPr>
            <w:r>
              <w:rPr>
                <w:rFonts w:ascii="Times New Roman" w:eastAsia="Times New Roman"/>
                <w:b/>
                <w:sz w:val="21"/>
              </w:rPr>
              <w:t>27. </w:t>
            </w:r>
            <w:r>
              <w:rPr>
                <w:b/>
                <w:sz w:val="21"/>
              </w:rPr>
              <w:t>侵蚀性葡萄胎（或者称恶性葡萄胎）</w:t>
            </w:r>
          </w:p>
        </w:tc>
        <w:tc>
          <w:tcPr>
            <w:tcW w:w="7136" w:type="dxa"/>
          </w:tcPr>
          <w:p>
            <w:pPr>
              <w:pStyle w:val="TableParagraph"/>
              <w:spacing w:before="91"/>
              <w:ind w:left="107" w:right="312"/>
              <w:rPr>
                <w:sz w:val="21"/>
              </w:rPr>
            </w:pPr>
            <w:r>
              <w:rPr>
                <w:sz w:val="21"/>
              </w:rPr>
              <w:t>指异常增生的绒毛组织浸润性生长侵入子宫肌层或者转移至其它器官或者组织的葡萄胎，并已经进行化疗或者手术治疗的。</w:t>
            </w:r>
          </w:p>
        </w:tc>
      </w:tr>
      <w:tr>
        <w:trPr>
          <w:trHeight w:val="3191" w:hRule="atLeast"/>
        </w:trPr>
        <w:tc>
          <w:tcPr>
            <w:tcW w:w="1789" w:type="dxa"/>
          </w:tcPr>
          <w:p>
            <w:pPr>
              <w:pStyle w:val="TableParagraph"/>
              <w:spacing w:line="223" w:lineRule="auto" w:before="96"/>
              <w:ind w:left="200" w:right="104"/>
              <w:rPr>
                <w:b/>
                <w:sz w:val="21"/>
              </w:rPr>
            </w:pPr>
            <w:r>
              <w:rPr>
                <w:rFonts w:ascii="Times New Roman" w:eastAsia="Times New Roman"/>
                <w:b/>
                <w:sz w:val="21"/>
              </w:rPr>
              <w:t>28. </w:t>
            </w:r>
            <w:r>
              <w:rPr>
                <w:b/>
                <w:sz w:val="21"/>
              </w:rPr>
              <w:t>器官移植导致的 </w:t>
            </w:r>
            <w:r>
              <w:rPr>
                <w:rFonts w:ascii="Times New Roman" w:eastAsia="Times New Roman"/>
                <w:b/>
                <w:sz w:val="21"/>
              </w:rPr>
              <w:t>HIV </w:t>
            </w:r>
            <w:r>
              <w:rPr>
                <w:b/>
                <w:sz w:val="21"/>
              </w:rPr>
              <w:t>感染</w:t>
            </w:r>
          </w:p>
        </w:tc>
        <w:tc>
          <w:tcPr>
            <w:tcW w:w="7136" w:type="dxa"/>
          </w:tcPr>
          <w:p>
            <w:pPr>
              <w:pStyle w:val="TableParagraph"/>
              <w:spacing w:line="223" w:lineRule="auto" w:before="96"/>
              <w:ind w:left="107" w:right="276"/>
              <w:jc w:val="both"/>
              <w:rPr>
                <w:sz w:val="21"/>
              </w:rPr>
            </w:pPr>
            <w:r>
              <w:rPr>
                <w:spacing w:val="-4"/>
                <w:w w:val="100"/>
                <w:sz w:val="21"/>
              </w:rPr>
              <w:t>指因进行器官移植而感染上人类免疫缺陷病毒</w:t>
            </w:r>
            <w:r>
              <w:rPr>
                <w:spacing w:val="-2"/>
                <w:w w:val="100"/>
                <w:sz w:val="21"/>
              </w:rPr>
              <w:t>（</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spacing w:val="0"/>
                <w:w w:val="100"/>
                <w:sz w:val="21"/>
              </w:rPr>
              <w:t>V</w:t>
            </w:r>
            <w:r>
              <w:rPr>
                <w:spacing w:val="-106"/>
                <w:w w:val="100"/>
                <w:sz w:val="21"/>
              </w:rPr>
              <w:t>）</w:t>
            </w:r>
            <w:r>
              <w:rPr>
                <w:spacing w:val="-5"/>
                <w:w w:val="100"/>
                <w:sz w:val="21"/>
              </w:rPr>
              <w:t>，且须满足下列全部</w:t>
            </w:r>
            <w:r>
              <w:rPr>
                <w:spacing w:val="-5"/>
                <w:sz w:val="21"/>
              </w:rPr>
              <w:t>条件：</w:t>
            </w:r>
          </w:p>
          <w:p>
            <w:pPr>
              <w:pStyle w:val="TableParagraph"/>
              <w:spacing w:line="223" w:lineRule="auto" w:before="18"/>
              <w:ind w:left="107" w:right="196"/>
              <w:jc w:val="both"/>
              <w:rPr>
                <w:sz w:val="21"/>
              </w:rPr>
            </w:pPr>
            <w:r>
              <w:rPr>
                <w:sz w:val="21"/>
              </w:rPr>
              <w:t>（</w:t>
            </w:r>
            <w:r>
              <w:rPr>
                <w:rFonts w:ascii="Times New Roman" w:eastAsia="Times New Roman"/>
                <w:sz w:val="21"/>
              </w:rPr>
              <w:t>1</w:t>
            </w:r>
            <w:r>
              <w:rPr>
                <w:sz w:val="21"/>
              </w:rPr>
              <w:t>）在合同生效日或复效日之后，被保险人因治疗必需而实施器官移植， 并且因器官移植而感染人类免疫缺陷病毒；</w:t>
            </w:r>
          </w:p>
          <w:p>
            <w:pPr>
              <w:pStyle w:val="TableParagraph"/>
              <w:spacing w:line="230" w:lineRule="auto" w:before="7"/>
              <w:ind w:left="107" w:right="276"/>
              <w:jc w:val="both"/>
              <w:rPr>
                <w:sz w:val="21"/>
              </w:rPr>
            </w:pPr>
            <w:r>
              <w:rPr>
                <w:spacing w:val="-28"/>
                <w:sz w:val="21"/>
              </w:rPr>
              <w:t>（</w:t>
            </w:r>
            <w:r>
              <w:rPr>
                <w:rFonts w:ascii="Times New Roman" w:eastAsia="Times New Roman"/>
                <w:spacing w:val="-28"/>
                <w:sz w:val="21"/>
              </w:rPr>
              <w:t>2</w:t>
            </w:r>
            <w:r>
              <w:rPr>
                <w:spacing w:val="-28"/>
                <w:sz w:val="21"/>
              </w:rPr>
              <w:t>）</w:t>
            </w:r>
            <w:r>
              <w:rPr>
                <w:spacing w:val="-3"/>
                <w:sz w:val="21"/>
              </w:rPr>
              <w:t>提供器官移植治疗的器官移植中心或医院出具的此次因器官移植感染人类免疫缺陷病毒属于医疗事故的报告，或者法院终审裁定为医疗事故并</w:t>
            </w:r>
            <w:r>
              <w:rPr>
                <w:spacing w:val="-2"/>
                <w:sz w:val="21"/>
              </w:rPr>
              <w:t>且不准上诉；</w:t>
            </w:r>
          </w:p>
          <w:p>
            <w:pPr>
              <w:pStyle w:val="TableParagraph"/>
              <w:spacing w:line="289" w:lineRule="exact"/>
              <w:ind w:left="107"/>
              <w:rPr>
                <w:sz w:val="21"/>
              </w:rPr>
            </w:pPr>
            <w:r>
              <w:rPr>
                <w:sz w:val="21"/>
              </w:rPr>
              <w:t>（</w:t>
            </w:r>
            <w:r>
              <w:rPr>
                <w:rFonts w:ascii="Times New Roman" w:eastAsia="Times New Roman"/>
                <w:sz w:val="21"/>
              </w:rPr>
              <w:t>3</w:t>
            </w:r>
            <w:r>
              <w:rPr>
                <w:sz w:val="21"/>
              </w:rPr>
              <w:t>）提供器官移植治疗的器官移植中心或医院必须拥有合法经营执照。</w:t>
            </w:r>
          </w:p>
          <w:p>
            <w:pPr>
              <w:pStyle w:val="TableParagraph"/>
              <w:spacing w:before="8"/>
              <w:rPr>
                <w:rFonts w:ascii="黑体"/>
                <w:sz w:val="18"/>
              </w:rPr>
            </w:pPr>
          </w:p>
          <w:p>
            <w:pPr>
              <w:pStyle w:val="TableParagraph"/>
              <w:spacing w:line="223" w:lineRule="auto"/>
              <w:ind w:left="107" w:right="275"/>
              <w:jc w:val="both"/>
              <w:rPr>
                <w:rFonts w:ascii="黑体" w:eastAsia="黑体" w:hint="eastAsia"/>
                <w:sz w:val="21"/>
              </w:rPr>
            </w:pPr>
            <w:r>
              <w:rPr>
                <w:rFonts w:ascii="黑体" w:eastAsia="黑体" w:hint="eastAsia"/>
                <w:spacing w:val="-7"/>
                <w:sz w:val="21"/>
              </w:rPr>
              <w:t>任何因其它传播方式</w:t>
            </w:r>
            <w:r>
              <w:rPr>
                <w:rFonts w:ascii="黑体" w:eastAsia="黑体" w:hint="eastAsia"/>
                <w:sz w:val="21"/>
              </w:rPr>
              <w:t>（</w:t>
            </w:r>
            <w:r>
              <w:rPr>
                <w:rFonts w:ascii="黑体" w:eastAsia="黑体" w:hint="eastAsia"/>
                <w:spacing w:val="-7"/>
                <w:sz w:val="21"/>
              </w:rPr>
              <w:t>包括：性传播或静脉注射毒品</w:t>
            </w:r>
            <w:r>
              <w:rPr>
                <w:rFonts w:ascii="黑体" w:eastAsia="黑体" w:hint="eastAsia"/>
                <w:spacing w:val="-29"/>
                <w:sz w:val="21"/>
              </w:rPr>
              <w:t>）</w:t>
            </w:r>
            <w:r>
              <w:rPr>
                <w:rFonts w:ascii="黑体" w:eastAsia="黑体" w:hint="eastAsia"/>
                <w:spacing w:val="1"/>
                <w:sz w:val="21"/>
              </w:rPr>
              <w:t>导致的 </w:t>
            </w:r>
            <w:r>
              <w:rPr>
                <w:rFonts w:ascii="Times New Roman" w:eastAsia="Times New Roman"/>
                <w:sz w:val="21"/>
              </w:rPr>
              <w:t>HIV </w:t>
            </w:r>
            <w:r>
              <w:rPr>
                <w:rFonts w:ascii="黑体" w:eastAsia="黑体" w:hint="eastAsia"/>
                <w:spacing w:val="-2"/>
                <w:sz w:val="21"/>
              </w:rPr>
              <w:t>感染不</w:t>
            </w:r>
            <w:r>
              <w:rPr>
                <w:rFonts w:ascii="黑体" w:eastAsia="黑体" w:hint="eastAsia"/>
                <w:spacing w:val="-3"/>
                <w:sz w:val="21"/>
              </w:rPr>
              <w:t>在保障范围内。</w:t>
            </w:r>
          </w:p>
        </w:tc>
      </w:tr>
      <w:tr>
        <w:trPr>
          <w:trHeight w:val="2933" w:hRule="atLeast"/>
        </w:trPr>
        <w:tc>
          <w:tcPr>
            <w:tcW w:w="1789" w:type="dxa"/>
          </w:tcPr>
          <w:p>
            <w:pPr>
              <w:pStyle w:val="TableParagraph"/>
              <w:spacing w:line="223" w:lineRule="auto" w:before="112"/>
              <w:ind w:left="200" w:right="104"/>
              <w:rPr>
                <w:b/>
                <w:sz w:val="21"/>
              </w:rPr>
            </w:pPr>
            <w:r>
              <w:rPr>
                <w:rFonts w:ascii="Times New Roman" w:eastAsia="Times New Roman"/>
                <w:b/>
                <w:sz w:val="21"/>
              </w:rPr>
              <w:t>29. </w:t>
            </w:r>
            <w:r>
              <w:rPr>
                <w:b/>
                <w:sz w:val="21"/>
              </w:rPr>
              <w:t>严重原发性骨髓纤维化</w:t>
            </w:r>
          </w:p>
        </w:tc>
        <w:tc>
          <w:tcPr>
            <w:tcW w:w="7136" w:type="dxa"/>
          </w:tcPr>
          <w:p>
            <w:pPr>
              <w:pStyle w:val="TableParagraph"/>
              <w:spacing w:line="237" w:lineRule="auto" w:before="94"/>
              <w:ind w:left="107" w:right="279"/>
              <w:jc w:val="both"/>
              <w:rPr>
                <w:sz w:val="21"/>
              </w:rPr>
            </w:pPr>
            <w:r>
              <w:rPr>
                <w:spacing w:val="-3"/>
                <w:sz w:val="21"/>
              </w:rPr>
              <w:t>原发性骨髓纤维化为原因不明的骨髓中成纤维细胞增殖，伴有髓外造血， 表现为进行性贫血、脾肿大等症状。本病必须根据骨髓的活组织检查和周围血象检查由血液科专科医生明确诊断，至少符合下列条件中的三项，且</w:t>
            </w:r>
            <w:r>
              <w:rPr>
                <w:spacing w:val="-6"/>
                <w:sz w:val="21"/>
              </w:rPr>
              <w:t>符合条件的状态持续 </w:t>
            </w:r>
            <w:r>
              <w:rPr>
                <w:rFonts w:ascii="Times New Roman" w:eastAsia="Times New Roman"/>
                <w:sz w:val="21"/>
              </w:rPr>
              <w:t>180 </w:t>
            </w:r>
            <w:r>
              <w:rPr>
                <w:spacing w:val="-3"/>
                <w:sz w:val="21"/>
              </w:rPr>
              <w:t>天及以上，并已经实际接受了针对此症的治疗：</w:t>
            </w:r>
          </w:p>
          <w:p>
            <w:pPr>
              <w:pStyle w:val="TableParagraph"/>
              <w:spacing w:line="263" w:lineRule="exact"/>
              <w:ind w:left="107"/>
              <w:jc w:val="both"/>
              <w:rPr>
                <w:sz w:val="21"/>
              </w:rPr>
            </w:pPr>
            <w:r>
              <w:rPr>
                <w:sz w:val="21"/>
              </w:rPr>
              <w:t>（</w:t>
            </w:r>
            <w:r>
              <w:rPr>
                <w:rFonts w:ascii="Times New Roman" w:eastAsia="Times New Roman"/>
                <w:sz w:val="21"/>
              </w:rPr>
              <w:t>1</w:t>
            </w:r>
            <w:r>
              <w:rPr>
                <w:sz w:val="21"/>
              </w:rPr>
              <w:t>）血红蛋白绝对值＜</w:t>
            </w:r>
            <w:r>
              <w:rPr>
                <w:rFonts w:ascii="Times New Roman" w:eastAsia="Times New Roman"/>
                <w:sz w:val="21"/>
              </w:rPr>
              <w:t>100g/L</w:t>
            </w:r>
            <w:r>
              <w:rPr>
                <w:sz w:val="21"/>
              </w:rPr>
              <w:t>；</w:t>
            </w:r>
          </w:p>
          <w:p>
            <w:pPr>
              <w:pStyle w:val="TableParagraph"/>
              <w:spacing w:line="272" w:lineRule="exact"/>
              <w:ind w:left="107"/>
              <w:jc w:val="both"/>
              <w:rPr>
                <w:sz w:val="21"/>
              </w:rPr>
            </w:pPr>
            <w:r>
              <w:rPr>
                <w:sz w:val="21"/>
              </w:rPr>
              <w:t>（</w:t>
            </w:r>
            <w:r>
              <w:rPr>
                <w:rFonts w:ascii="Times New Roman" w:hAnsi="Times New Roman" w:eastAsia="Times New Roman"/>
                <w:sz w:val="21"/>
              </w:rPr>
              <w:t>2</w:t>
            </w:r>
            <w:r>
              <w:rPr>
                <w:sz w:val="21"/>
              </w:rPr>
              <w:t>）白细胞绝对值＞</w:t>
            </w:r>
            <w:r>
              <w:rPr>
                <w:rFonts w:ascii="Times New Roman" w:hAnsi="Times New Roman" w:eastAsia="Times New Roman"/>
                <w:sz w:val="21"/>
              </w:rPr>
              <w:t>25 × 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p>
            <w:pPr>
              <w:pStyle w:val="TableParagraph"/>
              <w:spacing w:line="272" w:lineRule="exact"/>
              <w:ind w:left="107"/>
              <w:jc w:val="both"/>
              <w:rPr>
                <w:sz w:val="21"/>
              </w:rPr>
            </w:pPr>
            <w:r>
              <w:rPr>
                <w:sz w:val="21"/>
              </w:rPr>
              <w:t>（</w:t>
            </w:r>
            <w:r>
              <w:rPr>
                <w:rFonts w:ascii="Times New Roman" w:hAnsi="Times New Roman" w:eastAsia="Times New Roman"/>
                <w:sz w:val="21"/>
              </w:rPr>
              <w:t>3</w:t>
            </w:r>
            <w:r>
              <w:rPr>
                <w:sz w:val="21"/>
              </w:rPr>
              <w:t>）外周血原始细胞</w:t>
            </w:r>
            <w:r>
              <w:rPr>
                <w:rFonts w:ascii="宋体" w:hAnsi="宋体" w:eastAsia="宋体" w:hint="eastAsia"/>
                <w:sz w:val="21"/>
              </w:rPr>
              <w:t>≥</w:t>
            </w:r>
            <w:r>
              <w:rPr>
                <w:rFonts w:ascii="Times New Roman" w:hAnsi="Times New Roman" w:eastAsia="Times New Roman"/>
                <w:sz w:val="21"/>
              </w:rPr>
              <w:t>1%</w:t>
            </w:r>
            <w:r>
              <w:rPr>
                <w:sz w:val="21"/>
              </w:rPr>
              <w:t>；</w:t>
            </w:r>
          </w:p>
          <w:p>
            <w:pPr>
              <w:pStyle w:val="TableParagraph"/>
              <w:spacing w:line="282" w:lineRule="exact"/>
              <w:ind w:left="107"/>
              <w:jc w:val="both"/>
              <w:rPr>
                <w:sz w:val="21"/>
              </w:rPr>
            </w:pPr>
            <w:r>
              <w:rPr>
                <w:sz w:val="21"/>
              </w:rPr>
              <w:t>（</w:t>
            </w:r>
            <w:r>
              <w:rPr>
                <w:rFonts w:ascii="Times New Roman" w:hAnsi="Times New Roman" w:eastAsia="Times New Roman"/>
                <w:sz w:val="21"/>
              </w:rPr>
              <w:t>4</w:t>
            </w:r>
            <w:r>
              <w:rPr>
                <w:sz w:val="21"/>
              </w:rPr>
              <w:t>）血小板绝对值＜</w:t>
            </w:r>
            <w:r>
              <w:rPr>
                <w:rFonts w:ascii="Times New Roman" w:hAnsi="Times New Roman" w:eastAsia="Times New Roman"/>
                <w:sz w:val="21"/>
              </w:rPr>
              <w:t>100 × 10</w:t>
            </w:r>
            <w:r>
              <w:rPr>
                <w:rFonts w:ascii="Times New Roman" w:hAnsi="Times New Roman" w:eastAsia="Times New Roman"/>
                <w:sz w:val="21"/>
                <w:vertAlign w:val="superscript"/>
              </w:rPr>
              <w:t>9</w:t>
            </w:r>
            <w:r>
              <w:rPr>
                <w:rFonts w:ascii="Times New Roman" w:hAnsi="Times New Roman" w:eastAsia="Times New Roman"/>
                <w:sz w:val="21"/>
                <w:vertAlign w:val="baseline"/>
              </w:rPr>
              <w:t>/</w:t>
            </w:r>
            <w:r>
              <w:rPr>
                <w:rFonts w:ascii="Times New Roman" w:hAnsi="Times New Roman" w:eastAsia="Times New Roman"/>
                <w:sz w:val="21"/>
                <w:vertAlign w:val="baseline"/>
              </w:rPr>
              <w:t>L</w:t>
            </w:r>
            <w:r>
              <w:rPr>
                <w:sz w:val="21"/>
                <w:vertAlign w:val="baseline"/>
              </w:rPr>
              <w:t>。</w:t>
            </w:r>
          </w:p>
          <w:p>
            <w:pPr>
              <w:pStyle w:val="TableParagraph"/>
              <w:spacing w:before="222"/>
              <w:ind w:left="107"/>
              <w:jc w:val="both"/>
              <w:rPr>
                <w:rFonts w:ascii="黑体" w:eastAsia="黑体" w:hint="eastAsia"/>
                <w:sz w:val="21"/>
              </w:rPr>
            </w:pPr>
            <w:r>
              <w:rPr>
                <w:rFonts w:ascii="黑体" w:eastAsia="黑体" w:hint="eastAsia"/>
                <w:sz w:val="21"/>
              </w:rPr>
              <w:t>任何其它病因导致的继发性骨髓纤维化不在保障范围内。</w:t>
            </w:r>
          </w:p>
        </w:tc>
      </w:tr>
      <w:tr>
        <w:trPr>
          <w:trHeight w:val="1931" w:hRule="atLeast"/>
        </w:trPr>
        <w:tc>
          <w:tcPr>
            <w:tcW w:w="1789" w:type="dxa"/>
          </w:tcPr>
          <w:p>
            <w:pPr>
              <w:pStyle w:val="TableParagraph"/>
              <w:spacing w:line="225" w:lineRule="auto" w:before="108"/>
              <w:ind w:left="200" w:right="104"/>
              <w:rPr>
                <w:b/>
                <w:sz w:val="21"/>
              </w:rPr>
            </w:pPr>
            <w:r>
              <w:rPr>
                <w:rFonts w:ascii="Times New Roman" w:eastAsia="Times New Roman"/>
                <w:b/>
                <w:sz w:val="21"/>
              </w:rPr>
              <w:t>30. </w:t>
            </w:r>
            <w:r>
              <w:rPr>
                <w:b/>
                <w:sz w:val="21"/>
              </w:rPr>
              <w:t>慢性呼吸功能衰竭</w:t>
            </w:r>
          </w:p>
        </w:tc>
        <w:tc>
          <w:tcPr>
            <w:tcW w:w="7136" w:type="dxa"/>
          </w:tcPr>
          <w:p>
            <w:pPr>
              <w:pStyle w:val="TableParagraph"/>
              <w:spacing w:line="244" w:lineRule="auto" w:before="102"/>
              <w:ind w:left="107" w:right="279" w:firstLine="12"/>
              <w:rPr>
                <w:sz w:val="21"/>
              </w:rPr>
            </w:pPr>
            <w:r>
              <w:rPr>
                <w:sz w:val="21"/>
              </w:rPr>
              <w:t>慢性肺部疾病导致永久不可逆性的慢性呼吸功能衰竭。慢性呼吸功能衰竭必须经医院的呼吸科专科医生诊断并满足下列全部条件：</w:t>
            </w:r>
          </w:p>
          <w:p>
            <w:pPr>
              <w:pStyle w:val="TableParagraph"/>
              <w:spacing w:line="285" w:lineRule="exact"/>
              <w:ind w:left="119"/>
              <w:rPr>
                <w:sz w:val="21"/>
              </w:rPr>
            </w:pPr>
            <w:r>
              <w:rPr>
                <w:sz w:val="21"/>
              </w:rPr>
              <w:t>（</w:t>
            </w:r>
            <w:r>
              <w:rPr>
                <w:rFonts w:ascii="Times New Roman" w:eastAsia="Times New Roman"/>
                <w:sz w:val="21"/>
              </w:rPr>
              <w:t>1</w:t>
            </w:r>
            <w:r>
              <w:rPr>
                <w:sz w:val="21"/>
              </w:rPr>
              <w:t>）休息时出现呼吸困难；</w:t>
            </w:r>
          </w:p>
          <w:p>
            <w:pPr>
              <w:pStyle w:val="TableParagraph"/>
              <w:spacing w:line="281" w:lineRule="exact"/>
              <w:ind w:left="119"/>
              <w:rPr>
                <w:sz w:val="21"/>
              </w:rPr>
            </w:pPr>
            <w:r>
              <w:rPr>
                <w:sz w:val="21"/>
              </w:rPr>
              <w:t>（</w:t>
            </w:r>
            <w:r>
              <w:rPr>
                <w:rFonts w:ascii="Times New Roman" w:eastAsia="Times New Roman"/>
                <w:sz w:val="21"/>
              </w:rPr>
              <w:t>2</w:t>
            </w:r>
            <w:r>
              <w:rPr>
                <w:sz w:val="21"/>
              </w:rPr>
              <w:t>）动脉血氧分压（</w:t>
            </w:r>
            <w:r>
              <w:rPr>
                <w:rFonts w:ascii="Times New Roman" w:eastAsia="Times New Roman"/>
                <w:sz w:val="21"/>
              </w:rPr>
              <w:t>PaO </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50mmHg</w:t>
            </w:r>
            <w:r>
              <w:rPr>
                <w:sz w:val="21"/>
                <w:vertAlign w:val="baseline"/>
              </w:rPr>
              <w:t>；</w:t>
            </w:r>
          </w:p>
          <w:p>
            <w:pPr>
              <w:pStyle w:val="TableParagraph"/>
              <w:spacing w:line="280" w:lineRule="exact"/>
              <w:ind w:left="119"/>
              <w:rPr>
                <w:sz w:val="21"/>
              </w:rPr>
            </w:pPr>
            <w:r>
              <w:rPr>
                <w:sz w:val="21"/>
              </w:rPr>
              <w:t>（</w:t>
            </w:r>
            <w:r>
              <w:rPr>
                <w:rFonts w:ascii="Times New Roman" w:eastAsia="Times New Roman"/>
                <w:sz w:val="21"/>
              </w:rPr>
              <w:t>3</w:t>
            </w:r>
            <w:r>
              <w:rPr>
                <w:sz w:val="21"/>
              </w:rPr>
              <w:t>）动脉血氧饱和度（</w:t>
            </w:r>
            <w:r>
              <w:rPr>
                <w:rFonts w:ascii="Times New Roman" w:eastAsia="Times New Roman"/>
                <w:sz w:val="21"/>
              </w:rPr>
              <w:t>SaO </w:t>
            </w:r>
            <w:r>
              <w:rPr>
                <w:rFonts w:ascii="Times New Roman" w:eastAsia="Times New Roman"/>
                <w:sz w:val="21"/>
                <w:vertAlign w:val="subscript"/>
              </w:rPr>
              <w:t>2</w:t>
            </w:r>
            <w:r>
              <w:rPr>
                <w:rFonts w:ascii="Times New Roman" w:eastAsia="Times New Roman"/>
                <w:sz w:val="21"/>
                <w:vertAlign w:val="baseline"/>
              </w:rPr>
            </w:r>
            <w:r>
              <w:rPr>
                <w:sz w:val="21"/>
                <w:vertAlign w:val="baseline"/>
              </w:rPr>
              <w:t>）＜</w:t>
            </w:r>
            <w:r>
              <w:rPr>
                <w:rFonts w:ascii="Times New Roman" w:eastAsia="Times New Roman"/>
                <w:sz w:val="21"/>
                <w:vertAlign w:val="baseline"/>
              </w:rPr>
              <w:t>80</w:t>
            </w:r>
            <w:r>
              <w:rPr>
                <w:sz w:val="21"/>
                <w:vertAlign w:val="baseline"/>
              </w:rPr>
              <w:t>％；</w:t>
            </w:r>
          </w:p>
          <w:p>
            <w:pPr>
              <w:pStyle w:val="TableParagraph"/>
              <w:spacing w:line="285" w:lineRule="exact"/>
              <w:ind w:left="119"/>
              <w:rPr>
                <w:sz w:val="21"/>
              </w:rPr>
            </w:pPr>
            <w:r>
              <w:rPr>
                <w:sz w:val="21"/>
              </w:rPr>
              <w:t>（</w:t>
            </w:r>
            <w:r>
              <w:rPr>
                <w:rFonts w:ascii="Times New Roman" w:eastAsia="Times New Roman"/>
                <w:sz w:val="21"/>
              </w:rPr>
              <w:t>4</w:t>
            </w:r>
            <w:r>
              <w:rPr>
                <w:sz w:val="21"/>
              </w:rPr>
              <w:t>）因缺氧必须接受持续的输氧治疗。</w:t>
            </w:r>
          </w:p>
        </w:tc>
      </w:tr>
      <w:tr>
        <w:trPr>
          <w:trHeight w:val="1289" w:hRule="atLeast"/>
        </w:trPr>
        <w:tc>
          <w:tcPr>
            <w:tcW w:w="1789" w:type="dxa"/>
          </w:tcPr>
          <w:p>
            <w:pPr>
              <w:pStyle w:val="TableParagraph"/>
              <w:spacing w:before="81"/>
              <w:ind w:left="200"/>
              <w:rPr>
                <w:b/>
                <w:sz w:val="21"/>
              </w:rPr>
            </w:pPr>
            <w:r>
              <w:rPr>
                <w:rFonts w:ascii="Times New Roman" w:eastAsia="Times New Roman"/>
                <w:b/>
                <w:sz w:val="21"/>
              </w:rPr>
              <w:t>31.</w:t>
            </w:r>
            <w:r>
              <w:rPr>
                <w:b/>
                <w:sz w:val="21"/>
              </w:rPr>
              <w:t>胰腺移植</w:t>
            </w:r>
          </w:p>
        </w:tc>
        <w:tc>
          <w:tcPr>
            <w:tcW w:w="7136" w:type="dxa"/>
          </w:tcPr>
          <w:p>
            <w:pPr>
              <w:pStyle w:val="TableParagraph"/>
              <w:spacing w:line="237" w:lineRule="auto" w:before="84"/>
              <w:ind w:left="107" w:right="279"/>
              <w:rPr>
                <w:sz w:val="21"/>
              </w:rPr>
            </w:pPr>
            <w:r>
              <w:rPr>
                <w:spacing w:val="-3"/>
                <w:sz w:val="21"/>
              </w:rPr>
              <w:t>指因胰腺功能衰竭，已经实施了在全身麻醉下进行的胰腺的异体器官移植手术（供体必须是人体器官</w:t>
            </w:r>
            <w:r>
              <w:rPr>
                <w:spacing w:val="-106"/>
                <w:sz w:val="21"/>
              </w:rPr>
              <w:t>）</w:t>
            </w:r>
            <w:r>
              <w:rPr>
                <w:sz w:val="21"/>
              </w:rPr>
              <w:t>。</w:t>
            </w:r>
          </w:p>
          <w:p>
            <w:pPr>
              <w:pStyle w:val="TableParagraph"/>
              <w:spacing w:before="2"/>
              <w:rPr>
                <w:rFonts w:ascii="黑体"/>
                <w:sz w:val="18"/>
              </w:rPr>
            </w:pPr>
          </w:p>
          <w:p>
            <w:pPr>
              <w:pStyle w:val="TableParagraph"/>
              <w:spacing w:before="1"/>
              <w:ind w:left="107"/>
              <w:rPr>
                <w:rFonts w:ascii="黑体" w:eastAsia="黑体" w:hint="eastAsia"/>
                <w:sz w:val="21"/>
              </w:rPr>
            </w:pPr>
            <w:r>
              <w:rPr>
                <w:rFonts w:ascii="黑体" w:eastAsia="黑体" w:hint="eastAsia"/>
                <w:sz w:val="21"/>
              </w:rPr>
              <w:t>单纯胰岛移植、部分胰腺组织或细胞的移植不在保障范围内。</w:t>
            </w:r>
          </w:p>
        </w:tc>
      </w:tr>
      <w:tr>
        <w:trPr>
          <w:trHeight w:val="3106" w:hRule="atLeast"/>
        </w:trPr>
        <w:tc>
          <w:tcPr>
            <w:tcW w:w="1789" w:type="dxa"/>
          </w:tcPr>
          <w:p>
            <w:pPr>
              <w:pStyle w:val="TableParagraph"/>
              <w:spacing w:line="230" w:lineRule="auto" w:before="102"/>
              <w:ind w:left="200" w:right="104"/>
              <w:jc w:val="both"/>
              <w:rPr>
                <w:b/>
                <w:sz w:val="21"/>
              </w:rPr>
            </w:pPr>
            <w:r>
              <w:rPr>
                <w:rFonts w:ascii="Times New Roman" w:eastAsia="Times New Roman"/>
                <w:b/>
                <w:sz w:val="21"/>
              </w:rPr>
              <w:t>32. </w:t>
            </w:r>
            <w:r>
              <w:rPr>
                <w:b/>
                <w:sz w:val="21"/>
              </w:rPr>
              <w:t>特发性慢性肾上腺皮质功能减退</w:t>
            </w:r>
          </w:p>
        </w:tc>
        <w:tc>
          <w:tcPr>
            <w:tcW w:w="7136" w:type="dxa"/>
          </w:tcPr>
          <w:p>
            <w:pPr>
              <w:pStyle w:val="TableParagraph"/>
              <w:spacing w:line="237" w:lineRule="auto" w:before="93"/>
              <w:ind w:left="107" w:right="279"/>
              <w:jc w:val="both"/>
              <w:rPr>
                <w:sz w:val="21"/>
              </w:rPr>
            </w:pPr>
            <w:r>
              <w:rPr>
                <w:sz w:val="21"/>
              </w:rPr>
              <w:t>指自身免疫性肾上腺炎（既往称：特发性肾上腺皮质萎缩）导致肾上腺萎缩和慢性肾上腺皮质功能减退。必须由内分泌专科医生确诊，并且必须满足下列全部条件：</w:t>
            </w:r>
          </w:p>
          <w:p>
            <w:pPr>
              <w:pStyle w:val="TableParagraph"/>
              <w:spacing w:line="280" w:lineRule="exact"/>
              <w:ind w:left="107"/>
              <w:rPr>
                <w:sz w:val="21"/>
              </w:rPr>
            </w:pPr>
            <w:r>
              <w:rPr>
                <w:sz w:val="21"/>
              </w:rPr>
              <w:t>（</w:t>
            </w:r>
            <w:r>
              <w:rPr>
                <w:rFonts w:ascii="Times New Roman" w:eastAsia="Times New Roman"/>
                <w:sz w:val="21"/>
              </w:rPr>
              <w:t>1</w:t>
            </w:r>
            <w:r>
              <w:rPr>
                <w:sz w:val="21"/>
              </w:rPr>
              <w:t>）明确诊断，符合所有以下诊断标准：</w:t>
            </w:r>
          </w:p>
          <w:p>
            <w:pPr>
              <w:pStyle w:val="TableParagraph"/>
              <w:tabs>
                <w:tab w:pos="1159" w:val="left" w:leader="none"/>
              </w:tabs>
              <w:spacing w:line="272" w:lineRule="exact"/>
              <w:ind w:left="739"/>
              <w:rPr>
                <w:sz w:val="21"/>
              </w:rPr>
            </w:pPr>
            <w:r>
              <w:rPr>
                <w:rFonts w:ascii="宋体" w:hAnsi="宋体" w:eastAsia="宋体" w:hint="eastAsia"/>
                <w:sz w:val="21"/>
              </w:rPr>
              <w:t>①</w:t>
              <w:tab/>
            </w:r>
            <w:r>
              <w:rPr>
                <w:spacing w:val="-3"/>
                <w:sz w:val="21"/>
              </w:rPr>
              <w:t>血浆促肾上腺皮质激素</w:t>
            </w:r>
            <w:r>
              <w:rPr>
                <w:sz w:val="21"/>
              </w:rPr>
              <w:t>（</w:t>
            </w:r>
            <w:r>
              <w:rPr>
                <w:rFonts w:ascii="Times New Roman" w:hAnsi="Times New Roman" w:eastAsia="Times New Roman"/>
                <w:sz w:val="21"/>
              </w:rPr>
              <w:t>ACTH</w:t>
            </w:r>
            <w:r>
              <w:rPr>
                <w:sz w:val="21"/>
              </w:rPr>
              <w:t>）</w:t>
            </w:r>
            <w:r>
              <w:rPr>
                <w:spacing w:val="-9"/>
                <w:sz w:val="21"/>
              </w:rPr>
              <w:t>水平测定大于 </w:t>
            </w:r>
            <w:r>
              <w:rPr>
                <w:rFonts w:ascii="Times New Roman" w:hAnsi="Times New Roman" w:eastAsia="Times New Roman"/>
                <w:sz w:val="21"/>
              </w:rPr>
              <w:t>100pg/ml</w:t>
            </w:r>
            <w:r>
              <w:rPr>
                <w:sz w:val="21"/>
              </w:rPr>
              <w:t>；</w:t>
            </w:r>
          </w:p>
          <w:p>
            <w:pPr>
              <w:pStyle w:val="TableParagraph"/>
              <w:spacing w:line="230" w:lineRule="auto" w:before="2"/>
              <w:ind w:left="1159" w:right="276" w:hanging="420"/>
              <w:jc w:val="both"/>
              <w:rPr>
                <w:sz w:val="21"/>
              </w:rPr>
            </w:pPr>
            <w:r>
              <w:rPr>
                <w:rFonts w:ascii="宋体" w:hAnsi="宋体" w:eastAsia="宋体" w:hint="eastAsia"/>
                <w:spacing w:val="5"/>
                <w:sz w:val="21"/>
              </w:rPr>
              <w:t>② </w:t>
            </w:r>
            <w:r>
              <w:rPr>
                <w:spacing w:val="-8"/>
                <w:sz w:val="21"/>
              </w:rPr>
              <w:t>血浆和尿游离皮质醇、尿 </w:t>
            </w:r>
            <w:r>
              <w:rPr>
                <w:rFonts w:ascii="Times New Roman" w:hAnsi="Times New Roman" w:eastAsia="Times New Roman"/>
                <w:sz w:val="21"/>
              </w:rPr>
              <w:t>17-</w:t>
            </w:r>
            <w:r>
              <w:rPr>
                <w:spacing w:val="-9"/>
                <w:sz w:val="21"/>
              </w:rPr>
              <w:t>羟皮质类固醇、尿 </w:t>
            </w:r>
            <w:r>
              <w:rPr>
                <w:rFonts w:ascii="Times New Roman" w:hAnsi="Times New Roman" w:eastAsia="Times New Roman"/>
                <w:sz w:val="21"/>
              </w:rPr>
              <w:t>17-</w:t>
            </w:r>
            <w:r>
              <w:rPr>
                <w:spacing w:val="-1"/>
                <w:sz w:val="21"/>
              </w:rPr>
              <w:t>酮皮质类固</w:t>
            </w:r>
            <w:r>
              <w:rPr>
                <w:spacing w:val="-3"/>
                <w:sz w:val="21"/>
              </w:rPr>
              <w:t>醇测定、血浆肾素活性、血管紧张素Ⅱ和醛固酮的测定，显示为原发性肾上腺皮质功能减退症；</w:t>
            </w:r>
          </w:p>
          <w:p>
            <w:pPr>
              <w:pStyle w:val="TableParagraph"/>
              <w:spacing w:line="225" w:lineRule="auto" w:before="13"/>
              <w:ind w:left="1159" w:right="274" w:hanging="420"/>
              <w:jc w:val="both"/>
              <w:rPr>
                <w:sz w:val="21"/>
              </w:rPr>
            </w:pPr>
            <w:r>
              <w:rPr>
                <w:rFonts w:ascii="宋体" w:hAnsi="宋体" w:eastAsia="宋体" w:hint="eastAsia"/>
                <w:sz w:val="21"/>
              </w:rPr>
              <w:t>③ </w:t>
            </w:r>
            <w:r>
              <w:rPr>
                <w:sz w:val="21"/>
              </w:rPr>
              <w:t>促肾上腺皮质激素（</w:t>
            </w:r>
            <w:r>
              <w:rPr>
                <w:rFonts w:ascii="Times New Roman" w:hAnsi="Times New Roman" w:eastAsia="Times New Roman"/>
                <w:sz w:val="21"/>
              </w:rPr>
              <w:t>ACTH</w:t>
            </w:r>
            <w:r>
              <w:rPr>
                <w:sz w:val="21"/>
              </w:rPr>
              <w:t>）刺激试验显示为原发性肾上腺皮质功能减退症。</w:t>
            </w:r>
          </w:p>
          <w:p>
            <w:pPr>
              <w:pStyle w:val="TableParagraph"/>
              <w:spacing w:line="267" w:lineRule="exact"/>
              <w:ind w:left="107"/>
              <w:jc w:val="both"/>
              <w:rPr>
                <w:sz w:val="21"/>
              </w:rPr>
            </w:pPr>
            <w:r>
              <w:rPr>
                <w:sz w:val="21"/>
              </w:rPr>
              <w:t>（</w:t>
            </w:r>
            <w:r>
              <w:rPr>
                <w:rFonts w:ascii="Times New Roman" w:eastAsia="Times New Roman"/>
                <w:sz w:val="21"/>
              </w:rPr>
              <w:t>2</w:t>
            </w:r>
            <w:r>
              <w:rPr>
                <w:sz w:val="21"/>
              </w:rPr>
              <w:t>）已经采用皮质类固醇替代治疗 </w:t>
            </w:r>
            <w:r>
              <w:rPr>
                <w:rFonts w:ascii="Times New Roman" w:eastAsia="Times New Roman"/>
                <w:sz w:val="21"/>
              </w:rPr>
              <w:t>180 </w:t>
            </w:r>
            <w:r>
              <w:rPr>
                <w:sz w:val="21"/>
              </w:rPr>
              <w:t>天以上。</w:t>
            </w:r>
          </w:p>
        </w:tc>
      </w:tr>
    </w:tbl>
    <w:p>
      <w:pPr>
        <w:spacing w:after="0" w:line="267" w:lineRule="exact"/>
        <w:jc w:val="both"/>
        <w:rPr>
          <w:sz w:val="21"/>
        </w:rPr>
        <w:sectPr>
          <w:pgSz w:w="11910" w:h="16840"/>
          <w:pgMar w:top="1060" w:bottom="280" w:left="1420" w:right="134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9"/>
        <w:gridCol w:w="7162"/>
      </w:tblGrid>
      <w:tr>
        <w:trPr>
          <w:trHeight w:val="405" w:hRule="atLeast"/>
        </w:trPr>
        <w:tc>
          <w:tcPr>
            <w:tcW w:w="1789" w:type="dxa"/>
          </w:tcPr>
          <w:p>
            <w:pPr>
              <w:pStyle w:val="TableParagraph"/>
              <w:rPr>
                <w:rFonts w:ascii="Times New Roman"/>
                <w:sz w:val="20"/>
              </w:rPr>
            </w:pPr>
          </w:p>
        </w:tc>
        <w:tc>
          <w:tcPr>
            <w:tcW w:w="7162" w:type="dxa"/>
          </w:tcPr>
          <w:p>
            <w:pPr>
              <w:pStyle w:val="TableParagraph"/>
              <w:spacing w:line="211" w:lineRule="exact"/>
              <w:ind w:left="107"/>
              <w:rPr>
                <w:rFonts w:ascii="黑体" w:eastAsia="黑体" w:hint="eastAsia"/>
                <w:sz w:val="21"/>
              </w:rPr>
            </w:pPr>
            <w:r>
              <w:rPr>
                <w:rFonts w:ascii="黑体" w:eastAsia="黑体" w:hint="eastAsia"/>
                <w:sz w:val="21"/>
              </w:rPr>
              <w:t>其它任何原因导致的继发性肾上腺皮质功能减退不在保障范围内。</w:t>
            </w:r>
          </w:p>
        </w:tc>
      </w:tr>
      <w:tr>
        <w:trPr>
          <w:trHeight w:val="2203" w:hRule="atLeast"/>
        </w:trPr>
        <w:tc>
          <w:tcPr>
            <w:tcW w:w="1789" w:type="dxa"/>
          </w:tcPr>
          <w:p>
            <w:pPr>
              <w:pStyle w:val="TableParagraph"/>
              <w:spacing w:line="225" w:lineRule="auto" w:before="155"/>
              <w:ind w:left="200" w:right="104"/>
              <w:rPr>
                <w:b/>
                <w:sz w:val="21"/>
              </w:rPr>
            </w:pPr>
            <w:r>
              <w:rPr>
                <w:rFonts w:ascii="Times New Roman" w:eastAsia="Times New Roman"/>
                <w:b/>
                <w:sz w:val="21"/>
              </w:rPr>
              <w:t>33. </w:t>
            </w:r>
            <w:r>
              <w:rPr>
                <w:b/>
                <w:sz w:val="21"/>
              </w:rPr>
              <w:t>重症骨髓增生异常综合征</w:t>
            </w:r>
          </w:p>
        </w:tc>
        <w:tc>
          <w:tcPr>
            <w:tcW w:w="7162" w:type="dxa"/>
          </w:tcPr>
          <w:p>
            <w:pPr>
              <w:pStyle w:val="TableParagraph"/>
              <w:spacing w:line="237" w:lineRule="auto" w:before="140"/>
              <w:ind w:left="107" w:right="305"/>
              <w:jc w:val="both"/>
              <w:rPr>
                <w:sz w:val="21"/>
              </w:rPr>
            </w:pPr>
            <w:r>
              <w:rPr>
                <w:sz w:val="21"/>
              </w:rPr>
              <w:t>骨髓增生异常综合征是起源于造血干细胞的一组骨髓克隆增生异常的疾病，表现为无效造血、难治性血细胞减少，有转化为急性髓系白血病的风险。被保险人根据外周血和骨髓活检被血液科专科医生明确诊断为骨髓增生异常综合征，并且满足以下所有条件：</w:t>
            </w:r>
          </w:p>
          <w:p>
            <w:pPr>
              <w:pStyle w:val="TableParagraph"/>
              <w:spacing w:line="279" w:lineRule="exact"/>
              <w:ind w:left="107"/>
              <w:jc w:val="both"/>
              <w:rPr>
                <w:sz w:val="21"/>
              </w:rPr>
            </w:pPr>
            <w:r>
              <w:rPr>
                <w:w w:val="100"/>
                <w:sz w:val="21"/>
              </w:rPr>
              <w:t>（</w:t>
            </w:r>
            <w:r>
              <w:rPr>
                <w:rFonts w:ascii="Times New Roman" w:eastAsia="Times New Roman"/>
                <w:w w:val="100"/>
                <w:sz w:val="21"/>
              </w:rPr>
              <w:t>1</w:t>
            </w:r>
            <w:r>
              <w:rPr>
                <w:w w:val="100"/>
                <w:sz w:val="21"/>
              </w:rPr>
              <w:t>）</w:t>
            </w:r>
            <w:r>
              <w:rPr>
                <w:rFonts w:ascii="Times New Roman" w:eastAsia="Times New Roman"/>
                <w:spacing w:val="-20"/>
                <w:w w:val="100"/>
                <w:sz w:val="21"/>
              </w:rPr>
              <w:t>F</w:t>
            </w:r>
            <w:r>
              <w:rPr>
                <w:rFonts w:ascii="Times New Roman" w:eastAsia="Times New Roman"/>
                <w:spacing w:val="-2"/>
                <w:w w:val="100"/>
                <w:sz w:val="21"/>
              </w:rPr>
              <w:t>A</w:t>
            </w:r>
            <w:r>
              <w:rPr>
                <w:rFonts w:ascii="Times New Roman" w:eastAsia="Times New Roman"/>
                <w:w w:val="100"/>
                <w:sz w:val="21"/>
              </w:rPr>
              <w:t>B</w:t>
            </w:r>
            <w:r>
              <w:rPr>
                <w:rFonts w:ascii="Times New Roman" w:eastAsia="Times New Roman"/>
                <w:spacing w:val="0"/>
                <w:sz w:val="21"/>
              </w:rPr>
              <w:t> </w:t>
            </w:r>
            <w:r>
              <w:rPr>
                <w:spacing w:val="-3"/>
                <w:w w:val="100"/>
                <w:sz w:val="21"/>
              </w:rPr>
              <w:t>分类为难治性贫血伴原始细胞增多（</w:t>
            </w:r>
            <w:r>
              <w:rPr>
                <w:rFonts w:ascii="Times New Roman" w:eastAsia="Times New Roman"/>
                <w:spacing w:val="-2"/>
                <w:w w:val="100"/>
                <w:sz w:val="21"/>
              </w:rPr>
              <w:t>R</w:t>
            </w:r>
            <w:r>
              <w:rPr>
                <w:rFonts w:ascii="Times New Roman" w:eastAsia="Times New Roman"/>
                <w:w w:val="100"/>
                <w:sz w:val="21"/>
              </w:rPr>
              <w:t>A</w:t>
            </w:r>
            <w:r>
              <w:rPr>
                <w:rFonts w:ascii="Times New Roman" w:eastAsia="Times New Roman"/>
                <w:spacing w:val="-2"/>
                <w:w w:val="100"/>
                <w:sz w:val="21"/>
              </w:rPr>
              <w:t>EB</w:t>
            </w:r>
            <w:r>
              <w:rPr>
                <w:spacing w:val="-106"/>
                <w:w w:val="100"/>
                <w:sz w:val="21"/>
              </w:rPr>
              <w:t>）</w:t>
            </w:r>
            <w:r>
              <w:rPr>
                <w:w w:val="100"/>
                <w:sz w:val="21"/>
              </w:rPr>
              <w:t>；</w:t>
            </w:r>
          </w:p>
          <w:p>
            <w:pPr>
              <w:pStyle w:val="TableParagraph"/>
              <w:spacing w:line="272" w:lineRule="exact"/>
              <w:ind w:left="107"/>
              <w:jc w:val="both"/>
              <w:rPr>
                <w:sz w:val="21"/>
              </w:rPr>
            </w:pPr>
            <w:r>
              <w:rPr>
                <w:w w:val="100"/>
                <w:sz w:val="21"/>
              </w:rPr>
              <w:t>（</w:t>
            </w:r>
            <w:r>
              <w:rPr>
                <w:rFonts w:ascii="Times New Roman" w:hAnsi="Times New Roman" w:eastAsia="Times New Roman"/>
                <w:w w:val="100"/>
                <w:sz w:val="21"/>
              </w:rPr>
              <w:t>2</w:t>
            </w:r>
            <w:r>
              <w:rPr>
                <w:w w:val="100"/>
                <w:sz w:val="21"/>
              </w:rPr>
              <w:t>）</w:t>
            </w:r>
            <w:r>
              <w:rPr>
                <w:spacing w:val="-3"/>
                <w:w w:val="100"/>
                <w:sz w:val="21"/>
              </w:rPr>
              <w:t>根据“骨髓增生异常综合征修订国际预后积分系统</w:t>
            </w:r>
            <w:r>
              <w:rPr>
                <w:w w:val="100"/>
                <w:sz w:val="21"/>
              </w:rPr>
              <w:t>（</w:t>
            </w:r>
            <w:r>
              <w:rPr>
                <w:rFonts w:ascii="Times New Roman" w:hAnsi="Times New Roman" w:eastAsia="Times New Roman"/>
                <w:spacing w:val="-4"/>
                <w:w w:val="100"/>
                <w:sz w:val="21"/>
              </w:rPr>
              <w:t>I</w:t>
            </w:r>
            <w:r>
              <w:rPr>
                <w:rFonts w:ascii="Times New Roman" w:hAnsi="Times New Roman" w:eastAsia="Times New Roman"/>
                <w:spacing w:val="1"/>
                <w:w w:val="100"/>
                <w:sz w:val="21"/>
              </w:rPr>
              <w:t>P</w:t>
            </w:r>
            <w:r>
              <w:rPr>
                <w:rFonts w:ascii="Times New Roman" w:hAnsi="Times New Roman" w:eastAsia="Times New Roman"/>
                <w:w w:val="100"/>
                <w:sz w:val="21"/>
              </w:rPr>
              <w:t>SS</w:t>
            </w:r>
            <w:r>
              <w:rPr>
                <w:rFonts w:ascii="Times New Roman" w:hAnsi="Times New Roman" w:eastAsia="Times New Roman"/>
                <w:spacing w:val="-3"/>
                <w:w w:val="100"/>
                <w:sz w:val="21"/>
              </w:rPr>
              <w:t>-</w:t>
            </w:r>
            <w:r>
              <w:rPr>
                <w:rFonts w:ascii="Times New Roman" w:hAnsi="Times New Roman" w:eastAsia="Times New Roman"/>
                <w:w w:val="100"/>
                <w:sz w:val="21"/>
              </w:rPr>
              <w:t>R</w:t>
            </w:r>
            <w:r>
              <w:rPr>
                <w:spacing w:val="-106"/>
                <w:w w:val="100"/>
                <w:sz w:val="21"/>
              </w:rPr>
              <w:t>）</w:t>
            </w:r>
            <w:r>
              <w:rPr>
                <w:w w:val="100"/>
                <w:sz w:val="21"/>
              </w:rPr>
              <w:t>”积分</w:t>
            </w:r>
          </w:p>
          <w:p>
            <w:pPr>
              <w:pStyle w:val="TableParagraph"/>
              <w:spacing w:line="281" w:lineRule="exact"/>
              <w:ind w:left="107"/>
              <w:jc w:val="both"/>
              <w:rPr>
                <w:sz w:val="21"/>
              </w:rPr>
            </w:pPr>
            <w:r>
              <w:rPr>
                <w:rFonts w:ascii="宋体" w:hAnsi="宋体" w:eastAsia="宋体" w:hint="eastAsia"/>
                <w:sz w:val="21"/>
              </w:rPr>
              <w:t>≥</w:t>
            </w:r>
            <w:r>
              <w:rPr>
                <w:rFonts w:ascii="Times New Roman" w:hAnsi="Times New Roman" w:eastAsia="Times New Roman"/>
                <w:sz w:val="21"/>
              </w:rPr>
              <w:t>3</w:t>
            </w:r>
            <w:r>
              <w:rPr>
                <w:sz w:val="21"/>
              </w:rPr>
              <w:t>，属于中危及以上组。</w:t>
            </w:r>
          </w:p>
        </w:tc>
      </w:tr>
      <w:tr>
        <w:trPr>
          <w:trHeight w:val="1324" w:hRule="atLeast"/>
        </w:trPr>
        <w:tc>
          <w:tcPr>
            <w:tcW w:w="1789" w:type="dxa"/>
          </w:tcPr>
          <w:p>
            <w:pPr>
              <w:pStyle w:val="TableParagraph"/>
              <w:spacing w:line="225" w:lineRule="auto" w:before="100"/>
              <w:ind w:left="200" w:right="104"/>
              <w:rPr>
                <w:b/>
                <w:sz w:val="21"/>
              </w:rPr>
            </w:pPr>
            <w:r>
              <w:rPr>
                <w:rFonts w:ascii="Times New Roman" w:eastAsia="Times New Roman"/>
                <w:b/>
                <w:sz w:val="21"/>
              </w:rPr>
              <w:t>34. </w:t>
            </w:r>
            <w:r>
              <w:rPr>
                <w:b/>
                <w:sz w:val="21"/>
              </w:rPr>
              <w:t>自体造血干细胞移植</w:t>
            </w:r>
          </w:p>
        </w:tc>
        <w:tc>
          <w:tcPr>
            <w:tcW w:w="7162" w:type="dxa"/>
          </w:tcPr>
          <w:p>
            <w:pPr>
              <w:pStyle w:val="TableParagraph"/>
              <w:spacing w:line="237" w:lineRule="auto" w:before="85"/>
              <w:ind w:left="107" w:right="305"/>
              <w:jc w:val="both"/>
              <w:rPr>
                <w:sz w:val="21"/>
              </w:rPr>
            </w:pPr>
            <w:r>
              <w:rPr>
                <w:sz w:val="21"/>
              </w:rPr>
              <w:t>指由于患者自身骨髓造血功能异常或为了达到治疗肿瘤的目的，采集患者自己的一部分造血干细胞，分离并深低温保存，再回输给患者使患者的造血功能和免疫功能重新恢复的一种治疗方法。该治疗须由血液科专科医生认为在临床上是必需的，并且已经实际实施了此项治疗。</w:t>
            </w:r>
          </w:p>
        </w:tc>
      </w:tr>
      <w:tr>
        <w:trPr>
          <w:trHeight w:val="1843" w:hRule="atLeast"/>
        </w:trPr>
        <w:tc>
          <w:tcPr>
            <w:tcW w:w="1789" w:type="dxa"/>
          </w:tcPr>
          <w:p>
            <w:pPr>
              <w:pStyle w:val="TableParagraph"/>
              <w:spacing w:line="223" w:lineRule="auto" w:before="111"/>
              <w:ind w:left="200" w:right="269"/>
              <w:rPr>
                <w:b/>
                <w:sz w:val="21"/>
              </w:rPr>
            </w:pPr>
            <w:r>
              <w:rPr>
                <w:rFonts w:ascii="Times New Roman" w:eastAsia="Times New Roman"/>
                <w:b/>
                <w:sz w:val="21"/>
              </w:rPr>
              <w:t>35.</w:t>
            </w:r>
            <w:r>
              <w:rPr>
                <w:b/>
                <w:sz w:val="21"/>
              </w:rPr>
              <w:t>肾髓质囊性病</w:t>
            </w:r>
          </w:p>
        </w:tc>
        <w:tc>
          <w:tcPr>
            <w:tcW w:w="7162" w:type="dxa"/>
          </w:tcPr>
          <w:p>
            <w:pPr>
              <w:pStyle w:val="TableParagraph"/>
              <w:spacing w:line="273" w:lineRule="exact" w:before="90"/>
              <w:ind w:left="107"/>
              <w:rPr>
                <w:sz w:val="21"/>
              </w:rPr>
            </w:pPr>
            <w:r>
              <w:rPr>
                <w:sz w:val="21"/>
              </w:rPr>
              <w:t>肾髓质囊性病的诊断必须由专科医生确诊，并且必须同时符合下列要求：</w:t>
            </w:r>
          </w:p>
          <w:p>
            <w:pPr>
              <w:pStyle w:val="TableParagraph"/>
              <w:spacing w:line="281" w:lineRule="exact"/>
              <w:ind w:left="107"/>
              <w:rPr>
                <w:sz w:val="21"/>
              </w:rPr>
            </w:pPr>
            <w:r>
              <w:rPr>
                <w:sz w:val="21"/>
              </w:rPr>
              <w:t>（</w:t>
            </w:r>
            <w:r>
              <w:rPr>
                <w:rFonts w:ascii="Times New Roman" w:eastAsia="Times New Roman"/>
                <w:sz w:val="21"/>
              </w:rPr>
              <w:t>1</w:t>
            </w:r>
            <w:r>
              <w:rPr>
                <w:sz w:val="21"/>
              </w:rPr>
              <w:t>）肾髓质有囊肿、肾小管萎缩及间质纤维化等病理改变；</w:t>
            </w:r>
          </w:p>
          <w:p>
            <w:pPr>
              <w:pStyle w:val="TableParagraph"/>
              <w:spacing w:line="273" w:lineRule="exact"/>
              <w:ind w:left="107"/>
              <w:rPr>
                <w:sz w:val="21"/>
              </w:rPr>
            </w:pPr>
            <w:r>
              <w:rPr>
                <w:sz w:val="21"/>
              </w:rPr>
              <w:t>（</w:t>
            </w:r>
            <w:r>
              <w:rPr>
                <w:rFonts w:ascii="Times New Roman" w:eastAsia="Times New Roman"/>
                <w:sz w:val="21"/>
              </w:rPr>
              <w:t>2</w:t>
            </w:r>
            <w:r>
              <w:rPr>
                <w:sz w:val="21"/>
              </w:rPr>
              <w:t>）肾功能衰竭，达到尿毒症期；</w:t>
            </w:r>
          </w:p>
          <w:p>
            <w:pPr>
              <w:pStyle w:val="TableParagraph"/>
              <w:spacing w:line="281" w:lineRule="exact"/>
              <w:ind w:left="107"/>
              <w:rPr>
                <w:sz w:val="21"/>
              </w:rPr>
            </w:pPr>
            <w:r>
              <w:rPr>
                <w:sz w:val="21"/>
              </w:rPr>
              <w:t>（</w:t>
            </w:r>
            <w:r>
              <w:rPr>
                <w:rFonts w:ascii="Times New Roman" w:eastAsia="Times New Roman"/>
                <w:sz w:val="21"/>
              </w:rPr>
              <w:t>3</w:t>
            </w:r>
            <w:r>
              <w:rPr>
                <w:sz w:val="21"/>
              </w:rPr>
              <w:t>）诊断须由肾组织活检确定。</w:t>
            </w:r>
          </w:p>
          <w:p>
            <w:pPr>
              <w:pStyle w:val="TableParagraph"/>
              <w:spacing w:before="1"/>
              <w:rPr>
                <w:rFonts w:ascii="黑体"/>
                <w:sz w:val="17"/>
              </w:rPr>
            </w:pPr>
          </w:p>
          <w:p>
            <w:pPr>
              <w:pStyle w:val="TableParagraph"/>
              <w:ind w:left="107"/>
              <w:rPr>
                <w:rFonts w:ascii="黑体" w:eastAsia="黑体" w:hint="eastAsia"/>
                <w:sz w:val="21"/>
              </w:rPr>
            </w:pPr>
            <w:r>
              <w:rPr>
                <w:rFonts w:ascii="黑体" w:eastAsia="黑体" w:hint="eastAsia"/>
                <w:sz w:val="21"/>
              </w:rPr>
              <w:t>其它的肾脏囊性病变不在保障范围内。</w:t>
            </w:r>
          </w:p>
        </w:tc>
      </w:tr>
      <w:tr>
        <w:trPr>
          <w:trHeight w:val="787" w:hRule="atLeast"/>
        </w:trPr>
        <w:tc>
          <w:tcPr>
            <w:tcW w:w="1789" w:type="dxa"/>
          </w:tcPr>
          <w:p>
            <w:pPr>
              <w:pStyle w:val="TableParagraph"/>
              <w:spacing w:before="90"/>
              <w:ind w:left="200"/>
              <w:rPr>
                <w:b/>
                <w:sz w:val="21"/>
              </w:rPr>
            </w:pPr>
            <w:r>
              <w:rPr>
                <w:rFonts w:ascii="Times New Roman" w:eastAsia="Times New Roman"/>
                <w:b/>
                <w:sz w:val="21"/>
              </w:rPr>
              <w:t>36.</w:t>
            </w:r>
            <w:r>
              <w:rPr>
                <w:b/>
                <w:sz w:val="21"/>
              </w:rPr>
              <w:t>小肠移植</w:t>
            </w:r>
          </w:p>
        </w:tc>
        <w:tc>
          <w:tcPr>
            <w:tcW w:w="7162" w:type="dxa"/>
          </w:tcPr>
          <w:p>
            <w:pPr>
              <w:pStyle w:val="TableParagraph"/>
              <w:spacing w:before="90"/>
              <w:ind w:left="107" w:right="305"/>
              <w:rPr>
                <w:sz w:val="21"/>
              </w:rPr>
            </w:pPr>
            <w:r>
              <w:rPr>
                <w:sz w:val="21"/>
              </w:rPr>
              <w:t>指因肠道疾病或外伤，已经实施了在全身麻醉下进行的小肠的异体器官移植手术。此手术必须由专科医生认为是医学上必需的情况下进行。</w:t>
            </w:r>
          </w:p>
        </w:tc>
      </w:tr>
      <w:tr>
        <w:trPr>
          <w:trHeight w:val="3751" w:hRule="atLeast"/>
        </w:trPr>
        <w:tc>
          <w:tcPr>
            <w:tcW w:w="1789" w:type="dxa"/>
          </w:tcPr>
          <w:p>
            <w:pPr>
              <w:pStyle w:val="TableParagraph"/>
              <w:spacing w:line="223" w:lineRule="auto" w:before="111"/>
              <w:ind w:left="200" w:right="269"/>
              <w:rPr>
                <w:b/>
                <w:sz w:val="21"/>
              </w:rPr>
            </w:pPr>
            <w:r>
              <w:rPr>
                <w:rFonts w:ascii="Times New Roman" w:eastAsia="Times New Roman"/>
                <w:b/>
                <w:sz w:val="21"/>
              </w:rPr>
              <w:t>37.</w:t>
            </w:r>
            <w:r>
              <w:rPr>
                <w:b/>
                <w:sz w:val="21"/>
              </w:rPr>
              <w:t>系统性硬皮病</w:t>
            </w:r>
          </w:p>
        </w:tc>
        <w:tc>
          <w:tcPr>
            <w:tcW w:w="7162" w:type="dxa"/>
          </w:tcPr>
          <w:p>
            <w:pPr>
              <w:pStyle w:val="TableParagraph"/>
              <w:spacing w:line="237" w:lineRule="auto" w:before="93"/>
              <w:ind w:left="107" w:right="305"/>
              <w:jc w:val="both"/>
              <w:rPr>
                <w:sz w:val="21"/>
              </w:rPr>
            </w:pPr>
            <w:r>
              <w:rPr>
                <w:sz w:val="21"/>
              </w:rPr>
              <w:t>指一种以局限性或弥漫性皮肤增厚和皮肤、血管、内脏器官异常纤维化为特征的结缔组织病。本病须经专科医生明确诊断，并须满足下列至少一项条件：</w:t>
            </w:r>
          </w:p>
          <w:p>
            <w:pPr>
              <w:pStyle w:val="TableParagraph"/>
              <w:spacing w:line="279" w:lineRule="exact"/>
              <w:ind w:left="107"/>
              <w:rPr>
                <w:sz w:val="21"/>
              </w:rPr>
            </w:pPr>
            <w:r>
              <w:rPr>
                <w:sz w:val="21"/>
              </w:rPr>
              <w:t>（</w:t>
            </w:r>
            <w:r>
              <w:rPr>
                <w:rFonts w:ascii="Times New Roman" w:eastAsia="Times New Roman"/>
                <w:sz w:val="21"/>
              </w:rPr>
              <w:t>1</w:t>
            </w:r>
            <w:r>
              <w:rPr>
                <w:sz w:val="21"/>
              </w:rPr>
              <w:t>）肺脏：肺部病变进而发展为肺间质纤维化和肺动脉高压；</w:t>
            </w:r>
          </w:p>
          <w:p>
            <w:pPr>
              <w:pStyle w:val="TableParagraph"/>
              <w:spacing w:line="230" w:lineRule="auto" w:before="3"/>
              <w:ind w:left="107" w:right="305"/>
              <w:jc w:val="both"/>
              <w:rPr>
                <w:sz w:val="21"/>
              </w:rPr>
            </w:pPr>
            <w:r>
              <w:rPr>
                <w:spacing w:val="-10"/>
                <w:sz w:val="21"/>
              </w:rPr>
              <w:t>（</w:t>
            </w:r>
            <w:r>
              <w:rPr>
                <w:rFonts w:ascii="Times New Roman" w:hAnsi="Times New Roman" w:eastAsia="Times New Roman"/>
                <w:spacing w:val="-10"/>
                <w:sz w:val="21"/>
              </w:rPr>
              <w:t>2</w:t>
            </w:r>
            <w:r>
              <w:rPr>
                <w:spacing w:val="-10"/>
                <w:sz w:val="21"/>
              </w:rPr>
              <w:t>）</w:t>
            </w:r>
            <w:r>
              <w:rPr>
                <w:spacing w:val="-7"/>
                <w:sz w:val="21"/>
              </w:rPr>
              <w:t>心脏：心功能受损达到美国纽约心脏病学会心功能状态分级</w:t>
            </w:r>
            <w:r>
              <w:rPr>
                <w:rFonts w:ascii="宋体" w:hAnsi="宋体" w:eastAsia="宋体" w:hint="eastAsia"/>
                <w:spacing w:val="-3"/>
                <w:sz w:val="21"/>
              </w:rPr>
              <w:t>Ⅳ</w:t>
            </w:r>
            <w:r>
              <w:rPr>
                <w:spacing w:val="-19"/>
                <w:sz w:val="21"/>
              </w:rPr>
              <w:t>级，且</w:t>
            </w:r>
            <w:r>
              <w:rPr>
                <w:spacing w:val="-3"/>
                <w:sz w:val="21"/>
              </w:rPr>
              <w:t>有医院的医疗记录显示病人不能进行任何活动，同时休息时仍有心悸、呼吸困难等心力衰竭表现；</w:t>
            </w:r>
          </w:p>
          <w:p>
            <w:pPr>
              <w:pStyle w:val="TableParagraph"/>
              <w:spacing w:line="287" w:lineRule="exact"/>
              <w:ind w:left="107"/>
              <w:jc w:val="both"/>
              <w:rPr>
                <w:sz w:val="21"/>
              </w:rPr>
            </w:pPr>
            <w:r>
              <w:rPr>
                <w:sz w:val="21"/>
              </w:rPr>
              <w:t>（</w:t>
            </w:r>
            <w:r>
              <w:rPr>
                <w:rFonts w:ascii="Times New Roman" w:eastAsia="Times New Roman"/>
                <w:sz w:val="21"/>
              </w:rPr>
              <w:t>3</w:t>
            </w:r>
            <w:r>
              <w:rPr>
                <w:sz w:val="21"/>
              </w:rPr>
              <w:t>）肾脏：肾脏受损导致双肾功能慢性不可逆衰竭，达到尿毒症期。</w:t>
            </w:r>
          </w:p>
          <w:p>
            <w:pPr>
              <w:pStyle w:val="TableParagraph"/>
              <w:spacing w:before="1"/>
              <w:rPr>
                <w:rFonts w:ascii="黑体"/>
                <w:sz w:val="17"/>
              </w:rPr>
            </w:pPr>
          </w:p>
          <w:p>
            <w:pPr>
              <w:pStyle w:val="TableParagraph"/>
              <w:spacing w:line="274" w:lineRule="exact"/>
              <w:ind w:left="107"/>
              <w:jc w:val="both"/>
              <w:rPr>
                <w:rFonts w:ascii="黑体" w:eastAsia="黑体" w:hint="eastAsia"/>
                <w:sz w:val="21"/>
              </w:rPr>
            </w:pPr>
            <w:r>
              <w:rPr>
                <w:rFonts w:ascii="黑体" w:eastAsia="黑体" w:hint="eastAsia"/>
                <w:sz w:val="21"/>
              </w:rPr>
              <w:t>下列疾病不在保障范围内：</w:t>
            </w:r>
          </w:p>
          <w:p>
            <w:pPr>
              <w:pStyle w:val="TableParagraph"/>
              <w:spacing w:line="272" w:lineRule="exact"/>
              <w:ind w:left="107"/>
              <w:jc w:val="both"/>
              <w:rPr>
                <w:rFonts w:ascii="黑体" w:eastAsia="黑体" w:hint="eastAsia"/>
                <w:sz w:val="21"/>
              </w:rPr>
            </w:pPr>
            <w:r>
              <w:rPr>
                <w:rFonts w:ascii="黑体" w:eastAsia="黑体" w:hint="eastAsia"/>
                <w:w w:val="100"/>
                <w:sz w:val="21"/>
              </w:rPr>
              <w:t>（1</w:t>
            </w:r>
            <w:r>
              <w:rPr>
                <w:rFonts w:ascii="黑体" w:eastAsia="黑体" w:hint="eastAsia"/>
                <w:spacing w:val="-3"/>
                <w:w w:val="100"/>
                <w:sz w:val="21"/>
              </w:rPr>
              <w:t>）局限性硬皮病</w:t>
            </w:r>
            <w:r>
              <w:rPr>
                <w:rFonts w:ascii="黑体" w:eastAsia="黑体" w:hint="eastAsia"/>
                <w:w w:val="100"/>
                <w:sz w:val="21"/>
              </w:rPr>
              <w:t>（</w:t>
            </w:r>
            <w:r>
              <w:rPr>
                <w:rFonts w:ascii="黑体" w:eastAsia="黑体" w:hint="eastAsia"/>
                <w:spacing w:val="-3"/>
                <w:w w:val="100"/>
                <w:sz w:val="21"/>
              </w:rPr>
              <w:t>包括带状硬皮病、硬斑病</w:t>
            </w:r>
            <w:r>
              <w:rPr>
                <w:rFonts w:ascii="黑体" w:eastAsia="黑体" w:hint="eastAsia"/>
                <w:spacing w:val="-106"/>
                <w:w w:val="100"/>
                <w:sz w:val="21"/>
              </w:rPr>
              <w:t>）</w:t>
            </w:r>
            <w:r>
              <w:rPr>
                <w:rFonts w:ascii="黑体" w:eastAsia="黑体" w:hint="eastAsia"/>
                <w:w w:val="100"/>
                <w:sz w:val="21"/>
              </w:rPr>
              <w:t>；</w:t>
            </w:r>
          </w:p>
          <w:p>
            <w:pPr>
              <w:pStyle w:val="TableParagraph"/>
              <w:spacing w:line="272" w:lineRule="exact"/>
              <w:ind w:left="107"/>
              <w:jc w:val="both"/>
              <w:rPr>
                <w:rFonts w:ascii="黑体" w:eastAsia="黑体" w:hint="eastAsia"/>
                <w:sz w:val="21"/>
              </w:rPr>
            </w:pPr>
            <w:r>
              <w:rPr>
                <w:rFonts w:ascii="黑体" w:eastAsia="黑体" w:hint="eastAsia"/>
                <w:sz w:val="21"/>
              </w:rPr>
              <w:t>（2）嗜酸细胞性筋膜炎；</w:t>
            </w:r>
          </w:p>
          <w:p>
            <w:pPr>
              <w:pStyle w:val="TableParagraph"/>
              <w:spacing w:line="274" w:lineRule="exact"/>
              <w:ind w:left="107"/>
              <w:jc w:val="both"/>
              <w:rPr>
                <w:rFonts w:ascii="黑体" w:eastAsia="黑体" w:hint="eastAsia"/>
                <w:sz w:val="21"/>
              </w:rPr>
            </w:pPr>
            <w:r>
              <w:rPr>
                <w:rFonts w:ascii="黑体" w:eastAsia="黑体" w:hint="eastAsia"/>
                <w:sz w:val="21"/>
              </w:rPr>
              <w:t>（3）CREST 综合征。</w:t>
            </w:r>
          </w:p>
        </w:tc>
      </w:tr>
      <w:tr>
        <w:trPr>
          <w:trHeight w:val="1329" w:hRule="atLeast"/>
        </w:trPr>
        <w:tc>
          <w:tcPr>
            <w:tcW w:w="1789" w:type="dxa"/>
          </w:tcPr>
          <w:p>
            <w:pPr>
              <w:pStyle w:val="TableParagraph"/>
              <w:spacing w:line="223" w:lineRule="auto" w:before="111"/>
              <w:ind w:left="200" w:right="269"/>
              <w:rPr>
                <w:b/>
                <w:sz w:val="21"/>
              </w:rPr>
            </w:pPr>
            <w:r>
              <w:rPr>
                <w:rFonts w:ascii="Times New Roman" w:eastAsia="Times New Roman"/>
                <w:b/>
                <w:sz w:val="21"/>
              </w:rPr>
              <w:t>38.</w:t>
            </w:r>
            <w:r>
              <w:rPr>
                <w:b/>
                <w:sz w:val="21"/>
              </w:rPr>
              <w:t>肺泡蛋白质沉积症</w:t>
            </w:r>
          </w:p>
        </w:tc>
        <w:tc>
          <w:tcPr>
            <w:tcW w:w="7162" w:type="dxa"/>
          </w:tcPr>
          <w:p>
            <w:pPr>
              <w:pStyle w:val="TableParagraph"/>
              <w:spacing w:line="228" w:lineRule="auto" w:before="105"/>
              <w:ind w:left="107" w:right="301"/>
              <w:jc w:val="both"/>
              <w:rPr>
                <w:sz w:val="21"/>
              </w:rPr>
            </w:pPr>
            <w:r>
              <w:rPr>
                <w:spacing w:val="-6"/>
                <w:sz w:val="21"/>
              </w:rPr>
              <w:t>指肺泡和细支气管腔内充满不可溶性富磷脂蛋白的疾病，胸部 </w:t>
            </w:r>
            <w:r>
              <w:rPr>
                <w:rFonts w:ascii="Times New Roman" w:eastAsia="Times New Roman"/>
                <w:sz w:val="21"/>
              </w:rPr>
              <w:t>X </w:t>
            </w:r>
            <w:r>
              <w:rPr>
                <w:spacing w:val="-3"/>
                <w:sz w:val="21"/>
              </w:rPr>
              <w:t>线呈双肺弥漫性肺部磨玻璃影，病理学检查肺泡内充满有过碘酸雪夫（</w:t>
            </w:r>
            <w:r>
              <w:rPr>
                <w:rFonts w:ascii="Times New Roman" w:eastAsia="Times New Roman"/>
                <w:spacing w:val="-3"/>
                <w:sz w:val="21"/>
              </w:rPr>
              <w:t>PAS</w:t>
            </w:r>
            <w:r>
              <w:rPr>
                <w:spacing w:val="-3"/>
                <w:sz w:val="21"/>
              </w:rPr>
              <w:t>）</w:t>
            </w:r>
            <w:r>
              <w:rPr>
                <w:sz w:val="21"/>
              </w:rPr>
              <w:t>染色</w:t>
            </w:r>
            <w:r>
              <w:rPr>
                <w:spacing w:val="-3"/>
                <w:sz w:val="21"/>
              </w:rPr>
              <w:t>阳性的蛋白样物质，本病必须由专科医生确诊，并且已经接受了肺灌洗治疗。</w:t>
            </w:r>
          </w:p>
        </w:tc>
      </w:tr>
      <w:tr>
        <w:trPr>
          <w:trHeight w:val="1885" w:hRule="atLeast"/>
        </w:trPr>
        <w:tc>
          <w:tcPr>
            <w:tcW w:w="1789" w:type="dxa"/>
          </w:tcPr>
          <w:p>
            <w:pPr>
              <w:pStyle w:val="TableParagraph"/>
              <w:spacing w:line="225" w:lineRule="auto" w:before="108"/>
              <w:ind w:left="200" w:right="269"/>
              <w:rPr>
                <w:b/>
                <w:sz w:val="21"/>
              </w:rPr>
            </w:pPr>
            <w:r>
              <w:rPr>
                <w:rFonts w:ascii="Times New Roman" w:eastAsia="Times New Roman"/>
                <w:b/>
                <w:sz w:val="21"/>
              </w:rPr>
              <w:t>39.</w:t>
            </w:r>
            <w:r>
              <w:rPr>
                <w:b/>
                <w:sz w:val="21"/>
              </w:rPr>
              <w:t>肺淋巴管肌瘤病</w:t>
            </w:r>
          </w:p>
        </w:tc>
        <w:tc>
          <w:tcPr>
            <w:tcW w:w="7162" w:type="dxa"/>
          </w:tcPr>
          <w:p>
            <w:pPr>
              <w:pStyle w:val="TableParagraph"/>
              <w:spacing w:line="237" w:lineRule="auto" w:before="93"/>
              <w:ind w:left="107" w:right="196"/>
              <w:jc w:val="both"/>
              <w:rPr>
                <w:sz w:val="21"/>
              </w:rPr>
            </w:pPr>
            <w:r>
              <w:rPr>
                <w:spacing w:val="-8"/>
                <w:sz w:val="21"/>
              </w:rPr>
              <w:t>肺淋巴管肌瘤病是一种弥漫性肺部疾病，主要病理改变为肺间质、支气管、</w:t>
            </w:r>
            <w:r>
              <w:rPr>
                <w:spacing w:val="-9"/>
                <w:sz w:val="21"/>
              </w:rPr>
              <w:t>血管和淋巴管内出现未成熟的平滑肌异常增生，本病必须由专科医生确诊， </w:t>
            </w:r>
            <w:r>
              <w:rPr>
                <w:spacing w:val="-5"/>
                <w:sz w:val="21"/>
              </w:rPr>
              <w:t>并且同时须满足下列全部条件：</w:t>
            </w:r>
          </w:p>
          <w:p>
            <w:pPr>
              <w:pStyle w:val="TableParagraph"/>
              <w:spacing w:line="280" w:lineRule="exact"/>
              <w:ind w:left="107"/>
              <w:jc w:val="both"/>
              <w:rPr>
                <w:sz w:val="21"/>
              </w:rPr>
            </w:pPr>
            <w:r>
              <w:rPr>
                <w:sz w:val="21"/>
              </w:rPr>
              <w:t>（</w:t>
            </w:r>
            <w:r>
              <w:rPr>
                <w:rFonts w:ascii="Times New Roman" w:eastAsia="Times New Roman"/>
                <w:sz w:val="21"/>
              </w:rPr>
              <w:t>1</w:t>
            </w:r>
            <w:r>
              <w:rPr>
                <w:sz w:val="21"/>
              </w:rPr>
              <w:t>）经组织病理学诊断；</w:t>
            </w:r>
          </w:p>
          <w:p>
            <w:pPr>
              <w:pStyle w:val="TableParagraph"/>
              <w:spacing w:line="272" w:lineRule="exact"/>
              <w:ind w:left="107"/>
              <w:jc w:val="both"/>
              <w:rPr>
                <w:sz w:val="21"/>
              </w:rPr>
            </w:pPr>
            <w:r>
              <w:rPr>
                <w:sz w:val="21"/>
              </w:rPr>
              <w:t>（</w:t>
            </w:r>
            <w:r>
              <w:rPr>
                <w:rFonts w:ascii="Times New Roman" w:eastAsia="Times New Roman"/>
                <w:sz w:val="21"/>
              </w:rPr>
              <w:t>2</w:t>
            </w:r>
            <w:r>
              <w:rPr>
                <w:sz w:val="21"/>
              </w:rPr>
              <w:t>）断层扫描（</w:t>
            </w:r>
            <w:r>
              <w:rPr>
                <w:rFonts w:ascii="Times New Roman" w:eastAsia="Times New Roman"/>
                <w:sz w:val="21"/>
              </w:rPr>
              <w:t>CT</w:t>
            </w:r>
            <w:r>
              <w:rPr>
                <w:sz w:val="21"/>
              </w:rPr>
              <w:t>）显示双肺弥漫性囊性改变；</w:t>
            </w:r>
          </w:p>
          <w:p>
            <w:pPr>
              <w:pStyle w:val="TableParagraph"/>
              <w:spacing w:line="282" w:lineRule="exact"/>
              <w:ind w:left="107"/>
              <w:jc w:val="both"/>
              <w:rPr>
                <w:sz w:val="21"/>
              </w:rPr>
            </w:pPr>
            <w:r>
              <w:rPr>
                <w:sz w:val="21"/>
              </w:rPr>
              <w:t>（</w:t>
            </w:r>
            <w:r>
              <w:rPr>
                <w:rFonts w:ascii="Times New Roman" w:eastAsia="Times New Roman"/>
                <w:sz w:val="21"/>
              </w:rPr>
              <w:t>3</w:t>
            </w:r>
            <w:r>
              <w:rPr>
                <w:sz w:val="21"/>
              </w:rPr>
              <w:t>）血气分析提示低氧血症。</w:t>
            </w:r>
          </w:p>
        </w:tc>
      </w:tr>
      <w:tr>
        <w:trPr>
          <w:trHeight w:val="628" w:hRule="atLeast"/>
        </w:trPr>
        <w:tc>
          <w:tcPr>
            <w:tcW w:w="1789" w:type="dxa"/>
          </w:tcPr>
          <w:p>
            <w:pPr>
              <w:pStyle w:val="TableParagraph"/>
              <w:spacing w:before="82"/>
              <w:ind w:left="200"/>
              <w:rPr>
                <w:b/>
                <w:sz w:val="21"/>
              </w:rPr>
            </w:pPr>
            <w:r>
              <w:rPr>
                <w:rFonts w:ascii="Times New Roman" w:eastAsia="Times New Roman"/>
                <w:b/>
                <w:sz w:val="21"/>
              </w:rPr>
              <w:t>40.</w:t>
            </w:r>
            <w:r>
              <w:rPr>
                <w:b/>
                <w:sz w:val="21"/>
              </w:rPr>
              <w:t>严重心肌炎</w:t>
            </w:r>
          </w:p>
        </w:tc>
        <w:tc>
          <w:tcPr>
            <w:tcW w:w="7162" w:type="dxa"/>
          </w:tcPr>
          <w:p>
            <w:pPr>
              <w:pStyle w:val="TableParagraph"/>
              <w:spacing w:line="272" w:lineRule="exact" w:before="110"/>
              <w:ind w:left="107" w:right="305"/>
              <w:rPr>
                <w:sz w:val="21"/>
              </w:rPr>
            </w:pPr>
            <w:r>
              <w:rPr>
                <w:sz w:val="21"/>
              </w:rPr>
              <w:t>指被保险人因严重心肌炎性病变导致心功能损害造成持续的永久不可逆性的心功能衰竭。必须满足所有以下条件：</w:t>
            </w:r>
          </w:p>
        </w:tc>
      </w:tr>
    </w:tbl>
    <w:p>
      <w:pPr>
        <w:spacing w:after="0" w:line="272" w:lineRule="exact"/>
        <w:rPr>
          <w:sz w:val="21"/>
        </w:rPr>
        <w:sectPr>
          <w:pgSz w:w="11910" w:h="16840"/>
          <w:pgMar w:top="1060" w:bottom="280" w:left="1420" w:right="13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7"/>
        <w:gridCol w:w="7245"/>
      </w:tblGrid>
      <w:tr>
        <w:trPr>
          <w:trHeight w:val="1455" w:hRule="atLeast"/>
        </w:trPr>
        <w:tc>
          <w:tcPr>
            <w:tcW w:w="1707" w:type="dxa"/>
          </w:tcPr>
          <w:p>
            <w:pPr>
              <w:pStyle w:val="TableParagraph"/>
              <w:rPr>
                <w:rFonts w:ascii="Times New Roman"/>
                <w:sz w:val="20"/>
              </w:rPr>
            </w:pPr>
          </w:p>
        </w:tc>
        <w:tc>
          <w:tcPr>
            <w:tcW w:w="7245" w:type="dxa"/>
          </w:tcPr>
          <w:p>
            <w:pPr>
              <w:pStyle w:val="TableParagraph"/>
              <w:spacing w:line="224" w:lineRule="exact"/>
              <w:ind w:left="189"/>
              <w:rPr>
                <w:sz w:val="21"/>
              </w:rPr>
            </w:pPr>
            <w:r>
              <w:rPr>
                <w:sz w:val="21"/>
              </w:rPr>
              <w:t>（</w:t>
            </w:r>
            <w:r>
              <w:rPr>
                <w:rFonts w:ascii="Times New Roman" w:hAnsi="Times New Roman" w:eastAsia="Times New Roman"/>
                <w:sz w:val="21"/>
              </w:rPr>
              <w:t>1</w:t>
            </w:r>
            <w:r>
              <w:rPr>
                <w:sz w:val="21"/>
              </w:rPr>
              <w:t>）心功能衰竭程度达到美国纽约心脏病学会心功能状态分级</w:t>
            </w:r>
            <w:r>
              <w:rPr>
                <w:rFonts w:ascii="宋体" w:hAnsi="宋体" w:eastAsia="宋体" w:hint="eastAsia"/>
                <w:sz w:val="21"/>
              </w:rPr>
              <w:t>Ⅳ</w:t>
            </w:r>
            <w:r>
              <w:rPr>
                <w:sz w:val="21"/>
              </w:rPr>
              <w:t>级，或左</w:t>
            </w:r>
          </w:p>
          <w:p>
            <w:pPr>
              <w:pStyle w:val="TableParagraph"/>
              <w:spacing w:line="272" w:lineRule="exact"/>
              <w:ind w:left="189"/>
              <w:rPr>
                <w:sz w:val="21"/>
              </w:rPr>
            </w:pPr>
            <w:r>
              <w:rPr>
                <w:sz w:val="21"/>
              </w:rPr>
              <w:t>室射血分数低于 </w:t>
            </w:r>
            <w:r>
              <w:rPr>
                <w:rFonts w:ascii="Times New Roman" w:eastAsia="Times New Roman"/>
                <w:sz w:val="21"/>
              </w:rPr>
              <w:t>30%</w:t>
            </w:r>
            <w:r>
              <w:rPr>
                <w:sz w:val="21"/>
              </w:rPr>
              <w:t>；</w:t>
            </w:r>
          </w:p>
          <w:p>
            <w:pPr>
              <w:pStyle w:val="TableParagraph"/>
              <w:spacing w:line="273" w:lineRule="exact"/>
              <w:ind w:left="189"/>
              <w:rPr>
                <w:sz w:val="21"/>
              </w:rPr>
            </w:pPr>
            <w:r>
              <w:rPr>
                <w:sz w:val="21"/>
              </w:rPr>
              <w:t>（</w:t>
            </w:r>
            <w:r>
              <w:rPr>
                <w:rFonts w:ascii="Times New Roman" w:eastAsia="Times New Roman"/>
                <w:sz w:val="21"/>
              </w:rPr>
              <w:t>2</w:t>
            </w:r>
            <w:r>
              <w:rPr>
                <w:sz w:val="21"/>
              </w:rPr>
              <w:t>）上述情况持续不间断 </w:t>
            </w:r>
            <w:r>
              <w:rPr>
                <w:rFonts w:ascii="Times New Roman" w:eastAsia="Times New Roman"/>
                <w:sz w:val="21"/>
              </w:rPr>
              <w:t>180 </w:t>
            </w:r>
            <w:r>
              <w:rPr>
                <w:sz w:val="21"/>
              </w:rPr>
              <w:t>天以上；</w:t>
            </w:r>
          </w:p>
          <w:p>
            <w:pPr>
              <w:pStyle w:val="TableParagraph"/>
              <w:spacing w:line="225" w:lineRule="auto" w:before="8"/>
              <w:ind w:left="189" w:right="197"/>
              <w:rPr>
                <w:sz w:val="21"/>
              </w:rPr>
            </w:pPr>
            <w:r>
              <w:rPr>
                <w:w w:val="100"/>
                <w:sz w:val="21"/>
              </w:rPr>
              <w:t>（</w:t>
            </w:r>
            <w:r>
              <w:rPr>
                <w:rFonts w:ascii="Times New Roman" w:eastAsia="Times New Roman"/>
                <w:w w:val="100"/>
                <w:sz w:val="21"/>
              </w:rPr>
              <w:t>3</w:t>
            </w:r>
            <w:r>
              <w:rPr>
                <w:spacing w:val="-94"/>
                <w:w w:val="100"/>
                <w:sz w:val="21"/>
              </w:rPr>
              <w:t>）</w:t>
            </w:r>
            <w:r>
              <w:rPr>
                <w:spacing w:val="-8"/>
                <w:w w:val="100"/>
                <w:sz w:val="21"/>
              </w:rPr>
              <w:t>被保险人永久不可逆性的体力活动能力受限，不能从事任何体力活动，</w:t>
            </w:r>
            <w:r>
              <w:rPr>
                <w:spacing w:val="-3"/>
                <w:sz w:val="21"/>
              </w:rPr>
              <w:t>且休息时仍有心悸、呼吸困难等心力衰竭表现。</w:t>
            </w:r>
          </w:p>
        </w:tc>
      </w:tr>
      <w:tr>
        <w:trPr>
          <w:trHeight w:val="2661" w:hRule="atLeast"/>
        </w:trPr>
        <w:tc>
          <w:tcPr>
            <w:tcW w:w="1707" w:type="dxa"/>
          </w:tcPr>
          <w:p>
            <w:pPr>
              <w:pStyle w:val="TableParagraph"/>
              <w:spacing w:line="223" w:lineRule="auto" w:before="111"/>
              <w:ind w:left="200" w:right="187"/>
              <w:rPr>
                <w:b/>
                <w:sz w:val="21"/>
              </w:rPr>
            </w:pPr>
            <w:r>
              <w:rPr>
                <w:rFonts w:ascii="Times New Roman" w:eastAsia="Times New Roman"/>
                <w:b/>
                <w:sz w:val="21"/>
              </w:rPr>
              <w:t>41.</w:t>
            </w:r>
            <w:r>
              <w:rPr>
                <w:b/>
                <w:sz w:val="21"/>
              </w:rPr>
              <w:t>严重肺源性心脏病</w:t>
            </w:r>
          </w:p>
        </w:tc>
        <w:tc>
          <w:tcPr>
            <w:tcW w:w="7245" w:type="dxa"/>
          </w:tcPr>
          <w:p>
            <w:pPr>
              <w:pStyle w:val="TableParagraph"/>
              <w:spacing w:line="237" w:lineRule="auto" w:before="93"/>
              <w:ind w:left="189" w:right="197"/>
              <w:rPr>
                <w:sz w:val="21"/>
              </w:rPr>
            </w:pPr>
            <w:r>
              <w:rPr>
                <w:spacing w:val="-3"/>
                <w:sz w:val="21"/>
              </w:rPr>
              <w:t>指由于各种胸肺及支气管病变而导致继发性肺动脉压力持续增高，导致右心室肥厚，已经造成永久不可逆性的体力活动能力受限，达到美国纽约心脏病学会心功能状态分级</w:t>
            </w:r>
            <w:r>
              <w:rPr>
                <w:rFonts w:ascii="宋体" w:hAnsi="宋体" w:eastAsia="宋体" w:hint="eastAsia"/>
                <w:sz w:val="21"/>
              </w:rPr>
              <w:t>Ⅳ</w:t>
            </w:r>
            <w:r>
              <w:rPr>
                <w:spacing w:val="-3"/>
                <w:sz w:val="21"/>
              </w:rPr>
              <w:t>级，且满足以下全部条件：有医院的医疗记录</w:t>
            </w:r>
            <w:r>
              <w:rPr>
                <w:spacing w:val="-8"/>
                <w:sz w:val="21"/>
              </w:rPr>
              <w:t>显示病人不能进行任何活动，休息时仍有心悸、呼吸困难等心力衰竭表现。本病必须由呼吸科或者心脏专科的专科医生确诊，并且心导管检查显示静息状态下肺动脉平均压超过 </w:t>
            </w:r>
            <w:r>
              <w:rPr>
                <w:rFonts w:ascii="Times New Roman" w:hAnsi="Times New Roman" w:eastAsia="Times New Roman"/>
                <w:sz w:val="21"/>
              </w:rPr>
              <w:t>40mmHg</w:t>
            </w:r>
            <w:r>
              <w:rPr>
                <w:sz w:val="21"/>
              </w:rPr>
              <w:t>。</w:t>
            </w:r>
          </w:p>
          <w:p>
            <w:pPr>
              <w:pStyle w:val="TableParagraph"/>
              <w:spacing w:before="13"/>
              <w:rPr>
                <w:rFonts w:ascii="黑体"/>
                <w:sz w:val="16"/>
              </w:rPr>
            </w:pPr>
          </w:p>
          <w:p>
            <w:pPr>
              <w:pStyle w:val="TableParagraph"/>
              <w:ind w:left="189" w:right="305"/>
              <w:rPr>
                <w:rFonts w:ascii="黑体" w:eastAsia="黑体" w:hint="eastAsia"/>
                <w:sz w:val="21"/>
              </w:rPr>
            </w:pPr>
            <w:r>
              <w:rPr>
                <w:rFonts w:ascii="黑体" w:eastAsia="黑体" w:hint="eastAsia"/>
                <w:sz w:val="21"/>
              </w:rPr>
              <w:t>所有原发性肺动脉高压不在保障范围内。所有先天性心脏疾病直接或间接引起的肺动脉高压也不在保障范围内。</w:t>
            </w:r>
          </w:p>
        </w:tc>
      </w:tr>
      <w:tr>
        <w:trPr>
          <w:trHeight w:val="1330" w:hRule="atLeast"/>
        </w:trPr>
        <w:tc>
          <w:tcPr>
            <w:tcW w:w="1707" w:type="dxa"/>
          </w:tcPr>
          <w:p>
            <w:pPr>
              <w:pStyle w:val="TableParagraph"/>
              <w:spacing w:line="223" w:lineRule="auto" w:before="111"/>
              <w:ind w:left="200" w:right="187"/>
              <w:rPr>
                <w:b/>
                <w:sz w:val="21"/>
              </w:rPr>
            </w:pPr>
            <w:r>
              <w:rPr>
                <w:rFonts w:ascii="Times New Roman" w:eastAsia="Times New Roman"/>
                <w:b/>
                <w:sz w:val="21"/>
              </w:rPr>
              <w:t>42.</w:t>
            </w:r>
            <w:r>
              <w:rPr>
                <w:b/>
                <w:sz w:val="21"/>
              </w:rPr>
              <w:t>夹层主动脉瘤</w:t>
            </w:r>
          </w:p>
        </w:tc>
        <w:tc>
          <w:tcPr>
            <w:tcW w:w="7245" w:type="dxa"/>
          </w:tcPr>
          <w:p>
            <w:pPr>
              <w:pStyle w:val="TableParagraph"/>
              <w:spacing w:line="228" w:lineRule="auto" w:before="104"/>
              <w:ind w:left="189" w:right="302"/>
              <w:jc w:val="both"/>
              <w:rPr>
                <w:sz w:val="21"/>
              </w:rPr>
            </w:pPr>
            <w:r>
              <w:rPr>
                <w:spacing w:val="1"/>
                <w:sz w:val="21"/>
              </w:rPr>
              <w:t>指主动脉腔内的血流通过主动脉内膜的破裂口进入主动脉内壁而形成血</w:t>
            </w:r>
            <w:r>
              <w:rPr>
                <w:spacing w:val="-3"/>
                <w:sz w:val="21"/>
              </w:rPr>
              <w:t>肿。被保险人需通过断层扫描</w:t>
            </w:r>
            <w:r>
              <w:rPr>
                <w:sz w:val="21"/>
              </w:rPr>
              <w:t>（</w:t>
            </w:r>
            <w:r>
              <w:rPr>
                <w:rFonts w:ascii="Times New Roman" w:eastAsia="Times New Roman"/>
                <w:sz w:val="21"/>
              </w:rPr>
              <w:t>CT</w:t>
            </w:r>
            <w:r>
              <w:rPr>
                <w:sz w:val="21"/>
              </w:rPr>
              <w:t>）</w:t>
            </w:r>
            <w:r>
              <w:rPr>
                <w:spacing w:val="-3"/>
                <w:sz w:val="21"/>
              </w:rPr>
              <w:t>、核磁共振检查</w:t>
            </w:r>
            <w:r>
              <w:rPr>
                <w:sz w:val="21"/>
              </w:rPr>
              <w:t>（</w:t>
            </w:r>
            <w:r>
              <w:rPr>
                <w:rFonts w:ascii="Times New Roman" w:eastAsia="Times New Roman"/>
                <w:sz w:val="21"/>
              </w:rPr>
              <w:t>MRI</w:t>
            </w:r>
            <w:r>
              <w:rPr>
                <w:sz w:val="21"/>
              </w:rPr>
              <w:t>）</w:t>
            </w:r>
            <w:r>
              <w:rPr>
                <w:spacing w:val="-3"/>
                <w:sz w:val="21"/>
              </w:rPr>
              <w:t>、磁共振血</w:t>
            </w:r>
            <w:r>
              <w:rPr>
                <w:spacing w:val="-5"/>
                <w:sz w:val="21"/>
              </w:rPr>
              <w:t>管检验法</w:t>
            </w:r>
            <w:r>
              <w:rPr>
                <w:spacing w:val="-3"/>
                <w:sz w:val="21"/>
              </w:rPr>
              <w:t>（</w:t>
            </w:r>
            <w:r>
              <w:rPr>
                <w:rFonts w:ascii="Times New Roman" w:eastAsia="Times New Roman"/>
                <w:spacing w:val="-3"/>
                <w:sz w:val="21"/>
              </w:rPr>
              <w:t>MRA</w:t>
            </w:r>
            <w:r>
              <w:rPr>
                <w:spacing w:val="-3"/>
                <w:sz w:val="21"/>
              </w:rPr>
              <w:t>）</w:t>
            </w:r>
            <w:r>
              <w:rPr>
                <w:spacing w:val="-5"/>
                <w:sz w:val="21"/>
              </w:rPr>
              <w:t>或血管扫描等检查，由专科医生确诊，并且已经实施了</w:t>
            </w:r>
            <w:r>
              <w:rPr>
                <w:spacing w:val="-4"/>
                <w:sz w:val="21"/>
              </w:rPr>
              <w:t>胸腹切开的直视主动脉手术。</w:t>
            </w:r>
          </w:p>
        </w:tc>
      </w:tr>
      <w:tr>
        <w:trPr>
          <w:trHeight w:val="1603" w:hRule="atLeast"/>
        </w:trPr>
        <w:tc>
          <w:tcPr>
            <w:tcW w:w="1707" w:type="dxa"/>
          </w:tcPr>
          <w:p>
            <w:pPr>
              <w:pStyle w:val="TableParagraph"/>
              <w:spacing w:line="225" w:lineRule="auto" w:before="108"/>
              <w:ind w:left="200" w:right="187"/>
              <w:rPr>
                <w:b/>
                <w:sz w:val="21"/>
              </w:rPr>
            </w:pPr>
            <w:r>
              <w:rPr>
                <w:rFonts w:ascii="Times New Roman" w:eastAsia="Times New Roman"/>
                <w:b/>
                <w:sz w:val="21"/>
              </w:rPr>
              <w:t>43.</w:t>
            </w:r>
            <w:r>
              <w:rPr>
                <w:b/>
                <w:sz w:val="21"/>
              </w:rPr>
              <w:t>艾森曼格综合征</w:t>
            </w:r>
          </w:p>
        </w:tc>
        <w:tc>
          <w:tcPr>
            <w:tcW w:w="7245" w:type="dxa"/>
          </w:tcPr>
          <w:p>
            <w:pPr>
              <w:pStyle w:val="TableParagraph"/>
              <w:spacing w:line="237" w:lineRule="auto" w:before="93"/>
              <w:ind w:left="189" w:right="197"/>
              <w:rPr>
                <w:sz w:val="21"/>
              </w:rPr>
            </w:pPr>
            <w:r>
              <w:rPr>
                <w:spacing w:val="-3"/>
                <w:sz w:val="21"/>
              </w:rPr>
              <w:t>因先天性心脏病而引起严重肺动脉高压及右向左分流，皮肤黏膜从无青紫发展至有青紫。本病的诊断必须由专科医生经超声波心动图和心导管等检查确诊，并且心功能衰竭程度达到美国纽约心脏病学会心功能状态分级</w:t>
            </w:r>
            <w:r>
              <w:rPr>
                <w:rFonts w:ascii="宋体" w:hAnsi="宋体" w:eastAsia="宋体" w:hint="eastAsia"/>
                <w:sz w:val="21"/>
              </w:rPr>
              <w:t>Ⅳ </w:t>
            </w:r>
            <w:r>
              <w:rPr>
                <w:spacing w:val="-11"/>
                <w:sz w:val="21"/>
              </w:rPr>
              <w:t>级，且满足以下全部条件：有医院的医疗记录显示病人不能进行任何活动， </w:t>
            </w:r>
            <w:r>
              <w:rPr>
                <w:spacing w:val="-6"/>
                <w:sz w:val="21"/>
              </w:rPr>
              <w:t>休息时仍有心悸、呼吸困难等心力衰竭表现。</w:t>
            </w:r>
          </w:p>
        </w:tc>
      </w:tr>
      <w:tr>
        <w:trPr>
          <w:trHeight w:val="3206" w:hRule="atLeast"/>
        </w:trPr>
        <w:tc>
          <w:tcPr>
            <w:tcW w:w="1707" w:type="dxa"/>
          </w:tcPr>
          <w:p>
            <w:pPr>
              <w:pStyle w:val="TableParagraph"/>
              <w:spacing w:line="225" w:lineRule="auto" w:before="108"/>
              <w:ind w:left="200" w:right="187"/>
              <w:rPr>
                <w:b/>
                <w:sz w:val="21"/>
              </w:rPr>
            </w:pPr>
            <w:r>
              <w:rPr>
                <w:rFonts w:ascii="Times New Roman" w:eastAsia="Times New Roman"/>
                <w:b/>
                <w:sz w:val="21"/>
              </w:rPr>
              <w:t>44.</w:t>
            </w:r>
            <w:r>
              <w:rPr>
                <w:b/>
                <w:sz w:val="21"/>
              </w:rPr>
              <w:t>严重慢性缩窄型心包炎</w:t>
            </w:r>
          </w:p>
        </w:tc>
        <w:tc>
          <w:tcPr>
            <w:tcW w:w="7245" w:type="dxa"/>
          </w:tcPr>
          <w:p>
            <w:pPr>
              <w:pStyle w:val="TableParagraph"/>
              <w:spacing w:line="237" w:lineRule="auto" w:before="93"/>
              <w:ind w:left="189" w:right="305"/>
              <w:jc w:val="both"/>
              <w:rPr>
                <w:sz w:val="21"/>
              </w:rPr>
            </w:pPr>
            <w:r>
              <w:rPr>
                <w:sz w:val="21"/>
              </w:rPr>
              <w:t>由于慢性心包炎症导致心包脏层和壁层广泛瘢痕粘连、增厚和钙化，心包腔闭塞，形成一个纤维瘢痕外壳，使心脏和大血管根部受压，阻碍心脏的舒张。被保险人被专科医生明确诊断为慢性缩窄型心包炎且必须满足以下所有条件：</w:t>
            </w:r>
          </w:p>
          <w:p>
            <w:pPr>
              <w:pStyle w:val="TableParagraph"/>
              <w:spacing w:line="230" w:lineRule="auto" w:before="8"/>
              <w:ind w:left="189" w:right="302"/>
              <w:jc w:val="both"/>
              <w:rPr>
                <w:sz w:val="21"/>
              </w:rPr>
            </w:pPr>
            <w:r>
              <w:rPr>
                <w:spacing w:val="-14"/>
                <w:sz w:val="21"/>
              </w:rPr>
              <w:t>（</w:t>
            </w:r>
            <w:r>
              <w:rPr>
                <w:rFonts w:ascii="Times New Roman" w:hAnsi="Times New Roman" w:eastAsia="Times New Roman"/>
                <w:spacing w:val="-14"/>
                <w:sz w:val="21"/>
              </w:rPr>
              <w:t>1</w:t>
            </w:r>
            <w:r>
              <w:rPr>
                <w:spacing w:val="-14"/>
                <w:sz w:val="21"/>
              </w:rPr>
              <w:t>）</w:t>
            </w:r>
            <w:r>
              <w:rPr>
                <w:spacing w:val="-5"/>
                <w:sz w:val="21"/>
              </w:rPr>
              <w:t>心功能衰竭达到美国纽约心脏病学会心功能状态分级Ⅳ级，且满足以下全部条件：有医院的医疗记录显示病人不能进行任何活动，休息时仍有</w:t>
            </w:r>
            <w:r>
              <w:rPr>
                <w:spacing w:val="-6"/>
                <w:sz w:val="21"/>
              </w:rPr>
              <w:t>心悸、呼吸困难等心力衰竭表现，并持续 </w:t>
            </w:r>
            <w:r>
              <w:rPr>
                <w:rFonts w:ascii="Times New Roman" w:hAnsi="Times New Roman" w:eastAsia="Times New Roman"/>
                <w:sz w:val="21"/>
              </w:rPr>
              <w:t>180 </w:t>
            </w:r>
            <w:r>
              <w:rPr>
                <w:spacing w:val="-2"/>
                <w:sz w:val="21"/>
              </w:rPr>
              <w:t>天以上；</w:t>
            </w:r>
          </w:p>
          <w:p>
            <w:pPr>
              <w:pStyle w:val="TableParagraph"/>
              <w:spacing w:line="223" w:lineRule="auto" w:before="3"/>
              <w:ind w:left="189" w:right="305"/>
              <w:jc w:val="both"/>
              <w:rPr>
                <w:sz w:val="21"/>
              </w:rPr>
            </w:pPr>
            <w:r>
              <w:rPr>
                <w:spacing w:val="-14"/>
                <w:sz w:val="21"/>
              </w:rPr>
              <w:t>（</w:t>
            </w:r>
            <w:r>
              <w:rPr>
                <w:rFonts w:ascii="Times New Roman" w:eastAsia="Times New Roman"/>
                <w:spacing w:val="-14"/>
                <w:sz w:val="21"/>
              </w:rPr>
              <w:t>2</w:t>
            </w:r>
            <w:r>
              <w:rPr>
                <w:spacing w:val="-14"/>
                <w:sz w:val="21"/>
              </w:rPr>
              <w:t>）</w:t>
            </w:r>
            <w:r>
              <w:rPr>
                <w:spacing w:val="-5"/>
                <w:sz w:val="21"/>
              </w:rPr>
              <w:t>实际接受了以下任何一种手术路径的心包剥脱或心包切除手术：胸骨</w:t>
            </w:r>
            <w:r>
              <w:rPr>
                <w:spacing w:val="-3"/>
                <w:sz w:val="21"/>
              </w:rPr>
              <w:t>正中切口、双侧前胸切口或左前胸肋间切口。</w:t>
            </w:r>
          </w:p>
          <w:p>
            <w:pPr>
              <w:pStyle w:val="TableParagraph"/>
              <w:spacing w:before="2"/>
              <w:rPr>
                <w:rFonts w:ascii="黑体"/>
                <w:sz w:val="18"/>
              </w:rPr>
            </w:pPr>
          </w:p>
          <w:p>
            <w:pPr>
              <w:pStyle w:val="TableParagraph"/>
              <w:spacing w:before="1"/>
              <w:ind w:left="189"/>
              <w:jc w:val="both"/>
              <w:rPr>
                <w:rFonts w:ascii="黑体" w:eastAsia="黑体" w:hint="eastAsia"/>
                <w:sz w:val="21"/>
              </w:rPr>
            </w:pPr>
            <w:r>
              <w:rPr>
                <w:rFonts w:ascii="黑体" w:eastAsia="黑体" w:hint="eastAsia"/>
                <w:sz w:val="21"/>
              </w:rPr>
              <w:t>经胸腔镜、胸壁打孔进行的手术、心包粘连松解手术不在保障范围内。</w:t>
            </w:r>
          </w:p>
        </w:tc>
      </w:tr>
      <w:tr>
        <w:trPr>
          <w:trHeight w:val="3238" w:hRule="atLeast"/>
        </w:trPr>
        <w:tc>
          <w:tcPr>
            <w:tcW w:w="1707" w:type="dxa"/>
          </w:tcPr>
          <w:p>
            <w:pPr>
              <w:pStyle w:val="TableParagraph"/>
              <w:spacing w:line="225" w:lineRule="auto" w:before="108"/>
              <w:ind w:left="200" w:right="187"/>
              <w:rPr>
                <w:b/>
                <w:sz w:val="21"/>
              </w:rPr>
            </w:pPr>
            <w:r>
              <w:rPr>
                <w:rFonts w:ascii="Times New Roman" w:eastAsia="Times New Roman"/>
                <w:b/>
                <w:sz w:val="21"/>
              </w:rPr>
              <w:t>45.</w:t>
            </w:r>
            <w:r>
              <w:rPr>
                <w:b/>
                <w:sz w:val="21"/>
              </w:rPr>
              <w:t>严重传染性心内膜炎</w:t>
            </w:r>
          </w:p>
        </w:tc>
        <w:tc>
          <w:tcPr>
            <w:tcW w:w="7245" w:type="dxa"/>
          </w:tcPr>
          <w:p>
            <w:pPr>
              <w:pStyle w:val="TableParagraph"/>
              <w:spacing w:before="90"/>
              <w:ind w:left="189" w:right="305"/>
              <w:jc w:val="both"/>
              <w:rPr>
                <w:sz w:val="21"/>
              </w:rPr>
            </w:pPr>
            <w:r>
              <w:rPr>
                <w:sz w:val="21"/>
              </w:rPr>
              <w:t>指因感染性微生物造成心脏内膜发炎，经由专科医生确诊，并符合下列所有条件:</w:t>
            </w:r>
          </w:p>
          <w:p>
            <w:pPr>
              <w:pStyle w:val="TableParagraph"/>
              <w:spacing w:line="279" w:lineRule="exact"/>
              <w:ind w:left="189"/>
              <w:rPr>
                <w:sz w:val="21"/>
              </w:rPr>
            </w:pPr>
            <w:r>
              <w:rPr>
                <w:sz w:val="21"/>
              </w:rPr>
              <w:t>（</w:t>
            </w:r>
            <w:r>
              <w:rPr>
                <w:rFonts w:ascii="Times New Roman" w:eastAsia="Times New Roman"/>
                <w:sz w:val="21"/>
              </w:rPr>
              <w:t>1</w:t>
            </w:r>
            <w:r>
              <w:rPr>
                <w:sz w:val="21"/>
              </w:rPr>
              <w:t>）以下方法之一血液培养测试结果为阳性，证实存在感染性微生物：</w:t>
            </w:r>
          </w:p>
          <w:p>
            <w:pPr>
              <w:pStyle w:val="TableParagraph"/>
              <w:tabs>
                <w:tab w:pos="1241" w:val="left" w:leader="none"/>
              </w:tabs>
              <w:spacing w:line="237" w:lineRule="auto"/>
              <w:ind w:left="1241" w:right="303" w:hanging="420"/>
              <w:rPr>
                <w:sz w:val="21"/>
              </w:rPr>
            </w:pPr>
            <w:r>
              <w:rPr>
                <w:rFonts w:ascii="宋体" w:hAnsi="宋体" w:eastAsia="宋体" w:hint="eastAsia"/>
                <w:sz w:val="21"/>
              </w:rPr>
              <w:t>①</w:t>
              <w:tab/>
            </w:r>
            <w:r>
              <w:rPr>
                <w:spacing w:val="-2"/>
                <w:sz w:val="21"/>
              </w:rPr>
              <w:t>微生物：在赘生物或心脏内脓疡经培养或组织检查证实有微生 物；</w:t>
            </w:r>
          </w:p>
          <w:p>
            <w:pPr>
              <w:pStyle w:val="TableParagraph"/>
              <w:tabs>
                <w:tab w:pos="1241" w:val="left" w:leader="none"/>
              </w:tabs>
              <w:spacing w:line="237" w:lineRule="auto" w:before="6"/>
              <w:ind w:left="1241" w:right="303" w:hanging="420"/>
              <w:rPr>
                <w:sz w:val="21"/>
              </w:rPr>
            </w:pPr>
            <w:r>
              <w:rPr>
                <w:rFonts w:ascii="宋体" w:hAnsi="宋体" w:eastAsia="宋体" w:hint="eastAsia"/>
                <w:sz w:val="21"/>
              </w:rPr>
              <w:t>②</w:t>
              <w:tab/>
            </w:r>
            <w:r>
              <w:rPr>
                <w:spacing w:val="-2"/>
                <w:sz w:val="21"/>
              </w:rPr>
              <w:t>病理性病灶：组织检查证实赘生物或心脏内脓疡有活动性心内 膜炎；</w:t>
            </w:r>
          </w:p>
          <w:p>
            <w:pPr>
              <w:pStyle w:val="TableParagraph"/>
              <w:tabs>
                <w:tab w:pos="1241" w:val="left" w:leader="none"/>
              </w:tabs>
              <w:spacing w:line="272" w:lineRule="exact"/>
              <w:ind w:left="821"/>
              <w:rPr>
                <w:sz w:val="21"/>
              </w:rPr>
            </w:pPr>
            <w:r>
              <w:rPr>
                <w:rFonts w:ascii="宋体" w:hAnsi="宋体" w:eastAsia="宋体" w:hint="eastAsia"/>
                <w:sz w:val="21"/>
              </w:rPr>
              <w:t>③</w:t>
              <w:tab/>
            </w:r>
            <w:r>
              <w:rPr>
                <w:spacing w:val="-3"/>
                <w:sz w:val="21"/>
              </w:rPr>
              <w:t>分别两次血液培养证实有微生物，且与心内膜炎符合；</w:t>
            </w:r>
          </w:p>
          <w:p>
            <w:pPr>
              <w:pStyle w:val="TableParagraph"/>
              <w:spacing w:line="230" w:lineRule="auto" w:before="10"/>
              <w:ind w:left="189" w:right="305"/>
              <w:jc w:val="both"/>
              <w:rPr>
                <w:sz w:val="21"/>
              </w:rPr>
            </w:pPr>
            <w:r>
              <w:rPr>
                <w:spacing w:val="-14"/>
                <w:sz w:val="21"/>
              </w:rPr>
              <w:t>（</w:t>
            </w:r>
            <w:r>
              <w:rPr>
                <w:rFonts w:ascii="Times New Roman" w:hAnsi="Times New Roman" w:eastAsia="Times New Roman"/>
                <w:spacing w:val="-14"/>
                <w:sz w:val="21"/>
              </w:rPr>
              <w:t>2</w:t>
            </w:r>
            <w:r>
              <w:rPr>
                <w:spacing w:val="-14"/>
                <w:sz w:val="21"/>
              </w:rPr>
              <w:t>）</w:t>
            </w:r>
            <w:r>
              <w:rPr>
                <w:spacing w:val="-5"/>
                <w:sz w:val="21"/>
              </w:rPr>
              <w:t>心功能衰竭程度达到美国纽约心脏病学会心功能状态分级Ⅳ级，且满</w:t>
            </w:r>
            <w:r>
              <w:rPr>
                <w:spacing w:val="-3"/>
                <w:sz w:val="21"/>
              </w:rPr>
              <w:t>足以下全部条件：有医院的医疗记录显示病人不能进行任何活动，休息时仍有心悸、呼吸困难等心力衰竭表现。</w:t>
            </w:r>
          </w:p>
        </w:tc>
      </w:tr>
      <w:tr>
        <w:trPr>
          <w:trHeight w:val="655" w:hRule="atLeast"/>
        </w:trPr>
        <w:tc>
          <w:tcPr>
            <w:tcW w:w="1707" w:type="dxa"/>
          </w:tcPr>
          <w:p>
            <w:pPr>
              <w:pStyle w:val="TableParagraph"/>
              <w:spacing w:line="274" w:lineRule="exact" w:before="117"/>
              <w:ind w:left="200" w:right="187"/>
              <w:rPr>
                <w:b/>
                <w:sz w:val="21"/>
              </w:rPr>
            </w:pPr>
            <w:r>
              <w:rPr>
                <w:rFonts w:ascii="Times New Roman" w:eastAsia="Times New Roman"/>
                <w:b/>
                <w:sz w:val="21"/>
              </w:rPr>
              <w:t>46.</w:t>
            </w:r>
            <w:r>
              <w:rPr>
                <w:b/>
                <w:sz w:val="21"/>
              </w:rPr>
              <w:t>慢性复发性胰腺炎</w:t>
            </w:r>
          </w:p>
        </w:tc>
        <w:tc>
          <w:tcPr>
            <w:tcW w:w="7245" w:type="dxa"/>
          </w:tcPr>
          <w:p>
            <w:pPr>
              <w:pStyle w:val="TableParagraph"/>
              <w:spacing w:line="274" w:lineRule="exact" w:before="117"/>
              <w:ind w:left="189" w:right="252"/>
              <w:rPr>
                <w:sz w:val="21"/>
              </w:rPr>
            </w:pPr>
            <w:r>
              <w:rPr>
                <w:sz w:val="21"/>
              </w:rPr>
              <w:t>有腹痛等典型症状的胰腺炎反复发作，导致胰腺进行性破坏、胰腺功能紊乱，而导致严重糖尿病以及营养不良、恶液质。断层扫描（</w:t>
            </w:r>
            <w:r>
              <w:rPr>
                <w:rFonts w:ascii="Times New Roman" w:eastAsia="Times New Roman"/>
                <w:sz w:val="21"/>
              </w:rPr>
              <w:t>CT</w:t>
            </w:r>
            <w:r>
              <w:rPr>
                <w:sz w:val="21"/>
              </w:rPr>
              <w:t>）检查证实</w:t>
            </w:r>
          </w:p>
        </w:tc>
      </w:tr>
    </w:tbl>
    <w:p>
      <w:pPr>
        <w:spacing w:after="0" w:line="274" w:lineRule="exact"/>
        <w:rPr>
          <w:sz w:val="21"/>
        </w:rPr>
        <w:sectPr>
          <w:pgSz w:w="11910" w:h="16840"/>
          <w:pgMar w:top="1060" w:bottom="280" w:left="1420" w:right="13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8"/>
        <w:gridCol w:w="7165"/>
      </w:tblGrid>
      <w:tr>
        <w:trPr>
          <w:trHeight w:val="1150" w:hRule="atLeast"/>
        </w:trPr>
        <w:tc>
          <w:tcPr>
            <w:tcW w:w="1788" w:type="dxa"/>
          </w:tcPr>
          <w:p>
            <w:pPr>
              <w:pStyle w:val="TableParagraph"/>
              <w:rPr>
                <w:rFonts w:ascii="Times New Roman"/>
                <w:sz w:val="20"/>
              </w:rPr>
            </w:pPr>
          </w:p>
        </w:tc>
        <w:tc>
          <w:tcPr>
            <w:tcW w:w="7165" w:type="dxa"/>
          </w:tcPr>
          <w:p>
            <w:pPr>
              <w:pStyle w:val="TableParagraph"/>
              <w:spacing w:line="224" w:lineRule="exact"/>
              <w:ind w:left="108"/>
              <w:rPr>
                <w:sz w:val="21"/>
              </w:rPr>
            </w:pPr>
            <w:r>
              <w:rPr>
                <w:sz w:val="21"/>
              </w:rPr>
              <w:t>胰腺存在广泛钙化，且必须接受酶替代以及胰岛素替代治疗 </w:t>
            </w:r>
            <w:r>
              <w:rPr>
                <w:rFonts w:ascii="Times New Roman" w:eastAsia="Times New Roman"/>
                <w:sz w:val="21"/>
              </w:rPr>
              <w:t>6 </w:t>
            </w:r>
            <w:r>
              <w:rPr>
                <w:sz w:val="21"/>
              </w:rPr>
              <w:t>个月以上。</w:t>
            </w:r>
          </w:p>
          <w:p>
            <w:pPr>
              <w:pStyle w:val="TableParagraph"/>
              <w:spacing w:line="265" w:lineRule="exact"/>
              <w:ind w:left="108"/>
              <w:rPr>
                <w:sz w:val="21"/>
              </w:rPr>
            </w:pPr>
            <w:r>
              <w:rPr>
                <w:sz w:val="21"/>
              </w:rPr>
              <w:t>诊断必须由消化科专科医生确诊。</w:t>
            </w:r>
          </w:p>
          <w:p>
            <w:pPr>
              <w:pStyle w:val="TableParagraph"/>
              <w:spacing w:before="3"/>
              <w:rPr>
                <w:rFonts w:ascii="黑体"/>
                <w:sz w:val="18"/>
              </w:rPr>
            </w:pPr>
          </w:p>
          <w:p>
            <w:pPr>
              <w:pStyle w:val="TableParagraph"/>
              <w:ind w:left="108"/>
              <w:rPr>
                <w:rFonts w:ascii="黑体" w:eastAsia="黑体" w:hint="eastAsia"/>
                <w:sz w:val="21"/>
              </w:rPr>
            </w:pPr>
            <w:r>
              <w:rPr>
                <w:rFonts w:ascii="黑体" w:eastAsia="黑体" w:hint="eastAsia"/>
                <w:sz w:val="21"/>
              </w:rPr>
              <w:t>酒精导致的慢性复发性胰腺炎不在保障范围内。</w:t>
            </w:r>
          </w:p>
        </w:tc>
      </w:tr>
      <w:tr>
        <w:trPr>
          <w:trHeight w:val="2390" w:hRule="atLeast"/>
        </w:trPr>
        <w:tc>
          <w:tcPr>
            <w:tcW w:w="1788" w:type="dxa"/>
          </w:tcPr>
          <w:p>
            <w:pPr>
              <w:pStyle w:val="TableParagraph"/>
              <w:spacing w:line="225" w:lineRule="auto" w:before="108"/>
              <w:ind w:left="200" w:right="268"/>
              <w:rPr>
                <w:b/>
                <w:sz w:val="21"/>
              </w:rPr>
            </w:pPr>
            <w:r>
              <w:rPr>
                <w:rFonts w:ascii="Times New Roman" w:eastAsia="Times New Roman"/>
                <w:b/>
                <w:sz w:val="21"/>
              </w:rPr>
              <w:t>47.</w:t>
            </w:r>
            <w:r>
              <w:rPr>
                <w:b/>
                <w:sz w:val="21"/>
              </w:rPr>
              <w:t>原发性硬化性胆管炎</w:t>
            </w:r>
          </w:p>
        </w:tc>
        <w:tc>
          <w:tcPr>
            <w:tcW w:w="7165" w:type="dxa"/>
          </w:tcPr>
          <w:p>
            <w:pPr>
              <w:pStyle w:val="TableParagraph"/>
              <w:spacing w:line="237" w:lineRule="auto" w:before="93"/>
              <w:ind w:left="108" w:right="307"/>
              <w:jc w:val="both"/>
              <w:rPr>
                <w:sz w:val="21"/>
              </w:rPr>
            </w:pPr>
            <w:r>
              <w:rPr>
                <w:sz w:val="21"/>
              </w:rPr>
              <w:t>指一种胆汁淤积综合征，其特征是肝内、肝外胆道因纤维化性炎症逐渐狭窄，并最终导致完全阻塞而发展为肝硬化。本病须经内镜逆行胰胆管造影等影像学检查证实，并须满足下列全部条件：</w:t>
            </w:r>
          </w:p>
          <w:p>
            <w:pPr>
              <w:pStyle w:val="TableParagraph"/>
              <w:spacing w:line="280" w:lineRule="exact"/>
              <w:ind w:left="108"/>
              <w:jc w:val="both"/>
              <w:rPr>
                <w:sz w:val="21"/>
              </w:rPr>
            </w:pPr>
            <w:r>
              <w:rPr>
                <w:sz w:val="21"/>
              </w:rPr>
              <w:t>（</w:t>
            </w:r>
            <w:r>
              <w:rPr>
                <w:rFonts w:ascii="Times New Roman" w:eastAsia="Times New Roman"/>
                <w:sz w:val="21"/>
              </w:rPr>
              <w:t>1</w:t>
            </w:r>
            <w:r>
              <w:rPr>
                <w:sz w:val="21"/>
              </w:rPr>
              <w:t>）总胆红素和直接胆红素同时升高，血清碱性磷酸酶（</w:t>
            </w:r>
            <w:r>
              <w:rPr>
                <w:rFonts w:ascii="Times New Roman" w:eastAsia="Times New Roman"/>
                <w:sz w:val="21"/>
              </w:rPr>
              <w:t>ALP</w:t>
            </w:r>
            <w:r>
              <w:rPr>
                <w:sz w:val="21"/>
              </w:rPr>
              <w:t>）＞</w:t>
            </w:r>
            <w:r>
              <w:rPr>
                <w:rFonts w:ascii="Times New Roman" w:eastAsia="Times New Roman"/>
                <w:sz w:val="21"/>
              </w:rPr>
              <w:t>200U/L</w:t>
            </w:r>
            <w:r>
              <w:rPr>
                <w:sz w:val="21"/>
              </w:rPr>
              <w:t>；</w:t>
            </w:r>
          </w:p>
          <w:p>
            <w:pPr>
              <w:pStyle w:val="TableParagraph"/>
              <w:spacing w:line="272" w:lineRule="exact"/>
              <w:ind w:left="108"/>
              <w:jc w:val="both"/>
              <w:rPr>
                <w:sz w:val="21"/>
              </w:rPr>
            </w:pPr>
            <w:r>
              <w:rPr>
                <w:sz w:val="21"/>
              </w:rPr>
              <w:t>（</w:t>
            </w:r>
            <w:r>
              <w:rPr>
                <w:rFonts w:ascii="Times New Roman" w:eastAsia="Times New Roman"/>
                <w:sz w:val="21"/>
              </w:rPr>
              <w:t>2</w:t>
            </w:r>
            <w:r>
              <w:rPr>
                <w:sz w:val="21"/>
              </w:rPr>
              <w:t>）持续性黄疸病史；</w:t>
            </w:r>
          </w:p>
          <w:p>
            <w:pPr>
              <w:pStyle w:val="TableParagraph"/>
              <w:spacing w:line="282" w:lineRule="exact"/>
              <w:ind w:left="108"/>
              <w:jc w:val="both"/>
              <w:rPr>
                <w:sz w:val="21"/>
              </w:rPr>
            </w:pPr>
            <w:r>
              <w:rPr>
                <w:sz w:val="21"/>
              </w:rPr>
              <w:t>（</w:t>
            </w:r>
            <w:r>
              <w:rPr>
                <w:rFonts w:ascii="Times New Roman" w:eastAsia="Times New Roman"/>
                <w:sz w:val="21"/>
              </w:rPr>
              <w:t>3</w:t>
            </w:r>
            <w:r>
              <w:rPr>
                <w:sz w:val="21"/>
              </w:rPr>
              <w:t>）出现胆汁性肝硬化或门脉高压。</w:t>
            </w:r>
          </w:p>
          <w:p>
            <w:pPr>
              <w:pStyle w:val="TableParagraph"/>
              <w:rPr>
                <w:rFonts w:ascii="黑体"/>
                <w:sz w:val="17"/>
              </w:rPr>
            </w:pPr>
          </w:p>
          <w:p>
            <w:pPr>
              <w:pStyle w:val="TableParagraph"/>
              <w:spacing w:before="1"/>
              <w:ind w:left="108"/>
              <w:jc w:val="both"/>
              <w:rPr>
                <w:rFonts w:ascii="黑体" w:eastAsia="黑体" w:hint="eastAsia"/>
                <w:sz w:val="21"/>
              </w:rPr>
            </w:pPr>
            <w:r>
              <w:rPr>
                <w:rFonts w:ascii="黑体" w:eastAsia="黑体" w:hint="eastAsia"/>
                <w:sz w:val="21"/>
              </w:rPr>
              <w:t>因肿瘤或胆管损伤等继发性的硬化性胆管炎不在保障范围内。</w:t>
            </w:r>
          </w:p>
        </w:tc>
      </w:tr>
      <w:tr>
        <w:trPr>
          <w:trHeight w:val="1066" w:hRule="atLeast"/>
        </w:trPr>
        <w:tc>
          <w:tcPr>
            <w:tcW w:w="1788" w:type="dxa"/>
          </w:tcPr>
          <w:p>
            <w:pPr>
              <w:pStyle w:val="TableParagraph"/>
              <w:spacing w:line="225" w:lineRule="auto" w:before="108"/>
              <w:ind w:left="200" w:right="268"/>
              <w:rPr>
                <w:b/>
                <w:sz w:val="21"/>
              </w:rPr>
            </w:pPr>
            <w:r>
              <w:rPr>
                <w:rFonts w:ascii="Times New Roman" w:eastAsia="Times New Roman"/>
                <w:b/>
                <w:sz w:val="21"/>
              </w:rPr>
              <w:t>48.</w:t>
            </w:r>
            <w:r>
              <w:rPr>
                <w:b/>
                <w:sz w:val="21"/>
              </w:rPr>
              <w:t>严重肠道疾病并发症</w:t>
            </w:r>
          </w:p>
        </w:tc>
        <w:tc>
          <w:tcPr>
            <w:tcW w:w="7165" w:type="dxa"/>
          </w:tcPr>
          <w:p>
            <w:pPr>
              <w:pStyle w:val="TableParagraph"/>
              <w:spacing w:line="274" w:lineRule="exact" w:before="90"/>
              <w:ind w:left="108"/>
              <w:rPr>
                <w:sz w:val="21"/>
              </w:rPr>
            </w:pPr>
            <w:r>
              <w:rPr>
                <w:sz w:val="21"/>
              </w:rPr>
              <w:t>因严重肠道疾病或外伤导致小肠损害，并且必须同时满足以下所有条件：</w:t>
            </w:r>
          </w:p>
          <w:p>
            <w:pPr>
              <w:pStyle w:val="TableParagraph"/>
              <w:spacing w:line="280" w:lineRule="exact"/>
              <w:ind w:left="108"/>
              <w:rPr>
                <w:sz w:val="21"/>
              </w:rPr>
            </w:pPr>
            <w:r>
              <w:rPr>
                <w:sz w:val="21"/>
              </w:rPr>
              <w:t>（</w:t>
            </w:r>
            <w:r>
              <w:rPr>
                <w:rFonts w:ascii="Times New Roman" w:eastAsia="Times New Roman"/>
                <w:sz w:val="21"/>
              </w:rPr>
              <w:t>1</w:t>
            </w:r>
            <w:r>
              <w:rPr>
                <w:sz w:val="21"/>
              </w:rPr>
              <w:t>）至少切除了三分之二长度的小肠；</w:t>
            </w:r>
          </w:p>
          <w:p>
            <w:pPr>
              <w:pStyle w:val="TableParagraph"/>
              <w:spacing w:line="281" w:lineRule="exact"/>
              <w:ind w:left="108"/>
              <w:rPr>
                <w:sz w:val="21"/>
              </w:rPr>
            </w:pPr>
            <w:r>
              <w:rPr>
                <w:sz w:val="21"/>
              </w:rPr>
              <w:t>（</w:t>
            </w:r>
            <w:r>
              <w:rPr>
                <w:rFonts w:ascii="Times New Roman" w:eastAsia="Times New Roman"/>
                <w:sz w:val="21"/>
              </w:rPr>
              <w:t>2</w:t>
            </w:r>
            <w:r>
              <w:rPr>
                <w:sz w:val="21"/>
              </w:rPr>
              <w:t>）施行完全肠外营养支持的治疗超过 </w:t>
            </w:r>
            <w:r>
              <w:rPr>
                <w:rFonts w:ascii="Times New Roman" w:eastAsia="Times New Roman"/>
                <w:sz w:val="21"/>
              </w:rPr>
              <w:t>90 </w:t>
            </w:r>
            <w:r>
              <w:rPr>
                <w:sz w:val="21"/>
              </w:rPr>
              <w:t>天。</w:t>
            </w:r>
          </w:p>
        </w:tc>
      </w:tr>
      <w:tr>
        <w:trPr>
          <w:trHeight w:val="1332" w:hRule="atLeast"/>
        </w:trPr>
        <w:tc>
          <w:tcPr>
            <w:tcW w:w="1788" w:type="dxa"/>
          </w:tcPr>
          <w:p>
            <w:pPr>
              <w:pStyle w:val="TableParagraph"/>
              <w:spacing w:line="225" w:lineRule="auto" w:before="100"/>
              <w:ind w:left="200" w:right="268"/>
              <w:rPr>
                <w:b/>
                <w:sz w:val="21"/>
              </w:rPr>
            </w:pPr>
            <w:r>
              <w:rPr>
                <w:rFonts w:ascii="Times New Roman" w:eastAsia="Times New Roman"/>
                <w:b/>
                <w:sz w:val="21"/>
              </w:rPr>
              <w:t>49.</w:t>
            </w:r>
            <w:r>
              <w:rPr>
                <w:b/>
                <w:sz w:val="21"/>
              </w:rPr>
              <w:t>严重溃疡性结肠炎</w:t>
            </w:r>
          </w:p>
        </w:tc>
        <w:tc>
          <w:tcPr>
            <w:tcW w:w="7165" w:type="dxa"/>
          </w:tcPr>
          <w:p>
            <w:pPr>
              <w:pStyle w:val="TableParagraph"/>
              <w:spacing w:line="237" w:lineRule="auto" w:before="86"/>
              <w:ind w:left="108" w:right="198"/>
              <w:rPr>
                <w:sz w:val="21"/>
              </w:rPr>
            </w:pPr>
            <w:r>
              <w:rPr>
                <w:spacing w:val="-7"/>
                <w:sz w:val="21"/>
              </w:rPr>
              <w:t>是指伴有致命性电解质紊乱的急性暴发性溃疡性结肠炎，病变累及全结肠， 表现为严重的血便和系统性症状体征，治疗通常采取全结肠切除和回肠造瘘术。溃疡性结肠炎必须根据组织病理学特点诊断，并且被保险人已经接</w:t>
            </w:r>
            <w:r>
              <w:rPr>
                <w:spacing w:val="-3"/>
                <w:sz w:val="21"/>
              </w:rPr>
              <w:t>受了结肠切除和</w:t>
            </w:r>
            <w:r>
              <w:rPr>
                <w:rFonts w:ascii="Times New Roman" w:eastAsia="Times New Roman"/>
                <w:spacing w:val="-4"/>
                <w:sz w:val="21"/>
              </w:rPr>
              <w:t>/</w:t>
            </w:r>
            <w:r>
              <w:rPr>
                <w:spacing w:val="-3"/>
                <w:sz w:val="21"/>
              </w:rPr>
              <w:t>或回肠造瘘术。</w:t>
            </w:r>
          </w:p>
        </w:tc>
      </w:tr>
      <w:tr>
        <w:trPr>
          <w:trHeight w:val="1050" w:hRule="atLeast"/>
        </w:trPr>
        <w:tc>
          <w:tcPr>
            <w:tcW w:w="1788" w:type="dxa"/>
          </w:tcPr>
          <w:p>
            <w:pPr>
              <w:pStyle w:val="TableParagraph"/>
              <w:spacing w:before="82"/>
              <w:ind w:left="181" w:right="249"/>
              <w:jc w:val="center"/>
              <w:rPr>
                <w:b/>
                <w:sz w:val="21"/>
              </w:rPr>
            </w:pPr>
            <w:r>
              <w:rPr>
                <w:rFonts w:ascii="Times New Roman" w:eastAsia="Times New Roman"/>
                <w:b/>
                <w:sz w:val="21"/>
              </w:rPr>
              <w:t>50.</w:t>
            </w:r>
            <w:r>
              <w:rPr>
                <w:b/>
                <w:sz w:val="21"/>
              </w:rPr>
              <w:t>严重克隆病</w:t>
            </w:r>
          </w:p>
        </w:tc>
        <w:tc>
          <w:tcPr>
            <w:tcW w:w="7165" w:type="dxa"/>
          </w:tcPr>
          <w:p>
            <w:pPr>
              <w:pStyle w:val="TableParagraph"/>
              <w:spacing w:line="237" w:lineRule="auto" w:before="85"/>
              <w:ind w:left="108" w:right="307"/>
              <w:jc w:val="both"/>
              <w:rPr>
                <w:sz w:val="21"/>
              </w:rPr>
            </w:pPr>
            <w:r>
              <w:rPr>
                <w:sz w:val="21"/>
              </w:rPr>
              <w:t>克隆病是一种慢性肉芽肿性肠炎，具有特征性的克隆病病理组织学变化。诊断必须由病理检查结果证实。被保险人所患的克隆病必须已经造成瘘管形成并伴有肠梗阻或肠穿孔。</w:t>
            </w:r>
          </w:p>
        </w:tc>
      </w:tr>
      <w:tr>
        <w:trPr>
          <w:trHeight w:val="1572" w:hRule="atLeast"/>
        </w:trPr>
        <w:tc>
          <w:tcPr>
            <w:tcW w:w="1788" w:type="dxa"/>
          </w:tcPr>
          <w:p>
            <w:pPr>
              <w:pStyle w:val="TableParagraph"/>
              <w:spacing w:line="223" w:lineRule="auto" w:before="111"/>
              <w:ind w:left="200" w:right="107"/>
              <w:rPr>
                <w:b/>
                <w:sz w:val="21"/>
              </w:rPr>
            </w:pPr>
            <w:r>
              <w:rPr>
                <w:rFonts w:ascii="Times New Roman" w:eastAsia="Times New Roman"/>
                <w:b/>
                <w:sz w:val="21"/>
              </w:rPr>
              <w:t>51.</w:t>
            </w:r>
            <w:r>
              <w:rPr>
                <w:b/>
                <w:sz w:val="21"/>
              </w:rPr>
              <w:t>急性坏死性胰腺炎开腹手术</w:t>
            </w:r>
          </w:p>
        </w:tc>
        <w:tc>
          <w:tcPr>
            <w:tcW w:w="7165" w:type="dxa"/>
          </w:tcPr>
          <w:p>
            <w:pPr>
              <w:pStyle w:val="TableParagraph"/>
              <w:spacing w:line="237" w:lineRule="auto" w:before="93"/>
              <w:ind w:left="108" w:right="307"/>
              <w:rPr>
                <w:sz w:val="21"/>
              </w:rPr>
            </w:pPr>
            <w:r>
              <w:rPr>
                <w:sz w:val="21"/>
              </w:rPr>
              <w:t>此症必须由专科医生确诊为急性坏死性胰腺炎，并实际实施了开腹进行的坏死组织清除术、病灶切除术或胰腺部分切除术。</w:t>
            </w:r>
          </w:p>
          <w:p>
            <w:pPr>
              <w:pStyle w:val="TableParagraph"/>
              <w:spacing w:before="2"/>
              <w:rPr>
                <w:rFonts w:ascii="黑体"/>
                <w:sz w:val="18"/>
              </w:rPr>
            </w:pPr>
          </w:p>
          <w:p>
            <w:pPr>
              <w:pStyle w:val="TableParagraph"/>
              <w:ind w:left="108" w:right="307"/>
              <w:rPr>
                <w:rFonts w:ascii="黑体" w:eastAsia="黑体" w:hint="eastAsia"/>
                <w:sz w:val="21"/>
              </w:rPr>
            </w:pPr>
            <w:r>
              <w:rPr>
                <w:rFonts w:ascii="黑体" w:eastAsia="黑体" w:hint="eastAsia"/>
                <w:sz w:val="21"/>
              </w:rPr>
              <w:t>因饮酒引起的急性坏死性胰腺炎的开腹手术或者经腹腔镜手术进行的治疗不在保障范围内。</w:t>
            </w:r>
          </w:p>
        </w:tc>
      </w:tr>
      <w:tr>
        <w:trPr>
          <w:trHeight w:val="2700" w:hRule="atLeast"/>
        </w:trPr>
        <w:tc>
          <w:tcPr>
            <w:tcW w:w="1788" w:type="dxa"/>
          </w:tcPr>
          <w:p>
            <w:pPr>
              <w:pStyle w:val="TableParagraph"/>
              <w:spacing w:line="223" w:lineRule="auto" w:before="111"/>
              <w:ind w:left="200" w:right="268"/>
              <w:rPr>
                <w:b/>
                <w:sz w:val="21"/>
              </w:rPr>
            </w:pPr>
            <w:r>
              <w:rPr>
                <w:rFonts w:ascii="Times New Roman" w:eastAsia="Times New Roman"/>
                <w:b/>
                <w:sz w:val="21"/>
              </w:rPr>
              <w:t>52.</w:t>
            </w:r>
            <w:r>
              <w:rPr>
                <w:b/>
                <w:sz w:val="21"/>
              </w:rPr>
              <w:t>严重自身免疫性肝炎</w:t>
            </w:r>
          </w:p>
        </w:tc>
        <w:tc>
          <w:tcPr>
            <w:tcW w:w="7165" w:type="dxa"/>
          </w:tcPr>
          <w:p>
            <w:pPr>
              <w:pStyle w:val="TableParagraph"/>
              <w:spacing w:line="237" w:lineRule="auto" w:before="93"/>
              <w:ind w:left="108" w:right="307"/>
              <w:jc w:val="both"/>
              <w:rPr>
                <w:sz w:val="21"/>
              </w:rPr>
            </w:pPr>
            <w:r>
              <w:rPr>
                <w:sz w:val="21"/>
              </w:rPr>
              <w:t>自身免疫性肝炎是一种原因不明的慢性肝脏的坏死性炎性疾病，机体免疫机制被破坏，产生针对肝脏自身抗原的抗体导致自身免疫反应，从而破坏肝细胞造成肝脏炎症坏死，进而发展为肝硬化。必须满足所有以下条件：</w:t>
            </w:r>
          </w:p>
          <w:p>
            <w:pPr>
              <w:pStyle w:val="TableParagraph"/>
              <w:spacing w:line="279" w:lineRule="exact"/>
              <w:ind w:left="108"/>
              <w:rPr>
                <w:sz w:val="21"/>
              </w:rPr>
            </w:pPr>
            <w:r>
              <w:rPr>
                <w:sz w:val="21"/>
              </w:rPr>
              <w:t>（</w:t>
            </w:r>
            <w:r>
              <w:rPr>
                <w:rFonts w:ascii="Times New Roman" w:hAnsi="Times New Roman" w:eastAsia="Times New Roman"/>
                <w:sz w:val="21"/>
              </w:rPr>
              <w:t>1</w:t>
            </w:r>
            <w:r>
              <w:rPr>
                <w:sz w:val="21"/>
              </w:rPr>
              <w:t>）高γ球蛋白血症；</w:t>
            </w:r>
          </w:p>
          <w:p>
            <w:pPr>
              <w:pStyle w:val="TableParagraph"/>
              <w:spacing w:line="225" w:lineRule="auto" w:before="9"/>
              <w:ind w:left="108" w:right="303"/>
              <w:jc w:val="both"/>
              <w:rPr>
                <w:sz w:val="21"/>
              </w:rPr>
            </w:pPr>
            <w:r>
              <w:rPr>
                <w:w w:val="100"/>
                <w:sz w:val="21"/>
              </w:rPr>
              <w:t>（</w:t>
            </w:r>
            <w:r>
              <w:rPr>
                <w:rFonts w:ascii="Times New Roman" w:eastAsia="Times New Roman"/>
                <w:w w:val="100"/>
                <w:sz w:val="21"/>
              </w:rPr>
              <w:t>2</w:t>
            </w:r>
            <w:r>
              <w:rPr>
                <w:spacing w:val="-5"/>
                <w:w w:val="100"/>
                <w:sz w:val="21"/>
              </w:rPr>
              <w:t>）</w:t>
            </w:r>
            <w:r>
              <w:rPr>
                <w:spacing w:val="-4"/>
                <w:w w:val="100"/>
                <w:sz w:val="21"/>
              </w:rPr>
              <w:t>血液中存在高水平的自身免疫抗体，如抗核抗体</w:t>
            </w:r>
            <w:r>
              <w:rPr>
                <w:spacing w:val="-3"/>
                <w:w w:val="100"/>
                <w:sz w:val="21"/>
              </w:rPr>
              <w:t>（</w:t>
            </w:r>
            <w:r>
              <w:rPr>
                <w:rFonts w:ascii="Times New Roman" w:eastAsia="Times New Roman"/>
                <w:spacing w:val="-2"/>
                <w:w w:val="100"/>
                <w:sz w:val="21"/>
              </w:rPr>
              <w:t>A</w:t>
            </w:r>
            <w:r>
              <w:rPr>
                <w:rFonts w:ascii="Times New Roman" w:eastAsia="Times New Roman"/>
                <w:w w:val="100"/>
                <w:sz w:val="21"/>
              </w:rPr>
              <w:t>N</w:t>
            </w:r>
            <w:r>
              <w:rPr>
                <w:rFonts w:ascii="Times New Roman" w:eastAsia="Times New Roman"/>
                <w:spacing w:val="-2"/>
                <w:w w:val="100"/>
                <w:sz w:val="21"/>
              </w:rPr>
              <w:t>A</w:t>
            </w:r>
            <w:r>
              <w:rPr>
                <w:spacing w:val="-106"/>
                <w:w w:val="100"/>
                <w:sz w:val="21"/>
              </w:rPr>
              <w:t>）</w:t>
            </w:r>
            <w:r>
              <w:rPr>
                <w:spacing w:val="-3"/>
                <w:w w:val="100"/>
                <w:sz w:val="21"/>
              </w:rPr>
              <w:t>、抗平滑肌</w:t>
            </w:r>
            <w:r>
              <w:rPr>
                <w:spacing w:val="-8"/>
                <w:w w:val="100"/>
                <w:sz w:val="21"/>
              </w:rPr>
              <w:t>抗体</w:t>
            </w:r>
            <w:r>
              <w:rPr>
                <w:w w:val="100"/>
                <w:sz w:val="21"/>
              </w:rPr>
              <w:t>（</w:t>
            </w:r>
            <w:r>
              <w:rPr>
                <w:rFonts w:ascii="Times New Roman" w:eastAsia="Times New Roman"/>
                <w:w w:val="100"/>
                <w:sz w:val="21"/>
              </w:rPr>
              <w:t>S</w:t>
            </w:r>
            <w:r>
              <w:rPr>
                <w:rFonts w:ascii="Times New Roman" w:eastAsia="Times New Roman"/>
                <w:spacing w:val="-3"/>
                <w:w w:val="100"/>
                <w:sz w:val="21"/>
              </w:rPr>
              <w:t>M</w:t>
            </w:r>
            <w:r>
              <w:rPr>
                <w:rFonts w:ascii="Times New Roman" w:eastAsia="Times New Roman"/>
                <w:spacing w:val="0"/>
                <w:w w:val="100"/>
                <w:sz w:val="21"/>
              </w:rPr>
              <w:t>A</w:t>
            </w:r>
            <w:r>
              <w:rPr>
                <w:spacing w:val="-108"/>
                <w:w w:val="100"/>
                <w:sz w:val="21"/>
              </w:rPr>
              <w:t>）</w:t>
            </w:r>
            <w:r>
              <w:rPr>
                <w:spacing w:val="-4"/>
                <w:w w:val="100"/>
                <w:sz w:val="21"/>
              </w:rPr>
              <w:t>、抗肝肾微粒体</w:t>
            </w:r>
            <w:r>
              <w:rPr>
                <w:rFonts w:ascii="Times New Roman" w:eastAsia="Times New Roman"/>
                <w:spacing w:val="-4"/>
                <w:w w:val="100"/>
                <w:sz w:val="21"/>
              </w:rPr>
              <w:t>-</w:t>
            </w:r>
            <w:r>
              <w:rPr>
                <w:rFonts w:ascii="Times New Roman" w:eastAsia="Times New Roman"/>
                <w:w w:val="100"/>
                <w:sz w:val="21"/>
              </w:rPr>
              <w:t>1</w:t>
            </w:r>
            <w:r>
              <w:rPr>
                <w:rFonts w:ascii="Times New Roman" w:eastAsia="Times New Roman"/>
                <w:sz w:val="21"/>
              </w:rPr>
              <w:t> </w:t>
            </w:r>
            <w:r>
              <w:rPr>
                <w:spacing w:val="-5"/>
                <w:w w:val="100"/>
                <w:sz w:val="21"/>
              </w:rPr>
              <w:t>抗体</w:t>
            </w:r>
            <w:r>
              <w:rPr>
                <w:spacing w:val="-3"/>
                <w:w w:val="100"/>
                <w:sz w:val="21"/>
              </w:rPr>
              <w:t>（</w:t>
            </w:r>
            <w:r>
              <w:rPr>
                <w:w w:val="100"/>
                <w:sz w:val="21"/>
              </w:rPr>
              <w:t>抗</w:t>
            </w:r>
            <w:r>
              <w:rPr>
                <w:spacing w:val="-52"/>
                <w:sz w:val="21"/>
              </w:rPr>
              <w:t> </w:t>
            </w:r>
            <w:r>
              <w:rPr>
                <w:rFonts w:ascii="Times New Roman" w:eastAsia="Times New Roman"/>
                <w:spacing w:val="-2"/>
                <w:w w:val="100"/>
                <w:sz w:val="21"/>
              </w:rPr>
              <w:t>L</w:t>
            </w:r>
            <w:r>
              <w:rPr>
                <w:rFonts w:ascii="Times New Roman" w:eastAsia="Times New Roman"/>
                <w:spacing w:val="-4"/>
                <w:w w:val="100"/>
                <w:sz w:val="21"/>
              </w:rPr>
              <w:t>K</w:t>
            </w:r>
            <w:r>
              <w:rPr>
                <w:rFonts w:ascii="Times New Roman" w:eastAsia="Times New Roman"/>
                <w:spacing w:val="0"/>
                <w:w w:val="100"/>
                <w:sz w:val="21"/>
              </w:rPr>
              <w:t>M</w:t>
            </w:r>
            <w:r>
              <w:rPr>
                <w:rFonts w:ascii="Times New Roman" w:eastAsia="Times New Roman"/>
                <w:spacing w:val="-4"/>
                <w:w w:val="100"/>
                <w:sz w:val="21"/>
              </w:rPr>
              <w:t>-</w:t>
            </w:r>
            <w:r>
              <w:rPr>
                <w:rFonts w:ascii="Times New Roman" w:eastAsia="Times New Roman"/>
                <w:w w:val="100"/>
                <w:sz w:val="21"/>
              </w:rPr>
              <w:t>1</w:t>
            </w:r>
            <w:r>
              <w:rPr>
                <w:rFonts w:ascii="Times New Roman" w:eastAsia="Times New Roman"/>
                <w:sz w:val="21"/>
              </w:rPr>
              <w:t> </w:t>
            </w:r>
            <w:r>
              <w:rPr>
                <w:spacing w:val="-2"/>
                <w:w w:val="100"/>
                <w:sz w:val="21"/>
              </w:rPr>
              <w:t>抗体</w:t>
            </w:r>
            <w:r>
              <w:rPr>
                <w:spacing w:val="-10"/>
                <w:w w:val="100"/>
                <w:sz w:val="21"/>
              </w:rPr>
              <w:t>）</w:t>
            </w:r>
            <w:r>
              <w:rPr>
                <w:spacing w:val="-3"/>
                <w:w w:val="100"/>
                <w:sz w:val="21"/>
              </w:rPr>
              <w:t>或抗可溶性肝抗原</w:t>
            </w:r>
            <w:r>
              <w:rPr>
                <w:spacing w:val="-3"/>
                <w:sz w:val="21"/>
              </w:rPr>
              <w:t>抗体（</w:t>
            </w:r>
            <w:r>
              <w:rPr>
                <w:spacing w:val="-26"/>
                <w:sz w:val="21"/>
              </w:rPr>
              <w:t>抗 </w:t>
            </w:r>
            <w:r>
              <w:rPr>
                <w:rFonts w:ascii="Times New Roman" w:eastAsia="Times New Roman"/>
                <w:sz w:val="21"/>
              </w:rPr>
              <w:t>SLA/LP </w:t>
            </w:r>
            <w:r>
              <w:rPr>
                <w:spacing w:val="-2"/>
                <w:sz w:val="21"/>
              </w:rPr>
              <w:t>抗体</w:t>
            </w:r>
            <w:r>
              <w:rPr>
                <w:spacing w:val="-106"/>
                <w:sz w:val="21"/>
              </w:rPr>
              <w:t>）；</w:t>
            </w:r>
          </w:p>
          <w:p>
            <w:pPr>
              <w:pStyle w:val="TableParagraph"/>
              <w:spacing w:line="263" w:lineRule="exact"/>
              <w:ind w:left="108"/>
              <w:jc w:val="both"/>
              <w:rPr>
                <w:sz w:val="21"/>
              </w:rPr>
            </w:pPr>
            <w:r>
              <w:rPr>
                <w:sz w:val="21"/>
              </w:rPr>
              <w:t>（</w:t>
            </w:r>
            <w:r>
              <w:rPr>
                <w:rFonts w:ascii="Times New Roman" w:eastAsia="Times New Roman"/>
                <w:sz w:val="21"/>
              </w:rPr>
              <w:t>3</w:t>
            </w:r>
            <w:r>
              <w:rPr>
                <w:sz w:val="21"/>
              </w:rPr>
              <w:t>）肝脏活检证实免疫性肝炎；</w:t>
            </w:r>
          </w:p>
          <w:p>
            <w:pPr>
              <w:pStyle w:val="TableParagraph"/>
              <w:spacing w:line="282" w:lineRule="exact"/>
              <w:ind w:left="108"/>
              <w:jc w:val="both"/>
              <w:rPr>
                <w:sz w:val="21"/>
              </w:rPr>
            </w:pPr>
            <w:r>
              <w:rPr>
                <w:sz w:val="21"/>
              </w:rPr>
              <w:t>（</w:t>
            </w:r>
            <w:r>
              <w:rPr>
                <w:rFonts w:ascii="Times New Roman" w:eastAsia="Times New Roman"/>
                <w:sz w:val="21"/>
              </w:rPr>
              <w:t>4</w:t>
            </w:r>
            <w:r>
              <w:rPr>
                <w:sz w:val="21"/>
              </w:rPr>
              <w:t>）临床已经出现腹水、食道静脉曲张和脾肿大等肝硬化表现。</w:t>
            </w:r>
          </w:p>
        </w:tc>
      </w:tr>
      <w:tr>
        <w:trPr>
          <w:trHeight w:val="1291" w:hRule="atLeast"/>
        </w:trPr>
        <w:tc>
          <w:tcPr>
            <w:tcW w:w="1788" w:type="dxa"/>
          </w:tcPr>
          <w:p>
            <w:pPr>
              <w:pStyle w:val="TableParagraph"/>
              <w:spacing w:line="223" w:lineRule="auto" w:before="103"/>
              <w:ind w:left="200" w:right="268"/>
              <w:rPr>
                <w:b/>
                <w:sz w:val="21"/>
              </w:rPr>
            </w:pPr>
            <w:r>
              <w:rPr>
                <w:rFonts w:ascii="Times New Roman" w:eastAsia="Times New Roman"/>
                <w:b/>
                <w:sz w:val="21"/>
              </w:rPr>
              <w:t>53.</w:t>
            </w:r>
            <w:r>
              <w:rPr>
                <w:b/>
                <w:sz w:val="21"/>
              </w:rPr>
              <w:t>川崎病合并严重并发症</w:t>
            </w:r>
          </w:p>
        </w:tc>
        <w:tc>
          <w:tcPr>
            <w:tcW w:w="7165" w:type="dxa"/>
          </w:tcPr>
          <w:p>
            <w:pPr>
              <w:pStyle w:val="TableParagraph"/>
              <w:spacing w:before="82"/>
              <w:ind w:left="108"/>
              <w:rPr>
                <w:sz w:val="21"/>
              </w:rPr>
            </w:pPr>
            <w:r>
              <w:rPr>
                <w:sz w:val="21"/>
              </w:rPr>
              <w:t>川崎病为一种病因不明的系统性血管炎。</w:t>
            </w:r>
          </w:p>
          <w:p>
            <w:pPr>
              <w:pStyle w:val="TableParagraph"/>
              <w:spacing w:before="5"/>
              <w:rPr>
                <w:rFonts w:ascii="黑体"/>
                <w:sz w:val="18"/>
              </w:rPr>
            </w:pPr>
          </w:p>
          <w:p>
            <w:pPr>
              <w:pStyle w:val="TableParagraph"/>
              <w:spacing w:line="237" w:lineRule="auto"/>
              <w:ind w:left="108" w:right="306"/>
              <w:rPr>
                <w:sz w:val="21"/>
              </w:rPr>
            </w:pPr>
            <w:r>
              <w:rPr>
                <w:sz w:val="21"/>
              </w:rPr>
              <w:t>本合同仅对诊断性检查证实川崎病并发冠状动脉瘤或其它心血管异常，并且实际接受了手术治疗的情况予以理赔。</w:t>
            </w:r>
          </w:p>
        </w:tc>
      </w:tr>
      <w:tr>
        <w:trPr>
          <w:trHeight w:val="1697" w:hRule="atLeast"/>
        </w:trPr>
        <w:tc>
          <w:tcPr>
            <w:tcW w:w="1788" w:type="dxa"/>
          </w:tcPr>
          <w:p>
            <w:pPr>
              <w:pStyle w:val="TableParagraph"/>
              <w:spacing w:before="90"/>
              <w:ind w:left="181" w:right="249"/>
              <w:jc w:val="center"/>
              <w:rPr>
                <w:b/>
                <w:sz w:val="21"/>
              </w:rPr>
            </w:pPr>
            <w:r>
              <w:rPr>
                <w:rFonts w:ascii="Times New Roman" w:eastAsia="Times New Roman"/>
                <w:b/>
                <w:sz w:val="21"/>
              </w:rPr>
              <w:t>54.</w:t>
            </w:r>
            <w:r>
              <w:rPr>
                <w:b/>
                <w:sz w:val="21"/>
              </w:rPr>
              <w:t>植物人状态</w:t>
            </w:r>
          </w:p>
        </w:tc>
        <w:tc>
          <w:tcPr>
            <w:tcW w:w="7165" w:type="dxa"/>
          </w:tcPr>
          <w:p>
            <w:pPr>
              <w:pStyle w:val="TableParagraph"/>
              <w:spacing w:line="225" w:lineRule="auto" w:before="108"/>
              <w:ind w:left="108" w:right="304"/>
              <w:jc w:val="both"/>
              <w:rPr>
                <w:sz w:val="21"/>
              </w:rPr>
            </w:pPr>
            <w:r>
              <w:rPr>
                <w:spacing w:val="2"/>
                <w:sz w:val="21"/>
              </w:rPr>
              <w:t>指脑皮质广泛性坏死而导致对自身及周边的认知能力完全丧失</w:t>
            </w:r>
            <w:r>
              <w:rPr>
                <w:rFonts w:ascii="Times New Roman" w:eastAsia="Times New Roman"/>
                <w:spacing w:val="5"/>
                <w:sz w:val="21"/>
              </w:rPr>
              <w:t>,</w:t>
            </w:r>
            <w:r>
              <w:rPr>
                <w:sz w:val="21"/>
              </w:rPr>
              <w:t>但脑干功</w:t>
            </w:r>
            <w:r>
              <w:rPr>
                <w:spacing w:val="-3"/>
                <w:w w:val="100"/>
                <w:sz w:val="21"/>
              </w:rPr>
              <w:t>能依然存在。必须由神经专科医生明确诊断</w:t>
            </w:r>
            <w:r>
              <w:rPr>
                <w:rFonts w:ascii="Times New Roman" w:eastAsia="Times New Roman"/>
                <w:w w:val="100"/>
                <w:sz w:val="21"/>
              </w:rPr>
              <w:t>,</w:t>
            </w:r>
            <w:r>
              <w:rPr>
                <w:spacing w:val="-3"/>
                <w:w w:val="100"/>
                <w:sz w:val="21"/>
              </w:rPr>
              <w:t>并由头颅断层扫描</w:t>
            </w:r>
            <w:r>
              <w:rPr>
                <w:spacing w:val="-2"/>
                <w:w w:val="100"/>
                <w:sz w:val="21"/>
              </w:rPr>
              <w:t>（</w:t>
            </w:r>
            <w:r>
              <w:rPr>
                <w:rFonts w:ascii="Times New Roman" w:eastAsia="Times New Roman"/>
                <w:w w:val="100"/>
                <w:sz w:val="21"/>
              </w:rPr>
              <w:t>CT</w:t>
            </w:r>
            <w:r>
              <w:rPr>
                <w:spacing w:val="-108"/>
                <w:w w:val="100"/>
                <w:sz w:val="21"/>
              </w:rPr>
              <w:t>）</w:t>
            </w:r>
            <w:r>
              <w:rPr>
                <w:w w:val="100"/>
                <w:sz w:val="21"/>
              </w:rPr>
              <w:t>、核</w:t>
            </w:r>
            <w:r>
              <w:rPr>
                <w:sz w:val="21"/>
              </w:rPr>
              <w:t>磁共振检查（</w:t>
            </w:r>
            <w:r>
              <w:rPr>
                <w:rFonts w:ascii="Times New Roman" w:eastAsia="Times New Roman"/>
                <w:sz w:val="21"/>
              </w:rPr>
              <w:t>MRI</w:t>
            </w:r>
            <w:r>
              <w:rPr>
                <w:sz w:val="21"/>
              </w:rPr>
              <w:t>）或正电子发射断层扫描（</w:t>
            </w:r>
            <w:r>
              <w:rPr>
                <w:rFonts w:ascii="Times New Roman" w:eastAsia="Times New Roman"/>
                <w:sz w:val="21"/>
              </w:rPr>
              <w:t>PET</w:t>
            </w:r>
            <w:r>
              <w:rPr>
                <w:sz w:val="21"/>
              </w:rPr>
              <w:t>）等影像学检查证实。</w:t>
            </w:r>
            <w:r>
              <w:rPr>
                <w:spacing w:val="-3"/>
                <w:sz w:val="21"/>
              </w:rPr>
              <w:t>上述情况必须有至少一个月的病历记录加以证实。</w:t>
            </w:r>
          </w:p>
          <w:p>
            <w:pPr>
              <w:pStyle w:val="TableParagraph"/>
              <w:spacing w:before="2"/>
              <w:rPr>
                <w:rFonts w:ascii="黑体"/>
                <w:sz w:val="18"/>
              </w:rPr>
            </w:pPr>
          </w:p>
          <w:p>
            <w:pPr>
              <w:pStyle w:val="TableParagraph"/>
              <w:spacing w:line="255" w:lineRule="exact" w:before="1"/>
              <w:ind w:left="108"/>
              <w:jc w:val="both"/>
              <w:rPr>
                <w:rFonts w:ascii="黑体" w:eastAsia="黑体" w:hint="eastAsia"/>
                <w:sz w:val="21"/>
              </w:rPr>
            </w:pPr>
            <w:r>
              <w:rPr>
                <w:rFonts w:ascii="黑体" w:eastAsia="黑体" w:hint="eastAsia"/>
                <w:sz w:val="21"/>
              </w:rPr>
              <w:t>由于酗酒或滥用药物所致的植物人状态不在保障范围内。</w:t>
            </w:r>
          </w:p>
        </w:tc>
      </w:tr>
    </w:tbl>
    <w:p>
      <w:pPr>
        <w:spacing w:after="0" w:line="255" w:lineRule="exact"/>
        <w:jc w:val="both"/>
        <w:rPr>
          <w:rFonts w:ascii="黑体" w:eastAsia="黑体" w:hint="eastAsia"/>
          <w:sz w:val="21"/>
        </w:rPr>
        <w:sectPr>
          <w:pgSz w:w="11910" w:h="16840"/>
          <w:pgMar w:top="1060" w:bottom="280" w:left="1420" w:right="1320"/>
        </w:sectPr>
      </w:pPr>
    </w:p>
    <w:p>
      <w:pPr>
        <w:pStyle w:val="BodyText"/>
        <w:spacing w:before="9"/>
        <w:rPr>
          <w:rFonts w:ascii="Times New Roman"/>
          <w:sz w:val="7"/>
        </w:r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8"/>
        <w:gridCol w:w="7165"/>
      </w:tblGrid>
      <w:tr>
        <w:trPr>
          <w:trHeight w:val="1424" w:hRule="atLeast"/>
        </w:trPr>
        <w:tc>
          <w:tcPr>
            <w:tcW w:w="1788" w:type="dxa"/>
          </w:tcPr>
          <w:p>
            <w:pPr>
              <w:pStyle w:val="TableParagraph"/>
              <w:spacing w:line="234" w:lineRule="exact"/>
              <w:ind w:left="200"/>
              <w:rPr>
                <w:b/>
                <w:sz w:val="21"/>
              </w:rPr>
            </w:pPr>
            <w:r>
              <w:rPr>
                <w:rFonts w:ascii="Times New Roman" w:eastAsia="Times New Roman"/>
                <w:b/>
                <w:sz w:val="21"/>
              </w:rPr>
              <w:t>55.</w:t>
            </w:r>
            <w:r>
              <w:rPr>
                <w:b/>
                <w:sz w:val="21"/>
              </w:rPr>
              <w:t>颅脑手术</w:t>
            </w:r>
          </w:p>
        </w:tc>
        <w:tc>
          <w:tcPr>
            <w:tcW w:w="7165" w:type="dxa"/>
          </w:tcPr>
          <w:p>
            <w:pPr>
              <w:pStyle w:val="TableParagraph"/>
              <w:spacing w:line="217" w:lineRule="exact"/>
              <w:ind w:left="108"/>
              <w:rPr>
                <w:sz w:val="21"/>
              </w:rPr>
            </w:pPr>
            <w:r>
              <w:rPr>
                <w:sz w:val="21"/>
              </w:rPr>
              <w:t>被保险人已实施全麻下的开颅手术（不包括颅骨钻孔手术和经鼻蝶窦入颅</w:t>
            </w:r>
          </w:p>
          <w:p>
            <w:pPr>
              <w:pStyle w:val="TableParagraph"/>
              <w:spacing w:line="274" w:lineRule="exact"/>
              <w:ind w:left="108"/>
              <w:rPr>
                <w:sz w:val="21"/>
              </w:rPr>
            </w:pPr>
            <w:r>
              <w:rPr>
                <w:sz w:val="21"/>
              </w:rPr>
              <w:t>手术</w:t>
            </w:r>
            <w:r>
              <w:rPr>
                <w:spacing w:val="-108"/>
                <w:sz w:val="21"/>
              </w:rPr>
              <w:t>）</w:t>
            </w:r>
            <w:r>
              <w:rPr>
                <w:sz w:val="21"/>
              </w:rPr>
              <w:t>。</w:t>
            </w:r>
          </w:p>
          <w:p>
            <w:pPr>
              <w:pStyle w:val="TableParagraph"/>
              <w:rPr>
                <w:rFonts w:ascii="Times New Roman"/>
                <w:sz w:val="21"/>
              </w:rPr>
            </w:pPr>
          </w:p>
          <w:p>
            <w:pPr>
              <w:pStyle w:val="TableParagraph"/>
              <w:spacing w:line="237" w:lineRule="auto"/>
              <w:ind w:left="108" w:right="306"/>
              <w:rPr>
                <w:sz w:val="21"/>
              </w:rPr>
            </w:pPr>
            <w:r>
              <w:rPr>
                <w:rFonts w:ascii="黑体" w:eastAsia="黑体" w:hint="eastAsia"/>
                <w:sz w:val="21"/>
              </w:rPr>
              <w:t>因外伤而实施的脑外科手术不在保障范围内。</w:t>
            </w:r>
            <w:r>
              <w:rPr>
                <w:sz w:val="21"/>
              </w:rPr>
              <w:t>理赔时必须提供由神经外科专科医生出具的诊断书及手术报告。</w:t>
            </w:r>
          </w:p>
        </w:tc>
      </w:tr>
      <w:tr>
        <w:trPr>
          <w:trHeight w:val="1611" w:hRule="atLeast"/>
        </w:trPr>
        <w:tc>
          <w:tcPr>
            <w:tcW w:w="1788" w:type="dxa"/>
          </w:tcPr>
          <w:p>
            <w:pPr>
              <w:pStyle w:val="TableParagraph"/>
              <w:spacing w:line="225" w:lineRule="auto" w:before="108"/>
              <w:ind w:left="200" w:right="268"/>
              <w:rPr>
                <w:b/>
                <w:sz w:val="21"/>
              </w:rPr>
            </w:pPr>
            <w:r>
              <w:rPr>
                <w:rFonts w:ascii="Times New Roman" w:eastAsia="Times New Roman"/>
                <w:b/>
                <w:sz w:val="21"/>
              </w:rPr>
              <w:t>56.</w:t>
            </w:r>
            <w:r>
              <w:rPr>
                <w:b/>
                <w:sz w:val="21"/>
              </w:rPr>
              <w:t>进行性核上性麻痹</w:t>
            </w:r>
          </w:p>
        </w:tc>
        <w:tc>
          <w:tcPr>
            <w:tcW w:w="7165" w:type="dxa"/>
          </w:tcPr>
          <w:p>
            <w:pPr>
              <w:pStyle w:val="TableParagraph"/>
              <w:spacing w:before="90"/>
              <w:ind w:left="108" w:right="306"/>
              <w:rPr>
                <w:sz w:val="21"/>
              </w:rPr>
            </w:pPr>
            <w:r>
              <w:rPr>
                <w:sz w:val="21"/>
              </w:rPr>
              <w:t>指一种隐袭起病、逐渐加重的神经系统变性疾病，必须由神经内科专科医生确诊，且满足下列全部临床特征：</w:t>
            </w:r>
          </w:p>
          <w:p>
            <w:pPr>
              <w:pStyle w:val="TableParagraph"/>
              <w:spacing w:line="279" w:lineRule="exact"/>
              <w:ind w:left="108"/>
              <w:rPr>
                <w:sz w:val="21"/>
              </w:rPr>
            </w:pPr>
            <w:r>
              <w:rPr>
                <w:sz w:val="21"/>
              </w:rPr>
              <w:t>（</w:t>
            </w:r>
            <w:r>
              <w:rPr>
                <w:rFonts w:ascii="Times New Roman" w:eastAsia="Times New Roman"/>
                <w:sz w:val="21"/>
              </w:rPr>
              <w:t>1</w:t>
            </w:r>
            <w:r>
              <w:rPr>
                <w:sz w:val="21"/>
              </w:rPr>
              <w:t>）步态共济失调；</w:t>
            </w:r>
          </w:p>
          <w:p>
            <w:pPr>
              <w:pStyle w:val="TableParagraph"/>
              <w:spacing w:line="272" w:lineRule="exact"/>
              <w:ind w:left="108"/>
              <w:rPr>
                <w:sz w:val="21"/>
              </w:rPr>
            </w:pPr>
            <w:r>
              <w:rPr>
                <w:sz w:val="21"/>
              </w:rPr>
              <w:t>（</w:t>
            </w:r>
            <w:r>
              <w:rPr>
                <w:rFonts w:ascii="Times New Roman" w:eastAsia="Times New Roman"/>
                <w:sz w:val="21"/>
              </w:rPr>
              <w:t>2</w:t>
            </w:r>
            <w:r>
              <w:rPr>
                <w:sz w:val="21"/>
              </w:rPr>
              <w:t>）对称性眼球垂直运动障碍；</w:t>
            </w:r>
          </w:p>
          <w:p>
            <w:pPr>
              <w:pStyle w:val="TableParagraph"/>
              <w:spacing w:line="281" w:lineRule="exact"/>
              <w:ind w:left="108"/>
              <w:rPr>
                <w:sz w:val="21"/>
              </w:rPr>
            </w:pPr>
            <w:r>
              <w:rPr>
                <w:spacing w:val="-1"/>
                <w:sz w:val="21"/>
              </w:rPr>
              <w:t>（</w:t>
            </w:r>
            <w:r>
              <w:rPr>
                <w:rFonts w:ascii="Times New Roman" w:eastAsia="Times New Roman"/>
                <w:spacing w:val="-1"/>
                <w:sz w:val="21"/>
              </w:rPr>
              <w:t>3</w:t>
            </w:r>
            <w:r>
              <w:rPr>
                <w:spacing w:val="-1"/>
                <w:sz w:val="21"/>
              </w:rPr>
              <w:t>）</w:t>
            </w:r>
            <w:r>
              <w:rPr>
                <w:spacing w:val="-3"/>
                <w:sz w:val="21"/>
              </w:rPr>
              <w:t>假性球麻痹（构音障碍和吞咽困难</w:t>
            </w:r>
            <w:r>
              <w:rPr>
                <w:spacing w:val="-108"/>
                <w:sz w:val="21"/>
              </w:rPr>
              <w:t>）</w:t>
            </w:r>
            <w:r>
              <w:rPr>
                <w:sz w:val="21"/>
              </w:rPr>
              <w:t>。</w:t>
            </w:r>
          </w:p>
        </w:tc>
      </w:tr>
      <w:tr>
        <w:trPr>
          <w:trHeight w:val="2109" w:hRule="atLeast"/>
        </w:trPr>
        <w:tc>
          <w:tcPr>
            <w:tcW w:w="1788" w:type="dxa"/>
          </w:tcPr>
          <w:p>
            <w:pPr>
              <w:pStyle w:val="TableParagraph"/>
              <w:spacing w:line="230" w:lineRule="auto" w:before="94"/>
              <w:ind w:left="200" w:right="107"/>
              <w:rPr>
                <w:b/>
                <w:sz w:val="21"/>
              </w:rPr>
            </w:pPr>
            <w:r>
              <w:rPr>
                <w:rFonts w:ascii="Times New Roman" w:eastAsia="Times New Roman"/>
                <w:b/>
                <w:sz w:val="21"/>
              </w:rPr>
              <w:t>57.</w:t>
            </w:r>
            <w:r>
              <w:rPr>
                <w:b/>
                <w:sz w:val="21"/>
              </w:rPr>
              <w:t>非阿尔茨海默病所致严重痴呆</w:t>
            </w:r>
          </w:p>
        </w:tc>
        <w:tc>
          <w:tcPr>
            <w:tcW w:w="7165" w:type="dxa"/>
          </w:tcPr>
          <w:p>
            <w:pPr>
              <w:pStyle w:val="TableParagraph"/>
              <w:spacing w:line="237" w:lineRule="auto" w:before="85"/>
              <w:ind w:left="108" w:right="307"/>
              <w:jc w:val="both"/>
              <w:rPr>
                <w:sz w:val="21"/>
              </w:rPr>
            </w:pPr>
            <w:r>
              <w:rPr>
                <w:sz w:val="21"/>
              </w:rPr>
              <w:t>指因阿尔茨海默病以外的脑的器质性疾病造成脑功能衰竭导致永久不可逆性的严重痴呆，临床表现为明显的认知能力障碍、行为异常和社交能力减退。被保险人自主生活能力完全丧失，无法独立完成六项基本日常生活活动中的三项或三项以上，日常生活必须持续受到他人监护。导致痴呆的疾病必须明确诊断，并且由完整的临床、实验室和影像学检查结果证实。</w:t>
            </w:r>
          </w:p>
          <w:p>
            <w:pPr>
              <w:pStyle w:val="TableParagraph"/>
              <w:spacing w:before="8"/>
              <w:rPr>
                <w:rFonts w:ascii="Times New Roman"/>
                <w:sz w:val="20"/>
              </w:rPr>
            </w:pPr>
          </w:p>
          <w:p>
            <w:pPr>
              <w:pStyle w:val="TableParagraph"/>
              <w:ind w:left="108"/>
              <w:jc w:val="both"/>
              <w:rPr>
                <w:rFonts w:ascii="黑体" w:eastAsia="黑体" w:hint="eastAsia"/>
                <w:sz w:val="21"/>
              </w:rPr>
            </w:pPr>
            <w:r>
              <w:rPr>
                <w:rFonts w:ascii="黑体" w:eastAsia="黑体" w:hint="eastAsia"/>
                <w:sz w:val="21"/>
              </w:rPr>
              <w:t>神经官能症、精神疾病及酒精中毒所致脑损害不在保障范围内。</w:t>
            </w:r>
          </w:p>
        </w:tc>
      </w:tr>
      <w:tr>
        <w:trPr>
          <w:trHeight w:val="2398" w:hRule="atLeast"/>
        </w:trPr>
        <w:tc>
          <w:tcPr>
            <w:tcW w:w="1788" w:type="dxa"/>
          </w:tcPr>
          <w:p>
            <w:pPr>
              <w:pStyle w:val="TableParagraph"/>
              <w:spacing w:line="225" w:lineRule="auto" w:before="108"/>
              <w:ind w:left="200" w:right="268"/>
              <w:rPr>
                <w:b/>
                <w:sz w:val="21"/>
              </w:rPr>
            </w:pPr>
            <w:r>
              <w:rPr>
                <w:rFonts w:ascii="Times New Roman" w:eastAsia="Times New Roman"/>
                <w:b/>
                <w:sz w:val="21"/>
              </w:rPr>
              <w:t>58.</w:t>
            </w:r>
            <w:r>
              <w:rPr>
                <w:b/>
                <w:sz w:val="21"/>
              </w:rPr>
              <w:t>多发性硬化症</w:t>
            </w:r>
          </w:p>
        </w:tc>
        <w:tc>
          <w:tcPr>
            <w:tcW w:w="7165" w:type="dxa"/>
          </w:tcPr>
          <w:p>
            <w:pPr>
              <w:pStyle w:val="TableParagraph"/>
              <w:spacing w:line="232" w:lineRule="auto" w:before="99"/>
              <w:ind w:left="108" w:right="198"/>
              <w:rPr>
                <w:sz w:val="21"/>
              </w:rPr>
            </w:pPr>
            <w:r>
              <w:rPr>
                <w:spacing w:val="-7"/>
                <w:sz w:val="21"/>
              </w:rPr>
              <w:t>多发性硬化症为中枢神经系统白质多灶性脱髓鞘病变，病变有时累及灰质。多发性硬化症必须由医院的神经科专科医生确诊。必须伴有典型的脱髓鞘症状和运动及感觉功能障碍的证据并有核磁共振检查（</w:t>
            </w:r>
            <w:r>
              <w:rPr>
                <w:rFonts w:ascii="Times New Roman" w:eastAsia="Times New Roman"/>
                <w:spacing w:val="-7"/>
                <w:sz w:val="21"/>
              </w:rPr>
              <w:t>MRI</w:t>
            </w:r>
            <w:r>
              <w:rPr>
                <w:spacing w:val="-7"/>
                <w:sz w:val="21"/>
              </w:rPr>
              <w:t>）和脑脊液检</w:t>
            </w:r>
            <w:r>
              <w:rPr>
                <w:spacing w:val="-5"/>
                <w:sz w:val="21"/>
              </w:rPr>
              <w:t>查的典型改变。</w:t>
            </w:r>
          </w:p>
          <w:p>
            <w:pPr>
              <w:pStyle w:val="TableParagraph"/>
              <w:rPr>
                <w:rFonts w:ascii="Times New Roman"/>
                <w:sz w:val="21"/>
              </w:rPr>
            </w:pPr>
          </w:p>
          <w:p>
            <w:pPr>
              <w:pStyle w:val="TableParagraph"/>
              <w:spacing w:line="237" w:lineRule="auto"/>
              <w:ind w:left="108" w:right="307"/>
              <w:jc w:val="both"/>
              <w:rPr>
                <w:sz w:val="21"/>
              </w:rPr>
            </w:pPr>
            <w:r>
              <w:rPr>
                <w:sz w:val="21"/>
              </w:rPr>
              <w:t>多发性硬化症必须造成神经系统永久性功能损害并且已导致被保险人自主生活能力完全丧失，无法独立完成六项基本日常生活活动中的三项或三项以上持续达 </w:t>
            </w:r>
            <w:r>
              <w:rPr>
                <w:rFonts w:ascii="Times New Roman" w:eastAsia="Times New Roman"/>
                <w:sz w:val="21"/>
              </w:rPr>
              <w:t>180 </w:t>
            </w:r>
            <w:r>
              <w:rPr>
                <w:sz w:val="21"/>
              </w:rPr>
              <w:t>天以上。</w:t>
            </w:r>
          </w:p>
        </w:tc>
      </w:tr>
      <w:tr>
        <w:trPr>
          <w:trHeight w:val="2381" w:hRule="atLeast"/>
        </w:trPr>
        <w:tc>
          <w:tcPr>
            <w:tcW w:w="1788" w:type="dxa"/>
          </w:tcPr>
          <w:p>
            <w:pPr>
              <w:pStyle w:val="TableParagraph"/>
              <w:spacing w:line="223" w:lineRule="auto" w:before="103"/>
              <w:ind w:left="200" w:right="268"/>
              <w:rPr>
                <w:b/>
                <w:sz w:val="21"/>
              </w:rPr>
            </w:pPr>
            <w:r>
              <w:rPr>
                <w:rFonts w:ascii="Times New Roman" w:eastAsia="Times New Roman"/>
                <w:b/>
                <w:sz w:val="21"/>
              </w:rPr>
              <w:t>59.</w:t>
            </w:r>
            <w:r>
              <w:rPr>
                <w:b/>
                <w:sz w:val="21"/>
              </w:rPr>
              <w:t>进行性脊髓性肌萎缩</w:t>
            </w:r>
          </w:p>
        </w:tc>
        <w:tc>
          <w:tcPr>
            <w:tcW w:w="7165" w:type="dxa"/>
          </w:tcPr>
          <w:p>
            <w:pPr>
              <w:pStyle w:val="TableParagraph"/>
              <w:spacing w:line="237" w:lineRule="auto" w:before="85"/>
              <w:ind w:left="108" w:right="307"/>
              <w:jc w:val="both"/>
              <w:rPr>
                <w:sz w:val="21"/>
              </w:rPr>
            </w:pPr>
            <w:r>
              <w:rPr>
                <w:sz w:val="21"/>
              </w:rPr>
              <w:t>指脊髓前角细胞及脑干运动细胞核的退化病变，以近侧的肌肉无力和萎缩为主要特征，由腿部为最先开始并逐步扩散至远侧的肌肉。此症必须由专科医生确诊，并有肌电图等检查证实。</w:t>
            </w:r>
          </w:p>
          <w:p>
            <w:pPr>
              <w:pStyle w:val="TableParagraph"/>
              <w:spacing w:before="4"/>
              <w:rPr>
                <w:rFonts w:ascii="Times New Roman"/>
                <w:sz w:val="21"/>
              </w:rPr>
            </w:pPr>
          </w:p>
          <w:p>
            <w:pPr>
              <w:pStyle w:val="TableParagraph"/>
              <w:spacing w:line="232" w:lineRule="auto" w:before="1"/>
              <w:ind w:left="108" w:right="303"/>
              <w:jc w:val="both"/>
              <w:rPr>
                <w:rFonts w:ascii="黑体" w:eastAsia="黑体" w:hint="eastAsia"/>
                <w:sz w:val="21"/>
              </w:rPr>
            </w:pPr>
            <w:r>
              <w:rPr>
                <w:spacing w:val="-3"/>
                <w:sz w:val="21"/>
              </w:rPr>
              <w:t>进行性脊髓性肌萎缩必须造成神经系统永久性功能损害并且已导致被保险人自主生活能力完全丧失，无法独立完成六项基本日常生活活动中的三项</w:t>
            </w:r>
            <w:r>
              <w:rPr>
                <w:spacing w:val="-8"/>
                <w:sz w:val="21"/>
              </w:rPr>
              <w:t>或三项以上持续达 </w:t>
            </w:r>
            <w:r>
              <w:rPr>
                <w:rFonts w:ascii="Times New Roman" w:eastAsia="Times New Roman"/>
                <w:sz w:val="21"/>
              </w:rPr>
              <w:t>180 </w:t>
            </w:r>
            <w:r>
              <w:rPr>
                <w:spacing w:val="-3"/>
                <w:sz w:val="21"/>
              </w:rPr>
              <w:t>天以上。</w:t>
            </w:r>
            <w:r>
              <w:rPr>
                <w:rFonts w:ascii="黑体" w:eastAsia="黑体" w:hint="eastAsia"/>
                <w:spacing w:val="-6"/>
                <w:sz w:val="21"/>
              </w:rPr>
              <w:t>并且只有在被保险人年龄大于或等于 </w:t>
            </w:r>
            <w:r>
              <w:rPr>
                <w:rFonts w:ascii="黑体" w:eastAsia="黑体" w:hint="eastAsia"/>
                <w:sz w:val="21"/>
              </w:rPr>
              <w:t>5</w:t>
            </w:r>
            <w:r>
              <w:rPr>
                <w:rFonts w:ascii="黑体" w:eastAsia="黑体" w:hint="eastAsia"/>
                <w:spacing w:val="-21"/>
                <w:sz w:val="21"/>
              </w:rPr>
              <w:t> 周</w:t>
            </w:r>
            <w:r>
              <w:rPr>
                <w:rFonts w:ascii="黑体" w:eastAsia="黑体" w:hint="eastAsia"/>
                <w:spacing w:val="-8"/>
                <w:sz w:val="21"/>
              </w:rPr>
              <w:t>岁后首次确诊此症才可获得理赔。</w:t>
            </w:r>
          </w:p>
        </w:tc>
      </w:tr>
      <w:tr>
        <w:trPr>
          <w:trHeight w:val="1611" w:hRule="atLeast"/>
        </w:trPr>
        <w:tc>
          <w:tcPr>
            <w:tcW w:w="1788" w:type="dxa"/>
          </w:tcPr>
          <w:p>
            <w:pPr>
              <w:pStyle w:val="TableParagraph"/>
              <w:spacing w:line="223" w:lineRule="auto" w:before="112"/>
              <w:ind w:left="200" w:right="268"/>
              <w:rPr>
                <w:b/>
                <w:sz w:val="21"/>
              </w:rPr>
            </w:pPr>
            <w:r>
              <w:rPr>
                <w:rFonts w:ascii="Times New Roman" w:eastAsia="Times New Roman"/>
                <w:b/>
                <w:sz w:val="21"/>
              </w:rPr>
              <w:t>60.</w:t>
            </w:r>
            <w:r>
              <w:rPr>
                <w:b/>
                <w:sz w:val="21"/>
              </w:rPr>
              <w:t>进行性延髓麻痹症</w:t>
            </w:r>
          </w:p>
        </w:tc>
        <w:tc>
          <w:tcPr>
            <w:tcW w:w="7165" w:type="dxa"/>
          </w:tcPr>
          <w:p>
            <w:pPr>
              <w:pStyle w:val="TableParagraph"/>
              <w:spacing w:line="237" w:lineRule="auto" w:before="94"/>
              <w:ind w:left="108" w:right="307"/>
              <w:jc w:val="both"/>
              <w:rPr>
                <w:sz w:val="21"/>
              </w:rPr>
            </w:pPr>
            <w:r>
              <w:rPr>
                <w:sz w:val="21"/>
              </w:rPr>
              <w:t>指由颅神经和皮质延髓束所支配的肌肉发生进行性退化，导致咀嚼、吞咽与谈话困难。必须由专科医生明确诊断为进行性病变，并有肌电图等检查证实，必须造成神经系统永久性功能损害并且已导致被保险人自主生活能力完全丧失，无法独立完成六项基本日常生活活动中的三项或三项以上持续达 </w:t>
            </w:r>
            <w:r>
              <w:rPr>
                <w:rFonts w:ascii="Times New Roman" w:eastAsia="Times New Roman"/>
                <w:sz w:val="21"/>
              </w:rPr>
              <w:t>180 </w:t>
            </w:r>
            <w:r>
              <w:rPr>
                <w:sz w:val="21"/>
              </w:rPr>
              <w:t>天以上。</w:t>
            </w:r>
          </w:p>
        </w:tc>
      </w:tr>
      <w:tr>
        <w:trPr>
          <w:trHeight w:val="1735" w:hRule="atLeast"/>
        </w:trPr>
        <w:tc>
          <w:tcPr>
            <w:tcW w:w="1788" w:type="dxa"/>
          </w:tcPr>
          <w:p>
            <w:pPr>
              <w:pStyle w:val="TableParagraph"/>
              <w:spacing w:line="223" w:lineRule="auto" w:before="104"/>
              <w:ind w:left="200" w:right="268"/>
              <w:rPr>
                <w:b/>
                <w:sz w:val="21"/>
              </w:rPr>
            </w:pPr>
            <w:r>
              <w:rPr>
                <w:rFonts w:ascii="Times New Roman" w:eastAsia="Times New Roman"/>
                <w:b/>
                <w:sz w:val="21"/>
              </w:rPr>
              <w:t>61.</w:t>
            </w:r>
            <w:r>
              <w:rPr>
                <w:b/>
                <w:sz w:val="21"/>
              </w:rPr>
              <w:t>肌萎缩性侧索硬化症</w:t>
            </w:r>
          </w:p>
        </w:tc>
        <w:tc>
          <w:tcPr>
            <w:tcW w:w="7165" w:type="dxa"/>
          </w:tcPr>
          <w:p>
            <w:pPr>
              <w:pStyle w:val="TableParagraph"/>
              <w:spacing w:line="237" w:lineRule="auto" w:before="87"/>
              <w:ind w:left="108" w:right="306"/>
              <w:jc w:val="both"/>
              <w:rPr>
                <w:sz w:val="21"/>
              </w:rPr>
            </w:pPr>
            <w:r>
              <w:rPr>
                <w:sz w:val="21"/>
              </w:rPr>
              <w:t>以肌肉无力及萎缩为特征，并有以下情况作为证明：脊髓前角细胞功能失调、可见的肌肉颤动、痉挛、过度活跃之深层肌腱反射和外部足底反射、影响皮质脊髓束、构音障碍及吞咽困难。必须由专科医生明确诊断为进行性病变，并有肌电图等检查证实，必须造成神经系统永久性功能损害并且已导致被保险人自主生活能力完全丧失，无法独立完成六项基本日常生活</w:t>
            </w:r>
          </w:p>
          <w:p>
            <w:pPr>
              <w:pStyle w:val="TableParagraph"/>
              <w:spacing w:line="270" w:lineRule="exact"/>
              <w:ind w:left="108"/>
              <w:jc w:val="both"/>
              <w:rPr>
                <w:sz w:val="21"/>
              </w:rPr>
            </w:pPr>
            <w:r>
              <w:rPr>
                <w:sz w:val="21"/>
              </w:rPr>
              <w:t>活动中的三项或三项以上持续达 </w:t>
            </w:r>
            <w:r>
              <w:rPr>
                <w:rFonts w:ascii="Times New Roman" w:eastAsia="Times New Roman"/>
                <w:sz w:val="21"/>
              </w:rPr>
              <w:t>180 </w:t>
            </w:r>
            <w:r>
              <w:rPr>
                <w:sz w:val="21"/>
              </w:rPr>
              <w:t>天以上。</w:t>
            </w:r>
          </w:p>
        </w:tc>
      </w:tr>
    </w:tbl>
    <w:p>
      <w:pPr>
        <w:spacing w:after="0" w:line="270" w:lineRule="exact"/>
        <w:jc w:val="both"/>
        <w:rPr>
          <w:sz w:val="21"/>
        </w:rPr>
        <w:sectPr>
          <w:pgSz w:w="11910" w:h="16840"/>
          <w:pgMar w:top="1580" w:bottom="280" w:left="1420" w:right="13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07"/>
        <w:gridCol w:w="7245"/>
      </w:tblGrid>
      <w:tr>
        <w:trPr>
          <w:trHeight w:val="1424" w:hRule="atLeast"/>
        </w:trPr>
        <w:tc>
          <w:tcPr>
            <w:tcW w:w="1707" w:type="dxa"/>
          </w:tcPr>
          <w:p>
            <w:pPr>
              <w:pStyle w:val="TableParagraph"/>
              <w:spacing w:line="224" w:lineRule="exact"/>
              <w:ind w:left="200"/>
              <w:rPr>
                <w:b/>
                <w:sz w:val="21"/>
              </w:rPr>
            </w:pPr>
            <w:r>
              <w:rPr>
                <w:rFonts w:ascii="Times New Roman" w:eastAsia="Times New Roman"/>
                <w:b/>
                <w:sz w:val="21"/>
              </w:rPr>
              <w:t>62.</w:t>
            </w:r>
            <w:r>
              <w:rPr>
                <w:b/>
                <w:sz w:val="21"/>
              </w:rPr>
              <w:t>破裂脑动脉</w:t>
            </w:r>
          </w:p>
          <w:p>
            <w:pPr>
              <w:pStyle w:val="TableParagraph"/>
              <w:spacing w:line="265" w:lineRule="exact"/>
              <w:ind w:left="200"/>
              <w:rPr>
                <w:b/>
                <w:sz w:val="21"/>
              </w:rPr>
            </w:pPr>
            <w:r>
              <w:rPr>
                <w:b/>
                <w:sz w:val="21"/>
              </w:rPr>
              <w:t>瘤夹闭手术</w:t>
            </w:r>
          </w:p>
        </w:tc>
        <w:tc>
          <w:tcPr>
            <w:tcW w:w="7245" w:type="dxa"/>
          </w:tcPr>
          <w:p>
            <w:pPr>
              <w:pStyle w:val="TableParagraph"/>
              <w:spacing w:line="216" w:lineRule="exact"/>
              <w:ind w:left="189"/>
              <w:rPr>
                <w:sz w:val="21"/>
              </w:rPr>
            </w:pPr>
            <w:r>
              <w:rPr>
                <w:sz w:val="21"/>
              </w:rPr>
              <w:t>指因脑动脉瘤破裂造成蛛网膜下腔出血，被保险人实际接受了在全麻下进</w:t>
            </w:r>
          </w:p>
          <w:p>
            <w:pPr>
              <w:pStyle w:val="TableParagraph"/>
              <w:spacing w:line="273" w:lineRule="exact"/>
              <w:ind w:left="189"/>
              <w:rPr>
                <w:sz w:val="21"/>
              </w:rPr>
            </w:pPr>
            <w:r>
              <w:rPr>
                <w:sz w:val="21"/>
              </w:rPr>
              <w:t>行的开颅动脉瘤夹闭手术。</w:t>
            </w:r>
          </w:p>
          <w:p>
            <w:pPr>
              <w:pStyle w:val="TableParagraph"/>
              <w:spacing w:before="9"/>
              <w:rPr>
                <w:rFonts w:ascii="Times New Roman"/>
                <w:sz w:val="20"/>
              </w:rPr>
            </w:pPr>
          </w:p>
          <w:p>
            <w:pPr>
              <w:pStyle w:val="TableParagraph"/>
              <w:ind w:left="189" w:right="306"/>
              <w:rPr>
                <w:rFonts w:ascii="黑体" w:eastAsia="黑体" w:hint="eastAsia"/>
                <w:sz w:val="21"/>
              </w:rPr>
            </w:pPr>
            <w:r>
              <w:rPr>
                <w:rFonts w:ascii="黑体" w:eastAsia="黑体" w:hint="eastAsia"/>
                <w:sz w:val="21"/>
              </w:rPr>
              <w:t>脑动脉瘤（未破裂）预防性手术、颅骨打孔手术、动脉瘤栓塞手术、血管内手术及其它颅脑手术不在保障范围内。</w:t>
            </w:r>
          </w:p>
        </w:tc>
      </w:tr>
      <w:tr>
        <w:trPr>
          <w:trHeight w:val="3517" w:hRule="atLeast"/>
        </w:trPr>
        <w:tc>
          <w:tcPr>
            <w:tcW w:w="1707" w:type="dxa"/>
          </w:tcPr>
          <w:p>
            <w:pPr>
              <w:pStyle w:val="TableParagraph"/>
              <w:spacing w:line="223" w:lineRule="auto" w:before="111"/>
              <w:ind w:left="200" w:right="187"/>
              <w:rPr>
                <w:b/>
                <w:sz w:val="21"/>
              </w:rPr>
            </w:pPr>
            <w:r>
              <w:rPr>
                <w:rFonts w:ascii="Times New Roman" w:eastAsia="Times New Roman"/>
                <w:b/>
                <w:sz w:val="21"/>
              </w:rPr>
              <w:t>63.</w:t>
            </w:r>
            <w:r>
              <w:rPr>
                <w:b/>
                <w:sz w:val="21"/>
              </w:rPr>
              <w:t>疾病或外伤所致智力障碍</w:t>
            </w:r>
          </w:p>
        </w:tc>
        <w:tc>
          <w:tcPr>
            <w:tcW w:w="7245" w:type="dxa"/>
          </w:tcPr>
          <w:p>
            <w:pPr>
              <w:pStyle w:val="TableParagraph"/>
              <w:spacing w:line="228" w:lineRule="auto" w:before="105"/>
              <w:ind w:left="189" w:right="197"/>
              <w:rPr>
                <w:sz w:val="21"/>
              </w:rPr>
            </w:pPr>
            <w:r>
              <w:rPr>
                <w:spacing w:val="-7"/>
                <w:sz w:val="21"/>
              </w:rPr>
              <w:t>因严重头部创伤或疾病造成被保险人智力低下或智力残疾。根据智商</w:t>
            </w:r>
            <w:r>
              <w:rPr>
                <w:sz w:val="21"/>
              </w:rPr>
              <w:t>（</w:t>
            </w:r>
            <w:r>
              <w:rPr>
                <w:rFonts w:ascii="Times New Roman" w:eastAsia="Times New Roman"/>
                <w:sz w:val="21"/>
              </w:rPr>
              <w:t>IQ</w:t>
            </w:r>
            <w:r>
              <w:rPr>
                <w:sz w:val="21"/>
              </w:rPr>
              <w:t>） </w:t>
            </w:r>
            <w:r>
              <w:rPr>
                <w:w w:val="100"/>
                <w:sz w:val="21"/>
              </w:rPr>
              <w:t>智力低下分为轻度（</w:t>
            </w:r>
            <w:r>
              <w:rPr>
                <w:rFonts w:ascii="Times New Roman" w:eastAsia="Times New Roman"/>
                <w:spacing w:val="-4"/>
                <w:w w:val="100"/>
                <w:sz w:val="21"/>
              </w:rPr>
              <w:t>I</w:t>
            </w:r>
            <w:r>
              <w:rPr>
                <w:rFonts w:ascii="Times New Roman" w:eastAsia="Times New Roman"/>
                <w:w w:val="100"/>
                <w:sz w:val="21"/>
              </w:rPr>
              <w:t>Q</w:t>
            </w:r>
            <w:r>
              <w:rPr>
                <w:rFonts w:ascii="Times New Roman" w:eastAsia="Times New Roman"/>
                <w:w w:val="100"/>
                <w:sz w:val="21"/>
              </w:rPr>
              <w:t>50</w:t>
            </w:r>
            <w:r>
              <w:rPr>
                <w:rFonts w:ascii="Times New Roman" w:eastAsia="Times New Roman"/>
                <w:spacing w:val="-1"/>
                <w:w w:val="100"/>
                <w:sz w:val="21"/>
              </w:rPr>
              <w:t>-</w:t>
            </w:r>
            <w:r>
              <w:rPr>
                <w:rFonts w:ascii="Times New Roman" w:eastAsia="Times New Roman"/>
                <w:w w:val="100"/>
                <w:sz w:val="21"/>
              </w:rPr>
              <w:t>69</w:t>
            </w:r>
            <w:r>
              <w:rPr>
                <w:rFonts w:ascii="Times New Roman" w:eastAsia="Times New Roman"/>
                <w:spacing w:val="-1"/>
                <w:w w:val="100"/>
                <w:sz w:val="21"/>
              </w:rPr>
              <w:t>)</w:t>
            </w:r>
            <w:r>
              <w:rPr>
                <w:w w:val="100"/>
                <w:sz w:val="21"/>
              </w:rPr>
              <w:t>、中度（</w:t>
            </w:r>
            <w:r>
              <w:rPr>
                <w:rFonts w:ascii="Times New Roman" w:eastAsia="Times New Roman"/>
                <w:spacing w:val="-4"/>
                <w:w w:val="100"/>
                <w:sz w:val="21"/>
              </w:rPr>
              <w:t>I</w:t>
            </w:r>
            <w:r>
              <w:rPr>
                <w:rFonts w:ascii="Times New Roman" w:eastAsia="Times New Roman"/>
                <w:w w:val="100"/>
                <w:sz w:val="21"/>
              </w:rPr>
              <w:t>Q</w:t>
            </w:r>
            <w:r>
              <w:rPr>
                <w:rFonts w:ascii="Times New Roman" w:eastAsia="Times New Roman"/>
                <w:w w:val="100"/>
                <w:sz w:val="21"/>
              </w:rPr>
              <w:t>35</w:t>
            </w:r>
            <w:r>
              <w:rPr>
                <w:rFonts w:ascii="Times New Roman" w:eastAsia="Times New Roman"/>
                <w:spacing w:val="-4"/>
                <w:w w:val="100"/>
                <w:sz w:val="21"/>
              </w:rPr>
              <w:t>-</w:t>
            </w:r>
            <w:r>
              <w:rPr>
                <w:rFonts w:ascii="Times New Roman" w:eastAsia="Times New Roman"/>
                <w:w w:val="100"/>
                <w:sz w:val="21"/>
              </w:rPr>
              <w:t>49</w:t>
            </w:r>
            <w:r>
              <w:rPr>
                <w:spacing w:val="-104"/>
                <w:w w:val="100"/>
                <w:sz w:val="21"/>
              </w:rPr>
              <w:t>）</w:t>
            </w:r>
            <w:r>
              <w:rPr>
                <w:w w:val="100"/>
                <w:sz w:val="21"/>
              </w:rPr>
              <w:t>、重度（</w:t>
            </w:r>
            <w:r>
              <w:rPr>
                <w:rFonts w:ascii="Times New Roman" w:eastAsia="Times New Roman"/>
                <w:spacing w:val="-4"/>
                <w:w w:val="100"/>
                <w:sz w:val="21"/>
              </w:rPr>
              <w:t>I</w:t>
            </w:r>
            <w:r>
              <w:rPr>
                <w:rFonts w:ascii="Times New Roman" w:eastAsia="Times New Roman"/>
                <w:w w:val="100"/>
                <w:sz w:val="21"/>
              </w:rPr>
              <w:t>Q</w:t>
            </w:r>
            <w:r>
              <w:rPr>
                <w:rFonts w:ascii="Times New Roman" w:eastAsia="Times New Roman"/>
                <w:w w:val="100"/>
                <w:sz w:val="21"/>
              </w:rPr>
              <w:t>20</w:t>
            </w:r>
            <w:r>
              <w:rPr>
                <w:rFonts w:ascii="Times New Roman" w:eastAsia="Times New Roman"/>
                <w:spacing w:val="-4"/>
                <w:w w:val="100"/>
                <w:sz w:val="21"/>
              </w:rPr>
              <w:t>-</w:t>
            </w:r>
            <w:r>
              <w:rPr>
                <w:rFonts w:ascii="Times New Roman" w:eastAsia="Times New Roman"/>
                <w:w w:val="100"/>
                <w:sz w:val="21"/>
              </w:rPr>
              <w:t>34</w:t>
            </w:r>
            <w:r>
              <w:rPr>
                <w:w w:val="100"/>
                <w:sz w:val="21"/>
              </w:rPr>
              <w:t>）和极重度（</w:t>
            </w:r>
            <w:r>
              <w:rPr>
                <w:rFonts w:ascii="Times New Roman" w:eastAsia="Times New Roman"/>
                <w:spacing w:val="-4"/>
                <w:w w:val="100"/>
                <w:sz w:val="21"/>
              </w:rPr>
              <w:t>I</w:t>
            </w:r>
            <w:r>
              <w:rPr>
                <w:rFonts w:ascii="Times New Roman" w:eastAsia="Times New Roman"/>
                <w:w w:val="100"/>
                <w:sz w:val="21"/>
              </w:rPr>
              <w:t>Q</w:t>
            </w:r>
            <w:r>
              <w:rPr>
                <w:rFonts w:ascii="Times New Roman" w:eastAsia="Times New Roman"/>
                <w:spacing w:val="-2"/>
                <w:w w:val="100"/>
                <w:sz w:val="21"/>
              </w:rPr>
              <w:t>&lt;</w:t>
            </w:r>
            <w:r>
              <w:rPr>
                <w:rFonts w:ascii="Times New Roman" w:eastAsia="Times New Roman"/>
                <w:w w:val="100"/>
                <w:sz w:val="21"/>
              </w:rPr>
              <w:t>20</w:t>
            </w:r>
            <w:r>
              <w:rPr>
                <w:spacing w:val="-108"/>
                <w:w w:val="100"/>
                <w:sz w:val="21"/>
              </w:rPr>
              <w:t>）</w:t>
            </w:r>
            <w:r>
              <w:rPr>
                <w:spacing w:val="-3"/>
                <w:w w:val="100"/>
                <w:sz w:val="21"/>
              </w:rPr>
              <w:t>。智商的检测须由医院的儿科或成人精神卫生科、心理科或神</w:t>
            </w:r>
            <w:r>
              <w:rPr>
                <w:spacing w:val="-3"/>
                <w:sz w:val="21"/>
              </w:rPr>
              <w:t>经科专科医生进行。根据被保险人年龄采用对应的智力量表如韦克斯勒智力量表</w:t>
            </w:r>
            <w:r>
              <w:rPr>
                <w:sz w:val="21"/>
              </w:rPr>
              <w:t>（</w:t>
            </w:r>
            <w:r>
              <w:rPr>
                <w:spacing w:val="-3"/>
                <w:sz w:val="21"/>
              </w:rPr>
              <w:t>儿童智力量表或成人智力量表</w:t>
            </w:r>
            <w:r>
              <w:rPr>
                <w:spacing w:val="-108"/>
                <w:sz w:val="21"/>
              </w:rPr>
              <w:t>）</w:t>
            </w:r>
            <w:r>
              <w:rPr>
                <w:spacing w:val="-3"/>
                <w:sz w:val="21"/>
              </w:rPr>
              <w:t>。理赔时必须满足下列全部条件：</w:t>
            </w:r>
          </w:p>
          <w:p>
            <w:pPr>
              <w:pStyle w:val="TableParagraph"/>
              <w:spacing w:line="225" w:lineRule="auto" w:before="13"/>
              <w:ind w:left="189" w:right="226"/>
              <w:rPr>
                <w:sz w:val="21"/>
              </w:rPr>
            </w:pPr>
            <w:r>
              <w:rPr>
                <w:sz w:val="21"/>
              </w:rPr>
              <w:t>（</w:t>
            </w:r>
            <w:r>
              <w:rPr>
                <w:rFonts w:ascii="Times New Roman" w:eastAsia="Times New Roman"/>
                <w:sz w:val="21"/>
              </w:rPr>
              <w:t>1</w:t>
            </w:r>
            <w:r>
              <w:rPr>
                <w:sz w:val="21"/>
              </w:rPr>
              <w:t>）造成被保险人智力低下或智力残疾的严重头部创伤或疾病（以诊断日期为准）发生在被保险人六周岁以后；</w:t>
            </w:r>
          </w:p>
          <w:p>
            <w:pPr>
              <w:pStyle w:val="TableParagraph"/>
              <w:spacing w:line="225" w:lineRule="auto" w:before="13"/>
              <w:ind w:left="189" w:right="226"/>
              <w:rPr>
                <w:sz w:val="21"/>
              </w:rPr>
            </w:pPr>
            <w:r>
              <w:rPr>
                <w:sz w:val="21"/>
              </w:rPr>
              <w:t>（</w:t>
            </w:r>
            <w:r>
              <w:rPr>
                <w:rFonts w:ascii="Times New Roman" w:eastAsia="Times New Roman"/>
                <w:sz w:val="21"/>
              </w:rPr>
              <w:t>2</w:t>
            </w:r>
            <w:r>
              <w:rPr>
                <w:sz w:val="21"/>
              </w:rPr>
              <w:t>）医院的专科医生确诊被保险人由于严重头部创伤或疾病造成智力低下或智力残疾；</w:t>
            </w:r>
          </w:p>
          <w:p>
            <w:pPr>
              <w:pStyle w:val="TableParagraph"/>
              <w:spacing w:line="225" w:lineRule="auto" w:before="13"/>
              <w:ind w:left="189" w:right="303"/>
              <w:rPr>
                <w:sz w:val="21"/>
              </w:rPr>
            </w:pPr>
            <w:r>
              <w:rPr>
                <w:spacing w:val="-14"/>
                <w:sz w:val="21"/>
              </w:rPr>
              <w:t>（</w:t>
            </w:r>
            <w:r>
              <w:rPr>
                <w:rFonts w:ascii="Times New Roman" w:eastAsia="Times New Roman"/>
                <w:spacing w:val="-14"/>
                <w:sz w:val="21"/>
              </w:rPr>
              <w:t>3</w:t>
            </w:r>
            <w:r>
              <w:rPr>
                <w:spacing w:val="-14"/>
                <w:sz w:val="21"/>
              </w:rPr>
              <w:t>）</w:t>
            </w:r>
            <w:r>
              <w:rPr>
                <w:spacing w:val="-6"/>
                <w:sz w:val="21"/>
              </w:rPr>
              <w:t>医院的儿科或成人精神卫生科、心理科或神经科专科医生做的检测证</w:t>
            </w:r>
            <w:r>
              <w:rPr>
                <w:spacing w:val="-4"/>
                <w:w w:val="100"/>
                <w:sz w:val="21"/>
              </w:rPr>
              <w:t>实被保险人智力低下或智力残疾</w:t>
            </w:r>
            <w:r>
              <w:rPr>
                <w:w w:val="100"/>
                <w:sz w:val="21"/>
              </w:rPr>
              <w:t>（</w:t>
            </w:r>
            <w:r>
              <w:rPr>
                <w:spacing w:val="-3"/>
                <w:w w:val="100"/>
                <w:sz w:val="21"/>
              </w:rPr>
              <w:t>轻度、中度、重度或极重度</w:t>
            </w:r>
            <w:r>
              <w:rPr>
                <w:spacing w:val="-106"/>
                <w:w w:val="100"/>
                <w:sz w:val="21"/>
              </w:rPr>
              <w:t>）</w:t>
            </w:r>
            <w:r>
              <w:rPr>
                <w:w w:val="100"/>
                <w:sz w:val="21"/>
              </w:rPr>
              <w:t>；</w:t>
            </w:r>
          </w:p>
          <w:p>
            <w:pPr>
              <w:pStyle w:val="TableParagraph"/>
              <w:spacing w:line="288" w:lineRule="exact"/>
              <w:ind w:left="189"/>
              <w:rPr>
                <w:sz w:val="21"/>
              </w:rPr>
            </w:pPr>
            <w:r>
              <w:rPr>
                <w:sz w:val="21"/>
              </w:rPr>
              <w:t>（</w:t>
            </w:r>
            <w:r>
              <w:rPr>
                <w:rFonts w:ascii="Times New Roman" w:eastAsia="Times New Roman"/>
                <w:sz w:val="21"/>
              </w:rPr>
              <w:t>4</w:t>
            </w:r>
            <w:r>
              <w:rPr>
                <w:sz w:val="21"/>
              </w:rPr>
              <w:t>）被保险人的智力低下或智力残疾自确诊日起持续 </w:t>
            </w:r>
            <w:r>
              <w:rPr>
                <w:rFonts w:ascii="Times New Roman" w:eastAsia="Times New Roman"/>
                <w:sz w:val="21"/>
              </w:rPr>
              <w:t>180 </w:t>
            </w:r>
            <w:r>
              <w:rPr>
                <w:sz w:val="21"/>
              </w:rPr>
              <w:t>天以上。</w:t>
            </w:r>
          </w:p>
        </w:tc>
      </w:tr>
      <w:tr>
        <w:trPr>
          <w:trHeight w:val="2413" w:hRule="atLeast"/>
        </w:trPr>
        <w:tc>
          <w:tcPr>
            <w:tcW w:w="1707" w:type="dxa"/>
          </w:tcPr>
          <w:p>
            <w:pPr>
              <w:pStyle w:val="TableParagraph"/>
              <w:spacing w:line="225" w:lineRule="auto" w:before="100"/>
              <w:ind w:left="200" w:right="187"/>
              <w:rPr>
                <w:b/>
                <w:sz w:val="21"/>
              </w:rPr>
            </w:pPr>
            <w:r>
              <w:rPr>
                <w:rFonts w:ascii="Times New Roman" w:eastAsia="Times New Roman"/>
                <w:b/>
                <w:sz w:val="21"/>
              </w:rPr>
              <w:t>64.</w:t>
            </w:r>
            <w:r>
              <w:rPr>
                <w:b/>
                <w:sz w:val="21"/>
              </w:rPr>
              <w:t>严重肌营养不良症</w:t>
            </w:r>
          </w:p>
        </w:tc>
        <w:tc>
          <w:tcPr>
            <w:tcW w:w="7245" w:type="dxa"/>
          </w:tcPr>
          <w:p>
            <w:pPr>
              <w:pStyle w:val="TableParagraph"/>
              <w:spacing w:line="237" w:lineRule="auto" w:before="85"/>
              <w:ind w:left="189" w:right="306"/>
              <w:jc w:val="both"/>
              <w:rPr>
                <w:sz w:val="21"/>
              </w:rPr>
            </w:pPr>
            <w:r>
              <w:rPr>
                <w:sz w:val="21"/>
              </w:rPr>
              <w:t>指一组遗传性肌肉变性病变，临床特征为与神经系统无关的骨骼肌肉对称地进行性无力和萎缩。此症必须由神经内科专科医生明确诊断，并且需满足下列全部条件：</w:t>
            </w:r>
          </w:p>
          <w:p>
            <w:pPr>
              <w:pStyle w:val="TableParagraph"/>
              <w:spacing w:line="280" w:lineRule="exact"/>
              <w:ind w:left="189"/>
              <w:rPr>
                <w:sz w:val="21"/>
              </w:rPr>
            </w:pPr>
            <w:r>
              <w:rPr>
                <w:sz w:val="21"/>
              </w:rPr>
              <w:t>（</w:t>
            </w:r>
            <w:r>
              <w:rPr>
                <w:rFonts w:ascii="Times New Roman" w:eastAsia="Times New Roman"/>
                <w:sz w:val="21"/>
              </w:rPr>
              <w:t>1</w:t>
            </w:r>
            <w:r>
              <w:rPr>
                <w:sz w:val="21"/>
              </w:rPr>
              <w:t>）肌电图显示典型肌营养不良症的阳性改变；</w:t>
            </w:r>
          </w:p>
          <w:p>
            <w:pPr>
              <w:pStyle w:val="TableParagraph"/>
              <w:spacing w:line="225" w:lineRule="auto" w:before="8"/>
              <w:ind w:left="189" w:right="303"/>
              <w:jc w:val="both"/>
              <w:rPr>
                <w:sz w:val="21"/>
              </w:rPr>
            </w:pPr>
            <w:r>
              <w:rPr>
                <w:spacing w:val="-14"/>
                <w:sz w:val="21"/>
              </w:rPr>
              <w:t>（</w:t>
            </w:r>
            <w:r>
              <w:rPr>
                <w:rFonts w:ascii="Times New Roman" w:eastAsia="Times New Roman"/>
                <w:spacing w:val="-14"/>
                <w:sz w:val="21"/>
              </w:rPr>
              <w:t>2</w:t>
            </w:r>
            <w:r>
              <w:rPr>
                <w:spacing w:val="-14"/>
                <w:sz w:val="21"/>
              </w:rPr>
              <w:t>）</w:t>
            </w:r>
            <w:r>
              <w:rPr>
                <w:spacing w:val="-5"/>
                <w:sz w:val="21"/>
              </w:rPr>
              <w:t>肌肉活检的病理学诊断符合肌营养不良症的肌肉细胞变性、坏死等阳</w:t>
            </w:r>
            <w:r>
              <w:rPr>
                <w:spacing w:val="-4"/>
                <w:sz w:val="21"/>
              </w:rPr>
              <w:t>性改变；</w:t>
            </w:r>
          </w:p>
          <w:p>
            <w:pPr>
              <w:pStyle w:val="TableParagraph"/>
              <w:spacing w:line="225" w:lineRule="auto" w:before="13"/>
              <w:ind w:left="189" w:right="303"/>
              <w:jc w:val="both"/>
              <w:rPr>
                <w:sz w:val="21"/>
              </w:rPr>
            </w:pPr>
            <w:r>
              <w:rPr>
                <w:spacing w:val="-28"/>
                <w:sz w:val="21"/>
              </w:rPr>
              <w:t>（</w:t>
            </w:r>
            <w:r>
              <w:rPr>
                <w:rFonts w:ascii="Times New Roman" w:eastAsia="Times New Roman"/>
                <w:spacing w:val="-28"/>
                <w:sz w:val="21"/>
              </w:rPr>
              <w:t>3</w:t>
            </w:r>
            <w:r>
              <w:rPr>
                <w:spacing w:val="-28"/>
                <w:sz w:val="21"/>
              </w:rPr>
              <w:t>）</w:t>
            </w:r>
            <w:r>
              <w:rPr>
                <w:spacing w:val="-3"/>
                <w:sz w:val="21"/>
              </w:rPr>
              <w:t>已导致被保险人持续超过三个月无法独立完成六项基本日常生活活动中的三项或三项以上。</w:t>
            </w:r>
          </w:p>
        </w:tc>
      </w:tr>
      <w:tr>
        <w:trPr>
          <w:trHeight w:val="1611" w:hRule="atLeast"/>
        </w:trPr>
        <w:tc>
          <w:tcPr>
            <w:tcW w:w="1707" w:type="dxa"/>
          </w:tcPr>
          <w:p>
            <w:pPr>
              <w:pStyle w:val="TableParagraph"/>
              <w:spacing w:line="223" w:lineRule="auto" w:before="111"/>
              <w:ind w:left="200" w:right="187"/>
              <w:rPr>
                <w:b/>
                <w:sz w:val="21"/>
              </w:rPr>
            </w:pPr>
            <w:r>
              <w:rPr>
                <w:rFonts w:ascii="Times New Roman" w:eastAsia="Times New Roman"/>
                <w:b/>
                <w:sz w:val="21"/>
              </w:rPr>
              <w:t>65.</w:t>
            </w:r>
            <w:r>
              <w:rPr>
                <w:b/>
                <w:sz w:val="21"/>
              </w:rPr>
              <w:t>严重脊髓灰质炎</w:t>
            </w:r>
          </w:p>
        </w:tc>
        <w:tc>
          <w:tcPr>
            <w:tcW w:w="7245" w:type="dxa"/>
          </w:tcPr>
          <w:p>
            <w:pPr>
              <w:pStyle w:val="TableParagraph"/>
              <w:spacing w:line="237" w:lineRule="auto" w:before="93"/>
              <w:ind w:left="189" w:right="306"/>
              <w:jc w:val="both"/>
              <w:rPr>
                <w:sz w:val="21"/>
              </w:rPr>
            </w:pPr>
            <w:r>
              <w:rPr>
                <w:sz w:val="21"/>
              </w:rPr>
              <w:t>脊髓灰质炎是由于脊髓灰质炎病毒感染所致的瘫痪性疾病，临床表现为运动功能损害或呼吸无力。脊髓灰质炎必须经专科医生明确诊断。本合同仅对脊髓灰质炎造成的神经系统功能损害导致被保险人一肢或一肢以上肢体机能永久完全丧失的情况予以理赔。肢体机能永久完全丧失，指疾病确诊</w:t>
            </w:r>
          </w:p>
          <w:p>
            <w:pPr>
              <w:pStyle w:val="TableParagraph"/>
              <w:spacing w:line="289" w:lineRule="exact"/>
              <w:ind w:left="189"/>
              <w:jc w:val="both"/>
              <w:rPr>
                <w:sz w:val="21"/>
              </w:rPr>
            </w:pPr>
            <w:r>
              <w:rPr>
                <w:rFonts w:ascii="Times New Roman" w:eastAsia="Times New Roman"/>
                <w:sz w:val="21"/>
              </w:rPr>
              <w:t>180 </w:t>
            </w:r>
            <w:r>
              <w:rPr>
                <w:sz w:val="21"/>
              </w:rPr>
              <w:t>天后，每肢三大关节中的两大关节仍然完全僵硬，或不能随意识活动。</w:t>
            </w:r>
          </w:p>
        </w:tc>
      </w:tr>
      <w:tr>
        <w:trPr>
          <w:trHeight w:val="784" w:hRule="atLeast"/>
        </w:trPr>
        <w:tc>
          <w:tcPr>
            <w:tcW w:w="1707" w:type="dxa"/>
          </w:tcPr>
          <w:p>
            <w:pPr>
              <w:pStyle w:val="TableParagraph"/>
              <w:spacing w:line="223" w:lineRule="auto" w:before="103"/>
              <w:ind w:left="200" w:right="187"/>
              <w:rPr>
                <w:b/>
                <w:sz w:val="21"/>
              </w:rPr>
            </w:pPr>
            <w:r>
              <w:rPr>
                <w:rFonts w:ascii="Times New Roman" w:eastAsia="Times New Roman"/>
                <w:b/>
                <w:sz w:val="21"/>
              </w:rPr>
              <w:t>66.</w:t>
            </w:r>
            <w:r>
              <w:rPr>
                <w:b/>
                <w:sz w:val="21"/>
              </w:rPr>
              <w:t>严重面部烧伤</w:t>
            </w:r>
          </w:p>
        </w:tc>
        <w:tc>
          <w:tcPr>
            <w:tcW w:w="7245" w:type="dxa"/>
          </w:tcPr>
          <w:p>
            <w:pPr>
              <w:pStyle w:val="TableParagraph"/>
              <w:spacing w:line="281" w:lineRule="exact" w:before="82"/>
              <w:ind w:left="189"/>
              <w:rPr>
                <w:sz w:val="21"/>
              </w:rPr>
            </w:pPr>
            <w:r>
              <w:rPr>
                <w:sz w:val="21"/>
              </w:rPr>
              <w:t>指面部烧伤程度为</w:t>
            </w:r>
            <w:r>
              <w:rPr>
                <w:rFonts w:ascii="宋体" w:hAnsi="宋体" w:eastAsia="宋体" w:hint="eastAsia"/>
                <w:sz w:val="21"/>
              </w:rPr>
              <w:t>Ⅲ</w:t>
            </w:r>
            <w:r>
              <w:rPr>
                <w:sz w:val="21"/>
              </w:rPr>
              <w:t>度，且</w:t>
            </w:r>
            <w:r>
              <w:rPr>
                <w:rFonts w:ascii="宋体" w:hAnsi="宋体" w:eastAsia="宋体" w:hint="eastAsia"/>
                <w:sz w:val="21"/>
              </w:rPr>
              <w:t>Ⅲ</w:t>
            </w:r>
            <w:r>
              <w:rPr>
                <w:sz w:val="21"/>
              </w:rPr>
              <w:t>度烧伤的面积达到面部表面积的 </w:t>
            </w:r>
            <w:r>
              <w:rPr>
                <w:rFonts w:ascii="Times New Roman" w:hAnsi="Times New Roman" w:eastAsia="Times New Roman"/>
                <w:sz w:val="21"/>
              </w:rPr>
              <w:t>80</w:t>
            </w:r>
            <w:r>
              <w:rPr>
                <w:sz w:val="21"/>
              </w:rPr>
              <w:t>％或者</w:t>
            </w:r>
          </w:p>
          <w:p>
            <w:pPr>
              <w:pStyle w:val="TableParagraph"/>
              <w:spacing w:line="281" w:lineRule="exact"/>
              <w:ind w:left="189"/>
              <w:rPr>
                <w:sz w:val="21"/>
              </w:rPr>
            </w:pPr>
            <w:r>
              <w:rPr>
                <w:rFonts w:ascii="Times New Roman" w:eastAsia="Times New Roman"/>
                <w:sz w:val="21"/>
              </w:rPr>
              <w:t>80</w:t>
            </w:r>
            <w:r>
              <w:rPr>
                <w:sz w:val="21"/>
              </w:rPr>
              <w:t>％以上。体表面积根据《中国新九分法》计算。</w:t>
            </w:r>
          </w:p>
        </w:tc>
      </w:tr>
      <w:tr>
        <w:trPr>
          <w:trHeight w:val="2654" w:hRule="atLeast"/>
        </w:trPr>
        <w:tc>
          <w:tcPr>
            <w:tcW w:w="1707" w:type="dxa"/>
          </w:tcPr>
          <w:p>
            <w:pPr>
              <w:pStyle w:val="TableParagraph"/>
              <w:spacing w:line="225" w:lineRule="auto" w:before="100"/>
              <w:ind w:left="200" w:right="187"/>
              <w:rPr>
                <w:b/>
                <w:sz w:val="21"/>
              </w:rPr>
            </w:pPr>
            <w:r>
              <w:rPr>
                <w:rFonts w:ascii="Times New Roman" w:eastAsia="Times New Roman"/>
                <w:b/>
                <w:sz w:val="21"/>
              </w:rPr>
              <w:t>67.</w:t>
            </w:r>
            <w:r>
              <w:rPr>
                <w:b/>
                <w:sz w:val="21"/>
              </w:rPr>
              <w:t>失去一肢及一眼</w:t>
            </w:r>
          </w:p>
        </w:tc>
        <w:tc>
          <w:tcPr>
            <w:tcW w:w="7245" w:type="dxa"/>
          </w:tcPr>
          <w:p>
            <w:pPr>
              <w:pStyle w:val="TableParagraph"/>
              <w:spacing w:line="237" w:lineRule="auto" w:before="85"/>
              <w:ind w:left="189" w:right="306"/>
              <w:jc w:val="both"/>
              <w:rPr>
                <w:sz w:val="21"/>
              </w:rPr>
            </w:pPr>
            <w:r>
              <w:rPr>
                <w:sz w:val="21"/>
              </w:rPr>
              <w:t>因疾病或者意外伤害导致单眼视力丧失及任何一肢自腕关节或者踝关节近端（靠近躯干端）以上完全性断离。单眼视力丧失指单眼视力永久不可逆性丧失，患眼须满足下列至少一项条件：</w:t>
            </w:r>
          </w:p>
          <w:p>
            <w:pPr>
              <w:pStyle w:val="TableParagraph"/>
              <w:spacing w:line="280" w:lineRule="exact"/>
              <w:ind w:left="189"/>
              <w:rPr>
                <w:sz w:val="21"/>
              </w:rPr>
            </w:pPr>
            <w:r>
              <w:rPr>
                <w:sz w:val="21"/>
              </w:rPr>
              <w:t>（</w:t>
            </w:r>
            <w:r>
              <w:rPr>
                <w:rFonts w:ascii="Times New Roman" w:eastAsia="Times New Roman"/>
                <w:sz w:val="21"/>
              </w:rPr>
              <w:t>1</w:t>
            </w:r>
            <w:r>
              <w:rPr>
                <w:sz w:val="21"/>
              </w:rPr>
              <w:t>）眼球缺失或者摘除；</w:t>
            </w:r>
          </w:p>
          <w:p>
            <w:pPr>
              <w:pStyle w:val="TableParagraph"/>
              <w:spacing w:line="225" w:lineRule="auto" w:before="8"/>
              <w:ind w:left="189" w:right="305"/>
              <w:rPr>
                <w:sz w:val="21"/>
              </w:rPr>
            </w:pPr>
            <w:r>
              <w:rPr>
                <w:spacing w:val="-10"/>
                <w:sz w:val="21"/>
              </w:rPr>
              <w:t>（</w:t>
            </w:r>
            <w:r>
              <w:rPr>
                <w:rFonts w:ascii="Times New Roman" w:eastAsia="Times New Roman"/>
                <w:spacing w:val="-10"/>
                <w:sz w:val="21"/>
              </w:rPr>
              <w:t>2</w:t>
            </w:r>
            <w:r>
              <w:rPr>
                <w:spacing w:val="-10"/>
                <w:sz w:val="21"/>
              </w:rPr>
              <w:t>）</w:t>
            </w:r>
            <w:r>
              <w:rPr>
                <w:spacing w:val="-6"/>
                <w:sz w:val="21"/>
              </w:rPr>
              <w:t>矫正视力低于 </w:t>
            </w:r>
            <w:r>
              <w:rPr>
                <w:rFonts w:ascii="Times New Roman" w:eastAsia="Times New Roman"/>
                <w:spacing w:val="-7"/>
                <w:sz w:val="21"/>
              </w:rPr>
              <w:t>0.02</w:t>
            </w:r>
            <w:r>
              <w:rPr>
                <w:spacing w:val="-7"/>
                <w:sz w:val="21"/>
              </w:rPr>
              <w:t>（</w:t>
            </w:r>
            <w:r>
              <w:rPr>
                <w:spacing w:val="-6"/>
                <w:sz w:val="21"/>
              </w:rPr>
              <w:t>采用国际标准视力表，如果使用其它视力表应进</w:t>
            </w:r>
            <w:r>
              <w:rPr>
                <w:spacing w:val="-5"/>
                <w:w w:val="100"/>
                <w:sz w:val="21"/>
              </w:rPr>
              <w:t>行换算</w:t>
            </w:r>
            <w:r>
              <w:rPr>
                <w:spacing w:val="-106"/>
                <w:w w:val="100"/>
                <w:sz w:val="21"/>
              </w:rPr>
              <w:t>）</w:t>
            </w:r>
            <w:r>
              <w:rPr>
                <w:w w:val="100"/>
                <w:sz w:val="21"/>
              </w:rPr>
              <w:t>；</w:t>
            </w:r>
          </w:p>
          <w:p>
            <w:pPr>
              <w:pStyle w:val="TableParagraph"/>
              <w:spacing w:line="287" w:lineRule="exact"/>
              <w:ind w:left="189"/>
              <w:jc w:val="both"/>
              <w:rPr>
                <w:sz w:val="21"/>
              </w:rPr>
            </w:pPr>
            <w:r>
              <w:rPr>
                <w:sz w:val="21"/>
              </w:rPr>
              <w:t>（</w:t>
            </w:r>
            <w:r>
              <w:rPr>
                <w:rFonts w:ascii="Times New Roman" w:eastAsia="Times New Roman"/>
                <w:sz w:val="21"/>
              </w:rPr>
              <w:t>3</w:t>
            </w:r>
            <w:r>
              <w:rPr>
                <w:sz w:val="21"/>
              </w:rPr>
              <w:t>）视野半径小于 </w:t>
            </w:r>
            <w:r>
              <w:rPr>
                <w:rFonts w:ascii="Times New Roman" w:eastAsia="Times New Roman"/>
                <w:sz w:val="21"/>
              </w:rPr>
              <w:t>5  </w:t>
            </w:r>
            <w:r>
              <w:rPr>
                <w:sz w:val="21"/>
              </w:rPr>
              <w:t>度。</w:t>
            </w:r>
          </w:p>
          <w:p>
            <w:pPr>
              <w:pStyle w:val="TableParagraph"/>
              <w:spacing w:before="5"/>
              <w:rPr>
                <w:rFonts w:ascii="Times New Roman"/>
                <w:sz w:val="19"/>
              </w:rPr>
            </w:pPr>
          </w:p>
          <w:p>
            <w:pPr>
              <w:pStyle w:val="TableParagraph"/>
              <w:ind w:left="189"/>
              <w:jc w:val="both"/>
              <w:rPr>
                <w:rFonts w:ascii="黑体" w:eastAsia="黑体" w:hint="eastAsia"/>
                <w:sz w:val="21"/>
              </w:rPr>
            </w:pPr>
            <w:r>
              <w:rPr>
                <w:rFonts w:ascii="黑体" w:eastAsia="黑体" w:hint="eastAsia"/>
                <w:sz w:val="21"/>
              </w:rPr>
              <w:t>被保险人在 3 周岁之前因疾病导致单眼视力丧失不在保障范围内。</w:t>
            </w:r>
          </w:p>
        </w:tc>
      </w:tr>
      <w:tr>
        <w:trPr>
          <w:trHeight w:val="1058" w:hRule="atLeast"/>
        </w:trPr>
        <w:tc>
          <w:tcPr>
            <w:tcW w:w="1707" w:type="dxa"/>
          </w:tcPr>
          <w:p>
            <w:pPr>
              <w:pStyle w:val="TableParagraph"/>
              <w:spacing w:line="225" w:lineRule="auto" w:before="108"/>
              <w:ind w:left="200" w:right="187"/>
              <w:rPr>
                <w:b/>
                <w:sz w:val="21"/>
              </w:rPr>
            </w:pPr>
            <w:r>
              <w:rPr>
                <w:rFonts w:ascii="Times New Roman" w:eastAsia="Times New Roman"/>
                <w:b/>
                <w:sz w:val="21"/>
              </w:rPr>
              <w:t>68.</w:t>
            </w:r>
            <w:r>
              <w:rPr>
                <w:b/>
                <w:sz w:val="21"/>
              </w:rPr>
              <w:t>溶血性链球菌引起的坏疽</w:t>
            </w:r>
          </w:p>
        </w:tc>
        <w:tc>
          <w:tcPr>
            <w:tcW w:w="7245" w:type="dxa"/>
          </w:tcPr>
          <w:p>
            <w:pPr>
              <w:pStyle w:val="TableParagraph"/>
              <w:spacing w:line="237" w:lineRule="auto" w:before="93"/>
              <w:ind w:left="189" w:right="306"/>
              <w:jc w:val="both"/>
              <w:rPr>
                <w:sz w:val="21"/>
              </w:rPr>
            </w:pPr>
            <w:r>
              <w:rPr>
                <w:sz w:val="21"/>
              </w:rPr>
              <w:t>指包围肢体或者躯干的浅筋膜或者深筋膜受到溶血性链球菌的感染，病情在短时间内急剧恶化，且已经立刻进行了手术及清创术。最后的诊断必须由微生物或者病理学专科医生进行相关检查后证实。</w:t>
            </w:r>
          </w:p>
        </w:tc>
      </w:tr>
      <w:tr>
        <w:trPr>
          <w:trHeight w:val="910" w:hRule="atLeast"/>
        </w:trPr>
        <w:tc>
          <w:tcPr>
            <w:tcW w:w="1707" w:type="dxa"/>
          </w:tcPr>
          <w:p>
            <w:pPr>
              <w:pStyle w:val="TableParagraph"/>
              <w:spacing w:line="225" w:lineRule="auto" w:before="108"/>
              <w:ind w:left="200" w:right="187"/>
              <w:rPr>
                <w:b/>
                <w:sz w:val="21"/>
              </w:rPr>
            </w:pPr>
            <w:r>
              <w:rPr>
                <w:rFonts w:ascii="Times New Roman" w:eastAsia="Times New Roman"/>
                <w:b/>
                <w:sz w:val="21"/>
              </w:rPr>
              <w:t>69.</w:t>
            </w:r>
            <w:r>
              <w:rPr>
                <w:b/>
                <w:sz w:val="21"/>
              </w:rPr>
              <w:t>重症急性坏死性筋膜炎</w:t>
            </w:r>
          </w:p>
        </w:tc>
        <w:tc>
          <w:tcPr>
            <w:tcW w:w="7245" w:type="dxa"/>
          </w:tcPr>
          <w:p>
            <w:pPr>
              <w:pStyle w:val="TableParagraph"/>
              <w:spacing w:line="274" w:lineRule="exact" w:before="90"/>
              <w:ind w:left="189"/>
              <w:rPr>
                <w:sz w:val="21"/>
              </w:rPr>
            </w:pPr>
            <w:r>
              <w:rPr>
                <w:sz w:val="21"/>
              </w:rPr>
              <w:t>是一种由细菌侵入皮下组织和筋膜引起的急性坏死性软组织感染，可伴有</w:t>
            </w:r>
          </w:p>
          <w:p>
            <w:pPr>
              <w:pStyle w:val="TableParagraph"/>
              <w:spacing w:line="272" w:lineRule="exact" w:before="26"/>
              <w:ind w:left="189" w:right="306"/>
              <w:rPr>
                <w:sz w:val="21"/>
              </w:rPr>
            </w:pPr>
            <w:r>
              <w:rPr>
                <w:sz w:val="21"/>
              </w:rPr>
              <w:t>毒血症、败血症、中毒性休克、弥漫性血管内凝血及多器官衰竭。必须满足以下所有条件：</w:t>
            </w:r>
          </w:p>
        </w:tc>
      </w:tr>
    </w:tbl>
    <w:p>
      <w:pPr>
        <w:spacing w:after="0" w:line="272" w:lineRule="exact"/>
        <w:rPr>
          <w:sz w:val="21"/>
        </w:rPr>
        <w:sectPr>
          <w:pgSz w:w="11910" w:h="16840"/>
          <w:pgMar w:top="1060" w:bottom="280" w:left="1420" w:right="13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8"/>
        <w:gridCol w:w="7136"/>
      </w:tblGrid>
      <w:tr>
        <w:trPr>
          <w:trHeight w:val="918" w:hRule="atLeast"/>
        </w:trPr>
        <w:tc>
          <w:tcPr>
            <w:tcW w:w="1788" w:type="dxa"/>
          </w:tcPr>
          <w:p>
            <w:pPr>
              <w:pStyle w:val="TableParagraph"/>
              <w:rPr>
                <w:rFonts w:ascii="Times New Roman"/>
                <w:sz w:val="20"/>
              </w:rPr>
            </w:pPr>
          </w:p>
        </w:tc>
        <w:tc>
          <w:tcPr>
            <w:tcW w:w="7136" w:type="dxa"/>
          </w:tcPr>
          <w:p>
            <w:pPr>
              <w:pStyle w:val="TableParagraph"/>
              <w:spacing w:line="224" w:lineRule="exact"/>
              <w:ind w:left="108"/>
              <w:rPr>
                <w:sz w:val="21"/>
              </w:rPr>
            </w:pPr>
            <w:r>
              <w:rPr>
                <w:sz w:val="21"/>
              </w:rPr>
              <w:t>（</w:t>
            </w:r>
            <w:r>
              <w:rPr>
                <w:rFonts w:ascii="Times New Roman" w:eastAsia="Times New Roman"/>
                <w:sz w:val="21"/>
              </w:rPr>
              <w:t>1</w:t>
            </w:r>
            <w:r>
              <w:rPr>
                <w:sz w:val="21"/>
              </w:rPr>
              <w:t>）细菌培养和临床表现符合坏死性筋膜炎诊断标准；</w:t>
            </w:r>
          </w:p>
          <w:p>
            <w:pPr>
              <w:pStyle w:val="TableParagraph"/>
              <w:spacing w:line="272" w:lineRule="exact"/>
              <w:ind w:left="108"/>
              <w:rPr>
                <w:sz w:val="21"/>
              </w:rPr>
            </w:pPr>
            <w:r>
              <w:rPr>
                <w:sz w:val="21"/>
              </w:rPr>
              <w:t>（</w:t>
            </w:r>
            <w:r>
              <w:rPr>
                <w:rFonts w:ascii="Times New Roman" w:eastAsia="Times New Roman"/>
                <w:sz w:val="21"/>
              </w:rPr>
              <w:t>2</w:t>
            </w:r>
            <w:r>
              <w:rPr>
                <w:sz w:val="21"/>
              </w:rPr>
              <w:t>）病情迅速恶化，有脓毒血症表现；</w:t>
            </w:r>
          </w:p>
          <w:p>
            <w:pPr>
              <w:pStyle w:val="TableParagraph"/>
              <w:spacing w:line="282" w:lineRule="exact"/>
              <w:ind w:left="108"/>
              <w:rPr>
                <w:sz w:val="21"/>
              </w:rPr>
            </w:pPr>
            <w:r>
              <w:rPr>
                <w:spacing w:val="-1"/>
                <w:sz w:val="21"/>
              </w:rPr>
              <w:t>（</w:t>
            </w:r>
            <w:r>
              <w:rPr>
                <w:rFonts w:ascii="Times New Roman" w:eastAsia="Times New Roman"/>
                <w:spacing w:val="-1"/>
                <w:sz w:val="21"/>
              </w:rPr>
              <w:t>3</w:t>
            </w:r>
            <w:r>
              <w:rPr>
                <w:spacing w:val="-1"/>
                <w:sz w:val="21"/>
              </w:rPr>
              <w:t>）</w:t>
            </w:r>
            <w:r>
              <w:rPr>
                <w:spacing w:val="-3"/>
                <w:sz w:val="21"/>
              </w:rPr>
              <w:t>受感染肢体被截肢（自腕关节或踝关节近端</w:t>
            </w:r>
            <w:r>
              <w:rPr>
                <w:spacing w:val="-108"/>
                <w:sz w:val="21"/>
              </w:rPr>
              <w:t>）</w:t>
            </w:r>
            <w:r>
              <w:rPr>
                <w:sz w:val="21"/>
              </w:rPr>
              <w:t>。</w:t>
            </w:r>
          </w:p>
        </w:tc>
      </w:tr>
      <w:tr>
        <w:trPr>
          <w:trHeight w:val="2388" w:hRule="atLeast"/>
        </w:trPr>
        <w:tc>
          <w:tcPr>
            <w:tcW w:w="1788" w:type="dxa"/>
          </w:tcPr>
          <w:p>
            <w:pPr>
              <w:pStyle w:val="TableParagraph"/>
              <w:spacing w:line="223" w:lineRule="auto" w:before="103"/>
              <w:ind w:left="200" w:right="268"/>
              <w:rPr>
                <w:b/>
                <w:sz w:val="21"/>
              </w:rPr>
            </w:pPr>
            <w:r>
              <w:rPr>
                <w:rFonts w:ascii="Times New Roman" w:eastAsia="Times New Roman"/>
                <w:b/>
                <w:sz w:val="21"/>
              </w:rPr>
              <w:t>70.</w:t>
            </w:r>
            <w:r>
              <w:rPr>
                <w:b/>
                <w:sz w:val="21"/>
              </w:rPr>
              <w:t>婴儿进行性脊肌萎缩症</w:t>
            </w:r>
          </w:p>
        </w:tc>
        <w:tc>
          <w:tcPr>
            <w:tcW w:w="7136" w:type="dxa"/>
          </w:tcPr>
          <w:p>
            <w:pPr>
              <w:pStyle w:val="TableParagraph"/>
              <w:spacing w:line="237" w:lineRule="auto" w:before="85"/>
              <w:ind w:left="108" w:right="278"/>
              <w:jc w:val="both"/>
              <w:rPr>
                <w:sz w:val="21"/>
              </w:rPr>
            </w:pPr>
            <w:r>
              <w:rPr>
                <w:sz w:val="21"/>
              </w:rPr>
              <w:t>该病是累及脊髓前角细胞及延髓运动核的神经元退行性变性病。在出生后两年内出现的脊髓和脑干颅神经前角细胞进行性机能障碍，伴随肌无力和延髓机能障碍。</w:t>
            </w:r>
          </w:p>
          <w:p>
            <w:pPr>
              <w:pStyle w:val="TableParagraph"/>
              <w:ind w:left="108" w:right="278"/>
              <w:jc w:val="both"/>
              <w:rPr>
                <w:sz w:val="21"/>
              </w:rPr>
            </w:pPr>
            <w:r>
              <w:rPr>
                <w:sz w:val="21"/>
              </w:rPr>
              <w:t>该病必须经由神经科专科医生通过肌肉活检而确诊。理赔时必须提供肌肉活检的病理报告。</w:t>
            </w:r>
          </w:p>
          <w:p>
            <w:pPr>
              <w:pStyle w:val="TableParagraph"/>
              <w:spacing w:before="4"/>
              <w:rPr>
                <w:rFonts w:ascii="Times New Roman"/>
                <w:sz w:val="21"/>
              </w:rPr>
            </w:pPr>
          </w:p>
          <w:p>
            <w:pPr>
              <w:pStyle w:val="TableParagraph"/>
              <w:spacing w:line="237" w:lineRule="auto"/>
              <w:ind w:left="108" w:right="277"/>
              <w:jc w:val="both"/>
              <w:rPr>
                <w:rFonts w:ascii="黑体" w:hAnsi="黑体" w:eastAsia="黑体" w:hint="eastAsia"/>
                <w:sz w:val="21"/>
              </w:rPr>
            </w:pPr>
            <w:r>
              <w:rPr>
                <w:rFonts w:ascii="黑体" w:hAnsi="黑体" w:eastAsia="黑体" w:hint="eastAsia"/>
                <w:sz w:val="21"/>
              </w:rPr>
              <w:t>其它类型的脊肌萎缩症如Ⅱ型中间型进行性脊肌萎缩症、Ⅲ型少年型脊肌萎缩症(</w:t>
            </w:r>
            <w:r>
              <w:rPr>
                <w:rFonts w:ascii="Times New Roman" w:hAnsi="Times New Roman" w:eastAsia="Times New Roman"/>
                <w:sz w:val="21"/>
              </w:rPr>
              <w:t>Kugelberg-Welander </w:t>
            </w:r>
            <w:r>
              <w:rPr>
                <w:rFonts w:ascii="黑体" w:hAnsi="黑体" w:eastAsia="黑体" w:hint="eastAsia"/>
                <w:sz w:val="21"/>
              </w:rPr>
              <w:t>氏病)不在保障范围内。</w:t>
            </w:r>
          </w:p>
        </w:tc>
      </w:tr>
      <w:tr>
        <w:trPr>
          <w:trHeight w:val="2148" w:hRule="atLeast"/>
        </w:trPr>
        <w:tc>
          <w:tcPr>
            <w:tcW w:w="1788" w:type="dxa"/>
          </w:tcPr>
          <w:p>
            <w:pPr>
              <w:pStyle w:val="TableParagraph"/>
              <w:spacing w:line="225" w:lineRule="auto" w:before="100"/>
              <w:ind w:left="200" w:right="268"/>
              <w:rPr>
                <w:b/>
                <w:sz w:val="21"/>
              </w:rPr>
            </w:pPr>
            <w:r>
              <w:rPr>
                <w:rFonts w:ascii="Times New Roman" w:eastAsia="Times New Roman"/>
                <w:b/>
                <w:sz w:val="21"/>
              </w:rPr>
              <w:t>71.</w:t>
            </w:r>
            <w:r>
              <w:rPr>
                <w:b/>
                <w:sz w:val="21"/>
              </w:rPr>
              <w:t>严重瑞氏综合征</w:t>
            </w:r>
          </w:p>
        </w:tc>
        <w:tc>
          <w:tcPr>
            <w:tcW w:w="7136" w:type="dxa"/>
          </w:tcPr>
          <w:p>
            <w:pPr>
              <w:pStyle w:val="TableParagraph"/>
              <w:spacing w:line="237" w:lineRule="auto" w:before="85"/>
              <w:ind w:left="108" w:right="278"/>
              <w:jc w:val="both"/>
              <w:rPr>
                <w:sz w:val="21"/>
              </w:rPr>
            </w:pPr>
            <w:r>
              <w:rPr>
                <w:sz w:val="21"/>
              </w:rPr>
              <w:t>瑞氏综合征是线粒体功能障碍性疾病。导致脂肪代谢障碍，引起短链脂肪酸、血氨升高，造成脑水肿。主要临床表现为急性发热、反复呕吐、惊厥及意识障碍等。肝脏活检是确诊的重要手段。此症必须由医院的儿科专科医生确诊，并符合下列所有条件：</w:t>
            </w:r>
          </w:p>
          <w:p>
            <w:pPr>
              <w:pStyle w:val="TableParagraph"/>
              <w:spacing w:line="279" w:lineRule="exact"/>
              <w:ind w:left="108"/>
              <w:jc w:val="both"/>
              <w:rPr>
                <w:sz w:val="21"/>
              </w:rPr>
            </w:pPr>
            <w:r>
              <w:rPr>
                <w:sz w:val="21"/>
              </w:rPr>
              <w:t>（</w:t>
            </w:r>
            <w:r>
              <w:rPr>
                <w:rFonts w:ascii="Times New Roman" w:eastAsia="Times New Roman"/>
                <w:sz w:val="21"/>
              </w:rPr>
              <w:t>1</w:t>
            </w:r>
            <w:r>
              <w:rPr>
                <w:sz w:val="21"/>
              </w:rPr>
              <w:t>）有脑水肿和颅内压升高的脑脊液检查和影像学检查证据；</w:t>
            </w:r>
          </w:p>
          <w:p>
            <w:pPr>
              <w:pStyle w:val="TableParagraph"/>
              <w:spacing w:line="272" w:lineRule="exact"/>
              <w:ind w:left="108"/>
              <w:jc w:val="both"/>
              <w:rPr>
                <w:sz w:val="21"/>
              </w:rPr>
            </w:pPr>
            <w:r>
              <w:rPr>
                <w:sz w:val="21"/>
              </w:rPr>
              <w:t>（</w:t>
            </w:r>
            <w:r>
              <w:rPr>
                <w:rFonts w:ascii="Times New Roman" w:eastAsia="Times New Roman"/>
                <w:sz w:val="21"/>
              </w:rPr>
              <w:t>2</w:t>
            </w:r>
            <w:r>
              <w:rPr>
                <w:sz w:val="21"/>
              </w:rPr>
              <w:t>）血氨超过正常值的 </w:t>
            </w:r>
            <w:r>
              <w:rPr>
                <w:rFonts w:ascii="Times New Roman" w:eastAsia="Times New Roman"/>
                <w:sz w:val="21"/>
              </w:rPr>
              <w:t>3 </w:t>
            </w:r>
            <w:r>
              <w:rPr>
                <w:sz w:val="21"/>
              </w:rPr>
              <w:t>倍；</w:t>
            </w:r>
          </w:p>
          <w:p>
            <w:pPr>
              <w:pStyle w:val="TableParagraph"/>
              <w:spacing w:line="281" w:lineRule="exact"/>
              <w:ind w:left="108"/>
              <w:jc w:val="both"/>
              <w:rPr>
                <w:sz w:val="21"/>
              </w:rPr>
            </w:pPr>
            <w:r>
              <w:rPr>
                <w:sz w:val="21"/>
              </w:rPr>
              <w:t>（</w:t>
            </w:r>
            <w:r>
              <w:rPr>
                <w:rFonts w:ascii="Times New Roman" w:eastAsia="Times New Roman"/>
                <w:sz w:val="21"/>
              </w:rPr>
              <w:t>3</w:t>
            </w:r>
            <w:r>
              <w:rPr>
                <w:sz w:val="21"/>
              </w:rPr>
              <w:t>）临床出现昏迷，病程至少达到疾病分期第 </w:t>
            </w:r>
            <w:r>
              <w:rPr>
                <w:rFonts w:ascii="Times New Roman" w:eastAsia="Times New Roman"/>
                <w:sz w:val="21"/>
              </w:rPr>
              <w:t>3 </w:t>
            </w:r>
            <w:r>
              <w:rPr>
                <w:sz w:val="21"/>
              </w:rPr>
              <w:t>期。</w:t>
            </w:r>
          </w:p>
        </w:tc>
      </w:tr>
      <w:tr>
        <w:trPr>
          <w:trHeight w:val="2685" w:hRule="atLeast"/>
        </w:trPr>
        <w:tc>
          <w:tcPr>
            <w:tcW w:w="1788" w:type="dxa"/>
          </w:tcPr>
          <w:p>
            <w:pPr>
              <w:pStyle w:val="TableParagraph"/>
              <w:spacing w:before="82"/>
              <w:ind w:left="200"/>
              <w:rPr>
                <w:b/>
                <w:sz w:val="21"/>
              </w:rPr>
            </w:pPr>
            <w:r>
              <w:rPr>
                <w:rFonts w:ascii="Times New Roman" w:eastAsia="Times New Roman"/>
                <w:b/>
                <w:sz w:val="21"/>
              </w:rPr>
              <w:t>72.</w:t>
            </w:r>
            <w:r>
              <w:rPr>
                <w:b/>
                <w:sz w:val="21"/>
              </w:rPr>
              <w:t>重症肌无力</w:t>
            </w:r>
          </w:p>
        </w:tc>
        <w:tc>
          <w:tcPr>
            <w:tcW w:w="7136" w:type="dxa"/>
          </w:tcPr>
          <w:p>
            <w:pPr>
              <w:pStyle w:val="TableParagraph"/>
              <w:spacing w:line="237" w:lineRule="auto" w:before="85"/>
              <w:ind w:left="108" w:right="277"/>
              <w:jc w:val="both"/>
              <w:rPr>
                <w:sz w:val="21"/>
              </w:rPr>
            </w:pPr>
            <w:r>
              <w:rPr>
                <w:sz w:val="21"/>
              </w:rPr>
              <w:t>是指一种神经与肌肉接头部位传递障碍的自身免疫性疾病，临床特征是局部或全身横纹肌于活动时易于疲劳无力，颅神经眼外肌最易累及，也可涉及呼吸肌、下肢近端肌群乃至全身肌肉，须经神经科专科医生确诊。其诊断必须同时具有下列情况：</w:t>
            </w:r>
          </w:p>
          <w:p>
            <w:pPr>
              <w:pStyle w:val="TableParagraph"/>
              <w:spacing w:line="279" w:lineRule="exact"/>
              <w:ind w:left="108"/>
              <w:rPr>
                <w:sz w:val="21"/>
              </w:rPr>
            </w:pPr>
            <w:r>
              <w:rPr>
                <w:sz w:val="21"/>
              </w:rPr>
              <w:t>（</w:t>
            </w:r>
            <w:r>
              <w:rPr>
                <w:rFonts w:ascii="Times New Roman" w:eastAsia="Times New Roman"/>
                <w:sz w:val="21"/>
              </w:rPr>
              <w:t>1</w:t>
            </w:r>
            <w:r>
              <w:rPr>
                <w:sz w:val="21"/>
              </w:rPr>
              <w:t>）经药物、胸腺手术治疗一年以上无法控制病情，丧失正常工作能力；</w:t>
            </w:r>
          </w:p>
          <w:p>
            <w:pPr>
              <w:pStyle w:val="TableParagraph"/>
              <w:spacing w:line="223" w:lineRule="auto" w:before="12"/>
              <w:ind w:left="108" w:right="275"/>
              <w:jc w:val="both"/>
              <w:rPr>
                <w:sz w:val="21"/>
              </w:rPr>
            </w:pPr>
            <w:r>
              <w:rPr>
                <w:spacing w:val="-8"/>
                <w:sz w:val="21"/>
              </w:rPr>
              <w:t>（</w:t>
            </w:r>
            <w:r>
              <w:rPr>
                <w:rFonts w:ascii="Times New Roman" w:eastAsia="Times New Roman"/>
                <w:spacing w:val="-8"/>
                <w:sz w:val="21"/>
              </w:rPr>
              <w:t>2</w:t>
            </w:r>
            <w:r>
              <w:rPr>
                <w:spacing w:val="-8"/>
                <w:sz w:val="21"/>
              </w:rPr>
              <w:t>）</w:t>
            </w:r>
            <w:r>
              <w:rPr>
                <w:spacing w:val="-9"/>
                <w:sz w:val="21"/>
              </w:rPr>
              <w:t>出现眼睑下垂，或构音困难、进食呛咳，或由于肌无力累及呼吸肌而</w:t>
            </w:r>
            <w:r>
              <w:rPr>
                <w:spacing w:val="-5"/>
                <w:sz w:val="21"/>
              </w:rPr>
              <w:t>致机体呼吸功能不正常的危急状态即肌无力危象；</w:t>
            </w:r>
          </w:p>
          <w:p>
            <w:pPr>
              <w:pStyle w:val="TableParagraph"/>
              <w:spacing w:line="223" w:lineRule="auto" w:before="19"/>
              <w:ind w:left="108" w:right="277"/>
              <w:jc w:val="both"/>
              <w:rPr>
                <w:sz w:val="21"/>
              </w:rPr>
            </w:pPr>
            <w:r>
              <w:rPr>
                <w:spacing w:val="-10"/>
                <w:sz w:val="21"/>
              </w:rPr>
              <w:t>（</w:t>
            </w:r>
            <w:r>
              <w:rPr>
                <w:rFonts w:ascii="Times New Roman" w:eastAsia="Times New Roman"/>
                <w:spacing w:val="-10"/>
                <w:sz w:val="21"/>
              </w:rPr>
              <w:t>3</w:t>
            </w:r>
            <w:r>
              <w:rPr>
                <w:spacing w:val="-10"/>
                <w:sz w:val="21"/>
              </w:rPr>
              <w:t>）</w:t>
            </w:r>
            <w:r>
              <w:rPr>
                <w:spacing w:val="-9"/>
                <w:sz w:val="21"/>
              </w:rPr>
              <w:t>症状缓解、复发及恶化交替出现，临床接受新斯的明等抗胆碱酯酶药</w:t>
            </w:r>
            <w:r>
              <w:rPr>
                <w:spacing w:val="-5"/>
                <w:sz w:val="21"/>
              </w:rPr>
              <w:t>物治疗的病史。</w:t>
            </w:r>
          </w:p>
        </w:tc>
      </w:tr>
      <w:tr>
        <w:trPr>
          <w:trHeight w:val="2116" w:hRule="atLeast"/>
        </w:trPr>
        <w:tc>
          <w:tcPr>
            <w:tcW w:w="1788" w:type="dxa"/>
          </w:tcPr>
          <w:p>
            <w:pPr>
              <w:pStyle w:val="TableParagraph"/>
              <w:spacing w:line="225" w:lineRule="auto" w:before="108"/>
              <w:ind w:left="200" w:right="107"/>
              <w:rPr>
                <w:b/>
                <w:sz w:val="21"/>
              </w:rPr>
            </w:pPr>
            <w:r>
              <w:rPr>
                <w:rFonts w:ascii="Times New Roman" w:eastAsia="Times New Roman"/>
                <w:b/>
                <w:sz w:val="21"/>
              </w:rPr>
              <w:t>73.</w:t>
            </w:r>
            <w:r>
              <w:rPr>
                <w:b/>
                <w:sz w:val="21"/>
              </w:rPr>
              <w:t>严重幼年型类风湿性关节炎</w:t>
            </w:r>
          </w:p>
        </w:tc>
        <w:tc>
          <w:tcPr>
            <w:tcW w:w="7136" w:type="dxa"/>
          </w:tcPr>
          <w:p>
            <w:pPr>
              <w:pStyle w:val="TableParagraph"/>
              <w:spacing w:line="235" w:lineRule="auto" w:before="96"/>
              <w:ind w:left="108" w:right="275"/>
              <w:jc w:val="both"/>
              <w:rPr>
                <w:sz w:val="21"/>
              </w:rPr>
            </w:pPr>
            <w:r>
              <w:rPr>
                <w:spacing w:val="-3"/>
                <w:sz w:val="21"/>
              </w:rPr>
              <w:t>是指小儿及青少年时期的一种全身结缔组织病。可表现为驰张热、皮疹、关节炎、脾肿大、淋巴结肿大、浆膜炎、体重减轻、中性粒细胞增多等， 全身症状可以先于关节炎出现。本病须经儿科类风湿病专科医生出具医学</w:t>
            </w:r>
            <w:r>
              <w:rPr>
                <w:spacing w:val="-5"/>
                <w:sz w:val="21"/>
              </w:rPr>
              <w:t>诊断证明，症状须持续 </w:t>
            </w:r>
            <w:r>
              <w:rPr>
                <w:rFonts w:ascii="Times New Roman" w:eastAsia="Times New Roman"/>
                <w:sz w:val="21"/>
              </w:rPr>
              <w:t>6 </w:t>
            </w:r>
            <w:r>
              <w:rPr>
                <w:spacing w:val="-3"/>
                <w:sz w:val="21"/>
              </w:rPr>
              <w:t>个月以上，并因病情严重在医生的建议下已接受以治疗为目的的膝或髋关节的置换手术。</w:t>
            </w:r>
          </w:p>
          <w:p>
            <w:pPr>
              <w:pStyle w:val="TableParagraph"/>
              <w:spacing w:before="8"/>
              <w:rPr>
                <w:rFonts w:ascii="Times New Roman"/>
                <w:sz w:val="20"/>
              </w:rPr>
            </w:pPr>
          </w:p>
          <w:p>
            <w:pPr>
              <w:pStyle w:val="TableParagraph"/>
              <w:ind w:left="108"/>
              <w:jc w:val="both"/>
              <w:rPr>
                <w:rFonts w:ascii="黑体" w:eastAsia="黑体" w:hint="eastAsia"/>
                <w:sz w:val="21"/>
              </w:rPr>
            </w:pPr>
            <w:r>
              <w:rPr>
                <w:rFonts w:ascii="黑体" w:eastAsia="黑体" w:hint="eastAsia"/>
                <w:sz w:val="21"/>
              </w:rPr>
              <w:t>其它类型的儿童类风湿性关节炎不在保障范围内。</w:t>
            </w:r>
          </w:p>
        </w:tc>
      </w:tr>
      <w:tr>
        <w:trPr>
          <w:trHeight w:val="1573" w:hRule="atLeast"/>
        </w:trPr>
        <w:tc>
          <w:tcPr>
            <w:tcW w:w="1788" w:type="dxa"/>
          </w:tcPr>
          <w:p>
            <w:pPr>
              <w:pStyle w:val="TableParagraph"/>
              <w:spacing w:line="225" w:lineRule="auto" w:before="108"/>
              <w:ind w:left="200" w:right="268"/>
              <w:rPr>
                <w:b/>
                <w:sz w:val="21"/>
              </w:rPr>
            </w:pPr>
            <w:r>
              <w:rPr>
                <w:rFonts w:ascii="Times New Roman" w:eastAsia="Times New Roman"/>
                <w:b/>
                <w:sz w:val="21"/>
              </w:rPr>
              <w:t>74.</w:t>
            </w:r>
            <w:r>
              <w:rPr>
                <w:b/>
                <w:sz w:val="21"/>
              </w:rPr>
              <w:t>出血性登革热</w:t>
            </w:r>
          </w:p>
        </w:tc>
        <w:tc>
          <w:tcPr>
            <w:tcW w:w="7136" w:type="dxa"/>
          </w:tcPr>
          <w:p>
            <w:pPr>
              <w:pStyle w:val="TableParagraph"/>
              <w:spacing w:line="230" w:lineRule="auto" w:before="101"/>
              <w:ind w:left="108" w:right="277"/>
              <w:jc w:val="both"/>
              <w:rPr>
                <w:sz w:val="21"/>
              </w:rPr>
            </w:pPr>
            <w:r>
              <w:rPr>
                <w:spacing w:val="-3"/>
                <w:sz w:val="21"/>
              </w:rPr>
              <w:t>指因出血性登革热出现全部四种症状，包括高烧、出血现象、肝肿大和循环衰竭（登革热休克综合征，即符合世界卫生组织</w:t>
            </w:r>
            <w:r>
              <w:rPr>
                <w:rFonts w:ascii="Times New Roman" w:hAnsi="Times New Roman" w:eastAsia="Times New Roman"/>
                <w:sz w:val="21"/>
              </w:rPr>
              <w:t>(WHO)</w:t>
            </w:r>
            <w:r>
              <w:rPr>
                <w:spacing w:val="-2"/>
                <w:sz w:val="21"/>
              </w:rPr>
              <w:t>登革热第</w:t>
            </w:r>
            <w:r>
              <w:rPr>
                <w:rFonts w:ascii="宋体" w:hAnsi="宋体" w:eastAsia="宋体" w:hint="eastAsia"/>
                <w:sz w:val="21"/>
              </w:rPr>
              <w:t>Ⅲ</w:t>
            </w:r>
            <w:r>
              <w:rPr>
                <w:spacing w:val="-3"/>
                <w:sz w:val="21"/>
              </w:rPr>
              <w:t>级及</w:t>
            </w:r>
            <w:r>
              <w:rPr>
                <w:sz w:val="21"/>
              </w:rPr>
              <w:t>第</w:t>
            </w:r>
            <w:r>
              <w:rPr>
                <w:rFonts w:ascii="宋体" w:hAnsi="宋体" w:eastAsia="宋体" w:hint="eastAsia"/>
                <w:sz w:val="21"/>
              </w:rPr>
              <w:t>Ⅳ</w:t>
            </w:r>
            <w:r>
              <w:rPr>
                <w:spacing w:val="-3"/>
                <w:sz w:val="21"/>
              </w:rPr>
              <w:t>级</w:t>
            </w:r>
            <w:r>
              <w:rPr>
                <w:spacing w:val="-106"/>
                <w:sz w:val="21"/>
              </w:rPr>
              <w:t>）</w:t>
            </w:r>
            <w:r>
              <w:rPr>
                <w:spacing w:val="-3"/>
                <w:sz w:val="21"/>
              </w:rPr>
              <w:t>。出血性登革热的诊断必须由医院的专科医生确诊。</w:t>
            </w:r>
          </w:p>
          <w:p>
            <w:pPr>
              <w:pStyle w:val="TableParagraph"/>
              <w:spacing w:before="8"/>
              <w:rPr>
                <w:rFonts w:ascii="Times New Roman"/>
                <w:sz w:val="20"/>
              </w:rPr>
            </w:pPr>
          </w:p>
          <w:p>
            <w:pPr>
              <w:pStyle w:val="TableParagraph"/>
              <w:ind w:left="108"/>
              <w:jc w:val="both"/>
              <w:rPr>
                <w:rFonts w:ascii="黑体" w:eastAsia="黑体" w:hint="eastAsia"/>
                <w:sz w:val="21"/>
              </w:rPr>
            </w:pPr>
            <w:r>
              <w:rPr>
                <w:rFonts w:ascii="黑体" w:eastAsia="黑体" w:hint="eastAsia"/>
                <w:sz w:val="21"/>
              </w:rPr>
              <w:t>非出血性登革热不在保障范围内。</w:t>
            </w:r>
          </w:p>
        </w:tc>
      </w:tr>
      <w:tr>
        <w:trPr>
          <w:trHeight w:val="1331" w:hRule="atLeast"/>
        </w:trPr>
        <w:tc>
          <w:tcPr>
            <w:tcW w:w="1788" w:type="dxa"/>
          </w:tcPr>
          <w:p>
            <w:pPr>
              <w:pStyle w:val="TableParagraph"/>
              <w:spacing w:line="223" w:lineRule="auto" w:before="112"/>
              <w:ind w:left="200" w:right="268"/>
              <w:rPr>
                <w:b/>
                <w:sz w:val="21"/>
              </w:rPr>
            </w:pPr>
            <w:r>
              <w:rPr>
                <w:rFonts w:ascii="Times New Roman" w:eastAsia="Times New Roman"/>
                <w:b/>
                <w:sz w:val="21"/>
              </w:rPr>
              <w:t>75.</w:t>
            </w:r>
            <w:r>
              <w:rPr>
                <w:b/>
                <w:sz w:val="21"/>
              </w:rPr>
              <w:t>丝虫病所致象皮肿</w:t>
            </w:r>
          </w:p>
        </w:tc>
        <w:tc>
          <w:tcPr>
            <w:tcW w:w="7136" w:type="dxa"/>
          </w:tcPr>
          <w:p>
            <w:pPr>
              <w:pStyle w:val="TableParagraph"/>
              <w:spacing w:line="232" w:lineRule="auto" w:before="100"/>
              <w:ind w:left="108" w:right="275"/>
              <w:jc w:val="both"/>
              <w:rPr>
                <w:sz w:val="21"/>
              </w:rPr>
            </w:pPr>
            <w:r>
              <w:rPr>
                <w:spacing w:val="-3"/>
                <w:sz w:val="21"/>
              </w:rPr>
              <w:t>指因丝虫感染导致淋巴阻塞出现严重淋巴水肿，达到国际淋巴学会淋巴水肿分期第</w:t>
            </w:r>
            <w:r>
              <w:rPr>
                <w:rFonts w:ascii="宋体" w:hAnsi="宋体" w:eastAsia="宋体" w:hint="eastAsia"/>
                <w:spacing w:val="-3"/>
                <w:sz w:val="21"/>
              </w:rPr>
              <w:t>Ⅲ</w:t>
            </w:r>
            <w:r>
              <w:rPr>
                <w:spacing w:val="-4"/>
                <w:sz w:val="21"/>
              </w:rPr>
              <w:t>期，临床表现为肢体象皮肿，患肢较健肢增粗 </w:t>
            </w:r>
            <w:r>
              <w:rPr>
                <w:rFonts w:ascii="Times New Roman" w:hAnsi="Times New Roman" w:eastAsia="Times New Roman"/>
                <w:sz w:val="21"/>
              </w:rPr>
              <w:t>30%</w:t>
            </w:r>
            <w:r>
              <w:rPr>
                <w:spacing w:val="-3"/>
                <w:sz w:val="21"/>
              </w:rPr>
              <w:t>以上，日常生活不能自理。此症必须由专科医生确诊，并且以微丝蚴化验结果阳性确认。</w:t>
            </w:r>
          </w:p>
        </w:tc>
      </w:tr>
      <w:tr>
        <w:trPr>
          <w:trHeight w:val="1197" w:hRule="atLeast"/>
        </w:trPr>
        <w:tc>
          <w:tcPr>
            <w:tcW w:w="1788" w:type="dxa"/>
          </w:tcPr>
          <w:p>
            <w:pPr>
              <w:pStyle w:val="TableParagraph"/>
              <w:spacing w:before="90"/>
              <w:ind w:left="200"/>
              <w:rPr>
                <w:b/>
                <w:sz w:val="21"/>
              </w:rPr>
            </w:pPr>
            <w:r>
              <w:rPr>
                <w:rFonts w:ascii="Times New Roman" w:eastAsia="Times New Roman"/>
                <w:b/>
                <w:sz w:val="21"/>
              </w:rPr>
              <w:t>76.</w:t>
            </w:r>
            <w:r>
              <w:rPr>
                <w:b/>
                <w:sz w:val="21"/>
              </w:rPr>
              <w:t>疯牛病</w:t>
            </w:r>
          </w:p>
        </w:tc>
        <w:tc>
          <w:tcPr>
            <w:tcW w:w="7136" w:type="dxa"/>
          </w:tcPr>
          <w:p>
            <w:pPr>
              <w:pStyle w:val="TableParagraph"/>
              <w:spacing w:line="274" w:lineRule="exact" w:before="90"/>
              <w:ind w:left="108"/>
              <w:rPr>
                <w:sz w:val="21"/>
              </w:rPr>
            </w:pPr>
            <w:r>
              <w:rPr>
                <w:sz w:val="21"/>
              </w:rPr>
              <w:t>是一种神经系统疾病及致命的成胶质状脑病，并有以下症状：</w:t>
            </w:r>
          </w:p>
          <w:p>
            <w:pPr>
              <w:pStyle w:val="TableParagraph"/>
              <w:spacing w:line="280" w:lineRule="exact"/>
              <w:ind w:left="108"/>
              <w:rPr>
                <w:sz w:val="21"/>
              </w:rPr>
            </w:pPr>
            <w:r>
              <w:rPr>
                <w:sz w:val="21"/>
              </w:rPr>
              <w:t>（</w:t>
            </w:r>
            <w:r>
              <w:rPr>
                <w:rFonts w:ascii="Times New Roman" w:eastAsia="Times New Roman"/>
                <w:sz w:val="21"/>
              </w:rPr>
              <w:t>1</w:t>
            </w:r>
            <w:r>
              <w:rPr>
                <w:sz w:val="21"/>
              </w:rPr>
              <w:t>）不能控制的肌肉痉挛及震颤；</w:t>
            </w:r>
          </w:p>
          <w:p>
            <w:pPr>
              <w:pStyle w:val="TableParagraph"/>
              <w:spacing w:line="271" w:lineRule="exact"/>
              <w:ind w:left="108"/>
              <w:rPr>
                <w:sz w:val="21"/>
              </w:rPr>
            </w:pPr>
            <w:r>
              <w:rPr>
                <w:sz w:val="21"/>
              </w:rPr>
              <w:t>（</w:t>
            </w:r>
            <w:r>
              <w:rPr>
                <w:rFonts w:ascii="Times New Roman" w:eastAsia="Times New Roman"/>
                <w:sz w:val="21"/>
              </w:rPr>
              <w:t>2</w:t>
            </w:r>
            <w:r>
              <w:rPr>
                <w:sz w:val="21"/>
              </w:rPr>
              <w:t>）逐渐痴呆；</w:t>
            </w:r>
          </w:p>
          <w:p>
            <w:pPr>
              <w:pStyle w:val="TableParagraph"/>
              <w:spacing w:line="261" w:lineRule="exact"/>
              <w:ind w:left="108"/>
              <w:rPr>
                <w:sz w:val="21"/>
              </w:rPr>
            </w:pPr>
            <w:r>
              <w:rPr>
                <w:sz w:val="21"/>
              </w:rPr>
              <w:t>（</w:t>
            </w:r>
            <w:r>
              <w:rPr>
                <w:rFonts w:ascii="Times New Roman" w:eastAsia="Times New Roman"/>
                <w:sz w:val="21"/>
              </w:rPr>
              <w:t>3</w:t>
            </w:r>
            <w:r>
              <w:rPr>
                <w:sz w:val="21"/>
              </w:rPr>
              <w:t>）小脑功能不良，共济失调；</w:t>
            </w:r>
          </w:p>
        </w:tc>
      </w:tr>
    </w:tbl>
    <w:p>
      <w:pPr>
        <w:spacing w:after="0" w:line="261" w:lineRule="exact"/>
        <w:rPr>
          <w:sz w:val="21"/>
        </w:rPr>
        <w:sectPr>
          <w:pgSz w:w="11910" w:h="16840"/>
          <w:pgMar w:top="1060" w:bottom="280" w:left="1420" w:right="1340"/>
        </w:sectPr>
      </w:pPr>
    </w:p>
    <w:tbl>
      <w:tblPr>
        <w:tblW w:w="0" w:type="auto"/>
        <w:jc w:val="left"/>
        <w:tblInd w:w="1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51"/>
        <w:gridCol w:w="1748"/>
        <w:gridCol w:w="7111"/>
      </w:tblGrid>
      <w:tr>
        <w:trPr>
          <w:trHeight w:val="918" w:hRule="atLeast"/>
        </w:trPr>
        <w:tc>
          <w:tcPr>
            <w:tcW w:w="1151" w:type="dxa"/>
          </w:tcPr>
          <w:p>
            <w:pPr>
              <w:pStyle w:val="TableParagraph"/>
              <w:rPr>
                <w:rFonts w:ascii="Times New Roman"/>
                <w:sz w:val="20"/>
              </w:rPr>
            </w:pPr>
          </w:p>
        </w:tc>
        <w:tc>
          <w:tcPr>
            <w:tcW w:w="1748" w:type="dxa"/>
          </w:tcPr>
          <w:p>
            <w:pPr>
              <w:pStyle w:val="TableParagraph"/>
              <w:rPr>
                <w:rFonts w:ascii="Times New Roman"/>
                <w:sz w:val="20"/>
              </w:rPr>
            </w:pPr>
          </w:p>
        </w:tc>
        <w:tc>
          <w:tcPr>
            <w:tcW w:w="7111" w:type="dxa"/>
          </w:tcPr>
          <w:p>
            <w:pPr>
              <w:pStyle w:val="TableParagraph"/>
              <w:spacing w:line="224" w:lineRule="exact"/>
              <w:ind w:left="54"/>
              <w:rPr>
                <w:sz w:val="21"/>
              </w:rPr>
            </w:pPr>
            <w:r>
              <w:rPr>
                <w:sz w:val="21"/>
              </w:rPr>
              <w:t>（</w:t>
            </w:r>
            <w:r>
              <w:rPr>
                <w:rFonts w:ascii="Times New Roman" w:eastAsia="Times New Roman"/>
                <w:sz w:val="21"/>
              </w:rPr>
              <w:t>4</w:t>
            </w:r>
            <w:r>
              <w:rPr>
                <w:sz w:val="21"/>
              </w:rPr>
              <w:t>）手足徐动症。</w:t>
            </w:r>
          </w:p>
          <w:p>
            <w:pPr>
              <w:pStyle w:val="TableParagraph"/>
              <w:ind w:left="54" w:right="199"/>
              <w:rPr>
                <w:sz w:val="21"/>
              </w:rPr>
            </w:pPr>
            <w:r>
              <w:rPr>
                <w:spacing w:val="-7"/>
                <w:sz w:val="21"/>
              </w:rPr>
              <w:t>诊断必须由神经科专科医生基于以下检查报告作出：脑电图、脑脊液报告、</w:t>
            </w:r>
            <w:r>
              <w:rPr>
                <w:spacing w:val="-3"/>
                <w:sz w:val="21"/>
              </w:rPr>
              <w:t>电脑断层扫描</w:t>
            </w:r>
            <w:r>
              <w:rPr>
                <w:rFonts w:ascii="Times New Roman" w:eastAsia="Times New Roman"/>
                <w:spacing w:val="-1"/>
                <w:sz w:val="21"/>
              </w:rPr>
              <w:t>(CT)</w:t>
            </w:r>
            <w:r>
              <w:rPr>
                <w:spacing w:val="-3"/>
                <w:sz w:val="21"/>
              </w:rPr>
              <w:t>及核磁共振检查</w:t>
            </w:r>
            <w:r>
              <w:rPr>
                <w:rFonts w:ascii="Times New Roman" w:eastAsia="Times New Roman"/>
                <w:spacing w:val="-1"/>
                <w:sz w:val="21"/>
              </w:rPr>
              <w:t>(MRI)</w:t>
            </w:r>
            <w:r>
              <w:rPr>
                <w:sz w:val="21"/>
              </w:rPr>
              <w:t>。</w:t>
            </w:r>
          </w:p>
        </w:tc>
      </w:tr>
      <w:tr>
        <w:trPr>
          <w:trHeight w:val="1050" w:hRule="atLeast"/>
        </w:trPr>
        <w:tc>
          <w:tcPr>
            <w:tcW w:w="1151" w:type="dxa"/>
          </w:tcPr>
          <w:p>
            <w:pPr>
              <w:pStyle w:val="TableParagraph"/>
              <w:rPr>
                <w:rFonts w:ascii="Times New Roman"/>
                <w:sz w:val="20"/>
              </w:rPr>
            </w:pPr>
          </w:p>
        </w:tc>
        <w:tc>
          <w:tcPr>
            <w:tcW w:w="1748" w:type="dxa"/>
          </w:tcPr>
          <w:p>
            <w:pPr>
              <w:pStyle w:val="TableParagraph"/>
              <w:spacing w:line="223" w:lineRule="auto" w:before="103"/>
              <w:ind w:left="105" w:right="322"/>
              <w:rPr>
                <w:b/>
                <w:sz w:val="21"/>
              </w:rPr>
            </w:pPr>
            <w:r>
              <w:rPr>
                <w:rFonts w:ascii="Times New Roman" w:eastAsia="Times New Roman"/>
                <w:b/>
                <w:sz w:val="21"/>
              </w:rPr>
              <w:t>77.</w:t>
            </w:r>
            <w:r>
              <w:rPr>
                <w:b/>
                <w:sz w:val="21"/>
              </w:rPr>
              <w:t>埃博拉病毒感染</w:t>
            </w:r>
          </w:p>
        </w:tc>
        <w:tc>
          <w:tcPr>
            <w:tcW w:w="7111" w:type="dxa"/>
          </w:tcPr>
          <w:p>
            <w:pPr>
              <w:pStyle w:val="TableParagraph"/>
              <w:spacing w:line="237" w:lineRule="auto" w:before="85"/>
              <w:ind w:left="54" w:right="199"/>
              <w:rPr>
                <w:sz w:val="21"/>
              </w:rPr>
            </w:pPr>
            <w:r>
              <w:rPr>
                <w:spacing w:val="-8"/>
                <w:sz w:val="21"/>
              </w:rPr>
              <w:t>受埃博拉病毒感染导致出血性发热。埃博拉病必须经传染病专科医生确诊， 并且埃博拉病毒的存在必须经过实验室检查证实。该病必须从症状开始三</w:t>
            </w:r>
            <w:r>
              <w:rPr>
                <w:spacing w:val="-5"/>
                <w:sz w:val="21"/>
              </w:rPr>
              <w:t>十天后持续出现并发症。</w:t>
            </w:r>
          </w:p>
        </w:tc>
      </w:tr>
      <w:tr>
        <w:trPr>
          <w:trHeight w:val="2427" w:hRule="atLeast"/>
        </w:trPr>
        <w:tc>
          <w:tcPr>
            <w:tcW w:w="1151" w:type="dxa"/>
          </w:tcPr>
          <w:p>
            <w:pPr>
              <w:pStyle w:val="TableParagraph"/>
              <w:rPr>
                <w:rFonts w:ascii="Times New Roman"/>
                <w:sz w:val="20"/>
              </w:rPr>
            </w:pPr>
          </w:p>
        </w:tc>
        <w:tc>
          <w:tcPr>
            <w:tcW w:w="1748" w:type="dxa"/>
          </w:tcPr>
          <w:p>
            <w:pPr>
              <w:pStyle w:val="TableParagraph"/>
              <w:spacing w:line="223" w:lineRule="auto" w:before="111"/>
              <w:ind w:left="105" w:right="322"/>
              <w:rPr>
                <w:b/>
                <w:sz w:val="21"/>
              </w:rPr>
            </w:pPr>
            <w:r>
              <w:rPr>
                <w:rFonts w:ascii="Times New Roman" w:eastAsia="Times New Roman"/>
                <w:b/>
                <w:sz w:val="21"/>
              </w:rPr>
              <w:t>78.</w:t>
            </w:r>
            <w:r>
              <w:rPr>
                <w:b/>
                <w:sz w:val="21"/>
              </w:rPr>
              <w:t>肝豆状核变性</w:t>
            </w:r>
          </w:p>
        </w:tc>
        <w:tc>
          <w:tcPr>
            <w:tcW w:w="7111" w:type="dxa"/>
          </w:tcPr>
          <w:p>
            <w:pPr>
              <w:pStyle w:val="TableParagraph"/>
              <w:spacing w:line="237" w:lineRule="auto" w:before="93"/>
              <w:ind w:left="54" w:right="308"/>
              <w:rPr>
                <w:sz w:val="21"/>
              </w:rPr>
            </w:pPr>
            <w:r>
              <w:rPr>
                <w:sz w:val="21"/>
              </w:rPr>
              <w:t>由于先天性铜代谢障碍所引起的一种疾病，其特点为肝硬化与双侧脑基底神经节变性同时存在。须经专科医生确认并同时具备下列情况：</w:t>
            </w:r>
          </w:p>
          <w:p>
            <w:pPr>
              <w:pStyle w:val="TableParagraph"/>
              <w:spacing w:line="223" w:lineRule="auto" w:before="18"/>
              <w:ind w:left="54" w:right="225"/>
              <w:rPr>
                <w:sz w:val="21"/>
              </w:rPr>
            </w:pPr>
            <w:r>
              <w:rPr>
                <w:sz w:val="21"/>
              </w:rPr>
              <w:t>（</w:t>
            </w:r>
            <w:r>
              <w:rPr>
                <w:rFonts w:ascii="Times New Roman" w:eastAsia="Times New Roman"/>
                <w:sz w:val="21"/>
              </w:rPr>
              <w:t>1</w:t>
            </w:r>
            <w:r>
              <w:rPr>
                <w:sz w:val="21"/>
              </w:rPr>
              <w:t>）临床表现包括：进行性加剧的肢体震颤、肌强直、吞咽及发音困难、精神异常；</w:t>
            </w:r>
          </w:p>
          <w:p>
            <w:pPr>
              <w:pStyle w:val="TableParagraph"/>
              <w:spacing w:line="280" w:lineRule="exact"/>
              <w:ind w:left="54"/>
              <w:rPr>
                <w:sz w:val="21"/>
              </w:rPr>
            </w:pPr>
            <w:r>
              <w:rPr>
                <w:w w:val="100"/>
                <w:sz w:val="21"/>
              </w:rPr>
              <w:t>（</w:t>
            </w:r>
            <w:r>
              <w:rPr>
                <w:rFonts w:ascii="Times New Roman" w:eastAsia="Times New Roman"/>
                <w:w w:val="100"/>
                <w:sz w:val="21"/>
              </w:rPr>
              <w:t>2</w:t>
            </w:r>
            <w:r>
              <w:rPr>
                <w:spacing w:val="-3"/>
                <w:w w:val="100"/>
                <w:sz w:val="21"/>
              </w:rPr>
              <w:t>）角膜色素环</w:t>
            </w:r>
            <w:r>
              <w:rPr>
                <w:w w:val="100"/>
                <w:sz w:val="21"/>
              </w:rPr>
              <w:t>（</w:t>
            </w:r>
            <w:r>
              <w:rPr>
                <w:rFonts w:ascii="Times New Roman" w:eastAsia="Times New Roman"/>
                <w:spacing w:val="-4"/>
                <w:w w:val="100"/>
                <w:sz w:val="21"/>
              </w:rPr>
              <w:t>K</w:t>
            </w:r>
            <w:r>
              <w:rPr>
                <w:rFonts w:ascii="Times New Roman" w:eastAsia="Times New Roman"/>
                <w:spacing w:val="-1"/>
                <w:w w:val="100"/>
                <w:sz w:val="21"/>
              </w:rPr>
              <w:t>-</w:t>
            </w:r>
            <w:r>
              <w:rPr>
                <w:rFonts w:ascii="Times New Roman" w:eastAsia="Times New Roman"/>
                <w:w w:val="100"/>
                <w:sz w:val="21"/>
              </w:rPr>
              <w:t>F</w:t>
            </w:r>
            <w:r>
              <w:rPr>
                <w:rFonts w:ascii="Times New Roman" w:eastAsia="Times New Roman"/>
                <w:spacing w:val="-5"/>
                <w:sz w:val="21"/>
              </w:rPr>
              <w:t> </w:t>
            </w:r>
            <w:r>
              <w:rPr>
                <w:spacing w:val="1"/>
                <w:w w:val="100"/>
                <w:sz w:val="21"/>
              </w:rPr>
              <w:t>环</w:t>
            </w:r>
            <w:r>
              <w:rPr>
                <w:spacing w:val="-106"/>
                <w:w w:val="100"/>
                <w:sz w:val="21"/>
              </w:rPr>
              <w:t>）</w:t>
            </w:r>
            <w:r>
              <w:rPr>
                <w:w w:val="100"/>
                <w:sz w:val="21"/>
              </w:rPr>
              <w:t>；</w:t>
            </w:r>
          </w:p>
          <w:p>
            <w:pPr>
              <w:pStyle w:val="TableParagraph"/>
              <w:spacing w:line="272" w:lineRule="exact"/>
              <w:ind w:left="54"/>
              <w:rPr>
                <w:sz w:val="21"/>
              </w:rPr>
            </w:pPr>
            <w:r>
              <w:rPr>
                <w:sz w:val="21"/>
              </w:rPr>
              <w:t>（</w:t>
            </w:r>
            <w:r>
              <w:rPr>
                <w:rFonts w:ascii="Times New Roman" w:eastAsia="Times New Roman"/>
                <w:sz w:val="21"/>
              </w:rPr>
              <w:t>3</w:t>
            </w:r>
            <w:r>
              <w:rPr>
                <w:sz w:val="21"/>
              </w:rPr>
              <w:t>）血清铜和血清铜蓝蛋白降低，尿铜增加；</w:t>
            </w:r>
          </w:p>
          <w:p>
            <w:pPr>
              <w:pStyle w:val="TableParagraph"/>
              <w:spacing w:line="272" w:lineRule="exact"/>
              <w:ind w:left="54"/>
              <w:rPr>
                <w:sz w:val="21"/>
              </w:rPr>
            </w:pPr>
            <w:r>
              <w:rPr>
                <w:sz w:val="21"/>
              </w:rPr>
              <w:t>（</w:t>
            </w:r>
            <w:r>
              <w:rPr>
                <w:rFonts w:ascii="Times New Roman" w:eastAsia="Times New Roman"/>
                <w:sz w:val="21"/>
              </w:rPr>
              <w:t>4</w:t>
            </w:r>
            <w:r>
              <w:rPr>
                <w:sz w:val="21"/>
              </w:rPr>
              <w:t>）食管静脉曲张；</w:t>
            </w:r>
          </w:p>
          <w:p>
            <w:pPr>
              <w:pStyle w:val="TableParagraph"/>
              <w:spacing w:line="281" w:lineRule="exact"/>
              <w:ind w:left="54"/>
              <w:rPr>
                <w:sz w:val="21"/>
              </w:rPr>
            </w:pPr>
            <w:r>
              <w:rPr>
                <w:sz w:val="21"/>
              </w:rPr>
              <w:t>（</w:t>
            </w:r>
            <w:r>
              <w:rPr>
                <w:rFonts w:ascii="Times New Roman" w:eastAsia="Times New Roman"/>
                <w:sz w:val="21"/>
              </w:rPr>
              <w:t>5</w:t>
            </w:r>
            <w:r>
              <w:rPr>
                <w:sz w:val="21"/>
              </w:rPr>
              <w:t>）腹水。</w:t>
            </w:r>
          </w:p>
        </w:tc>
      </w:tr>
      <w:tr>
        <w:trPr>
          <w:trHeight w:val="2927" w:hRule="atLeast"/>
        </w:trPr>
        <w:tc>
          <w:tcPr>
            <w:tcW w:w="1151" w:type="dxa"/>
          </w:tcPr>
          <w:p>
            <w:pPr>
              <w:pStyle w:val="TableParagraph"/>
              <w:rPr>
                <w:rFonts w:ascii="Times New Roman"/>
                <w:sz w:val="20"/>
              </w:rPr>
            </w:pPr>
          </w:p>
        </w:tc>
        <w:tc>
          <w:tcPr>
            <w:tcW w:w="1748" w:type="dxa"/>
          </w:tcPr>
          <w:p>
            <w:pPr>
              <w:pStyle w:val="TableParagraph"/>
              <w:spacing w:line="230" w:lineRule="auto" w:before="94"/>
              <w:ind w:left="105" w:right="162"/>
              <w:rPr>
                <w:b/>
                <w:sz w:val="21"/>
              </w:rPr>
            </w:pPr>
            <w:r>
              <w:rPr>
                <w:rFonts w:ascii="Times New Roman" w:eastAsia="Times New Roman"/>
                <w:b/>
                <w:sz w:val="21"/>
              </w:rPr>
              <w:t>79.</w:t>
            </w:r>
            <w:r>
              <w:rPr>
                <w:b/>
                <w:sz w:val="21"/>
              </w:rPr>
              <w:t>经输血导致的人类免疫缺陷病毒（</w:t>
            </w:r>
            <w:r>
              <w:rPr>
                <w:rFonts w:ascii="Times New Roman" w:eastAsia="Times New Roman"/>
                <w:b/>
                <w:sz w:val="21"/>
              </w:rPr>
              <w:t>HIV</w:t>
            </w:r>
            <w:r>
              <w:rPr>
                <w:b/>
                <w:sz w:val="21"/>
              </w:rPr>
              <w:t>）感染</w:t>
            </w:r>
          </w:p>
        </w:tc>
        <w:tc>
          <w:tcPr>
            <w:tcW w:w="7111" w:type="dxa"/>
          </w:tcPr>
          <w:p>
            <w:pPr>
              <w:pStyle w:val="TableParagraph"/>
              <w:spacing w:line="282" w:lineRule="exact" w:before="83"/>
              <w:ind w:left="54"/>
              <w:rPr>
                <w:sz w:val="21"/>
              </w:rPr>
            </w:pPr>
            <w:r>
              <w:rPr>
                <w:sz w:val="21"/>
              </w:rPr>
              <w:t>被保险人感染上人类免疫缺陷病毒（</w:t>
            </w:r>
            <w:r>
              <w:rPr>
                <w:rFonts w:ascii="Times New Roman" w:eastAsia="Times New Roman"/>
                <w:sz w:val="21"/>
              </w:rPr>
              <w:t>HIV</w:t>
            </w:r>
            <w:r>
              <w:rPr>
                <w:sz w:val="21"/>
              </w:rPr>
              <w:t>）并且满足下列全部条件：</w:t>
            </w:r>
          </w:p>
          <w:p>
            <w:pPr>
              <w:pStyle w:val="TableParagraph"/>
              <w:spacing w:line="272" w:lineRule="exact"/>
              <w:ind w:left="54"/>
              <w:rPr>
                <w:sz w:val="21"/>
              </w:rPr>
            </w:pPr>
            <w:r>
              <w:rPr>
                <w:w w:val="100"/>
                <w:sz w:val="21"/>
              </w:rPr>
              <w:t>（</w:t>
            </w:r>
            <w:r>
              <w:rPr>
                <w:rFonts w:ascii="Times New Roman" w:eastAsia="Times New Roman"/>
                <w:w w:val="100"/>
                <w:sz w:val="21"/>
              </w:rPr>
              <w:t>1</w:t>
            </w:r>
            <w:r>
              <w:rPr>
                <w:spacing w:val="-3"/>
                <w:w w:val="100"/>
                <w:sz w:val="21"/>
              </w:rPr>
              <w:t>）被保险人因疾病接受输血治疗而感染人类免疫缺陷病毒（</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spacing w:val="1"/>
                <w:w w:val="100"/>
                <w:sz w:val="21"/>
              </w:rPr>
              <w:t>V</w:t>
            </w:r>
            <w:r>
              <w:rPr>
                <w:spacing w:val="-108"/>
                <w:w w:val="100"/>
                <w:sz w:val="21"/>
              </w:rPr>
              <w:t>）；</w:t>
            </w:r>
          </w:p>
          <w:p>
            <w:pPr>
              <w:pStyle w:val="TableParagraph"/>
              <w:spacing w:line="225" w:lineRule="auto" w:before="7"/>
              <w:ind w:left="54" w:right="227"/>
              <w:rPr>
                <w:sz w:val="21"/>
              </w:rPr>
            </w:pPr>
            <w:r>
              <w:rPr>
                <w:sz w:val="21"/>
              </w:rPr>
              <w:t>（</w:t>
            </w:r>
            <w:r>
              <w:rPr>
                <w:rFonts w:ascii="Times New Roman" w:eastAsia="Times New Roman"/>
                <w:sz w:val="21"/>
              </w:rPr>
              <w:t>2</w:t>
            </w:r>
            <w:r>
              <w:rPr>
                <w:sz w:val="21"/>
              </w:rPr>
              <w:t>）提供输血治疗的输血中心或医院出具该项输血感染属医疗责任事故的报告，或经法院终审判决为医疗责任；</w:t>
            </w:r>
          </w:p>
          <w:p>
            <w:pPr>
              <w:pStyle w:val="TableParagraph"/>
              <w:spacing w:line="279" w:lineRule="exact"/>
              <w:ind w:left="54"/>
              <w:rPr>
                <w:sz w:val="21"/>
              </w:rPr>
            </w:pPr>
            <w:r>
              <w:rPr>
                <w:sz w:val="21"/>
              </w:rPr>
              <w:t>（</w:t>
            </w:r>
            <w:r>
              <w:rPr>
                <w:rFonts w:ascii="Times New Roman" w:eastAsia="Times New Roman"/>
                <w:sz w:val="21"/>
              </w:rPr>
              <w:t>3</w:t>
            </w:r>
            <w:r>
              <w:rPr>
                <w:sz w:val="21"/>
              </w:rPr>
              <w:t>）提供输血治疗的输血中心或医院必须拥有合法经营执照；</w:t>
            </w:r>
          </w:p>
          <w:p>
            <w:pPr>
              <w:pStyle w:val="TableParagraph"/>
              <w:spacing w:line="282" w:lineRule="exact"/>
              <w:ind w:left="54"/>
              <w:rPr>
                <w:sz w:val="21"/>
              </w:rPr>
            </w:pPr>
            <w:r>
              <w:rPr>
                <w:sz w:val="21"/>
              </w:rPr>
              <w:t>（</w:t>
            </w:r>
            <w:r>
              <w:rPr>
                <w:rFonts w:ascii="Times New Roman" w:eastAsia="Times New Roman"/>
                <w:sz w:val="21"/>
              </w:rPr>
              <w:t>4</w:t>
            </w:r>
            <w:r>
              <w:rPr>
                <w:sz w:val="21"/>
              </w:rPr>
              <w:t>）受感染的被保险人不是血友病患者。</w:t>
            </w:r>
          </w:p>
          <w:p>
            <w:pPr>
              <w:pStyle w:val="TableParagraph"/>
              <w:spacing w:before="6"/>
              <w:rPr>
                <w:rFonts w:ascii="Times New Roman"/>
                <w:sz w:val="19"/>
              </w:rPr>
            </w:pPr>
          </w:p>
          <w:p>
            <w:pPr>
              <w:pStyle w:val="TableParagraph"/>
              <w:spacing w:line="237" w:lineRule="auto"/>
              <w:ind w:left="54" w:right="306"/>
              <w:jc w:val="both"/>
              <w:rPr>
                <w:sz w:val="21"/>
              </w:rPr>
            </w:pPr>
            <w:r>
              <w:rPr>
                <w:rFonts w:ascii="黑体" w:eastAsia="黑体" w:hint="eastAsia"/>
                <w:spacing w:val="-1"/>
                <w:sz w:val="21"/>
              </w:rPr>
              <w:t>任何因其它传播方式</w:t>
            </w:r>
            <w:r>
              <w:rPr>
                <w:rFonts w:ascii="黑体" w:eastAsia="黑体" w:hint="eastAsia"/>
                <w:sz w:val="21"/>
              </w:rPr>
              <w:t>（</w:t>
            </w:r>
            <w:r>
              <w:rPr>
                <w:rFonts w:ascii="黑体" w:eastAsia="黑体" w:hint="eastAsia"/>
                <w:spacing w:val="-3"/>
                <w:sz w:val="21"/>
              </w:rPr>
              <w:t>包括：性传播或静脉注射毒品</w:t>
            </w:r>
            <w:r>
              <w:rPr>
                <w:rFonts w:ascii="黑体" w:eastAsia="黑体" w:hint="eastAsia"/>
                <w:sz w:val="21"/>
              </w:rPr>
              <w:t>）</w:t>
            </w:r>
            <w:r>
              <w:rPr>
                <w:rFonts w:ascii="黑体" w:eastAsia="黑体" w:hint="eastAsia"/>
                <w:spacing w:val="-1"/>
                <w:sz w:val="21"/>
              </w:rPr>
              <w:t>导致的人类免疫缺</w:t>
            </w:r>
            <w:r>
              <w:rPr>
                <w:rFonts w:ascii="黑体" w:eastAsia="黑体" w:hint="eastAsia"/>
                <w:spacing w:val="-11"/>
                <w:sz w:val="21"/>
              </w:rPr>
              <w:t>陷病毒</w:t>
            </w:r>
            <w:r>
              <w:rPr>
                <w:rFonts w:ascii="黑体" w:eastAsia="黑体" w:hint="eastAsia"/>
                <w:spacing w:val="-7"/>
                <w:sz w:val="21"/>
              </w:rPr>
              <w:t>（HIV）</w:t>
            </w:r>
            <w:r>
              <w:rPr>
                <w:rFonts w:ascii="黑体" w:eastAsia="黑体" w:hint="eastAsia"/>
                <w:spacing w:val="-6"/>
                <w:sz w:val="21"/>
              </w:rPr>
              <w:t>感染不在保障范围内。</w:t>
            </w:r>
            <w:r>
              <w:rPr>
                <w:spacing w:val="-3"/>
                <w:sz w:val="21"/>
              </w:rPr>
              <w:t>我们必须拥有获得使用被保险人的所有血液样本的权利和能够对这些样本进行独立检验的权利。</w:t>
            </w:r>
          </w:p>
        </w:tc>
      </w:tr>
      <w:tr>
        <w:trPr>
          <w:trHeight w:val="5085" w:hRule="atLeast"/>
        </w:trPr>
        <w:tc>
          <w:tcPr>
            <w:tcW w:w="1151" w:type="dxa"/>
          </w:tcPr>
          <w:p>
            <w:pPr>
              <w:pStyle w:val="TableParagraph"/>
              <w:rPr>
                <w:rFonts w:ascii="Times New Roman"/>
                <w:sz w:val="20"/>
              </w:rPr>
            </w:pPr>
          </w:p>
        </w:tc>
        <w:tc>
          <w:tcPr>
            <w:tcW w:w="1748" w:type="dxa"/>
          </w:tcPr>
          <w:p>
            <w:pPr>
              <w:pStyle w:val="TableParagraph"/>
              <w:spacing w:line="228" w:lineRule="auto" w:before="105"/>
              <w:ind w:left="105" w:right="54"/>
              <w:rPr>
                <w:b/>
                <w:sz w:val="21"/>
              </w:rPr>
            </w:pPr>
            <w:r>
              <w:rPr>
                <w:rFonts w:ascii="Times New Roman" w:eastAsia="Times New Roman"/>
                <w:b/>
                <w:sz w:val="21"/>
              </w:rPr>
              <w:t>80.</w:t>
            </w:r>
            <w:r>
              <w:rPr>
                <w:b/>
                <w:sz w:val="21"/>
              </w:rPr>
              <w:t>因职业关系 导致的人类免疫</w:t>
            </w:r>
            <w:r>
              <w:rPr>
                <w:b/>
                <w:spacing w:val="-20"/>
                <w:sz w:val="21"/>
              </w:rPr>
              <w:t>缺陷病毒</w:t>
            </w:r>
            <w:r>
              <w:rPr>
                <w:b/>
                <w:spacing w:val="-1"/>
                <w:sz w:val="21"/>
              </w:rPr>
              <w:t>（</w:t>
            </w:r>
            <w:r>
              <w:rPr>
                <w:rFonts w:ascii="Times New Roman" w:eastAsia="Times New Roman"/>
                <w:b/>
                <w:spacing w:val="-1"/>
                <w:sz w:val="21"/>
              </w:rPr>
              <w:t>HIV</w:t>
            </w:r>
            <w:r>
              <w:rPr>
                <w:b/>
                <w:spacing w:val="-1"/>
                <w:sz w:val="21"/>
              </w:rPr>
              <w:t>） </w:t>
            </w:r>
            <w:r>
              <w:rPr>
                <w:b/>
                <w:sz w:val="21"/>
              </w:rPr>
              <w:t>感染</w:t>
            </w:r>
          </w:p>
        </w:tc>
        <w:tc>
          <w:tcPr>
            <w:tcW w:w="7111" w:type="dxa"/>
          </w:tcPr>
          <w:p>
            <w:pPr>
              <w:pStyle w:val="TableParagraph"/>
              <w:spacing w:line="237" w:lineRule="auto" w:before="93"/>
              <w:ind w:left="54" w:right="308"/>
              <w:jc w:val="both"/>
              <w:rPr>
                <w:sz w:val="21"/>
              </w:rPr>
            </w:pPr>
            <w:r>
              <w:rPr>
                <w:spacing w:val="-3"/>
                <w:sz w:val="21"/>
              </w:rPr>
              <w:t>被保险人在其常规职业工作过程中遭遇外伤，或职业需要处理血液或其它</w:t>
            </w:r>
            <w:r>
              <w:rPr>
                <w:spacing w:val="-3"/>
                <w:w w:val="100"/>
                <w:sz w:val="21"/>
              </w:rPr>
              <w:t>体液时感染上人类免疫缺陷病毒（</w:t>
            </w:r>
            <w:r>
              <w:rPr>
                <w:rFonts w:ascii="Times New Roman" w:eastAsia="Times New Roman"/>
                <w:w w:val="100"/>
                <w:sz w:val="21"/>
              </w:rPr>
              <w:t>H</w:t>
            </w:r>
            <w:r>
              <w:rPr>
                <w:rFonts w:ascii="Times New Roman" w:eastAsia="Times New Roman"/>
                <w:spacing w:val="-4"/>
                <w:w w:val="100"/>
                <w:sz w:val="21"/>
              </w:rPr>
              <w:t>I</w:t>
            </w:r>
            <w:r>
              <w:rPr>
                <w:rFonts w:ascii="Times New Roman" w:eastAsia="Times New Roman"/>
                <w:spacing w:val="0"/>
                <w:w w:val="100"/>
                <w:sz w:val="21"/>
              </w:rPr>
              <w:t>V</w:t>
            </w:r>
            <w:r>
              <w:rPr>
                <w:spacing w:val="-106"/>
                <w:w w:val="100"/>
                <w:sz w:val="21"/>
              </w:rPr>
              <w:t>）</w:t>
            </w:r>
            <w:r>
              <w:rPr>
                <w:spacing w:val="-3"/>
                <w:w w:val="100"/>
                <w:sz w:val="21"/>
              </w:rPr>
              <w:t>。必须满足下列全部条件：</w:t>
            </w:r>
          </w:p>
          <w:p>
            <w:pPr>
              <w:pStyle w:val="TableParagraph"/>
              <w:spacing w:line="223" w:lineRule="auto" w:before="2"/>
              <w:ind w:left="54" w:right="305"/>
              <w:jc w:val="both"/>
              <w:rPr>
                <w:sz w:val="21"/>
              </w:rPr>
            </w:pPr>
            <w:r>
              <w:rPr>
                <w:spacing w:val="-14"/>
                <w:sz w:val="21"/>
              </w:rPr>
              <w:t>（</w:t>
            </w:r>
            <w:r>
              <w:rPr>
                <w:rFonts w:ascii="Times New Roman" w:eastAsia="Times New Roman"/>
                <w:spacing w:val="-14"/>
                <w:sz w:val="21"/>
              </w:rPr>
              <w:t>1</w:t>
            </w:r>
            <w:r>
              <w:rPr>
                <w:spacing w:val="-14"/>
                <w:sz w:val="21"/>
              </w:rPr>
              <w:t>）</w:t>
            </w:r>
            <w:r>
              <w:rPr>
                <w:spacing w:val="-5"/>
                <w:sz w:val="21"/>
              </w:rPr>
              <w:t>感染必须是在被保险人正在从事其职业工作中发生，该职业必须属于</w:t>
            </w:r>
            <w:r>
              <w:rPr>
                <w:spacing w:val="-4"/>
                <w:sz w:val="21"/>
              </w:rPr>
              <w:t>下列限定职业范围内的职业；</w:t>
            </w:r>
          </w:p>
          <w:p>
            <w:pPr>
              <w:pStyle w:val="TableParagraph"/>
              <w:spacing w:line="280" w:lineRule="exact"/>
              <w:ind w:left="54"/>
              <w:rPr>
                <w:sz w:val="21"/>
              </w:rPr>
            </w:pPr>
            <w:r>
              <w:rPr>
                <w:sz w:val="21"/>
              </w:rPr>
              <w:t>（</w:t>
            </w:r>
            <w:r>
              <w:rPr>
                <w:rFonts w:ascii="Times New Roman" w:eastAsia="Times New Roman"/>
                <w:sz w:val="21"/>
              </w:rPr>
              <w:t>2</w:t>
            </w:r>
            <w:r>
              <w:rPr>
                <w:sz w:val="21"/>
              </w:rPr>
              <w:t>）血清转化必须出现在事故发生后的 </w:t>
            </w:r>
            <w:r>
              <w:rPr>
                <w:rFonts w:ascii="Times New Roman" w:eastAsia="Times New Roman"/>
                <w:sz w:val="21"/>
              </w:rPr>
              <w:t>6 </w:t>
            </w:r>
            <w:r>
              <w:rPr>
                <w:sz w:val="21"/>
              </w:rPr>
              <w:t>个月以内；</w:t>
            </w:r>
          </w:p>
          <w:p>
            <w:pPr>
              <w:pStyle w:val="TableParagraph"/>
              <w:spacing w:line="225" w:lineRule="auto" w:before="8"/>
              <w:ind w:left="54" w:right="304"/>
              <w:jc w:val="both"/>
              <w:rPr>
                <w:sz w:val="21"/>
              </w:rPr>
            </w:pPr>
            <w:r>
              <w:rPr>
                <w:spacing w:val="-14"/>
                <w:sz w:val="21"/>
              </w:rPr>
              <w:t>（</w:t>
            </w:r>
            <w:r>
              <w:rPr>
                <w:rFonts w:ascii="Times New Roman" w:eastAsia="Times New Roman"/>
                <w:spacing w:val="-14"/>
                <w:sz w:val="21"/>
              </w:rPr>
              <w:t>3</w:t>
            </w:r>
            <w:r>
              <w:rPr>
                <w:spacing w:val="-14"/>
                <w:sz w:val="21"/>
              </w:rPr>
              <w:t>）</w:t>
            </w:r>
            <w:r>
              <w:rPr>
                <w:spacing w:val="-5"/>
                <w:sz w:val="21"/>
              </w:rPr>
              <w:t>必须提供被保险人在所报事故发生后的 </w:t>
            </w:r>
            <w:r>
              <w:rPr>
                <w:rFonts w:ascii="Times New Roman" w:eastAsia="Times New Roman"/>
                <w:sz w:val="21"/>
              </w:rPr>
              <w:t>5 </w:t>
            </w:r>
            <w:r>
              <w:rPr>
                <w:spacing w:val="-7"/>
                <w:sz w:val="21"/>
              </w:rPr>
              <w:t>天以内进行的检查报告，该</w:t>
            </w:r>
            <w:r>
              <w:rPr>
                <w:spacing w:val="-5"/>
                <w:sz w:val="21"/>
              </w:rPr>
              <w:t>报告必须显示被保险人血液人类免疫缺陷病毒</w:t>
            </w:r>
            <w:r>
              <w:rPr>
                <w:sz w:val="21"/>
              </w:rPr>
              <w:t>（</w:t>
            </w:r>
            <w:r>
              <w:rPr>
                <w:rFonts w:ascii="Times New Roman" w:eastAsia="Times New Roman"/>
                <w:sz w:val="21"/>
              </w:rPr>
              <w:t>HIV</w:t>
            </w:r>
            <w:r>
              <w:rPr>
                <w:sz w:val="21"/>
              </w:rPr>
              <w:t>）</w:t>
            </w:r>
            <w:r>
              <w:rPr>
                <w:spacing w:val="-2"/>
                <w:sz w:val="21"/>
              </w:rPr>
              <w:t>阴性和</w:t>
            </w:r>
            <w:r>
              <w:rPr>
                <w:rFonts w:ascii="Times New Roman" w:eastAsia="Times New Roman"/>
                <w:sz w:val="21"/>
              </w:rPr>
              <w:t>/</w:t>
            </w:r>
            <w:r>
              <w:rPr>
                <w:spacing w:val="-1"/>
                <w:sz w:val="21"/>
              </w:rPr>
              <w:t>或人类免疫</w:t>
            </w:r>
            <w:r>
              <w:rPr>
                <w:spacing w:val="-2"/>
                <w:sz w:val="21"/>
              </w:rPr>
              <w:t>缺陷病毒</w:t>
            </w:r>
            <w:r>
              <w:rPr>
                <w:spacing w:val="-1"/>
                <w:sz w:val="21"/>
              </w:rPr>
              <w:t>（</w:t>
            </w:r>
            <w:r>
              <w:rPr>
                <w:rFonts w:ascii="Times New Roman" w:eastAsia="Times New Roman"/>
                <w:spacing w:val="-1"/>
                <w:sz w:val="21"/>
              </w:rPr>
              <w:t>HIV</w:t>
            </w:r>
            <w:r>
              <w:rPr>
                <w:spacing w:val="-1"/>
                <w:sz w:val="21"/>
              </w:rPr>
              <w:t>）</w:t>
            </w:r>
            <w:r>
              <w:rPr>
                <w:spacing w:val="-3"/>
                <w:sz w:val="21"/>
              </w:rPr>
              <w:t>抗体阴性；</w:t>
            </w:r>
          </w:p>
          <w:p>
            <w:pPr>
              <w:pStyle w:val="TableParagraph"/>
              <w:spacing w:line="223" w:lineRule="auto" w:before="3"/>
              <w:ind w:left="54" w:right="304"/>
              <w:jc w:val="both"/>
              <w:rPr>
                <w:sz w:val="21"/>
              </w:rPr>
            </w:pPr>
            <w:r>
              <w:rPr>
                <w:sz w:val="21"/>
              </w:rPr>
              <w:t>（</w:t>
            </w:r>
            <w:r>
              <w:rPr>
                <w:rFonts w:ascii="Times New Roman" w:eastAsia="Times New Roman"/>
                <w:sz w:val="21"/>
              </w:rPr>
              <w:t>4</w:t>
            </w:r>
            <w:r>
              <w:rPr>
                <w:sz w:val="21"/>
              </w:rPr>
              <w:t>）</w:t>
            </w:r>
            <w:r>
              <w:rPr>
                <w:spacing w:val="-6"/>
                <w:sz w:val="21"/>
              </w:rPr>
              <w:t>必须在事故发生后的 </w:t>
            </w:r>
            <w:r>
              <w:rPr>
                <w:rFonts w:ascii="Times New Roman" w:eastAsia="Times New Roman"/>
                <w:sz w:val="21"/>
              </w:rPr>
              <w:t>12 </w:t>
            </w:r>
            <w:r>
              <w:rPr>
                <w:spacing w:val="-3"/>
                <w:sz w:val="21"/>
              </w:rPr>
              <w:t>个月内证实被保险人体内存在人类免疫缺陷</w:t>
            </w:r>
            <w:r>
              <w:rPr>
                <w:spacing w:val="-1"/>
                <w:sz w:val="21"/>
              </w:rPr>
              <w:t>病毒（</w:t>
            </w:r>
            <w:r>
              <w:rPr>
                <w:rFonts w:ascii="Times New Roman" w:eastAsia="Times New Roman"/>
                <w:spacing w:val="-1"/>
                <w:sz w:val="21"/>
              </w:rPr>
              <w:t>HIV</w:t>
            </w:r>
            <w:r>
              <w:rPr>
                <w:spacing w:val="-1"/>
                <w:sz w:val="21"/>
              </w:rPr>
              <w:t>）</w:t>
            </w:r>
            <w:r>
              <w:rPr>
                <w:spacing w:val="-3"/>
                <w:sz w:val="21"/>
              </w:rPr>
              <w:t>或人类免疫缺陷病毒</w:t>
            </w:r>
            <w:r>
              <w:rPr>
                <w:spacing w:val="-1"/>
                <w:sz w:val="21"/>
              </w:rPr>
              <w:t>（</w:t>
            </w:r>
            <w:r>
              <w:rPr>
                <w:rFonts w:ascii="Times New Roman" w:eastAsia="Times New Roman"/>
                <w:spacing w:val="-1"/>
                <w:sz w:val="21"/>
              </w:rPr>
              <w:t>HIV</w:t>
            </w:r>
            <w:r>
              <w:rPr>
                <w:spacing w:val="-1"/>
                <w:sz w:val="21"/>
              </w:rPr>
              <w:t>）</w:t>
            </w:r>
            <w:r>
              <w:rPr>
                <w:spacing w:val="-2"/>
                <w:sz w:val="21"/>
              </w:rPr>
              <w:t>抗体。</w:t>
            </w:r>
          </w:p>
          <w:p>
            <w:pPr>
              <w:pStyle w:val="TableParagraph"/>
              <w:spacing w:before="4"/>
              <w:rPr>
                <w:rFonts w:ascii="Times New Roman"/>
                <w:sz w:val="19"/>
              </w:rPr>
            </w:pPr>
          </w:p>
          <w:p>
            <w:pPr>
              <w:pStyle w:val="TableParagraph"/>
              <w:spacing w:line="274" w:lineRule="exact"/>
              <w:ind w:left="54"/>
              <w:rPr>
                <w:rFonts w:ascii="黑体" w:eastAsia="黑体" w:hint="eastAsia"/>
                <w:sz w:val="21"/>
              </w:rPr>
            </w:pPr>
            <w:r>
              <w:rPr>
                <w:rFonts w:ascii="黑体" w:eastAsia="黑体" w:hint="eastAsia"/>
                <w:sz w:val="21"/>
              </w:rPr>
              <w:t>限定职业：</w:t>
            </w:r>
          </w:p>
          <w:p>
            <w:pPr>
              <w:pStyle w:val="TableParagraph"/>
              <w:spacing w:line="237" w:lineRule="auto" w:before="1"/>
              <w:ind w:left="54" w:right="308"/>
              <w:jc w:val="both"/>
              <w:rPr>
                <w:rFonts w:ascii="黑体" w:eastAsia="黑体" w:hint="eastAsia"/>
                <w:sz w:val="21"/>
              </w:rPr>
            </w:pPr>
            <w:r>
              <w:rPr>
                <w:rFonts w:ascii="黑体" w:eastAsia="黑体" w:hint="eastAsia"/>
                <w:sz w:val="21"/>
              </w:rPr>
              <w:t>医Th和牙科医Th、护士、实验室工作人员、医院护工、医Th助理和牙医助理、救护车工作人员、助产士、消防队员、警察、狱警。</w:t>
            </w:r>
          </w:p>
          <w:p>
            <w:pPr>
              <w:pStyle w:val="TableParagraph"/>
              <w:spacing w:before="11"/>
              <w:rPr>
                <w:rFonts w:ascii="Times New Roman"/>
                <w:sz w:val="20"/>
              </w:rPr>
            </w:pPr>
          </w:p>
          <w:p>
            <w:pPr>
              <w:pStyle w:val="TableParagraph"/>
              <w:spacing w:line="237" w:lineRule="auto"/>
              <w:ind w:left="54" w:right="306"/>
              <w:jc w:val="both"/>
              <w:rPr>
                <w:sz w:val="21"/>
              </w:rPr>
            </w:pPr>
            <w:r>
              <w:rPr>
                <w:rFonts w:ascii="黑体" w:eastAsia="黑体" w:hint="eastAsia"/>
                <w:spacing w:val="-1"/>
                <w:sz w:val="21"/>
              </w:rPr>
              <w:t>任何因其它传播方式</w:t>
            </w:r>
            <w:r>
              <w:rPr>
                <w:rFonts w:ascii="黑体" w:eastAsia="黑体" w:hint="eastAsia"/>
                <w:sz w:val="21"/>
              </w:rPr>
              <w:t>（</w:t>
            </w:r>
            <w:r>
              <w:rPr>
                <w:rFonts w:ascii="黑体" w:eastAsia="黑体" w:hint="eastAsia"/>
                <w:spacing w:val="-3"/>
                <w:sz w:val="21"/>
              </w:rPr>
              <w:t>包括：性传播或静脉注射毒品</w:t>
            </w:r>
            <w:r>
              <w:rPr>
                <w:rFonts w:ascii="黑体" w:eastAsia="黑体" w:hint="eastAsia"/>
                <w:sz w:val="21"/>
              </w:rPr>
              <w:t>）</w:t>
            </w:r>
            <w:r>
              <w:rPr>
                <w:rFonts w:ascii="黑体" w:eastAsia="黑体" w:hint="eastAsia"/>
                <w:spacing w:val="-1"/>
                <w:sz w:val="21"/>
              </w:rPr>
              <w:t>导致的人类免疫缺</w:t>
            </w:r>
            <w:r>
              <w:rPr>
                <w:rFonts w:ascii="黑体" w:eastAsia="黑体" w:hint="eastAsia"/>
                <w:spacing w:val="-11"/>
                <w:sz w:val="21"/>
              </w:rPr>
              <w:t>陷病毒</w:t>
            </w:r>
            <w:r>
              <w:rPr>
                <w:rFonts w:ascii="黑体" w:eastAsia="黑体" w:hint="eastAsia"/>
                <w:spacing w:val="-7"/>
                <w:sz w:val="21"/>
              </w:rPr>
              <w:t>（HIV）</w:t>
            </w:r>
            <w:r>
              <w:rPr>
                <w:rFonts w:ascii="黑体" w:eastAsia="黑体" w:hint="eastAsia"/>
                <w:spacing w:val="-6"/>
                <w:sz w:val="21"/>
              </w:rPr>
              <w:t>感染不在保障范围内。</w:t>
            </w:r>
            <w:r>
              <w:rPr>
                <w:spacing w:val="-3"/>
                <w:sz w:val="21"/>
              </w:rPr>
              <w:t>我们必须拥有获得使用被保险人的所有血液样本的权利和能够对这些样本进行独立检验的权利。</w:t>
            </w:r>
          </w:p>
        </w:tc>
      </w:tr>
      <w:tr>
        <w:trPr>
          <w:trHeight w:val="558" w:hRule="atLeast"/>
        </w:trPr>
        <w:tc>
          <w:tcPr>
            <w:tcW w:w="1151" w:type="dxa"/>
          </w:tcPr>
          <w:p>
            <w:pPr>
              <w:pStyle w:val="TableParagraph"/>
              <w:spacing w:before="87"/>
              <w:ind w:left="200"/>
              <w:rPr>
                <w:b/>
                <w:sz w:val="21"/>
              </w:rPr>
            </w:pPr>
            <w:r>
              <w:rPr>
                <w:b/>
                <w:sz w:val="21"/>
              </w:rPr>
              <w:t>附表二：</w:t>
            </w:r>
          </w:p>
        </w:tc>
        <w:tc>
          <w:tcPr>
            <w:tcW w:w="1748" w:type="dxa"/>
          </w:tcPr>
          <w:p>
            <w:pPr>
              <w:pStyle w:val="TableParagraph"/>
              <w:spacing w:before="87"/>
              <w:ind w:left="105"/>
              <w:rPr>
                <w:b/>
                <w:sz w:val="21"/>
              </w:rPr>
            </w:pPr>
            <w:r>
              <w:rPr>
                <w:b/>
                <w:sz w:val="21"/>
              </w:rPr>
              <w:t>轻症疾病列表</w:t>
            </w:r>
          </w:p>
        </w:tc>
        <w:tc>
          <w:tcPr>
            <w:tcW w:w="7111" w:type="dxa"/>
          </w:tcPr>
          <w:p>
            <w:pPr>
              <w:pStyle w:val="TableParagraph"/>
              <w:spacing w:before="87"/>
              <w:ind w:left="54"/>
              <w:rPr>
                <w:sz w:val="21"/>
              </w:rPr>
            </w:pPr>
            <w:r>
              <w:rPr>
                <w:sz w:val="21"/>
              </w:rPr>
              <w:t>包括以下疾病、疾病状态或手术。</w:t>
            </w:r>
          </w:p>
        </w:tc>
      </w:tr>
      <w:tr>
        <w:trPr>
          <w:trHeight w:val="1265" w:hRule="atLeast"/>
        </w:trPr>
        <w:tc>
          <w:tcPr>
            <w:tcW w:w="1151" w:type="dxa"/>
          </w:tcPr>
          <w:p>
            <w:pPr>
              <w:pStyle w:val="TableParagraph"/>
              <w:rPr>
                <w:rFonts w:ascii="Times New Roman"/>
                <w:sz w:val="20"/>
              </w:rPr>
            </w:pPr>
          </w:p>
        </w:tc>
        <w:tc>
          <w:tcPr>
            <w:tcW w:w="1748" w:type="dxa"/>
          </w:tcPr>
          <w:p>
            <w:pPr>
              <w:pStyle w:val="TableParagraph"/>
              <w:spacing w:before="138"/>
              <w:ind w:left="105"/>
              <w:rPr>
                <w:b/>
                <w:sz w:val="21"/>
              </w:rPr>
            </w:pPr>
            <w:r>
              <w:rPr>
                <w:rFonts w:ascii="Times New Roman" w:eastAsia="Times New Roman"/>
                <w:b/>
                <w:sz w:val="21"/>
              </w:rPr>
              <w:t>1.</w:t>
            </w:r>
            <w:r>
              <w:rPr>
                <w:b/>
                <w:sz w:val="21"/>
              </w:rPr>
              <w:t>原位癌</w:t>
            </w:r>
          </w:p>
        </w:tc>
        <w:tc>
          <w:tcPr>
            <w:tcW w:w="7111" w:type="dxa"/>
          </w:tcPr>
          <w:p>
            <w:pPr>
              <w:pStyle w:val="TableParagraph"/>
              <w:spacing w:line="244" w:lineRule="auto" w:before="150"/>
              <w:ind w:left="54" w:right="328"/>
              <w:jc w:val="both"/>
              <w:rPr>
                <w:sz w:val="21"/>
              </w:rPr>
            </w:pPr>
            <w:r>
              <w:rPr>
                <w:sz w:val="21"/>
              </w:rPr>
              <w:t>指恶性肿瘤细胞未穿透基底膜的原位无浸润的恶性肿瘤。诊断需以固定组织标本的病理组织学检查结果为依据，任何组织涂片和穿刺活检结果均不能作为诊断依据。被保险人必须已经接受了针对原位癌病灶的积极治疗，</w:t>
            </w:r>
          </w:p>
          <w:p>
            <w:pPr>
              <w:pStyle w:val="TableParagraph"/>
              <w:spacing w:line="255" w:lineRule="exact" w:before="1"/>
              <w:ind w:left="54"/>
              <w:jc w:val="both"/>
              <w:rPr>
                <w:sz w:val="21"/>
              </w:rPr>
            </w:pPr>
            <w:r>
              <w:rPr>
                <w:sz w:val="21"/>
              </w:rPr>
              <w:t>包括手术、化疗或放疗等治疗方式。</w:t>
            </w:r>
          </w:p>
        </w:tc>
      </w:tr>
    </w:tbl>
    <w:p>
      <w:pPr>
        <w:spacing w:after="0" w:line="255" w:lineRule="exact"/>
        <w:jc w:val="both"/>
        <w:rPr>
          <w:sz w:val="21"/>
        </w:rPr>
        <w:sectPr>
          <w:pgSz w:w="11910" w:h="16840"/>
          <w:pgMar w:top="1060" w:bottom="280" w:left="360" w:right="13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5"/>
        <w:gridCol w:w="7122"/>
      </w:tblGrid>
      <w:tr>
        <w:trPr>
          <w:trHeight w:val="1484" w:hRule="atLeast"/>
        </w:trPr>
        <w:tc>
          <w:tcPr>
            <w:tcW w:w="1795" w:type="dxa"/>
          </w:tcPr>
          <w:p>
            <w:pPr>
              <w:pStyle w:val="TableParagraph"/>
              <w:rPr>
                <w:rFonts w:ascii="Times New Roman"/>
                <w:sz w:val="20"/>
              </w:rPr>
            </w:pPr>
          </w:p>
        </w:tc>
        <w:tc>
          <w:tcPr>
            <w:tcW w:w="7122" w:type="dxa"/>
          </w:tcPr>
          <w:p>
            <w:pPr>
              <w:pStyle w:val="TableParagraph"/>
              <w:spacing w:line="222" w:lineRule="exact"/>
              <w:ind w:left="101"/>
              <w:rPr>
                <w:sz w:val="21"/>
              </w:rPr>
            </w:pPr>
            <w:r>
              <w:rPr>
                <w:sz w:val="21"/>
              </w:rPr>
              <w:t>原位癌必须在生前诊断</w:t>
            </w:r>
            <w:r>
              <w:rPr>
                <w:rFonts w:ascii="Times New Roman" w:eastAsia="Times New Roman"/>
                <w:sz w:val="21"/>
              </w:rPr>
              <w:t>,</w:t>
            </w:r>
            <w:r>
              <w:rPr>
                <w:sz w:val="21"/>
              </w:rPr>
              <w:t>对被保险人所患癌症在被诊断时已经超越原位癌</w:t>
            </w:r>
          </w:p>
          <w:p>
            <w:pPr>
              <w:pStyle w:val="TableParagraph"/>
              <w:spacing w:line="270" w:lineRule="exact"/>
              <w:ind w:left="101"/>
              <w:rPr>
                <w:sz w:val="21"/>
              </w:rPr>
            </w:pPr>
            <w:r>
              <w:rPr>
                <w:sz w:val="21"/>
              </w:rPr>
              <w:t>阶段者，本公司不再针对原位癌赔付轻症疾病保险金。</w:t>
            </w:r>
          </w:p>
          <w:p>
            <w:pPr>
              <w:pStyle w:val="TableParagraph"/>
              <w:spacing w:before="8"/>
              <w:rPr>
                <w:rFonts w:ascii="Times New Roman"/>
                <w:sz w:val="24"/>
              </w:rPr>
            </w:pPr>
          </w:p>
          <w:p>
            <w:pPr>
              <w:pStyle w:val="TableParagraph"/>
              <w:spacing w:line="244" w:lineRule="auto" w:before="1"/>
              <w:ind w:left="101" w:right="304"/>
              <w:rPr>
                <w:rFonts w:ascii="黑体" w:eastAsia="黑体" w:hint="eastAsia"/>
                <w:sz w:val="21"/>
              </w:rPr>
            </w:pPr>
            <w:r>
              <w:rPr>
                <w:rFonts w:ascii="黑体" w:eastAsia="黑体" w:hint="eastAsia"/>
                <w:spacing w:val="-7"/>
                <w:sz w:val="21"/>
              </w:rPr>
              <w:t>癌前病变</w:t>
            </w:r>
            <w:r>
              <w:rPr>
                <w:rFonts w:ascii="黑体" w:eastAsia="黑体" w:hint="eastAsia"/>
                <w:spacing w:val="-3"/>
                <w:sz w:val="21"/>
              </w:rPr>
              <w:t>（</w:t>
            </w:r>
            <w:r>
              <w:rPr>
                <w:rFonts w:ascii="黑体" w:eastAsia="黑体" w:hint="eastAsia"/>
                <w:spacing w:val="-6"/>
                <w:sz w:val="21"/>
              </w:rPr>
              <w:t>包括宫颈上皮内瘤样病变 </w:t>
            </w:r>
            <w:r>
              <w:rPr>
                <w:rFonts w:ascii="黑体" w:eastAsia="黑体" w:hint="eastAsia"/>
                <w:sz w:val="21"/>
              </w:rPr>
              <w:t>CIN-1</w:t>
            </w:r>
            <w:r>
              <w:rPr>
                <w:rFonts w:ascii="黑体" w:eastAsia="黑体" w:hint="eastAsia"/>
                <w:spacing w:val="-22"/>
                <w:sz w:val="21"/>
              </w:rPr>
              <w:t>、</w:t>
            </w:r>
            <w:r>
              <w:rPr>
                <w:rFonts w:ascii="黑体" w:eastAsia="黑体" w:hint="eastAsia"/>
                <w:sz w:val="21"/>
              </w:rPr>
              <w:t>CIN-2</w:t>
            </w:r>
            <w:r>
              <w:rPr>
                <w:rFonts w:ascii="黑体" w:eastAsia="黑体" w:hint="eastAsia"/>
                <w:spacing w:val="-6"/>
                <w:sz w:val="21"/>
              </w:rPr>
              <w:t>、重度不典型增</w:t>
            </w:r>
            <w:r>
              <w:rPr>
                <w:rFonts w:ascii="黑体" w:eastAsia="黑体" w:hint="eastAsia"/>
                <w:sz w:val="21"/>
              </w:rPr>
              <w:t>Th</w:t>
            </w:r>
            <w:r>
              <w:rPr>
                <w:rFonts w:ascii="黑体" w:eastAsia="黑体" w:hint="eastAsia"/>
                <w:spacing w:val="-2"/>
                <w:sz w:val="21"/>
              </w:rPr>
              <w:t>但非</w:t>
            </w:r>
            <w:r>
              <w:rPr>
                <w:rFonts w:ascii="黑体" w:eastAsia="黑体" w:hint="eastAsia"/>
                <w:spacing w:val="-3"/>
                <w:sz w:val="21"/>
              </w:rPr>
              <w:t>原位癌</w:t>
            </w:r>
            <w:r>
              <w:rPr>
                <w:rFonts w:ascii="黑体" w:eastAsia="黑体" w:hint="eastAsia"/>
                <w:sz w:val="21"/>
              </w:rPr>
              <w:t>）</w:t>
            </w:r>
            <w:r>
              <w:rPr>
                <w:rFonts w:ascii="黑体" w:eastAsia="黑体" w:hint="eastAsia"/>
                <w:spacing w:val="-3"/>
                <w:sz w:val="21"/>
              </w:rPr>
              <w:t>不在保障范围内。</w:t>
            </w:r>
          </w:p>
        </w:tc>
      </w:tr>
      <w:tr>
        <w:trPr>
          <w:trHeight w:val="4470" w:hRule="atLeast"/>
        </w:trPr>
        <w:tc>
          <w:tcPr>
            <w:tcW w:w="1795" w:type="dxa"/>
          </w:tcPr>
          <w:p>
            <w:pPr>
              <w:pStyle w:val="TableParagraph"/>
              <w:spacing w:before="81"/>
              <w:ind w:left="200"/>
              <w:rPr>
                <w:b/>
                <w:sz w:val="21"/>
              </w:rPr>
            </w:pPr>
            <w:r>
              <w:rPr>
                <w:rFonts w:ascii="Times New Roman" w:eastAsia="Times New Roman"/>
                <w:b/>
                <w:sz w:val="21"/>
              </w:rPr>
              <w:t>2.</w:t>
            </w:r>
            <w:r>
              <w:rPr>
                <w:b/>
                <w:sz w:val="21"/>
              </w:rPr>
              <w:t>轻微脑中风</w:t>
            </w:r>
          </w:p>
        </w:tc>
        <w:tc>
          <w:tcPr>
            <w:tcW w:w="7122" w:type="dxa"/>
          </w:tcPr>
          <w:p>
            <w:pPr>
              <w:pStyle w:val="TableParagraph"/>
              <w:spacing w:line="235" w:lineRule="auto" w:before="99"/>
              <w:ind w:left="101" w:right="301"/>
              <w:jc w:val="both"/>
              <w:rPr>
                <w:sz w:val="21"/>
              </w:rPr>
            </w:pPr>
            <w:r>
              <w:rPr>
                <w:spacing w:val="-7"/>
                <w:w w:val="100"/>
                <w:sz w:val="21"/>
              </w:rPr>
              <w:t>指因脑血管的突发病变出现神经系统功能障碍表现，头颅断层扫描</w:t>
            </w:r>
            <w:r>
              <w:rPr>
                <w:spacing w:val="-2"/>
                <w:w w:val="100"/>
                <w:sz w:val="21"/>
              </w:rPr>
              <w:t>（</w:t>
            </w:r>
            <w:r>
              <w:rPr>
                <w:rFonts w:ascii="Times New Roman" w:hAnsi="Times New Roman" w:eastAsia="Times New Roman"/>
                <w:w w:val="100"/>
                <w:sz w:val="21"/>
              </w:rPr>
              <w:t>CT</w:t>
            </w:r>
            <w:r>
              <w:rPr>
                <w:spacing w:val="-108"/>
                <w:w w:val="100"/>
                <w:sz w:val="21"/>
              </w:rPr>
              <w:t>）、</w:t>
            </w:r>
            <w:r>
              <w:rPr>
                <w:spacing w:val="-1"/>
                <w:sz w:val="21"/>
              </w:rPr>
              <w:t>核磁共振检查</w:t>
            </w:r>
            <w:r>
              <w:rPr>
                <w:sz w:val="21"/>
              </w:rPr>
              <w:t>（</w:t>
            </w:r>
            <w:r>
              <w:rPr>
                <w:rFonts w:ascii="Times New Roman" w:hAnsi="Times New Roman" w:eastAsia="Times New Roman"/>
                <w:sz w:val="21"/>
              </w:rPr>
              <w:t>MRI</w:t>
            </w:r>
            <w:r>
              <w:rPr>
                <w:sz w:val="21"/>
              </w:rPr>
              <w:t>）</w:t>
            </w:r>
            <w:r>
              <w:rPr>
                <w:spacing w:val="-3"/>
                <w:sz w:val="21"/>
              </w:rPr>
              <w:t>等影像学检查证实存在对应病灶，确诊为脑出血、</w:t>
            </w:r>
            <w:r>
              <w:rPr>
                <w:spacing w:val="-7"/>
                <w:sz w:val="21"/>
              </w:rPr>
              <w:t>脑栓塞或脑梗塞。在确诊 </w:t>
            </w:r>
            <w:r>
              <w:rPr>
                <w:rFonts w:ascii="Times New Roman" w:hAnsi="Times New Roman" w:eastAsia="Times New Roman"/>
                <w:sz w:val="21"/>
              </w:rPr>
              <w:t>180 </w:t>
            </w:r>
            <w:r>
              <w:rPr>
                <w:spacing w:val="-4"/>
                <w:sz w:val="21"/>
              </w:rPr>
              <w:t>天后仍遗留神经系统功能障碍。遗留的神经</w:t>
            </w:r>
            <w:r>
              <w:rPr>
                <w:spacing w:val="-5"/>
                <w:sz w:val="21"/>
              </w:rPr>
              <w:t>系统功能障碍程度虽未达到重大疾病“脑中风后遗症”的给付标准，但仍</w:t>
            </w:r>
            <w:r>
              <w:rPr>
                <w:spacing w:val="-4"/>
                <w:sz w:val="21"/>
              </w:rPr>
              <w:t>遗留下列一种或一种以上障碍：</w:t>
            </w:r>
          </w:p>
          <w:p>
            <w:pPr>
              <w:pStyle w:val="TableParagraph"/>
              <w:spacing w:line="285" w:lineRule="exact" w:before="5"/>
              <w:ind w:left="101"/>
              <w:jc w:val="both"/>
              <w:rPr>
                <w:sz w:val="21"/>
              </w:rPr>
            </w:pPr>
            <w:r>
              <w:rPr>
                <w:sz w:val="21"/>
              </w:rPr>
              <w:t>（</w:t>
            </w:r>
            <w:r>
              <w:rPr>
                <w:rFonts w:ascii="Times New Roman" w:eastAsia="Times New Roman"/>
                <w:sz w:val="21"/>
              </w:rPr>
              <w:t>1</w:t>
            </w:r>
            <w:r>
              <w:rPr>
                <w:sz w:val="21"/>
              </w:rPr>
              <w:t>）一侧肢体（上肢和下肢）的肌力为 </w:t>
            </w:r>
            <w:r>
              <w:rPr>
                <w:rFonts w:ascii="Times New Roman" w:eastAsia="Times New Roman"/>
                <w:sz w:val="21"/>
              </w:rPr>
              <w:t>2 </w:t>
            </w:r>
            <w:r>
              <w:rPr>
                <w:sz w:val="21"/>
              </w:rPr>
              <w:t>级或更低。</w:t>
            </w:r>
          </w:p>
          <w:p>
            <w:pPr>
              <w:pStyle w:val="TableParagraph"/>
              <w:spacing w:line="285" w:lineRule="exact"/>
              <w:ind w:left="101"/>
              <w:jc w:val="both"/>
              <w:rPr>
                <w:sz w:val="21"/>
              </w:rPr>
            </w:pPr>
            <w:r>
              <w:rPr>
                <w:sz w:val="21"/>
              </w:rPr>
              <w:t>（</w:t>
            </w:r>
            <w:r>
              <w:rPr>
                <w:rFonts w:ascii="Times New Roman" w:eastAsia="Times New Roman"/>
                <w:sz w:val="21"/>
              </w:rPr>
              <w:t>2</w:t>
            </w:r>
            <w:r>
              <w:rPr>
                <w:sz w:val="21"/>
              </w:rPr>
              <w:t>）自主生活能力丧失，无法独立完成六项基本日常生活活动中的二项。</w:t>
            </w:r>
          </w:p>
          <w:p>
            <w:pPr>
              <w:pStyle w:val="TableParagraph"/>
              <w:spacing w:before="6"/>
              <w:rPr>
                <w:rFonts w:ascii="Times New Roman"/>
                <w:sz w:val="23"/>
              </w:rPr>
            </w:pPr>
          </w:p>
          <w:p>
            <w:pPr>
              <w:pStyle w:val="TableParagraph"/>
              <w:spacing w:before="1"/>
              <w:ind w:left="101"/>
              <w:jc w:val="both"/>
              <w:rPr>
                <w:sz w:val="21"/>
              </w:rPr>
            </w:pPr>
            <w:r>
              <w:rPr>
                <w:sz w:val="21"/>
              </w:rPr>
              <w:t>肌力分级：</w:t>
            </w:r>
          </w:p>
          <w:p>
            <w:pPr>
              <w:pStyle w:val="TableParagraph"/>
              <w:numPr>
                <w:ilvl w:val="0"/>
                <w:numId w:val="1"/>
              </w:numPr>
              <w:tabs>
                <w:tab w:pos="261" w:val="left" w:leader="none"/>
              </w:tabs>
              <w:spacing w:line="286" w:lineRule="exact" w:before="4" w:after="0"/>
              <w:ind w:left="260" w:right="0" w:hanging="159"/>
              <w:jc w:val="both"/>
              <w:rPr>
                <w:sz w:val="21"/>
              </w:rPr>
            </w:pPr>
            <w:r>
              <w:rPr>
                <w:spacing w:val="-3"/>
                <w:sz w:val="21"/>
              </w:rPr>
              <w:t>级  完全瘫痪，测不到肌肉收缩。</w:t>
            </w:r>
          </w:p>
          <w:p>
            <w:pPr>
              <w:pStyle w:val="TableParagraph"/>
              <w:numPr>
                <w:ilvl w:val="0"/>
                <w:numId w:val="1"/>
              </w:numPr>
              <w:tabs>
                <w:tab w:pos="261" w:val="left" w:leader="none"/>
              </w:tabs>
              <w:spacing w:line="281" w:lineRule="exact" w:before="0" w:after="0"/>
              <w:ind w:left="260" w:right="0" w:hanging="159"/>
              <w:jc w:val="both"/>
              <w:rPr>
                <w:sz w:val="21"/>
              </w:rPr>
            </w:pPr>
            <w:r>
              <w:rPr>
                <w:spacing w:val="-3"/>
                <w:sz w:val="21"/>
              </w:rPr>
              <w:t>级  可见肌肉轻微收缩，但不能带动关节。</w:t>
            </w:r>
          </w:p>
          <w:p>
            <w:pPr>
              <w:pStyle w:val="TableParagraph"/>
              <w:numPr>
                <w:ilvl w:val="0"/>
                <w:numId w:val="1"/>
              </w:numPr>
              <w:tabs>
                <w:tab w:pos="261" w:val="left" w:leader="none"/>
              </w:tabs>
              <w:spacing w:line="280" w:lineRule="exact" w:before="0" w:after="0"/>
              <w:ind w:left="260" w:right="0" w:hanging="159"/>
              <w:jc w:val="both"/>
              <w:rPr>
                <w:sz w:val="21"/>
              </w:rPr>
            </w:pPr>
            <w:r>
              <w:rPr>
                <w:spacing w:val="-3"/>
                <w:sz w:val="21"/>
              </w:rPr>
              <w:t>级  肢体能在床上平行移动，但不能抵抗自身重力，即不能抬离床面。</w:t>
            </w:r>
          </w:p>
          <w:p>
            <w:pPr>
              <w:pStyle w:val="TableParagraph"/>
              <w:numPr>
                <w:ilvl w:val="0"/>
                <w:numId w:val="1"/>
              </w:numPr>
              <w:tabs>
                <w:tab w:pos="261" w:val="left" w:leader="none"/>
              </w:tabs>
              <w:spacing w:line="280" w:lineRule="exact" w:before="0" w:after="0"/>
              <w:ind w:left="260" w:right="0" w:hanging="159"/>
              <w:jc w:val="both"/>
              <w:rPr>
                <w:sz w:val="21"/>
              </w:rPr>
            </w:pPr>
            <w:r>
              <w:rPr>
                <w:spacing w:val="-3"/>
                <w:sz w:val="21"/>
              </w:rPr>
              <w:t>级  肢体可以克服地心吸收力，能抬离床面，但不能抵抗阻力。</w:t>
            </w:r>
          </w:p>
          <w:p>
            <w:pPr>
              <w:pStyle w:val="TableParagraph"/>
              <w:numPr>
                <w:ilvl w:val="0"/>
                <w:numId w:val="1"/>
              </w:numPr>
              <w:tabs>
                <w:tab w:pos="261" w:val="left" w:leader="none"/>
              </w:tabs>
              <w:spacing w:line="281" w:lineRule="exact" w:before="0" w:after="0"/>
              <w:ind w:left="260" w:right="0" w:hanging="159"/>
              <w:jc w:val="both"/>
              <w:rPr>
                <w:sz w:val="21"/>
              </w:rPr>
            </w:pPr>
            <w:r>
              <w:rPr>
                <w:spacing w:val="-3"/>
                <w:sz w:val="21"/>
              </w:rPr>
              <w:t>级  肢体能做对抗外界阻力的运动，但肌力低于正常。</w:t>
            </w:r>
          </w:p>
          <w:p>
            <w:pPr>
              <w:pStyle w:val="TableParagraph"/>
              <w:numPr>
                <w:ilvl w:val="0"/>
                <w:numId w:val="1"/>
              </w:numPr>
              <w:tabs>
                <w:tab w:pos="261" w:val="left" w:leader="none"/>
              </w:tabs>
              <w:spacing w:line="286" w:lineRule="exact" w:before="0" w:after="0"/>
              <w:ind w:left="260" w:right="0" w:hanging="159"/>
              <w:jc w:val="both"/>
              <w:rPr>
                <w:sz w:val="21"/>
              </w:rPr>
            </w:pPr>
            <w:r>
              <w:rPr>
                <w:spacing w:val="-2"/>
                <w:sz w:val="21"/>
              </w:rPr>
              <w:t>级  肌力正常。</w:t>
            </w:r>
          </w:p>
        </w:tc>
      </w:tr>
      <w:tr>
        <w:trPr>
          <w:trHeight w:val="3052" w:hRule="atLeast"/>
        </w:trPr>
        <w:tc>
          <w:tcPr>
            <w:tcW w:w="1795" w:type="dxa"/>
          </w:tcPr>
          <w:p>
            <w:pPr>
              <w:pStyle w:val="TableParagraph"/>
              <w:spacing w:line="225" w:lineRule="auto" w:before="110"/>
              <w:ind w:left="200" w:right="100"/>
              <w:rPr>
                <w:b/>
                <w:sz w:val="21"/>
              </w:rPr>
            </w:pPr>
            <w:r>
              <w:rPr>
                <w:rFonts w:ascii="Times New Roman" w:eastAsia="Times New Roman"/>
                <w:b/>
                <w:sz w:val="21"/>
              </w:rPr>
              <w:t>3.</w:t>
            </w:r>
            <w:r>
              <w:rPr>
                <w:b/>
                <w:sz w:val="21"/>
              </w:rPr>
              <w:t>继发性肺动脉高压</w:t>
            </w:r>
          </w:p>
        </w:tc>
        <w:tc>
          <w:tcPr>
            <w:tcW w:w="7122" w:type="dxa"/>
          </w:tcPr>
          <w:p>
            <w:pPr>
              <w:pStyle w:val="TableParagraph"/>
              <w:spacing w:line="244" w:lineRule="auto" w:before="105"/>
              <w:ind w:left="101" w:right="291"/>
              <w:jc w:val="both"/>
              <w:rPr>
                <w:sz w:val="21"/>
              </w:rPr>
            </w:pPr>
            <w:r>
              <w:rPr>
                <w:sz w:val="21"/>
              </w:rPr>
              <w:t>指因继发性肺动脉压力持续增高，导致右心室肥厚，已经造成永久不可逆性的体力活动能力受限，达到美国纽约心脏病学会心功能状态分级</w:t>
            </w:r>
            <w:r>
              <w:rPr>
                <w:rFonts w:ascii="宋体" w:hAnsi="宋体" w:eastAsia="宋体" w:hint="eastAsia"/>
                <w:sz w:val="21"/>
              </w:rPr>
              <w:t>Ⅳ</w:t>
            </w:r>
            <w:r>
              <w:rPr>
                <w:sz w:val="21"/>
              </w:rPr>
              <w:t>级， 且满足以下全部条件：有医院的医疗记录显示病人不能进行任何活动，休息时仍有心悸、呼吸困难等心力衰竭表现。</w:t>
            </w:r>
          </w:p>
          <w:p>
            <w:pPr>
              <w:pStyle w:val="TableParagraph"/>
              <w:spacing w:before="4"/>
              <w:rPr>
                <w:rFonts w:ascii="Times New Roman"/>
                <w:sz w:val="24"/>
              </w:rPr>
            </w:pPr>
          </w:p>
          <w:p>
            <w:pPr>
              <w:pStyle w:val="TableParagraph"/>
              <w:spacing w:line="244" w:lineRule="auto"/>
              <w:ind w:left="101" w:right="304"/>
              <w:jc w:val="both"/>
              <w:rPr>
                <w:sz w:val="21"/>
              </w:rPr>
            </w:pPr>
            <w:r>
              <w:rPr>
                <w:spacing w:val="-4"/>
                <w:sz w:val="21"/>
              </w:rPr>
              <w:t>诊断需要由心脏专科的专科医生确诊，并且心导管检查报告显示静息状态</w:t>
            </w:r>
            <w:r>
              <w:rPr>
                <w:spacing w:val="-8"/>
                <w:sz w:val="21"/>
              </w:rPr>
              <w:t>下肺动脉平均压超过 </w:t>
            </w:r>
            <w:r>
              <w:rPr>
                <w:rFonts w:ascii="Times New Roman" w:eastAsia="Times New Roman"/>
                <w:sz w:val="21"/>
              </w:rPr>
              <w:t>30mmHg</w:t>
            </w:r>
            <w:r>
              <w:rPr>
                <w:sz w:val="21"/>
              </w:rPr>
              <w:t>。</w:t>
            </w:r>
          </w:p>
          <w:p>
            <w:pPr>
              <w:pStyle w:val="TableParagraph"/>
              <w:spacing w:before="11"/>
              <w:rPr>
                <w:rFonts w:ascii="Times New Roman"/>
                <w:sz w:val="22"/>
              </w:rPr>
            </w:pPr>
          </w:p>
          <w:p>
            <w:pPr>
              <w:pStyle w:val="TableParagraph"/>
              <w:spacing w:line="244" w:lineRule="auto"/>
              <w:ind w:left="101" w:right="303"/>
              <w:jc w:val="both"/>
              <w:rPr>
                <w:rFonts w:ascii="黑体" w:eastAsia="黑体" w:hint="eastAsia"/>
                <w:sz w:val="21"/>
              </w:rPr>
            </w:pPr>
            <w:r>
              <w:rPr>
                <w:rFonts w:ascii="黑体" w:eastAsia="黑体" w:hint="eastAsia"/>
                <w:spacing w:val="-4"/>
                <w:sz w:val="21"/>
              </w:rPr>
              <w:t>所有原发性肺动脉高压不在保障范围内。所有先天性心脏疾病直接或间接</w:t>
            </w:r>
            <w:r>
              <w:rPr>
                <w:rFonts w:ascii="黑体" w:eastAsia="黑体" w:hint="eastAsia"/>
                <w:spacing w:val="-3"/>
                <w:sz w:val="21"/>
              </w:rPr>
              <w:t>引起的肺动脉高压也不在保障范围内。</w:t>
            </w:r>
          </w:p>
        </w:tc>
      </w:tr>
      <w:tr>
        <w:trPr>
          <w:trHeight w:val="2501" w:hRule="atLeast"/>
        </w:trPr>
        <w:tc>
          <w:tcPr>
            <w:tcW w:w="1795" w:type="dxa"/>
          </w:tcPr>
          <w:p>
            <w:pPr>
              <w:pStyle w:val="TableParagraph"/>
              <w:spacing w:before="81"/>
              <w:ind w:left="200"/>
              <w:rPr>
                <w:b/>
                <w:sz w:val="21"/>
              </w:rPr>
            </w:pPr>
            <w:r>
              <w:rPr>
                <w:rFonts w:ascii="Times New Roman" w:eastAsia="Times New Roman"/>
                <w:b/>
                <w:sz w:val="21"/>
              </w:rPr>
              <w:t>4.</w:t>
            </w:r>
            <w:r>
              <w:rPr>
                <w:b/>
                <w:sz w:val="21"/>
              </w:rPr>
              <w:t>早期肝硬化</w:t>
            </w:r>
          </w:p>
        </w:tc>
        <w:tc>
          <w:tcPr>
            <w:tcW w:w="7122" w:type="dxa"/>
          </w:tcPr>
          <w:p>
            <w:pPr>
              <w:pStyle w:val="TableParagraph"/>
              <w:spacing w:line="244" w:lineRule="auto" w:before="93"/>
              <w:ind w:left="101" w:right="262"/>
              <w:rPr>
                <w:sz w:val="21"/>
              </w:rPr>
            </w:pPr>
            <w:r>
              <w:rPr>
                <w:sz w:val="21"/>
              </w:rPr>
              <w:t>肝硬化须由专科医生明确诊断。必须由活检证实有再生的肝细胞结节和典型的肝组织纤维化。以下条件必须全部满足并至少持续一年：</w:t>
            </w:r>
          </w:p>
          <w:p>
            <w:pPr>
              <w:pStyle w:val="TableParagraph"/>
              <w:spacing w:line="285" w:lineRule="exact" w:before="1"/>
              <w:ind w:left="101"/>
              <w:rPr>
                <w:rFonts w:ascii="Times New Roman" w:eastAsia="Times New Roman"/>
                <w:sz w:val="21"/>
              </w:rPr>
            </w:pPr>
            <w:r>
              <w:rPr>
                <w:sz w:val="21"/>
              </w:rPr>
              <w:t>（</w:t>
            </w:r>
            <w:r>
              <w:rPr>
                <w:rFonts w:ascii="Times New Roman" w:eastAsia="Times New Roman"/>
                <w:sz w:val="21"/>
              </w:rPr>
              <w:t>1</w:t>
            </w:r>
            <w:r>
              <w:rPr>
                <w:sz w:val="21"/>
              </w:rPr>
              <w:t>）持续性黄疸，胆红素水平升高超过 </w:t>
            </w:r>
            <w:r>
              <w:rPr>
                <w:rFonts w:ascii="Times New Roman" w:eastAsia="Times New Roman"/>
                <w:sz w:val="21"/>
              </w:rPr>
              <w:t>50mmol/ L;</w:t>
            </w:r>
          </w:p>
          <w:p>
            <w:pPr>
              <w:pStyle w:val="TableParagraph"/>
              <w:spacing w:line="280" w:lineRule="exact"/>
              <w:ind w:left="101"/>
              <w:rPr>
                <w:rFonts w:ascii="Times New Roman" w:eastAsia="Times New Roman"/>
                <w:sz w:val="21"/>
              </w:rPr>
            </w:pPr>
            <w:r>
              <w:rPr>
                <w:sz w:val="21"/>
              </w:rPr>
              <w:t>（</w:t>
            </w:r>
            <w:r>
              <w:rPr>
                <w:rFonts w:ascii="Times New Roman" w:eastAsia="Times New Roman"/>
                <w:sz w:val="21"/>
              </w:rPr>
              <w:t>2</w:t>
            </w:r>
            <w:r>
              <w:rPr>
                <w:sz w:val="21"/>
              </w:rPr>
              <w:t>）蛋白质合成异常，白蛋白水平低于 </w:t>
            </w:r>
            <w:r>
              <w:rPr>
                <w:rFonts w:ascii="Times New Roman" w:eastAsia="Times New Roman"/>
                <w:sz w:val="21"/>
              </w:rPr>
              <w:t>27g/ L;</w:t>
            </w:r>
          </w:p>
          <w:p>
            <w:pPr>
              <w:pStyle w:val="TableParagraph"/>
              <w:spacing w:line="281" w:lineRule="exact"/>
              <w:ind w:left="101"/>
              <w:rPr>
                <w:sz w:val="21"/>
              </w:rPr>
            </w:pPr>
            <w:r>
              <w:rPr>
                <w:sz w:val="21"/>
              </w:rPr>
              <w:t>（</w:t>
            </w:r>
            <w:r>
              <w:rPr>
                <w:rFonts w:ascii="Times New Roman" w:eastAsia="Times New Roman"/>
                <w:sz w:val="21"/>
              </w:rPr>
              <w:t>3</w:t>
            </w:r>
            <w:r>
              <w:rPr>
                <w:sz w:val="21"/>
              </w:rPr>
              <w:t>）异常凝血功能，凝血酶原时间超过正常上限的 </w:t>
            </w:r>
            <w:r>
              <w:rPr>
                <w:rFonts w:ascii="Times New Roman" w:eastAsia="Times New Roman"/>
                <w:sz w:val="21"/>
              </w:rPr>
              <w:t>2  </w:t>
            </w:r>
            <w:r>
              <w:rPr>
                <w:sz w:val="21"/>
              </w:rPr>
              <w:t>倍或以上，或者国</w:t>
            </w:r>
          </w:p>
          <w:p>
            <w:pPr>
              <w:pStyle w:val="TableParagraph"/>
              <w:spacing w:line="286" w:lineRule="exact"/>
              <w:ind w:left="101"/>
              <w:rPr>
                <w:sz w:val="21"/>
              </w:rPr>
            </w:pPr>
            <w:r>
              <w:rPr>
                <w:sz w:val="21"/>
              </w:rPr>
              <w:t>际正常化比率（</w:t>
            </w:r>
            <w:r>
              <w:rPr>
                <w:rFonts w:ascii="Times New Roman" w:eastAsia="Times New Roman"/>
                <w:sz w:val="21"/>
              </w:rPr>
              <w:t>INR</w:t>
            </w:r>
            <w:r>
              <w:rPr>
                <w:sz w:val="21"/>
              </w:rPr>
              <w:t>）在 </w:t>
            </w:r>
            <w:r>
              <w:rPr>
                <w:rFonts w:ascii="Times New Roman" w:eastAsia="Times New Roman"/>
                <w:sz w:val="21"/>
              </w:rPr>
              <w:t>2.0 </w:t>
            </w:r>
            <w:r>
              <w:rPr>
                <w:sz w:val="21"/>
              </w:rPr>
              <w:t>以上。</w:t>
            </w:r>
          </w:p>
          <w:p>
            <w:pPr>
              <w:pStyle w:val="TableParagraph"/>
              <w:spacing w:before="4"/>
              <w:rPr>
                <w:rFonts w:ascii="Times New Roman"/>
                <w:sz w:val="23"/>
              </w:rPr>
            </w:pPr>
          </w:p>
          <w:p>
            <w:pPr>
              <w:pStyle w:val="TableParagraph"/>
              <w:ind w:left="101"/>
              <w:rPr>
                <w:rFonts w:ascii="黑体" w:eastAsia="黑体" w:hint="eastAsia"/>
                <w:sz w:val="21"/>
              </w:rPr>
            </w:pPr>
            <w:r>
              <w:rPr>
                <w:rFonts w:ascii="黑体" w:eastAsia="黑体" w:hint="eastAsia"/>
                <w:sz w:val="21"/>
              </w:rPr>
              <w:t>继发于酒精、毒品或药物滥用的肝硬化不在保障范围内。</w:t>
            </w:r>
          </w:p>
        </w:tc>
      </w:tr>
      <w:tr>
        <w:trPr>
          <w:trHeight w:val="2355" w:hRule="atLeast"/>
        </w:trPr>
        <w:tc>
          <w:tcPr>
            <w:tcW w:w="1795" w:type="dxa"/>
          </w:tcPr>
          <w:p>
            <w:pPr>
              <w:pStyle w:val="TableParagraph"/>
              <w:spacing w:before="101"/>
              <w:ind w:left="200"/>
              <w:rPr>
                <w:b/>
                <w:sz w:val="21"/>
              </w:rPr>
            </w:pPr>
            <w:r>
              <w:rPr>
                <w:rFonts w:ascii="Times New Roman" w:eastAsia="Times New Roman"/>
                <w:b/>
                <w:sz w:val="21"/>
              </w:rPr>
              <w:t>5.</w:t>
            </w:r>
            <w:r>
              <w:rPr>
                <w:b/>
                <w:sz w:val="21"/>
              </w:rPr>
              <w:t>视力严重受损</w:t>
            </w:r>
          </w:p>
        </w:tc>
        <w:tc>
          <w:tcPr>
            <w:tcW w:w="7122" w:type="dxa"/>
          </w:tcPr>
          <w:p>
            <w:pPr>
              <w:pStyle w:val="TableParagraph"/>
              <w:spacing w:line="244" w:lineRule="auto" w:before="113"/>
              <w:ind w:left="101" w:right="261"/>
              <w:rPr>
                <w:sz w:val="21"/>
              </w:rPr>
            </w:pPr>
            <w:r>
              <w:rPr>
                <w:sz w:val="21"/>
              </w:rPr>
              <w:t>指因疾病或意外伤害导致双目视力永久不可逆性丧失，双眼中较好眼须满足下列全部条件：</w:t>
            </w:r>
          </w:p>
          <w:p>
            <w:pPr>
              <w:pStyle w:val="TableParagraph"/>
              <w:spacing w:line="230" w:lineRule="auto" w:before="13"/>
              <w:ind w:left="101" w:right="303"/>
              <w:rPr>
                <w:sz w:val="21"/>
              </w:rPr>
            </w:pPr>
            <w:r>
              <w:rPr>
                <w:spacing w:val="-4"/>
                <w:sz w:val="21"/>
              </w:rPr>
              <w:t>（</w:t>
            </w:r>
            <w:r>
              <w:rPr>
                <w:rFonts w:ascii="Times New Roman" w:eastAsia="Times New Roman"/>
                <w:spacing w:val="-4"/>
                <w:sz w:val="21"/>
              </w:rPr>
              <w:t>1</w:t>
            </w:r>
            <w:r>
              <w:rPr>
                <w:spacing w:val="-4"/>
                <w:sz w:val="21"/>
              </w:rPr>
              <w:t>）</w:t>
            </w:r>
            <w:r>
              <w:rPr>
                <w:spacing w:val="-9"/>
                <w:sz w:val="21"/>
              </w:rPr>
              <w:t>矫正视力为 </w:t>
            </w:r>
            <w:r>
              <w:rPr>
                <w:rFonts w:ascii="Times New Roman" w:eastAsia="Times New Roman"/>
                <w:sz w:val="21"/>
              </w:rPr>
              <w:t>0.02-0.1</w:t>
            </w:r>
            <w:r>
              <w:rPr>
                <w:sz w:val="21"/>
              </w:rPr>
              <w:t>（</w:t>
            </w:r>
            <w:r>
              <w:rPr>
                <w:spacing w:val="-4"/>
                <w:sz w:val="21"/>
              </w:rPr>
              <w:t>采用国际标准视力表，如果使用其它视力表应</w:t>
            </w:r>
            <w:r>
              <w:rPr>
                <w:spacing w:val="-3"/>
                <w:w w:val="100"/>
                <w:sz w:val="21"/>
              </w:rPr>
              <w:t>进行换算</w:t>
            </w:r>
            <w:r>
              <w:rPr>
                <w:spacing w:val="-108"/>
                <w:w w:val="100"/>
                <w:sz w:val="21"/>
              </w:rPr>
              <w:t>）</w:t>
            </w:r>
            <w:r>
              <w:rPr>
                <w:w w:val="100"/>
                <w:sz w:val="21"/>
              </w:rPr>
              <w:t>；</w:t>
            </w:r>
          </w:p>
          <w:p>
            <w:pPr>
              <w:pStyle w:val="TableParagraph"/>
              <w:spacing w:before="6"/>
              <w:ind w:left="101"/>
              <w:rPr>
                <w:sz w:val="21"/>
              </w:rPr>
            </w:pPr>
            <w:r>
              <w:rPr>
                <w:sz w:val="21"/>
              </w:rPr>
              <w:t>（</w:t>
            </w:r>
            <w:r>
              <w:rPr>
                <w:rFonts w:ascii="Times New Roman" w:eastAsia="Times New Roman"/>
                <w:sz w:val="21"/>
              </w:rPr>
              <w:t>2</w:t>
            </w:r>
            <w:r>
              <w:rPr>
                <w:sz w:val="21"/>
              </w:rPr>
              <w:t>）视野半径为 </w:t>
            </w:r>
            <w:r>
              <w:rPr>
                <w:rFonts w:ascii="Times New Roman" w:eastAsia="Times New Roman"/>
                <w:sz w:val="21"/>
              </w:rPr>
              <w:t>5-20 </w:t>
            </w:r>
            <w:r>
              <w:rPr>
                <w:sz w:val="21"/>
              </w:rPr>
              <w:t>度。</w:t>
            </w:r>
          </w:p>
          <w:p>
            <w:pPr>
              <w:pStyle w:val="TableParagraph"/>
              <w:spacing w:before="10"/>
              <w:rPr>
                <w:rFonts w:ascii="Times New Roman"/>
                <w:sz w:val="22"/>
              </w:rPr>
            </w:pPr>
          </w:p>
          <w:p>
            <w:pPr>
              <w:pStyle w:val="TableParagraph"/>
              <w:spacing w:line="280" w:lineRule="atLeast"/>
              <w:ind w:left="101" w:right="306"/>
              <w:rPr>
                <w:rFonts w:ascii="黑体" w:eastAsia="黑体" w:hint="eastAsia"/>
                <w:sz w:val="21"/>
              </w:rPr>
            </w:pPr>
            <w:r>
              <w:rPr>
                <w:rFonts w:ascii="黑体" w:eastAsia="黑体" w:hint="eastAsia"/>
                <w:spacing w:val="-6"/>
                <w:sz w:val="21"/>
              </w:rPr>
              <w:t>申请理赔时，被保险人年龄必须在 </w:t>
            </w:r>
            <w:r>
              <w:rPr>
                <w:rFonts w:ascii="黑体" w:eastAsia="黑体" w:hint="eastAsia"/>
                <w:sz w:val="21"/>
              </w:rPr>
              <w:t>3</w:t>
            </w:r>
            <w:r>
              <w:rPr>
                <w:rFonts w:ascii="黑体" w:eastAsia="黑体" w:hint="eastAsia"/>
                <w:spacing w:val="-8"/>
                <w:sz w:val="21"/>
              </w:rPr>
              <w:t> 周岁以上，并且须提供理赔当时的视</w:t>
            </w:r>
            <w:r>
              <w:rPr>
                <w:rFonts w:ascii="黑体" w:eastAsia="黑体" w:hint="eastAsia"/>
                <w:spacing w:val="-5"/>
                <w:sz w:val="21"/>
              </w:rPr>
              <w:t>力丧失诊断及检查证据。</w:t>
            </w:r>
          </w:p>
        </w:tc>
      </w:tr>
    </w:tbl>
    <w:p>
      <w:pPr>
        <w:spacing w:after="0" w:line="280" w:lineRule="atLeast"/>
        <w:rPr>
          <w:rFonts w:ascii="黑体" w:eastAsia="黑体" w:hint="eastAsia"/>
          <w:sz w:val="21"/>
        </w:rPr>
        <w:sectPr>
          <w:pgSz w:w="11910" w:h="16840"/>
          <w:pgMar w:top="1360" w:bottom="280" w:left="1420" w:right="136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95"/>
        <w:gridCol w:w="7158"/>
      </w:tblGrid>
      <w:tr>
        <w:trPr>
          <w:trHeight w:val="1530" w:hRule="atLeast"/>
        </w:trPr>
        <w:tc>
          <w:tcPr>
            <w:tcW w:w="1795" w:type="dxa"/>
          </w:tcPr>
          <w:p>
            <w:pPr>
              <w:pStyle w:val="TableParagraph"/>
              <w:spacing w:line="224" w:lineRule="exact"/>
              <w:ind w:left="200"/>
              <w:rPr>
                <w:b/>
                <w:sz w:val="21"/>
              </w:rPr>
            </w:pPr>
            <w:r>
              <w:rPr>
                <w:rFonts w:ascii="Times New Roman" w:eastAsia="Times New Roman"/>
                <w:b/>
                <w:sz w:val="21"/>
              </w:rPr>
              <w:t>6.</w:t>
            </w:r>
            <w:r>
              <w:rPr>
                <w:b/>
                <w:sz w:val="21"/>
              </w:rPr>
              <w:t>心脏瓣膜经皮</w:t>
            </w:r>
          </w:p>
          <w:p>
            <w:pPr>
              <w:pStyle w:val="TableParagraph"/>
              <w:spacing w:line="265" w:lineRule="exact"/>
              <w:ind w:left="200"/>
              <w:rPr>
                <w:b/>
                <w:sz w:val="21"/>
              </w:rPr>
            </w:pPr>
            <w:r>
              <w:rPr>
                <w:b/>
                <w:sz w:val="21"/>
              </w:rPr>
              <w:t>经导管介入手术</w:t>
            </w:r>
          </w:p>
        </w:tc>
        <w:tc>
          <w:tcPr>
            <w:tcW w:w="7158" w:type="dxa"/>
          </w:tcPr>
          <w:p>
            <w:pPr>
              <w:pStyle w:val="TableParagraph"/>
              <w:spacing w:line="230" w:lineRule="exact"/>
              <w:ind w:left="101"/>
              <w:rPr>
                <w:sz w:val="21"/>
              </w:rPr>
            </w:pPr>
            <w:r>
              <w:rPr>
                <w:sz w:val="21"/>
              </w:rPr>
              <w:t>指为治疗心脏瓣膜疾病，实际实施了经皮经导管介入手术进行心脏瓣膜置</w:t>
            </w:r>
          </w:p>
          <w:p>
            <w:pPr>
              <w:pStyle w:val="TableParagraph"/>
              <w:spacing w:before="3"/>
              <w:ind w:left="101"/>
              <w:rPr>
                <w:sz w:val="21"/>
              </w:rPr>
            </w:pPr>
            <w:r>
              <w:rPr>
                <w:sz w:val="21"/>
              </w:rPr>
              <w:t>换或者修复手术，含经皮瓣膜成形术、经皮瓣膜扩张术和经皮瓣膜置换术。</w:t>
            </w:r>
          </w:p>
          <w:p>
            <w:pPr>
              <w:pStyle w:val="TableParagraph"/>
              <w:spacing w:before="10"/>
              <w:rPr>
                <w:rFonts w:ascii="Times New Roman"/>
                <w:sz w:val="24"/>
              </w:rPr>
            </w:pPr>
          </w:p>
          <w:p>
            <w:pPr>
              <w:pStyle w:val="TableParagraph"/>
              <w:spacing w:line="242" w:lineRule="auto"/>
              <w:ind w:left="101" w:right="296"/>
              <w:rPr>
                <w:rFonts w:ascii="黑体" w:eastAsia="黑体" w:hint="eastAsia"/>
                <w:sz w:val="21"/>
              </w:rPr>
            </w:pPr>
            <w:r>
              <w:rPr>
                <w:sz w:val="21"/>
              </w:rPr>
              <w:t>手术过程必须使用经皮血管内导管技术，</w:t>
            </w:r>
            <w:r>
              <w:rPr>
                <w:rFonts w:ascii="黑体" w:eastAsia="黑体" w:hint="eastAsia"/>
                <w:sz w:val="21"/>
              </w:rPr>
              <w:t>任何经开胸术打开或进入胸部的手术均不在保障范围内。</w:t>
            </w:r>
          </w:p>
        </w:tc>
      </w:tr>
      <w:tr>
        <w:trPr>
          <w:trHeight w:val="1396" w:hRule="atLeast"/>
        </w:trPr>
        <w:tc>
          <w:tcPr>
            <w:tcW w:w="1795" w:type="dxa"/>
          </w:tcPr>
          <w:p>
            <w:pPr>
              <w:pStyle w:val="TableParagraph"/>
              <w:spacing w:before="124"/>
              <w:ind w:left="200"/>
              <w:rPr>
                <w:b/>
                <w:sz w:val="21"/>
              </w:rPr>
            </w:pPr>
            <w:r>
              <w:rPr>
                <w:rFonts w:ascii="Times New Roman" w:eastAsia="Times New Roman"/>
                <w:b/>
                <w:sz w:val="21"/>
              </w:rPr>
              <w:t>7.</w:t>
            </w:r>
            <w:r>
              <w:rPr>
                <w:b/>
                <w:sz w:val="21"/>
              </w:rPr>
              <w:t>主动脉内手术</w:t>
            </w:r>
          </w:p>
        </w:tc>
        <w:tc>
          <w:tcPr>
            <w:tcW w:w="7158" w:type="dxa"/>
          </w:tcPr>
          <w:p>
            <w:pPr>
              <w:pStyle w:val="TableParagraph"/>
              <w:spacing w:line="244" w:lineRule="auto" w:before="136"/>
              <w:ind w:left="101" w:right="296"/>
              <w:rPr>
                <w:sz w:val="21"/>
              </w:rPr>
            </w:pPr>
            <w:r>
              <w:rPr>
                <w:sz w:val="21"/>
              </w:rPr>
              <w:t>为了治疗主动脉疾病实际实施了经皮经导管进行的动脉内手术，诊断需经心脏血管超声检查确诊，并由专科医生确认是在医学上是必要的。</w:t>
            </w:r>
          </w:p>
          <w:p>
            <w:pPr>
              <w:pStyle w:val="TableParagraph"/>
              <w:spacing w:before="3"/>
              <w:rPr>
                <w:rFonts w:ascii="Times New Roman"/>
                <w:sz w:val="24"/>
              </w:rPr>
            </w:pPr>
          </w:p>
          <w:p>
            <w:pPr>
              <w:pStyle w:val="TableParagraph"/>
              <w:spacing w:before="1"/>
              <w:ind w:left="101"/>
              <w:rPr>
                <w:rFonts w:ascii="黑体" w:eastAsia="黑体" w:hint="eastAsia"/>
                <w:sz w:val="21"/>
              </w:rPr>
            </w:pPr>
            <w:r>
              <w:rPr>
                <w:sz w:val="21"/>
              </w:rPr>
              <w:t>主动脉指胸主动脉和腹主动脉，</w:t>
            </w:r>
            <w:r>
              <w:rPr>
                <w:rFonts w:ascii="黑体" w:eastAsia="黑体" w:hint="eastAsia"/>
                <w:sz w:val="21"/>
              </w:rPr>
              <w:t>不包括胸主动脉和腹主动脉的分支血管。</w:t>
            </w:r>
          </w:p>
        </w:tc>
      </w:tr>
      <w:tr>
        <w:trPr>
          <w:trHeight w:val="1941" w:hRule="atLeast"/>
        </w:trPr>
        <w:tc>
          <w:tcPr>
            <w:tcW w:w="1795" w:type="dxa"/>
          </w:tcPr>
          <w:p>
            <w:pPr>
              <w:pStyle w:val="TableParagraph"/>
              <w:spacing w:line="230" w:lineRule="auto" w:before="100"/>
              <w:ind w:left="200" w:right="100"/>
              <w:jc w:val="both"/>
              <w:rPr>
                <w:b/>
                <w:sz w:val="21"/>
              </w:rPr>
            </w:pPr>
            <w:r>
              <w:rPr>
                <w:rFonts w:ascii="Times New Roman" w:eastAsia="Times New Roman"/>
                <w:b/>
                <w:sz w:val="21"/>
              </w:rPr>
              <w:t>8.</w:t>
            </w:r>
            <w:r>
              <w:rPr>
                <w:b/>
                <w:sz w:val="21"/>
              </w:rPr>
              <w:t>脑垂体瘤、脑囊肿、脑动脉瘤及脑血管瘤</w:t>
            </w:r>
          </w:p>
        </w:tc>
        <w:tc>
          <w:tcPr>
            <w:tcW w:w="7158" w:type="dxa"/>
          </w:tcPr>
          <w:p>
            <w:pPr>
              <w:pStyle w:val="TableParagraph"/>
              <w:spacing w:before="100"/>
              <w:ind w:left="101" w:right="340"/>
              <w:jc w:val="both"/>
              <w:rPr>
                <w:sz w:val="21"/>
              </w:rPr>
            </w:pPr>
            <w:r>
              <w:rPr>
                <w:spacing w:val="-4"/>
                <w:sz w:val="21"/>
              </w:rPr>
              <w:t>指实际实施的垂体瘤、脑囊肿、脑动脉瘤及脑血管瘤的切除手术。诊断需</w:t>
            </w:r>
            <w:r>
              <w:rPr>
                <w:spacing w:val="-5"/>
                <w:sz w:val="21"/>
              </w:rPr>
              <w:t>经头颅断层扫描</w:t>
            </w:r>
            <w:r>
              <w:rPr>
                <w:spacing w:val="-4"/>
                <w:sz w:val="21"/>
              </w:rPr>
              <w:t>（</w:t>
            </w:r>
            <w:r>
              <w:rPr>
                <w:rFonts w:ascii="Times New Roman" w:eastAsia="Times New Roman"/>
                <w:spacing w:val="-4"/>
                <w:sz w:val="21"/>
              </w:rPr>
              <w:t>CT</w:t>
            </w:r>
            <w:r>
              <w:rPr>
                <w:spacing w:val="-4"/>
                <w:sz w:val="21"/>
              </w:rPr>
              <w:t>）或核磁共振检查（</w:t>
            </w:r>
            <w:r>
              <w:rPr>
                <w:rFonts w:ascii="Times New Roman" w:eastAsia="Times New Roman"/>
                <w:spacing w:val="-4"/>
                <w:sz w:val="21"/>
              </w:rPr>
              <w:t>MRI</w:t>
            </w:r>
            <w:r>
              <w:rPr>
                <w:spacing w:val="-4"/>
                <w:sz w:val="21"/>
              </w:rPr>
              <w:t>）确诊，并由专科医生确认是在医学上是必要的。申请理赔时必须提交由病理科专科医生签署的固定</w:t>
            </w:r>
            <w:r>
              <w:rPr>
                <w:spacing w:val="-3"/>
                <w:sz w:val="21"/>
              </w:rPr>
              <w:t>活组织病理学检查报告和由专科医生签署的临床诊断及治疗报告。</w:t>
            </w:r>
          </w:p>
          <w:p>
            <w:pPr>
              <w:pStyle w:val="TableParagraph"/>
              <w:spacing w:before="8"/>
              <w:rPr>
                <w:rFonts w:ascii="Times New Roman"/>
                <w:sz w:val="24"/>
              </w:rPr>
            </w:pPr>
          </w:p>
          <w:p>
            <w:pPr>
              <w:pStyle w:val="TableParagraph"/>
              <w:ind w:left="101"/>
              <w:jc w:val="both"/>
              <w:rPr>
                <w:rFonts w:ascii="黑体" w:eastAsia="黑体" w:hint="eastAsia"/>
                <w:sz w:val="21"/>
              </w:rPr>
            </w:pPr>
            <w:r>
              <w:rPr>
                <w:rFonts w:ascii="黑体" w:eastAsia="黑体" w:hint="eastAsia"/>
                <w:sz w:val="21"/>
              </w:rPr>
              <w:t>直径小于 1cm 的垂体微腺瘤不在保障范围内。</w:t>
            </w:r>
          </w:p>
        </w:tc>
      </w:tr>
      <w:tr>
        <w:trPr>
          <w:trHeight w:val="2240" w:hRule="atLeast"/>
        </w:trPr>
        <w:tc>
          <w:tcPr>
            <w:tcW w:w="1795" w:type="dxa"/>
          </w:tcPr>
          <w:p>
            <w:pPr>
              <w:pStyle w:val="TableParagraph"/>
              <w:spacing w:before="108"/>
              <w:ind w:left="200"/>
              <w:rPr>
                <w:b/>
                <w:sz w:val="21"/>
              </w:rPr>
            </w:pPr>
            <w:r>
              <w:rPr>
                <w:rFonts w:ascii="Times New Roman" w:eastAsia="Times New Roman"/>
                <w:b/>
                <w:sz w:val="21"/>
              </w:rPr>
              <w:t>9.</w:t>
            </w:r>
            <w:r>
              <w:rPr>
                <w:b/>
                <w:sz w:val="21"/>
              </w:rPr>
              <w:t>轻度帕金森病</w:t>
            </w:r>
          </w:p>
        </w:tc>
        <w:tc>
          <w:tcPr>
            <w:tcW w:w="7158" w:type="dxa"/>
          </w:tcPr>
          <w:p>
            <w:pPr>
              <w:pStyle w:val="TableParagraph"/>
              <w:spacing w:line="242" w:lineRule="auto" w:before="120"/>
              <w:ind w:left="101" w:right="328"/>
              <w:rPr>
                <w:sz w:val="21"/>
              </w:rPr>
            </w:pPr>
            <w:r>
              <w:rPr>
                <w:sz w:val="21"/>
              </w:rPr>
              <w:t>是一种中枢神经系统的退行性疾病，临床表现为震颤麻痹、共济失调等。须满足下列全部条件：</w:t>
            </w:r>
          </w:p>
          <w:p>
            <w:pPr>
              <w:pStyle w:val="TableParagraph"/>
              <w:spacing w:line="286" w:lineRule="exact" w:before="3"/>
              <w:ind w:left="101"/>
              <w:rPr>
                <w:sz w:val="21"/>
              </w:rPr>
            </w:pPr>
            <w:r>
              <w:rPr>
                <w:sz w:val="21"/>
              </w:rPr>
              <w:t>（</w:t>
            </w:r>
            <w:r>
              <w:rPr>
                <w:rFonts w:ascii="Times New Roman" w:eastAsia="Times New Roman"/>
                <w:sz w:val="21"/>
              </w:rPr>
              <w:t>1</w:t>
            </w:r>
            <w:r>
              <w:rPr>
                <w:sz w:val="21"/>
              </w:rPr>
              <w:t>）药物治疗无法控制病情；</w:t>
            </w:r>
          </w:p>
          <w:p>
            <w:pPr>
              <w:pStyle w:val="TableParagraph"/>
              <w:spacing w:line="230" w:lineRule="auto" w:before="6"/>
              <w:ind w:left="101" w:right="345"/>
              <w:rPr>
                <w:sz w:val="21"/>
              </w:rPr>
            </w:pPr>
            <w:r>
              <w:rPr>
                <w:sz w:val="21"/>
              </w:rPr>
              <w:t>（</w:t>
            </w:r>
            <w:r>
              <w:rPr>
                <w:rFonts w:ascii="Times New Roman" w:eastAsia="Times New Roman"/>
                <w:sz w:val="21"/>
              </w:rPr>
              <w:t>2</w:t>
            </w:r>
            <w:r>
              <w:rPr>
                <w:sz w:val="21"/>
              </w:rPr>
              <w:t>）自主生活能力完全丧失，无法独立完成六项基本日常生活活动中的二项。</w:t>
            </w:r>
          </w:p>
          <w:p>
            <w:pPr>
              <w:pStyle w:val="TableParagraph"/>
              <w:spacing w:before="10"/>
              <w:rPr>
                <w:rFonts w:ascii="Times New Roman"/>
                <w:sz w:val="24"/>
              </w:rPr>
            </w:pPr>
          </w:p>
          <w:p>
            <w:pPr>
              <w:pStyle w:val="TableParagraph"/>
              <w:ind w:left="101"/>
              <w:rPr>
                <w:rFonts w:ascii="黑体" w:eastAsia="黑体" w:hint="eastAsia"/>
                <w:sz w:val="21"/>
              </w:rPr>
            </w:pPr>
            <w:r>
              <w:rPr>
                <w:rFonts w:ascii="黑体" w:eastAsia="黑体" w:hint="eastAsia"/>
                <w:sz w:val="21"/>
              </w:rPr>
              <w:t>继发性帕金森综合征不在保障范围内。</w:t>
            </w:r>
          </w:p>
        </w:tc>
      </w:tr>
      <w:tr>
        <w:trPr>
          <w:trHeight w:val="1661" w:hRule="atLeast"/>
        </w:trPr>
        <w:tc>
          <w:tcPr>
            <w:tcW w:w="1795" w:type="dxa"/>
          </w:tcPr>
          <w:p>
            <w:pPr>
              <w:pStyle w:val="TableParagraph"/>
              <w:spacing w:before="107"/>
              <w:ind w:left="200"/>
              <w:rPr>
                <w:b/>
                <w:sz w:val="21"/>
              </w:rPr>
            </w:pPr>
            <w:r>
              <w:rPr>
                <w:rFonts w:ascii="Times New Roman" w:eastAsia="Times New Roman"/>
                <w:b/>
                <w:sz w:val="21"/>
              </w:rPr>
              <w:t>10.</w:t>
            </w:r>
            <w:r>
              <w:rPr>
                <w:b/>
                <w:sz w:val="21"/>
              </w:rPr>
              <w:t>脑损伤</w:t>
            </w:r>
          </w:p>
        </w:tc>
        <w:tc>
          <w:tcPr>
            <w:tcW w:w="7158" w:type="dxa"/>
          </w:tcPr>
          <w:p>
            <w:pPr>
              <w:pStyle w:val="TableParagraph"/>
              <w:spacing w:line="235" w:lineRule="auto" w:before="125"/>
              <w:ind w:left="101" w:right="340"/>
              <w:jc w:val="both"/>
              <w:rPr>
                <w:sz w:val="21"/>
              </w:rPr>
            </w:pPr>
            <w:r>
              <w:rPr>
                <w:spacing w:val="-5"/>
                <w:sz w:val="21"/>
              </w:rPr>
              <w:t>指因头部遭受机械性外力，引起脑重要部位损伤，导致神经系统永久性的</w:t>
            </w:r>
            <w:r>
              <w:rPr>
                <w:w w:val="100"/>
                <w:sz w:val="21"/>
              </w:rPr>
              <w:t>功能障碍。须由头颅断层扫描</w:t>
            </w:r>
            <w:r>
              <w:rPr>
                <w:spacing w:val="1"/>
                <w:w w:val="100"/>
                <w:sz w:val="21"/>
              </w:rPr>
              <w:t>（</w:t>
            </w:r>
            <w:r>
              <w:rPr>
                <w:rFonts w:ascii="Times New Roman" w:eastAsia="Times New Roman"/>
                <w:w w:val="100"/>
                <w:sz w:val="21"/>
              </w:rPr>
              <w:t>CT</w:t>
            </w:r>
            <w:r>
              <w:rPr>
                <w:spacing w:val="-104"/>
                <w:w w:val="100"/>
                <w:sz w:val="21"/>
              </w:rPr>
              <w:t>）</w:t>
            </w:r>
            <w:r>
              <w:rPr>
                <w:w w:val="100"/>
                <w:sz w:val="21"/>
              </w:rPr>
              <w:t>、核磁共振检查（</w:t>
            </w:r>
            <w:r>
              <w:rPr>
                <w:rFonts w:ascii="Times New Roman" w:eastAsia="Times New Roman"/>
                <w:w w:val="100"/>
                <w:sz w:val="21"/>
              </w:rPr>
              <w:t>MR</w:t>
            </w:r>
            <w:r>
              <w:rPr>
                <w:rFonts w:ascii="Times New Roman" w:eastAsia="Times New Roman"/>
                <w:spacing w:val="-1"/>
                <w:w w:val="100"/>
                <w:sz w:val="21"/>
              </w:rPr>
              <w:t>I</w:t>
            </w:r>
            <w:r>
              <w:rPr>
                <w:spacing w:val="1"/>
                <w:w w:val="100"/>
                <w:sz w:val="21"/>
              </w:rPr>
              <w:t>）</w:t>
            </w:r>
            <w:r>
              <w:rPr>
                <w:w w:val="100"/>
                <w:sz w:val="21"/>
              </w:rPr>
              <w:t>或正电子发</w:t>
            </w:r>
            <w:r>
              <w:rPr>
                <w:sz w:val="21"/>
              </w:rPr>
              <w:t>射断层扫描（</w:t>
            </w:r>
            <w:r>
              <w:rPr>
                <w:rFonts w:ascii="Times New Roman" w:eastAsia="Times New Roman"/>
                <w:sz w:val="21"/>
              </w:rPr>
              <w:t>PET</w:t>
            </w:r>
            <w:r>
              <w:rPr>
                <w:sz w:val="21"/>
              </w:rPr>
              <w:t>）等影像学检查证实。神经系统永久性的功能障碍，指</w:t>
            </w:r>
            <w:r>
              <w:rPr>
                <w:spacing w:val="0"/>
                <w:sz w:val="21"/>
              </w:rPr>
              <w:t>脑损伤 </w:t>
            </w:r>
            <w:r>
              <w:rPr>
                <w:rFonts w:ascii="Times New Roman" w:eastAsia="Times New Roman"/>
                <w:sz w:val="21"/>
              </w:rPr>
              <w:t>90 </w:t>
            </w:r>
            <w:r>
              <w:rPr>
                <w:spacing w:val="-3"/>
                <w:sz w:val="21"/>
              </w:rPr>
              <w:t>天后，仍完全丧失自主生活能力，无法独立进行六项基本日常生活活动中的二项。</w:t>
            </w:r>
          </w:p>
        </w:tc>
      </w:tr>
      <w:tr>
        <w:trPr>
          <w:trHeight w:val="804" w:hRule="atLeast"/>
        </w:trPr>
        <w:tc>
          <w:tcPr>
            <w:tcW w:w="1795" w:type="dxa"/>
          </w:tcPr>
          <w:p>
            <w:pPr>
              <w:pStyle w:val="TableParagraph"/>
              <w:spacing w:line="225" w:lineRule="auto" w:before="106"/>
              <w:ind w:left="200" w:right="111"/>
              <w:rPr>
                <w:b/>
                <w:sz w:val="21"/>
              </w:rPr>
            </w:pPr>
            <w:r>
              <w:rPr>
                <w:rFonts w:ascii="Times New Roman" w:eastAsia="Times New Roman"/>
                <w:b/>
                <w:sz w:val="21"/>
              </w:rPr>
              <w:t>11. </w:t>
            </w:r>
            <w:r>
              <w:rPr>
                <w:b/>
                <w:sz w:val="21"/>
              </w:rPr>
              <w:t>单侧肺脏切除</w:t>
            </w:r>
          </w:p>
        </w:tc>
        <w:tc>
          <w:tcPr>
            <w:tcW w:w="7158" w:type="dxa"/>
          </w:tcPr>
          <w:p>
            <w:pPr>
              <w:pStyle w:val="TableParagraph"/>
              <w:spacing w:before="88"/>
              <w:ind w:left="101" w:right="306"/>
              <w:rPr>
                <w:rFonts w:ascii="黑体" w:eastAsia="黑体" w:hint="eastAsia"/>
                <w:sz w:val="21"/>
              </w:rPr>
            </w:pPr>
            <w:r>
              <w:rPr>
                <w:sz w:val="21"/>
              </w:rPr>
              <w:t>因疾病或意外事故实际实施的一侧肺脏切除术，</w:t>
            </w:r>
            <w:r>
              <w:rPr>
                <w:rFonts w:ascii="黑体" w:eastAsia="黑体" w:hint="eastAsia"/>
                <w:sz w:val="21"/>
              </w:rPr>
              <w:t>部分切除手术和肺脏捐献引起的手术不在保障范围内。</w:t>
            </w:r>
          </w:p>
        </w:tc>
      </w:tr>
      <w:tr>
        <w:trPr>
          <w:trHeight w:val="2204" w:hRule="atLeast"/>
        </w:trPr>
        <w:tc>
          <w:tcPr>
            <w:tcW w:w="1795" w:type="dxa"/>
          </w:tcPr>
          <w:p>
            <w:pPr>
              <w:pStyle w:val="TableParagraph"/>
              <w:spacing w:line="232" w:lineRule="auto" w:before="118"/>
              <w:ind w:left="200" w:right="110"/>
              <w:jc w:val="both"/>
              <w:rPr>
                <w:b/>
                <w:sz w:val="21"/>
              </w:rPr>
            </w:pPr>
            <w:r>
              <w:rPr>
                <w:rFonts w:ascii="Times New Roman" w:eastAsia="Times New Roman"/>
                <w:b/>
                <w:sz w:val="21"/>
              </w:rPr>
              <w:t>12. </w:t>
            </w:r>
            <w:r>
              <w:rPr>
                <w:b/>
                <w:sz w:val="21"/>
              </w:rPr>
              <w:t>微创冠状动脉搭桥手术（或称微创冠状动脉旁路移植术）</w:t>
            </w:r>
          </w:p>
        </w:tc>
        <w:tc>
          <w:tcPr>
            <w:tcW w:w="7158" w:type="dxa"/>
          </w:tcPr>
          <w:p>
            <w:pPr>
              <w:pStyle w:val="TableParagraph"/>
              <w:spacing w:line="237" w:lineRule="auto" w:before="112"/>
              <w:ind w:left="101" w:right="307"/>
              <w:jc w:val="both"/>
              <w:rPr>
                <w:sz w:val="21"/>
              </w:rPr>
            </w:pPr>
            <w:r>
              <w:rPr>
                <w:sz w:val="21"/>
              </w:rPr>
              <w:t>为纠正冠状动脉的狭窄或堵塞，而实际实施的冠状动脉旁路移植手术。手术通过微创开胸术（肋骨间小切口）进行，且诊断须由冠状动脉血管造影检查确诊狭窄或堵塞。微创冠状动脉搭桥手术也包括“锁孔”冠状动脉搭桥手术。必须满足所有以下条件：</w:t>
            </w:r>
          </w:p>
          <w:p>
            <w:pPr>
              <w:pStyle w:val="TableParagraph"/>
              <w:spacing w:line="280" w:lineRule="exact"/>
              <w:ind w:left="101"/>
              <w:jc w:val="both"/>
              <w:rPr>
                <w:sz w:val="21"/>
              </w:rPr>
            </w:pPr>
            <w:r>
              <w:rPr>
                <w:sz w:val="21"/>
              </w:rPr>
              <w:t>（</w:t>
            </w:r>
            <w:r>
              <w:rPr>
                <w:rFonts w:ascii="Times New Roman" w:eastAsia="Times New Roman"/>
                <w:sz w:val="21"/>
              </w:rPr>
              <w:t>1</w:t>
            </w:r>
            <w:r>
              <w:rPr>
                <w:sz w:val="21"/>
              </w:rPr>
              <w:t>）血管造影显示至少两支冠状动脉狭窄超过 </w:t>
            </w:r>
            <w:r>
              <w:rPr>
                <w:rFonts w:ascii="Times New Roman" w:eastAsia="Times New Roman"/>
                <w:sz w:val="21"/>
              </w:rPr>
              <w:t>50%</w:t>
            </w:r>
            <w:r>
              <w:rPr>
                <w:sz w:val="21"/>
              </w:rPr>
              <w:t>或一支冠状动脉狭窄</w:t>
            </w:r>
          </w:p>
          <w:p>
            <w:pPr>
              <w:pStyle w:val="TableParagraph"/>
              <w:spacing w:line="278" w:lineRule="exact"/>
              <w:ind w:left="101"/>
              <w:jc w:val="both"/>
              <w:rPr>
                <w:sz w:val="21"/>
              </w:rPr>
            </w:pPr>
            <w:r>
              <w:rPr>
                <w:rFonts w:ascii="Times New Roman" w:eastAsia="Times New Roman"/>
                <w:sz w:val="21"/>
              </w:rPr>
              <w:t>70%</w:t>
            </w:r>
            <w:r>
              <w:rPr>
                <w:sz w:val="21"/>
              </w:rPr>
              <w:t>或更高；</w:t>
            </w:r>
          </w:p>
          <w:p>
            <w:pPr>
              <w:pStyle w:val="TableParagraph"/>
              <w:spacing w:line="288" w:lineRule="exact"/>
              <w:ind w:left="101"/>
              <w:jc w:val="both"/>
              <w:rPr>
                <w:sz w:val="21"/>
              </w:rPr>
            </w:pPr>
            <w:r>
              <w:rPr>
                <w:sz w:val="21"/>
              </w:rPr>
              <w:t>（</w:t>
            </w:r>
            <w:r>
              <w:rPr>
                <w:rFonts w:ascii="Times New Roman" w:eastAsia="Times New Roman"/>
                <w:sz w:val="21"/>
              </w:rPr>
              <w:t>2</w:t>
            </w:r>
            <w:r>
              <w:rPr>
                <w:sz w:val="21"/>
              </w:rPr>
              <w:t>）手术须由心脏专科的专科医生进行，并确认手术是必要的。</w:t>
            </w:r>
          </w:p>
        </w:tc>
      </w:tr>
      <w:tr>
        <w:trPr>
          <w:trHeight w:val="793" w:hRule="atLeast"/>
        </w:trPr>
        <w:tc>
          <w:tcPr>
            <w:tcW w:w="1795" w:type="dxa"/>
          </w:tcPr>
          <w:p>
            <w:pPr>
              <w:pStyle w:val="TableParagraph"/>
              <w:spacing w:before="100"/>
              <w:ind w:left="200"/>
              <w:rPr>
                <w:b/>
                <w:sz w:val="21"/>
              </w:rPr>
            </w:pPr>
            <w:r>
              <w:rPr>
                <w:rFonts w:ascii="Times New Roman" w:eastAsia="Times New Roman"/>
                <w:b/>
                <w:sz w:val="21"/>
              </w:rPr>
              <w:t>13.</w:t>
            </w:r>
            <w:r>
              <w:rPr>
                <w:b/>
                <w:sz w:val="21"/>
              </w:rPr>
              <w:t>一肢缺失</w:t>
            </w:r>
          </w:p>
        </w:tc>
        <w:tc>
          <w:tcPr>
            <w:tcW w:w="7158" w:type="dxa"/>
          </w:tcPr>
          <w:p>
            <w:pPr>
              <w:pStyle w:val="TableParagraph"/>
              <w:spacing w:line="237" w:lineRule="auto" w:before="102"/>
              <w:ind w:left="101" w:right="307"/>
              <w:rPr>
                <w:sz w:val="21"/>
              </w:rPr>
            </w:pPr>
            <w:r>
              <w:rPr>
                <w:sz w:val="21"/>
              </w:rPr>
              <w:t>指因疾病或者意外伤害导致一个肢体或一个以上肢体自腕关节或踝关节近端（靠近躯干端）以上完全断离。</w:t>
            </w:r>
          </w:p>
        </w:tc>
      </w:tr>
      <w:tr>
        <w:trPr>
          <w:trHeight w:val="1426" w:hRule="atLeast"/>
        </w:trPr>
        <w:tc>
          <w:tcPr>
            <w:tcW w:w="1795" w:type="dxa"/>
          </w:tcPr>
          <w:p>
            <w:pPr>
              <w:pStyle w:val="TableParagraph"/>
              <w:spacing w:line="282" w:lineRule="exact" w:before="90"/>
              <w:ind w:left="200"/>
              <w:rPr>
                <w:rFonts w:ascii="Times New Roman" w:eastAsia="Times New Roman"/>
                <w:b/>
                <w:sz w:val="21"/>
              </w:rPr>
            </w:pPr>
            <w:r>
              <w:rPr>
                <w:rFonts w:ascii="Times New Roman" w:eastAsia="Times New Roman"/>
                <w:b/>
                <w:sz w:val="21"/>
              </w:rPr>
              <w:t>14.</w:t>
            </w:r>
            <w:r>
              <w:rPr>
                <w:b/>
                <w:sz w:val="21"/>
              </w:rPr>
              <w:t>深度昏迷 </w:t>
            </w:r>
            <w:r>
              <w:rPr>
                <w:rFonts w:ascii="Times New Roman" w:eastAsia="Times New Roman"/>
                <w:b/>
                <w:sz w:val="21"/>
              </w:rPr>
              <w:t>72</w:t>
            </w:r>
          </w:p>
          <w:p>
            <w:pPr>
              <w:pStyle w:val="TableParagraph"/>
              <w:spacing w:line="266" w:lineRule="exact"/>
              <w:ind w:left="200"/>
              <w:rPr>
                <w:b/>
                <w:sz w:val="21"/>
              </w:rPr>
            </w:pPr>
            <w:r>
              <w:rPr>
                <w:b/>
                <w:sz w:val="21"/>
              </w:rPr>
              <w:t>小时</w:t>
            </w:r>
          </w:p>
        </w:tc>
        <w:tc>
          <w:tcPr>
            <w:tcW w:w="7158" w:type="dxa"/>
          </w:tcPr>
          <w:p>
            <w:pPr>
              <w:pStyle w:val="TableParagraph"/>
              <w:spacing w:line="225" w:lineRule="auto" w:before="108"/>
              <w:ind w:left="101" w:right="198"/>
              <w:rPr>
                <w:sz w:val="21"/>
              </w:rPr>
            </w:pPr>
            <w:r>
              <w:rPr>
                <w:sz w:val="21"/>
              </w:rPr>
              <w:t>指因疾病或意外伤害导致意识丧失</w:t>
            </w:r>
            <w:r>
              <w:rPr>
                <w:rFonts w:ascii="Times New Roman" w:eastAsia="Times New Roman"/>
                <w:spacing w:val="2"/>
                <w:sz w:val="21"/>
              </w:rPr>
              <w:t>,</w:t>
            </w:r>
            <w:r>
              <w:rPr>
                <w:sz w:val="21"/>
              </w:rPr>
              <w:t>对外界刺激和体内需求均无反应</w:t>
            </w:r>
            <w:r>
              <w:rPr>
                <w:rFonts w:ascii="Times New Roman" w:eastAsia="Times New Roman"/>
                <w:sz w:val="21"/>
              </w:rPr>
              <w:t>,</w:t>
            </w:r>
            <w:r>
              <w:rPr>
                <w:spacing w:val="2"/>
                <w:sz w:val="21"/>
              </w:rPr>
              <w:t>昏迷</w:t>
            </w:r>
            <w:r>
              <w:rPr>
                <w:spacing w:val="-8"/>
                <w:sz w:val="21"/>
              </w:rPr>
              <w:t>程度按照格拉斯哥昏迷分级</w:t>
            </w:r>
            <w:r>
              <w:rPr>
                <w:sz w:val="21"/>
              </w:rPr>
              <w:t>（</w:t>
            </w:r>
            <w:r>
              <w:rPr>
                <w:rFonts w:ascii="Times New Roman" w:eastAsia="Times New Roman"/>
                <w:sz w:val="21"/>
              </w:rPr>
              <w:t>Glasgow</w:t>
            </w:r>
            <w:r>
              <w:rPr>
                <w:rFonts w:ascii="Times New Roman" w:eastAsia="Times New Roman"/>
                <w:spacing w:val="1"/>
                <w:sz w:val="21"/>
              </w:rPr>
              <w:t> </w:t>
            </w:r>
            <w:r>
              <w:rPr>
                <w:rFonts w:ascii="Times New Roman" w:eastAsia="Times New Roman"/>
                <w:sz w:val="21"/>
              </w:rPr>
              <w:t>coma</w:t>
            </w:r>
            <w:r>
              <w:rPr>
                <w:rFonts w:ascii="Times New Roman" w:eastAsia="Times New Roman"/>
                <w:spacing w:val="3"/>
                <w:sz w:val="21"/>
              </w:rPr>
              <w:t> </w:t>
            </w:r>
            <w:r>
              <w:rPr>
                <w:rFonts w:ascii="Times New Roman" w:eastAsia="Times New Roman"/>
                <w:spacing w:val="-11"/>
                <w:sz w:val="21"/>
              </w:rPr>
              <w:t>scale</w:t>
            </w:r>
            <w:r>
              <w:rPr>
                <w:spacing w:val="-11"/>
                <w:sz w:val="21"/>
              </w:rPr>
              <w:t>）</w:t>
            </w:r>
            <w:r>
              <w:rPr>
                <w:spacing w:val="-14"/>
                <w:sz w:val="21"/>
              </w:rPr>
              <w:t>结果为 </w:t>
            </w:r>
            <w:r>
              <w:rPr>
                <w:rFonts w:ascii="Times New Roman" w:eastAsia="Times New Roman"/>
                <w:sz w:val="21"/>
              </w:rPr>
              <w:t>5 </w:t>
            </w:r>
            <w:r>
              <w:rPr>
                <w:spacing w:val="-18"/>
                <w:sz w:val="21"/>
              </w:rPr>
              <w:t>分或 </w:t>
            </w:r>
            <w:r>
              <w:rPr>
                <w:rFonts w:ascii="Times New Roman" w:eastAsia="Times New Roman"/>
                <w:sz w:val="21"/>
              </w:rPr>
              <w:t>5</w:t>
            </w:r>
            <w:r>
              <w:rPr>
                <w:rFonts w:ascii="Times New Roman" w:eastAsia="Times New Roman"/>
                <w:spacing w:val="3"/>
                <w:sz w:val="21"/>
              </w:rPr>
              <w:t> </w:t>
            </w:r>
            <w:r>
              <w:rPr>
                <w:spacing w:val="-3"/>
                <w:sz w:val="21"/>
              </w:rPr>
              <w:t>分以下， </w:t>
            </w:r>
            <w:r>
              <w:rPr>
                <w:spacing w:val="-5"/>
                <w:sz w:val="21"/>
              </w:rPr>
              <w:t>且已经持续使用呼吸机及其它生命维持系统达到 </w:t>
            </w:r>
            <w:r>
              <w:rPr>
                <w:rFonts w:ascii="Times New Roman" w:eastAsia="Times New Roman"/>
                <w:sz w:val="21"/>
              </w:rPr>
              <w:t>72</w:t>
            </w:r>
            <w:r>
              <w:rPr>
                <w:rFonts w:ascii="Times New Roman" w:eastAsia="Times New Roman"/>
                <w:spacing w:val="10"/>
                <w:sz w:val="21"/>
              </w:rPr>
              <w:t> </w:t>
            </w:r>
            <w:r>
              <w:rPr>
                <w:sz w:val="21"/>
              </w:rPr>
              <w:t>小时。</w:t>
            </w:r>
          </w:p>
          <w:p>
            <w:pPr>
              <w:pStyle w:val="TableParagraph"/>
              <w:spacing w:before="6"/>
              <w:rPr>
                <w:rFonts w:ascii="Times New Roman"/>
                <w:sz w:val="19"/>
              </w:rPr>
            </w:pPr>
          </w:p>
          <w:p>
            <w:pPr>
              <w:pStyle w:val="TableParagraph"/>
              <w:spacing w:line="255" w:lineRule="exact"/>
              <w:ind w:left="101"/>
              <w:rPr>
                <w:rFonts w:ascii="黑体" w:eastAsia="黑体" w:hint="eastAsia"/>
                <w:sz w:val="21"/>
              </w:rPr>
            </w:pPr>
            <w:r>
              <w:rPr>
                <w:rFonts w:ascii="黑体" w:eastAsia="黑体" w:hint="eastAsia"/>
                <w:sz w:val="21"/>
              </w:rPr>
              <w:t>因酗酒或药物滥用导致的深度昏迷不在保障范围内。</w:t>
            </w:r>
          </w:p>
        </w:tc>
      </w:tr>
    </w:tbl>
    <w:p>
      <w:pPr>
        <w:spacing w:after="0" w:line="255" w:lineRule="exact"/>
        <w:rPr>
          <w:rFonts w:ascii="黑体" w:eastAsia="黑体" w:hint="eastAsia"/>
          <w:sz w:val="21"/>
        </w:rPr>
        <w:sectPr>
          <w:pgSz w:w="11910" w:h="16840"/>
          <w:pgMar w:top="1060" w:bottom="280" w:left="1420" w:right="1320"/>
        </w:sectPr>
      </w:pPr>
    </w:p>
    <w:tbl>
      <w:tblPr>
        <w:tblW w:w="0" w:type="auto"/>
        <w:jc w:val="left"/>
        <w:tblInd w:w="1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789"/>
        <w:gridCol w:w="7162"/>
      </w:tblGrid>
      <w:tr>
        <w:trPr>
          <w:trHeight w:val="1695" w:hRule="atLeast"/>
        </w:trPr>
        <w:tc>
          <w:tcPr>
            <w:tcW w:w="1789" w:type="dxa"/>
          </w:tcPr>
          <w:p>
            <w:pPr>
              <w:pStyle w:val="TableParagraph"/>
              <w:spacing w:line="234" w:lineRule="exact"/>
              <w:ind w:left="200"/>
              <w:rPr>
                <w:b/>
                <w:sz w:val="21"/>
              </w:rPr>
            </w:pPr>
            <w:r>
              <w:rPr>
                <w:rFonts w:ascii="Times New Roman" w:eastAsia="Times New Roman"/>
                <w:b/>
                <w:sz w:val="21"/>
              </w:rPr>
              <w:t>15.</w:t>
            </w:r>
            <w:r>
              <w:rPr>
                <w:b/>
                <w:sz w:val="21"/>
              </w:rPr>
              <w:t>中度瘫痪</w:t>
            </w:r>
          </w:p>
        </w:tc>
        <w:tc>
          <w:tcPr>
            <w:tcW w:w="7162" w:type="dxa"/>
          </w:tcPr>
          <w:p>
            <w:pPr>
              <w:pStyle w:val="TableParagraph"/>
              <w:spacing w:line="216" w:lineRule="exact"/>
              <w:ind w:left="107"/>
              <w:rPr>
                <w:sz w:val="21"/>
              </w:rPr>
            </w:pPr>
            <w:r>
              <w:rPr>
                <w:sz w:val="21"/>
              </w:rPr>
              <w:t>指因疾病或者意外伤害导致一肢或一肢以上肢体机能永久完全丧失。肢体</w:t>
            </w:r>
          </w:p>
          <w:p>
            <w:pPr>
              <w:pStyle w:val="TableParagraph"/>
              <w:spacing w:line="225" w:lineRule="auto" w:before="15"/>
              <w:ind w:left="107" w:right="225"/>
              <w:rPr>
                <w:sz w:val="21"/>
              </w:rPr>
            </w:pPr>
            <w:r>
              <w:rPr>
                <w:sz w:val="21"/>
              </w:rPr>
              <w:t>机能永久完全丧失，指疾病确诊 </w:t>
            </w:r>
            <w:r>
              <w:rPr>
                <w:rFonts w:ascii="Times New Roman" w:eastAsia="Times New Roman"/>
                <w:sz w:val="21"/>
              </w:rPr>
              <w:t>180 </w:t>
            </w:r>
            <w:r>
              <w:rPr>
                <w:sz w:val="21"/>
              </w:rPr>
              <w:t>天后或意外伤害发生 </w:t>
            </w:r>
            <w:r>
              <w:rPr>
                <w:rFonts w:ascii="Times New Roman" w:eastAsia="Times New Roman"/>
                <w:sz w:val="21"/>
              </w:rPr>
              <w:t>180 </w:t>
            </w:r>
            <w:r>
              <w:rPr>
                <w:sz w:val="21"/>
              </w:rPr>
              <w:t>天后，每肢三大关节中的两大关节仍然完全僵硬，或不能随意识活动。</w:t>
            </w:r>
          </w:p>
          <w:p>
            <w:pPr>
              <w:pStyle w:val="TableParagraph"/>
              <w:spacing w:before="11"/>
              <w:rPr>
                <w:rFonts w:ascii="Times New Roman"/>
                <w:sz w:val="20"/>
              </w:rPr>
            </w:pPr>
          </w:p>
          <w:p>
            <w:pPr>
              <w:pStyle w:val="TableParagraph"/>
              <w:spacing w:line="237" w:lineRule="auto"/>
              <w:ind w:left="107" w:right="304"/>
              <w:rPr>
                <w:rFonts w:ascii="黑体" w:eastAsia="黑体" w:hint="eastAsia"/>
                <w:sz w:val="21"/>
              </w:rPr>
            </w:pPr>
            <w:r>
              <w:rPr>
                <w:rFonts w:ascii="黑体" w:eastAsia="黑体" w:hint="eastAsia"/>
                <w:sz w:val="21"/>
              </w:rPr>
              <w:t>自我伤害、局部瘫痪、病毒感染后的临时瘫痪，或由于心理疾病造成的机能丧失不在保障范围内。</w:t>
            </w:r>
          </w:p>
        </w:tc>
      </w:tr>
      <w:tr>
        <w:trPr>
          <w:trHeight w:val="2669" w:hRule="atLeast"/>
        </w:trPr>
        <w:tc>
          <w:tcPr>
            <w:tcW w:w="1789" w:type="dxa"/>
          </w:tcPr>
          <w:p>
            <w:pPr>
              <w:pStyle w:val="TableParagraph"/>
              <w:spacing w:line="225" w:lineRule="auto" w:before="108"/>
              <w:ind w:left="200" w:right="104"/>
              <w:rPr>
                <w:b/>
                <w:sz w:val="21"/>
              </w:rPr>
            </w:pPr>
            <w:r>
              <w:rPr>
                <w:rFonts w:ascii="Times New Roman" w:eastAsia="Times New Roman"/>
                <w:b/>
                <w:sz w:val="21"/>
              </w:rPr>
              <w:t>16. </w:t>
            </w:r>
            <w:r>
              <w:rPr>
                <w:b/>
                <w:sz w:val="21"/>
              </w:rPr>
              <w:t>中度阿尔茨海默病</w:t>
            </w:r>
          </w:p>
        </w:tc>
        <w:tc>
          <w:tcPr>
            <w:tcW w:w="7162" w:type="dxa"/>
          </w:tcPr>
          <w:p>
            <w:pPr>
              <w:pStyle w:val="TableParagraph"/>
              <w:spacing w:line="230" w:lineRule="auto" w:before="101"/>
              <w:ind w:left="107" w:right="300"/>
              <w:jc w:val="both"/>
              <w:rPr>
                <w:sz w:val="21"/>
              </w:rPr>
            </w:pPr>
            <w:r>
              <w:rPr>
                <w:spacing w:val="-3"/>
                <w:sz w:val="21"/>
              </w:rPr>
              <w:t>指因大脑进行性、不可逆性改变导致智能严重衰退或丧失，临床表现为明显的认知能力障碍、行为异常和社交能力减退，其日常生活必须持续受到</w:t>
            </w:r>
            <w:r>
              <w:rPr>
                <w:w w:val="100"/>
                <w:sz w:val="21"/>
              </w:rPr>
              <w:t>他人监护。须由头颅断层扫描</w:t>
            </w:r>
            <w:r>
              <w:rPr>
                <w:spacing w:val="1"/>
                <w:w w:val="100"/>
                <w:sz w:val="21"/>
              </w:rPr>
              <w:t>（</w:t>
            </w:r>
            <w:r>
              <w:rPr>
                <w:rFonts w:ascii="Times New Roman" w:eastAsia="Times New Roman"/>
                <w:w w:val="100"/>
                <w:sz w:val="21"/>
              </w:rPr>
              <w:t>CT</w:t>
            </w:r>
            <w:r>
              <w:rPr>
                <w:spacing w:val="-101"/>
                <w:w w:val="100"/>
                <w:sz w:val="21"/>
              </w:rPr>
              <w:t>）</w:t>
            </w:r>
            <w:r>
              <w:rPr>
                <w:w w:val="100"/>
                <w:sz w:val="21"/>
              </w:rPr>
              <w:t>、核磁共振检查</w:t>
            </w:r>
            <w:r>
              <w:rPr>
                <w:spacing w:val="2"/>
                <w:w w:val="100"/>
                <w:sz w:val="21"/>
              </w:rPr>
              <w:t>（</w:t>
            </w:r>
            <w:r>
              <w:rPr>
                <w:rFonts w:ascii="Times New Roman" w:eastAsia="Times New Roman"/>
                <w:w w:val="100"/>
                <w:sz w:val="21"/>
              </w:rPr>
              <w:t>MR</w:t>
            </w:r>
            <w:r>
              <w:rPr>
                <w:rFonts w:ascii="Times New Roman" w:eastAsia="Times New Roman"/>
                <w:spacing w:val="-1"/>
                <w:w w:val="100"/>
                <w:sz w:val="21"/>
              </w:rPr>
              <w:t>I</w:t>
            </w:r>
            <w:r>
              <w:rPr>
                <w:spacing w:val="1"/>
                <w:w w:val="100"/>
                <w:sz w:val="21"/>
              </w:rPr>
              <w:t>）或正电子发</w:t>
            </w:r>
            <w:r>
              <w:rPr>
                <w:sz w:val="21"/>
              </w:rPr>
              <w:t>射断层扫描（</w:t>
            </w:r>
            <w:r>
              <w:rPr>
                <w:rFonts w:ascii="Times New Roman" w:eastAsia="Times New Roman"/>
                <w:sz w:val="21"/>
              </w:rPr>
              <w:t>PET</w:t>
            </w:r>
            <w:r>
              <w:rPr>
                <w:sz w:val="21"/>
              </w:rPr>
              <w:t>）等影像学检查证实，且自主生活能力完全丧失，无法</w:t>
            </w:r>
            <w:r>
              <w:rPr>
                <w:spacing w:val="-3"/>
                <w:sz w:val="21"/>
              </w:rPr>
              <w:t>独立完成六项基本日常生活活动中的二项。</w:t>
            </w:r>
          </w:p>
          <w:p>
            <w:pPr>
              <w:pStyle w:val="TableParagraph"/>
              <w:spacing w:before="8"/>
              <w:rPr>
                <w:rFonts w:ascii="Times New Roman"/>
                <w:sz w:val="20"/>
              </w:rPr>
            </w:pPr>
          </w:p>
          <w:p>
            <w:pPr>
              <w:pStyle w:val="TableParagraph"/>
              <w:spacing w:line="274" w:lineRule="exact"/>
              <w:ind w:left="107"/>
              <w:jc w:val="both"/>
              <w:rPr>
                <w:rFonts w:ascii="黑体" w:eastAsia="黑体" w:hint="eastAsia"/>
                <w:sz w:val="21"/>
              </w:rPr>
            </w:pPr>
            <w:r>
              <w:rPr>
                <w:rFonts w:ascii="黑体" w:eastAsia="黑体" w:hint="eastAsia"/>
                <w:sz w:val="21"/>
              </w:rPr>
              <w:t>下列情况不在保障范围内：</w:t>
            </w:r>
          </w:p>
          <w:p>
            <w:pPr>
              <w:pStyle w:val="TableParagraph"/>
              <w:spacing w:line="280" w:lineRule="exact"/>
              <w:ind w:left="107"/>
              <w:jc w:val="both"/>
              <w:rPr>
                <w:rFonts w:ascii="黑体" w:eastAsia="黑体" w:hint="eastAsia"/>
                <w:sz w:val="21"/>
              </w:rPr>
            </w:pPr>
            <w:r>
              <w:rPr>
                <w:rFonts w:ascii="黑体" w:eastAsia="黑体" w:hint="eastAsia"/>
                <w:sz w:val="21"/>
              </w:rPr>
              <w:t>（</w:t>
            </w:r>
            <w:r>
              <w:rPr>
                <w:rFonts w:ascii="Times New Roman" w:eastAsia="Times New Roman"/>
                <w:sz w:val="21"/>
              </w:rPr>
              <w:t>1</w:t>
            </w:r>
            <w:r>
              <w:rPr>
                <w:rFonts w:ascii="黑体" w:eastAsia="黑体" w:hint="eastAsia"/>
                <w:sz w:val="21"/>
              </w:rPr>
              <w:t>）与酒精、药物滥用或获得性免疫缺陷综合症（</w:t>
            </w:r>
            <w:r>
              <w:rPr>
                <w:rFonts w:ascii="Times New Roman" w:eastAsia="Times New Roman"/>
                <w:sz w:val="21"/>
              </w:rPr>
              <w:t>AIDS</w:t>
            </w:r>
            <w:r>
              <w:rPr>
                <w:rFonts w:ascii="黑体" w:eastAsia="黑体" w:hint="eastAsia"/>
                <w:sz w:val="21"/>
              </w:rPr>
              <w:t>）相关的痴呆；</w:t>
            </w:r>
          </w:p>
          <w:p>
            <w:pPr>
              <w:pStyle w:val="TableParagraph"/>
              <w:spacing w:line="281" w:lineRule="exact"/>
              <w:ind w:left="107"/>
              <w:jc w:val="both"/>
              <w:rPr>
                <w:rFonts w:ascii="黑体" w:eastAsia="黑体" w:hint="eastAsia"/>
                <w:sz w:val="21"/>
              </w:rPr>
            </w:pPr>
            <w:r>
              <w:rPr>
                <w:rFonts w:ascii="黑体" w:eastAsia="黑体" w:hint="eastAsia"/>
                <w:sz w:val="21"/>
              </w:rPr>
              <w:t>（</w:t>
            </w:r>
            <w:r>
              <w:rPr>
                <w:rFonts w:ascii="Times New Roman" w:eastAsia="Times New Roman"/>
                <w:sz w:val="21"/>
              </w:rPr>
              <w:t>2</w:t>
            </w:r>
            <w:r>
              <w:rPr>
                <w:rFonts w:ascii="黑体" w:eastAsia="黑体" w:hint="eastAsia"/>
                <w:sz w:val="21"/>
              </w:rPr>
              <w:t>）神经官能症和精神疾病。</w:t>
            </w:r>
          </w:p>
        </w:tc>
      </w:tr>
      <w:tr>
        <w:trPr>
          <w:trHeight w:val="1877" w:hRule="atLeast"/>
        </w:trPr>
        <w:tc>
          <w:tcPr>
            <w:tcW w:w="1789" w:type="dxa"/>
          </w:tcPr>
          <w:p>
            <w:pPr>
              <w:pStyle w:val="TableParagraph"/>
              <w:spacing w:line="225" w:lineRule="auto" w:before="100"/>
              <w:ind w:left="200" w:right="104"/>
              <w:rPr>
                <w:b/>
                <w:sz w:val="21"/>
              </w:rPr>
            </w:pPr>
            <w:r>
              <w:rPr>
                <w:rFonts w:ascii="Times New Roman" w:eastAsia="Times New Roman"/>
                <w:b/>
                <w:sz w:val="21"/>
              </w:rPr>
              <w:t>17. </w:t>
            </w:r>
            <w:r>
              <w:rPr>
                <w:b/>
                <w:sz w:val="21"/>
              </w:rPr>
              <w:t>早期肌萎缩性侧索硬化症</w:t>
            </w:r>
          </w:p>
        </w:tc>
        <w:tc>
          <w:tcPr>
            <w:tcW w:w="7162" w:type="dxa"/>
          </w:tcPr>
          <w:p>
            <w:pPr>
              <w:pStyle w:val="TableParagraph"/>
              <w:spacing w:line="237" w:lineRule="auto" w:before="86"/>
              <w:ind w:left="107" w:right="197"/>
              <w:rPr>
                <w:sz w:val="21"/>
              </w:rPr>
            </w:pPr>
            <w:r>
              <w:rPr>
                <w:spacing w:val="-9"/>
                <w:sz w:val="21"/>
              </w:rPr>
              <w:t>以肌无力及萎缩为特征，并有以下情况作为证明：脊髓前角细胞功能失调、可见的肌肉颤动、痉挛、过度活跃之深层肌腱反射和外部足底反射、影响皮质脊髓束、构音障碍及吞咽困难。必须由专科医生明确诊断为进行性病变，并有肌电图等检查证实，必须造成神经系统永久性功能损害并且已导致被保险人自主生活能力完全丧失，无法独立完成六项基本日常生活活动</w:t>
            </w:r>
            <w:r>
              <w:rPr>
                <w:spacing w:val="-11"/>
                <w:sz w:val="21"/>
              </w:rPr>
              <w:t>中的二项持续达 </w:t>
            </w:r>
            <w:r>
              <w:rPr>
                <w:rFonts w:ascii="Times New Roman" w:eastAsia="Times New Roman"/>
                <w:sz w:val="21"/>
              </w:rPr>
              <w:t>180</w:t>
            </w:r>
            <w:r>
              <w:rPr>
                <w:rFonts w:ascii="Times New Roman" w:eastAsia="Times New Roman"/>
                <w:spacing w:val="3"/>
                <w:sz w:val="21"/>
              </w:rPr>
              <w:t> </w:t>
            </w:r>
            <w:r>
              <w:rPr>
                <w:spacing w:val="-2"/>
                <w:sz w:val="21"/>
              </w:rPr>
              <w:t>天以上。</w:t>
            </w:r>
          </w:p>
        </w:tc>
      </w:tr>
      <w:tr>
        <w:trPr>
          <w:trHeight w:val="1329" w:hRule="atLeast"/>
        </w:trPr>
        <w:tc>
          <w:tcPr>
            <w:tcW w:w="1789" w:type="dxa"/>
          </w:tcPr>
          <w:p>
            <w:pPr>
              <w:pStyle w:val="TableParagraph"/>
              <w:spacing w:line="223" w:lineRule="auto" w:before="103"/>
              <w:ind w:left="200" w:right="104"/>
              <w:rPr>
                <w:b/>
                <w:sz w:val="21"/>
              </w:rPr>
            </w:pPr>
            <w:r>
              <w:rPr>
                <w:rFonts w:ascii="Times New Roman" w:eastAsia="Times New Roman"/>
                <w:b/>
                <w:sz w:val="21"/>
              </w:rPr>
              <w:t>18. </w:t>
            </w:r>
            <w:r>
              <w:rPr>
                <w:b/>
                <w:sz w:val="21"/>
              </w:rPr>
              <w:t>人工耳蜗植入手术</w:t>
            </w:r>
          </w:p>
        </w:tc>
        <w:tc>
          <w:tcPr>
            <w:tcW w:w="7162" w:type="dxa"/>
          </w:tcPr>
          <w:p>
            <w:pPr>
              <w:pStyle w:val="TableParagraph"/>
              <w:spacing w:line="237" w:lineRule="auto" w:before="85"/>
              <w:ind w:left="107" w:right="305"/>
              <w:rPr>
                <w:sz w:val="21"/>
              </w:rPr>
            </w:pPr>
            <w:r>
              <w:rPr>
                <w:sz w:val="21"/>
              </w:rPr>
              <w:t>指由于耳蜗的永久损害而实际实施了人工耳蜗植入手术。手术需经专科医生确认是在医学上是必要的，且在植入手术之前已经符合以下全部条件：</w:t>
            </w:r>
          </w:p>
          <w:p>
            <w:pPr>
              <w:pStyle w:val="TableParagraph"/>
              <w:spacing w:line="280" w:lineRule="exact"/>
              <w:ind w:left="107"/>
              <w:rPr>
                <w:sz w:val="21"/>
              </w:rPr>
            </w:pPr>
            <w:r>
              <w:rPr>
                <w:sz w:val="21"/>
              </w:rPr>
              <w:t>（</w:t>
            </w:r>
            <w:r>
              <w:rPr>
                <w:rFonts w:ascii="Times New Roman" w:eastAsia="Times New Roman"/>
                <w:sz w:val="21"/>
              </w:rPr>
              <w:t>1</w:t>
            </w:r>
            <w:r>
              <w:rPr>
                <w:sz w:val="21"/>
              </w:rPr>
              <w:t>）双耳持续 </w:t>
            </w:r>
            <w:r>
              <w:rPr>
                <w:rFonts w:ascii="Times New Roman" w:eastAsia="Times New Roman"/>
                <w:sz w:val="21"/>
              </w:rPr>
              <w:t>12 </w:t>
            </w:r>
            <w:r>
              <w:rPr>
                <w:sz w:val="21"/>
              </w:rPr>
              <w:t>个月以上重度感音神经性耳聋；</w:t>
            </w:r>
          </w:p>
          <w:p>
            <w:pPr>
              <w:pStyle w:val="TableParagraph"/>
              <w:spacing w:line="281" w:lineRule="exact"/>
              <w:ind w:left="107"/>
              <w:rPr>
                <w:sz w:val="21"/>
              </w:rPr>
            </w:pPr>
            <w:r>
              <w:rPr>
                <w:sz w:val="21"/>
              </w:rPr>
              <w:t>（</w:t>
            </w:r>
            <w:r>
              <w:rPr>
                <w:rFonts w:ascii="Times New Roman" w:eastAsia="Times New Roman"/>
                <w:sz w:val="21"/>
              </w:rPr>
              <w:t>2</w:t>
            </w:r>
            <w:r>
              <w:rPr>
                <w:sz w:val="21"/>
              </w:rPr>
              <w:t>）使用相应的听力辅助设备效果不佳。</w:t>
            </w:r>
          </w:p>
        </w:tc>
      </w:tr>
      <w:tr>
        <w:trPr>
          <w:trHeight w:val="1877" w:hRule="atLeast"/>
        </w:trPr>
        <w:tc>
          <w:tcPr>
            <w:tcW w:w="1789" w:type="dxa"/>
          </w:tcPr>
          <w:p>
            <w:pPr>
              <w:pStyle w:val="TableParagraph"/>
              <w:spacing w:line="225" w:lineRule="auto" w:before="100"/>
              <w:ind w:left="200" w:right="104"/>
              <w:rPr>
                <w:b/>
                <w:sz w:val="21"/>
              </w:rPr>
            </w:pPr>
            <w:r>
              <w:rPr>
                <w:rFonts w:ascii="Times New Roman" w:eastAsia="Times New Roman"/>
                <w:b/>
                <w:sz w:val="21"/>
              </w:rPr>
              <w:t>19. </w:t>
            </w:r>
            <w:r>
              <w:rPr>
                <w:b/>
                <w:sz w:val="21"/>
              </w:rPr>
              <w:t>可逆性再生障碍性贫血</w:t>
            </w:r>
          </w:p>
        </w:tc>
        <w:tc>
          <w:tcPr>
            <w:tcW w:w="7162" w:type="dxa"/>
          </w:tcPr>
          <w:p>
            <w:pPr>
              <w:pStyle w:val="TableParagraph"/>
              <w:spacing w:line="237" w:lineRule="auto" w:before="85"/>
              <w:ind w:left="107" w:right="305"/>
              <w:jc w:val="both"/>
              <w:rPr>
                <w:sz w:val="21"/>
              </w:rPr>
            </w:pPr>
            <w:r>
              <w:rPr>
                <w:sz w:val="21"/>
              </w:rPr>
              <w:t>指因急性可逆性的骨髓造血功能衰竭而导致贫血、中性粒细胞减少和血小板减少，必须由血液科专科医生诊断，且病历资料显示接受了下列任一治疗：</w:t>
            </w:r>
          </w:p>
          <w:p>
            <w:pPr>
              <w:pStyle w:val="TableParagraph"/>
              <w:spacing w:line="280" w:lineRule="exact"/>
              <w:ind w:left="107"/>
              <w:jc w:val="both"/>
              <w:rPr>
                <w:sz w:val="21"/>
              </w:rPr>
            </w:pPr>
            <w:r>
              <w:rPr>
                <w:sz w:val="21"/>
              </w:rPr>
              <w:t>（</w:t>
            </w:r>
            <w:r>
              <w:rPr>
                <w:rFonts w:ascii="Times New Roman" w:eastAsia="Times New Roman"/>
                <w:sz w:val="21"/>
              </w:rPr>
              <w:t>1</w:t>
            </w:r>
            <w:r>
              <w:rPr>
                <w:sz w:val="21"/>
              </w:rPr>
              <w:t>）骨髓刺激疗法至少 </w:t>
            </w:r>
            <w:r>
              <w:rPr>
                <w:rFonts w:ascii="Times New Roman" w:eastAsia="Times New Roman"/>
                <w:sz w:val="21"/>
              </w:rPr>
              <w:t>1 </w:t>
            </w:r>
            <w:r>
              <w:rPr>
                <w:sz w:val="21"/>
              </w:rPr>
              <w:t>个月；</w:t>
            </w:r>
          </w:p>
          <w:p>
            <w:pPr>
              <w:pStyle w:val="TableParagraph"/>
              <w:spacing w:line="272" w:lineRule="exact"/>
              <w:ind w:left="107"/>
              <w:jc w:val="both"/>
              <w:rPr>
                <w:sz w:val="21"/>
              </w:rPr>
            </w:pPr>
            <w:r>
              <w:rPr>
                <w:sz w:val="21"/>
              </w:rPr>
              <w:t>（</w:t>
            </w:r>
            <w:r>
              <w:rPr>
                <w:rFonts w:ascii="Times New Roman" w:eastAsia="Times New Roman"/>
                <w:sz w:val="21"/>
              </w:rPr>
              <w:t>2</w:t>
            </w:r>
            <w:r>
              <w:rPr>
                <w:sz w:val="21"/>
              </w:rPr>
              <w:t>）免疫抑制剂治疗至少 </w:t>
            </w:r>
            <w:r>
              <w:rPr>
                <w:rFonts w:ascii="Times New Roman" w:eastAsia="Times New Roman"/>
                <w:sz w:val="21"/>
              </w:rPr>
              <w:t>1 </w:t>
            </w:r>
            <w:r>
              <w:rPr>
                <w:sz w:val="21"/>
              </w:rPr>
              <w:t>个月；</w:t>
            </w:r>
          </w:p>
          <w:p>
            <w:pPr>
              <w:pStyle w:val="TableParagraph"/>
              <w:spacing w:line="282" w:lineRule="exact"/>
              <w:ind w:left="107"/>
              <w:jc w:val="both"/>
              <w:rPr>
                <w:sz w:val="21"/>
              </w:rPr>
            </w:pPr>
            <w:r>
              <w:rPr>
                <w:sz w:val="21"/>
              </w:rPr>
              <w:t>（</w:t>
            </w:r>
            <w:r>
              <w:rPr>
                <w:rFonts w:ascii="Times New Roman" w:eastAsia="Times New Roman"/>
                <w:sz w:val="21"/>
              </w:rPr>
              <w:t>3</w:t>
            </w:r>
            <w:r>
              <w:rPr>
                <w:sz w:val="21"/>
              </w:rPr>
              <w:t>）接受了骨髓移植。</w:t>
            </w:r>
          </w:p>
        </w:tc>
      </w:tr>
      <w:tr>
        <w:trPr>
          <w:trHeight w:val="1447" w:hRule="atLeast"/>
        </w:trPr>
        <w:tc>
          <w:tcPr>
            <w:tcW w:w="1789" w:type="dxa"/>
          </w:tcPr>
          <w:p>
            <w:pPr>
              <w:pStyle w:val="TableParagraph"/>
              <w:spacing w:line="223" w:lineRule="auto" w:before="103"/>
              <w:ind w:left="200" w:right="104"/>
              <w:rPr>
                <w:b/>
                <w:sz w:val="21"/>
              </w:rPr>
            </w:pPr>
            <w:r>
              <w:rPr>
                <w:rFonts w:ascii="Times New Roman" w:eastAsia="Times New Roman"/>
                <w:b/>
                <w:sz w:val="21"/>
              </w:rPr>
              <w:t>20. </w:t>
            </w:r>
            <w:r>
              <w:rPr>
                <w:b/>
                <w:sz w:val="21"/>
              </w:rPr>
              <w:t>早期进行性延髓麻痹症</w:t>
            </w:r>
          </w:p>
        </w:tc>
        <w:tc>
          <w:tcPr>
            <w:tcW w:w="7162" w:type="dxa"/>
          </w:tcPr>
          <w:p>
            <w:pPr>
              <w:pStyle w:val="TableParagraph"/>
              <w:spacing w:line="237" w:lineRule="auto" w:before="85"/>
              <w:ind w:left="107" w:right="301"/>
              <w:jc w:val="both"/>
              <w:rPr>
                <w:sz w:val="21"/>
              </w:rPr>
            </w:pPr>
            <w:r>
              <w:rPr>
                <w:spacing w:val="-3"/>
                <w:sz w:val="21"/>
              </w:rPr>
              <w:t>指由颅神经和皮质延髓束所支配的肌肉发生进行性退化，导致咀嚼、吞咽与谈话困难。必须由专科医生明确诊断为进行性病变，并有肌电图等检查证实，必须造成神经系统永久性功能损害并且已导致被保险人自主生活能</w:t>
            </w:r>
            <w:r>
              <w:rPr>
                <w:spacing w:val="-4"/>
                <w:sz w:val="21"/>
              </w:rPr>
              <w:t>力完全丧失，无法独立完成六项基本日常生活活动中的二项持续达 </w:t>
            </w:r>
            <w:r>
              <w:rPr>
                <w:rFonts w:ascii="Times New Roman" w:eastAsia="Times New Roman"/>
                <w:sz w:val="21"/>
              </w:rPr>
              <w:t>180 </w:t>
            </w:r>
            <w:r>
              <w:rPr>
                <w:sz w:val="21"/>
              </w:rPr>
              <w:t>天</w:t>
            </w:r>
          </w:p>
          <w:p>
            <w:pPr>
              <w:pStyle w:val="TableParagraph"/>
              <w:spacing w:line="238" w:lineRule="exact"/>
              <w:ind w:left="107"/>
              <w:jc w:val="both"/>
              <w:rPr>
                <w:sz w:val="21"/>
              </w:rPr>
            </w:pPr>
            <w:r>
              <w:rPr>
                <w:sz w:val="21"/>
              </w:rPr>
              <w:t>以上。</w:t>
            </w:r>
          </w:p>
        </w:tc>
      </w:tr>
    </w:tbl>
    <w:p>
      <w:pPr>
        <w:spacing w:after="0" w:line="238" w:lineRule="exact"/>
        <w:jc w:val="both"/>
        <w:rPr>
          <w:sz w:val="21"/>
        </w:rPr>
        <w:sectPr>
          <w:pgSz w:w="11910" w:h="16840"/>
          <w:pgMar w:top="1060" w:bottom="280" w:left="1420" w:right="1320"/>
        </w:sectPr>
      </w:pPr>
    </w:p>
    <w:p>
      <w:pPr>
        <w:tabs>
          <w:tab w:pos="1165" w:val="left" w:leader="none"/>
          <w:tab w:pos="2862" w:val="left" w:leader="none"/>
        </w:tabs>
        <w:spacing w:before="26"/>
        <w:ind w:left="109" w:right="0" w:firstLine="0"/>
        <w:jc w:val="left"/>
        <w:rPr>
          <w:sz w:val="21"/>
        </w:rPr>
      </w:pPr>
      <w:r>
        <w:rPr>
          <w:b/>
          <w:sz w:val="21"/>
        </w:rPr>
        <w:t>附表三：</w:t>
        <w:tab/>
        <w:t>重大疾病分组</w:t>
        <w:tab/>
      </w:r>
      <w:r>
        <w:rPr>
          <w:sz w:val="21"/>
        </w:rPr>
        <w:t>本合</w:t>
      </w:r>
      <w:r>
        <w:rPr>
          <w:spacing w:val="-3"/>
          <w:sz w:val="21"/>
        </w:rPr>
        <w:t>同</w:t>
      </w:r>
      <w:r>
        <w:rPr>
          <w:sz w:val="21"/>
        </w:rPr>
        <w:t>所</w:t>
      </w:r>
      <w:r>
        <w:rPr>
          <w:spacing w:val="-3"/>
          <w:sz w:val="21"/>
        </w:rPr>
        <w:t>承</w:t>
      </w:r>
      <w:r>
        <w:rPr>
          <w:sz w:val="21"/>
        </w:rPr>
        <w:t>保</w:t>
      </w:r>
      <w:r>
        <w:rPr>
          <w:spacing w:val="-3"/>
          <w:sz w:val="21"/>
        </w:rPr>
        <w:t>的</w:t>
      </w:r>
      <w:r>
        <w:rPr>
          <w:sz w:val="21"/>
        </w:rPr>
        <w:t>所</w:t>
      </w:r>
      <w:r>
        <w:rPr>
          <w:spacing w:val="-3"/>
          <w:sz w:val="21"/>
        </w:rPr>
        <w:t>有</w:t>
      </w:r>
      <w:r>
        <w:rPr>
          <w:sz w:val="21"/>
        </w:rPr>
        <w:t>重</w:t>
      </w:r>
      <w:r>
        <w:rPr>
          <w:spacing w:val="-3"/>
          <w:sz w:val="21"/>
        </w:rPr>
        <w:t>大</w:t>
      </w:r>
      <w:r>
        <w:rPr>
          <w:sz w:val="21"/>
        </w:rPr>
        <w:t>疾病</w:t>
      </w:r>
      <w:r>
        <w:rPr>
          <w:spacing w:val="-3"/>
          <w:sz w:val="21"/>
        </w:rPr>
        <w:t>分</w:t>
      </w:r>
      <w:r>
        <w:rPr>
          <w:sz w:val="21"/>
        </w:rPr>
        <w:t>为</w:t>
      </w:r>
      <w:r>
        <w:rPr>
          <w:spacing w:val="-3"/>
          <w:sz w:val="21"/>
        </w:rPr>
        <w:t>以</w:t>
      </w:r>
      <w:r>
        <w:rPr>
          <w:sz w:val="21"/>
        </w:rPr>
        <w:t>下</w:t>
      </w:r>
      <w:r>
        <w:rPr>
          <w:spacing w:val="-3"/>
          <w:sz w:val="21"/>
        </w:rPr>
        <w:t>两</w:t>
      </w:r>
      <w:r>
        <w:rPr>
          <w:sz w:val="21"/>
        </w:rPr>
        <w:t>组：</w:t>
      </w:r>
    </w:p>
    <w:p>
      <w:pPr>
        <w:pStyle w:val="BodyText"/>
        <w:rPr>
          <w:sz w:val="28"/>
        </w:rPr>
      </w:pPr>
    </w:p>
    <w:tbl>
      <w:tblPr>
        <w:tblW w:w="0" w:type="auto"/>
        <w:jc w:val="left"/>
        <w:tblInd w:w="7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4410"/>
        <w:gridCol w:w="4820"/>
      </w:tblGrid>
      <w:tr>
        <w:trPr>
          <w:trHeight w:val="285" w:hRule="atLeast"/>
        </w:trPr>
        <w:tc>
          <w:tcPr>
            <w:tcW w:w="4410" w:type="dxa"/>
          </w:tcPr>
          <w:p>
            <w:pPr>
              <w:pStyle w:val="TableParagraph"/>
              <w:spacing w:line="257" w:lineRule="exact"/>
              <w:ind w:left="1977" w:right="1968"/>
              <w:jc w:val="center"/>
              <w:rPr>
                <w:b/>
                <w:sz w:val="21"/>
              </w:rPr>
            </w:pPr>
            <w:r>
              <w:rPr>
                <w:rFonts w:ascii="Times New Roman" w:eastAsia="Times New Roman"/>
                <w:b/>
                <w:sz w:val="21"/>
              </w:rPr>
              <w:t>A </w:t>
            </w:r>
            <w:r>
              <w:rPr>
                <w:b/>
                <w:sz w:val="21"/>
              </w:rPr>
              <w:t>组</w:t>
            </w:r>
          </w:p>
        </w:tc>
        <w:tc>
          <w:tcPr>
            <w:tcW w:w="4820" w:type="dxa"/>
          </w:tcPr>
          <w:p>
            <w:pPr>
              <w:pStyle w:val="TableParagraph"/>
              <w:spacing w:line="257" w:lineRule="exact"/>
              <w:ind w:left="2187" w:right="2178"/>
              <w:jc w:val="center"/>
              <w:rPr>
                <w:b/>
                <w:sz w:val="21"/>
              </w:rPr>
            </w:pPr>
            <w:r>
              <w:rPr>
                <w:rFonts w:ascii="Times New Roman" w:eastAsia="Times New Roman"/>
                <w:b/>
                <w:sz w:val="21"/>
              </w:rPr>
              <w:t>B </w:t>
            </w:r>
            <w:r>
              <w:rPr>
                <w:b/>
                <w:sz w:val="21"/>
              </w:rPr>
              <w:t>组</w:t>
            </w:r>
          </w:p>
        </w:tc>
      </w:tr>
      <w:tr>
        <w:trPr>
          <w:trHeight w:val="285" w:hRule="atLeast"/>
        </w:trPr>
        <w:tc>
          <w:tcPr>
            <w:tcW w:w="4410" w:type="dxa"/>
          </w:tcPr>
          <w:p>
            <w:pPr>
              <w:pStyle w:val="TableParagraph"/>
              <w:spacing w:line="241" w:lineRule="exact"/>
              <w:ind w:left="108"/>
              <w:rPr>
                <w:b/>
                <w:sz w:val="21"/>
              </w:rPr>
            </w:pPr>
            <w:r>
              <w:rPr>
                <w:b/>
                <w:sz w:val="21"/>
              </w:rPr>
              <w:t>恶性肿瘤</w:t>
            </w:r>
          </w:p>
        </w:tc>
        <w:tc>
          <w:tcPr>
            <w:tcW w:w="4820" w:type="dxa"/>
          </w:tcPr>
          <w:p>
            <w:pPr>
              <w:pStyle w:val="TableParagraph"/>
              <w:spacing w:line="248" w:lineRule="exact"/>
              <w:ind w:left="107"/>
              <w:rPr>
                <w:b/>
                <w:sz w:val="21"/>
              </w:rPr>
            </w:pPr>
            <w:r>
              <w:rPr>
                <w:b/>
                <w:sz w:val="21"/>
              </w:rPr>
              <w:t>脑炎后遗症或脑膜炎后遗症</w:t>
            </w:r>
          </w:p>
        </w:tc>
      </w:tr>
      <w:tr>
        <w:trPr>
          <w:trHeight w:val="285" w:hRule="atLeast"/>
        </w:trPr>
        <w:tc>
          <w:tcPr>
            <w:tcW w:w="4410" w:type="dxa"/>
          </w:tcPr>
          <w:p>
            <w:pPr>
              <w:pStyle w:val="TableParagraph"/>
              <w:spacing w:line="241" w:lineRule="exact"/>
              <w:ind w:left="108"/>
              <w:rPr>
                <w:b/>
                <w:sz w:val="21"/>
              </w:rPr>
            </w:pPr>
            <w:r>
              <w:rPr>
                <w:b/>
                <w:sz w:val="21"/>
              </w:rPr>
              <w:t>嗜铬细胞瘤</w:t>
            </w:r>
          </w:p>
        </w:tc>
        <w:tc>
          <w:tcPr>
            <w:tcW w:w="4820" w:type="dxa"/>
          </w:tcPr>
          <w:p>
            <w:pPr>
              <w:pStyle w:val="TableParagraph"/>
              <w:spacing w:line="248" w:lineRule="exact"/>
              <w:ind w:left="107"/>
              <w:rPr>
                <w:b/>
                <w:sz w:val="21"/>
              </w:rPr>
            </w:pPr>
            <w:r>
              <w:rPr>
                <w:b/>
                <w:sz w:val="21"/>
              </w:rPr>
              <w:t>严重运动神经元病</w:t>
            </w:r>
          </w:p>
        </w:tc>
      </w:tr>
      <w:tr>
        <w:trPr>
          <w:trHeight w:val="285" w:hRule="atLeast"/>
        </w:trPr>
        <w:tc>
          <w:tcPr>
            <w:tcW w:w="4410" w:type="dxa"/>
          </w:tcPr>
          <w:p>
            <w:pPr>
              <w:pStyle w:val="TableParagraph"/>
              <w:spacing w:line="241" w:lineRule="exact"/>
              <w:ind w:left="108"/>
              <w:rPr>
                <w:b/>
                <w:sz w:val="21"/>
              </w:rPr>
            </w:pPr>
            <w:r>
              <w:rPr>
                <w:b/>
                <w:sz w:val="21"/>
              </w:rPr>
              <w:t>侵蚀性葡萄胎（或者称恶性葡萄胎）</w:t>
            </w:r>
          </w:p>
        </w:tc>
        <w:tc>
          <w:tcPr>
            <w:tcW w:w="4820" w:type="dxa"/>
          </w:tcPr>
          <w:p>
            <w:pPr>
              <w:pStyle w:val="TableParagraph"/>
              <w:spacing w:line="248" w:lineRule="exact"/>
              <w:ind w:left="107"/>
              <w:rPr>
                <w:b/>
                <w:sz w:val="21"/>
              </w:rPr>
            </w:pPr>
            <w:r>
              <w:rPr>
                <w:b/>
                <w:sz w:val="21"/>
              </w:rPr>
              <w:t>严重阿尔茨海默病</w:t>
            </w:r>
          </w:p>
        </w:tc>
      </w:tr>
      <w:tr>
        <w:trPr>
          <w:trHeight w:val="299" w:hRule="atLeast"/>
        </w:trPr>
        <w:tc>
          <w:tcPr>
            <w:tcW w:w="4410" w:type="dxa"/>
          </w:tcPr>
          <w:p>
            <w:pPr>
              <w:pStyle w:val="TableParagraph"/>
              <w:spacing w:line="241" w:lineRule="exact"/>
              <w:ind w:left="108"/>
              <w:rPr>
                <w:b/>
                <w:sz w:val="21"/>
              </w:rPr>
            </w:pPr>
            <w:r>
              <w:rPr>
                <w:b/>
                <w:sz w:val="21"/>
              </w:rPr>
              <w:t>重大器官移植术或造血干细胞移植术</w:t>
            </w:r>
          </w:p>
        </w:tc>
        <w:tc>
          <w:tcPr>
            <w:tcW w:w="4820" w:type="dxa"/>
          </w:tcPr>
          <w:p>
            <w:pPr>
              <w:pStyle w:val="TableParagraph"/>
              <w:spacing w:line="255" w:lineRule="exact"/>
              <w:ind w:left="107"/>
              <w:rPr>
                <w:b/>
                <w:sz w:val="21"/>
              </w:rPr>
            </w:pPr>
            <w:r>
              <w:rPr>
                <w:b/>
                <w:sz w:val="21"/>
              </w:rPr>
              <w:t>良性脑肿瘤</w:t>
            </w:r>
          </w:p>
        </w:tc>
      </w:tr>
      <w:tr>
        <w:trPr>
          <w:trHeight w:val="285" w:hRule="atLeast"/>
        </w:trPr>
        <w:tc>
          <w:tcPr>
            <w:tcW w:w="4410" w:type="dxa"/>
          </w:tcPr>
          <w:p>
            <w:pPr>
              <w:pStyle w:val="TableParagraph"/>
              <w:spacing w:line="241" w:lineRule="exact"/>
              <w:ind w:left="108"/>
              <w:rPr>
                <w:b/>
                <w:sz w:val="21"/>
              </w:rPr>
            </w:pPr>
            <w:r>
              <w:rPr>
                <w:b/>
                <w:sz w:val="21"/>
              </w:rPr>
              <w:t>终末期肾病（或称慢性肾功能衰竭尿毒症期）</w:t>
            </w:r>
          </w:p>
        </w:tc>
        <w:tc>
          <w:tcPr>
            <w:tcW w:w="4820" w:type="dxa"/>
          </w:tcPr>
          <w:p>
            <w:pPr>
              <w:pStyle w:val="TableParagraph"/>
              <w:spacing w:line="248" w:lineRule="exact"/>
              <w:ind w:left="107"/>
              <w:rPr>
                <w:b/>
                <w:sz w:val="21"/>
              </w:rPr>
            </w:pPr>
            <w:r>
              <w:rPr>
                <w:b/>
                <w:sz w:val="21"/>
              </w:rPr>
              <w:t>脑中风后遗症</w:t>
            </w:r>
          </w:p>
        </w:tc>
      </w:tr>
      <w:tr>
        <w:trPr>
          <w:trHeight w:val="285" w:hRule="atLeast"/>
        </w:trPr>
        <w:tc>
          <w:tcPr>
            <w:tcW w:w="4410" w:type="dxa"/>
          </w:tcPr>
          <w:p>
            <w:pPr>
              <w:pStyle w:val="TableParagraph"/>
              <w:spacing w:line="241" w:lineRule="exact"/>
              <w:ind w:left="108"/>
              <w:rPr>
                <w:b/>
                <w:sz w:val="21"/>
              </w:rPr>
            </w:pPr>
            <w:r>
              <w:rPr>
                <w:b/>
                <w:sz w:val="21"/>
              </w:rPr>
              <w:t>急性或亚急性重症肝炎</w:t>
            </w:r>
          </w:p>
        </w:tc>
        <w:tc>
          <w:tcPr>
            <w:tcW w:w="4820" w:type="dxa"/>
          </w:tcPr>
          <w:p>
            <w:pPr>
              <w:pStyle w:val="TableParagraph"/>
              <w:spacing w:line="248" w:lineRule="exact"/>
              <w:ind w:left="107"/>
              <w:rPr>
                <w:b/>
                <w:sz w:val="21"/>
              </w:rPr>
            </w:pPr>
            <w:r>
              <w:rPr>
                <w:b/>
                <w:sz w:val="21"/>
              </w:rPr>
              <w:t>植物人状态</w:t>
            </w:r>
          </w:p>
        </w:tc>
      </w:tr>
      <w:tr>
        <w:trPr>
          <w:trHeight w:val="285" w:hRule="atLeast"/>
        </w:trPr>
        <w:tc>
          <w:tcPr>
            <w:tcW w:w="4410" w:type="dxa"/>
          </w:tcPr>
          <w:p>
            <w:pPr>
              <w:pStyle w:val="TableParagraph"/>
              <w:spacing w:line="241" w:lineRule="exact"/>
              <w:ind w:left="108"/>
              <w:rPr>
                <w:b/>
                <w:sz w:val="21"/>
              </w:rPr>
            </w:pPr>
            <w:r>
              <w:rPr>
                <w:b/>
                <w:sz w:val="21"/>
              </w:rPr>
              <w:t>慢性肝功能衰竭失代偿期</w:t>
            </w:r>
          </w:p>
        </w:tc>
        <w:tc>
          <w:tcPr>
            <w:tcW w:w="4820" w:type="dxa"/>
          </w:tcPr>
          <w:p>
            <w:pPr>
              <w:pStyle w:val="TableParagraph"/>
              <w:spacing w:line="248" w:lineRule="exact"/>
              <w:ind w:left="107"/>
              <w:rPr>
                <w:b/>
                <w:sz w:val="21"/>
              </w:rPr>
            </w:pPr>
            <w:r>
              <w:rPr>
                <w:b/>
                <w:sz w:val="21"/>
              </w:rPr>
              <w:t>颅脑手术</w:t>
            </w:r>
          </w:p>
        </w:tc>
      </w:tr>
      <w:tr>
        <w:trPr>
          <w:trHeight w:val="285" w:hRule="atLeast"/>
        </w:trPr>
        <w:tc>
          <w:tcPr>
            <w:tcW w:w="4410" w:type="dxa"/>
          </w:tcPr>
          <w:p>
            <w:pPr>
              <w:pStyle w:val="TableParagraph"/>
              <w:spacing w:line="241" w:lineRule="exact"/>
              <w:ind w:left="108"/>
              <w:rPr>
                <w:b/>
                <w:sz w:val="21"/>
              </w:rPr>
            </w:pPr>
            <w:r>
              <w:rPr>
                <w:b/>
                <w:sz w:val="21"/>
              </w:rPr>
              <w:t>重型再生障碍性贫血</w:t>
            </w:r>
          </w:p>
        </w:tc>
        <w:tc>
          <w:tcPr>
            <w:tcW w:w="4820" w:type="dxa"/>
          </w:tcPr>
          <w:p>
            <w:pPr>
              <w:pStyle w:val="TableParagraph"/>
              <w:spacing w:line="248" w:lineRule="exact"/>
              <w:ind w:left="107"/>
              <w:rPr>
                <w:b/>
                <w:sz w:val="21"/>
              </w:rPr>
            </w:pPr>
            <w:r>
              <w:rPr>
                <w:b/>
                <w:sz w:val="21"/>
              </w:rPr>
              <w:t>深度昏迷</w:t>
            </w:r>
          </w:p>
        </w:tc>
      </w:tr>
      <w:tr>
        <w:trPr>
          <w:trHeight w:val="285" w:hRule="atLeast"/>
        </w:trPr>
        <w:tc>
          <w:tcPr>
            <w:tcW w:w="4410" w:type="dxa"/>
          </w:tcPr>
          <w:p>
            <w:pPr>
              <w:pStyle w:val="TableParagraph"/>
              <w:spacing w:line="256" w:lineRule="exact"/>
              <w:ind w:left="108"/>
              <w:rPr>
                <w:b/>
                <w:sz w:val="21"/>
              </w:rPr>
            </w:pPr>
            <w:r>
              <w:rPr>
                <w:b/>
                <w:sz w:val="21"/>
              </w:rPr>
              <w:t>器官移植导致的 </w:t>
            </w:r>
            <w:r>
              <w:rPr>
                <w:rFonts w:ascii="Times New Roman" w:eastAsia="Times New Roman"/>
                <w:b/>
                <w:sz w:val="21"/>
              </w:rPr>
              <w:t>HIV </w:t>
            </w:r>
            <w:r>
              <w:rPr>
                <w:b/>
                <w:sz w:val="21"/>
              </w:rPr>
              <w:t>感染</w:t>
            </w:r>
          </w:p>
        </w:tc>
        <w:tc>
          <w:tcPr>
            <w:tcW w:w="4820" w:type="dxa"/>
          </w:tcPr>
          <w:p>
            <w:pPr>
              <w:pStyle w:val="TableParagraph"/>
              <w:spacing w:line="245" w:lineRule="exact"/>
              <w:ind w:left="107"/>
              <w:rPr>
                <w:b/>
                <w:sz w:val="21"/>
              </w:rPr>
            </w:pPr>
            <w:r>
              <w:rPr>
                <w:b/>
                <w:sz w:val="21"/>
              </w:rPr>
              <w:t>严重脑损伤</w:t>
            </w:r>
          </w:p>
        </w:tc>
      </w:tr>
      <w:tr>
        <w:trPr>
          <w:trHeight w:val="282" w:hRule="atLeast"/>
        </w:trPr>
        <w:tc>
          <w:tcPr>
            <w:tcW w:w="4410" w:type="dxa"/>
          </w:tcPr>
          <w:p>
            <w:pPr>
              <w:pStyle w:val="TableParagraph"/>
              <w:spacing w:line="241" w:lineRule="exact"/>
              <w:ind w:left="108"/>
              <w:rPr>
                <w:b/>
                <w:sz w:val="21"/>
              </w:rPr>
            </w:pPr>
            <w:r>
              <w:rPr>
                <w:b/>
                <w:sz w:val="21"/>
              </w:rPr>
              <w:t>严重原发性骨髓纤维化</w:t>
            </w:r>
          </w:p>
        </w:tc>
        <w:tc>
          <w:tcPr>
            <w:tcW w:w="4820" w:type="dxa"/>
          </w:tcPr>
          <w:p>
            <w:pPr>
              <w:pStyle w:val="TableParagraph"/>
              <w:spacing w:line="245" w:lineRule="exact"/>
              <w:ind w:left="107"/>
              <w:rPr>
                <w:b/>
                <w:sz w:val="21"/>
              </w:rPr>
            </w:pPr>
            <w:r>
              <w:rPr>
                <w:b/>
                <w:sz w:val="21"/>
              </w:rPr>
              <w:t>进行性核上性麻痹</w:t>
            </w:r>
          </w:p>
        </w:tc>
      </w:tr>
      <w:tr>
        <w:trPr>
          <w:trHeight w:val="285" w:hRule="atLeast"/>
        </w:trPr>
        <w:tc>
          <w:tcPr>
            <w:tcW w:w="4410" w:type="dxa"/>
          </w:tcPr>
          <w:p>
            <w:pPr>
              <w:pStyle w:val="TableParagraph"/>
              <w:spacing w:line="243" w:lineRule="exact"/>
              <w:ind w:left="108"/>
              <w:rPr>
                <w:b/>
                <w:sz w:val="21"/>
              </w:rPr>
            </w:pPr>
            <w:r>
              <w:rPr>
                <w:b/>
                <w:sz w:val="21"/>
              </w:rPr>
              <w:t>慢性呼吸功能衰竭</w:t>
            </w:r>
          </w:p>
        </w:tc>
        <w:tc>
          <w:tcPr>
            <w:tcW w:w="4820" w:type="dxa"/>
          </w:tcPr>
          <w:p>
            <w:pPr>
              <w:pStyle w:val="TableParagraph"/>
              <w:spacing w:line="248" w:lineRule="exact"/>
              <w:ind w:left="107"/>
              <w:rPr>
                <w:b/>
                <w:sz w:val="21"/>
              </w:rPr>
            </w:pPr>
            <w:r>
              <w:rPr>
                <w:b/>
                <w:sz w:val="21"/>
              </w:rPr>
              <w:t>非阿尔茨海默病所致严重痴呆</w:t>
            </w:r>
          </w:p>
        </w:tc>
      </w:tr>
      <w:tr>
        <w:trPr>
          <w:trHeight w:val="285" w:hRule="atLeast"/>
        </w:trPr>
        <w:tc>
          <w:tcPr>
            <w:tcW w:w="4410" w:type="dxa"/>
          </w:tcPr>
          <w:p>
            <w:pPr>
              <w:pStyle w:val="TableParagraph"/>
              <w:spacing w:line="243" w:lineRule="exact"/>
              <w:ind w:left="108"/>
              <w:rPr>
                <w:b/>
                <w:sz w:val="21"/>
              </w:rPr>
            </w:pPr>
            <w:r>
              <w:rPr>
                <w:b/>
                <w:sz w:val="21"/>
              </w:rPr>
              <w:t>胰腺移植</w:t>
            </w:r>
          </w:p>
        </w:tc>
        <w:tc>
          <w:tcPr>
            <w:tcW w:w="4820" w:type="dxa"/>
          </w:tcPr>
          <w:p>
            <w:pPr>
              <w:pStyle w:val="TableParagraph"/>
              <w:spacing w:line="248" w:lineRule="exact"/>
              <w:ind w:left="107"/>
              <w:rPr>
                <w:b/>
                <w:sz w:val="21"/>
              </w:rPr>
            </w:pPr>
            <w:r>
              <w:rPr>
                <w:b/>
                <w:sz w:val="21"/>
              </w:rPr>
              <w:t>多发性硬化症</w:t>
            </w:r>
          </w:p>
        </w:tc>
      </w:tr>
      <w:tr>
        <w:trPr>
          <w:trHeight w:val="285" w:hRule="atLeast"/>
        </w:trPr>
        <w:tc>
          <w:tcPr>
            <w:tcW w:w="4410" w:type="dxa"/>
          </w:tcPr>
          <w:p>
            <w:pPr>
              <w:pStyle w:val="TableParagraph"/>
              <w:spacing w:line="241" w:lineRule="exact"/>
              <w:ind w:left="108"/>
              <w:rPr>
                <w:b/>
                <w:sz w:val="21"/>
              </w:rPr>
            </w:pPr>
            <w:r>
              <w:rPr>
                <w:b/>
                <w:sz w:val="21"/>
              </w:rPr>
              <w:t>特发性慢性肾上腺皮质功能减退</w:t>
            </w:r>
          </w:p>
        </w:tc>
        <w:tc>
          <w:tcPr>
            <w:tcW w:w="4820" w:type="dxa"/>
          </w:tcPr>
          <w:p>
            <w:pPr>
              <w:pStyle w:val="TableParagraph"/>
              <w:spacing w:line="248" w:lineRule="exact"/>
              <w:ind w:left="107"/>
              <w:rPr>
                <w:b/>
                <w:sz w:val="21"/>
              </w:rPr>
            </w:pPr>
            <w:r>
              <w:rPr>
                <w:b/>
                <w:sz w:val="21"/>
              </w:rPr>
              <w:t>瘫痪</w:t>
            </w:r>
          </w:p>
        </w:tc>
      </w:tr>
      <w:tr>
        <w:trPr>
          <w:trHeight w:val="299" w:hRule="atLeast"/>
        </w:trPr>
        <w:tc>
          <w:tcPr>
            <w:tcW w:w="4410" w:type="dxa"/>
          </w:tcPr>
          <w:p>
            <w:pPr>
              <w:pStyle w:val="TableParagraph"/>
              <w:spacing w:line="241" w:lineRule="exact"/>
              <w:ind w:left="108"/>
              <w:rPr>
                <w:b/>
                <w:sz w:val="21"/>
              </w:rPr>
            </w:pPr>
            <w:r>
              <w:rPr>
                <w:b/>
                <w:sz w:val="21"/>
              </w:rPr>
              <w:t>重症骨髓增生异常综合征</w:t>
            </w:r>
          </w:p>
        </w:tc>
        <w:tc>
          <w:tcPr>
            <w:tcW w:w="4820" w:type="dxa"/>
          </w:tcPr>
          <w:p>
            <w:pPr>
              <w:pStyle w:val="TableParagraph"/>
              <w:spacing w:line="255" w:lineRule="exact"/>
              <w:ind w:left="107"/>
              <w:rPr>
                <w:b/>
                <w:sz w:val="21"/>
              </w:rPr>
            </w:pPr>
            <w:r>
              <w:rPr>
                <w:b/>
                <w:sz w:val="21"/>
              </w:rPr>
              <w:t>进行性脊髓性肌萎缩</w:t>
            </w:r>
          </w:p>
        </w:tc>
      </w:tr>
      <w:tr>
        <w:trPr>
          <w:trHeight w:val="285" w:hRule="atLeast"/>
        </w:trPr>
        <w:tc>
          <w:tcPr>
            <w:tcW w:w="4410" w:type="dxa"/>
          </w:tcPr>
          <w:p>
            <w:pPr>
              <w:pStyle w:val="TableParagraph"/>
              <w:spacing w:line="243" w:lineRule="exact"/>
              <w:ind w:left="108"/>
              <w:rPr>
                <w:b/>
                <w:sz w:val="21"/>
              </w:rPr>
            </w:pPr>
            <w:r>
              <w:rPr>
                <w:b/>
                <w:sz w:val="21"/>
              </w:rPr>
              <w:t>自体造血干细胞移植</w:t>
            </w:r>
          </w:p>
        </w:tc>
        <w:tc>
          <w:tcPr>
            <w:tcW w:w="4820" w:type="dxa"/>
          </w:tcPr>
          <w:p>
            <w:pPr>
              <w:pStyle w:val="TableParagraph"/>
              <w:spacing w:line="248" w:lineRule="exact"/>
              <w:ind w:left="107"/>
              <w:rPr>
                <w:b/>
                <w:sz w:val="21"/>
              </w:rPr>
            </w:pPr>
            <w:r>
              <w:rPr>
                <w:b/>
                <w:sz w:val="21"/>
              </w:rPr>
              <w:t>进行性延髓麻痹症</w:t>
            </w:r>
          </w:p>
        </w:tc>
      </w:tr>
      <w:tr>
        <w:trPr>
          <w:trHeight w:val="285" w:hRule="atLeast"/>
        </w:trPr>
        <w:tc>
          <w:tcPr>
            <w:tcW w:w="4410" w:type="dxa"/>
          </w:tcPr>
          <w:p>
            <w:pPr>
              <w:pStyle w:val="TableParagraph"/>
              <w:spacing w:line="248" w:lineRule="exact"/>
              <w:ind w:left="108"/>
              <w:rPr>
                <w:b/>
                <w:sz w:val="21"/>
              </w:rPr>
            </w:pPr>
            <w:r>
              <w:rPr>
                <w:b/>
                <w:sz w:val="21"/>
              </w:rPr>
              <w:t>肾髓质囊性病</w:t>
            </w:r>
          </w:p>
        </w:tc>
        <w:tc>
          <w:tcPr>
            <w:tcW w:w="4820" w:type="dxa"/>
          </w:tcPr>
          <w:p>
            <w:pPr>
              <w:pStyle w:val="TableParagraph"/>
              <w:spacing w:line="248" w:lineRule="exact"/>
              <w:ind w:left="107"/>
              <w:rPr>
                <w:b/>
                <w:sz w:val="21"/>
              </w:rPr>
            </w:pPr>
            <w:r>
              <w:rPr>
                <w:b/>
                <w:sz w:val="21"/>
              </w:rPr>
              <w:t>肌萎缩性侧索硬化症</w:t>
            </w:r>
          </w:p>
        </w:tc>
      </w:tr>
      <w:tr>
        <w:trPr>
          <w:trHeight w:val="285" w:hRule="atLeast"/>
        </w:trPr>
        <w:tc>
          <w:tcPr>
            <w:tcW w:w="4410" w:type="dxa"/>
          </w:tcPr>
          <w:p>
            <w:pPr>
              <w:pStyle w:val="TableParagraph"/>
              <w:spacing w:line="241" w:lineRule="exact"/>
              <w:ind w:left="108"/>
              <w:rPr>
                <w:b/>
                <w:sz w:val="21"/>
              </w:rPr>
            </w:pPr>
            <w:r>
              <w:rPr>
                <w:b/>
                <w:sz w:val="21"/>
              </w:rPr>
              <w:t>小肠移植</w:t>
            </w:r>
          </w:p>
        </w:tc>
        <w:tc>
          <w:tcPr>
            <w:tcW w:w="4820" w:type="dxa"/>
          </w:tcPr>
          <w:p>
            <w:pPr>
              <w:pStyle w:val="TableParagraph"/>
              <w:spacing w:line="248" w:lineRule="exact"/>
              <w:ind w:left="107"/>
              <w:rPr>
                <w:b/>
                <w:sz w:val="21"/>
              </w:rPr>
            </w:pPr>
            <w:r>
              <w:rPr>
                <w:b/>
                <w:sz w:val="21"/>
              </w:rPr>
              <w:t>破裂脑动脉瘤夹闭手术</w:t>
            </w:r>
          </w:p>
        </w:tc>
      </w:tr>
      <w:tr>
        <w:trPr>
          <w:trHeight w:val="285" w:hRule="atLeast"/>
        </w:trPr>
        <w:tc>
          <w:tcPr>
            <w:tcW w:w="4410" w:type="dxa"/>
          </w:tcPr>
          <w:p>
            <w:pPr>
              <w:pStyle w:val="TableParagraph"/>
              <w:spacing w:line="248" w:lineRule="exact"/>
              <w:ind w:left="108"/>
              <w:rPr>
                <w:b/>
                <w:sz w:val="21"/>
              </w:rPr>
            </w:pPr>
            <w:r>
              <w:rPr>
                <w:b/>
                <w:sz w:val="21"/>
              </w:rPr>
              <w:t>系统性硬皮病</w:t>
            </w:r>
          </w:p>
        </w:tc>
        <w:tc>
          <w:tcPr>
            <w:tcW w:w="4820" w:type="dxa"/>
          </w:tcPr>
          <w:p>
            <w:pPr>
              <w:pStyle w:val="TableParagraph"/>
              <w:spacing w:line="248" w:lineRule="exact"/>
              <w:ind w:left="107"/>
              <w:rPr>
                <w:b/>
                <w:sz w:val="21"/>
              </w:rPr>
            </w:pPr>
            <w:r>
              <w:rPr>
                <w:b/>
                <w:sz w:val="21"/>
              </w:rPr>
              <w:t>严重帕金森病</w:t>
            </w:r>
          </w:p>
        </w:tc>
      </w:tr>
      <w:tr>
        <w:trPr>
          <w:trHeight w:val="299" w:hRule="atLeast"/>
        </w:trPr>
        <w:tc>
          <w:tcPr>
            <w:tcW w:w="4410" w:type="dxa"/>
          </w:tcPr>
          <w:p>
            <w:pPr>
              <w:pStyle w:val="TableParagraph"/>
              <w:spacing w:line="241" w:lineRule="exact"/>
              <w:ind w:left="108"/>
              <w:rPr>
                <w:b/>
                <w:sz w:val="21"/>
              </w:rPr>
            </w:pPr>
            <w:r>
              <w:rPr>
                <w:b/>
                <w:sz w:val="21"/>
              </w:rPr>
              <w:t>肺泡蛋白质沉积症</w:t>
            </w:r>
          </w:p>
        </w:tc>
        <w:tc>
          <w:tcPr>
            <w:tcW w:w="4820" w:type="dxa"/>
          </w:tcPr>
          <w:p>
            <w:pPr>
              <w:pStyle w:val="TableParagraph"/>
              <w:spacing w:line="255" w:lineRule="exact"/>
              <w:ind w:left="107"/>
              <w:rPr>
                <w:b/>
                <w:sz w:val="21"/>
              </w:rPr>
            </w:pPr>
            <w:r>
              <w:rPr>
                <w:b/>
                <w:sz w:val="21"/>
              </w:rPr>
              <w:t>疾病或外伤所致智力障碍</w:t>
            </w:r>
          </w:p>
        </w:tc>
      </w:tr>
      <w:tr>
        <w:trPr>
          <w:trHeight w:val="285" w:hRule="atLeast"/>
        </w:trPr>
        <w:tc>
          <w:tcPr>
            <w:tcW w:w="4410" w:type="dxa"/>
          </w:tcPr>
          <w:p>
            <w:pPr>
              <w:pStyle w:val="TableParagraph"/>
              <w:spacing w:line="241" w:lineRule="exact"/>
              <w:ind w:left="108"/>
              <w:rPr>
                <w:b/>
                <w:sz w:val="21"/>
              </w:rPr>
            </w:pPr>
            <w:r>
              <w:rPr>
                <w:b/>
                <w:sz w:val="21"/>
              </w:rPr>
              <w:t>肺淋巴管肌瘤病</w:t>
            </w:r>
          </w:p>
        </w:tc>
        <w:tc>
          <w:tcPr>
            <w:tcW w:w="4820" w:type="dxa"/>
          </w:tcPr>
          <w:p>
            <w:pPr>
              <w:pStyle w:val="TableParagraph"/>
              <w:spacing w:line="248" w:lineRule="exact"/>
              <w:ind w:left="107"/>
              <w:rPr>
                <w:b/>
                <w:sz w:val="21"/>
              </w:rPr>
            </w:pPr>
            <w:r>
              <w:rPr>
                <w:b/>
                <w:sz w:val="21"/>
              </w:rPr>
              <w:t>严重肌营养不良症</w:t>
            </w:r>
          </w:p>
        </w:tc>
      </w:tr>
      <w:tr>
        <w:trPr>
          <w:trHeight w:val="285" w:hRule="atLeast"/>
        </w:trPr>
        <w:tc>
          <w:tcPr>
            <w:tcW w:w="4410" w:type="dxa"/>
          </w:tcPr>
          <w:p>
            <w:pPr>
              <w:pStyle w:val="TableParagraph"/>
              <w:spacing w:line="241" w:lineRule="exact"/>
              <w:ind w:left="108"/>
              <w:rPr>
                <w:b/>
                <w:sz w:val="21"/>
              </w:rPr>
            </w:pPr>
            <w:r>
              <w:rPr>
                <w:b/>
                <w:sz w:val="21"/>
              </w:rPr>
              <w:t>急性心肌梗塞</w:t>
            </w:r>
          </w:p>
        </w:tc>
        <w:tc>
          <w:tcPr>
            <w:tcW w:w="4820" w:type="dxa"/>
          </w:tcPr>
          <w:p>
            <w:pPr>
              <w:pStyle w:val="TableParagraph"/>
              <w:spacing w:line="248" w:lineRule="exact"/>
              <w:ind w:left="107"/>
              <w:rPr>
                <w:b/>
                <w:sz w:val="21"/>
              </w:rPr>
            </w:pPr>
            <w:r>
              <w:rPr>
                <w:b/>
                <w:sz w:val="21"/>
              </w:rPr>
              <w:t>严重脊髓灰质炎</w:t>
            </w:r>
          </w:p>
        </w:tc>
      </w:tr>
      <w:tr>
        <w:trPr>
          <w:trHeight w:val="285" w:hRule="atLeast"/>
        </w:trPr>
        <w:tc>
          <w:tcPr>
            <w:tcW w:w="4410" w:type="dxa"/>
          </w:tcPr>
          <w:p>
            <w:pPr>
              <w:pStyle w:val="TableParagraph"/>
              <w:spacing w:line="241" w:lineRule="exact"/>
              <w:ind w:left="108"/>
              <w:rPr>
                <w:b/>
                <w:sz w:val="21"/>
              </w:rPr>
            </w:pPr>
            <w:r>
              <w:rPr>
                <w:b/>
                <w:sz w:val="21"/>
              </w:rPr>
              <w:t>冠状动脉搭桥术（或称冠状动脉旁路移植术）</w:t>
            </w:r>
          </w:p>
        </w:tc>
        <w:tc>
          <w:tcPr>
            <w:tcW w:w="4820" w:type="dxa"/>
          </w:tcPr>
          <w:p>
            <w:pPr>
              <w:pStyle w:val="TableParagraph"/>
              <w:spacing w:line="248" w:lineRule="exact"/>
              <w:ind w:left="107"/>
              <w:rPr>
                <w:b/>
                <w:sz w:val="21"/>
              </w:rPr>
            </w:pPr>
            <w:r>
              <w:rPr>
                <w:b/>
                <w:sz w:val="21"/>
              </w:rPr>
              <w:t>严重Ⅲ度烧伤</w:t>
            </w:r>
          </w:p>
        </w:tc>
      </w:tr>
      <w:tr>
        <w:trPr>
          <w:trHeight w:val="285" w:hRule="atLeast"/>
        </w:trPr>
        <w:tc>
          <w:tcPr>
            <w:tcW w:w="4410" w:type="dxa"/>
          </w:tcPr>
          <w:p>
            <w:pPr>
              <w:pStyle w:val="TableParagraph"/>
              <w:spacing w:line="241" w:lineRule="exact"/>
              <w:ind w:left="108"/>
              <w:rPr>
                <w:b/>
                <w:sz w:val="21"/>
              </w:rPr>
            </w:pPr>
            <w:r>
              <w:rPr>
                <w:b/>
                <w:sz w:val="21"/>
              </w:rPr>
              <w:t>心脏瓣膜手术</w:t>
            </w:r>
          </w:p>
        </w:tc>
        <w:tc>
          <w:tcPr>
            <w:tcW w:w="4820" w:type="dxa"/>
          </w:tcPr>
          <w:p>
            <w:pPr>
              <w:pStyle w:val="TableParagraph"/>
              <w:spacing w:line="248" w:lineRule="exact"/>
              <w:ind w:left="107"/>
              <w:rPr>
                <w:b/>
                <w:sz w:val="21"/>
              </w:rPr>
            </w:pPr>
            <w:r>
              <w:rPr>
                <w:b/>
                <w:sz w:val="21"/>
              </w:rPr>
              <w:t>严重面部烧伤</w:t>
            </w:r>
          </w:p>
        </w:tc>
      </w:tr>
      <w:tr>
        <w:trPr>
          <w:trHeight w:val="285" w:hRule="atLeast"/>
        </w:trPr>
        <w:tc>
          <w:tcPr>
            <w:tcW w:w="4410" w:type="dxa"/>
          </w:tcPr>
          <w:p>
            <w:pPr>
              <w:pStyle w:val="TableParagraph"/>
              <w:spacing w:line="241" w:lineRule="exact"/>
              <w:ind w:left="108"/>
              <w:rPr>
                <w:b/>
                <w:sz w:val="21"/>
              </w:rPr>
            </w:pPr>
            <w:r>
              <w:rPr>
                <w:b/>
                <w:sz w:val="21"/>
              </w:rPr>
              <w:t>严重原发性肺动脉高压</w:t>
            </w:r>
          </w:p>
        </w:tc>
        <w:tc>
          <w:tcPr>
            <w:tcW w:w="4820" w:type="dxa"/>
          </w:tcPr>
          <w:p>
            <w:pPr>
              <w:pStyle w:val="TableParagraph"/>
              <w:spacing w:line="248" w:lineRule="exact"/>
              <w:ind w:left="107"/>
              <w:rPr>
                <w:b/>
                <w:sz w:val="21"/>
              </w:rPr>
            </w:pPr>
            <w:r>
              <w:rPr>
                <w:b/>
                <w:sz w:val="21"/>
              </w:rPr>
              <w:t>多个肢体缺失</w:t>
            </w:r>
          </w:p>
        </w:tc>
      </w:tr>
      <w:tr>
        <w:trPr>
          <w:trHeight w:val="285" w:hRule="atLeast"/>
        </w:trPr>
        <w:tc>
          <w:tcPr>
            <w:tcW w:w="4410" w:type="dxa"/>
          </w:tcPr>
          <w:p>
            <w:pPr>
              <w:pStyle w:val="TableParagraph"/>
              <w:spacing w:line="241" w:lineRule="exact"/>
              <w:ind w:left="108"/>
              <w:rPr>
                <w:b/>
                <w:sz w:val="21"/>
              </w:rPr>
            </w:pPr>
            <w:r>
              <w:rPr>
                <w:b/>
                <w:sz w:val="21"/>
              </w:rPr>
              <w:t>主动脉手术</w:t>
            </w:r>
          </w:p>
        </w:tc>
        <w:tc>
          <w:tcPr>
            <w:tcW w:w="4820" w:type="dxa"/>
          </w:tcPr>
          <w:p>
            <w:pPr>
              <w:pStyle w:val="TableParagraph"/>
              <w:spacing w:line="248" w:lineRule="exact"/>
              <w:ind w:left="107"/>
              <w:rPr>
                <w:b/>
                <w:sz w:val="21"/>
              </w:rPr>
            </w:pPr>
            <w:r>
              <w:rPr>
                <w:b/>
                <w:sz w:val="21"/>
              </w:rPr>
              <w:t>失去一肢及一眼</w:t>
            </w:r>
          </w:p>
        </w:tc>
      </w:tr>
      <w:tr>
        <w:trPr>
          <w:trHeight w:val="285" w:hRule="atLeast"/>
        </w:trPr>
        <w:tc>
          <w:tcPr>
            <w:tcW w:w="4410" w:type="dxa"/>
          </w:tcPr>
          <w:p>
            <w:pPr>
              <w:pStyle w:val="TableParagraph"/>
              <w:spacing w:line="241" w:lineRule="exact"/>
              <w:ind w:left="108"/>
              <w:rPr>
                <w:b/>
                <w:sz w:val="21"/>
              </w:rPr>
            </w:pPr>
            <w:r>
              <w:rPr>
                <w:b/>
                <w:sz w:val="21"/>
              </w:rPr>
              <w:t>严重心肌炎</w:t>
            </w:r>
          </w:p>
        </w:tc>
        <w:tc>
          <w:tcPr>
            <w:tcW w:w="4820" w:type="dxa"/>
          </w:tcPr>
          <w:p>
            <w:pPr>
              <w:pStyle w:val="TableParagraph"/>
              <w:spacing w:line="248" w:lineRule="exact"/>
              <w:ind w:left="107"/>
              <w:rPr>
                <w:b/>
                <w:sz w:val="21"/>
              </w:rPr>
            </w:pPr>
            <w:r>
              <w:rPr>
                <w:b/>
                <w:sz w:val="21"/>
              </w:rPr>
              <w:t>溶血性链球菌引起的坏疽</w:t>
            </w:r>
          </w:p>
        </w:tc>
      </w:tr>
      <w:tr>
        <w:trPr>
          <w:trHeight w:val="285" w:hRule="atLeast"/>
        </w:trPr>
        <w:tc>
          <w:tcPr>
            <w:tcW w:w="4410" w:type="dxa"/>
          </w:tcPr>
          <w:p>
            <w:pPr>
              <w:pStyle w:val="TableParagraph"/>
              <w:spacing w:line="241" w:lineRule="exact"/>
              <w:ind w:left="108"/>
              <w:rPr>
                <w:b/>
                <w:sz w:val="21"/>
              </w:rPr>
            </w:pPr>
            <w:r>
              <w:rPr>
                <w:b/>
                <w:sz w:val="21"/>
              </w:rPr>
              <w:t>严重肺源性心脏病</w:t>
            </w:r>
          </w:p>
        </w:tc>
        <w:tc>
          <w:tcPr>
            <w:tcW w:w="4820" w:type="dxa"/>
          </w:tcPr>
          <w:p>
            <w:pPr>
              <w:pStyle w:val="TableParagraph"/>
              <w:spacing w:line="245" w:lineRule="exact"/>
              <w:ind w:left="107"/>
              <w:rPr>
                <w:b/>
                <w:sz w:val="21"/>
              </w:rPr>
            </w:pPr>
            <w:r>
              <w:rPr>
                <w:b/>
                <w:sz w:val="21"/>
              </w:rPr>
              <w:t>重症急性坏死性筋膜炎</w:t>
            </w:r>
          </w:p>
        </w:tc>
      </w:tr>
      <w:tr>
        <w:trPr>
          <w:trHeight w:val="282" w:hRule="atLeast"/>
        </w:trPr>
        <w:tc>
          <w:tcPr>
            <w:tcW w:w="4410" w:type="dxa"/>
          </w:tcPr>
          <w:p>
            <w:pPr>
              <w:pStyle w:val="TableParagraph"/>
              <w:spacing w:line="241" w:lineRule="exact"/>
              <w:ind w:left="108"/>
              <w:rPr>
                <w:b/>
                <w:sz w:val="21"/>
              </w:rPr>
            </w:pPr>
            <w:r>
              <w:rPr>
                <w:b/>
                <w:sz w:val="21"/>
              </w:rPr>
              <w:t>夹层主动脉瘤</w:t>
            </w:r>
          </w:p>
        </w:tc>
        <w:tc>
          <w:tcPr>
            <w:tcW w:w="4820" w:type="dxa"/>
          </w:tcPr>
          <w:p>
            <w:pPr>
              <w:pStyle w:val="TableParagraph"/>
              <w:spacing w:line="261" w:lineRule="exact"/>
              <w:ind w:left="107"/>
              <w:rPr>
                <w:b/>
                <w:sz w:val="21"/>
              </w:rPr>
            </w:pPr>
            <w:r>
              <w:rPr>
                <w:b/>
                <w:sz w:val="21"/>
              </w:rPr>
              <w:t>经输血导致的人类免疫缺陷病毒（</w:t>
            </w:r>
            <w:r>
              <w:rPr>
                <w:rFonts w:ascii="Times New Roman" w:eastAsia="Times New Roman"/>
                <w:b/>
                <w:sz w:val="21"/>
              </w:rPr>
              <w:t>HIV</w:t>
            </w:r>
            <w:r>
              <w:rPr>
                <w:b/>
                <w:sz w:val="21"/>
              </w:rPr>
              <w:t>）感染</w:t>
            </w:r>
          </w:p>
        </w:tc>
      </w:tr>
      <w:tr>
        <w:trPr>
          <w:trHeight w:val="285" w:hRule="atLeast"/>
        </w:trPr>
        <w:tc>
          <w:tcPr>
            <w:tcW w:w="4410" w:type="dxa"/>
          </w:tcPr>
          <w:p>
            <w:pPr>
              <w:pStyle w:val="TableParagraph"/>
              <w:spacing w:line="243" w:lineRule="exact"/>
              <w:ind w:left="108"/>
              <w:rPr>
                <w:b/>
                <w:sz w:val="21"/>
              </w:rPr>
            </w:pPr>
            <w:r>
              <w:rPr>
                <w:b/>
                <w:sz w:val="21"/>
              </w:rPr>
              <w:t>艾森曼格综合征</w:t>
            </w:r>
          </w:p>
        </w:tc>
        <w:tc>
          <w:tcPr>
            <w:tcW w:w="4820" w:type="dxa"/>
          </w:tcPr>
          <w:p>
            <w:pPr>
              <w:pStyle w:val="TableParagraph"/>
              <w:spacing w:line="264" w:lineRule="exact"/>
              <w:ind w:left="107"/>
              <w:rPr>
                <w:b/>
                <w:sz w:val="21"/>
              </w:rPr>
            </w:pPr>
            <w:r>
              <w:rPr>
                <w:b/>
                <w:sz w:val="21"/>
              </w:rPr>
              <w:t>因职业关系导致的人类免疫缺陷病毒（</w:t>
            </w:r>
            <w:r>
              <w:rPr>
                <w:rFonts w:ascii="Times New Roman" w:eastAsia="Times New Roman"/>
                <w:b/>
                <w:sz w:val="21"/>
              </w:rPr>
              <w:t>HIV</w:t>
            </w:r>
            <w:r>
              <w:rPr>
                <w:b/>
                <w:sz w:val="21"/>
              </w:rPr>
              <w:t>）感染</w:t>
            </w:r>
          </w:p>
        </w:tc>
      </w:tr>
      <w:tr>
        <w:trPr>
          <w:trHeight w:val="285" w:hRule="atLeast"/>
        </w:trPr>
        <w:tc>
          <w:tcPr>
            <w:tcW w:w="4410" w:type="dxa"/>
          </w:tcPr>
          <w:p>
            <w:pPr>
              <w:pStyle w:val="TableParagraph"/>
              <w:spacing w:line="243" w:lineRule="exact"/>
              <w:ind w:left="108"/>
              <w:rPr>
                <w:b/>
                <w:sz w:val="21"/>
              </w:rPr>
            </w:pPr>
            <w:r>
              <w:rPr>
                <w:b/>
                <w:sz w:val="21"/>
              </w:rPr>
              <w:t>严重慢性缩窄型心包炎</w:t>
            </w:r>
          </w:p>
        </w:tc>
        <w:tc>
          <w:tcPr>
            <w:tcW w:w="4820" w:type="dxa"/>
          </w:tcPr>
          <w:p>
            <w:pPr>
              <w:pStyle w:val="TableParagraph"/>
              <w:spacing w:line="248" w:lineRule="exact"/>
              <w:ind w:left="107"/>
              <w:rPr>
                <w:b/>
                <w:sz w:val="21"/>
              </w:rPr>
            </w:pPr>
            <w:r>
              <w:rPr>
                <w:b/>
                <w:sz w:val="21"/>
              </w:rPr>
              <w:t>双耳失聪</w:t>
            </w:r>
          </w:p>
        </w:tc>
      </w:tr>
      <w:tr>
        <w:trPr>
          <w:trHeight w:val="285" w:hRule="atLeast"/>
        </w:trPr>
        <w:tc>
          <w:tcPr>
            <w:tcW w:w="4410" w:type="dxa"/>
          </w:tcPr>
          <w:p>
            <w:pPr>
              <w:pStyle w:val="TableParagraph"/>
              <w:spacing w:line="241" w:lineRule="exact"/>
              <w:ind w:left="108"/>
              <w:rPr>
                <w:b/>
                <w:sz w:val="21"/>
              </w:rPr>
            </w:pPr>
            <w:r>
              <w:rPr>
                <w:b/>
                <w:sz w:val="21"/>
              </w:rPr>
              <w:t>严重传染性心内膜炎</w:t>
            </w:r>
          </w:p>
        </w:tc>
        <w:tc>
          <w:tcPr>
            <w:tcW w:w="4820" w:type="dxa"/>
          </w:tcPr>
          <w:p>
            <w:pPr>
              <w:pStyle w:val="TableParagraph"/>
              <w:spacing w:line="248" w:lineRule="exact"/>
              <w:ind w:left="107"/>
              <w:rPr>
                <w:b/>
                <w:sz w:val="21"/>
              </w:rPr>
            </w:pPr>
            <w:r>
              <w:rPr>
                <w:b/>
                <w:sz w:val="21"/>
              </w:rPr>
              <w:t>双目失明</w:t>
            </w:r>
          </w:p>
        </w:tc>
      </w:tr>
      <w:tr>
        <w:trPr>
          <w:trHeight w:val="285" w:hRule="atLeast"/>
        </w:trPr>
        <w:tc>
          <w:tcPr>
            <w:tcW w:w="4410" w:type="dxa"/>
          </w:tcPr>
          <w:p>
            <w:pPr>
              <w:pStyle w:val="TableParagraph"/>
              <w:spacing w:line="241" w:lineRule="exact"/>
              <w:ind w:left="108"/>
              <w:rPr>
                <w:b/>
                <w:sz w:val="21"/>
              </w:rPr>
            </w:pPr>
            <w:r>
              <w:rPr>
                <w:b/>
                <w:sz w:val="21"/>
              </w:rPr>
              <w:t>慢性复发性胰腺炎</w:t>
            </w:r>
          </w:p>
        </w:tc>
        <w:tc>
          <w:tcPr>
            <w:tcW w:w="4820" w:type="dxa"/>
          </w:tcPr>
          <w:p>
            <w:pPr>
              <w:pStyle w:val="TableParagraph"/>
              <w:spacing w:line="248" w:lineRule="exact"/>
              <w:ind w:left="107"/>
              <w:rPr>
                <w:b/>
                <w:sz w:val="21"/>
              </w:rPr>
            </w:pPr>
            <w:r>
              <w:rPr>
                <w:b/>
                <w:sz w:val="21"/>
              </w:rPr>
              <w:t>语言能力丧失</w:t>
            </w:r>
          </w:p>
        </w:tc>
      </w:tr>
      <w:tr>
        <w:trPr>
          <w:trHeight w:val="285" w:hRule="atLeast"/>
        </w:trPr>
        <w:tc>
          <w:tcPr>
            <w:tcW w:w="4410" w:type="dxa"/>
          </w:tcPr>
          <w:p>
            <w:pPr>
              <w:pStyle w:val="TableParagraph"/>
              <w:spacing w:line="241" w:lineRule="exact"/>
              <w:ind w:left="108"/>
              <w:rPr>
                <w:b/>
                <w:sz w:val="21"/>
              </w:rPr>
            </w:pPr>
            <w:r>
              <w:rPr>
                <w:b/>
                <w:sz w:val="21"/>
              </w:rPr>
              <w:t>原发性硬化性胆管炎</w:t>
            </w:r>
          </w:p>
        </w:tc>
        <w:tc>
          <w:tcPr>
            <w:tcW w:w="4820" w:type="dxa"/>
          </w:tcPr>
          <w:p>
            <w:pPr>
              <w:pStyle w:val="TableParagraph"/>
              <w:spacing w:line="248" w:lineRule="exact"/>
              <w:ind w:left="107"/>
              <w:rPr>
                <w:b/>
                <w:sz w:val="21"/>
              </w:rPr>
            </w:pPr>
            <w:r>
              <w:rPr>
                <w:b/>
                <w:sz w:val="21"/>
              </w:rPr>
              <w:t>重症肌无力</w:t>
            </w:r>
          </w:p>
        </w:tc>
      </w:tr>
      <w:tr>
        <w:trPr>
          <w:trHeight w:val="285" w:hRule="atLeast"/>
        </w:trPr>
        <w:tc>
          <w:tcPr>
            <w:tcW w:w="4410" w:type="dxa"/>
          </w:tcPr>
          <w:p>
            <w:pPr>
              <w:pStyle w:val="TableParagraph"/>
              <w:spacing w:line="241" w:lineRule="exact"/>
              <w:ind w:left="108"/>
              <w:rPr>
                <w:b/>
                <w:sz w:val="21"/>
              </w:rPr>
            </w:pPr>
            <w:r>
              <w:rPr>
                <w:b/>
                <w:sz w:val="21"/>
              </w:rPr>
              <w:t>严重肠道疾病并发症</w:t>
            </w:r>
          </w:p>
        </w:tc>
        <w:tc>
          <w:tcPr>
            <w:tcW w:w="4820" w:type="dxa"/>
          </w:tcPr>
          <w:p>
            <w:pPr>
              <w:pStyle w:val="TableParagraph"/>
              <w:spacing w:line="248" w:lineRule="exact"/>
              <w:ind w:left="107"/>
              <w:rPr>
                <w:b/>
                <w:sz w:val="21"/>
              </w:rPr>
            </w:pPr>
            <w:r>
              <w:rPr>
                <w:b/>
                <w:sz w:val="21"/>
              </w:rPr>
              <w:t>埃博拉病毒感染</w:t>
            </w:r>
          </w:p>
        </w:tc>
      </w:tr>
      <w:tr>
        <w:trPr>
          <w:trHeight w:val="285" w:hRule="atLeast"/>
        </w:trPr>
        <w:tc>
          <w:tcPr>
            <w:tcW w:w="4410" w:type="dxa"/>
          </w:tcPr>
          <w:p>
            <w:pPr>
              <w:pStyle w:val="TableParagraph"/>
              <w:spacing w:line="241" w:lineRule="exact"/>
              <w:ind w:left="108"/>
              <w:rPr>
                <w:b/>
                <w:sz w:val="21"/>
              </w:rPr>
            </w:pPr>
            <w:r>
              <w:rPr>
                <w:b/>
                <w:sz w:val="21"/>
              </w:rPr>
              <w:t>严重溃疡性结肠炎</w:t>
            </w:r>
          </w:p>
        </w:tc>
        <w:tc>
          <w:tcPr>
            <w:tcW w:w="4820" w:type="dxa"/>
          </w:tcPr>
          <w:p>
            <w:pPr>
              <w:pStyle w:val="TableParagraph"/>
              <w:spacing w:line="248" w:lineRule="exact"/>
              <w:ind w:left="107"/>
              <w:rPr>
                <w:b/>
                <w:sz w:val="21"/>
              </w:rPr>
            </w:pPr>
            <w:r>
              <w:rPr>
                <w:b/>
                <w:sz w:val="21"/>
              </w:rPr>
              <w:t>出血性登革热</w:t>
            </w:r>
          </w:p>
        </w:tc>
      </w:tr>
      <w:tr>
        <w:trPr>
          <w:trHeight w:val="285" w:hRule="atLeast"/>
        </w:trPr>
        <w:tc>
          <w:tcPr>
            <w:tcW w:w="4410" w:type="dxa"/>
          </w:tcPr>
          <w:p>
            <w:pPr>
              <w:pStyle w:val="TableParagraph"/>
              <w:spacing w:line="241" w:lineRule="exact"/>
              <w:ind w:left="108"/>
              <w:rPr>
                <w:b/>
                <w:sz w:val="21"/>
              </w:rPr>
            </w:pPr>
            <w:r>
              <w:rPr>
                <w:b/>
                <w:sz w:val="21"/>
              </w:rPr>
              <w:t>严重克隆病</w:t>
            </w:r>
          </w:p>
        </w:tc>
        <w:tc>
          <w:tcPr>
            <w:tcW w:w="4820" w:type="dxa"/>
          </w:tcPr>
          <w:p>
            <w:pPr>
              <w:pStyle w:val="TableParagraph"/>
              <w:spacing w:line="248" w:lineRule="exact"/>
              <w:ind w:left="107"/>
              <w:rPr>
                <w:b/>
                <w:sz w:val="21"/>
              </w:rPr>
            </w:pPr>
            <w:r>
              <w:rPr>
                <w:b/>
                <w:sz w:val="21"/>
              </w:rPr>
              <w:t>丝虫病所致象皮肿</w:t>
            </w:r>
          </w:p>
        </w:tc>
      </w:tr>
      <w:tr>
        <w:trPr>
          <w:trHeight w:val="285" w:hRule="atLeast"/>
        </w:trPr>
        <w:tc>
          <w:tcPr>
            <w:tcW w:w="4410" w:type="dxa"/>
          </w:tcPr>
          <w:p>
            <w:pPr>
              <w:pStyle w:val="TableParagraph"/>
              <w:spacing w:line="248" w:lineRule="exact"/>
              <w:ind w:left="108"/>
              <w:rPr>
                <w:b/>
                <w:sz w:val="21"/>
              </w:rPr>
            </w:pPr>
            <w:r>
              <w:rPr>
                <w:b/>
                <w:sz w:val="21"/>
              </w:rPr>
              <w:t>急性坏死性胰腺炎开腹手术</w:t>
            </w:r>
          </w:p>
        </w:tc>
        <w:tc>
          <w:tcPr>
            <w:tcW w:w="4820" w:type="dxa"/>
          </w:tcPr>
          <w:p>
            <w:pPr>
              <w:pStyle w:val="TableParagraph"/>
              <w:spacing w:line="248" w:lineRule="exact"/>
              <w:ind w:left="107"/>
              <w:rPr>
                <w:b/>
                <w:sz w:val="21"/>
              </w:rPr>
            </w:pPr>
            <w:r>
              <w:rPr>
                <w:b/>
                <w:sz w:val="21"/>
              </w:rPr>
              <w:t>疯牛病</w:t>
            </w:r>
          </w:p>
        </w:tc>
      </w:tr>
      <w:tr>
        <w:trPr>
          <w:trHeight w:val="285" w:hRule="atLeast"/>
        </w:trPr>
        <w:tc>
          <w:tcPr>
            <w:tcW w:w="4410" w:type="dxa"/>
          </w:tcPr>
          <w:p>
            <w:pPr>
              <w:pStyle w:val="TableParagraph"/>
              <w:spacing w:line="241" w:lineRule="exact"/>
              <w:ind w:left="108"/>
              <w:rPr>
                <w:b/>
                <w:sz w:val="21"/>
              </w:rPr>
            </w:pPr>
            <w:r>
              <w:rPr>
                <w:b/>
                <w:sz w:val="21"/>
              </w:rPr>
              <w:t>严重自身免疫性肝炎</w:t>
            </w:r>
          </w:p>
        </w:tc>
        <w:tc>
          <w:tcPr>
            <w:tcW w:w="4820" w:type="dxa"/>
          </w:tcPr>
          <w:p>
            <w:pPr>
              <w:pStyle w:val="TableParagraph"/>
              <w:spacing w:line="248" w:lineRule="exact"/>
              <w:ind w:left="107"/>
              <w:rPr>
                <w:b/>
                <w:sz w:val="21"/>
              </w:rPr>
            </w:pPr>
            <w:r>
              <w:rPr>
                <w:b/>
                <w:sz w:val="21"/>
              </w:rPr>
              <w:t>严重幼年型类风湿性关节炎</w:t>
            </w:r>
          </w:p>
        </w:tc>
      </w:tr>
      <w:tr>
        <w:trPr>
          <w:trHeight w:val="285" w:hRule="atLeast"/>
        </w:trPr>
        <w:tc>
          <w:tcPr>
            <w:tcW w:w="4410" w:type="dxa"/>
          </w:tcPr>
          <w:p>
            <w:pPr>
              <w:pStyle w:val="TableParagraph"/>
              <w:spacing w:line="245" w:lineRule="exact"/>
              <w:ind w:left="108"/>
              <w:rPr>
                <w:b/>
                <w:sz w:val="21"/>
              </w:rPr>
            </w:pPr>
            <w:r>
              <w:rPr>
                <w:b/>
                <w:sz w:val="21"/>
              </w:rPr>
              <w:t>肝豆状核变性</w:t>
            </w:r>
          </w:p>
        </w:tc>
        <w:tc>
          <w:tcPr>
            <w:tcW w:w="4820" w:type="dxa"/>
          </w:tcPr>
          <w:p>
            <w:pPr>
              <w:pStyle w:val="TableParagraph"/>
              <w:spacing w:line="245" w:lineRule="exact"/>
              <w:ind w:left="107"/>
              <w:rPr>
                <w:b/>
                <w:sz w:val="21"/>
              </w:rPr>
            </w:pPr>
            <w:r>
              <w:rPr>
                <w:b/>
                <w:sz w:val="21"/>
              </w:rPr>
              <w:t>婴儿进行性脊肌萎缩症</w:t>
            </w:r>
          </w:p>
        </w:tc>
      </w:tr>
      <w:tr>
        <w:trPr>
          <w:trHeight w:val="285" w:hRule="atLeast"/>
        </w:trPr>
        <w:tc>
          <w:tcPr>
            <w:tcW w:w="4410" w:type="dxa"/>
          </w:tcPr>
          <w:p>
            <w:pPr>
              <w:pStyle w:val="TableParagraph"/>
              <w:spacing w:line="245" w:lineRule="exact"/>
              <w:ind w:left="108"/>
              <w:rPr>
                <w:b/>
                <w:sz w:val="21"/>
              </w:rPr>
            </w:pPr>
            <w:r>
              <w:rPr>
                <w:b/>
                <w:sz w:val="21"/>
              </w:rPr>
              <w:t>川崎病合并严重并发症</w:t>
            </w:r>
          </w:p>
        </w:tc>
        <w:tc>
          <w:tcPr>
            <w:tcW w:w="4820" w:type="dxa"/>
          </w:tcPr>
          <w:p>
            <w:pPr>
              <w:pStyle w:val="TableParagraph"/>
              <w:spacing w:line="245" w:lineRule="exact"/>
              <w:ind w:left="107"/>
              <w:rPr>
                <w:b/>
                <w:sz w:val="21"/>
              </w:rPr>
            </w:pPr>
            <w:r>
              <w:rPr>
                <w:b/>
                <w:sz w:val="21"/>
              </w:rPr>
              <w:t>严重瑞氏综合征</w:t>
            </w:r>
          </w:p>
        </w:tc>
      </w:tr>
    </w:tbl>
    <w:sectPr>
      <w:pgSz w:w="11910" w:h="16840"/>
      <w:pgMar w:top="980" w:bottom="280" w:left="56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黑体">
    <w:altName w:val="黑体"/>
    <w:charset w:val="86"/>
    <w:family w:val="modern"/>
    <w:pitch w:val="fixed"/>
  </w:font>
  <w:font w:name="宋体">
    <w:altName w:val="宋体"/>
    <w:charset w:val="86"/>
    <w:family w:val="auto"/>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decimal"/>
      <w:lvlText w:val="%1"/>
      <w:lvlJc w:val="left"/>
      <w:pPr>
        <w:ind w:left="260" w:hanging="159"/>
        <w:jc w:val="left"/>
      </w:pPr>
      <w:rPr>
        <w:rFonts w:hint="default" w:ascii="Times New Roman" w:hAnsi="Times New Roman" w:eastAsia="Times New Roman" w:cs="Times New Roman"/>
        <w:w w:val="100"/>
        <w:sz w:val="21"/>
        <w:szCs w:val="21"/>
      </w:rPr>
    </w:lvl>
    <w:lvl w:ilvl="1">
      <w:start w:val="0"/>
      <w:numFmt w:val="bullet"/>
      <w:lvlText w:val="•"/>
      <w:lvlJc w:val="left"/>
      <w:pPr>
        <w:ind w:left="946" w:hanging="159"/>
      </w:pPr>
      <w:rPr>
        <w:rFonts w:hint="default"/>
      </w:rPr>
    </w:lvl>
    <w:lvl w:ilvl="2">
      <w:start w:val="0"/>
      <w:numFmt w:val="bullet"/>
      <w:lvlText w:val="•"/>
      <w:lvlJc w:val="left"/>
      <w:pPr>
        <w:ind w:left="1632" w:hanging="159"/>
      </w:pPr>
      <w:rPr>
        <w:rFonts w:hint="default"/>
      </w:rPr>
    </w:lvl>
    <w:lvl w:ilvl="3">
      <w:start w:val="0"/>
      <w:numFmt w:val="bullet"/>
      <w:lvlText w:val="•"/>
      <w:lvlJc w:val="left"/>
      <w:pPr>
        <w:ind w:left="2318" w:hanging="159"/>
      </w:pPr>
      <w:rPr>
        <w:rFonts w:hint="default"/>
      </w:rPr>
    </w:lvl>
    <w:lvl w:ilvl="4">
      <w:start w:val="0"/>
      <w:numFmt w:val="bullet"/>
      <w:lvlText w:val="•"/>
      <w:lvlJc w:val="left"/>
      <w:pPr>
        <w:ind w:left="3004" w:hanging="159"/>
      </w:pPr>
      <w:rPr>
        <w:rFonts w:hint="default"/>
      </w:rPr>
    </w:lvl>
    <w:lvl w:ilvl="5">
      <w:start w:val="0"/>
      <w:numFmt w:val="bullet"/>
      <w:lvlText w:val="•"/>
      <w:lvlJc w:val="left"/>
      <w:pPr>
        <w:ind w:left="3691" w:hanging="159"/>
      </w:pPr>
      <w:rPr>
        <w:rFonts w:hint="default"/>
      </w:rPr>
    </w:lvl>
    <w:lvl w:ilvl="6">
      <w:start w:val="0"/>
      <w:numFmt w:val="bullet"/>
      <w:lvlText w:val="•"/>
      <w:lvlJc w:val="left"/>
      <w:pPr>
        <w:ind w:left="4377" w:hanging="159"/>
      </w:pPr>
      <w:rPr>
        <w:rFonts w:hint="default"/>
      </w:rPr>
    </w:lvl>
    <w:lvl w:ilvl="7">
      <w:start w:val="0"/>
      <w:numFmt w:val="bullet"/>
      <w:lvlText w:val="•"/>
      <w:lvlJc w:val="left"/>
      <w:pPr>
        <w:ind w:left="5063" w:hanging="159"/>
      </w:pPr>
      <w:rPr>
        <w:rFonts w:hint="default"/>
      </w:rPr>
    </w:lvl>
    <w:lvl w:ilvl="8">
      <w:start w:val="0"/>
      <w:numFmt w:val="bullet"/>
      <w:lvlText w:val="•"/>
      <w:lvlJc w:val="left"/>
      <w:pPr>
        <w:ind w:left="5749" w:hanging="159"/>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楷体" w:hAnsi="楷体" w:eastAsia="楷体" w:cs="楷体"/>
    </w:rPr>
  </w:style>
  <w:style w:styleId="BodyText" w:type="paragraph">
    <w:name w:val="Body Text"/>
    <w:basedOn w:val="Normal"/>
    <w:uiPriority w:val="1"/>
    <w:qFormat/>
    <w:pPr/>
    <w:rPr>
      <w:rFonts w:ascii="楷体" w:hAnsi="楷体" w:eastAsia="楷体" w:cs="楷体"/>
      <w:sz w:val="21"/>
      <w:szCs w:val="21"/>
    </w:rPr>
  </w:style>
  <w:style w:styleId="ListParagraph" w:type="paragraph">
    <w:name w:val="List Paragraph"/>
    <w:basedOn w:val="Normal"/>
    <w:uiPriority w:val="1"/>
    <w:qFormat/>
    <w:pPr/>
    <w:rPr/>
  </w:style>
  <w:style w:styleId="TableParagraph" w:type="paragraph">
    <w:name w:val="Table Paragraph"/>
    <w:basedOn w:val="Normal"/>
    <w:uiPriority w:val="1"/>
    <w:qFormat/>
    <w:pPr/>
    <w:rPr>
      <w:rFonts w:ascii="楷体" w:hAnsi="楷体" w:eastAsia="楷体" w:cs="楷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aviva-cofco</dc:creator>
  <dc:title>中英人寿吉祥如意两全保险（A款）</dc:title>
  <dcterms:created xsi:type="dcterms:W3CDTF">2018-10-19T22:35:25Z</dcterms:created>
  <dcterms:modified xsi:type="dcterms:W3CDTF">2018-10-19T22:35:25Z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2016-06-13T00:00:00Z</vt:filetime>
  </property>
  <property fmtid="{D5CDD505-2E9C-101B-9397-08002B2CF9AE}" pid="3" name="Creator">
    <vt:lpwstr>Microsoft® Word 2010</vt:lpwstr>
  </property>
  <property fmtid="{D5CDD505-2E9C-101B-9397-08002B2CF9AE}" pid="4" name="LastSaved">
    <vt:filetime>2018-10-19T00:00:00Z</vt:filetime>
  </property>
</Properties>
</file>