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4" w:firstLine="0"/>
        <w:jc w:val="right"/>
        <w:rPr>
          <w:sz w:val="18"/>
        </w:rPr>
      </w:pPr>
      <w:r>
        <w:rPr>
          <w:sz w:val="18"/>
        </w:rPr>
        <w:t>北大方正人寿[2015]疾病保险 024 号</w:t>
      </w:r>
    </w:p>
    <w:p>
      <w:pPr>
        <w:pStyle w:val="BodyText"/>
        <w:spacing w:before="10"/>
        <w:rPr>
          <w:sz w:val="7"/>
        </w:rPr>
      </w:pPr>
    </w:p>
    <w:p>
      <w:pPr>
        <w:pStyle w:val="BodyText"/>
        <w:ind w:left="7500"/>
      </w:pPr>
      <w:r>
        <w:rPr/>
        <w:drawing>
          <wp:inline distT="0" distB="0" distL="0" distR="0">
            <wp:extent cx="720823"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0823" cy="723900"/>
                    </a:xfrm>
                    <a:prstGeom prst="rect">
                      <a:avLst/>
                    </a:prstGeom>
                  </pic:spPr>
                </pic:pic>
              </a:graphicData>
            </a:graphic>
          </wp:inline>
        </w:drawing>
      </w:r>
      <w:r>
        <w:rPr/>
      </w:r>
    </w:p>
    <w:p>
      <w:pPr>
        <w:spacing w:after="0"/>
        <w:sectPr>
          <w:footerReference w:type="default" r:id="rId5"/>
          <w:type w:val="continuous"/>
          <w:pgSz w:w="11960" w:h="16850"/>
          <w:pgMar w:footer="1001" w:top="280" w:bottom="1200" w:left="1600" w:right="760"/>
          <w:pgNumType w:start="1"/>
        </w:sectPr>
      </w:pPr>
    </w:p>
    <w:p>
      <w:pPr>
        <w:spacing w:line="378" w:lineRule="exact" w:before="0"/>
        <w:ind w:left="2613" w:right="70" w:firstLine="0"/>
        <w:jc w:val="center"/>
        <w:rPr>
          <w:b/>
          <w:sz w:val="30"/>
        </w:rPr>
      </w:pPr>
      <w:r>
        <w:rPr>
          <w:b/>
          <w:w w:val="95"/>
          <w:sz w:val="30"/>
        </w:rPr>
        <w:t>北大方正人寿保险有限公司</w:t>
      </w:r>
    </w:p>
    <w:p>
      <w:pPr>
        <w:spacing w:before="231"/>
        <w:ind w:left="2613" w:right="69" w:firstLine="0"/>
        <w:jc w:val="center"/>
        <w:rPr>
          <w:b/>
          <w:sz w:val="30"/>
        </w:rPr>
      </w:pPr>
      <w:r>
        <w:rPr>
          <w:b/>
          <w:w w:val="95"/>
          <w:sz w:val="30"/>
        </w:rPr>
        <w:t>美丽人生母婴疾病保险条款</w:t>
      </w:r>
    </w:p>
    <w:p>
      <w:pPr>
        <w:spacing w:before="231"/>
        <w:ind w:left="2613" w:right="66" w:firstLine="0"/>
        <w:jc w:val="center"/>
        <w:rPr>
          <w:b/>
          <w:sz w:val="30"/>
        </w:rPr>
      </w:pPr>
      <w:r>
        <w:rPr>
          <w:b/>
          <w:sz w:val="30"/>
        </w:rPr>
        <w:t>（</w:t>
      </w:r>
      <w:r>
        <w:rPr>
          <w:rFonts w:ascii="Times New Roman" w:eastAsia="Times New Roman"/>
          <w:b/>
          <w:sz w:val="30"/>
        </w:rPr>
        <w:t>2015 </w:t>
      </w:r>
      <w:r>
        <w:rPr>
          <w:b/>
          <w:sz w:val="30"/>
        </w:rPr>
        <w:t>年 </w:t>
      </w:r>
      <w:r>
        <w:rPr>
          <w:rFonts w:ascii="Times New Roman" w:eastAsia="Times New Roman"/>
          <w:b/>
          <w:sz w:val="30"/>
        </w:rPr>
        <w:t>12 </w:t>
      </w:r>
      <w:r>
        <w:rPr>
          <w:b/>
          <w:sz w:val="30"/>
        </w:rPr>
        <w:t>月）</w:t>
      </w:r>
    </w:p>
    <w:p>
      <w:pPr>
        <w:spacing w:before="25"/>
        <w:ind w:left="937" w:right="0" w:firstLine="0"/>
        <w:jc w:val="left"/>
        <w:rPr>
          <w:sz w:val="18"/>
        </w:rPr>
      </w:pPr>
      <w:r>
        <w:rPr/>
        <w:br w:type="column"/>
      </w:r>
      <w:r>
        <w:rPr>
          <w:sz w:val="18"/>
        </w:rPr>
        <w:t>请扫描以查询验证条款</w:t>
      </w:r>
    </w:p>
    <w:p>
      <w:pPr>
        <w:spacing w:after="0"/>
        <w:jc w:val="left"/>
        <w:rPr>
          <w:sz w:val="18"/>
        </w:rPr>
        <w:sectPr>
          <w:type w:val="continuous"/>
          <w:pgSz w:w="11960" w:h="16850"/>
          <w:pgMar w:top="280" w:bottom="1200" w:left="1600" w:right="760"/>
          <w:cols w:num="2" w:equalWidth="0">
            <w:col w:w="6158" w:space="40"/>
            <w:col w:w="3402"/>
          </w:cols>
        </w:sectPr>
      </w:pPr>
    </w:p>
    <w:p>
      <w:pPr>
        <w:pStyle w:val="BodyText"/>
      </w:pPr>
    </w:p>
    <w:p>
      <w:pPr>
        <w:pStyle w:val="BodyText"/>
        <w:spacing w:before="3"/>
        <w:rPr>
          <w:sz w:val="29"/>
        </w:rPr>
      </w:pPr>
    </w:p>
    <w:p>
      <w:pPr>
        <w:spacing w:before="36"/>
        <w:ind w:left="0" w:right="882" w:firstLine="0"/>
        <w:jc w:val="center"/>
        <w:rPr>
          <w:sz w:val="21"/>
        </w:rPr>
      </w:pPr>
      <w:r>
        <w:rPr>
          <w:sz w:val="21"/>
        </w:rPr>
        <w:t>目录</w:t>
      </w:r>
    </w:p>
    <w:sdt>
      <w:sdtPr>
        <w:docPartObj>
          <w:docPartGallery w:val="Table of Contents"/>
          <w:docPartUnique/>
        </w:docPartObj>
      </w:sdtPr>
      <w:sdtEndPr/>
      <w:sdtContent>
        <w:p>
          <w:pPr>
            <w:pStyle w:val="TOC1"/>
            <w:tabs>
              <w:tab w:pos="8387" w:val="left" w:leader="middleDot"/>
            </w:tabs>
            <w:spacing w:before="156"/>
            <w:ind w:right="541"/>
            <w:rPr>
              <w:rFonts w:ascii="Times New Roman" w:hAnsi="Times New Roman" w:eastAsia="Times New Roman"/>
            </w:rPr>
          </w:pPr>
          <w:r>
            <w:rPr/>
            <w:t>第一</w:t>
          </w:r>
          <w:r>
            <w:rPr>
              <w:spacing w:val="-3"/>
            </w:rPr>
            <w:t>部</w:t>
          </w:r>
          <w:r>
            <w:rPr/>
            <w:t>分</w:t>
          </w:r>
          <w:r>
            <w:rPr>
              <w:spacing w:val="-54"/>
            </w:rPr>
            <w:t> </w:t>
          </w:r>
          <w:r>
            <w:rPr>
              <w:rFonts w:ascii="Calibri" w:hAnsi="Calibri" w:eastAsia="Calibri"/>
            </w:rPr>
            <w:t>···</w:t>
          </w:r>
          <w:r>
            <w:rPr/>
            <w:t>您（</w:t>
          </w:r>
          <w:r>
            <w:rPr>
              <w:spacing w:val="-3"/>
            </w:rPr>
            <w:t>投</w:t>
          </w:r>
          <w:r>
            <w:rPr/>
            <w:t>保</w:t>
          </w:r>
          <w:r>
            <w:rPr>
              <w:spacing w:val="-3"/>
            </w:rPr>
            <w:t>人</w:t>
          </w:r>
          <w:r>
            <w:rPr/>
            <w:t>）</w:t>
          </w:r>
          <w:r>
            <w:rPr>
              <w:spacing w:val="-3"/>
            </w:rPr>
            <w:t>与</w:t>
          </w:r>
          <w:r>
            <w:rPr/>
            <w:t>我</w:t>
          </w:r>
          <w:r>
            <w:rPr>
              <w:spacing w:val="-3"/>
            </w:rPr>
            <w:t>们</w:t>
          </w:r>
          <w:r>
            <w:rPr/>
            <w:t>（</w:t>
          </w:r>
          <w:r>
            <w:rPr>
              <w:spacing w:val="-3"/>
            </w:rPr>
            <w:t>北</w:t>
          </w:r>
          <w:r>
            <w:rPr/>
            <w:t>大方</w:t>
          </w:r>
          <w:r>
            <w:rPr>
              <w:spacing w:val="-3"/>
            </w:rPr>
            <w:t>正</w:t>
          </w:r>
          <w:r>
            <w:rPr/>
            <w:t>人</w:t>
          </w:r>
          <w:r>
            <w:rPr>
              <w:spacing w:val="-3"/>
            </w:rPr>
            <w:t>寿</w:t>
          </w:r>
          <w:r>
            <w:rPr/>
            <w:t>保</w:t>
          </w:r>
          <w:r>
            <w:rPr>
              <w:spacing w:val="-3"/>
            </w:rPr>
            <w:t>险</w:t>
          </w:r>
          <w:r>
            <w:rPr/>
            <w:t>有</w:t>
          </w:r>
          <w:r>
            <w:rPr>
              <w:spacing w:val="-3"/>
            </w:rPr>
            <w:t>限</w:t>
          </w:r>
          <w:r>
            <w:rPr/>
            <w:t>公</w:t>
          </w:r>
          <w:r>
            <w:rPr>
              <w:spacing w:val="-3"/>
            </w:rPr>
            <w:t>司</w:t>
          </w:r>
          <w:r>
            <w:rPr/>
            <w:t>）的</w:t>
          </w:r>
          <w:r>
            <w:rPr>
              <w:spacing w:val="-3"/>
            </w:rPr>
            <w:t>合</w:t>
          </w:r>
          <w:r>
            <w:rPr/>
            <w:t>同</w:t>
            <w:tab/>
          </w:r>
          <w:r>
            <w:rPr>
              <w:rFonts w:ascii="Times New Roman" w:hAnsi="Times New Roman" w:eastAsia="Times New Roman"/>
              <w:spacing w:val="-11"/>
            </w:rPr>
            <w:t>2······</w:t>
          </w:r>
        </w:p>
        <w:p>
          <w:pPr>
            <w:pStyle w:val="TOC1"/>
            <w:tabs>
              <w:tab w:pos="1207" w:val="left" w:leader="none"/>
              <w:tab w:pos="8176" w:val="left" w:leader="dot"/>
            </w:tabs>
            <w:spacing w:before="130"/>
            <w:rPr>
              <w:rFonts w:ascii="Times New Roman" w:eastAsia="Times New Roman"/>
            </w:rPr>
          </w:pPr>
          <w:hyperlink w:history="true" w:anchor="_TOC_250024">
            <w:r>
              <w:rPr/>
              <w:t>第一条</w:t>
              <w:tab/>
              <w:t>合同</w:t>
            </w:r>
            <w:r>
              <w:rPr>
                <w:spacing w:val="-3"/>
              </w:rPr>
              <w:t>的</w:t>
            </w:r>
            <w:r>
              <w:rPr/>
              <w:t>构成</w:t>
              <w:tab/>
            </w:r>
            <w:r>
              <w:rPr>
                <w:rFonts w:ascii="Times New Roman" w:eastAsia="Times New Roman"/>
              </w:rPr>
              <w:t>2</w:t>
            </w:r>
          </w:hyperlink>
        </w:p>
        <w:p>
          <w:pPr>
            <w:pStyle w:val="TOC1"/>
            <w:tabs>
              <w:tab w:pos="1207" w:val="left" w:leader="none"/>
              <w:tab w:pos="8176" w:val="left" w:leader="dot"/>
            </w:tabs>
            <w:rPr>
              <w:rFonts w:ascii="Times New Roman" w:eastAsia="Times New Roman"/>
            </w:rPr>
          </w:pPr>
          <w:r>
            <w:rPr/>
            <w:t>第二条</w:t>
            <w:tab/>
            <w:t>投保</w:t>
          </w:r>
          <w:r>
            <w:rPr>
              <w:spacing w:val="-3"/>
            </w:rPr>
            <w:t>范</w:t>
          </w:r>
          <w:r>
            <w:rPr/>
            <w:t>围</w:t>
            <w:tab/>
          </w:r>
          <w:r>
            <w:rPr>
              <w:rFonts w:ascii="Times New Roman" w:eastAsia="Times New Roman"/>
            </w:rPr>
            <w:t>2</w:t>
          </w:r>
        </w:p>
        <w:p>
          <w:pPr>
            <w:pStyle w:val="TOC1"/>
            <w:tabs>
              <w:tab w:pos="1207" w:val="left" w:leader="none"/>
              <w:tab w:pos="8176" w:val="left" w:leader="dot"/>
            </w:tabs>
            <w:rPr>
              <w:rFonts w:ascii="Times New Roman" w:eastAsia="Times New Roman"/>
            </w:rPr>
          </w:pPr>
          <w:r>
            <w:rPr/>
            <w:t>第三条</w:t>
            <w:tab/>
            <w:t>保险</w:t>
          </w:r>
          <w:r>
            <w:rPr>
              <w:spacing w:val="-3"/>
            </w:rPr>
            <w:t>期</w:t>
          </w:r>
          <w:r>
            <w:rPr/>
            <w:t>间</w:t>
            <w:tab/>
          </w:r>
          <w:r>
            <w:rPr>
              <w:rFonts w:ascii="Times New Roman" w:eastAsia="Times New Roman"/>
            </w:rPr>
            <w:t>2</w:t>
          </w:r>
        </w:p>
        <w:p>
          <w:pPr>
            <w:pStyle w:val="TOC1"/>
            <w:tabs>
              <w:tab w:pos="1207" w:val="left" w:leader="none"/>
              <w:tab w:pos="8176" w:val="left" w:leader="dot"/>
            </w:tabs>
            <w:rPr>
              <w:rFonts w:ascii="Times New Roman" w:eastAsia="Times New Roman"/>
            </w:rPr>
          </w:pPr>
          <w:hyperlink w:history="true" w:anchor="_TOC_250023">
            <w:r>
              <w:rPr/>
              <w:t>第四条</w:t>
              <w:tab/>
              <w:t>保险</w:t>
            </w:r>
            <w:r>
              <w:rPr>
                <w:spacing w:val="-3"/>
              </w:rPr>
              <w:t>责</w:t>
            </w:r>
            <w:r>
              <w:rPr/>
              <w:t>任</w:t>
            </w:r>
            <w:r>
              <w:rPr>
                <w:spacing w:val="-3"/>
              </w:rPr>
              <w:t>的</w:t>
            </w:r>
            <w:r>
              <w:rPr/>
              <w:t>开始</w:t>
              <w:tab/>
            </w:r>
            <w:r>
              <w:rPr>
                <w:rFonts w:ascii="Times New Roman" w:eastAsia="Times New Roman"/>
              </w:rPr>
              <w:t>2</w:t>
            </w:r>
          </w:hyperlink>
        </w:p>
        <w:p>
          <w:pPr>
            <w:pStyle w:val="TOC2"/>
            <w:tabs>
              <w:tab w:pos="8488" w:val="left" w:leader="middleDot"/>
            </w:tabs>
            <w:rPr>
              <w:rFonts w:ascii="Times New Roman" w:hAnsi="Times New Roman" w:eastAsia="Times New Roman"/>
            </w:rPr>
          </w:pPr>
          <w:hyperlink w:history="true" w:anchor="_TOC_250022">
            <w:r>
              <w:rPr/>
              <w:t>第二</w:t>
            </w:r>
            <w:r>
              <w:rPr>
                <w:spacing w:val="-3"/>
              </w:rPr>
              <w:t>部</w:t>
            </w:r>
            <w:r>
              <w:rPr/>
              <w:t>分</w:t>
            </w:r>
            <w:r>
              <w:rPr>
                <w:spacing w:val="-58"/>
              </w:rPr>
              <w:t> </w:t>
            </w:r>
            <w:r>
              <w:rPr>
                <w:rFonts w:ascii="Calibri" w:hAnsi="Calibri" w:eastAsia="Calibri"/>
              </w:rPr>
              <w:t>···</w:t>
            </w:r>
            <w:r>
              <w:rPr/>
              <w:t>我们</w:t>
            </w:r>
            <w:r>
              <w:rPr>
                <w:spacing w:val="-3"/>
              </w:rPr>
              <w:t>提</w:t>
            </w:r>
            <w:r>
              <w:rPr/>
              <w:t>供</w:t>
            </w:r>
            <w:r>
              <w:rPr>
                <w:spacing w:val="-3"/>
              </w:rPr>
              <w:t>的</w:t>
            </w:r>
            <w:r>
              <w:rPr/>
              <w:t>保障</w:t>
              <w:tab/>
            </w:r>
            <w:r>
              <w:rPr>
                <w:rFonts w:ascii="Times New Roman" w:hAnsi="Times New Roman" w:eastAsia="Times New Roman"/>
                <w:spacing w:val="-33"/>
              </w:rPr>
              <w:t>2·</w:t>
            </w:r>
          </w:hyperlink>
        </w:p>
        <w:p>
          <w:pPr>
            <w:pStyle w:val="TOC1"/>
            <w:tabs>
              <w:tab w:pos="1207" w:val="left" w:leader="none"/>
              <w:tab w:pos="8176" w:val="left" w:leader="dot"/>
            </w:tabs>
            <w:spacing w:before="130"/>
            <w:rPr>
              <w:rFonts w:ascii="Times New Roman" w:eastAsia="Times New Roman"/>
            </w:rPr>
          </w:pPr>
          <w:hyperlink w:history="true" w:anchor="_TOC_250021">
            <w:r>
              <w:rPr/>
              <w:t>第五条</w:t>
              <w:tab/>
              <w:t>基本</w:t>
            </w:r>
            <w:r>
              <w:rPr>
                <w:spacing w:val="-3"/>
              </w:rPr>
              <w:t>保</w:t>
            </w:r>
            <w:r>
              <w:rPr/>
              <w:t>险</w:t>
            </w:r>
            <w:r>
              <w:rPr>
                <w:spacing w:val="-3"/>
              </w:rPr>
              <w:t>金</w:t>
            </w:r>
            <w:r>
              <w:rPr/>
              <w:t>额</w:t>
              <w:tab/>
            </w:r>
            <w:r>
              <w:rPr>
                <w:rFonts w:ascii="Times New Roman" w:eastAsia="Times New Roman"/>
              </w:rPr>
              <w:t>3</w:t>
            </w:r>
          </w:hyperlink>
        </w:p>
        <w:p>
          <w:pPr>
            <w:pStyle w:val="TOC1"/>
            <w:tabs>
              <w:tab w:pos="1207" w:val="left" w:leader="none"/>
              <w:tab w:pos="8176" w:val="left" w:leader="dot"/>
            </w:tabs>
            <w:rPr>
              <w:rFonts w:ascii="Times New Roman" w:eastAsia="Times New Roman"/>
            </w:rPr>
          </w:pPr>
          <w:hyperlink w:history="true" w:anchor="_TOC_250020">
            <w:r>
              <w:rPr/>
              <w:t>第六条</w:t>
              <w:tab/>
              <w:t>保险</w:t>
            </w:r>
            <w:r>
              <w:rPr>
                <w:spacing w:val="-3"/>
              </w:rPr>
              <w:t>责</w:t>
            </w:r>
            <w:r>
              <w:rPr/>
              <w:t>任</w:t>
              <w:tab/>
            </w:r>
            <w:r>
              <w:rPr>
                <w:rFonts w:ascii="Times New Roman" w:eastAsia="Times New Roman"/>
              </w:rPr>
              <w:t>3</w:t>
            </w:r>
          </w:hyperlink>
        </w:p>
        <w:p>
          <w:pPr>
            <w:pStyle w:val="TOC1"/>
            <w:tabs>
              <w:tab w:pos="1207" w:val="left" w:leader="none"/>
              <w:tab w:pos="8176" w:val="left" w:leader="dot"/>
            </w:tabs>
            <w:rPr>
              <w:rFonts w:ascii="Times New Roman" w:eastAsia="Times New Roman"/>
            </w:rPr>
          </w:pPr>
          <w:hyperlink w:history="true" w:anchor="_TOC_250019">
            <w:r>
              <w:rPr/>
              <w:t>第七条</w:t>
              <w:tab/>
              <w:t>责任</w:t>
            </w:r>
            <w:r>
              <w:rPr>
                <w:spacing w:val="-3"/>
              </w:rPr>
              <w:t>免</w:t>
            </w:r>
            <w:r>
              <w:rPr/>
              <w:t>除</w:t>
              <w:tab/>
            </w:r>
            <w:r>
              <w:rPr>
                <w:rFonts w:ascii="Times New Roman" w:eastAsia="Times New Roman"/>
              </w:rPr>
              <w:t>4</w:t>
            </w:r>
          </w:hyperlink>
        </w:p>
        <w:p>
          <w:pPr>
            <w:pStyle w:val="TOC1"/>
            <w:tabs>
              <w:tab w:pos="8387" w:val="left" w:leader="middleDot"/>
            </w:tabs>
            <w:spacing w:before="141"/>
            <w:ind w:right="541"/>
            <w:rPr>
              <w:rFonts w:ascii="Times New Roman" w:hAnsi="Times New Roman" w:eastAsia="Times New Roman"/>
            </w:rPr>
          </w:pPr>
          <w:hyperlink w:history="true" w:anchor="_TOC_250018">
            <w:r>
              <w:rPr/>
              <w:t>第三</w:t>
            </w:r>
            <w:r>
              <w:rPr>
                <w:spacing w:val="-3"/>
              </w:rPr>
              <w:t>部</w:t>
            </w:r>
            <w:r>
              <w:rPr/>
              <w:t>分</w:t>
            </w:r>
            <w:r>
              <w:rPr>
                <w:spacing w:val="-58"/>
              </w:rPr>
              <w:t> </w:t>
            </w:r>
            <w:r>
              <w:rPr>
                <w:rFonts w:ascii="Calibri" w:hAnsi="Calibri" w:eastAsia="Calibri"/>
              </w:rPr>
              <w:t>···</w:t>
            </w:r>
            <w:r>
              <w:rPr/>
              <w:t>如何</w:t>
            </w:r>
            <w:r>
              <w:rPr>
                <w:spacing w:val="-3"/>
              </w:rPr>
              <w:t>申</w:t>
            </w:r>
            <w:r>
              <w:rPr/>
              <w:t>请</w:t>
            </w:r>
            <w:r>
              <w:rPr>
                <w:spacing w:val="-3"/>
              </w:rPr>
              <w:t>领</w:t>
            </w:r>
            <w:r>
              <w:rPr/>
              <w:t>取</w:t>
            </w:r>
            <w:r>
              <w:rPr>
                <w:spacing w:val="-3"/>
              </w:rPr>
              <w:t>保</w:t>
            </w:r>
            <w:r>
              <w:rPr/>
              <w:t>险金</w:t>
              <w:tab/>
            </w:r>
            <w:r>
              <w:rPr>
                <w:rFonts w:ascii="Times New Roman" w:hAnsi="Times New Roman" w:eastAsia="Times New Roman"/>
                <w:spacing w:val="-11"/>
              </w:rPr>
              <w:t>4······</w:t>
            </w:r>
          </w:hyperlink>
        </w:p>
        <w:p>
          <w:pPr>
            <w:pStyle w:val="TOC1"/>
            <w:tabs>
              <w:tab w:pos="1207" w:val="left" w:leader="none"/>
              <w:tab w:pos="8176" w:val="left" w:leader="dot"/>
            </w:tabs>
            <w:spacing w:before="130"/>
            <w:rPr>
              <w:rFonts w:ascii="Times New Roman" w:eastAsia="Times New Roman"/>
            </w:rPr>
          </w:pPr>
          <w:hyperlink w:history="true" w:anchor="_TOC_250017">
            <w:r>
              <w:rPr/>
              <w:t>第八条</w:t>
              <w:tab/>
              <w:t>受益</w:t>
            </w:r>
            <w:r>
              <w:rPr>
                <w:spacing w:val="-3"/>
              </w:rPr>
              <w:t>人</w:t>
            </w:r>
            <w:r>
              <w:rPr/>
              <w:t>的</w:t>
            </w:r>
            <w:r>
              <w:rPr>
                <w:spacing w:val="-3"/>
              </w:rPr>
              <w:t>指</w:t>
            </w:r>
            <w:r>
              <w:rPr/>
              <w:t>定</w:t>
            </w:r>
            <w:r>
              <w:rPr>
                <w:spacing w:val="-3"/>
              </w:rPr>
              <w:t>和</w:t>
            </w:r>
            <w:r>
              <w:rPr/>
              <w:t>变更</w:t>
              <w:tab/>
            </w:r>
            <w:r>
              <w:rPr>
                <w:rFonts w:ascii="Times New Roman" w:eastAsia="Times New Roman"/>
              </w:rPr>
              <w:t>4</w:t>
            </w:r>
          </w:hyperlink>
        </w:p>
        <w:p>
          <w:pPr>
            <w:pStyle w:val="TOC1"/>
            <w:tabs>
              <w:tab w:pos="1207" w:val="left" w:leader="none"/>
              <w:tab w:pos="8176" w:val="left" w:leader="dot"/>
            </w:tabs>
            <w:rPr>
              <w:rFonts w:ascii="Times New Roman" w:eastAsia="Times New Roman"/>
            </w:rPr>
          </w:pPr>
          <w:hyperlink w:history="true" w:anchor="_TOC_250016">
            <w:r>
              <w:rPr/>
              <w:t>第九条</w:t>
              <w:tab/>
              <w:t>保险</w:t>
            </w:r>
            <w:r>
              <w:rPr>
                <w:spacing w:val="-3"/>
              </w:rPr>
              <w:t>事</w:t>
            </w:r>
            <w:r>
              <w:rPr/>
              <w:t>故</w:t>
            </w:r>
            <w:r>
              <w:rPr>
                <w:spacing w:val="-3"/>
              </w:rPr>
              <w:t>的</w:t>
            </w:r>
            <w:r>
              <w:rPr/>
              <w:t>通知</w:t>
              <w:tab/>
            </w:r>
            <w:r>
              <w:rPr>
                <w:rFonts w:ascii="Times New Roman" w:eastAsia="Times New Roman"/>
              </w:rPr>
              <w:t>4</w:t>
            </w:r>
          </w:hyperlink>
        </w:p>
        <w:p>
          <w:pPr>
            <w:pStyle w:val="TOC1"/>
            <w:tabs>
              <w:tab w:pos="1207" w:val="left" w:leader="none"/>
              <w:tab w:pos="8176" w:val="left" w:leader="dot"/>
            </w:tabs>
            <w:rPr>
              <w:rFonts w:ascii="Times New Roman" w:eastAsia="Times New Roman"/>
            </w:rPr>
          </w:pPr>
          <w:hyperlink w:history="true" w:anchor="_TOC_250015">
            <w:r>
              <w:rPr/>
              <w:t>第十条</w:t>
              <w:tab/>
              <w:t>申请</w:t>
            </w:r>
            <w:r>
              <w:rPr>
                <w:spacing w:val="-3"/>
              </w:rPr>
              <w:t>资</w:t>
            </w:r>
            <w:r>
              <w:rPr/>
              <w:t>料</w:t>
              <w:tab/>
            </w:r>
            <w:r>
              <w:rPr>
                <w:rFonts w:ascii="Times New Roman" w:eastAsia="Times New Roman"/>
              </w:rPr>
              <w:t>4</w:t>
            </w:r>
          </w:hyperlink>
        </w:p>
        <w:p>
          <w:pPr>
            <w:pStyle w:val="TOC1"/>
            <w:tabs>
              <w:tab w:pos="1207" w:val="left" w:leader="none"/>
              <w:tab w:pos="8176" w:val="left" w:leader="dot"/>
            </w:tabs>
            <w:rPr>
              <w:rFonts w:ascii="Times New Roman" w:eastAsia="Times New Roman"/>
            </w:rPr>
          </w:pPr>
          <w:hyperlink w:history="true" w:anchor="_TOC_250014">
            <w:r>
              <w:rPr/>
              <w:t>第十</w:t>
            </w:r>
            <w:r>
              <w:rPr>
                <w:spacing w:val="-3"/>
              </w:rPr>
              <w:t>一</w:t>
            </w:r>
            <w:r>
              <w:rPr/>
              <w:t>条</w:t>
              <w:tab/>
              <w:t>保险</w:t>
            </w:r>
            <w:r>
              <w:rPr>
                <w:spacing w:val="-3"/>
              </w:rPr>
              <w:t>金</w:t>
            </w:r>
            <w:r>
              <w:rPr/>
              <w:t>的</w:t>
            </w:r>
            <w:r>
              <w:rPr>
                <w:spacing w:val="-3"/>
              </w:rPr>
              <w:t>给</w:t>
            </w:r>
            <w:r>
              <w:rPr/>
              <w:t>付</w:t>
              <w:tab/>
            </w:r>
            <w:r>
              <w:rPr>
                <w:rFonts w:ascii="Times New Roman" w:eastAsia="Times New Roman"/>
              </w:rPr>
              <w:t>5</w:t>
            </w:r>
          </w:hyperlink>
        </w:p>
        <w:p>
          <w:pPr>
            <w:pStyle w:val="TOC1"/>
            <w:tabs>
              <w:tab w:pos="1207" w:val="left" w:leader="none"/>
              <w:tab w:pos="8176" w:val="left" w:leader="dot"/>
            </w:tabs>
            <w:rPr>
              <w:rFonts w:ascii="Times New Roman" w:eastAsia="Times New Roman"/>
            </w:rPr>
          </w:pPr>
          <w:hyperlink w:history="true" w:anchor="_TOC_250013">
            <w:r>
              <w:rPr/>
              <w:t>第十</w:t>
            </w:r>
            <w:r>
              <w:rPr>
                <w:spacing w:val="-3"/>
              </w:rPr>
              <w:t>二</w:t>
            </w:r>
            <w:r>
              <w:rPr/>
              <w:t>条</w:t>
              <w:tab/>
              <w:t>诉讼</w:t>
            </w:r>
            <w:r>
              <w:rPr>
                <w:spacing w:val="-3"/>
              </w:rPr>
              <w:t>时</w:t>
            </w:r>
            <w:r>
              <w:rPr/>
              <w:t>效</w:t>
              <w:tab/>
            </w:r>
            <w:r>
              <w:rPr>
                <w:rFonts w:ascii="Times New Roman" w:eastAsia="Times New Roman"/>
              </w:rPr>
              <w:t>5</w:t>
            </w:r>
          </w:hyperlink>
        </w:p>
        <w:p>
          <w:pPr>
            <w:pStyle w:val="TOC2"/>
            <w:tabs>
              <w:tab w:pos="8488" w:val="left" w:leader="middleDot"/>
            </w:tabs>
            <w:rPr>
              <w:rFonts w:ascii="Times New Roman" w:hAnsi="Times New Roman" w:eastAsia="Times New Roman"/>
            </w:rPr>
          </w:pPr>
          <w:hyperlink w:history="true" w:anchor="_TOC_250012">
            <w:r>
              <w:rPr/>
              <w:t>第四</w:t>
            </w:r>
            <w:r>
              <w:rPr>
                <w:spacing w:val="-3"/>
              </w:rPr>
              <w:t>部</w:t>
            </w:r>
            <w:r>
              <w:rPr/>
              <w:t>分</w:t>
            </w:r>
            <w:r>
              <w:rPr>
                <w:spacing w:val="-58"/>
              </w:rPr>
              <w:t> </w:t>
            </w:r>
            <w:r>
              <w:rPr>
                <w:rFonts w:ascii="Calibri" w:hAnsi="Calibri" w:eastAsia="Calibri"/>
              </w:rPr>
              <w:t>···</w:t>
            </w:r>
            <w:r>
              <w:rPr/>
              <w:t>如何</w:t>
            </w:r>
            <w:r>
              <w:rPr>
                <w:spacing w:val="-3"/>
              </w:rPr>
              <w:t>交</w:t>
            </w:r>
            <w:r>
              <w:rPr/>
              <w:t>纳</w:t>
            </w:r>
            <w:r>
              <w:rPr>
                <w:spacing w:val="-3"/>
              </w:rPr>
              <w:t>保</w:t>
            </w:r>
            <w:r>
              <w:rPr/>
              <w:t>险费</w:t>
              <w:tab/>
            </w:r>
            <w:r>
              <w:rPr>
                <w:rFonts w:ascii="Times New Roman" w:hAnsi="Times New Roman" w:eastAsia="Times New Roman"/>
                <w:spacing w:val="-33"/>
              </w:rPr>
              <w:t>5·</w:t>
            </w:r>
          </w:hyperlink>
        </w:p>
        <w:p>
          <w:pPr>
            <w:pStyle w:val="TOC1"/>
            <w:tabs>
              <w:tab w:pos="1207" w:val="left" w:leader="none"/>
              <w:tab w:pos="8176" w:val="left" w:leader="dot"/>
            </w:tabs>
            <w:spacing w:before="130"/>
            <w:rPr>
              <w:rFonts w:ascii="Times New Roman" w:eastAsia="Times New Roman"/>
            </w:rPr>
          </w:pPr>
          <w:hyperlink w:history="true" w:anchor="_TOC_250011">
            <w:r>
              <w:rPr/>
              <w:t>第十</w:t>
            </w:r>
            <w:r>
              <w:rPr>
                <w:spacing w:val="-3"/>
              </w:rPr>
              <w:t>三</w:t>
            </w:r>
            <w:r>
              <w:rPr/>
              <w:t>条</w:t>
              <w:tab/>
              <w:t>保险</w:t>
            </w:r>
            <w:r>
              <w:rPr>
                <w:spacing w:val="-3"/>
              </w:rPr>
              <w:t>费</w:t>
            </w:r>
            <w:r>
              <w:rPr/>
              <w:t>的</w:t>
            </w:r>
            <w:r>
              <w:rPr>
                <w:spacing w:val="-3"/>
              </w:rPr>
              <w:t>交</w:t>
            </w:r>
            <w:r>
              <w:rPr/>
              <w:t>纳</w:t>
              <w:tab/>
            </w:r>
            <w:r>
              <w:rPr>
                <w:rFonts w:ascii="Times New Roman" w:eastAsia="Times New Roman"/>
              </w:rPr>
              <w:t>6</w:t>
            </w:r>
          </w:hyperlink>
        </w:p>
        <w:p>
          <w:pPr>
            <w:pStyle w:val="TOC2"/>
            <w:tabs>
              <w:tab w:pos="8488" w:val="left" w:leader="middleDot"/>
            </w:tabs>
            <w:rPr>
              <w:rFonts w:ascii="Times New Roman" w:hAnsi="Times New Roman" w:eastAsia="Times New Roman"/>
            </w:rPr>
          </w:pPr>
          <w:hyperlink w:history="true" w:anchor="_TOC_250010">
            <w:r>
              <w:rPr/>
              <w:t>第五</w:t>
            </w:r>
            <w:r>
              <w:rPr>
                <w:spacing w:val="-3"/>
              </w:rPr>
              <w:t>部</w:t>
            </w:r>
            <w:r>
              <w:rPr/>
              <w:t>分</w:t>
            </w:r>
            <w:r>
              <w:rPr>
                <w:spacing w:val="-58"/>
              </w:rPr>
              <w:t> </w:t>
            </w:r>
            <w:r>
              <w:rPr>
                <w:rFonts w:ascii="Calibri" w:hAnsi="Calibri" w:eastAsia="Calibri"/>
              </w:rPr>
              <w:t>···</w:t>
            </w:r>
            <w:r>
              <w:rPr/>
              <w:t>合同</w:t>
            </w:r>
            <w:r>
              <w:rPr>
                <w:spacing w:val="-3"/>
              </w:rPr>
              <w:t>效</w:t>
            </w:r>
            <w:r>
              <w:rPr/>
              <w:t>力</w:t>
            </w:r>
            <w:r>
              <w:rPr>
                <w:spacing w:val="-3"/>
              </w:rPr>
              <w:t>的</w:t>
            </w:r>
            <w:r>
              <w:rPr/>
              <w:t>终止</w:t>
              <w:tab/>
            </w:r>
            <w:r>
              <w:rPr>
                <w:rFonts w:ascii="Times New Roman" w:hAnsi="Times New Roman" w:eastAsia="Times New Roman"/>
                <w:spacing w:val="-33"/>
              </w:rPr>
              <w:t>6·</w:t>
            </w:r>
          </w:hyperlink>
        </w:p>
        <w:p>
          <w:pPr>
            <w:pStyle w:val="TOC1"/>
            <w:tabs>
              <w:tab w:pos="1207" w:val="left" w:leader="none"/>
              <w:tab w:pos="8176" w:val="left" w:leader="dot"/>
            </w:tabs>
            <w:spacing w:before="130"/>
            <w:rPr>
              <w:rFonts w:ascii="Times New Roman" w:eastAsia="Times New Roman"/>
            </w:rPr>
          </w:pPr>
          <w:hyperlink w:history="true" w:anchor="_TOC_250009">
            <w:r>
              <w:rPr/>
              <w:t>第十</w:t>
            </w:r>
            <w:r>
              <w:rPr>
                <w:spacing w:val="-3"/>
              </w:rPr>
              <w:t>四</w:t>
            </w:r>
            <w:r>
              <w:rPr/>
              <w:t>条</w:t>
              <w:tab/>
              <w:t>您主</w:t>
            </w:r>
            <w:r>
              <w:rPr>
                <w:spacing w:val="-3"/>
              </w:rPr>
              <w:t>动</w:t>
            </w:r>
            <w:r>
              <w:rPr/>
              <w:t>解</w:t>
            </w:r>
            <w:r>
              <w:rPr>
                <w:spacing w:val="-3"/>
              </w:rPr>
              <w:t>除</w:t>
            </w:r>
            <w:r>
              <w:rPr/>
              <w:t>合</w:t>
            </w:r>
            <w:r>
              <w:rPr>
                <w:spacing w:val="-3"/>
              </w:rPr>
              <w:t>同</w:t>
            </w:r>
            <w:r>
              <w:rPr/>
              <w:t>的</w:t>
            </w:r>
            <w:r>
              <w:rPr>
                <w:spacing w:val="-3"/>
              </w:rPr>
              <w:t>权</w:t>
            </w:r>
            <w:r>
              <w:rPr/>
              <w:t>利</w:t>
              <w:tab/>
            </w:r>
            <w:r>
              <w:rPr>
                <w:rFonts w:ascii="Times New Roman" w:eastAsia="Times New Roman"/>
              </w:rPr>
              <w:t>6</w:t>
            </w:r>
          </w:hyperlink>
        </w:p>
        <w:p>
          <w:pPr>
            <w:pStyle w:val="TOC1"/>
            <w:tabs>
              <w:tab w:pos="1207" w:val="left" w:leader="none"/>
              <w:tab w:pos="8176" w:val="left" w:leader="dot"/>
            </w:tabs>
            <w:rPr>
              <w:rFonts w:ascii="Times New Roman" w:eastAsia="Times New Roman"/>
            </w:rPr>
          </w:pPr>
          <w:hyperlink w:history="true" w:anchor="_TOC_250008">
            <w:r>
              <w:rPr/>
              <w:t>第十</w:t>
            </w:r>
            <w:r>
              <w:rPr>
                <w:spacing w:val="-3"/>
              </w:rPr>
              <w:t>五</w:t>
            </w:r>
            <w:r>
              <w:rPr/>
              <w:t>条</w:t>
              <w:tab/>
              <w:t>合同</w:t>
            </w:r>
            <w:r>
              <w:rPr>
                <w:spacing w:val="-3"/>
              </w:rPr>
              <w:t>效</w:t>
            </w:r>
            <w:r>
              <w:rPr/>
              <w:t>力</w:t>
            </w:r>
            <w:r>
              <w:rPr>
                <w:spacing w:val="-3"/>
              </w:rPr>
              <w:t>的</w:t>
            </w:r>
            <w:r>
              <w:rPr/>
              <w:t>终止</w:t>
              <w:tab/>
            </w:r>
            <w:r>
              <w:rPr>
                <w:rFonts w:ascii="Times New Roman" w:eastAsia="Times New Roman"/>
              </w:rPr>
              <w:t>6</w:t>
            </w:r>
          </w:hyperlink>
        </w:p>
        <w:p>
          <w:pPr>
            <w:pStyle w:val="TOC1"/>
            <w:tabs>
              <w:tab w:pos="8387" w:val="left" w:leader="middleDot"/>
            </w:tabs>
            <w:spacing w:before="141"/>
            <w:ind w:right="521"/>
            <w:rPr>
              <w:rFonts w:ascii="Times New Roman" w:hAnsi="Times New Roman" w:eastAsia="Times New Roman"/>
            </w:rPr>
          </w:pPr>
          <w:hyperlink w:history="true" w:anchor="_TOC_250007">
            <w:r>
              <w:rPr/>
              <w:t>第六</w:t>
            </w:r>
            <w:r>
              <w:rPr>
                <w:spacing w:val="-3"/>
              </w:rPr>
              <w:t>部</w:t>
            </w:r>
            <w:r>
              <w:rPr/>
              <w:t>分</w:t>
            </w:r>
            <w:r>
              <w:rPr>
                <w:spacing w:val="-58"/>
              </w:rPr>
              <w:t> </w:t>
            </w:r>
            <w:r>
              <w:rPr>
                <w:rFonts w:ascii="Calibri" w:hAnsi="Calibri" w:eastAsia="Calibri"/>
              </w:rPr>
              <w:t>···</w:t>
            </w:r>
            <w:r>
              <w:rPr/>
              <w:t>您必</w:t>
            </w:r>
            <w:r>
              <w:rPr>
                <w:spacing w:val="-3"/>
              </w:rPr>
              <w:t>须</w:t>
            </w:r>
            <w:r>
              <w:rPr/>
              <w:t>了</w:t>
            </w:r>
            <w:r>
              <w:rPr>
                <w:spacing w:val="-3"/>
              </w:rPr>
              <w:t>解</w:t>
            </w:r>
            <w:r>
              <w:rPr/>
              <w:t>的</w:t>
            </w:r>
            <w:r>
              <w:rPr>
                <w:spacing w:val="-3"/>
              </w:rPr>
              <w:t>其</w:t>
            </w:r>
            <w:r>
              <w:rPr/>
              <w:t>他</w:t>
            </w:r>
            <w:r>
              <w:rPr>
                <w:spacing w:val="-3"/>
              </w:rPr>
              <w:t>事</w:t>
            </w:r>
            <w:r>
              <w:rPr/>
              <w:t>项</w:t>
              <w:tab/>
            </w:r>
            <w:r>
              <w:rPr>
                <w:rFonts w:ascii="Times New Roman" w:hAnsi="Times New Roman" w:eastAsia="Times New Roman"/>
                <w:spacing w:val="-8"/>
              </w:rPr>
              <w:t>6······</w:t>
            </w:r>
          </w:hyperlink>
        </w:p>
        <w:p>
          <w:pPr>
            <w:pStyle w:val="TOC1"/>
            <w:tabs>
              <w:tab w:pos="1207" w:val="left" w:leader="none"/>
              <w:tab w:pos="8176" w:val="left" w:leader="dot"/>
            </w:tabs>
            <w:spacing w:before="130"/>
            <w:rPr>
              <w:rFonts w:ascii="Times New Roman" w:eastAsia="Times New Roman"/>
            </w:rPr>
          </w:pPr>
          <w:hyperlink w:history="true" w:anchor="_TOC_250006">
            <w:r>
              <w:rPr/>
              <w:t>第十</w:t>
            </w:r>
            <w:r>
              <w:rPr>
                <w:spacing w:val="-3"/>
              </w:rPr>
              <w:t>六</w:t>
            </w:r>
            <w:r>
              <w:rPr/>
              <w:t>条</w:t>
              <w:tab/>
              <w:t>明确</w:t>
            </w:r>
            <w:r>
              <w:rPr>
                <w:spacing w:val="-3"/>
              </w:rPr>
              <w:t>说</w:t>
            </w:r>
            <w:r>
              <w:rPr/>
              <w:t>明</w:t>
            </w:r>
            <w:r>
              <w:rPr>
                <w:spacing w:val="-3"/>
              </w:rPr>
              <w:t>与</w:t>
            </w:r>
            <w:r>
              <w:rPr/>
              <w:t>如</w:t>
            </w:r>
            <w:r>
              <w:rPr>
                <w:spacing w:val="-3"/>
              </w:rPr>
              <w:t>实</w:t>
            </w:r>
            <w:r>
              <w:rPr/>
              <w:t>告知</w:t>
              <w:tab/>
            </w:r>
            <w:r>
              <w:rPr>
                <w:rFonts w:ascii="Times New Roman" w:eastAsia="Times New Roman"/>
              </w:rPr>
              <w:t>6</w:t>
            </w:r>
          </w:hyperlink>
        </w:p>
        <w:p>
          <w:pPr>
            <w:pStyle w:val="TOC1"/>
            <w:tabs>
              <w:tab w:pos="1207" w:val="left" w:leader="none"/>
              <w:tab w:pos="8176" w:val="left" w:leader="dot"/>
            </w:tabs>
            <w:rPr>
              <w:rFonts w:ascii="Times New Roman" w:eastAsia="Times New Roman"/>
            </w:rPr>
          </w:pPr>
          <w:hyperlink w:history="true" w:anchor="_TOC_250005">
            <w:r>
              <w:rPr/>
              <w:t>第十</w:t>
            </w:r>
            <w:r>
              <w:rPr>
                <w:spacing w:val="-3"/>
              </w:rPr>
              <w:t>七</w:t>
            </w:r>
            <w:r>
              <w:rPr/>
              <w:t>条</w:t>
              <w:tab/>
              <w:t>本公</w:t>
            </w:r>
            <w:r>
              <w:rPr>
                <w:spacing w:val="-3"/>
              </w:rPr>
              <w:t>司</w:t>
            </w:r>
            <w:r>
              <w:rPr/>
              <w:t>合</w:t>
            </w:r>
            <w:r>
              <w:rPr>
                <w:spacing w:val="-3"/>
              </w:rPr>
              <w:t>同</w:t>
            </w:r>
            <w:r>
              <w:rPr/>
              <w:t>解</w:t>
            </w:r>
            <w:r>
              <w:rPr>
                <w:spacing w:val="-3"/>
              </w:rPr>
              <w:t>除</w:t>
            </w:r>
            <w:r>
              <w:rPr/>
              <w:t>权</w:t>
            </w:r>
            <w:r>
              <w:rPr>
                <w:spacing w:val="-3"/>
              </w:rPr>
              <w:t>的</w:t>
            </w:r>
            <w:r>
              <w:rPr/>
              <w:t>限制</w:t>
              <w:tab/>
            </w:r>
            <w:r>
              <w:rPr>
                <w:rFonts w:ascii="Times New Roman" w:eastAsia="Times New Roman"/>
              </w:rPr>
              <w:t>7</w:t>
            </w:r>
          </w:hyperlink>
        </w:p>
        <w:p>
          <w:pPr>
            <w:pStyle w:val="TOC1"/>
            <w:tabs>
              <w:tab w:pos="1207" w:val="left" w:leader="none"/>
              <w:tab w:pos="8176" w:val="left" w:leader="dot"/>
            </w:tabs>
            <w:rPr>
              <w:rFonts w:ascii="Times New Roman" w:eastAsia="Times New Roman"/>
            </w:rPr>
          </w:pPr>
          <w:hyperlink w:history="true" w:anchor="_TOC_250004">
            <w:r>
              <w:rPr/>
              <w:t>第十</w:t>
            </w:r>
            <w:r>
              <w:rPr>
                <w:spacing w:val="-3"/>
              </w:rPr>
              <w:t>八</w:t>
            </w:r>
            <w:r>
              <w:rPr/>
              <w:t>条</w:t>
              <w:tab/>
              <w:t>变更</w:t>
            </w:r>
            <w:r>
              <w:rPr>
                <w:spacing w:val="-3"/>
              </w:rPr>
              <w:t>合</w:t>
            </w:r>
            <w:r>
              <w:rPr/>
              <w:t>同</w:t>
            </w:r>
            <w:r>
              <w:rPr>
                <w:spacing w:val="-3"/>
              </w:rPr>
              <w:t>内</w:t>
            </w:r>
            <w:r>
              <w:rPr/>
              <w:t>容</w:t>
            </w:r>
            <w:r>
              <w:rPr>
                <w:spacing w:val="-3"/>
              </w:rPr>
              <w:t>的</w:t>
            </w:r>
            <w:r>
              <w:rPr/>
              <w:t>权利</w:t>
              <w:tab/>
            </w:r>
            <w:r>
              <w:rPr>
                <w:rFonts w:ascii="Times New Roman" w:eastAsia="Times New Roman"/>
              </w:rPr>
              <w:t>7</w:t>
            </w:r>
          </w:hyperlink>
        </w:p>
        <w:p>
          <w:pPr>
            <w:pStyle w:val="TOC1"/>
            <w:tabs>
              <w:tab w:pos="1207" w:val="left" w:leader="none"/>
              <w:tab w:pos="8176" w:val="left" w:leader="dot"/>
            </w:tabs>
            <w:rPr>
              <w:rFonts w:ascii="Times New Roman" w:eastAsia="Times New Roman"/>
            </w:rPr>
          </w:pPr>
          <w:hyperlink w:history="true" w:anchor="_TOC_250003">
            <w:r>
              <w:rPr/>
              <w:t>第十</w:t>
            </w:r>
            <w:r>
              <w:rPr>
                <w:spacing w:val="-3"/>
              </w:rPr>
              <w:t>九</w:t>
            </w:r>
            <w:r>
              <w:rPr/>
              <w:t>条</w:t>
              <w:tab/>
              <w:t>年龄</w:t>
            </w:r>
            <w:r>
              <w:rPr>
                <w:spacing w:val="-3"/>
              </w:rPr>
              <w:t>、</w:t>
            </w:r>
            <w:r>
              <w:rPr/>
              <w:t>性</w:t>
            </w:r>
            <w:r>
              <w:rPr>
                <w:spacing w:val="-3"/>
              </w:rPr>
              <w:t>别</w:t>
            </w:r>
            <w:r>
              <w:rPr/>
              <w:t>的</w:t>
            </w:r>
            <w:r>
              <w:rPr>
                <w:spacing w:val="-3"/>
              </w:rPr>
              <w:t>确</w:t>
            </w:r>
            <w:r>
              <w:rPr/>
              <w:t>定</w:t>
            </w:r>
            <w:r>
              <w:rPr>
                <w:spacing w:val="-3"/>
              </w:rPr>
              <w:t>和</w:t>
            </w:r>
            <w:r>
              <w:rPr/>
              <w:t>错</w:t>
            </w:r>
            <w:r>
              <w:rPr>
                <w:spacing w:val="-3"/>
              </w:rPr>
              <w:t>误</w:t>
            </w:r>
            <w:r>
              <w:rPr/>
              <w:t>处理</w:t>
              <w:tab/>
            </w:r>
            <w:r>
              <w:rPr>
                <w:rFonts w:ascii="Times New Roman" w:eastAsia="Times New Roman"/>
              </w:rPr>
              <w:t>7</w:t>
            </w:r>
          </w:hyperlink>
        </w:p>
        <w:p>
          <w:pPr>
            <w:pStyle w:val="TOC1"/>
            <w:tabs>
              <w:tab w:pos="1207" w:val="left" w:leader="none"/>
              <w:tab w:pos="8176" w:val="left" w:leader="dot"/>
            </w:tabs>
            <w:rPr>
              <w:rFonts w:ascii="Times New Roman" w:eastAsia="Times New Roman"/>
            </w:rPr>
          </w:pPr>
          <w:hyperlink w:history="true" w:anchor="_TOC_250002">
            <w:r>
              <w:rPr/>
              <w:t>第二</w:t>
            </w:r>
            <w:r>
              <w:rPr>
                <w:spacing w:val="-3"/>
              </w:rPr>
              <w:t>十</w:t>
            </w:r>
            <w:r>
              <w:rPr/>
              <w:t>条</w:t>
              <w:tab/>
              <w:t>地址</w:t>
            </w:r>
            <w:r>
              <w:rPr>
                <w:spacing w:val="-3"/>
              </w:rPr>
              <w:t>变</w:t>
            </w:r>
            <w:r>
              <w:rPr/>
              <w:t>更</w:t>
            </w:r>
            <w:r>
              <w:rPr>
                <w:spacing w:val="-3"/>
              </w:rPr>
              <w:t>的</w:t>
            </w:r>
            <w:r>
              <w:rPr/>
              <w:t>通知</w:t>
              <w:tab/>
            </w:r>
            <w:r>
              <w:rPr>
                <w:rFonts w:ascii="Times New Roman" w:eastAsia="Times New Roman"/>
              </w:rPr>
              <w:t>8</w:t>
            </w:r>
          </w:hyperlink>
        </w:p>
        <w:p>
          <w:pPr>
            <w:pStyle w:val="TOC1"/>
            <w:tabs>
              <w:tab w:pos="8176" w:val="left" w:leader="dot"/>
            </w:tabs>
            <w:rPr>
              <w:rFonts w:ascii="Times New Roman" w:eastAsia="Times New Roman"/>
            </w:rPr>
          </w:pPr>
          <w:hyperlink w:history="true" w:anchor="_TOC_250001">
            <w:r>
              <w:rPr/>
              <w:t>第二</w:t>
            </w:r>
            <w:r>
              <w:rPr>
                <w:spacing w:val="-3"/>
              </w:rPr>
              <w:t>十</w:t>
            </w:r>
            <w:r>
              <w:rPr/>
              <w:t>一条</w:t>
            </w:r>
            <w:r>
              <w:rPr>
                <w:spacing w:val="52"/>
              </w:rPr>
              <w:t> </w:t>
            </w:r>
            <w:r>
              <w:rPr/>
              <w:t>争议</w:t>
            </w:r>
            <w:r>
              <w:rPr>
                <w:spacing w:val="-3"/>
              </w:rPr>
              <w:t>处</w:t>
            </w:r>
            <w:r>
              <w:rPr/>
              <w:t>理</w:t>
              <w:tab/>
            </w:r>
            <w:r>
              <w:rPr>
                <w:rFonts w:ascii="Times New Roman" w:eastAsia="Times New Roman"/>
              </w:rPr>
              <w:t>8</w:t>
            </w:r>
          </w:hyperlink>
        </w:p>
        <w:p>
          <w:pPr>
            <w:pStyle w:val="TOC1"/>
            <w:tabs>
              <w:tab w:pos="8387" w:val="left" w:leader="middleDot"/>
            </w:tabs>
            <w:spacing w:before="141"/>
            <w:ind w:right="556"/>
            <w:rPr>
              <w:rFonts w:ascii="Times New Roman" w:hAnsi="Times New Roman" w:eastAsia="Times New Roman"/>
            </w:rPr>
          </w:pPr>
          <w:hyperlink w:history="true" w:anchor="_TOC_250000">
            <w:r>
              <w:rPr>
                <w:w w:val="100"/>
              </w:rPr>
              <w:t>第七</w:t>
            </w:r>
            <w:r>
              <w:rPr>
                <w:spacing w:val="-3"/>
                <w:w w:val="100"/>
              </w:rPr>
              <w:t>部</w:t>
            </w:r>
            <w:r>
              <w:rPr>
                <w:w w:val="100"/>
              </w:rPr>
              <w:t>分</w:t>
            </w:r>
            <w:r>
              <w:rPr>
                <w:spacing w:val="-62"/>
              </w:rPr>
              <w:t> </w:t>
            </w:r>
            <w:r>
              <w:rPr>
                <w:rFonts w:ascii="Calibri" w:hAnsi="Calibri" w:eastAsia="Calibri"/>
                <w:spacing w:val="-1"/>
                <w:w w:val="100"/>
              </w:rPr>
              <w:t>··</w:t>
            </w:r>
            <w:r>
              <w:rPr>
                <w:rFonts w:ascii="Calibri" w:hAnsi="Calibri" w:eastAsia="Calibri"/>
                <w:spacing w:val="5"/>
                <w:w w:val="100"/>
              </w:rPr>
              <w:t>·</w:t>
            </w:r>
            <w:r>
              <w:rPr>
                <w:w w:val="100"/>
              </w:rPr>
              <w:t>释义</w:t>
            </w:r>
            <w:r>
              <w:rPr>
                <w:rFonts w:ascii="Times New Roman" w:hAnsi="Times New Roman" w:eastAsia="Times New Roman"/>
                <w:w w:val="100"/>
              </w:rPr>
              <w:t> </w:t>
            </w:r>
            <w:r>
              <w:rPr>
                <w:rFonts w:ascii="Times New Roman" w:hAnsi="Times New Roman" w:eastAsia="Times New Roman"/>
              </w:rPr>
              <w:tab/>
            </w:r>
            <w:r>
              <w:rPr>
                <w:rFonts w:ascii="Times New Roman" w:hAnsi="Times New Roman" w:eastAsia="Times New Roman"/>
                <w:spacing w:val="-96"/>
                <w:w w:val="100"/>
              </w:rPr>
              <w:t>8</w:t>
            </w:r>
            <w:r>
              <w:rPr>
                <w:rFonts w:ascii="Times New Roman" w:hAnsi="Times New Roman" w:eastAsia="Times New Roman"/>
                <w:spacing w:val="1"/>
                <w:w w:val="100"/>
              </w:rPr>
              <w:t>·····</w:t>
            </w:r>
            <w:r>
              <w:rPr>
                <w:rFonts w:ascii="Times New Roman" w:hAnsi="Times New Roman" w:eastAsia="Times New Roman"/>
                <w:w w:val="100"/>
              </w:rPr>
              <w:t>·</w:t>
            </w:r>
          </w:hyperlink>
        </w:p>
      </w:sdtContent>
    </w:sdt>
    <w:p>
      <w:pPr>
        <w:spacing w:after="0"/>
        <w:rPr>
          <w:rFonts w:ascii="Times New Roman" w:hAnsi="Times New Roman" w:eastAsia="Times New Roman"/>
        </w:rPr>
        <w:sectPr>
          <w:type w:val="continuous"/>
          <w:pgSz w:w="11960" w:h="16850"/>
          <w:pgMar w:top="280" w:bottom="1200" w:left="1600" w:right="760"/>
        </w:sectPr>
      </w:pPr>
    </w:p>
    <w:p>
      <w:pPr>
        <w:tabs>
          <w:tab w:pos="1901" w:val="left" w:leader="none"/>
        </w:tabs>
        <w:spacing w:before="189"/>
        <w:ind w:left="101" w:right="0" w:firstLine="0"/>
        <w:jc w:val="left"/>
        <w:rPr>
          <w:b/>
          <w:sz w:val="28"/>
        </w:rPr>
      </w:pPr>
      <w:r>
        <w:rPr>
          <w:b/>
          <w:sz w:val="28"/>
        </w:rPr>
        <w:t>第一部分</w:t>
        <w:tab/>
      </w:r>
      <w:r>
        <w:rPr>
          <w:b/>
          <w:spacing w:val="-10"/>
          <w:w w:val="95"/>
          <w:sz w:val="28"/>
        </w:rPr>
        <w:t>您</w:t>
      </w:r>
      <w:r>
        <w:rPr>
          <w:b/>
          <w:w w:val="95"/>
          <w:sz w:val="28"/>
        </w:rPr>
        <w:t>（投保人</w:t>
      </w:r>
      <w:r>
        <w:rPr>
          <w:b/>
          <w:spacing w:val="-10"/>
          <w:w w:val="95"/>
          <w:sz w:val="28"/>
        </w:rPr>
        <w:t>）</w:t>
      </w:r>
      <w:r>
        <w:rPr>
          <w:b/>
          <w:w w:val="95"/>
          <w:sz w:val="28"/>
        </w:rPr>
        <w:t>与我</w:t>
      </w:r>
      <w:r>
        <w:rPr>
          <w:b/>
          <w:spacing w:val="-10"/>
          <w:w w:val="95"/>
          <w:sz w:val="28"/>
        </w:rPr>
        <w:t>们</w:t>
      </w:r>
      <w:r>
        <w:rPr>
          <w:b/>
          <w:w w:val="95"/>
          <w:sz w:val="28"/>
        </w:rPr>
        <w:t>（北大方正人寿保险有限公司</w:t>
      </w:r>
      <w:r>
        <w:rPr>
          <w:b/>
          <w:spacing w:val="-10"/>
          <w:w w:val="95"/>
          <w:sz w:val="28"/>
        </w:rPr>
        <w:t>）</w:t>
      </w:r>
      <w:r>
        <w:rPr>
          <w:b/>
          <w:w w:val="95"/>
          <w:sz w:val="28"/>
        </w:rPr>
        <w:t>的</w:t>
      </w:r>
    </w:p>
    <w:p>
      <w:pPr>
        <w:pStyle w:val="BodyText"/>
        <w:spacing w:before="8"/>
        <w:rPr>
          <w:b/>
          <w:sz w:val="19"/>
        </w:rPr>
      </w:pPr>
    </w:p>
    <w:p>
      <w:pPr>
        <w:spacing w:before="0"/>
        <w:ind w:left="419" w:right="126" w:firstLine="0"/>
        <w:jc w:val="center"/>
        <w:rPr>
          <w:b/>
          <w:sz w:val="28"/>
        </w:rPr>
      </w:pPr>
      <w:r>
        <w:rPr>
          <w:b/>
          <w:w w:val="95"/>
          <w:sz w:val="28"/>
        </w:rPr>
        <w:t>合同</w:t>
      </w:r>
    </w:p>
    <w:p>
      <w:pPr>
        <w:pStyle w:val="BodyText"/>
        <w:rPr>
          <w:b/>
          <w:sz w:val="28"/>
        </w:rPr>
      </w:pPr>
    </w:p>
    <w:p>
      <w:pPr>
        <w:pStyle w:val="BodyText"/>
        <w:spacing w:before="11"/>
        <w:rPr>
          <w:b/>
          <w:sz w:val="26"/>
        </w:rPr>
      </w:pPr>
    </w:p>
    <w:p>
      <w:pPr>
        <w:pStyle w:val="Heading2"/>
        <w:tabs>
          <w:tab w:pos="1361" w:val="left" w:leader="none"/>
        </w:tabs>
      </w:pPr>
      <w:bookmarkStart w:name="_TOC_250024" w:id="1"/>
      <w:bookmarkEnd w:id="1"/>
      <w:r>
        <w:rPr/>
        <w:t>第一条</w:t>
        <w:tab/>
        <w:t>合同的构成</w:t>
      </w:r>
    </w:p>
    <w:p>
      <w:pPr>
        <w:pStyle w:val="BodyText"/>
        <w:rPr>
          <w:b/>
        </w:rPr>
      </w:pPr>
    </w:p>
    <w:p>
      <w:pPr>
        <w:pStyle w:val="BodyText"/>
        <w:spacing w:before="10"/>
        <w:rPr>
          <w:b/>
          <w:sz w:val="24"/>
        </w:rPr>
      </w:pPr>
    </w:p>
    <w:p>
      <w:pPr>
        <w:spacing w:line="273" w:lineRule="auto" w:before="0"/>
        <w:ind w:left="101" w:right="57" w:firstLine="0"/>
        <w:jc w:val="left"/>
        <w:rPr>
          <w:sz w:val="21"/>
        </w:rPr>
      </w:pPr>
      <w:r>
        <w:rPr>
          <w:w w:val="100"/>
          <w:sz w:val="21"/>
        </w:rPr>
        <w:t>本保险合同（以下简称“本合同”）由保险单或其他保险凭证及所附条款、投保单、申请书、</w:t>
      </w:r>
      <w:r>
        <w:rPr>
          <w:sz w:val="21"/>
        </w:rPr>
        <w:t>声明、批注及其他约定您和我们之间权利义务关系的书面文件构成。</w:t>
      </w:r>
    </w:p>
    <w:p>
      <w:pPr>
        <w:pStyle w:val="BodyText"/>
        <w:spacing w:before="5"/>
        <w:rPr>
          <w:sz w:val="24"/>
        </w:rPr>
      </w:pPr>
    </w:p>
    <w:p>
      <w:pPr>
        <w:tabs>
          <w:tab w:pos="1361" w:val="left" w:leader="none"/>
        </w:tabs>
        <w:spacing w:line="720" w:lineRule="auto" w:before="0"/>
        <w:ind w:left="101" w:right="6107" w:firstLine="0"/>
        <w:jc w:val="left"/>
        <w:rPr>
          <w:b/>
          <w:sz w:val="21"/>
        </w:rPr>
      </w:pPr>
      <w:r>
        <w:rPr>
          <w:sz w:val="21"/>
        </w:rPr>
        <w:t>本合</w:t>
      </w:r>
      <w:r>
        <w:rPr>
          <w:spacing w:val="-3"/>
          <w:sz w:val="21"/>
        </w:rPr>
        <w:t>同</w:t>
      </w:r>
      <w:r>
        <w:rPr>
          <w:sz w:val="21"/>
        </w:rPr>
        <w:t>的</w:t>
      </w:r>
      <w:r>
        <w:rPr>
          <w:spacing w:val="-3"/>
          <w:sz w:val="21"/>
        </w:rPr>
        <w:t>英</w:t>
      </w:r>
      <w:r>
        <w:rPr>
          <w:sz w:val="21"/>
        </w:rPr>
        <w:t>文</w:t>
      </w:r>
      <w:r>
        <w:rPr>
          <w:spacing w:val="-3"/>
          <w:sz w:val="21"/>
        </w:rPr>
        <w:t>简称</w:t>
      </w:r>
      <w:r>
        <w:rPr>
          <w:sz w:val="21"/>
        </w:rPr>
        <w:t>为</w:t>
      </w:r>
      <w:r>
        <w:rPr>
          <w:spacing w:val="-42"/>
          <w:sz w:val="21"/>
        </w:rPr>
        <w:t> </w:t>
      </w:r>
      <w:r>
        <w:rPr>
          <w:rFonts w:ascii="Times New Roman" w:eastAsia="Times New Roman"/>
          <w:spacing w:val="-2"/>
          <w:sz w:val="21"/>
        </w:rPr>
        <w:t>MBB</w:t>
      </w:r>
      <w:r>
        <w:rPr>
          <w:sz w:val="21"/>
        </w:rPr>
        <w:t>。</w:t>
      </w:r>
      <w:r>
        <w:rPr>
          <w:b/>
          <w:sz w:val="21"/>
        </w:rPr>
        <w:t>第二条</w:t>
        <w:tab/>
        <w:t>投保范围</w:t>
      </w:r>
    </w:p>
    <w:p>
      <w:pPr>
        <w:spacing w:before="166"/>
        <w:ind w:left="101" w:right="0" w:firstLine="0"/>
        <w:jc w:val="left"/>
        <w:rPr>
          <w:sz w:val="21"/>
        </w:rPr>
      </w:pPr>
      <w:r>
        <w:rPr>
          <w:sz w:val="21"/>
        </w:rPr>
        <w:t>本合同接受的被保险人须同时符合下列条件：</w:t>
      </w:r>
    </w:p>
    <w:p>
      <w:pPr>
        <w:spacing w:before="29"/>
        <w:ind w:left="101" w:right="0" w:firstLine="0"/>
        <w:jc w:val="left"/>
        <w:rPr>
          <w:sz w:val="21"/>
        </w:rPr>
      </w:pPr>
      <w:r>
        <w:rPr>
          <w:rFonts w:ascii="Times New Roman" w:eastAsia="Times New Roman"/>
          <w:sz w:val="21"/>
        </w:rPr>
        <w:t>1</w:t>
      </w:r>
      <w:r>
        <w:rPr>
          <w:sz w:val="21"/>
        </w:rPr>
        <w:t>、投保时年龄为二十</w:t>
      </w:r>
      <w:r>
        <w:rPr>
          <w:b/>
          <w:sz w:val="21"/>
        </w:rPr>
        <w:t>周岁</w:t>
      </w:r>
      <w:r>
        <w:rPr>
          <w:b/>
          <w:position w:val="12"/>
          <w:sz w:val="12"/>
        </w:rPr>
        <w:t>释义 1 </w:t>
      </w:r>
      <w:r>
        <w:rPr>
          <w:sz w:val="21"/>
        </w:rPr>
        <w:t>至四十五周岁；</w:t>
      </w:r>
    </w:p>
    <w:p>
      <w:pPr>
        <w:tabs>
          <w:tab w:pos="1361" w:val="left" w:leader="none"/>
        </w:tabs>
        <w:spacing w:line="720" w:lineRule="auto" w:before="14"/>
        <w:ind w:left="101" w:right="4000" w:firstLine="0"/>
        <w:jc w:val="left"/>
        <w:rPr>
          <w:b/>
          <w:sz w:val="21"/>
        </w:rPr>
      </w:pPr>
      <w:r>
        <w:rPr>
          <w:rFonts w:ascii="Times New Roman" w:eastAsia="Times New Roman"/>
          <w:sz w:val="21"/>
        </w:rPr>
        <w:t>2</w:t>
      </w:r>
      <w:r>
        <w:rPr>
          <w:sz w:val="21"/>
        </w:rPr>
        <w:t>、</w:t>
      </w:r>
      <w:r>
        <w:rPr>
          <w:spacing w:val="-3"/>
          <w:sz w:val="21"/>
        </w:rPr>
        <w:t>已</w:t>
      </w:r>
      <w:r>
        <w:rPr>
          <w:sz w:val="21"/>
        </w:rPr>
        <w:t>怀</w:t>
      </w:r>
      <w:r>
        <w:rPr>
          <w:spacing w:val="-3"/>
          <w:sz w:val="21"/>
        </w:rPr>
        <w:t>孕</w:t>
      </w:r>
      <w:r>
        <w:rPr>
          <w:sz w:val="21"/>
        </w:rPr>
        <w:t>但</w:t>
      </w:r>
      <w:r>
        <w:rPr>
          <w:spacing w:val="-3"/>
          <w:sz w:val="21"/>
        </w:rPr>
        <w:t>孕</w:t>
      </w:r>
      <w:r>
        <w:rPr>
          <w:sz w:val="21"/>
        </w:rPr>
        <w:t>周</w:t>
      </w:r>
      <w:r>
        <w:rPr>
          <w:spacing w:val="-3"/>
          <w:sz w:val="21"/>
        </w:rPr>
        <w:t>未</w:t>
      </w:r>
      <w:r>
        <w:rPr>
          <w:sz w:val="21"/>
        </w:rPr>
        <w:t>满</w:t>
      </w:r>
      <w:r>
        <w:rPr>
          <w:spacing w:val="-3"/>
          <w:sz w:val="21"/>
        </w:rPr>
        <w:t>二十</w:t>
      </w:r>
      <w:r>
        <w:rPr>
          <w:sz w:val="21"/>
        </w:rPr>
        <w:t>八周</w:t>
      </w:r>
      <w:r>
        <w:rPr>
          <w:spacing w:val="-3"/>
          <w:sz w:val="21"/>
        </w:rPr>
        <w:t>且</w:t>
      </w:r>
      <w:r>
        <w:rPr>
          <w:sz w:val="21"/>
        </w:rPr>
        <w:t>身</w:t>
      </w:r>
      <w:r>
        <w:rPr>
          <w:spacing w:val="-3"/>
          <w:sz w:val="21"/>
        </w:rPr>
        <w:t>体</w:t>
      </w:r>
      <w:r>
        <w:rPr>
          <w:sz w:val="21"/>
        </w:rPr>
        <w:t>健</w:t>
      </w:r>
      <w:r>
        <w:rPr>
          <w:spacing w:val="-3"/>
          <w:sz w:val="21"/>
        </w:rPr>
        <w:t>康</w:t>
      </w:r>
      <w:r>
        <w:rPr>
          <w:sz w:val="21"/>
        </w:rPr>
        <w:t>的</w:t>
      </w:r>
      <w:r>
        <w:rPr>
          <w:spacing w:val="-3"/>
          <w:sz w:val="21"/>
        </w:rPr>
        <w:t>女</w:t>
      </w:r>
      <w:r>
        <w:rPr>
          <w:sz w:val="21"/>
        </w:rPr>
        <w:t>性。</w:t>
      </w:r>
      <w:r>
        <w:rPr>
          <w:b/>
          <w:sz w:val="21"/>
        </w:rPr>
        <w:t>第三条</w:t>
        <w:tab/>
        <w:t>保险期间</w:t>
      </w:r>
    </w:p>
    <w:p>
      <w:pPr>
        <w:spacing w:before="166"/>
        <w:ind w:left="101" w:right="0" w:firstLine="0"/>
        <w:jc w:val="left"/>
        <w:rPr>
          <w:sz w:val="21"/>
        </w:rPr>
      </w:pPr>
      <w:r>
        <w:rPr>
          <w:sz w:val="21"/>
        </w:rPr>
        <w:t>本合同的保险期间为一年。</w:t>
      </w:r>
    </w:p>
    <w:p>
      <w:pPr>
        <w:pStyle w:val="BodyText"/>
      </w:pPr>
    </w:p>
    <w:p>
      <w:pPr>
        <w:pStyle w:val="BodyText"/>
        <w:spacing w:before="6"/>
        <w:rPr>
          <w:sz w:val="25"/>
        </w:rPr>
      </w:pPr>
    </w:p>
    <w:p>
      <w:pPr>
        <w:pStyle w:val="Heading2"/>
        <w:tabs>
          <w:tab w:pos="1361" w:val="left" w:leader="none"/>
        </w:tabs>
        <w:spacing w:before="1"/>
      </w:pPr>
      <w:bookmarkStart w:name="_TOC_250023" w:id="2"/>
      <w:bookmarkEnd w:id="2"/>
      <w:r>
        <w:rPr/>
        <w:t>第四条</w:t>
        <w:tab/>
        <w:t>保险责任的开始</w:t>
      </w:r>
    </w:p>
    <w:p>
      <w:pPr>
        <w:pStyle w:val="BodyText"/>
        <w:rPr>
          <w:b/>
        </w:rPr>
      </w:pPr>
    </w:p>
    <w:p>
      <w:pPr>
        <w:pStyle w:val="BodyText"/>
        <w:rPr>
          <w:b/>
          <w:sz w:val="25"/>
        </w:rPr>
      </w:pPr>
    </w:p>
    <w:p>
      <w:pPr>
        <w:spacing w:line="268" w:lineRule="auto" w:before="0"/>
        <w:ind w:left="101" w:right="220" w:firstLine="0"/>
        <w:jc w:val="both"/>
        <w:rPr>
          <w:sz w:val="21"/>
        </w:rPr>
      </w:pPr>
      <w:r>
        <w:rPr>
          <w:sz w:val="21"/>
        </w:rPr>
        <w:t>在我们同意承保、签发正式保险合同并收到您交付的首期保险费的条件下，我们所承担的保</w:t>
      </w:r>
      <w:r>
        <w:rPr>
          <w:spacing w:val="-2"/>
          <w:sz w:val="21"/>
        </w:rPr>
        <w:t>险责任自</w:t>
      </w:r>
      <w:r>
        <w:rPr>
          <w:b/>
          <w:sz w:val="21"/>
        </w:rPr>
        <w:t>本合同生效日</w:t>
      </w:r>
      <w:r>
        <w:rPr>
          <w:b/>
          <w:spacing w:val="-7"/>
          <w:position w:val="12"/>
          <w:sz w:val="12"/>
        </w:rPr>
        <w:t>释义 </w:t>
      </w:r>
      <w:r>
        <w:rPr>
          <w:b/>
          <w:position w:val="12"/>
          <w:sz w:val="12"/>
        </w:rPr>
        <w:t>2 </w:t>
      </w:r>
      <w:r>
        <w:rPr>
          <w:spacing w:val="-8"/>
          <w:sz w:val="21"/>
        </w:rPr>
        <w:t>的次日零时开始，至本合同约定情形发生时终止。如果我们已经同意承保并签发保险合同，但因为您的原因导致我们未能在和您约定的时间内收到首期保险费</w:t>
      </w:r>
      <w:r>
        <w:rPr>
          <w:spacing w:val="-7"/>
          <w:sz w:val="21"/>
        </w:rPr>
        <w:t>的，本合同自始不生效，我们自始不承担保险责任，您应当将我们签发的保险合同返还给我</w:t>
      </w:r>
      <w:r>
        <w:rPr>
          <w:spacing w:val="-1"/>
          <w:sz w:val="21"/>
        </w:rPr>
        <w:t>们。</w:t>
      </w:r>
    </w:p>
    <w:p>
      <w:pPr>
        <w:pStyle w:val="BodyText"/>
      </w:pPr>
    </w:p>
    <w:p>
      <w:pPr>
        <w:pStyle w:val="Heading1"/>
        <w:tabs>
          <w:tab w:pos="1799" w:val="left" w:leader="none"/>
        </w:tabs>
        <w:spacing w:before="160"/>
      </w:pPr>
      <w:bookmarkStart w:name="_TOC_250022" w:id="3"/>
      <w:r>
        <w:rPr/>
        <w:t>第二部分</w:t>
        <w:tab/>
      </w:r>
      <w:bookmarkEnd w:id="3"/>
      <w:r>
        <w:rPr>
          <w:w w:val="95"/>
        </w:rPr>
        <w:t>我们提供的保障</w:t>
      </w:r>
    </w:p>
    <w:p>
      <w:pPr>
        <w:spacing w:after="0"/>
        <w:sectPr>
          <w:pgSz w:w="11960" w:h="16850"/>
          <w:pgMar w:header="0" w:footer="1001" w:top="1600" w:bottom="1200" w:left="1600" w:right="1520"/>
        </w:sectPr>
      </w:pPr>
    </w:p>
    <w:p>
      <w:pPr>
        <w:pStyle w:val="BodyText"/>
        <w:spacing w:before="11"/>
        <w:rPr>
          <w:b/>
        </w:rPr>
      </w:pPr>
    </w:p>
    <w:p>
      <w:pPr>
        <w:pStyle w:val="Heading2"/>
        <w:tabs>
          <w:tab w:pos="1361" w:val="left" w:leader="none"/>
        </w:tabs>
        <w:spacing w:before="37"/>
      </w:pPr>
      <w:bookmarkStart w:name="_TOC_250021" w:id="4"/>
      <w:bookmarkEnd w:id="4"/>
      <w:r>
        <w:rPr/>
        <w:t>第五条</w:t>
        <w:tab/>
        <w:t>基本保险金额</w:t>
      </w:r>
    </w:p>
    <w:p>
      <w:pPr>
        <w:pStyle w:val="BodyText"/>
        <w:rPr>
          <w:b/>
        </w:rPr>
      </w:pPr>
    </w:p>
    <w:p>
      <w:pPr>
        <w:pStyle w:val="BodyText"/>
        <w:spacing w:before="11"/>
        <w:rPr>
          <w:b/>
          <w:sz w:val="24"/>
        </w:rPr>
      </w:pPr>
    </w:p>
    <w:p>
      <w:pPr>
        <w:spacing w:line="273" w:lineRule="auto" w:before="0"/>
        <w:ind w:left="101" w:right="101" w:firstLine="0"/>
        <w:jc w:val="left"/>
        <w:rPr>
          <w:sz w:val="21"/>
        </w:rPr>
      </w:pPr>
      <w:r>
        <w:rPr>
          <w:sz w:val="21"/>
        </w:rPr>
        <w:t>本合同的基本保险金额由您在投保时与我们约定并在保险单或批注上载明。如果该金额因本合同其他条款的约定而发生变更，则以变更后的金额为基本保险金额。</w:t>
      </w:r>
    </w:p>
    <w:p>
      <w:pPr>
        <w:pStyle w:val="BodyText"/>
      </w:pPr>
    </w:p>
    <w:p>
      <w:pPr>
        <w:pStyle w:val="BodyText"/>
        <w:spacing w:before="4"/>
        <w:rPr>
          <w:sz w:val="23"/>
        </w:rPr>
      </w:pPr>
    </w:p>
    <w:p>
      <w:pPr>
        <w:pStyle w:val="Heading2"/>
        <w:tabs>
          <w:tab w:pos="1361" w:val="left" w:leader="none"/>
        </w:tabs>
      </w:pPr>
      <w:bookmarkStart w:name="_TOC_250020" w:id="5"/>
      <w:bookmarkEnd w:id="5"/>
      <w:r>
        <w:rPr/>
        <w:t>第六条</w:t>
        <w:tab/>
        <w:t>保险责任</w:t>
      </w:r>
    </w:p>
    <w:p>
      <w:pPr>
        <w:pStyle w:val="BodyText"/>
        <w:rPr>
          <w:b/>
        </w:rPr>
      </w:pPr>
    </w:p>
    <w:p>
      <w:pPr>
        <w:pStyle w:val="BodyText"/>
        <w:rPr>
          <w:b/>
          <w:sz w:val="25"/>
        </w:rPr>
      </w:pPr>
    </w:p>
    <w:p>
      <w:pPr>
        <w:spacing w:line="530" w:lineRule="auto" w:before="0"/>
        <w:ind w:left="101" w:right="3196" w:firstLine="0"/>
        <w:jc w:val="left"/>
        <w:rPr>
          <w:sz w:val="21"/>
        </w:rPr>
      </w:pPr>
      <w:r>
        <w:rPr>
          <w:spacing w:val="-3"/>
          <w:sz w:val="21"/>
        </w:rPr>
        <w:t>在本合同的有效保险期间内，我们将承担下列保险责任： </w:t>
      </w:r>
      <w:r>
        <w:rPr>
          <w:b/>
          <w:spacing w:val="-3"/>
          <w:sz w:val="21"/>
        </w:rPr>
        <w:t>等待期：本合同生效日起三十天内</w:t>
      </w:r>
      <w:r>
        <w:rPr>
          <w:rFonts w:ascii="Times New Roman" w:eastAsia="Times New Roman"/>
          <w:b/>
          <w:spacing w:val="-4"/>
          <w:sz w:val="21"/>
        </w:rPr>
        <w:t>(</w:t>
      </w:r>
      <w:r>
        <w:rPr>
          <w:b/>
          <w:sz w:val="21"/>
        </w:rPr>
        <w:t>含第三十天</w:t>
      </w:r>
      <w:r>
        <w:rPr>
          <w:rFonts w:ascii="Times New Roman" w:eastAsia="Times New Roman"/>
          <w:b/>
          <w:spacing w:val="-4"/>
          <w:sz w:val="21"/>
        </w:rPr>
        <w:t>)</w:t>
      </w:r>
      <w:r>
        <w:rPr>
          <w:b/>
          <w:sz w:val="21"/>
        </w:rPr>
        <w:t>为等待期。</w:t>
      </w:r>
      <w:r>
        <w:rPr>
          <w:spacing w:val="-3"/>
          <w:sz w:val="21"/>
        </w:rPr>
        <w:t>一、妊娠期综合并发症保险金</w:t>
      </w:r>
    </w:p>
    <w:p>
      <w:pPr>
        <w:spacing w:line="266" w:lineRule="auto" w:before="87"/>
        <w:ind w:left="101" w:right="100" w:firstLine="0"/>
        <w:jc w:val="left"/>
        <w:rPr>
          <w:sz w:val="21"/>
        </w:rPr>
      </w:pPr>
      <w:r>
        <w:rPr>
          <w:spacing w:val="-8"/>
          <w:sz w:val="21"/>
        </w:rPr>
        <w:t>在等待期内，如果被保险人经</w:t>
      </w:r>
      <w:r>
        <w:rPr>
          <w:b/>
          <w:sz w:val="21"/>
        </w:rPr>
        <w:t>医生</w:t>
      </w:r>
      <w:r>
        <w:rPr>
          <w:b/>
          <w:spacing w:val="-6"/>
          <w:position w:val="12"/>
          <w:sz w:val="12"/>
        </w:rPr>
        <w:t>释义 </w:t>
      </w:r>
      <w:r>
        <w:rPr>
          <w:b/>
          <w:position w:val="12"/>
          <w:sz w:val="12"/>
        </w:rPr>
        <w:t>3 </w:t>
      </w:r>
      <w:r>
        <w:rPr>
          <w:spacing w:val="-3"/>
          <w:sz w:val="21"/>
        </w:rPr>
        <w:t>确诊初次患有本合同附表一中所界定的妊娠期综合并发症中的任何一种疾病，我们将无息返还本合同已交保险费，同时本合同终止。</w:t>
      </w:r>
    </w:p>
    <w:p>
      <w:pPr>
        <w:pStyle w:val="BodyText"/>
        <w:spacing w:before="11"/>
        <w:rPr>
          <w:sz w:val="24"/>
        </w:rPr>
      </w:pPr>
    </w:p>
    <w:p>
      <w:pPr>
        <w:spacing w:line="273" w:lineRule="auto" w:before="0"/>
        <w:ind w:left="101" w:right="100" w:firstLine="0"/>
        <w:jc w:val="both"/>
        <w:rPr>
          <w:sz w:val="21"/>
        </w:rPr>
      </w:pPr>
      <w:r>
        <w:rPr>
          <w:sz w:val="21"/>
        </w:rPr>
        <w:t>在等待期后，如果被保险人经医生确诊初次患有本合同附表一中所界定的妊娠期综合并发症中的任何一种疾病，我们将按 100%的基本保险金额给付妊娠期综合并发症保险金，同时本合同终止。</w:t>
      </w:r>
    </w:p>
    <w:p>
      <w:pPr>
        <w:pStyle w:val="BodyText"/>
        <w:spacing w:before="5"/>
        <w:rPr>
          <w:sz w:val="24"/>
        </w:rPr>
      </w:pPr>
    </w:p>
    <w:p>
      <w:pPr>
        <w:spacing w:line="273" w:lineRule="auto" w:before="0"/>
        <w:ind w:left="101" w:right="101" w:firstLine="0"/>
        <w:jc w:val="left"/>
        <w:rPr>
          <w:sz w:val="21"/>
        </w:rPr>
      </w:pPr>
      <w:r>
        <w:rPr>
          <w:sz w:val="21"/>
        </w:rPr>
        <w:t>妊娠期综合并发症保险金责任的给付以一次为限。我们将从妊娠期综合并发症保险金扣除已给付的特殊妊娠保险金。</w:t>
      </w:r>
    </w:p>
    <w:p>
      <w:pPr>
        <w:pStyle w:val="BodyText"/>
        <w:spacing w:before="5"/>
        <w:rPr>
          <w:sz w:val="24"/>
        </w:rPr>
      </w:pPr>
    </w:p>
    <w:p>
      <w:pPr>
        <w:spacing w:before="0"/>
        <w:ind w:left="101" w:right="0" w:firstLine="0"/>
        <w:jc w:val="left"/>
        <w:rPr>
          <w:sz w:val="21"/>
        </w:rPr>
      </w:pPr>
      <w:r>
        <w:rPr>
          <w:sz w:val="21"/>
        </w:rPr>
        <w:t>二、特殊妊娠保险金</w:t>
      </w:r>
    </w:p>
    <w:p>
      <w:pPr>
        <w:pStyle w:val="BodyText"/>
        <w:spacing w:before="8"/>
        <w:rPr>
          <w:sz w:val="26"/>
        </w:rPr>
      </w:pPr>
    </w:p>
    <w:p>
      <w:pPr>
        <w:spacing w:line="273" w:lineRule="auto" w:before="0"/>
        <w:ind w:left="101" w:right="101" w:firstLine="0"/>
        <w:jc w:val="left"/>
        <w:rPr>
          <w:sz w:val="21"/>
        </w:rPr>
      </w:pPr>
      <w:r>
        <w:rPr>
          <w:sz w:val="21"/>
        </w:rPr>
        <w:t>在等待期内，如果被保险人经医生确诊出现本合同附表二中所界定的特殊妊娠情况中的任何一种情况，我们将无息返还本合同已交保险费，同时本项责任终止。</w:t>
      </w:r>
    </w:p>
    <w:p>
      <w:pPr>
        <w:pStyle w:val="BodyText"/>
        <w:spacing w:before="5"/>
        <w:rPr>
          <w:sz w:val="24"/>
        </w:rPr>
      </w:pPr>
    </w:p>
    <w:p>
      <w:pPr>
        <w:spacing w:line="264" w:lineRule="auto" w:before="0"/>
        <w:ind w:left="101" w:right="101" w:firstLine="0"/>
        <w:jc w:val="both"/>
        <w:rPr>
          <w:sz w:val="21"/>
        </w:rPr>
      </w:pPr>
      <w:r>
        <w:rPr>
          <w:sz w:val="21"/>
        </w:rPr>
        <w:t>在等待期后，如果被保险人经医生确诊出现本合同附表二中所界定的特殊妊娠情况中的任何一种情况，我们将按 </w:t>
      </w:r>
      <w:r>
        <w:rPr>
          <w:rFonts w:ascii="Times New Roman" w:eastAsia="Times New Roman"/>
          <w:sz w:val="21"/>
        </w:rPr>
        <w:t>10%</w:t>
      </w:r>
      <w:r>
        <w:rPr>
          <w:sz w:val="21"/>
        </w:rPr>
        <w:t>的基本保险金额给付特殊妊娠保险金，同时本项责任终止。特殊妊娠保险金责任的给付以一次为限。</w:t>
      </w:r>
    </w:p>
    <w:p>
      <w:pPr>
        <w:pStyle w:val="BodyText"/>
        <w:rPr>
          <w:sz w:val="25"/>
        </w:rPr>
      </w:pPr>
    </w:p>
    <w:p>
      <w:pPr>
        <w:spacing w:before="0"/>
        <w:ind w:left="101" w:right="0" w:firstLine="0"/>
        <w:jc w:val="left"/>
        <w:rPr>
          <w:sz w:val="21"/>
        </w:rPr>
      </w:pPr>
      <w:r>
        <w:rPr>
          <w:sz w:val="21"/>
        </w:rPr>
        <w:t>三、新生儿先天性疾病保险金</w:t>
      </w:r>
    </w:p>
    <w:p>
      <w:pPr>
        <w:pStyle w:val="BodyText"/>
        <w:spacing w:before="8"/>
        <w:rPr>
          <w:sz w:val="26"/>
        </w:rPr>
      </w:pPr>
    </w:p>
    <w:p>
      <w:pPr>
        <w:spacing w:line="273" w:lineRule="auto" w:before="0"/>
        <w:ind w:left="101" w:right="100" w:firstLine="0"/>
        <w:jc w:val="both"/>
        <w:rPr>
          <w:sz w:val="21"/>
        </w:rPr>
      </w:pPr>
      <w:r>
        <w:rPr>
          <w:sz w:val="21"/>
        </w:rPr>
        <w:t>如果被保险人所生育的新生婴儿在被分娩二十八天后仍然生存，并且经医生确诊初次患有本合同附表三中所界定的新生儿先天性疾病中的任何一种疾病，我们将按 100%的基本保险金额给付新生儿先天性疾病保险金，同时本合同终止。</w:t>
      </w:r>
    </w:p>
    <w:p>
      <w:pPr>
        <w:pStyle w:val="BodyText"/>
        <w:spacing w:before="5"/>
        <w:rPr>
          <w:sz w:val="24"/>
        </w:rPr>
      </w:pPr>
    </w:p>
    <w:p>
      <w:pPr>
        <w:spacing w:before="0"/>
        <w:ind w:left="101" w:right="0" w:firstLine="0"/>
        <w:jc w:val="both"/>
        <w:rPr>
          <w:sz w:val="21"/>
        </w:rPr>
      </w:pPr>
      <w:r>
        <w:rPr>
          <w:sz w:val="21"/>
        </w:rPr>
        <w:t>新生儿先天性疾病保险金责任的给付以一次为限。</w:t>
      </w:r>
    </w:p>
    <w:p>
      <w:pPr>
        <w:spacing w:after="0"/>
        <w:jc w:val="both"/>
        <w:rPr>
          <w:sz w:val="21"/>
        </w:rPr>
        <w:sectPr>
          <w:pgSz w:w="11960" w:h="16850"/>
          <w:pgMar w:header="0" w:footer="1001" w:top="1600" w:bottom="1200" w:left="1600" w:right="1640"/>
        </w:sectPr>
      </w:pPr>
    </w:p>
    <w:p>
      <w:pPr>
        <w:pStyle w:val="BodyText"/>
        <w:spacing w:before="11"/>
      </w:pPr>
    </w:p>
    <w:p>
      <w:pPr>
        <w:pStyle w:val="Heading2"/>
        <w:spacing w:before="37"/>
        <w:jc w:val="both"/>
      </w:pPr>
      <w:bookmarkStart w:name="_TOC_250019" w:id="6"/>
      <w:bookmarkEnd w:id="6"/>
      <w:r>
        <w:rPr/>
        <w:t>第七条     责任免除</w:t>
      </w:r>
    </w:p>
    <w:p>
      <w:pPr>
        <w:pStyle w:val="BodyText"/>
        <w:rPr>
          <w:b/>
        </w:rPr>
      </w:pPr>
    </w:p>
    <w:p>
      <w:pPr>
        <w:pStyle w:val="BodyText"/>
        <w:spacing w:before="3"/>
        <w:rPr>
          <w:b/>
          <w:sz w:val="24"/>
        </w:rPr>
      </w:pPr>
    </w:p>
    <w:p>
      <w:pPr>
        <w:spacing w:before="0"/>
        <w:ind w:left="101" w:right="0" w:firstLine="0"/>
        <w:jc w:val="both"/>
        <w:rPr>
          <w:b/>
          <w:sz w:val="21"/>
        </w:rPr>
      </w:pPr>
      <w:r>
        <w:rPr>
          <w:b/>
          <w:sz w:val="21"/>
        </w:rPr>
        <w:t>因下列情形之一导致发生保险事故</w:t>
      </w:r>
      <w:r>
        <w:rPr>
          <w:b/>
          <w:position w:val="12"/>
          <w:sz w:val="12"/>
        </w:rPr>
        <w:t>释义 4 </w:t>
      </w:r>
      <w:r>
        <w:rPr>
          <w:b/>
          <w:sz w:val="21"/>
        </w:rPr>
        <w:t>的，我们不承担给付保险金的责任：</w:t>
      </w:r>
    </w:p>
    <w:p>
      <w:pPr>
        <w:pStyle w:val="BodyText"/>
        <w:spacing w:before="1"/>
        <w:rPr>
          <w:b/>
          <w:sz w:val="26"/>
        </w:rPr>
      </w:pPr>
    </w:p>
    <w:p>
      <w:pPr>
        <w:spacing w:before="0"/>
        <w:ind w:left="101" w:right="0" w:firstLine="0"/>
        <w:jc w:val="both"/>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1" w:right="0" w:firstLine="0"/>
        <w:jc w:val="both"/>
        <w:rPr>
          <w:b/>
          <w:sz w:val="21"/>
        </w:rPr>
      </w:pPr>
      <w:r>
        <w:rPr>
          <w:b/>
          <w:sz w:val="21"/>
        </w:rPr>
        <w:t>（</w:t>
      </w:r>
      <w:r>
        <w:rPr>
          <w:rFonts w:ascii="Times New Roman" w:eastAsia="Times New Roman"/>
          <w:b/>
          <w:sz w:val="21"/>
        </w:rPr>
        <w:t>2</w:t>
      </w:r>
      <w:r>
        <w:rPr>
          <w:b/>
          <w:sz w:val="21"/>
        </w:rPr>
        <w:t>）被保险人故意自伤、故意犯罪或者抗拒依法采取的刑事强制措施的；</w:t>
      </w:r>
    </w:p>
    <w:p>
      <w:pPr>
        <w:spacing w:before="13"/>
        <w:ind w:left="101" w:right="0" w:firstLine="0"/>
        <w:jc w:val="both"/>
        <w:rPr>
          <w:b/>
          <w:sz w:val="21"/>
        </w:rPr>
      </w:pPr>
      <w:r>
        <w:rPr>
          <w:b/>
          <w:sz w:val="21"/>
        </w:rPr>
        <w:t>（</w:t>
      </w:r>
      <w:r>
        <w:rPr>
          <w:rFonts w:ascii="Times New Roman" w:eastAsia="Times New Roman"/>
          <w:b/>
          <w:sz w:val="21"/>
        </w:rPr>
        <w:t>3</w:t>
      </w:r>
      <w:r>
        <w:rPr>
          <w:b/>
          <w:sz w:val="21"/>
        </w:rPr>
        <w:t>）被保险人主动吸食或注射毒品</w:t>
      </w:r>
      <w:r>
        <w:rPr>
          <w:b/>
          <w:position w:val="12"/>
          <w:sz w:val="12"/>
        </w:rPr>
        <w:t>释义 5</w:t>
      </w:r>
      <w:r>
        <w:rPr>
          <w:b/>
          <w:sz w:val="21"/>
        </w:rPr>
        <w:t>；</w:t>
      </w:r>
    </w:p>
    <w:p>
      <w:pPr>
        <w:spacing w:line="244" w:lineRule="auto" w:before="5"/>
        <w:ind w:left="101" w:right="103" w:firstLine="0"/>
        <w:jc w:val="left"/>
        <w:rPr>
          <w:b/>
          <w:sz w:val="21"/>
        </w:rPr>
      </w:pPr>
      <w:r>
        <w:rPr>
          <w:b/>
          <w:sz w:val="21"/>
        </w:rPr>
        <w:t>（</w:t>
      </w:r>
      <w:r>
        <w:rPr>
          <w:rFonts w:ascii="Times New Roman" w:eastAsia="Times New Roman"/>
          <w:b/>
          <w:sz w:val="21"/>
        </w:rPr>
        <w:t>4</w:t>
      </w:r>
      <w:r>
        <w:rPr>
          <w:b/>
          <w:sz w:val="21"/>
        </w:rPr>
        <w:t>）</w:t>
      </w:r>
      <w:r>
        <w:rPr>
          <w:b/>
          <w:spacing w:val="-1"/>
          <w:sz w:val="21"/>
        </w:rPr>
        <w:t>被保险人酒后驾驶</w:t>
      </w:r>
      <w:r>
        <w:rPr>
          <w:b/>
          <w:spacing w:val="-8"/>
          <w:position w:val="12"/>
          <w:sz w:val="12"/>
        </w:rPr>
        <w:t>释义 </w:t>
      </w:r>
      <w:r>
        <w:rPr>
          <w:b/>
          <w:position w:val="12"/>
          <w:sz w:val="12"/>
        </w:rPr>
        <w:t>6</w:t>
      </w:r>
      <w:r>
        <w:rPr>
          <w:b/>
          <w:spacing w:val="-2"/>
          <w:sz w:val="21"/>
        </w:rPr>
        <w:t>、无合法有效驾驶证驾驶</w:t>
      </w:r>
      <w:r>
        <w:rPr>
          <w:b/>
          <w:spacing w:val="-7"/>
          <w:position w:val="12"/>
          <w:sz w:val="12"/>
        </w:rPr>
        <w:t>释义 </w:t>
      </w:r>
      <w:r>
        <w:rPr>
          <w:b/>
          <w:position w:val="12"/>
          <w:sz w:val="12"/>
        </w:rPr>
        <w:t>7 </w:t>
      </w:r>
      <w:r>
        <w:rPr>
          <w:b/>
          <w:spacing w:val="-1"/>
          <w:sz w:val="21"/>
        </w:rPr>
        <w:t>或驾驶无有效行驶证</w:t>
      </w:r>
      <w:r>
        <w:rPr>
          <w:b/>
          <w:spacing w:val="-7"/>
          <w:position w:val="12"/>
          <w:sz w:val="12"/>
        </w:rPr>
        <w:t>释义 </w:t>
      </w:r>
      <w:r>
        <w:rPr>
          <w:b/>
          <w:position w:val="12"/>
          <w:sz w:val="12"/>
        </w:rPr>
        <w:t>8 </w:t>
      </w:r>
      <w:r>
        <w:rPr>
          <w:b/>
          <w:sz w:val="21"/>
        </w:rPr>
        <w:t>的机动车</w:t>
      </w:r>
      <w:r>
        <w:rPr>
          <w:b/>
          <w:position w:val="12"/>
          <w:sz w:val="12"/>
        </w:rPr>
        <w:t>释</w:t>
      </w:r>
      <w:r>
        <w:rPr>
          <w:b/>
          <w:spacing w:val="-16"/>
          <w:sz w:val="12"/>
        </w:rPr>
        <w:t>义 </w:t>
      </w:r>
      <w:r>
        <w:rPr>
          <w:b/>
          <w:sz w:val="12"/>
        </w:rPr>
        <w:t>9</w:t>
      </w:r>
      <w:r>
        <w:rPr>
          <w:b/>
          <w:position w:val="-11"/>
          <w:sz w:val="21"/>
        </w:rPr>
        <w:t>；</w:t>
      </w:r>
    </w:p>
    <w:p>
      <w:pPr>
        <w:spacing w:before="16"/>
        <w:ind w:left="101" w:right="0" w:firstLine="0"/>
        <w:jc w:val="both"/>
        <w:rPr>
          <w:b/>
          <w:sz w:val="21"/>
        </w:rPr>
      </w:pPr>
      <w:r>
        <w:rPr>
          <w:b/>
          <w:spacing w:val="1"/>
          <w:w w:val="100"/>
          <w:sz w:val="21"/>
        </w:rPr>
        <w:t>（</w:t>
      </w:r>
      <w:r>
        <w:rPr>
          <w:rFonts w:ascii="Times New Roman" w:eastAsia="Times New Roman"/>
          <w:b/>
          <w:spacing w:val="-3"/>
          <w:w w:val="100"/>
          <w:sz w:val="21"/>
        </w:rPr>
        <w:t>5</w:t>
      </w:r>
      <w:r>
        <w:rPr>
          <w:b/>
          <w:spacing w:val="-1"/>
          <w:w w:val="100"/>
          <w:sz w:val="21"/>
        </w:rPr>
        <w:t>）被保险人患艾滋病</w:t>
      </w:r>
      <w:r>
        <w:rPr>
          <w:b/>
          <w:spacing w:val="-2"/>
          <w:w w:val="99"/>
          <w:position w:val="12"/>
          <w:sz w:val="12"/>
        </w:rPr>
        <w:t>释义</w:t>
      </w:r>
      <w:r>
        <w:rPr>
          <w:b/>
          <w:spacing w:val="-30"/>
          <w:position w:val="12"/>
          <w:sz w:val="12"/>
        </w:rPr>
        <w:t> </w:t>
      </w:r>
      <w:r>
        <w:rPr>
          <w:b/>
          <w:w w:val="99"/>
          <w:position w:val="12"/>
          <w:sz w:val="12"/>
        </w:rPr>
        <w:t>1</w:t>
      </w:r>
      <w:r>
        <w:rPr>
          <w:b/>
          <w:spacing w:val="-1"/>
          <w:w w:val="99"/>
          <w:position w:val="12"/>
          <w:sz w:val="12"/>
        </w:rPr>
        <w:t>0</w:t>
      </w:r>
      <w:r>
        <w:rPr>
          <w:b/>
          <w:spacing w:val="-1"/>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spacing w:val="-3"/>
          <w:w w:val="100"/>
          <w:sz w:val="21"/>
        </w:rPr>
        <w:t>S</w:t>
      </w:r>
      <w:r>
        <w:rPr>
          <w:b/>
          <w:spacing w:val="-1"/>
          <w:w w:val="100"/>
          <w:sz w:val="21"/>
        </w:rPr>
        <w:t>）或感染艾滋病病毒</w:t>
      </w:r>
      <w:r>
        <w:rPr>
          <w:b/>
          <w:spacing w:val="-1"/>
          <w:w w:val="99"/>
          <w:position w:val="12"/>
          <w:sz w:val="12"/>
        </w:rPr>
        <w:t>释义</w:t>
      </w:r>
      <w:r>
        <w:rPr>
          <w:b/>
          <w:spacing w:val="-30"/>
          <w:position w:val="12"/>
          <w:sz w:val="12"/>
        </w:rPr>
        <w:t> </w:t>
      </w:r>
      <w:r>
        <w:rPr>
          <w:b/>
          <w:spacing w:val="-1"/>
          <w:w w:val="99"/>
          <w:position w:val="12"/>
          <w:sz w:val="12"/>
        </w:rPr>
        <w:t>11</w:t>
      </w:r>
      <w:r>
        <w:rPr>
          <w:b/>
          <w:spacing w:val="1"/>
          <w:w w:val="100"/>
          <w:sz w:val="21"/>
        </w:rPr>
        <w:t>（</w:t>
      </w:r>
      <w:r>
        <w:rPr>
          <w:rFonts w:ascii="Times New Roman" w:eastAsia="Times New Roman"/>
          <w:b/>
          <w:spacing w:val="-2"/>
          <w:w w:val="100"/>
          <w:sz w:val="21"/>
        </w:rPr>
        <w:t>H</w:t>
      </w:r>
      <w:r>
        <w:rPr>
          <w:rFonts w:ascii="Times New Roman" w:eastAsia="Times New Roman"/>
          <w:b/>
          <w:spacing w:val="-1"/>
          <w:w w:val="100"/>
          <w:sz w:val="21"/>
        </w:rPr>
        <w:t>I</w:t>
      </w:r>
      <w:r>
        <w:rPr>
          <w:rFonts w:ascii="Times New Roman" w:eastAsia="Times New Roman"/>
          <w:b/>
          <w:w w:val="100"/>
          <w:sz w:val="21"/>
        </w:rPr>
        <w:t>V</w:t>
      </w:r>
      <w:r>
        <w:rPr>
          <w:rFonts w:ascii="Times New Roman" w:eastAsia="Times New Roman"/>
          <w:b/>
          <w:spacing w:val="-4"/>
          <w:sz w:val="21"/>
        </w:rPr>
        <w:t> </w:t>
      </w:r>
      <w:r>
        <w:rPr>
          <w:b/>
          <w:spacing w:val="-1"/>
          <w:w w:val="100"/>
          <w:sz w:val="21"/>
        </w:rPr>
        <w:t>呈阳性</w:t>
      </w:r>
      <w:r>
        <w:rPr>
          <w:b/>
          <w:spacing w:val="-108"/>
          <w:w w:val="100"/>
          <w:sz w:val="21"/>
        </w:rPr>
        <w:t>）</w:t>
      </w:r>
      <w:r>
        <w:rPr>
          <w:b/>
          <w:w w:val="100"/>
          <w:sz w:val="21"/>
        </w:rPr>
        <w:t>；</w:t>
      </w:r>
    </w:p>
    <w:p>
      <w:pPr>
        <w:pStyle w:val="Heading2"/>
        <w:spacing w:before="13"/>
        <w:jc w:val="both"/>
      </w:pPr>
      <w:r>
        <w:rPr/>
        <w:t>（</w:t>
      </w:r>
      <w:r>
        <w:rPr>
          <w:rFonts w:ascii="Times New Roman" w:eastAsia="Times New Roman"/>
        </w:rPr>
        <w:t>6</w:t>
      </w:r>
      <w:r>
        <w:rPr/>
        <w:t>）战争、军事冲突、暴乱或武装叛乱；</w:t>
      </w:r>
    </w:p>
    <w:p>
      <w:pPr>
        <w:spacing w:before="20"/>
        <w:ind w:left="101" w:right="0" w:firstLine="0"/>
        <w:jc w:val="both"/>
        <w:rPr>
          <w:b/>
          <w:sz w:val="21"/>
        </w:rPr>
      </w:pPr>
      <w:r>
        <w:rPr>
          <w:b/>
          <w:sz w:val="21"/>
        </w:rPr>
        <w:t>（</w:t>
      </w:r>
      <w:r>
        <w:rPr>
          <w:rFonts w:ascii="Times New Roman" w:eastAsia="Times New Roman"/>
          <w:b/>
          <w:sz w:val="21"/>
        </w:rPr>
        <w:t>7</w:t>
      </w:r>
      <w:r>
        <w:rPr>
          <w:b/>
          <w:sz w:val="21"/>
        </w:rPr>
        <w:t>）核爆炸、核辐射或核污染；</w:t>
      </w:r>
    </w:p>
    <w:p>
      <w:pPr>
        <w:spacing w:before="13"/>
        <w:ind w:left="101" w:right="0" w:firstLine="0"/>
        <w:jc w:val="both"/>
        <w:rPr>
          <w:b/>
          <w:sz w:val="21"/>
        </w:rPr>
      </w:pPr>
      <w:r>
        <w:rPr>
          <w:b/>
          <w:sz w:val="21"/>
        </w:rPr>
        <w:t>（</w:t>
      </w:r>
      <w:r>
        <w:rPr>
          <w:rFonts w:ascii="Times New Roman" w:eastAsia="Times New Roman"/>
          <w:b/>
          <w:sz w:val="21"/>
        </w:rPr>
        <w:t>8</w:t>
      </w:r>
      <w:r>
        <w:rPr>
          <w:b/>
          <w:sz w:val="21"/>
        </w:rPr>
        <w:t>）遗传性疾病</w:t>
      </w:r>
      <w:r>
        <w:rPr>
          <w:b/>
          <w:position w:val="12"/>
          <w:sz w:val="12"/>
        </w:rPr>
        <w:t>释义 12</w:t>
      </w:r>
      <w:r>
        <w:rPr>
          <w:b/>
          <w:sz w:val="21"/>
        </w:rPr>
        <w:t>，先天性畸形、变形或染色体异常</w:t>
      </w:r>
      <w:r>
        <w:rPr>
          <w:b/>
          <w:position w:val="12"/>
          <w:sz w:val="12"/>
        </w:rPr>
        <w:t>释义 13</w:t>
      </w:r>
      <w:r>
        <w:rPr>
          <w:b/>
          <w:sz w:val="21"/>
        </w:rPr>
        <w:t>，本合同有特别约定的除外。</w:t>
      </w:r>
    </w:p>
    <w:p>
      <w:pPr>
        <w:pStyle w:val="BodyText"/>
        <w:spacing w:before="5"/>
        <w:rPr>
          <w:b/>
          <w:sz w:val="32"/>
        </w:rPr>
      </w:pPr>
    </w:p>
    <w:p>
      <w:pPr>
        <w:pStyle w:val="Heading1"/>
        <w:tabs>
          <w:tab w:pos="3986" w:val="left" w:leader="none"/>
        </w:tabs>
        <w:ind w:left="2186" w:right="0"/>
        <w:jc w:val="left"/>
      </w:pPr>
      <w:bookmarkStart w:name="_TOC_250018" w:id="7"/>
      <w:r>
        <w:rPr/>
        <w:t>第三部分</w:t>
        <w:tab/>
      </w:r>
      <w:bookmarkEnd w:id="7"/>
      <w:r>
        <w:rPr>
          <w:w w:val="95"/>
        </w:rPr>
        <w:t>如何申请领取保险金</w:t>
      </w:r>
    </w:p>
    <w:p>
      <w:pPr>
        <w:pStyle w:val="BodyText"/>
        <w:rPr>
          <w:b/>
          <w:sz w:val="28"/>
        </w:rPr>
      </w:pPr>
    </w:p>
    <w:p>
      <w:pPr>
        <w:pStyle w:val="BodyText"/>
        <w:spacing w:before="11"/>
        <w:rPr>
          <w:b/>
          <w:sz w:val="26"/>
        </w:rPr>
      </w:pPr>
    </w:p>
    <w:p>
      <w:pPr>
        <w:pStyle w:val="Heading2"/>
        <w:jc w:val="both"/>
      </w:pPr>
      <w:bookmarkStart w:name="_TOC_250017" w:id="8"/>
      <w:bookmarkEnd w:id="8"/>
      <w:r>
        <w:rPr/>
        <w:t>第八条     受益人的指定和变更</w:t>
      </w:r>
    </w:p>
    <w:p>
      <w:pPr>
        <w:pStyle w:val="BodyText"/>
        <w:rPr>
          <w:b/>
        </w:rPr>
      </w:pPr>
    </w:p>
    <w:p>
      <w:pPr>
        <w:pStyle w:val="BodyText"/>
        <w:rPr>
          <w:b/>
          <w:sz w:val="25"/>
        </w:rPr>
      </w:pPr>
    </w:p>
    <w:p>
      <w:pPr>
        <w:spacing w:before="0"/>
        <w:ind w:left="101" w:right="0" w:firstLine="0"/>
        <w:jc w:val="both"/>
        <w:rPr>
          <w:sz w:val="21"/>
        </w:rPr>
      </w:pPr>
      <w:r>
        <w:rPr>
          <w:sz w:val="21"/>
        </w:rPr>
        <w:t>本合同各项保险金的受益人为被保险人本人。</w:t>
      </w:r>
    </w:p>
    <w:p>
      <w:pPr>
        <w:pStyle w:val="BodyText"/>
      </w:pPr>
    </w:p>
    <w:p>
      <w:pPr>
        <w:pStyle w:val="BodyText"/>
        <w:spacing w:before="7"/>
        <w:rPr>
          <w:sz w:val="25"/>
        </w:rPr>
      </w:pPr>
    </w:p>
    <w:p>
      <w:pPr>
        <w:pStyle w:val="Heading2"/>
        <w:jc w:val="both"/>
      </w:pPr>
      <w:bookmarkStart w:name="_TOC_250016" w:id="9"/>
      <w:bookmarkEnd w:id="9"/>
      <w:r>
        <w:rPr/>
        <w:t>第九条     保险事故的通知</w:t>
      </w:r>
    </w:p>
    <w:p>
      <w:pPr>
        <w:pStyle w:val="BodyText"/>
        <w:rPr>
          <w:b/>
        </w:rPr>
      </w:pPr>
    </w:p>
    <w:p>
      <w:pPr>
        <w:pStyle w:val="BodyText"/>
        <w:spacing w:before="10"/>
        <w:rPr>
          <w:b/>
          <w:sz w:val="24"/>
        </w:rPr>
      </w:pPr>
    </w:p>
    <w:p>
      <w:pPr>
        <w:spacing w:before="0"/>
        <w:ind w:left="101" w:right="0" w:firstLine="0"/>
        <w:jc w:val="both"/>
        <w:rPr>
          <w:sz w:val="21"/>
        </w:rPr>
      </w:pPr>
      <w:r>
        <w:rPr>
          <w:sz w:val="21"/>
        </w:rPr>
        <w:t>您、被保险人或受益人应当在知道保险事故发生之日起十日内通知我们。</w:t>
      </w:r>
    </w:p>
    <w:p>
      <w:pPr>
        <w:pStyle w:val="BodyText"/>
        <w:spacing w:before="8"/>
        <w:rPr>
          <w:sz w:val="26"/>
        </w:rPr>
      </w:pPr>
    </w:p>
    <w:p>
      <w:pPr>
        <w:spacing w:line="273" w:lineRule="auto" w:before="0"/>
        <w:ind w:left="101" w:right="101" w:firstLine="0"/>
        <w:jc w:val="both"/>
        <w:rPr>
          <w:sz w:val="21"/>
        </w:rPr>
      </w:pPr>
      <w:r>
        <w:rPr>
          <w:spacing w:val="-10"/>
          <w:sz w:val="21"/>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w:t>
      </w:r>
      <w:r>
        <w:rPr>
          <w:spacing w:val="-3"/>
          <w:sz w:val="21"/>
        </w:rPr>
        <w:t>们确定保险事故的性质、原因、损失程度的除外。</w:t>
      </w:r>
    </w:p>
    <w:p>
      <w:pPr>
        <w:pStyle w:val="BodyText"/>
      </w:pPr>
    </w:p>
    <w:p>
      <w:pPr>
        <w:pStyle w:val="BodyText"/>
        <w:spacing w:before="3"/>
        <w:rPr>
          <w:sz w:val="23"/>
        </w:rPr>
      </w:pPr>
    </w:p>
    <w:p>
      <w:pPr>
        <w:pStyle w:val="Heading2"/>
        <w:tabs>
          <w:tab w:pos="1361" w:val="left" w:leader="none"/>
        </w:tabs>
        <w:spacing w:before="1"/>
      </w:pPr>
      <w:bookmarkStart w:name="_TOC_250015" w:id="10"/>
      <w:bookmarkEnd w:id="10"/>
      <w:r>
        <w:rPr/>
        <w:t>第十条</w:t>
        <w:tab/>
        <w:t>申请资料</w:t>
      </w:r>
    </w:p>
    <w:p>
      <w:pPr>
        <w:pStyle w:val="BodyText"/>
        <w:rPr>
          <w:b/>
        </w:rPr>
      </w:pPr>
    </w:p>
    <w:p>
      <w:pPr>
        <w:pStyle w:val="BodyText"/>
        <w:spacing w:before="11"/>
        <w:rPr>
          <w:b/>
          <w:sz w:val="24"/>
        </w:rPr>
      </w:pPr>
    </w:p>
    <w:p>
      <w:pPr>
        <w:spacing w:line="273" w:lineRule="auto" w:before="0"/>
        <w:ind w:left="101" w:right="101" w:firstLine="0"/>
        <w:jc w:val="left"/>
        <w:rPr>
          <w:sz w:val="21"/>
        </w:rPr>
      </w:pPr>
      <w:r>
        <w:rPr>
          <w:sz w:val="21"/>
        </w:rPr>
        <w:t>在符合保险责任有关规定的条件下，由保险金的受益人作为申请人填写申请书，并凭下列证明、资料的原件向我们申请相应的保险金：</w:t>
      </w:r>
    </w:p>
    <w:p>
      <w:pPr>
        <w:spacing w:before="7"/>
        <w:ind w:left="101" w:right="0" w:firstLine="0"/>
        <w:jc w:val="both"/>
        <w:rPr>
          <w:sz w:val="21"/>
        </w:rPr>
      </w:pPr>
      <w:r>
        <w:rPr>
          <w:sz w:val="21"/>
        </w:rPr>
        <w:t>（</w:t>
      </w:r>
      <w:r>
        <w:rPr>
          <w:rFonts w:ascii="Times New Roman" w:eastAsia="Times New Roman"/>
          <w:sz w:val="21"/>
        </w:rPr>
        <w:t>1</w:t>
      </w:r>
      <w:r>
        <w:rPr>
          <w:sz w:val="21"/>
        </w:rPr>
        <w:t>）申请书；</w:t>
      </w:r>
    </w:p>
    <w:p>
      <w:pPr>
        <w:spacing w:after="0"/>
        <w:jc w:val="both"/>
        <w:rPr>
          <w:sz w:val="21"/>
        </w:rPr>
        <w:sectPr>
          <w:pgSz w:w="11960" w:h="16850"/>
          <w:pgMar w:header="0" w:footer="1001" w:top="1600" w:bottom="1200" w:left="1600" w:right="1640"/>
        </w:sectPr>
      </w:pPr>
    </w:p>
    <w:p>
      <w:pPr>
        <w:spacing w:before="91"/>
        <w:ind w:left="101" w:right="0" w:firstLine="0"/>
        <w:jc w:val="left"/>
        <w:rPr>
          <w:sz w:val="21"/>
        </w:rPr>
      </w:pPr>
      <w:r>
        <w:rPr>
          <w:sz w:val="21"/>
        </w:rPr>
        <w:t>（</w:t>
      </w:r>
      <w:r>
        <w:rPr>
          <w:rFonts w:ascii="Times New Roman" w:eastAsia="Times New Roman"/>
          <w:sz w:val="21"/>
        </w:rPr>
        <w:t>2</w:t>
      </w:r>
      <w:r>
        <w:rPr>
          <w:sz w:val="21"/>
        </w:rPr>
        <w:t>）保险合同；</w:t>
      </w:r>
    </w:p>
    <w:p>
      <w:pPr>
        <w:spacing w:before="21"/>
        <w:ind w:left="101" w:right="0" w:firstLine="0"/>
        <w:jc w:val="left"/>
        <w:rPr>
          <w:sz w:val="21"/>
        </w:rPr>
      </w:pPr>
      <w:r>
        <w:rPr>
          <w:sz w:val="21"/>
        </w:rPr>
        <w:t>（</w:t>
      </w:r>
      <w:r>
        <w:rPr>
          <w:rFonts w:ascii="Times New Roman" w:eastAsia="Times New Roman"/>
          <w:sz w:val="21"/>
        </w:rPr>
        <w:t>3</w:t>
      </w:r>
      <w:r>
        <w:rPr>
          <w:sz w:val="21"/>
        </w:rPr>
        <w:t>）受益人户籍证明及身份证明；</w:t>
      </w:r>
    </w:p>
    <w:p>
      <w:pPr>
        <w:spacing w:line="252" w:lineRule="auto" w:before="13"/>
        <w:ind w:left="101" w:right="154" w:firstLine="0"/>
        <w:jc w:val="left"/>
        <w:rPr>
          <w:sz w:val="21"/>
        </w:rPr>
      </w:pPr>
      <w:r>
        <w:rPr>
          <w:sz w:val="21"/>
        </w:rPr>
        <w:t>（</w:t>
      </w:r>
      <w:r>
        <w:rPr>
          <w:rFonts w:ascii="Times New Roman" w:eastAsia="Times New Roman"/>
          <w:sz w:val="21"/>
        </w:rPr>
        <w:t>4</w:t>
      </w:r>
      <w:r>
        <w:rPr>
          <w:sz w:val="21"/>
        </w:rPr>
        <w:t>）</w:t>
      </w:r>
      <w:r>
        <w:rPr>
          <w:b/>
          <w:sz w:val="21"/>
        </w:rPr>
        <w:t>医院</w:t>
      </w:r>
      <w:r>
        <w:rPr>
          <w:b/>
          <w:position w:val="12"/>
          <w:sz w:val="12"/>
        </w:rPr>
        <w:t>释义 14 </w:t>
      </w:r>
      <w:r>
        <w:rPr>
          <w:sz w:val="21"/>
        </w:rPr>
        <w:t>出具的附有被保险人完整病历、病理、血液及其它科学方法检验报告的诊断证明文件；</w:t>
      </w:r>
    </w:p>
    <w:p>
      <w:pPr>
        <w:spacing w:line="256" w:lineRule="auto" w:before="26"/>
        <w:ind w:left="101" w:right="220" w:firstLine="0"/>
        <w:jc w:val="left"/>
        <w:rPr>
          <w:sz w:val="21"/>
        </w:rPr>
      </w:pPr>
      <w:r>
        <w:rPr>
          <w:sz w:val="21"/>
        </w:rPr>
        <w:t>（</w:t>
      </w:r>
      <w:r>
        <w:rPr>
          <w:rFonts w:ascii="Times New Roman" w:eastAsia="Times New Roman"/>
          <w:sz w:val="21"/>
        </w:rPr>
        <w:t>5</w:t>
      </w:r>
      <w:r>
        <w:rPr>
          <w:sz w:val="21"/>
        </w:rPr>
        <w:t>）医院或医生出具的附有被保险人新生婴儿的完整病历、病理、血液及其它科学方法检验</w:t>
      </w:r>
      <w:r>
        <w:rPr>
          <w:w w:val="100"/>
          <w:sz w:val="21"/>
        </w:rPr>
        <w:t>报告的诊断证明文件；（如适用者）</w:t>
      </w:r>
    </w:p>
    <w:p>
      <w:pPr>
        <w:spacing w:before="22"/>
        <w:ind w:left="101" w:right="0" w:firstLine="0"/>
        <w:jc w:val="left"/>
        <w:rPr>
          <w:sz w:val="21"/>
        </w:rPr>
      </w:pPr>
      <w:r>
        <w:rPr>
          <w:sz w:val="21"/>
        </w:rPr>
        <w:t>（</w:t>
      </w:r>
      <w:r>
        <w:rPr>
          <w:rFonts w:ascii="Times New Roman" w:eastAsia="Times New Roman"/>
          <w:sz w:val="21"/>
        </w:rPr>
        <w:t>6</w:t>
      </w:r>
      <w:r>
        <w:rPr>
          <w:sz w:val="21"/>
        </w:rPr>
        <w:t>）所能提供的与确认保险事故的性质、原因等有关的其他证明和资料。</w:t>
      </w:r>
    </w:p>
    <w:p>
      <w:pPr>
        <w:pStyle w:val="BodyText"/>
        <w:spacing w:before="5"/>
        <w:rPr>
          <w:sz w:val="25"/>
        </w:rPr>
      </w:pPr>
    </w:p>
    <w:p>
      <w:pPr>
        <w:spacing w:before="0"/>
        <w:ind w:left="101" w:right="0" w:firstLine="0"/>
        <w:jc w:val="left"/>
        <w:rPr>
          <w:sz w:val="21"/>
        </w:rPr>
      </w:pPr>
      <w:r>
        <w:rPr>
          <w:sz w:val="21"/>
        </w:rPr>
        <w:t>以上证明和资料不完整的，我们将及时一次性以书面形式向您告知需要补充的有关材料。</w:t>
      </w:r>
    </w:p>
    <w:p>
      <w:pPr>
        <w:pStyle w:val="BodyText"/>
      </w:pPr>
    </w:p>
    <w:p>
      <w:pPr>
        <w:pStyle w:val="BodyText"/>
        <w:spacing w:before="6"/>
        <w:rPr>
          <w:sz w:val="25"/>
        </w:rPr>
      </w:pPr>
    </w:p>
    <w:p>
      <w:pPr>
        <w:pStyle w:val="Heading2"/>
        <w:tabs>
          <w:tab w:pos="1361" w:val="left" w:leader="none"/>
        </w:tabs>
      </w:pPr>
      <w:bookmarkStart w:name="_TOC_250014" w:id="11"/>
      <w:bookmarkEnd w:id="11"/>
      <w:r>
        <w:rPr/>
        <w:t>第十一条</w:t>
        <w:tab/>
        <w:t>保险金的给付</w:t>
      </w:r>
    </w:p>
    <w:p>
      <w:pPr>
        <w:pStyle w:val="BodyText"/>
        <w:rPr>
          <w:b/>
        </w:rPr>
      </w:pPr>
    </w:p>
    <w:p>
      <w:pPr>
        <w:pStyle w:val="BodyText"/>
        <w:spacing w:before="10"/>
        <w:rPr>
          <w:b/>
          <w:sz w:val="24"/>
        </w:rPr>
      </w:pPr>
    </w:p>
    <w:p>
      <w:pPr>
        <w:spacing w:line="273" w:lineRule="auto" w:before="0"/>
        <w:ind w:left="101" w:right="115" w:firstLine="0"/>
        <w:jc w:val="left"/>
        <w:rPr>
          <w:sz w:val="21"/>
        </w:rPr>
      </w:pPr>
      <w:r>
        <w:rPr>
          <w:spacing w:val="-5"/>
          <w:sz w:val="21"/>
        </w:rPr>
        <w:t>我们收到申请人的保险金给付申请书及上述有关证明和资料后，将在五个工作日内作出核定， </w:t>
      </w:r>
      <w:r>
        <w:rPr>
          <w:spacing w:val="-11"/>
          <w:sz w:val="21"/>
        </w:rPr>
        <w:t>情形复杂的，我们将在三十日内作出核定，但是对于下列情形，我们将在六十日内作出核定：</w:t>
      </w:r>
    </w:p>
    <w:p>
      <w:pPr>
        <w:pStyle w:val="BodyText"/>
        <w:spacing w:before="5"/>
        <w:rPr>
          <w:sz w:val="24"/>
        </w:rPr>
      </w:pPr>
    </w:p>
    <w:p>
      <w:pPr>
        <w:pStyle w:val="ListParagraph"/>
        <w:numPr>
          <w:ilvl w:val="0"/>
          <w:numId w:val="1"/>
        </w:numPr>
        <w:tabs>
          <w:tab w:pos="733" w:val="left" w:leader="none"/>
        </w:tabs>
        <w:spacing w:line="240" w:lineRule="auto" w:before="0" w:after="0"/>
        <w:ind w:left="732" w:right="0" w:hanging="631"/>
        <w:jc w:val="left"/>
        <w:rPr>
          <w:sz w:val="21"/>
        </w:rPr>
      </w:pPr>
      <w:r>
        <w:rPr>
          <w:spacing w:val="-3"/>
          <w:sz w:val="21"/>
        </w:rPr>
        <w:t>须由鉴定机构进行鉴定的；</w:t>
      </w:r>
    </w:p>
    <w:p>
      <w:pPr>
        <w:pStyle w:val="ListParagraph"/>
        <w:numPr>
          <w:ilvl w:val="0"/>
          <w:numId w:val="1"/>
        </w:numPr>
        <w:tabs>
          <w:tab w:pos="733" w:val="left" w:leader="none"/>
        </w:tabs>
        <w:spacing w:line="240" w:lineRule="auto" w:before="21" w:after="0"/>
        <w:ind w:left="732" w:right="0" w:hanging="631"/>
        <w:jc w:val="left"/>
        <w:rPr>
          <w:sz w:val="21"/>
        </w:rPr>
      </w:pPr>
      <w:r>
        <w:rPr>
          <w:spacing w:val="-4"/>
          <w:sz w:val="21"/>
        </w:rPr>
        <w:t>涉及调查与核实您未如实告知的情况的；</w:t>
      </w:r>
    </w:p>
    <w:p>
      <w:pPr>
        <w:pStyle w:val="ListParagraph"/>
        <w:numPr>
          <w:ilvl w:val="0"/>
          <w:numId w:val="1"/>
        </w:numPr>
        <w:tabs>
          <w:tab w:pos="733" w:val="left" w:leader="none"/>
        </w:tabs>
        <w:spacing w:line="240" w:lineRule="auto" w:before="21" w:after="0"/>
        <w:ind w:left="732" w:right="0" w:hanging="631"/>
        <w:jc w:val="left"/>
        <w:rPr>
          <w:sz w:val="21"/>
        </w:rPr>
      </w:pPr>
      <w:r>
        <w:rPr>
          <w:spacing w:val="-4"/>
          <w:sz w:val="21"/>
        </w:rPr>
        <w:t>保险事故发生在投保所在地地级人民政府行政区划以外的地区的。</w:t>
      </w:r>
    </w:p>
    <w:p>
      <w:pPr>
        <w:pStyle w:val="BodyText"/>
        <w:spacing w:before="5"/>
        <w:rPr>
          <w:sz w:val="25"/>
        </w:rPr>
      </w:pPr>
    </w:p>
    <w:p>
      <w:pPr>
        <w:spacing w:line="544" w:lineRule="auto" w:before="0"/>
        <w:ind w:left="101" w:right="321" w:firstLine="0"/>
        <w:jc w:val="left"/>
        <w:rPr>
          <w:sz w:val="21"/>
        </w:rPr>
      </w:pPr>
      <w:r>
        <w:rPr>
          <w:sz w:val="21"/>
        </w:rPr>
        <w:t>对确定属于保险责任的，在与申请人确认给付保险金数额后十日内，履行给付保险金责任。我们未及时履行前款规定义务的，除支付保险金外，应当赔偿申请人因此受到的损失。</w:t>
      </w:r>
    </w:p>
    <w:p>
      <w:pPr>
        <w:spacing w:line="273" w:lineRule="auto" w:before="82"/>
        <w:ind w:left="101" w:right="226" w:firstLine="0"/>
        <w:jc w:val="left"/>
        <w:rPr>
          <w:sz w:val="21"/>
        </w:rPr>
      </w:pPr>
      <w:r>
        <w:rPr>
          <w:sz w:val="21"/>
        </w:rPr>
        <w:t>对不属于保险责任的，我们将自作出核定之日起三日内向申请人发出拒绝给付保险金通知书并说明理由。</w:t>
      </w:r>
    </w:p>
    <w:p>
      <w:pPr>
        <w:pStyle w:val="BodyText"/>
        <w:spacing w:before="5"/>
        <w:rPr>
          <w:sz w:val="24"/>
        </w:rPr>
      </w:pPr>
    </w:p>
    <w:p>
      <w:pPr>
        <w:spacing w:line="273" w:lineRule="auto" w:before="1"/>
        <w:ind w:left="101" w:right="221" w:firstLine="0"/>
        <w:jc w:val="left"/>
        <w:rPr>
          <w:sz w:val="21"/>
        </w:rPr>
      </w:pPr>
      <w:r>
        <w:rPr>
          <w:sz w:val="21"/>
        </w:rPr>
        <w:t>如果在六十日内对属于保险责任而给付保险金的数额不能确定的，根据已有证明和资料，我们按可以确定的数额先予以支付，最终确定给付保险金的数额后，给付相应的差额。</w:t>
      </w:r>
    </w:p>
    <w:p>
      <w:pPr>
        <w:pStyle w:val="BodyText"/>
      </w:pPr>
    </w:p>
    <w:p>
      <w:pPr>
        <w:pStyle w:val="BodyText"/>
        <w:spacing w:before="4"/>
        <w:rPr>
          <w:sz w:val="23"/>
        </w:rPr>
      </w:pPr>
    </w:p>
    <w:p>
      <w:pPr>
        <w:pStyle w:val="Heading2"/>
        <w:tabs>
          <w:tab w:pos="1361" w:val="left" w:leader="none"/>
        </w:tabs>
      </w:pPr>
      <w:bookmarkStart w:name="_TOC_250013" w:id="12"/>
      <w:bookmarkEnd w:id="12"/>
      <w:r>
        <w:rPr/>
        <w:t>第十二条</w:t>
        <w:tab/>
        <w:t>诉讼时效</w:t>
      </w:r>
    </w:p>
    <w:p>
      <w:pPr>
        <w:pStyle w:val="BodyText"/>
        <w:rPr>
          <w:b/>
        </w:rPr>
      </w:pPr>
    </w:p>
    <w:p>
      <w:pPr>
        <w:pStyle w:val="BodyText"/>
        <w:spacing w:before="10"/>
        <w:rPr>
          <w:b/>
          <w:sz w:val="24"/>
        </w:rPr>
      </w:pPr>
    </w:p>
    <w:p>
      <w:pPr>
        <w:spacing w:line="273" w:lineRule="auto" w:before="0"/>
        <w:ind w:left="101" w:right="221" w:firstLine="0"/>
        <w:jc w:val="left"/>
        <w:rPr>
          <w:sz w:val="21"/>
        </w:rPr>
      </w:pPr>
      <w:r>
        <w:rPr>
          <w:sz w:val="21"/>
        </w:rPr>
        <w:t>被保险人或受益人向我们请求给付保险金的诉讼时效期间为二年，自其知道或者应当知道保险事故发生之日起计算。</w:t>
      </w:r>
    </w:p>
    <w:p>
      <w:pPr>
        <w:pStyle w:val="BodyText"/>
      </w:pPr>
    </w:p>
    <w:p>
      <w:pPr>
        <w:pStyle w:val="Heading1"/>
        <w:tabs>
          <w:tab w:pos="1799" w:val="left" w:leader="none"/>
        </w:tabs>
        <w:spacing w:before="155"/>
      </w:pPr>
      <w:bookmarkStart w:name="_TOC_250012" w:id="13"/>
      <w:r>
        <w:rPr/>
        <w:t>第四部分</w:t>
        <w:tab/>
      </w:r>
      <w:bookmarkEnd w:id="13"/>
      <w:r>
        <w:rPr>
          <w:w w:val="95"/>
        </w:rPr>
        <w:t>如何交纳保险费</w:t>
      </w:r>
    </w:p>
    <w:p>
      <w:pPr>
        <w:spacing w:after="0"/>
        <w:sectPr>
          <w:pgSz w:w="11960" w:h="16850"/>
          <w:pgMar w:header="0" w:footer="1001" w:top="1600" w:bottom="1200" w:left="1600" w:right="1520"/>
        </w:sectPr>
      </w:pPr>
    </w:p>
    <w:p>
      <w:pPr>
        <w:pStyle w:val="BodyText"/>
        <w:spacing w:before="11"/>
        <w:rPr>
          <w:b/>
        </w:rPr>
      </w:pPr>
    </w:p>
    <w:p>
      <w:pPr>
        <w:pStyle w:val="Heading2"/>
        <w:tabs>
          <w:tab w:pos="1361" w:val="left" w:leader="none"/>
        </w:tabs>
        <w:spacing w:before="37"/>
      </w:pPr>
      <w:bookmarkStart w:name="_TOC_250011" w:id="14"/>
      <w:bookmarkEnd w:id="14"/>
      <w:r>
        <w:rPr/>
        <w:t>第十三条</w:t>
        <w:tab/>
        <w:t>保险费的交纳</w:t>
      </w:r>
    </w:p>
    <w:p>
      <w:pPr>
        <w:pStyle w:val="BodyText"/>
        <w:rPr>
          <w:b/>
        </w:rPr>
      </w:pPr>
    </w:p>
    <w:p>
      <w:pPr>
        <w:pStyle w:val="BodyText"/>
        <w:spacing w:before="11"/>
        <w:rPr>
          <w:b/>
          <w:sz w:val="24"/>
        </w:rPr>
      </w:pPr>
    </w:p>
    <w:p>
      <w:pPr>
        <w:spacing w:before="0"/>
        <w:ind w:left="101" w:right="0" w:firstLine="0"/>
        <w:jc w:val="left"/>
        <w:rPr>
          <w:sz w:val="21"/>
        </w:rPr>
      </w:pPr>
      <w:r>
        <w:rPr>
          <w:sz w:val="21"/>
        </w:rPr>
        <w:t>您需要按照本合同约定向我们一次性交清保险费。</w:t>
      </w:r>
    </w:p>
    <w:p>
      <w:pPr>
        <w:pStyle w:val="BodyText"/>
      </w:pPr>
    </w:p>
    <w:p>
      <w:pPr>
        <w:pStyle w:val="BodyText"/>
        <w:spacing w:before="2"/>
        <w:rPr>
          <w:sz w:val="14"/>
        </w:rPr>
      </w:pPr>
    </w:p>
    <w:p>
      <w:pPr>
        <w:pStyle w:val="Heading1"/>
        <w:tabs>
          <w:tab w:pos="1799" w:val="left" w:leader="none"/>
        </w:tabs>
        <w:ind w:right="6"/>
      </w:pPr>
      <w:bookmarkStart w:name="_TOC_250010" w:id="15"/>
      <w:r>
        <w:rPr/>
        <w:t>第五部分</w:t>
        <w:tab/>
      </w:r>
      <w:bookmarkEnd w:id="15"/>
      <w:r>
        <w:rPr>
          <w:w w:val="95"/>
        </w:rPr>
        <w:t>合同效力的终止</w:t>
      </w:r>
    </w:p>
    <w:p>
      <w:pPr>
        <w:pStyle w:val="BodyText"/>
        <w:rPr>
          <w:b/>
          <w:sz w:val="28"/>
        </w:rPr>
      </w:pPr>
    </w:p>
    <w:p>
      <w:pPr>
        <w:pStyle w:val="BodyText"/>
        <w:spacing w:before="11"/>
        <w:rPr>
          <w:b/>
          <w:sz w:val="26"/>
        </w:rPr>
      </w:pPr>
    </w:p>
    <w:p>
      <w:pPr>
        <w:pStyle w:val="Heading2"/>
        <w:tabs>
          <w:tab w:pos="1361" w:val="left" w:leader="none"/>
        </w:tabs>
      </w:pPr>
      <w:bookmarkStart w:name="_TOC_250009" w:id="16"/>
      <w:r>
        <w:rPr/>
        <w:t>第十四条</w:t>
        <w:tab/>
        <w:t>您主动解除合同的</w:t>
      </w:r>
      <w:r>
        <w:rPr>
          <w:spacing w:val="-3"/>
        </w:rPr>
        <w:t>权</w:t>
      </w:r>
      <w:bookmarkEnd w:id="16"/>
      <w:r>
        <w:rPr/>
        <w:t>利</w:t>
      </w:r>
    </w:p>
    <w:p>
      <w:pPr>
        <w:pStyle w:val="BodyText"/>
        <w:rPr>
          <w:b/>
        </w:rPr>
      </w:pPr>
    </w:p>
    <w:p>
      <w:pPr>
        <w:pStyle w:val="BodyText"/>
        <w:spacing w:before="12"/>
        <w:rPr>
          <w:b/>
          <w:sz w:val="24"/>
        </w:rPr>
      </w:pPr>
    </w:p>
    <w:p>
      <w:pPr>
        <w:spacing w:before="1"/>
        <w:ind w:left="101" w:right="0" w:firstLine="0"/>
        <w:jc w:val="left"/>
        <w:rPr>
          <w:sz w:val="21"/>
        </w:rPr>
      </w:pPr>
      <w:r>
        <w:rPr>
          <w:sz w:val="21"/>
        </w:rPr>
        <w:t>本合同生效后，您可以书面通知我们要求解除本合同，并应提供下列证明和资料：</w:t>
      </w:r>
    </w:p>
    <w:p>
      <w:pPr>
        <w:pStyle w:val="BodyText"/>
        <w:spacing w:before="8"/>
        <w:rPr>
          <w:sz w:val="26"/>
        </w:rPr>
      </w:pPr>
    </w:p>
    <w:p>
      <w:pPr>
        <w:spacing w:before="1"/>
        <w:ind w:left="101" w:right="0" w:firstLine="0"/>
        <w:jc w:val="left"/>
        <w:rPr>
          <w:sz w:val="21"/>
        </w:rPr>
      </w:pPr>
      <w:r>
        <w:rPr>
          <w:sz w:val="21"/>
        </w:rPr>
        <w:t>（</w:t>
      </w:r>
      <w:r>
        <w:rPr>
          <w:rFonts w:ascii="Times New Roman" w:eastAsia="Times New Roman"/>
          <w:sz w:val="21"/>
        </w:rPr>
        <w:t>1</w:t>
      </w:r>
      <w:r>
        <w:rPr>
          <w:sz w:val="21"/>
        </w:rPr>
        <w:t>）保险合同终止申请书；</w:t>
      </w:r>
    </w:p>
    <w:p>
      <w:pPr>
        <w:spacing w:before="21"/>
        <w:ind w:left="101" w:right="0" w:firstLine="0"/>
        <w:jc w:val="left"/>
        <w:rPr>
          <w:sz w:val="21"/>
        </w:rPr>
      </w:pPr>
      <w:r>
        <w:rPr>
          <w:sz w:val="21"/>
        </w:rPr>
        <w:t>（</w:t>
      </w:r>
      <w:r>
        <w:rPr>
          <w:rFonts w:ascii="Times New Roman" w:eastAsia="Times New Roman"/>
          <w:sz w:val="21"/>
        </w:rPr>
        <w:t>2</w:t>
      </w:r>
      <w:r>
        <w:rPr>
          <w:sz w:val="21"/>
        </w:rPr>
        <w:t>）保险合同原件；</w:t>
      </w:r>
    </w:p>
    <w:p>
      <w:pPr>
        <w:spacing w:before="21"/>
        <w:ind w:left="101" w:right="0" w:firstLine="0"/>
        <w:jc w:val="left"/>
        <w:rPr>
          <w:sz w:val="21"/>
        </w:rPr>
      </w:pPr>
      <w:r>
        <w:rPr>
          <w:sz w:val="21"/>
        </w:rPr>
        <w:t>（</w:t>
      </w:r>
      <w:r>
        <w:rPr>
          <w:rFonts w:ascii="Times New Roman" w:eastAsia="Times New Roman"/>
          <w:sz w:val="21"/>
        </w:rPr>
        <w:t>3</w:t>
      </w:r>
      <w:r>
        <w:rPr>
          <w:sz w:val="21"/>
        </w:rPr>
        <w:t>）您的身份证明复印件。</w:t>
      </w:r>
    </w:p>
    <w:p>
      <w:pPr>
        <w:pStyle w:val="BodyText"/>
        <w:spacing w:before="6"/>
        <w:rPr>
          <w:sz w:val="25"/>
        </w:rPr>
      </w:pPr>
    </w:p>
    <w:p>
      <w:pPr>
        <w:spacing w:line="266" w:lineRule="auto" w:before="0"/>
        <w:ind w:left="101" w:right="101" w:firstLine="0"/>
        <w:jc w:val="left"/>
        <w:rPr>
          <w:sz w:val="21"/>
        </w:rPr>
      </w:pPr>
      <w:r>
        <w:rPr>
          <w:sz w:val="21"/>
        </w:rPr>
        <w:t>如果您要求解除本合同，本合同的保险责任将自我们收到终止保险合同的书面申请之次日零时起终止。我们将于收到上述证明和资料之日起三十日内</w:t>
      </w:r>
      <w:r>
        <w:rPr>
          <w:b/>
          <w:sz w:val="21"/>
        </w:rPr>
        <w:t>按比例退还已交的保险费</w:t>
      </w:r>
      <w:r>
        <w:rPr>
          <w:b/>
          <w:position w:val="12"/>
          <w:sz w:val="12"/>
        </w:rPr>
        <w:t>释义 15</w:t>
      </w:r>
      <w:r>
        <w:rPr>
          <w:sz w:val="21"/>
        </w:rPr>
        <w:t>。</w:t>
      </w:r>
    </w:p>
    <w:p>
      <w:pPr>
        <w:pStyle w:val="BodyText"/>
        <w:spacing w:before="13"/>
        <w:rPr>
          <w:sz w:val="23"/>
        </w:rPr>
      </w:pPr>
    </w:p>
    <w:p>
      <w:pPr>
        <w:spacing w:line="544" w:lineRule="auto" w:before="0"/>
        <w:ind w:left="101" w:right="1673" w:firstLine="0"/>
        <w:jc w:val="left"/>
        <w:rPr>
          <w:sz w:val="21"/>
        </w:rPr>
      </w:pPr>
      <w:r>
        <w:rPr>
          <w:sz w:val="21"/>
        </w:rPr>
        <w:t>若我们已按本合同给付保险金，在该保单年度内，您不得要求解除本合同。您解除合同会遭受一定损失。</w:t>
      </w:r>
    </w:p>
    <w:p>
      <w:pPr>
        <w:pStyle w:val="BodyText"/>
        <w:spacing w:before="2"/>
        <w:rPr>
          <w:sz w:val="25"/>
        </w:rPr>
      </w:pPr>
    </w:p>
    <w:p>
      <w:pPr>
        <w:pStyle w:val="Heading2"/>
        <w:tabs>
          <w:tab w:pos="1361" w:val="left" w:leader="none"/>
        </w:tabs>
      </w:pPr>
      <w:bookmarkStart w:name="_TOC_250008" w:id="17"/>
      <w:bookmarkEnd w:id="17"/>
      <w:r>
        <w:rPr/>
        <w:t>第十五条</w:t>
        <w:tab/>
        <w:t>合同效力的终止</w:t>
      </w:r>
    </w:p>
    <w:p>
      <w:pPr>
        <w:pStyle w:val="BodyText"/>
        <w:rPr>
          <w:b/>
        </w:rPr>
      </w:pPr>
    </w:p>
    <w:p>
      <w:pPr>
        <w:pStyle w:val="BodyText"/>
        <w:spacing w:before="10"/>
        <w:rPr>
          <w:b/>
          <w:sz w:val="24"/>
        </w:rPr>
      </w:pPr>
    </w:p>
    <w:p>
      <w:pPr>
        <w:spacing w:before="0"/>
        <w:ind w:left="101" w:right="0" w:firstLine="0"/>
        <w:jc w:val="left"/>
        <w:rPr>
          <w:sz w:val="21"/>
        </w:rPr>
      </w:pPr>
      <w:r>
        <w:rPr>
          <w:sz w:val="21"/>
        </w:rPr>
        <w:t>本合同发生下列情况之一时将会自动终止：</w:t>
      </w:r>
    </w:p>
    <w:p>
      <w:pPr>
        <w:pStyle w:val="BodyText"/>
        <w:spacing w:before="8"/>
        <w:rPr>
          <w:sz w:val="26"/>
        </w:rPr>
      </w:pPr>
    </w:p>
    <w:p>
      <w:pPr>
        <w:spacing w:before="0"/>
        <w:ind w:left="101" w:right="0" w:firstLine="0"/>
        <w:jc w:val="left"/>
        <w:rPr>
          <w:sz w:val="21"/>
        </w:rPr>
      </w:pPr>
      <w:r>
        <w:rPr>
          <w:sz w:val="21"/>
        </w:rPr>
        <w:t>（</w:t>
      </w:r>
      <w:r>
        <w:rPr>
          <w:rFonts w:ascii="Times New Roman" w:eastAsia="Times New Roman"/>
          <w:sz w:val="21"/>
        </w:rPr>
        <w:t>1</w:t>
      </w:r>
      <w:r>
        <w:rPr>
          <w:sz w:val="21"/>
        </w:rPr>
        <w:t>）本合同被撤销、解除，或发生其他效力终止的情况；</w:t>
      </w:r>
    </w:p>
    <w:p>
      <w:pPr>
        <w:spacing w:before="21"/>
        <w:ind w:left="101" w:right="0" w:firstLine="0"/>
        <w:jc w:val="left"/>
        <w:rPr>
          <w:sz w:val="21"/>
        </w:rPr>
      </w:pPr>
      <w:r>
        <w:rPr>
          <w:sz w:val="21"/>
        </w:rPr>
        <w:t>（</w:t>
      </w:r>
      <w:r>
        <w:rPr>
          <w:rFonts w:ascii="Times New Roman" w:eastAsia="Times New Roman"/>
          <w:sz w:val="21"/>
        </w:rPr>
        <w:t>2</w:t>
      </w:r>
      <w:r>
        <w:rPr>
          <w:sz w:val="21"/>
        </w:rPr>
        <w:t>）因出现本合同其他条款所列情况而终止。</w:t>
      </w:r>
    </w:p>
    <w:p>
      <w:pPr>
        <w:pStyle w:val="BodyText"/>
        <w:spacing w:before="12"/>
        <w:rPr>
          <w:sz w:val="32"/>
        </w:rPr>
      </w:pPr>
    </w:p>
    <w:p>
      <w:pPr>
        <w:tabs>
          <w:tab w:pos="1799" w:val="left" w:leader="none"/>
        </w:tabs>
        <w:spacing w:before="1"/>
        <w:ind w:left="0" w:right="4" w:firstLine="0"/>
        <w:jc w:val="center"/>
        <w:rPr>
          <w:b/>
          <w:sz w:val="28"/>
        </w:rPr>
      </w:pPr>
      <w:bookmarkStart w:name="_TOC_250007" w:id="18"/>
      <w:r>
        <w:rPr>
          <w:b/>
          <w:sz w:val="28"/>
        </w:rPr>
        <w:t>第六部分</w:t>
        <w:tab/>
      </w:r>
      <w:bookmarkEnd w:id="18"/>
      <w:r>
        <w:rPr>
          <w:b/>
          <w:w w:val="95"/>
          <w:sz w:val="28"/>
        </w:rPr>
        <w:t>您必须了解的其他事项</w:t>
      </w:r>
    </w:p>
    <w:p>
      <w:pPr>
        <w:pStyle w:val="BodyText"/>
        <w:rPr>
          <w:b/>
          <w:sz w:val="28"/>
        </w:rPr>
      </w:pPr>
    </w:p>
    <w:p>
      <w:pPr>
        <w:pStyle w:val="BodyText"/>
        <w:spacing w:before="11"/>
        <w:rPr>
          <w:b/>
          <w:sz w:val="26"/>
        </w:rPr>
      </w:pPr>
    </w:p>
    <w:p>
      <w:pPr>
        <w:pStyle w:val="Heading2"/>
        <w:tabs>
          <w:tab w:pos="1361" w:val="left" w:leader="none"/>
        </w:tabs>
        <w:spacing w:before="1"/>
      </w:pPr>
      <w:bookmarkStart w:name="_TOC_250006" w:id="19"/>
      <w:bookmarkEnd w:id="19"/>
      <w:r>
        <w:rPr/>
        <w:t>第十六条</w:t>
        <w:tab/>
        <w:t>明确说明与如实告知</w:t>
      </w:r>
    </w:p>
    <w:p>
      <w:pPr>
        <w:pStyle w:val="BodyText"/>
        <w:rPr>
          <w:b/>
        </w:rPr>
      </w:pPr>
    </w:p>
    <w:p>
      <w:pPr>
        <w:pStyle w:val="BodyText"/>
        <w:spacing w:before="10"/>
        <w:rPr>
          <w:b/>
          <w:sz w:val="24"/>
        </w:rPr>
      </w:pPr>
    </w:p>
    <w:p>
      <w:pPr>
        <w:spacing w:before="1"/>
        <w:ind w:left="101" w:right="0" w:firstLine="0"/>
        <w:jc w:val="left"/>
        <w:rPr>
          <w:sz w:val="21"/>
        </w:rPr>
      </w:pPr>
      <w:r>
        <w:rPr>
          <w:sz w:val="21"/>
        </w:rPr>
        <w:t>订立本合同时，我们应向您明确说明本合同的条款内容。对本合同条款中免除我们责任的条</w:t>
      </w:r>
    </w:p>
    <w:p>
      <w:pPr>
        <w:spacing w:after="0"/>
        <w:jc w:val="left"/>
        <w:rPr>
          <w:sz w:val="21"/>
        </w:rPr>
        <w:sectPr>
          <w:pgSz w:w="11960" w:h="16850"/>
          <w:pgMar w:header="0" w:footer="1001" w:top="1600" w:bottom="1200" w:left="1600" w:right="1640"/>
        </w:sectPr>
      </w:pPr>
    </w:p>
    <w:p>
      <w:pPr>
        <w:spacing w:line="273" w:lineRule="auto" w:before="91"/>
        <w:ind w:left="101" w:right="103" w:firstLine="0"/>
        <w:jc w:val="both"/>
        <w:rPr>
          <w:sz w:val="21"/>
        </w:rPr>
      </w:pPr>
      <w:r>
        <w:rPr>
          <w:sz w:val="21"/>
        </w:rPr>
        <w:t>款，我们在订立本合同时应当在投保单、保险单或者其他保险凭证上做出足以引起您注意的</w:t>
      </w:r>
      <w:r>
        <w:rPr>
          <w:spacing w:val="-11"/>
          <w:sz w:val="21"/>
        </w:rPr>
        <w:t>提示，并对该条款的内容以书面或者口头形式向您做出明确说明，未作提示或者明确说明的， </w:t>
      </w:r>
      <w:r>
        <w:rPr>
          <w:spacing w:val="-3"/>
          <w:sz w:val="21"/>
        </w:rPr>
        <w:t>该条款不产生效力。</w:t>
      </w:r>
    </w:p>
    <w:p>
      <w:pPr>
        <w:pStyle w:val="BodyText"/>
        <w:spacing w:before="5"/>
        <w:rPr>
          <w:sz w:val="24"/>
        </w:rPr>
      </w:pPr>
    </w:p>
    <w:p>
      <w:pPr>
        <w:spacing w:before="0"/>
        <w:ind w:left="101" w:right="0" w:firstLine="0"/>
        <w:jc w:val="left"/>
        <w:rPr>
          <w:sz w:val="21"/>
        </w:rPr>
      </w:pPr>
      <w:r>
        <w:rPr>
          <w:sz w:val="21"/>
        </w:rPr>
        <w:t>我们可以就您和被保险人的有关情况向您提出书面询问，您应当以书面方式如实告知。</w:t>
      </w:r>
    </w:p>
    <w:p>
      <w:pPr>
        <w:pStyle w:val="BodyText"/>
        <w:spacing w:before="8"/>
        <w:rPr>
          <w:sz w:val="26"/>
        </w:rPr>
      </w:pPr>
    </w:p>
    <w:p>
      <w:pPr>
        <w:spacing w:line="273" w:lineRule="auto" w:before="0"/>
        <w:ind w:left="101" w:right="101" w:firstLine="0"/>
        <w:jc w:val="left"/>
        <w:rPr>
          <w:sz w:val="21"/>
        </w:rPr>
      </w:pPr>
      <w:r>
        <w:rPr>
          <w:sz w:val="21"/>
        </w:rPr>
        <w:t>您故意或者因重大过失未履行前款规定的如实告知义务，足以影响我们决定是否同意承保或者提高保险费率的，我们有权解除本合同。</w:t>
      </w:r>
    </w:p>
    <w:p>
      <w:pPr>
        <w:pStyle w:val="BodyText"/>
        <w:spacing w:before="5"/>
        <w:rPr>
          <w:sz w:val="24"/>
        </w:rPr>
      </w:pPr>
    </w:p>
    <w:p>
      <w:pPr>
        <w:spacing w:line="273" w:lineRule="auto" w:before="0"/>
        <w:ind w:left="101" w:right="103" w:firstLine="0"/>
        <w:jc w:val="left"/>
        <w:rPr>
          <w:sz w:val="21"/>
        </w:rPr>
      </w:pPr>
      <w:r>
        <w:rPr>
          <w:sz w:val="21"/>
        </w:rPr>
        <w:t>您故意不履行如实告知义务，我们对于本合同解除前发生的保险事故，不承担赔偿或者给付保险金的责任，并不退还保险费。</w:t>
      </w:r>
    </w:p>
    <w:p>
      <w:pPr>
        <w:pStyle w:val="BodyText"/>
        <w:spacing w:before="5"/>
        <w:rPr>
          <w:sz w:val="24"/>
        </w:rPr>
      </w:pPr>
    </w:p>
    <w:p>
      <w:pPr>
        <w:spacing w:line="273" w:lineRule="auto" w:before="0"/>
        <w:ind w:left="101" w:right="101" w:firstLine="0"/>
        <w:jc w:val="left"/>
        <w:rPr>
          <w:sz w:val="21"/>
        </w:rPr>
      </w:pPr>
      <w:r>
        <w:rPr>
          <w:sz w:val="21"/>
        </w:rPr>
        <w:t>您因重大过失没能履行如实告知义务，对保险事故的发生有严重影响的，我们对解除本合同前发生的保险事故，不承担赔偿或给付保险金的责任，但应当退还保险费。</w:t>
      </w:r>
    </w:p>
    <w:p>
      <w:pPr>
        <w:pStyle w:val="BodyText"/>
      </w:pPr>
    </w:p>
    <w:p>
      <w:pPr>
        <w:pStyle w:val="BodyText"/>
        <w:spacing w:before="3"/>
        <w:rPr>
          <w:sz w:val="23"/>
        </w:rPr>
      </w:pPr>
    </w:p>
    <w:p>
      <w:pPr>
        <w:pStyle w:val="Heading2"/>
        <w:tabs>
          <w:tab w:pos="1361" w:val="left" w:leader="none"/>
        </w:tabs>
      </w:pPr>
      <w:bookmarkStart w:name="_TOC_250005" w:id="20"/>
      <w:r>
        <w:rPr/>
        <w:t>第十七条</w:t>
        <w:tab/>
        <w:t>本公司合同解除权</w:t>
      </w:r>
      <w:r>
        <w:rPr>
          <w:spacing w:val="-3"/>
        </w:rPr>
        <w:t>的</w:t>
      </w:r>
      <w:bookmarkEnd w:id="20"/>
      <w:r>
        <w:rPr/>
        <w:t>限制</w:t>
      </w:r>
    </w:p>
    <w:p>
      <w:pPr>
        <w:pStyle w:val="BodyText"/>
        <w:rPr>
          <w:b/>
        </w:rPr>
      </w:pPr>
    </w:p>
    <w:p>
      <w:pPr>
        <w:pStyle w:val="BodyText"/>
        <w:spacing w:before="10"/>
        <w:rPr>
          <w:b/>
          <w:sz w:val="24"/>
        </w:rPr>
      </w:pPr>
    </w:p>
    <w:p>
      <w:pPr>
        <w:spacing w:before="0"/>
        <w:ind w:left="101" w:right="0" w:firstLine="0"/>
        <w:jc w:val="left"/>
        <w:rPr>
          <w:sz w:val="21"/>
        </w:rPr>
      </w:pPr>
      <w:r>
        <w:rPr>
          <w:sz w:val="21"/>
        </w:rPr>
        <w:t>前条规定的合同解除权，自我们知道有解除事由之日起，超过 </w:t>
      </w:r>
      <w:r>
        <w:rPr>
          <w:rFonts w:ascii="Times New Roman" w:eastAsia="Times New Roman"/>
          <w:sz w:val="21"/>
        </w:rPr>
        <w:t>30 </w:t>
      </w:r>
      <w:r>
        <w:rPr>
          <w:sz w:val="21"/>
        </w:rPr>
        <w:t>日不行使而消灭。</w:t>
      </w:r>
    </w:p>
    <w:p>
      <w:pPr>
        <w:pStyle w:val="BodyText"/>
        <w:spacing w:before="5"/>
        <w:rPr>
          <w:sz w:val="25"/>
        </w:rPr>
      </w:pPr>
    </w:p>
    <w:p>
      <w:pPr>
        <w:spacing w:line="273" w:lineRule="auto" w:before="1"/>
        <w:ind w:left="101" w:right="101" w:firstLine="0"/>
        <w:jc w:val="left"/>
        <w:rPr>
          <w:sz w:val="21"/>
        </w:rPr>
      </w:pPr>
      <w:r>
        <w:rPr>
          <w:sz w:val="21"/>
        </w:rPr>
        <w:t>我们在合同订立时已经知道您未如实告知的情况的，我们不得解除合同；发生保险事故的， 我们承担给付保险金的责任。</w:t>
      </w:r>
    </w:p>
    <w:p>
      <w:pPr>
        <w:pStyle w:val="BodyText"/>
      </w:pPr>
    </w:p>
    <w:p>
      <w:pPr>
        <w:pStyle w:val="BodyText"/>
        <w:spacing w:before="4"/>
        <w:rPr>
          <w:sz w:val="23"/>
        </w:rPr>
      </w:pPr>
    </w:p>
    <w:p>
      <w:pPr>
        <w:pStyle w:val="Heading2"/>
        <w:tabs>
          <w:tab w:pos="1361" w:val="left" w:leader="none"/>
        </w:tabs>
      </w:pPr>
      <w:bookmarkStart w:name="_TOC_250004" w:id="21"/>
      <w:bookmarkEnd w:id="21"/>
      <w:r>
        <w:rPr/>
        <w:t>第十八条</w:t>
        <w:tab/>
        <w:t>变更合同内容的权利</w:t>
      </w:r>
    </w:p>
    <w:p>
      <w:pPr>
        <w:pStyle w:val="BodyText"/>
        <w:rPr>
          <w:b/>
        </w:rPr>
      </w:pPr>
    </w:p>
    <w:p>
      <w:pPr>
        <w:pStyle w:val="BodyText"/>
        <w:spacing w:before="10"/>
        <w:rPr>
          <w:b/>
          <w:sz w:val="24"/>
        </w:rPr>
      </w:pPr>
    </w:p>
    <w:p>
      <w:pPr>
        <w:spacing w:line="273" w:lineRule="auto" w:before="0"/>
        <w:ind w:left="101" w:right="101" w:firstLine="0"/>
        <w:jc w:val="both"/>
        <w:rPr>
          <w:sz w:val="21"/>
        </w:rPr>
      </w:pPr>
      <w:r>
        <w:rPr>
          <w:sz w:val="21"/>
        </w:rPr>
        <w:t>在本合同的有效保险期间内，经您和我们协商，可以变更本合同的有关内容。您提出变更申请后，应当由我们在原保险单或其他保险凭证上加以批注或附贴批单，或由您和我们订立变更的书面协议后，才能生效。</w:t>
      </w:r>
    </w:p>
    <w:p>
      <w:pPr>
        <w:pStyle w:val="BodyText"/>
      </w:pPr>
    </w:p>
    <w:p>
      <w:pPr>
        <w:pStyle w:val="BodyText"/>
        <w:spacing w:before="3"/>
        <w:rPr>
          <w:sz w:val="23"/>
        </w:rPr>
      </w:pPr>
    </w:p>
    <w:p>
      <w:pPr>
        <w:pStyle w:val="Heading2"/>
        <w:tabs>
          <w:tab w:pos="1361" w:val="left" w:leader="none"/>
        </w:tabs>
      </w:pPr>
      <w:bookmarkStart w:name="_TOC_250003" w:id="22"/>
      <w:r>
        <w:rPr/>
        <w:t>第十九条</w:t>
        <w:tab/>
      </w:r>
      <w:r>
        <w:rPr>
          <w:spacing w:val="-1"/>
        </w:rPr>
        <w:t>年龄</w:t>
      </w:r>
      <w:r>
        <w:rPr/>
        <w:t>、性别的确定</w:t>
      </w:r>
      <w:r>
        <w:rPr>
          <w:spacing w:val="-3"/>
        </w:rPr>
        <w:t>和</w:t>
      </w:r>
      <w:r>
        <w:rPr/>
        <w:t>错</w:t>
      </w:r>
      <w:r>
        <w:rPr>
          <w:spacing w:val="-3"/>
        </w:rPr>
        <w:t>误</w:t>
      </w:r>
      <w:bookmarkEnd w:id="22"/>
      <w:r>
        <w:rPr/>
        <w:t>处理</w:t>
      </w:r>
    </w:p>
    <w:p>
      <w:pPr>
        <w:pStyle w:val="BodyText"/>
        <w:rPr>
          <w:b/>
        </w:rPr>
      </w:pPr>
    </w:p>
    <w:p>
      <w:pPr>
        <w:pStyle w:val="BodyText"/>
        <w:spacing w:before="10"/>
        <w:rPr>
          <w:b/>
          <w:sz w:val="24"/>
        </w:rPr>
      </w:pPr>
    </w:p>
    <w:p>
      <w:pPr>
        <w:spacing w:line="266" w:lineRule="auto" w:before="0"/>
        <w:ind w:left="101" w:right="101" w:firstLine="0"/>
        <w:jc w:val="both"/>
        <w:rPr>
          <w:sz w:val="21"/>
        </w:rPr>
      </w:pPr>
      <w:r>
        <w:rPr>
          <w:sz w:val="21"/>
        </w:rPr>
        <w:t>被保险人的投保年龄以周岁计算。您在申请投保时，应将被保险人的真实年龄及性别在投保单上填明。如果您申报的被保险人年龄或性别不真实，并且其真实年龄不符合本合同约定的年龄限制，在保险事故发生之前我们有权解除本合同，我们将在扣除</w:t>
      </w:r>
      <w:r>
        <w:rPr>
          <w:b/>
          <w:sz w:val="21"/>
        </w:rPr>
        <w:t>手续费</w:t>
      </w:r>
      <w:r>
        <w:rPr>
          <w:b/>
          <w:position w:val="12"/>
          <w:sz w:val="12"/>
        </w:rPr>
        <w:t>释义 16 </w:t>
      </w:r>
      <w:r>
        <w:rPr>
          <w:sz w:val="21"/>
        </w:rPr>
        <w:t>后，无息退还已交的保险费。我们行使合同解除权适用“</w:t>
      </w:r>
      <w:r>
        <w:rPr>
          <w:b/>
          <w:sz w:val="21"/>
        </w:rPr>
        <w:t>本公司</w:t>
      </w:r>
      <w:r>
        <w:rPr>
          <w:b/>
          <w:position w:val="12"/>
          <w:sz w:val="12"/>
        </w:rPr>
        <w:t>释义 17 </w:t>
      </w:r>
      <w:r>
        <w:rPr>
          <w:sz w:val="21"/>
        </w:rPr>
        <w:t>合同解除权的限制”的规定。</w:t>
      </w:r>
    </w:p>
    <w:p>
      <w:pPr>
        <w:spacing w:after="0" w:line="266" w:lineRule="auto"/>
        <w:jc w:val="both"/>
        <w:rPr>
          <w:sz w:val="21"/>
        </w:rPr>
        <w:sectPr>
          <w:pgSz w:w="11960" w:h="16850"/>
          <w:pgMar w:header="0" w:footer="1001" w:top="1600" w:bottom="1200" w:left="1600" w:right="1640"/>
        </w:sectPr>
      </w:pPr>
    </w:p>
    <w:p>
      <w:pPr>
        <w:pStyle w:val="BodyText"/>
        <w:spacing w:before="11"/>
      </w:pPr>
    </w:p>
    <w:p>
      <w:pPr>
        <w:pStyle w:val="Heading2"/>
        <w:tabs>
          <w:tab w:pos="1381" w:val="left" w:leader="none"/>
        </w:tabs>
        <w:spacing w:before="37"/>
        <w:ind w:left="121"/>
      </w:pPr>
      <w:bookmarkStart w:name="_TOC_250002" w:id="23"/>
      <w:bookmarkEnd w:id="23"/>
      <w:r>
        <w:rPr/>
        <w:t>第二十条</w:t>
        <w:tab/>
        <w:t>地址变更的通知</w:t>
      </w:r>
    </w:p>
    <w:p>
      <w:pPr>
        <w:pStyle w:val="BodyText"/>
        <w:rPr>
          <w:b/>
        </w:rPr>
      </w:pPr>
    </w:p>
    <w:p>
      <w:pPr>
        <w:pStyle w:val="BodyText"/>
        <w:spacing w:before="11"/>
        <w:rPr>
          <w:b/>
          <w:sz w:val="24"/>
        </w:rPr>
      </w:pPr>
    </w:p>
    <w:p>
      <w:pPr>
        <w:spacing w:line="273" w:lineRule="auto" w:before="0"/>
        <w:ind w:left="121" w:right="221" w:firstLine="0"/>
        <w:jc w:val="both"/>
        <w:rPr>
          <w:sz w:val="21"/>
        </w:rPr>
      </w:pPr>
      <w:r>
        <w:rPr>
          <w:sz w:val="21"/>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pStyle w:val="BodyText"/>
      </w:pPr>
    </w:p>
    <w:p>
      <w:pPr>
        <w:pStyle w:val="BodyText"/>
        <w:spacing w:before="4"/>
        <w:rPr>
          <w:sz w:val="23"/>
        </w:rPr>
      </w:pPr>
    </w:p>
    <w:p>
      <w:pPr>
        <w:pStyle w:val="Heading2"/>
        <w:tabs>
          <w:tab w:pos="1381" w:val="left" w:leader="none"/>
        </w:tabs>
        <w:ind w:left="121"/>
      </w:pPr>
      <w:bookmarkStart w:name="_TOC_250001" w:id="24"/>
      <w:bookmarkEnd w:id="24"/>
      <w:r>
        <w:rPr/>
        <w:t>第二十一条</w:t>
        <w:tab/>
        <w:t>争议处理</w:t>
      </w:r>
    </w:p>
    <w:p>
      <w:pPr>
        <w:pStyle w:val="BodyText"/>
        <w:rPr>
          <w:b/>
        </w:rPr>
      </w:pPr>
    </w:p>
    <w:p>
      <w:pPr>
        <w:pStyle w:val="BodyText"/>
        <w:rPr>
          <w:b/>
          <w:sz w:val="25"/>
        </w:rPr>
      </w:pPr>
    </w:p>
    <w:p>
      <w:pPr>
        <w:spacing w:before="0"/>
        <w:ind w:left="121" w:right="0" w:firstLine="0"/>
        <w:jc w:val="left"/>
        <w:rPr>
          <w:sz w:val="21"/>
        </w:rPr>
      </w:pPr>
      <w:r>
        <w:rPr>
          <w:sz w:val="21"/>
        </w:rPr>
        <w:t>合同争议解决方式由当事人在合同约定时从下列两种方式中选择一种：</w:t>
      </w:r>
    </w:p>
    <w:p>
      <w:pPr>
        <w:pStyle w:val="BodyText"/>
        <w:spacing w:before="8"/>
        <w:rPr>
          <w:sz w:val="26"/>
        </w:rPr>
      </w:pPr>
    </w:p>
    <w:p>
      <w:pPr>
        <w:spacing w:before="1"/>
        <w:ind w:left="121" w:right="0" w:firstLine="0"/>
        <w:jc w:val="left"/>
        <w:rPr>
          <w:sz w:val="21"/>
        </w:rPr>
      </w:pPr>
      <w:r>
        <w:rPr>
          <w:rFonts w:ascii="Times New Roman" w:eastAsia="Times New Roman"/>
          <w:sz w:val="21"/>
        </w:rPr>
        <w:t>(  </w:t>
      </w:r>
      <w:r>
        <w:rPr>
          <w:sz w:val="21"/>
        </w:rPr>
        <w:t>一 </w:t>
      </w:r>
      <w:r>
        <w:rPr>
          <w:rFonts w:ascii="Times New Roman" w:eastAsia="Times New Roman"/>
          <w:sz w:val="21"/>
        </w:rPr>
        <w:t>)  </w:t>
      </w:r>
      <w:r>
        <w:rPr>
          <w:sz w:val="21"/>
        </w:rPr>
        <w:t>因履行本合同发生的争议，由当事人协商解决，协商不成的，提交仲裁委员会仲裁；</w:t>
      </w:r>
    </w:p>
    <w:p>
      <w:pPr>
        <w:spacing w:before="21"/>
        <w:ind w:left="121" w:right="0" w:firstLine="0"/>
        <w:jc w:val="left"/>
        <w:rPr>
          <w:sz w:val="21"/>
        </w:rPr>
      </w:pPr>
      <w:r>
        <w:rPr>
          <w:rFonts w:ascii="Times New Roman" w:eastAsia="Times New Roman"/>
          <w:sz w:val="21"/>
        </w:rPr>
        <w:t>(  </w:t>
      </w:r>
      <w:r>
        <w:rPr>
          <w:sz w:val="21"/>
        </w:rPr>
        <w:t>二 </w:t>
      </w:r>
      <w:r>
        <w:rPr>
          <w:rFonts w:ascii="Times New Roman" w:eastAsia="Times New Roman"/>
          <w:sz w:val="21"/>
        </w:rPr>
        <w:t>)  </w:t>
      </w:r>
      <w:r>
        <w:rPr>
          <w:sz w:val="21"/>
        </w:rPr>
        <w:t>因履行本合同发生的争议，由当事人协商解决，协商不成的，依法向人民法院起诉。</w:t>
      </w:r>
    </w:p>
    <w:p>
      <w:pPr>
        <w:pStyle w:val="BodyText"/>
        <w:spacing w:before="12"/>
        <w:rPr>
          <w:sz w:val="32"/>
        </w:rPr>
      </w:pPr>
    </w:p>
    <w:p>
      <w:pPr>
        <w:tabs>
          <w:tab w:pos="1799" w:val="left" w:leader="none"/>
        </w:tabs>
        <w:spacing w:before="0"/>
        <w:ind w:left="0" w:right="106" w:firstLine="0"/>
        <w:jc w:val="center"/>
        <w:rPr>
          <w:b/>
          <w:sz w:val="28"/>
        </w:rPr>
      </w:pPr>
      <w:bookmarkStart w:name="_TOC_250000" w:id="25"/>
      <w:r>
        <w:rPr>
          <w:b/>
          <w:sz w:val="28"/>
        </w:rPr>
        <w:t>第七部分</w:t>
        <w:tab/>
      </w:r>
      <w:bookmarkEnd w:id="25"/>
      <w:r>
        <w:rPr>
          <w:b/>
          <w:w w:val="95"/>
          <w:sz w:val="28"/>
        </w:rPr>
        <w:t>释义</w:t>
      </w:r>
    </w:p>
    <w:p>
      <w:pPr>
        <w:pStyle w:val="BodyText"/>
        <w:spacing w:before="10"/>
        <w:rPr>
          <w:b/>
          <w:sz w:val="33"/>
        </w:rPr>
      </w:pPr>
    </w:p>
    <w:p>
      <w:pPr>
        <w:pStyle w:val="BodyText"/>
        <w:tabs>
          <w:tab w:pos="2310" w:val="left" w:leader="none"/>
        </w:tabs>
        <w:spacing w:line="258" w:lineRule="exact"/>
        <w:ind w:left="116"/>
      </w:pPr>
      <w:r>
        <w:rPr/>
        <w:t>释义</w:t>
      </w:r>
      <w:r>
        <w:rPr>
          <w:spacing w:val="-52"/>
        </w:rPr>
        <w:t> </w:t>
      </w:r>
      <w:r>
        <w:rPr>
          <w:rFonts w:ascii="Times New Roman" w:eastAsia="Times New Roman"/>
        </w:rPr>
        <w:t>1</w:t>
      </w:r>
      <w:r>
        <w:rPr/>
        <w:t>、周岁</w:t>
        <w:tab/>
      </w:r>
      <w:r>
        <w:rPr>
          <w:rFonts w:ascii="Times New Roman" w:eastAsia="Times New Roman"/>
        </w:rPr>
        <w:t>: </w:t>
      </w:r>
      <w:r>
        <w:rPr>
          <w:rFonts w:ascii="Times New Roman" w:eastAsia="Times New Roman"/>
          <w:spacing w:val="36"/>
        </w:rPr>
        <w:t> </w:t>
      </w:r>
      <w:r>
        <w:rPr/>
        <w:t>以法定身份证明文件中记载的出生日期为计算基础计算的年龄。</w:t>
      </w:r>
    </w:p>
    <w:p>
      <w:pPr>
        <w:pStyle w:val="BodyText"/>
        <w:tabs>
          <w:tab w:pos="2310" w:val="left" w:leader="none"/>
        </w:tabs>
        <w:spacing w:line="208" w:lineRule="auto" w:before="17"/>
        <w:ind w:left="2509" w:right="211" w:hanging="2393"/>
      </w:pPr>
      <w:r>
        <w:rPr/>
        <w:t>释义</w:t>
      </w:r>
      <w:r>
        <w:rPr>
          <w:spacing w:val="-51"/>
        </w:rPr>
        <w:t> </w:t>
      </w:r>
      <w:r>
        <w:rPr>
          <w:rFonts w:ascii="Times New Roman" w:eastAsia="Times New Roman"/>
        </w:rPr>
        <w:t>2</w:t>
      </w:r>
      <w:r>
        <w:rPr/>
        <w:t>、本合同生效日</w:t>
        <w:tab/>
      </w:r>
      <w:r>
        <w:rPr>
          <w:rFonts w:ascii="Times New Roman" w:eastAsia="Times New Roman"/>
        </w:rPr>
        <w:t>: </w:t>
      </w:r>
      <w:r>
        <w:rPr>
          <w:rFonts w:ascii="Times New Roman" w:eastAsia="Times New Roman"/>
          <w:spacing w:val="45"/>
        </w:rPr>
        <w:t> </w:t>
      </w:r>
      <w:r>
        <w:rPr>
          <w:spacing w:val="2"/>
        </w:rPr>
        <w:t>指</w:t>
      </w:r>
      <w:r>
        <w:rPr/>
        <w:t>在</w:t>
      </w:r>
      <w:r>
        <w:rPr>
          <w:spacing w:val="2"/>
        </w:rPr>
        <w:t>我们同</w:t>
      </w:r>
      <w:r>
        <w:rPr>
          <w:spacing w:val="5"/>
        </w:rPr>
        <w:t>意</w:t>
      </w:r>
      <w:r>
        <w:rPr>
          <w:spacing w:val="2"/>
        </w:rPr>
        <w:t>承</w:t>
      </w:r>
      <w:r>
        <w:rPr>
          <w:spacing w:val="7"/>
        </w:rPr>
        <w:t>保</w:t>
      </w:r>
      <w:r>
        <w:rPr>
          <w:spacing w:val="2"/>
        </w:rPr>
        <w:t>、签</w:t>
      </w:r>
      <w:r>
        <w:rPr>
          <w:spacing w:val="5"/>
        </w:rPr>
        <w:t>发保</w:t>
      </w:r>
      <w:r>
        <w:rPr>
          <w:spacing w:val="2"/>
        </w:rPr>
        <w:t>险合同并收</w:t>
      </w:r>
      <w:r>
        <w:rPr>
          <w:spacing w:val="5"/>
        </w:rPr>
        <w:t>到</w:t>
      </w:r>
      <w:r>
        <w:rPr>
          <w:spacing w:val="2"/>
        </w:rPr>
        <w:t>您交付的</w:t>
      </w:r>
      <w:r>
        <w:rPr>
          <w:spacing w:val="5"/>
        </w:rPr>
        <w:t>首期</w:t>
      </w:r>
      <w:r>
        <w:rPr>
          <w:spacing w:val="2"/>
        </w:rPr>
        <w:t>保险费的条</w:t>
      </w:r>
      <w:r>
        <w:rPr/>
        <w:t>件</w:t>
      </w:r>
      <w:r>
        <w:rPr>
          <w:w w:val="95"/>
        </w:rPr>
        <w:t>下，本合同开始生效的日期。此日期载明于保险合同首页上。</w:t>
      </w:r>
    </w:p>
    <w:p>
      <w:pPr>
        <w:pStyle w:val="BodyText"/>
        <w:tabs>
          <w:tab w:pos="2310" w:val="left" w:leader="none"/>
        </w:tabs>
        <w:spacing w:line="208" w:lineRule="auto" w:before="13"/>
        <w:ind w:left="2509" w:right="214" w:hanging="2393"/>
      </w:pPr>
      <w:r>
        <w:rPr/>
        <w:t>释义</w:t>
      </w:r>
      <w:r>
        <w:rPr>
          <w:spacing w:val="-52"/>
        </w:rPr>
        <w:t> </w:t>
      </w:r>
      <w:r>
        <w:rPr>
          <w:rFonts w:ascii="Times New Roman" w:eastAsia="Times New Roman"/>
        </w:rPr>
        <w:t>3</w:t>
      </w:r>
      <w:r>
        <w:rPr/>
        <w:t>、医生</w:t>
        <w:tab/>
      </w:r>
      <w:r>
        <w:rPr>
          <w:rFonts w:ascii="Times New Roman" w:eastAsia="Times New Roman"/>
        </w:rPr>
        <w:t>: </w:t>
      </w:r>
      <w:r>
        <w:rPr>
          <w:rFonts w:ascii="Times New Roman" w:eastAsia="Times New Roman"/>
          <w:spacing w:val="35"/>
        </w:rPr>
        <w:t> </w:t>
      </w:r>
      <w:r>
        <w:rPr/>
        <w:t>指接受过高等医学教育和长期从事医疗卫生工作</w:t>
      </w:r>
      <w:r>
        <w:rPr>
          <w:spacing w:val="-70"/>
        </w:rPr>
        <w:t>，</w:t>
      </w:r>
      <w:r>
        <w:rPr/>
        <w:t>且为本合同所界定的</w:t>
      </w:r>
      <w:r>
        <w:rPr>
          <w:w w:val="95"/>
        </w:rPr>
        <w:t>医院之正式注册医生，但不包括被保险人本人及其直系亲属。</w:t>
      </w:r>
    </w:p>
    <w:p>
      <w:pPr>
        <w:pStyle w:val="BodyText"/>
        <w:tabs>
          <w:tab w:pos="2310" w:val="left" w:leader="none"/>
        </w:tabs>
        <w:spacing w:line="237" w:lineRule="exact"/>
        <w:ind w:left="116"/>
      </w:pPr>
      <w:r>
        <w:rPr/>
        <w:t>释义</w:t>
      </w:r>
      <w:r>
        <w:rPr>
          <w:spacing w:val="-52"/>
        </w:rPr>
        <w:t> </w:t>
      </w:r>
      <w:r>
        <w:rPr>
          <w:rFonts w:ascii="Times New Roman" w:eastAsia="Times New Roman"/>
        </w:rPr>
        <w:t>4</w:t>
      </w:r>
      <w:r>
        <w:rPr/>
        <w:t>、保险事故</w:t>
        <w:tab/>
      </w:r>
      <w:r>
        <w:rPr>
          <w:rFonts w:ascii="Times New Roman" w:eastAsia="Times New Roman"/>
        </w:rPr>
        <w:t>: </w:t>
      </w:r>
      <w:r>
        <w:rPr>
          <w:rFonts w:ascii="Times New Roman" w:eastAsia="Times New Roman"/>
          <w:spacing w:val="37"/>
        </w:rPr>
        <w:t> </w:t>
      </w:r>
      <w:r>
        <w:rPr/>
        <w:t>指本合同约定的保险责任范围内的事故。</w:t>
      </w:r>
    </w:p>
    <w:p>
      <w:pPr>
        <w:pStyle w:val="BodyText"/>
        <w:spacing w:line="216" w:lineRule="auto" w:before="10"/>
        <w:ind w:left="2509" w:right="213" w:hanging="2393"/>
        <w:jc w:val="both"/>
      </w:pPr>
      <w:r>
        <w:rPr>
          <w:spacing w:val="-17"/>
        </w:rPr>
        <w:t>释义 </w:t>
      </w:r>
      <w:r>
        <w:rPr>
          <w:rFonts w:ascii="Times New Roman" w:eastAsia="Times New Roman"/>
        </w:rPr>
        <w:t>5</w:t>
      </w:r>
      <w:r>
        <w:rPr>
          <w:spacing w:val="3"/>
        </w:rPr>
        <w:t>、毒品         </w:t>
      </w:r>
      <w:r>
        <w:rPr>
          <w:rFonts w:ascii="Times New Roman" w:eastAsia="Times New Roman"/>
          <w:spacing w:val="13"/>
        </w:rPr>
        <w:t>:  </w:t>
      </w:r>
      <w:r>
        <w:rPr/>
        <w:t>指中华人民共和国刑法规定的鸦片、海洛因、甲基苯丙胺（冰毒</w:t>
      </w:r>
      <w:r>
        <w:rPr>
          <w:spacing w:val="-96"/>
        </w:rPr>
        <w:t>）</w:t>
      </w:r>
      <w:r>
        <w:rPr/>
        <w:t>、吗</w:t>
      </w:r>
      <w:r>
        <w:rPr>
          <w:spacing w:val="-9"/>
        </w:rPr>
        <w:t>啡、大麻、可卡因以及国家规定管制的其他能够使人形成瘾癖的麻醉药</w:t>
      </w:r>
      <w:r>
        <w:rPr>
          <w:spacing w:val="-12"/>
        </w:rPr>
        <w:t>品和精神药品，但不包括由医生开具并遵医嘱使用的用于治疗疾病的含</w:t>
      </w:r>
      <w:r>
        <w:rPr>
          <w:spacing w:val="-12"/>
          <w:w w:val="95"/>
        </w:rPr>
        <w:t>有毒品成分的处方药品。</w:t>
      </w:r>
    </w:p>
    <w:p>
      <w:pPr>
        <w:pStyle w:val="BodyText"/>
        <w:spacing w:line="213" w:lineRule="auto" w:before="8"/>
        <w:ind w:left="2509" w:right="211" w:hanging="2393"/>
        <w:jc w:val="both"/>
      </w:pPr>
      <w:r>
        <w:rPr>
          <w:spacing w:val="-17"/>
        </w:rPr>
        <w:t>释义 </w:t>
      </w:r>
      <w:r>
        <w:rPr>
          <w:rFonts w:ascii="Times New Roman" w:eastAsia="Times New Roman"/>
        </w:rPr>
        <w:t>6</w:t>
      </w:r>
      <w:r>
        <w:rPr>
          <w:spacing w:val="2"/>
        </w:rPr>
        <w:t>、酒后驾驶     </w:t>
      </w:r>
      <w:r>
        <w:rPr>
          <w:rFonts w:ascii="Times New Roman" w:eastAsia="Times New Roman"/>
          <w:spacing w:val="12"/>
        </w:rPr>
        <w:t>:  </w:t>
      </w:r>
      <w:r>
        <w:rPr>
          <w:spacing w:val="-8"/>
        </w:rPr>
        <w:t>指经检测或鉴定，发生保险事故时车辆驾驶人员每百毫升血液中的酒精</w:t>
      </w:r>
      <w:r>
        <w:rPr>
          <w:spacing w:val="-11"/>
        </w:rPr>
        <w:t>含量达到或超过一定的标准，公安机关交通管理部门依据《道路交通安</w:t>
      </w:r>
      <w:r>
        <w:rPr>
          <w:spacing w:val="-11"/>
          <w:w w:val="95"/>
        </w:rPr>
        <w:t>全法》的规定认定为饮酒后驾驶或醉酒后驾驶。</w:t>
      </w:r>
    </w:p>
    <w:p>
      <w:pPr>
        <w:pStyle w:val="BodyText"/>
        <w:spacing w:line="255" w:lineRule="exact"/>
        <w:ind w:left="116"/>
      </w:pPr>
      <w:r>
        <w:rPr/>
        <w:t>释义 </w:t>
      </w:r>
      <w:r>
        <w:rPr>
          <w:rFonts w:ascii="Times New Roman" w:eastAsia="Times New Roman"/>
        </w:rPr>
        <w:t>7</w:t>
      </w:r>
      <w:r>
        <w:rPr/>
        <w:t>、无合法有效驾驶</w:t>
      </w:r>
      <w:r>
        <w:rPr>
          <w:rFonts w:ascii="Times New Roman" w:eastAsia="Times New Roman"/>
        </w:rPr>
        <w:t>:  </w:t>
      </w:r>
      <w:r>
        <w:rPr/>
        <w:t>指下列情形之一：</w:t>
      </w:r>
    </w:p>
    <w:p>
      <w:pPr>
        <w:spacing w:after="0" w:line="255" w:lineRule="exact"/>
        <w:sectPr>
          <w:pgSz w:w="11960" w:h="16850"/>
          <w:pgMar w:header="0" w:footer="1001" w:top="1600" w:bottom="1200" w:left="1580" w:right="1520"/>
        </w:sectPr>
      </w:pPr>
    </w:p>
    <w:p>
      <w:pPr>
        <w:pStyle w:val="BodyText"/>
        <w:spacing w:line="226" w:lineRule="exact"/>
        <w:ind w:left="116"/>
      </w:pPr>
      <w:r>
        <w:rPr>
          <w:w w:val="95"/>
        </w:rPr>
        <w:t>证驾驶</w:t>
      </w:r>
    </w:p>
    <w:p>
      <w:pPr>
        <w:pStyle w:val="BodyText"/>
        <w:spacing w:line="222" w:lineRule="exact"/>
        <w:ind w:left="116"/>
      </w:pPr>
      <w:r>
        <w:rPr/>
        <w:br w:type="column"/>
      </w:r>
      <w:r>
        <w:rPr>
          <w:w w:val="95"/>
        </w:rPr>
        <w:t>（</w:t>
      </w:r>
      <w:r>
        <w:rPr>
          <w:rFonts w:ascii="Times New Roman" w:eastAsia="Times New Roman"/>
          <w:w w:val="95"/>
        </w:rPr>
        <w:t>1</w:t>
      </w:r>
      <w:r>
        <w:rPr>
          <w:w w:val="95"/>
        </w:rPr>
        <w:t>）没有驾驶证驾驶；</w:t>
      </w:r>
    </w:p>
    <w:p>
      <w:pPr>
        <w:pStyle w:val="BodyText"/>
        <w:spacing w:line="240" w:lineRule="exact"/>
        <w:ind w:left="116"/>
      </w:pPr>
      <w:r>
        <w:rPr>
          <w:w w:val="95"/>
        </w:rPr>
        <w:t>（</w:t>
      </w:r>
      <w:r>
        <w:rPr>
          <w:rFonts w:ascii="Times New Roman" w:eastAsia="Times New Roman"/>
          <w:w w:val="95"/>
        </w:rPr>
        <w:t>2</w:t>
      </w:r>
      <w:r>
        <w:rPr>
          <w:w w:val="95"/>
        </w:rPr>
        <w:t>）驾驶与驾驶证准驾车型不相符合的车辆；</w:t>
      </w:r>
    </w:p>
    <w:p>
      <w:pPr>
        <w:pStyle w:val="BodyText"/>
        <w:spacing w:line="240" w:lineRule="exact"/>
        <w:ind w:left="116"/>
      </w:pPr>
      <w:r>
        <w:rPr>
          <w:w w:val="95"/>
        </w:rPr>
        <w:t>（</w:t>
      </w:r>
      <w:r>
        <w:rPr>
          <w:rFonts w:ascii="Times New Roman" w:eastAsia="Times New Roman"/>
          <w:w w:val="95"/>
        </w:rPr>
        <w:t>3</w:t>
      </w:r>
      <w:r>
        <w:rPr>
          <w:w w:val="95"/>
        </w:rPr>
        <w:t>）驾驶员持审验不合格的驾驶证驾驶；</w:t>
      </w:r>
    </w:p>
    <w:p>
      <w:pPr>
        <w:pStyle w:val="BodyText"/>
        <w:spacing w:line="240" w:lineRule="exact"/>
        <w:ind w:left="116"/>
      </w:pPr>
      <w:r>
        <w:rPr>
          <w:w w:val="95"/>
        </w:rPr>
        <w:t>（</w:t>
      </w:r>
      <w:r>
        <w:rPr>
          <w:rFonts w:ascii="Times New Roman" w:eastAsia="Times New Roman"/>
          <w:w w:val="95"/>
        </w:rPr>
        <w:t>4</w:t>
      </w:r>
      <w:r>
        <w:rPr>
          <w:w w:val="95"/>
        </w:rPr>
        <w:t>）未经公安交通管理部门同意，持未审验的驾驶证驾驶；</w:t>
      </w:r>
    </w:p>
    <w:p>
      <w:pPr>
        <w:pStyle w:val="BodyText"/>
        <w:spacing w:line="208" w:lineRule="auto" w:before="17"/>
        <w:ind w:left="116" w:right="40"/>
      </w:pPr>
      <w:r>
        <w:rPr/>
        <w:t>（</w:t>
      </w:r>
      <w:r>
        <w:rPr>
          <w:rFonts w:ascii="Times New Roman" w:eastAsia="Times New Roman"/>
        </w:rPr>
        <w:t>5</w:t>
      </w:r>
      <w:r>
        <w:rPr/>
        <w:t>）持学习驾驶证学习驾车时，无教练员随车指导，或不按指定时间、</w:t>
      </w:r>
      <w:r>
        <w:rPr>
          <w:w w:val="95"/>
        </w:rPr>
        <w:t>路线学习驾车；</w:t>
      </w:r>
    </w:p>
    <w:p>
      <w:pPr>
        <w:pStyle w:val="BodyText"/>
        <w:spacing w:line="255" w:lineRule="exact"/>
        <w:ind w:left="116"/>
      </w:pPr>
      <w:r>
        <w:rPr>
          <w:w w:val="95"/>
        </w:rPr>
        <w:t>（</w:t>
      </w:r>
      <w:r>
        <w:rPr>
          <w:rFonts w:ascii="Times New Roman" w:eastAsia="Times New Roman"/>
          <w:w w:val="95"/>
        </w:rPr>
        <w:t>6</w:t>
      </w:r>
      <w:r>
        <w:rPr>
          <w:w w:val="95"/>
        </w:rPr>
        <w:t>）公安交通管理部门规定的其他无有效驾驶证驾驶的情况。</w:t>
      </w:r>
    </w:p>
    <w:p>
      <w:pPr>
        <w:spacing w:after="0" w:line="255" w:lineRule="exact"/>
        <w:sectPr>
          <w:type w:val="continuous"/>
          <w:pgSz w:w="11960" w:h="16850"/>
          <w:pgMar w:top="280" w:bottom="1200" w:left="1580" w:right="1520"/>
          <w:cols w:num="2" w:equalWidth="0">
            <w:col w:w="715" w:space="1678"/>
            <w:col w:w="6467"/>
          </w:cols>
        </w:sectPr>
      </w:pPr>
    </w:p>
    <w:p>
      <w:pPr>
        <w:pStyle w:val="BodyText"/>
        <w:tabs>
          <w:tab w:pos="2310" w:val="left" w:leader="none"/>
        </w:tabs>
        <w:spacing w:line="222" w:lineRule="exact"/>
        <w:ind w:left="116"/>
      </w:pPr>
      <w:r>
        <w:rPr/>
        <w:t>释义</w:t>
      </w:r>
      <w:r>
        <w:rPr>
          <w:spacing w:val="-51"/>
        </w:rPr>
        <w:t> </w:t>
      </w:r>
      <w:r>
        <w:rPr>
          <w:rFonts w:ascii="Times New Roman" w:eastAsia="Times New Roman"/>
        </w:rPr>
        <w:t>8</w:t>
      </w:r>
      <w:r>
        <w:rPr/>
        <w:t>、无有效行驶证</w:t>
        <w:tab/>
      </w:r>
      <w:r>
        <w:rPr>
          <w:rFonts w:ascii="Times New Roman" w:eastAsia="Times New Roman"/>
        </w:rPr>
        <w:t>: </w:t>
      </w:r>
      <w:r>
        <w:rPr>
          <w:rFonts w:ascii="Times New Roman" w:eastAsia="Times New Roman"/>
          <w:spacing w:val="40"/>
        </w:rPr>
        <w:t> </w:t>
      </w:r>
      <w:r>
        <w:rPr/>
        <w:t>指下列情形之一：</w:t>
      </w:r>
    </w:p>
    <w:p>
      <w:pPr>
        <w:pStyle w:val="BodyText"/>
        <w:spacing w:line="240" w:lineRule="exact"/>
        <w:ind w:left="2509"/>
      </w:pPr>
      <w:r>
        <w:rPr>
          <w:w w:val="95"/>
        </w:rPr>
        <w:t>（</w:t>
      </w:r>
      <w:r>
        <w:rPr>
          <w:rFonts w:ascii="Times New Roman" w:eastAsia="Times New Roman"/>
          <w:w w:val="95"/>
        </w:rPr>
        <w:t>1</w:t>
      </w:r>
      <w:r>
        <w:rPr>
          <w:w w:val="95"/>
        </w:rPr>
        <w:t>）机动车被依法注销登记的；</w:t>
      </w:r>
    </w:p>
    <w:p>
      <w:pPr>
        <w:pStyle w:val="BodyText"/>
        <w:spacing w:line="240" w:lineRule="exact"/>
        <w:ind w:left="2509"/>
      </w:pPr>
      <w:r>
        <w:rPr>
          <w:w w:val="95"/>
        </w:rPr>
        <w:t>（</w:t>
      </w:r>
      <w:r>
        <w:rPr>
          <w:rFonts w:ascii="Times New Roman" w:eastAsia="Times New Roman"/>
          <w:w w:val="95"/>
        </w:rPr>
        <w:t>2</w:t>
      </w:r>
      <w:r>
        <w:rPr>
          <w:w w:val="95"/>
        </w:rPr>
        <w:t>）未依法按时进行或通过机动车安全技术检验。</w:t>
      </w:r>
    </w:p>
    <w:p>
      <w:pPr>
        <w:pStyle w:val="BodyText"/>
        <w:tabs>
          <w:tab w:pos="2310" w:val="left" w:leader="none"/>
        </w:tabs>
        <w:spacing w:line="208" w:lineRule="auto" w:before="17"/>
        <w:ind w:left="2509" w:right="219" w:hanging="2393"/>
      </w:pPr>
      <w:r>
        <w:rPr/>
        <w:t>释义</w:t>
      </w:r>
      <w:r>
        <w:rPr>
          <w:spacing w:val="-51"/>
        </w:rPr>
        <w:t> </w:t>
      </w:r>
      <w:r>
        <w:rPr>
          <w:rFonts w:ascii="Times New Roman" w:eastAsia="Times New Roman"/>
        </w:rPr>
        <w:t>9</w:t>
      </w:r>
      <w:r>
        <w:rPr/>
        <w:t>、机动车</w:t>
        <w:tab/>
      </w:r>
      <w:r>
        <w:rPr>
          <w:rFonts w:ascii="Times New Roman" w:eastAsia="Times New Roman"/>
        </w:rPr>
        <w:t>: </w:t>
      </w:r>
      <w:r>
        <w:rPr>
          <w:rFonts w:ascii="Times New Roman" w:eastAsia="Times New Roman"/>
          <w:spacing w:val="30"/>
        </w:rPr>
        <w:t> </w:t>
      </w:r>
      <w:r>
        <w:rPr/>
        <w:t>指以动力装置驱动或者牵引</w:t>
      </w:r>
      <w:r>
        <w:rPr>
          <w:spacing w:val="-70"/>
        </w:rPr>
        <w:t>，</w:t>
      </w:r>
      <w:r>
        <w:rPr/>
        <w:t>供人员乘用或者用于运送物品以及进行工</w:t>
      </w:r>
      <w:r>
        <w:rPr>
          <w:w w:val="95"/>
        </w:rPr>
        <w:t>程专项作业的轮式车</w:t>
      </w:r>
      <w:r>
        <w:rPr>
          <w:spacing w:val="2"/>
          <w:w w:val="95"/>
        </w:rPr>
        <w:t>辆</w:t>
      </w:r>
      <w:r>
        <w:rPr>
          <w:w w:val="95"/>
        </w:rPr>
        <w:t>。</w:t>
      </w:r>
    </w:p>
    <w:p>
      <w:pPr>
        <w:pStyle w:val="BodyText"/>
        <w:tabs>
          <w:tab w:pos="2310" w:val="left" w:leader="none"/>
        </w:tabs>
        <w:spacing w:line="237" w:lineRule="exact"/>
        <w:ind w:left="116"/>
      </w:pPr>
      <w:r>
        <w:rPr/>
        <w:t>释义</w:t>
      </w:r>
      <w:r>
        <w:rPr>
          <w:spacing w:val="-52"/>
        </w:rPr>
        <w:t> </w:t>
      </w:r>
      <w:r>
        <w:rPr>
          <w:rFonts w:ascii="Times New Roman" w:eastAsia="Times New Roman"/>
        </w:rPr>
        <w:t>10</w:t>
      </w:r>
      <w:r>
        <w:rPr/>
        <w:t>、艾滋病</w:t>
        <w:tab/>
      </w:r>
      <w:r>
        <w:rPr>
          <w:rFonts w:ascii="Times New Roman" w:eastAsia="Times New Roman"/>
        </w:rPr>
        <w:t>: </w:t>
      </w:r>
      <w:r>
        <w:rPr>
          <w:rFonts w:ascii="Times New Roman" w:eastAsia="Times New Roman"/>
          <w:spacing w:val="45"/>
        </w:rPr>
        <w:t> </w:t>
      </w:r>
      <w:r>
        <w:rPr>
          <w:spacing w:val="2"/>
        </w:rPr>
        <w:t>指人类免疫</w:t>
      </w:r>
      <w:r>
        <w:rPr>
          <w:spacing w:val="5"/>
        </w:rPr>
        <w:t>缺</w:t>
      </w:r>
      <w:r>
        <w:rPr>
          <w:spacing w:val="2"/>
        </w:rPr>
        <w:t>陷病毒引</w:t>
      </w:r>
      <w:r>
        <w:rPr>
          <w:spacing w:val="5"/>
        </w:rPr>
        <w:t>起的</w:t>
      </w:r>
      <w:r>
        <w:rPr>
          <w:spacing w:val="2"/>
        </w:rPr>
        <w:t>获得性免疫</w:t>
      </w:r>
      <w:r>
        <w:rPr>
          <w:spacing w:val="5"/>
        </w:rPr>
        <w:t>缺</w:t>
      </w:r>
      <w:r>
        <w:rPr>
          <w:spacing w:val="2"/>
        </w:rPr>
        <w:t>陷综合征</w:t>
      </w:r>
      <w:r>
        <w:rPr>
          <w:spacing w:val="5"/>
        </w:rPr>
        <w:t>简称</w:t>
      </w:r>
      <w:r>
        <w:rPr>
          <w:spacing w:val="2"/>
        </w:rPr>
        <w:t>，英文</w:t>
      </w:r>
      <w:r>
        <w:rPr/>
        <w:t>缩</w:t>
      </w:r>
      <w:r>
        <w:rPr>
          <w:spacing w:val="2"/>
        </w:rPr>
        <w:t>写</w:t>
      </w:r>
      <w:r>
        <w:rPr/>
        <w:t>为</w:t>
      </w:r>
    </w:p>
    <w:p>
      <w:pPr>
        <w:pStyle w:val="BodyText"/>
        <w:spacing w:line="240" w:lineRule="exact"/>
        <w:ind w:left="2509"/>
      </w:pPr>
      <w:r>
        <w:rPr>
          <w:rFonts w:ascii="Times New Roman" w:eastAsia="Times New Roman"/>
        </w:rPr>
        <w:t>AIDS</w:t>
      </w:r>
      <w:r>
        <w:rPr/>
        <w:t>。</w:t>
      </w:r>
    </w:p>
    <w:p>
      <w:pPr>
        <w:pStyle w:val="BodyText"/>
        <w:tabs>
          <w:tab w:pos="2310" w:val="left" w:leader="none"/>
        </w:tabs>
        <w:spacing w:line="258" w:lineRule="exact"/>
        <w:ind w:left="116"/>
      </w:pPr>
      <w:r>
        <w:rPr/>
        <w:t>释义</w:t>
      </w:r>
      <w:r>
        <w:rPr>
          <w:spacing w:val="-52"/>
        </w:rPr>
        <w:t> </w:t>
      </w:r>
      <w:r>
        <w:rPr>
          <w:rFonts w:ascii="Times New Roman" w:eastAsia="Times New Roman"/>
          <w:spacing w:val="-3"/>
        </w:rPr>
        <w:t>11</w:t>
      </w:r>
      <w:r>
        <w:rPr/>
        <w:t>、艾滋病病毒</w:t>
        <w:tab/>
      </w:r>
      <w:r>
        <w:rPr>
          <w:rFonts w:ascii="Times New Roman" w:eastAsia="Times New Roman"/>
        </w:rPr>
        <w:t>: </w:t>
      </w:r>
      <w:r>
        <w:rPr>
          <w:rFonts w:ascii="Times New Roman" w:eastAsia="Times New Roman"/>
          <w:spacing w:val="36"/>
        </w:rPr>
        <w:t> </w:t>
      </w:r>
      <w:r>
        <w:rPr/>
        <w:t>指人类免疫缺陷病毒</w:t>
      </w:r>
      <w:r>
        <w:rPr>
          <w:rFonts w:ascii="Times New Roman" w:eastAsia="Times New Roman"/>
        </w:rPr>
        <w:t>,</w:t>
      </w:r>
      <w:r>
        <w:rPr/>
        <w:t>英文缩写为</w:t>
      </w:r>
      <w:r>
        <w:rPr>
          <w:spacing w:val="-51"/>
        </w:rPr>
        <w:t> </w:t>
      </w:r>
      <w:r>
        <w:rPr>
          <w:rFonts w:ascii="Times New Roman" w:eastAsia="Times New Roman"/>
        </w:rPr>
        <w:t>HIV</w:t>
      </w:r>
      <w:r>
        <w:rPr/>
        <w:t>。</w:t>
      </w:r>
    </w:p>
    <w:p>
      <w:pPr>
        <w:spacing w:after="0" w:line="258" w:lineRule="exact"/>
        <w:sectPr>
          <w:type w:val="continuous"/>
          <w:pgSz w:w="11960" w:h="16850"/>
          <w:pgMar w:top="280" w:bottom="1200" w:left="1580" w:right="1520"/>
        </w:sectPr>
      </w:pPr>
    </w:p>
    <w:p>
      <w:pPr>
        <w:pStyle w:val="BodyText"/>
        <w:tabs>
          <w:tab w:pos="2310" w:val="left" w:leader="none"/>
        </w:tabs>
        <w:spacing w:line="208" w:lineRule="auto" w:before="98"/>
        <w:ind w:left="2509" w:right="114" w:hanging="2393"/>
      </w:pPr>
      <w:r>
        <w:rPr/>
        <w:t>释义</w:t>
      </w:r>
      <w:r>
        <w:rPr>
          <w:spacing w:val="-52"/>
        </w:rPr>
        <w:t> </w:t>
      </w:r>
      <w:r>
        <w:rPr>
          <w:rFonts w:ascii="Times New Roman" w:eastAsia="Times New Roman"/>
        </w:rPr>
        <w:t>12</w:t>
      </w:r>
      <w:r>
        <w:rPr/>
        <w:t>、遗传性疾病</w:t>
        <w:tab/>
      </w:r>
      <w:r>
        <w:rPr>
          <w:rFonts w:ascii="Times New Roman" w:eastAsia="Times New Roman"/>
        </w:rPr>
        <w:t>: </w:t>
      </w:r>
      <w:r>
        <w:rPr>
          <w:rFonts w:ascii="Times New Roman" w:eastAsia="Times New Roman"/>
          <w:spacing w:val="31"/>
        </w:rPr>
        <w:t> </w:t>
      </w:r>
      <w:r>
        <w:rPr/>
        <w:t>指生殖细胞或受精卵的遗传物</w:t>
      </w:r>
      <w:r>
        <w:rPr>
          <w:spacing w:val="-33"/>
        </w:rPr>
        <w:t>质</w:t>
      </w:r>
      <w:r>
        <w:rPr/>
        <w:t>（染色体和基因</w:t>
      </w:r>
      <w:r>
        <w:rPr>
          <w:spacing w:val="-34"/>
        </w:rPr>
        <w:t>）</w:t>
      </w:r>
      <w:r>
        <w:rPr/>
        <w:t>发生突变或畸变所引</w:t>
      </w:r>
      <w:r>
        <w:rPr>
          <w:w w:val="95"/>
        </w:rPr>
        <w:t>起的疾病，通常具有由亲代传至后代的垂直传递的特征。</w:t>
      </w:r>
    </w:p>
    <w:p>
      <w:pPr>
        <w:pStyle w:val="BodyText"/>
        <w:spacing w:line="255" w:lineRule="exact"/>
        <w:ind w:left="116"/>
      </w:pPr>
      <w:r>
        <w:rPr>
          <w:spacing w:val="-18"/>
        </w:rPr>
        <w:t>释义 </w:t>
      </w:r>
      <w:r>
        <w:rPr>
          <w:rFonts w:ascii="Times New Roman" w:eastAsia="Times New Roman"/>
        </w:rPr>
        <w:t>13</w:t>
      </w:r>
      <w:r>
        <w:rPr>
          <w:spacing w:val="-9"/>
        </w:rPr>
        <w:t>、先天性畸形、变</w:t>
      </w:r>
      <w:r>
        <w:rPr>
          <w:rFonts w:ascii="Times New Roman" w:eastAsia="Times New Roman"/>
          <w:spacing w:val="10"/>
        </w:rPr>
        <w:t>:  </w:t>
      </w:r>
      <w:r>
        <w:rPr>
          <w:spacing w:val="-4"/>
        </w:rPr>
        <w:t>指被保险人出生时就具有的畸形、变形或染色体异常。先天性畸形、变</w:t>
      </w:r>
    </w:p>
    <w:p>
      <w:pPr>
        <w:spacing w:after="0" w:line="255" w:lineRule="exact"/>
        <w:sectPr>
          <w:pgSz w:w="11960" w:h="16850"/>
          <w:pgMar w:header="0" w:footer="1001" w:top="1600" w:bottom="1200" w:left="1580" w:right="1620"/>
        </w:sectPr>
      </w:pPr>
    </w:p>
    <w:p>
      <w:pPr>
        <w:pStyle w:val="BodyText"/>
        <w:spacing w:line="225" w:lineRule="exact"/>
        <w:ind w:left="116"/>
      </w:pPr>
      <w:r>
        <w:rPr>
          <w:w w:val="95"/>
        </w:rPr>
        <w:t>形或染色体异常</w:t>
      </w:r>
    </w:p>
    <w:p>
      <w:pPr>
        <w:pStyle w:val="BodyText"/>
        <w:spacing w:line="240" w:lineRule="exact" w:before="5"/>
        <w:ind w:left="116" w:right="114"/>
      </w:pPr>
      <w:r>
        <w:rPr/>
        <w:br w:type="column"/>
      </w:r>
      <w:r>
        <w:rPr>
          <w:spacing w:val="-5"/>
          <w:w w:val="95"/>
        </w:rPr>
        <w:t>形和染色体异常依照世界卫生组织《疾病和有关健康问题的国际统计分  </w:t>
      </w:r>
      <w:r>
        <w:rPr>
          <w:spacing w:val="-51"/>
          <w:w w:val="95"/>
        </w:rPr>
        <w:t>类》</w:t>
      </w:r>
      <w:r>
        <w:rPr>
          <w:w w:val="95"/>
        </w:rPr>
        <w:t>（</w:t>
      </w:r>
      <w:r>
        <w:rPr>
          <w:rFonts w:ascii="Times New Roman" w:eastAsia="Times New Roman"/>
          <w:w w:val="95"/>
        </w:rPr>
        <w:t>ICD-10</w:t>
      </w:r>
      <w:r>
        <w:rPr>
          <w:w w:val="95"/>
        </w:rPr>
        <w:t>）确定。</w:t>
      </w:r>
    </w:p>
    <w:p>
      <w:pPr>
        <w:spacing w:after="0" w:line="240" w:lineRule="exact"/>
        <w:sectPr>
          <w:type w:val="continuous"/>
          <w:pgSz w:w="11960" w:h="16850"/>
          <w:pgMar w:top="280" w:bottom="1200" w:left="1580" w:right="1620"/>
          <w:cols w:num="2" w:equalWidth="0">
            <w:col w:w="1514" w:space="879"/>
            <w:col w:w="6367"/>
          </w:cols>
        </w:sectPr>
      </w:pPr>
    </w:p>
    <w:p>
      <w:pPr>
        <w:pStyle w:val="BodyText"/>
        <w:spacing w:line="240" w:lineRule="exact"/>
        <w:ind w:left="2509" w:right="111" w:hanging="2393"/>
        <w:jc w:val="both"/>
      </w:pPr>
      <w:r>
        <w:rPr>
          <w:spacing w:val="-17"/>
        </w:rPr>
        <w:t>释义 </w:t>
      </w:r>
      <w:r>
        <w:rPr>
          <w:rFonts w:ascii="Times New Roman" w:eastAsia="Times New Roman"/>
        </w:rPr>
        <w:t>14</w:t>
      </w:r>
      <w:r>
        <w:rPr>
          <w:spacing w:val="2"/>
        </w:rPr>
        <w:t>、医院        </w:t>
      </w:r>
      <w:r>
        <w:rPr>
          <w:rFonts w:ascii="Times New Roman" w:eastAsia="Times New Roman"/>
          <w:spacing w:val="12"/>
        </w:rPr>
        <w:t>:  </w:t>
      </w:r>
      <w:r>
        <w:rPr>
          <w:spacing w:val="0"/>
        </w:rPr>
        <w:t>指经中华人民共和国卫生部门正式评定的二级或二级以上的综合性医</w:t>
      </w:r>
      <w:r>
        <w:rPr>
          <w:spacing w:val="-7"/>
        </w:rPr>
        <w:t>院或专科医院，但不包括专供康复、休养、戒毒、戒酒、护理、养老等</w:t>
      </w:r>
      <w:r>
        <w:rPr>
          <w:spacing w:val="-11"/>
        </w:rPr>
        <w:t>非以直接诊治病人为目的的医疗机构。该医院必须符合国家有关医院管</w:t>
      </w:r>
      <w:r>
        <w:rPr>
          <w:spacing w:val="-14"/>
        </w:rPr>
        <w:t>理规则设置标准的医疗设备，且全天二十四小时有合格医师及护士驻院</w:t>
      </w:r>
      <w:r>
        <w:rPr>
          <w:spacing w:val="-14"/>
          <w:w w:val="95"/>
        </w:rPr>
        <w:t>提供医疗和护理服务。</w:t>
      </w:r>
    </w:p>
    <w:p>
      <w:pPr>
        <w:pStyle w:val="BodyText"/>
        <w:spacing w:line="240" w:lineRule="exact"/>
        <w:ind w:left="2509" w:right="42"/>
      </w:pPr>
      <w:r>
        <w:rPr/>
        <w:t>若国家有关部门对于医院的评级标准有更改或取消，我们保留调整医院</w:t>
      </w:r>
      <w:r>
        <w:rPr>
          <w:w w:val="95"/>
        </w:rPr>
        <w:t>定义的权利。</w:t>
      </w:r>
    </w:p>
    <w:p>
      <w:pPr>
        <w:pStyle w:val="BodyText"/>
        <w:spacing w:line="240" w:lineRule="exact"/>
        <w:ind w:left="2509" w:right="42"/>
      </w:pPr>
      <w:r>
        <w:rPr/>
        <w:t>若投保时本合同附有定点医院名单或另外约定的，以合同中所列明的定</w:t>
      </w:r>
      <w:r>
        <w:rPr>
          <w:w w:val="95"/>
        </w:rPr>
        <w:t>点医院或约定为准。</w:t>
      </w:r>
    </w:p>
    <w:p>
      <w:pPr>
        <w:pStyle w:val="BodyText"/>
        <w:spacing w:line="211" w:lineRule="exact"/>
        <w:ind w:left="116"/>
      </w:pPr>
      <w:r>
        <w:rPr/>
        <w:t>释义 </w:t>
      </w:r>
      <w:r>
        <w:rPr>
          <w:rFonts w:ascii="Times New Roman" w:eastAsia="Times New Roman"/>
        </w:rPr>
        <w:t>15</w:t>
      </w:r>
      <w:r>
        <w:rPr/>
        <w:t>、</w:t>
      </w:r>
      <w:r>
        <w:rPr>
          <w:sz w:val="21"/>
        </w:rPr>
        <w:t>按比例退还已</w:t>
      </w:r>
      <w:r>
        <w:rPr>
          <w:rFonts w:ascii="Times New Roman" w:eastAsia="Times New Roman"/>
        </w:rPr>
        <w:t>:   </w:t>
      </w:r>
      <w:r>
        <w:rPr/>
        <w:t>是指按下表比例退还已交的保险费。</w:t>
      </w:r>
    </w:p>
    <w:p>
      <w:pPr>
        <w:spacing w:line="251" w:lineRule="exact" w:before="0"/>
        <w:ind w:left="116" w:right="0" w:firstLine="0"/>
        <w:jc w:val="left"/>
        <w:rPr>
          <w:sz w:val="21"/>
        </w:rPr>
      </w:pPr>
      <w:r>
        <w:rPr/>
        <w:pict>
          <v:shape style="position:absolute;margin-left:205.304703pt;margin-top:1.450401pt;width:306pt;height:112.4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7"/>
                    <w:gridCol w:w="2669"/>
                  </w:tblGrid>
                  <w:tr>
                    <w:trPr>
                      <w:trHeight w:val="268" w:hRule="atLeast"/>
                    </w:trPr>
                    <w:tc>
                      <w:tcPr>
                        <w:tcW w:w="3437" w:type="dxa"/>
                      </w:tcPr>
                      <w:p>
                        <w:pPr>
                          <w:pStyle w:val="TableParagraph"/>
                          <w:spacing w:line="234" w:lineRule="exact"/>
                          <w:rPr>
                            <w:sz w:val="20"/>
                          </w:rPr>
                        </w:pPr>
                        <w:r>
                          <w:rPr>
                            <w:w w:val="95"/>
                            <w:sz w:val="20"/>
                          </w:rPr>
                          <w:t>已交保险费的剩余月数</w:t>
                        </w:r>
                      </w:p>
                    </w:tc>
                    <w:tc>
                      <w:tcPr>
                        <w:tcW w:w="2669" w:type="dxa"/>
                      </w:tcPr>
                      <w:p>
                        <w:pPr>
                          <w:pStyle w:val="TableParagraph"/>
                          <w:spacing w:line="234" w:lineRule="exact"/>
                          <w:ind w:left="551" w:right="548"/>
                          <w:jc w:val="center"/>
                          <w:rPr>
                            <w:sz w:val="20"/>
                          </w:rPr>
                        </w:pPr>
                        <w:r>
                          <w:rPr>
                            <w:w w:val="95"/>
                            <w:sz w:val="20"/>
                          </w:rPr>
                          <w:t>退还保险费的比例</w:t>
                        </w:r>
                      </w:p>
                    </w:tc>
                  </w:tr>
                  <w:tr>
                    <w:trPr>
                      <w:trHeight w:val="270" w:hRule="atLeast"/>
                    </w:trPr>
                    <w:tc>
                      <w:tcPr>
                        <w:tcW w:w="3437" w:type="dxa"/>
                      </w:tcPr>
                      <w:p>
                        <w:pPr>
                          <w:pStyle w:val="TableParagraph"/>
                          <w:spacing w:line="251" w:lineRule="exact"/>
                          <w:rPr>
                            <w:sz w:val="20"/>
                          </w:rPr>
                        </w:pPr>
                        <w:r>
                          <w:rPr>
                            <w:sz w:val="20"/>
                          </w:rPr>
                          <w:t>满 </w:t>
                        </w:r>
                        <w:r>
                          <w:rPr>
                            <w:rFonts w:ascii="Times New Roman" w:eastAsia="Times New Roman"/>
                            <w:sz w:val="20"/>
                          </w:rPr>
                          <w:t>11 </w:t>
                        </w:r>
                        <w:r>
                          <w:rPr>
                            <w:sz w:val="20"/>
                          </w:rPr>
                          <w:t>个月</w:t>
                        </w:r>
                      </w:p>
                    </w:tc>
                    <w:tc>
                      <w:tcPr>
                        <w:tcW w:w="2669" w:type="dxa"/>
                      </w:tcPr>
                      <w:p>
                        <w:pPr>
                          <w:pStyle w:val="TableParagraph"/>
                          <w:spacing w:before="22"/>
                          <w:ind w:left="551" w:right="546"/>
                          <w:jc w:val="center"/>
                          <w:rPr>
                            <w:rFonts w:ascii="Times New Roman"/>
                            <w:sz w:val="20"/>
                          </w:rPr>
                        </w:pPr>
                        <w:r>
                          <w:rPr>
                            <w:rFonts w:ascii="Times New Roman"/>
                            <w:sz w:val="20"/>
                          </w:rPr>
                          <w:t>55%</w:t>
                        </w:r>
                      </w:p>
                    </w:tc>
                  </w:tr>
                  <w:tr>
                    <w:trPr>
                      <w:trHeight w:val="270" w:hRule="atLeast"/>
                    </w:trPr>
                    <w:tc>
                      <w:tcPr>
                        <w:tcW w:w="3437" w:type="dxa"/>
                      </w:tcPr>
                      <w:p>
                        <w:pPr>
                          <w:pStyle w:val="TableParagraph"/>
                          <w:spacing w:line="251" w:lineRule="exact"/>
                          <w:rPr>
                            <w:sz w:val="20"/>
                          </w:rPr>
                        </w:pPr>
                        <w:r>
                          <w:rPr>
                            <w:sz w:val="20"/>
                          </w:rPr>
                          <w:t>满 </w:t>
                        </w:r>
                        <w:r>
                          <w:rPr>
                            <w:rFonts w:ascii="Times New Roman" w:eastAsia="Times New Roman"/>
                            <w:sz w:val="20"/>
                          </w:rPr>
                          <w:t>10 </w:t>
                        </w:r>
                        <w:r>
                          <w:rPr>
                            <w:sz w:val="20"/>
                          </w:rPr>
                          <w:t>个月但不满 </w:t>
                        </w:r>
                        <w:r>
                          <w:rPr>
                            <w:rFonts w:ascii="Times New Roman" w:eastAsia="Times New Roman"/>
                            <w:sz w:val="20"/>
                          </w:rPr>
                          <w:t>11 </w:t>
                        </w:r>
                        <w:r>
                          <w:rPr>
                            <w:sz w:val="20"/>
                          </w:rPr>
                          <w:t>个月</w:t>
                        </w:r>
                      </w:p>
                    </w:tc>
                    <w:tc>
                      <w:tcPr>
                        <w:tcW w:w="2669" w:type="dxa"/>
                      </w:tcPr>
                      <w:p>
                        <w:pPr>
                          <w:pStyle w:val="TableParagraph"/>
                          <w:spacing w:before="22"/>
                          <w:ind w:left="551" w:right="546"/>
                          <w:jc w:val="center"/>
                          <w:rPr>
                            <w:rFonts w:ascii="Times New Roman"/>
                            <w:sz w:val="20"/>
                          </w:rPr>
                        </w:pPr>
                        <w:r>
                          <w:rPr>
                            <w:rFonts w:ascii="Times New Roman"/>
                            <w:sz w:val="20"/>
                          </w:rPr>
                          <w:t>50%</w:t>
                        </w:r>
                      </w:p>
                    </w:tc>
                  </w:tr>
                  <w:tr>
                    <w:trPr>
                      <w:trHeight w:val="268" w:hRule="atLeast"/>
                    </w:trPr>
                    <w:tc>
                      <w:tcPr>
                        <w:tcW w:w="3437" w:type="dxa"/>
                      </w:tcPr>
                      <w:p>
                        <w:pPr>
                          <w:pStyle w:val="TableParagraph"/>
                          <w:spacing w:line="248" w:lineRule="exact"/>
                          <w:rPr>
                            <w:sz w:val="20"/>
                          </w:rPr>
                        </w:pPr>
                        <w:r>
                          <w:rPr>
                            <w:sz w:val="20"/>
                          </w:rPr>
                          <w:t>满 </w:t>
                        </w:r>
                        <w:r>
                          <w:rPr>
                            <w:rFonts w:ascii="Times New Roman" w:eastAsia="Times New Roman"/>
                            <w:sz w:val="20"/>
                          </w:rPr>
                          <w:t>9 </w:t>
                        </w:r>
                        <w:r>
                          <w:rPr>
                            <w:sz w:val="20"/>
                          </w:rPr>
                          <w:t>个月但不满 </w:t>
                        </w:r>
                        <w:r>
                          <w:rPr>
                            <w:rFonts w:ascii="Times New Roman" w:eastAsia="Times New Roman"/>
                            <w:sz w:val="20"/>
                          </w:rPr>
                          <w:t>10 </w:t>
                        </w:r>
                        <w:r>
                          <w:rPr>
                            <w:sz w:val="20"/>
                          </w:rPr>
                          <w:t>个月</w:t>
                        </w:r>
                      </w:p>
                    </w:tc>
                    <w:tc>
                      <w:tcPr>
                        <w:tcW w:w="2669" w:type="dxa"/>
                      </w:tcPr>
                      <w:p>
                        <w:pPr>
                          <w:pStyle w:val="TableParagraph"/>
                          <w:spacing w:before="19"/>
                          <w:ind w:left="551" w:right="546"/>
                          <w:jc w:val="center"/>
                          <w:rPr>
                            <w:rFonts w:ascii="Times New Roman"/>
                            <w:sz w:val="20"/>
                          </w:rPr>
                        </w:pPr>
                        <w:r>
                          <w:rPr>
                            <w:rFonts w:ascii="Times New Roman"/>
                            <w:sz w:val="20"/>
                          </w:rPr>
                          <w:t>45%</w:t>
                        </w:r>
                      </w:p>
                    </w:tc>
                  </w:tr>
                  <w:tr>
                    <w:trPr>
                      <w:trHeight w:val="270" w:hRule="atLeast"/>
                    </w:trPr>
                    <w:tc>
                      <w:tcPr>
                        <w:tcW w:w="3437" w:type="dxa"/>
                      </w:tcPr>
                      <w:p>
                        <w:pPr>
                          <w:pStyle w:val="TableParagraph"/>
                          <w:spacing w:line="251" w:lineRule="exact"/>
                          <w:rPr>
                            <w:sz w:val="20"/>
                          </w:rPr>
                        </w:pPr>
                        <w:r>
                          <w:rPr>
                            <w:sz w:val="20"/>
                          </w:rPr>
                          <w:t>满 </w:t>
                        </w:r>
                        <w:r>
                          <w:rPr>
                            <w:rFonts w:ascii="Times New Roman" w:eastAsia="Times New Roman"/>
                            <w:sz w:val="20"/>
                          </w:rPr>
                          <w:t>8 </w:t>
                        </w:r>
                        <w:r>
                          <w:rPr>
                            <w:sz w:val="20"/>
                          </w:rPr>
                          <w:t>个月但不满 </w:t>
                        </w:r>
                        <w:r>
                          <w:rPr>
                            <w:rFonts w:ascii="Times New Roman" w:eastAsia="Times New Roman"/>
                            <w:sz w:val="20"/>
                          </w:rPr>
                          <w:t>9 </w:t>
                        </w:r>
                        <w:r>
                          <w:rPr>
                            <w:sz w:val="20"/>
                          </w:rPr>
                          <w:t>个月</w:t>
                        </w:r>
                      </w:p>
                    </w:tc>
                    <w:tc>
                      <w:tcPr>
                        <w:tcW w:w="2669" w:type="dxa"/>
                      </w:tcPr>
                      <w:p>
                        <w:pPr>
                          <w:pStyle w:val="TableParagraph"/>
                          <w:spacing w:before="22"/>
                          <w:ind w:left="551" w:right="546"/>
                          <w:jc w:val="center"/>
                          <w:rPr>
                            <w:rFonts w:ascii="Times New Roman"/>
                            <w:sz w:val="20"/>
                          </w:rPr>
                        </w:pPr>
                        <w:r>
                          <w:rPr>
                            <w:rFonts w:ascii="Times New Roman"/>
                            <w:sz w:val="20"/>
                          </w:rPr>
                          <w:t>40%</w:t>
                        </w:r>
                      </w:p>
                    </w:tc>
                  </w:tr>
                  <w:tr>
                    <w:trPr>
                      <w:trHeight w:val="270" w:hRule="atLeast"/>
                    </w:trPr>
                    <w:tc>
                      <w:tcPr>
                        <w:tcW w:w="3437" w:type="dxa"/>
                      </w:tcPr>
                      <w:p>
                        <w:pPr>
                          <w:pStyle w:val="TableParagraph"/>
                          <w:spacing w:line="251" w:lineRule="exact"/>
                          <w:rPr>
                            <w:sz w:val="20"/>
                          </w:rPr>
                        </w:pPr>
                        <w:r>
                          <w:rPr>
                            <w:sz w:val="20"/>
                          </w:rPr>
                          <w:t>满 </w:t>
                        </w:r>
                        <w:r>
                          <w:rPr>
                            <w:rFonts w:ascii="Times New Roman" w:eastAsia="Times New Roman"/>
                            <w:sz w:val="20"/>
                          </w:rPr>
                          <w:t>7 </w:t>
                        </w:r>
                        <w:r>
                          <w:rPr>
                            <w:sz w:val="20"/>
                          </w:rPr>
                          <w:t>个月但不满 </w:t>
                        </w:r>
                        <w:r>
                          <w:rPr>
                            <w:rFonts w:ascii="Times New Roman" w:eastAsia="Times New Roman"/>
                            <w:sz w:val="20"/>
                          </w:rPr>
                          <w:t>8 </w:t>
                        </w:r>
                        <w:r>
                          <w:rPr>
                            <w:sz w:val="20"/>
                          </w:rPr>
                          <w:t>个月</w:t>
                        </w:r>
                      </w:p>
                    </w:tc>
                    <w:tc>
                      <w:tcPr>
                        <w:tcW w:w="2669" w:type="dxa"/>
                      </w:tcPr>
                      <w:p>
                        <w:pPr>
                          <w:pStyle w:val="TableParagraph"/>
                          <w:spacing w:before="22"/>
                          <w:ind w:left="551" w:right="546"/>
                          <w:jc w:val="center"/>
                          <w:rPr>
                            <w:rFonts w:ascii="Times New Roman"/>
                            <w:sz w:val="20"/>
                          </w:rPr>
                        </w:pPr>
                        <w:r>
                          <w:rPr>
                            <w:rFonts w:ascii="Times New Roman"/>
                            <w:sz w:val="20"/>
                          </w:rPr>
                          <w:t>35%</w:t>
                        </w:r>
                      </w:p>
                    </w:tc>
                  </w:tr>
                  <w:tr>
                    <w:trPr>
                      <w:trHeight w:val="268" w:hRule="atLeast"/>
                    </w:trPr>
                    <w:tc>
                      <w:tcPr>
                        <w:tcW w:w="3437" w:type="dxa"/>
                      </w:tcPr>
                      <w:p>
                        <w:pPr>
                          <w:pStyle w:val="TableParagraph"/>
                          <w:spacing w:line="248" w:lineRule="exact"/>
                          <w:rPr>
                            <w:sz w:val="20"/>
                          </w:rPr>
                        </w:pPr>
                        <w:r>
                          <w:rPr>
                            <w:sz w:val="20"/>
                          </w:rPr>
                          <w:t>满 </w:t>
                        </w:r>
                        <w:r>
                          <w:rPr>
                            <w:rFonts w:ascii="Times New Roman" w:eastAsia="Times New Roman"/>
                            <w:sz w:val="20"/>
                          </w:rPr>
                          <w:t>6 </w:t>
                        </w:r>
                        <w:r>
                          <w:rPr>
                            <w:sz w:val="20"/>
                          </w:rPr>
                          <w:t>个月但不满 </w:t>
                        </w:r>
                        <w:r>
                          <w:rPr>
                            <w:rFonts w:ascii="Times New Roman" w:eastAsia="Times New Roman"/>
                            <w:sz w:val="20"/>
                          </w:rPr>
                          <w:t>7 </w:t>
                        </w:r>
                        <w:r>
                          <w:rPr>
                            <w:sz w:val="20"/>
                          </w:rPr>
                          <w:t>个月</w:t>
                        </w:r>
                      </w:p>
                    </w:tc>
                    <w:tc>
                      <w:tcPr>
                        <w:tcW w:w="2669" w:type="dxa"/>
                      </w:tcPr>
                      <w:p>
                        <w:pPr>
                          <w:pStyle w:val="TableParagraph"/>
                          <w:spacing w:before="19"/>
                          <w:ind w:left="551" w:right="546"/>
                          <w:jc w:val="center"/>
                          <w:rPr>
                            <w:rFonts w:ascii="Times New Roman"/>
                            <w:sz w:val="20"/>
                          </w:rPr>
                        </w:pPr>
                        <w:r>
                          <w:rPr>
                            <w:rFonts w:ascii="Times New Roman"/>
                            <w:sz w:val="20"/>
                          </w:rPr>
                          <w:t>30%</w:t>
                        </w:r>
                      </w:p>
                    </w:tc>
                  </w:tr>
                  <w:tr>
                    <w:trPr>
                      <w:trHeight w:val="270" w:hRule="atLeast"/>
                    </w:trPr>
                    <w:tc>
                      <w:tcPr>
                        <w:tcW w:w="3437" w:type="dxa"/>
                      </w:tcPr>
                      <w:p>
                        <w:pPr>
                          <w:pStyle w:val="TableParagraph"/>
                          <w:spacing w:line="251" w:lineRule="exact"/>
                          <w:rPr>
                            <w:sz w:val="20"/>
                          </w:rPr>
                        </w:pPr>
                        <w:r>
                          <w:rPr>
                            <w:sz w:val="20"/>
                          </w:rPr>
                          <w:t>不满 </w:t>
                        </w:r>
                        <w:r>
                          <w:rPr>
                            <w:rFonts w:ascii="Times New Roman" w:eastAsia="Times New Roman"/>
                            <w:sz w:val="20"/>
                          </w:rPr>
                          <w:t>6 </w:t>
                        </w:r>
                        <w:r>
                          <w:rPr>
                            <w:sz w:val="20"/>
                          </w:rPr>
                          <w:t>个月</w:t>
                        </w:r>
                      </w:p>
                    </w:tc>
                    <w:tc>
                      <w:tcPr>
                        <w:tcW w:w="2669" w:type="dxa"/>
                      </w:tcPr>
                      <w:p>
                        <w:pPr>
                          <w:pStyle w:val="TableParagraph"/>
                          <w:spacing w:before="22"/>
                          <w:ind w:left="2"/>
                          <w:jc w:val="center"/>
                          <w:rPr>
                            <w:rFonts w:ascii="Times New Roman"/>
                            <w:sz w:val="20"/>
                          </w:rPr>
                        </w:pPr>
                        <w:r>
                          <w:rPr>
                            <w:rFonts w:ascii="Times New Roman"/>
                            <w:w w:val="99"/>
                            <w:sz w:val="20"/>
                          </w:rPr>
                          <w:t>-</w:t>
                        </w:r>
                      </w:p>
                    </w:tc>
                  </w:tr>
                </w:tbl>
                <w:p>
                  <w:pPr>
                    <w:pStyle w:val="BodyText"/>
                  </w:pPr>
                </w:p>
              </w:txbxContent>
            </v:textbox>
            <w10:wrap type="none"/>
          </v:shape>
        </w:pict>
      </w:r>
      <w:r>
        <w:rPr>
          <w:sz w:val="21"/>
        </w:rPr>
        <w:t>交的保险费</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p>
    <w:p>
      <w:pPr>
        <w:pStyle w:val="BodyText"/>
        <w:spacing w:line="213" w:lineRule="auto"/>
        <w:ind w:left="2509" w:right="114" w:hanging="2393"/>
        <w:jc w:val="both"/>
      </w:pPr>
      <w:r>
        <w:rPr>
          <w:spacing w:val="-17"/>
        </w:rPr>
        <w:t>释义 </w:t>
      </w:r>
      <w:r>
        <w:rPr>
          <w:rFonts w:ascii="Times New Roman" w:eastAsia="Times New Roman"/>
        </w:rPr>
        <w:t>16</w:t>
      </w:r>
      <w:r>
        <w:rPr>
          <w:spacing w:val="2"/>
        </w:rPr>
        <w:t>、手续费      </w:t>
      </w:r>
      <w:r>
        <w:rPr>
          <w:rFonts w:ascii="Times New Roman" w:eastAsia="Times New Roman"/>
          <w:spacing w:val="12"/>
        </w:rPr>
        <w:t>:  </w:t>
      </w:r>
      <w:r>
        <w:rPr>
          <w:spacing w:val="-4"/>
        </w:rPr>
        <w:t>手续费是指每份保险合同平均应承担的营业费用、佣金以及我们对本合</w:t>
      </w:r>
      <w:r>
        <w:rPr>
          <w:spacing w:val="-8"/>
        </w:rPr>
        <w:t>同所承担的保险责任所收取的费用等三项之和。手续费为该年度已交保</w:t>
      </w:r>
      <w:r>
        <w:rPr>
          <w:spacing w:val="-8"/>
          <w:w w:val="95"/>
        </w:rPr>
        <w:t>险费的百分之三十五。</w:t>
      </w:r>
    </w:p>
    <w:p>
      <w:pPr>
        <w:pStyle w:val="BodyText"/>
        <w:tabs>
          <w:tab w:pos="2310" w:val="left" w:leader="none"/>
        </w:tabs>
        <w:spacing w:line="255" w:lineRule="exact"/>
        <w:ind w:left="116"/>
      </w:pPr>
      <w:r>
        <w:rPr/>
        <w:t>释义</w:t>
      </w:r>
      <w:r>
        <w:rPr>
          <w:spacing w:val="-52"/>
        </w:rPr>
        <w:t> </w:t>
      </w:r>
      <w:r>
        <w:rPr>
          <w:rFonts w:ascii="Times New Roman" w:eastAsia="Times New Roman"/>
        </w:rPr>
        <w:t>17</w:t>
      </w:r>
      <w:r>
        <w:rPr/>
        <w:t>、本公司</w:t>
        <w:tab/>
      </w:r>
      <w:r>
        <w:rPr>
          <w:rFonts w:ascii="Times New Roman" w:eastAsia="Times New Roman"/>
        </w:rPr>
        <w:t>: </w:t>
      </w:r>
      <w:r>
        <w:rPr>
          <w:rFonts w:ascii="Times New Roman" w:eastAsia="Times New Roman"/>
          <w:spacing w:val="38"/>
        </w:rPr>
        <w:t> </w:t>
      </w:r>
      <w:r>
        <w:rPr/>
        <w:t>指北大方正人寿保险有限公司。</w:t>
      </w:r>
    </w:p>
    <w:p>
      <w:pPr>
        <w:pStyle w:val="BodyText"/>
        <w:rPr>
          <w:sz w:val="22"/>
        </w:rPr>
      </w:pPr>
    </w:p>
    <w:p>
      <w:pPr>
        <w:pStyle w:val="BodyText"/>
        <w:spacing w:before="156"/>
        <w:ind w:left="116"/>
      </w:pPr>
      <w:r>
        <w:rPr>
          <w:w w:val="95"/>
        </w:rPr>
        <w:t>附表一：妊娠期综合并发症</w:t>
      </w:r>
    </w:p>
    <w:p>
      <w:pPr>
        <w:pStyle w:val="BodyText"/>
        <w:rPr>
          <w:sz w:val="19"/>
        </w:rPr>
      </w:pPr>
    </w:p>
    <w:p>
      <w:pPr>
        <w:pStyle w:val="BodyText"/>
        <w:tabs>
          <w:tab w:pos="2310" w:val="left" w:leader="none"/>
        </w:tabs>
        <w:spacing w:line="213" w:lineRule="auto"/>
        <w:ind w:left="2509" w:right="113" w:hanging="2393"/>
        <w:jc w:val="both"/>
      </w:pPr>
      <w:r>
        <w:rPr>
          <w:rFonts w:ascii="Times New Roman" w:eastAsia="Times New Roman"/>
        </w:rPr>
        <w:t>1</w:t>
      </w:r>
      <w:r>
        <w:rPr/>
        <w:t>、绒毛膜癌</w:t>
        <w:tab/>
      </w:r>
      <w:r>
        <w:rPr>
          <w:w w:val="95"/>
        </w:rPr>
        <w:t>：指被保险人于怀孕期间患恶性</w:t>
      </w:r>
      <w:r>
        <w:rPr>
          <w:rFonts w:ascii="Times New Roman" w:eastAsia="Times New Roman"/>
          <w:w w:val="95"/>
        </w:rPr>
        <w:t>(</w:t>
      </w:r>
      <w:r>
        <w:rPr>
          <w:w w:val="95"/>
        </w:rPr>
        <w:t>通常是转移性的</w:t>
      </w:r>
      <w:r>
        <w:rPr>
          <w:rFonts w:ascii="Times New Roman" w:eastAsia="Times New Roman"/>
          <w:w w:val="95"/>
        </w:rPr>
        <w:t>)</w:t>
      </w:r>
      <w:r>
        <w:rPr>
          <w:w w:val="95"/>
        </w:rPr>
        <w:t>妊娠滋养细胞肿瘤</w:t>
      </w:r>
      <w:r>
        <w:rPr>
          <w:spacing w:val="-3"/>
          <w:w w:val="95"/>
        </w:rPr>
        <w:t>。</w:t>
      </w:r>
      <w:r>
        <w:rPr>
          <w:w w:val="95"/>
        </w:rPr>
        <w:t>其    </w:t>
      </w:r>
      <w:r>
        <w:rPr/>
        <w:t>诊断必须由具有执业医师资格的医院的产科医师确诊</w:t>
      </w:r>
      <w:r>
        <w:rPr>
          <w:spacing w:val="-68"/>
        </w:rPr>
        <w:t>。</w:t>
      </w:r>
      <w:r>
        <w:rPr/>
        <w:t>理赔时必须提供</w:t>
      </w:r>
      <w:r>
        <w:rPr>
          <w:w w:val="95"/>
        </w:rPr>
        <w:t>病理组织报告以证实为绒毛膜癌。</w:t>
      </w:r>
    </w:p>
    <w:p>
      <w:pPr>
        <w:pStyle w:val="BodyText"/>
        <w:spacing w:line="213" w:lineRule="auto" w:before="27"/>
        <w:ind w:left="2509" w:right="111" w:hanging="2393"/>
        <w:jc w:val="both"/>
      </w:pPr>
      <w:r>
        <w:rPr>
          <w:rFonts w:ascii="Times New Roman" w:eastAsia="Times New Roman"/>
        </w:rPr>
        <w:t>2</w:t>
      </w:r>
      <w:r>
        <w:rPr>
          <w:spacing w:val="-3"/>
        </w:rPr>
        <w:t>、弥漫性血管内凝血 ：指因凝血功能障碍导致全身性出血不止及器官损伤，是一种妊娠所并发</w:t>
      </w:r>
      <w:r>
        <w:rPr>
          <w:spacing w:val="1"/>
        </w:rPr>
        <w:t>的致命性疾病，其诊断必须由具有执业医师资格的医院的产科医师确</w:t>
      </w:r>
      <w:r>
        <w:rPr>
          <w:spacing w:val="1"/>
          <w:w w:val="95"/>
        </w:rPr>
        <w:t>诊，并提供同时具有下列条件中的至少三项的检验报告：</w:t>
      </w:r>
    </w:p>
    <w:p>
      <w:pPr>
        <w:pStyle w:val="BodyText"/>
        <w:spacing w:line="237" w:lineRule="exact"/>
        <w:ind w:left="2509"/>
      </w:pPr>
      <w:r>
        <w:rPr/>
        <w:t>1、血小板计数 &lt;100×10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 或者呈进行性下降；</w:t>
      </w:r>
    </w:p>
    <w:p>
      <w:pPr>
        <w:pStyle w:val="BodyText"/>
        <w:spacing w:line="232" w:lineRule="exact"/>
        <w:ind w:left="2509"/>
      </w:pPr>
      <w:r>
        <w:rPr/>
        <w:t>2、血浆纤维蛋白原含量&lt;1.5g/L 或者&gt;4g/L 或者呈进行性下降；</w:t>
      </w:r>
    </w:p>
    <w:p>
      <w:pPr>
        <w:pStyle w:val="BodyText"/>
        <w:spacing w:line="240" w:lineRule="exact"/>
        <w:ind w:left="2509"/>
      </w:pPr>
      <w:r>
        <w:rPr/>
        <w:t>3、3P 试验阳性或者血浆 FDP&gt;20mg/L；</w:t>
      </w:r>
    </w:p>
    <w:p>
      <w:pPr>
        <w:pStyle w:val="BodyText"/>
        <w:spacing w:line="240" w:lineRule="exact"/>
        <w:ind w:left="2509"/>
      </w:pPr>
      <w:r>
        <w:rPr/>
        <w:t>4、凝血酶原时间&gt;15 秒或者超过对照组 3 秒以上。</w:t>
      </w:r>
    </w:p>
    <w:p>
      <w:pPr>
        <w:pStyle w:val="BodyText"/>
        <w:spacing w:line="213" w:lineRule="auto" w:before="19"/>
        <w:ind w:left="2509" w:right="111" w:hanging="2393"/>
        <w:jc w:val="both"/>
      </w:pPr>
      <w:r>
        <w:rPr>
          <w:rFonts w:ascii="Times New Roman" w:eastAsia="Times New Roman"/>
        </w:rPr>
        <w:t>3</w:t>
      </w:r>
      <w:r>
        <w:rPr>
          <w:spacing w:val="-2"/>
        </w:rPr>
        <w:t>、重度子痫前期     ：指被保险人在妊娠 </w:t>
      </w:r>
      <w:r>
        <w:rPr/>
        <w:t>20</w:t>
      </w:r>
      <w:r>
        <w:rPr>
          <w:spacing w:val="-6"/>
        </w:rPr>
        <w:t> 周后出现的由妊娠期高血压疾病所引发的一种妊</w:t>
      </w:r>
      <w:r>
        <w:rPr>
          <w:spacing w:val="-9"/>
        </w:rPr>
        <w:t>娠并发症，其诊断必须由具有执业医师资格的医院的产科医生确诊，且</w:t>
      </w:r>
      <w:r>
        <w:rPr>
          <w:spacing w:val="-9"/>
          <w:w w:val="95"/>
        </w:rPr>
        <w:t>必须符合下列条件中的第一、二项及第三至九项中的任意一项：</w:t>
      </w:r>
    </w:p>
    <w:p>
      <w:pPr>
        <w:pStyle w:val="BodyText"/>
        <w:spacing w:line="229" w:lineRule="exact"/>
        <w:ind w:left="2509"/>
      </w:pPr>
      <w:r>
        <w:rPr/>
        <w:t>1、收缩压 160mmhg 或以上，或舒张压 110mmhg 或以上 ；</w:t>
      </w:r>
    </w:p>
    <w:p>
      <w:pPr>
        <w:pStyle w:val="BodyText"/>
        <w:spacing w:line="240" w:lineRule="exact"/>
        <w:ind w:left="2509"/>
      </w:pPr>
      <w:r>
        <w:rPr/>
        <w:t>2、24 小时尿蛋白 5.0g 以上或随机尿蛋白+++以上 ；</w:t>
      </w:r>
    </w:p>
    <w:p>
      <w:pPr>
        <w:pStyle w:val="BodyText"/>
        <w:spacing w:line="240" w:lineRule="exact"/>
        <w:ind w:left="2509"/>
      </w:pPr>
      <w:r>
        <w:rPr/>
        <w:t>3、脑血管意外 ；</w:t>
      </w:r>
    </w:p>
    <w:p>
      <w:pPr>
        <w:pStyle w:val="BodyText"/>
        <w:spacing w:line="240" w:lineRule="exact"/>
        <w:ind w:left="2509"/>
      </w:pPr>
      <w:r>
        <w:rPr/>
        <w:t>4、血谷丙转氨酶或谷草转氨酶高于正常范围 2 倍或以上 ；</w:t>
      </w:r>
    </w:p>
    <w:p>
      <w:pPr>
        <w:pStyle w:val="BodyText"/>
        <w:spacing w:line="240" w:lineRule="exact"/>
        <w:ind w:left="2509"/>
      </w:pPr>
      <w:r>
        <w:rPr>
          <w:spacing w:val="0"/>
          <w:w w:val="99"/>
        </w:rPr>
        <w:t>5</w:t>
      </w:r>
      <w:r>
        <w:rPr>
          <w:spacing w:val="-1"/>
          <w:w w:val="99"/>
        </w:rPr>
        <w:t>、少尿（</w:t>
      </w:r>
      <w:r>
        <w:rPr>
          <w:w w:val="99"/>
        </w:rPr>
        <w:t>24</w:t>
      </w:r>
      <w:r>
        <w:rPr>
          <w:spacing w:val="-49"/>
        </w:rPr>
        <w:t> </w:t>
      </w:r>
      <w:r>
        <w:rPr>
          <w:w w:val="99"/>
        </w:rPr>
        <w:t>小时尿量小于</w:t>
      </w:r>
      <w:r>
        <w:rPr>
          <w:spacing w:val="-45"/>
        </w:rPr>
        <w:t> </w:t>
      </w:r>
      <w:r>
        <w:rPr>
          <w:w w:val="99"/>
        </w:rPr>
        <w:t>500</w:t>
      </w:r>
      <w:r>
        <w:rPr>
          <w:spacing w:val="-2"/>
          <w:w w:val="99"/>
        </w:rPr>
        <w:t>m</w:t>
      </w:r>
      <w:r>
        <w:rPr>
          <w:spacing w:val="0"/>
          <w:w w:val="99"/>
        </w:rPr>
        <w:t>l</w:t>
      </w:r>
      <w:r>
        <w:rPr>
          <w:spacing w:val="-101"/>
          <w:w w:val="99"/>
        </w:rPr>
        <w:t>）</w:t>
      </w:r>
      <w:r>
        <w:rPr>
          <w:w w:val="99"/>
        </w:rPr>
        <w:t>；</w:t>
      </w:r>
    </w:p>
    <w:p>
      <w:pPr>
        <w:pStyle w:val="BodyText"/>
        <w:spacing w:line="248" w:lineRule="exact"/>
        <w:ind w:left="2509"/>
      </w:pPr>
      <w:r>
        <w:rPr/>
        <w:t>6、血小板低于 100×10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 ；</w:t>
      </w:r>
    </w:p>
    <w:p>
      <w:pPr>
        <w:pStyle w:val="BodyText"/>
        <w:spacing w:line="232" w:lineRule="exact"/>
        <w:ind w:left="2509"/>
      </w:pPr>
      <w:r>
        <w:rPr>
          <w:spacing w:val="0"/>
          <w:w w:val="99"/>
        </w:rPr>
        <w:t>7</w:t>
      </w:r>
      <w:r>
        <w:rPr>
          <w:spacing w:val="-1"/>
          <w:w w:val="99"/>
        </w:rPr>
        <w:t>、微血管病性溶血（</w:t>
      </w:r>
      <w:r>
        <w:rPr>
          <w:w w:val="99"/>
        </w:rPr>
        <w:t>血</w:t>
      </w:r>
      <w:r>
        <w:rPr>
          <w:spacing w:val="-50"/>
        </w:rPr>
        <w:t> </w:t>
      </w:r>
      <w:r>
        <w:rPr>
          <w:w w:val="99"/>
        </w:rPr>
        <w:t>LDH</w:t>
      </w:r>
      <w:r>
        <w:rPr>
          <w:spacing w:val="-49"/>
        </w:rPr>
        <w:t> </w:t>
      </w:r>
      <w:r>
        <w:rPr>
          <w:spacing w:val="-1"/>
          <w:w w:val="99"/>
        </w:rPr>
        <w:t>升高</w:t>
      </w:r>
      <w:r>
        <w:rPr>
          <w:spacing w:val="-101"/>
          <w:w w:val="99"/>
        </w:rPr>
        <w:t>）</w:t>
      </w:r>
      <w:r>
        <w:rPr>
          <w:w w:val="99"/>
        </w:rPr>
        <w:t>；</w:t>
      </w:r>
    </w:p>
    <w:p>
      <w:pPr>
        <w:pStyle w:val="BodyText"/>
        <w:spacing w:line="240" w:lineRule="exact"/>
        <w:ind w:left="2509"/>
      </w:pPr>
      <w:r>
        <w:rPr/>
        <w:t>8、胎儿生长受限，胎盘早剥 ；</w:t>
      </w:r>
    </w:p>
    <w:p>
      <w:pPr>
        <w:pStyle w:val="BodyText"/>
        <w:spacing w:line="251" w:lineRule="exact"/>
        <w:ind w:left="2509"/>
      </w:pPr>
      <w:r>
        <w:rPr>
          <w:w w:val="95"/>
        </w:rPr>
        <w:t>9、凝血功能障碍。</w:t>
      </w:r>
    </w:p>
    <w:p>
      <w:pPr>
        <w:spacing w:after="0" w:line="251" w:lineRule="exact"/>
        <w:sectPr>
          <w:type w:val="continuous"/>
          <w:pgSz w:w="11960" w:h="16850"/>
          <w:pgMar w:top="280" w:bottom="1200" w:left="1580" w:right="1620"/>
        </w:sectPr>
      </w:pPr>
    </w:p>
    <w:p>
      <w:pPr>
        <w:pStyle w:val="BodyText"/>
        <w:tabs>
          <w:tab w:pos="2310" w:val="left" w:leader="none"/>
        </w:tabs>
        <w:spacing w:line="216" w:lineRule="auto" w:before="90"/>
        <w:ind w:left="2509" w:right="171" w:hanging="2393"/>
        <w:jc w:val="both"/>
      </w:pPr>
      <w:r>
        <w:rPr>
          <w:rFonts w:ascii="Times New Roman" w:eastAsia="Times New Roman"/>
        </w:rPr>
        <w:t>4</w:t>
      </w:r>
      <w:r>
        <w:rPr/>
        <w:t>、羊水栓塞</w:t>
        <w:tab/>
      </w:r>
      <w:r>
        <w:rPr>
          <w:w w:val="95"/>
        </w:rPr>
        <w:t>：指因羊水进入母体循环所导致的急性呼吸窘迫或者休克</w:t>
      </w:r>
      <w:r>
        <w:rPr>
          <w:spacing w:val="-70"/>
          <w:w w:val="95"/>
        </w:rPr>
        <w:t>。</w:t>
      </w:r>
      <w:r>
        <w:rPr>
          <w:w w:val="95"/>
        </w:rPr>
        <w:t>其诊断必须由    </w:t>
      </w:r>
      <w:r>
        <w:rPr/>
        <w:t>具有执业医师资格的医院的产科医生确诊</w:t>
      </w:r>
      <w:r>
        <w:rPr>
          <w:spacing w:val="-34"/>
        </w:rPr>
        <w:t>，</w:t>
      </w:r>
      <w:r>
        <w:rPr/>
        <w:t>且必须提供有呼吸困难</w:t>
      </w:r>
      <w:r>
        <w:rPr>
          <w:spacing w:val="-34"/>
        </w:rPr>
        <w:t>、</w:t>
      </w:r>
      <w:r>
        <w:rPr/>
        <w:t>凝血功能障碍</w:t>
      </w:r>
      <w:r>
        <w:rPr>
          <w:spacing w:val="-34"/>
        </w:rPr>
        <w:t>、</w:t>
      </w:r>
      <w:r>
        <w:rPr/>
        <w:t>休克等相关医学证明文件</w:t>
      </w:r>
      <w:r>
        <w:rPr>
          <w:spacing w:val="-34"/>
        </w:rPr>
        <w:t>，</w:t>
      </w:r>
      <w:r>
        <w:rPr/>
        <w:t>并经胸部</w:t>
      </w:r>
      <w:r>
        <w:rPr>
          <w:spacing w:val="-54"/>
        </w:rPr>
        <w:t> </w:t>
      </w:r>
      <w:r>
        <w:rPr/>
        <w:t>X</w:t>
      </w:r>
      <w:r>
        <w:rPr>
          <w:spacing w:val="-53"/>
        </w:rPr>
        <w:t> </w:t>
      </w:r>
      <w:r>
        <w:rPr/>
        <w:t>光检查或者血液沉</w:t>
      </w:r>
      <w:r>
        <w:rPr>
          <w:w w:val="95"/>
        </w:rPr>
        <w:t>淀试验证实。</w:t>
      </w:r>
    </w:p>
    <w:p>
      <w:pPr>
        <w:pStyle w:val="BodyText"/>
        <w:spacing w:line="208" w:lineRule="auto" w:before="14"/>
        <w:ind w:left="2509" w:right="176" w:hanging="2393"/>
        <w:jc w:val="both"/>
      </w:pPr>
      <w:r>
        <w:rPr>
          <w:rFonts w:ascii="Times New Roman" w:eastAsia="Times New Roman"/>
        </w:rPr>
        <w:t>5</w:t>
      </w:r>
      <w:r>
        <w:rPr/>
        <w:t>、恶性葡萄胎       ：指异常增生的绒毛组织浸润性生长浸入子宫肌层或者转移至其他器官</w:t>
      </w:r>
      <w:r>
        <w:rPr>
          <w:w w:val="95"/>
        </w:rPr>
        <w:t>或者组织的葡萄胎，并已经进行化疗或者手术治疗的。</w:t>
      </w:r>
    </w:p>
    <w:p>
      <w:pPr>
        <w:pStyle w:val="BodyText"/>
        <w:tabs>
          <w:tab w:pos="2310" w:val="left" w:leader="none"/>
        </w:tabs>
        <w:spacing w:line="213" w:lineRule="auto" w:before="8"/>
        <w:ind w:left="2509" w:right="101" w:hanging="2393"/>
      </w:pPr>
      <w:r>
        <w:rPr>
          <w:rFonts w:ascii="Times New Roman" w:eastAsia="Times New Roman"/>
        </w:rPr>
        <w:t>6</w:t>
      </w:r>
      <w:r>
        <w:rPr/>
        <w:t>、完全性子宫破裂</w:t>
        <w:tab/>
      </w:r>
      <w:r>
        <w:rPr>
          <w:w w:val="95"/>
        </w:rPr>
        <w:t>：指在妊娠晚期或分娩过程中子宫体部或子宫下段发生的破裂</w:t>
      </w:r>
      <w:r>
        <w:rPr>
          <w:spacing w:val="-68"/>
          <w:w w:val="95"/>
        </w:rPr>
        <w:t>，</w:t>
      </w:r>
      <w:r>
        <w:rPr>
          <w:w w:val="95"/>
        </w:rPr>
        <w:t>其严重程    </w:t>
      </w:r>
      <w:r>
        <w:rPr/>
        <w:t>度必须达到宫壁全层破裂，使宫腔与腹腔相通，胎儿及羊水进入腹腔。</w:t>
      </w:r>
      <w:r>
        <w:rPr>
          <w:w w:val="95"/>
        </w:rPr>
        <w:t>先兆子宫破裂和不完全子宫破裂不在保障范围内。</w:t>
      </w:r>
    </w:p>
    <w:p>
      <w:pPr>
        <w:pStyle w:val="BodyText"/>
        <w:spacing w:before="9"/>
        <w:rPr>
          <w:sz w:val="24"/>
        </w:rPr>
      </w:pPr>
    </w:p>
    <w:p>
      <w:pPr>
        <w:pStyle w:val="BodyText"/>
        <w:ind w:left="121"/>
      </w:pPr>
      <w:r>
        <w:rPr>
          <w:w w:val="95"/>
        </w:rPr>
        <w:t>附表二：特殊妊娠</w:t>
      </w:r>
    </w:p>
    <w:p>
      <w:pPr>
        <w:pStyle w:val="BodyText"/>
        <w:spacing w:before="5"/>
        <w:rPr>
          <w:sz w:val="26"/>
        </w:rPr>
      </w:pPr>
    </w:p>
    <w:p>
      <w:pPr>
        <w:pStyle w:val="BodyText"/>
        <w:spacing w:line="232" w:lineRule="auto" w:before="1"/>
        <w:ind w:left="2557" w:right="169" w:hanging="2441"/>
        <w:jc w:val="both"/>
      </w:pPr>
      <w:r>
        <w:rPr>
          <w:rFonts w:ascii="Times New Roman" w:eastAsia="Times New Roman"/>
        </w:rPr>
        <w:t>1</w:t>
      </w:r>
      <w:r>
        <w:rPr>
          <w:spacing w:val="-2"/>
        </w:rPr>
        <w:t>、非正常妊娠        ：指宫外孕或者被保险人在满 </w:t>
      </w:r>
      <w:r>
        <w:rPr/>
        <w:t>12</w:t>
      </w:r>
      <w:r>
        <w:rPr>
          <w:spacing w:val="-9"/>
        </w:rPr>
        <w:t> 孕周后的自然流产或治疗性流产。其中</w:t>
      </w:r>
      <w:r>
        <w:rPr>
          <w:spacing w:val="-1"/>
        </w:rPr>
        <w:t>自然流产指胎儿尚无独立生存的能力，也未使用人工方法，而因某种</w:t>
      </w:r>
      <w:r>
        <w:rPr/>
        <w:t>原因胚胎或胎儿自动脱离母体而排出；治疗性流产指为了抢救孕妇生</w:t>
      </w:r>
      <w:r>
        <w:rPr>
          <w:w w:val="95"/>
        </w:rPr>
        <w:t>命或健康所做的流产。</w:t>
      </w:r>
    </w:p>
    <w:p>
      <w:pPr>
        <w:pStyle w:val="BodyText"/>
        <w:tabs>
          <w:tab w:pos="2355" w:val="left" w:leader="none"/>
        </w:tabs>
        <w:spacing w:line="232" w:lineRule="auto" w:before="6"/>
        <w:ind w:left="2557" w:right="169" w:hanging="2441"/>
        <w:jc w:val="both"/>
      </w:pPr>
      <w:r>
        <w:rPr>
          <w:rFonts w:ascii="Times New Roman" w:eastAsia="Times New Roman"/>
        </w:rPr>
        <w:t>2</w:t>
      </w:r>
      <w:r>
        <w:rPr/>
        <w:t>、死胎</w:t>
        <w:tab/>
        <w:t>：指被保险人的胎儿在胎龄</w:t>
      </w:r>
      <w:r>
        <w:rPr>
          <w:spacing w:val="-55"/>
        </w:rPr>
        <w:t> </w:t>
      </w:r>
      <w:r>
        <w:rPr/>
        <w:t>20</w:t>
      </w:r>
      <w:r>
        <w:rPr>
          <w:spacing w:val="-54"/>
        </w:rPr>
        <w:t> </w:t>
      </w:r>
      <w:r>
        <w:rPr/>
        <w:t>周以上</w:t>
      </w:r>
      <w:r>
        <w:rPr>
          <w:spacing w:val="-8"/>
        </w:rPr>
        <w:t>，</w:t>
      </w:r>
      <w:r>
        <w:rPr/>
        <w:t>而在分娩前已死亡</w:t>
      </w:r>
      <w:r>
        <w:rPr>
          <w:spacing w:val="-8"/>
        </w:rPr>
        <w:t>。</w:t>
      </w:r>
      <w:r>
        <w:rPr/>
        <w:t>其诊断必须由具有执业医师资格的医院的妇产科医师确诊及证明胎死宫内的</w:t>
      </w:r>
      <w:r>
        <w:rPr>
          <w:spacing w:val="-13"/>
        </w:rPr>
        <w:t> </w:t>
      </w:r>
      <w:r>
        <w:rPr/>
        <w:t>B</w:t>
      </w:r>
      <w:r>
        <w:rPr>
          <w:spacing w:val="-12"/>
        </w:rPr>
        <w:t> </w:t>
      </w:r>
      <w:r>
        <w:rPr/>
        <w:t>超诊</w:t>
      </w:r>
      <w:r>
        <w:rPr>
          <w:spacing w:val="2"/>
        </w:rPr>
        <w:t>断</w:t>
      </w:r>
      <w:r>
        <w:rPr/>
        <w:t>报</w:t>
      </w:r>
      <w:r>
        <w:rPr>
          <w:spacing w:val="5"/>
        </w:rPr>
        <w:t>告</w:t>
      </w:r>
      <w:r>
        <w:rPr/>
        <w:t>。</w:t>
      </w:r>
      <w:r>
        <w:rPr>
          <w:spacing w:val="2"/>
        </w:rPr>
        <w:t>任</w:t>
      </w:r>
      <w:r>
        <w:rPr/>
        <w:t>何利用</w:t>
      </w:r>
      <w:r>
        <w:rPr>
          <w:spacing w:val="2"/>
        </w:rPr>
        <w:t>人工方</w:t>
      </w:r>
      <w:r>
        <w:rPr/>
        <w:t>法</w:t>
      </w:r>
      <w:r>
        <w:rPr>
          <w:spacing w:val="2"/>
        </w:rPr>
        <w:t>或</w:t>
      </w:r>
      <w:r>
        <w:rPr/>
        <w:t>药</w:t>
      </w:r>
      <w:r>
        <w:rPr>
          <w:spacing w:val="2"/>
        </w:rPr>
        <w:t>物</w:t>
      </w:r>
      <w:r>
        <w:rPr/>
        <w:t>方</w:t>
      </w:r>
      <w:r>
        <w:rPr>
          <w:spacing w:val="2"/>
        </w:rPr>
        <w:t>法</w:t>
      </w:r>
      <w:r>
        <w:rPr/>
        <w:t>造</w:t>
      </w:r>
      <w:r>
        <w:rPr>
          <w:spacing w:val="2"/>
        </w:rPr>
        <w:t>成</w:t>
      </w:r>
      <w:r>
        <w:rPr/>
        <w:t>的</w:t>
      </w:r>
      <w:r>
        <w:rPr>
          <w:spacing w:val="2"/>
        </w:rPr>
        <w:t>胎儿死</w:t>
      </w:r>
      <w:r>
        <w:rPr>
          <w:spacing w:val="10"/>
        </w:rPr>
        <w:t>亡</w:t>
      </w:r>
      <w:r>
        <w:rPr>
          <w:spacing w:val="2"/>
        </w:rPr>
        <w:t>，</w:t>
      </w:r>
      <w:r>
        <w:rPr/>
        <w:t>本</w:t>
      </w:r>
      <w:r>
        <w:rPr>
          <w:spacing w:val="2"/>
        </w:rPr>
        <w:t>合</w:t>
      </w:r>
      <w:r>
        <w:rPr/>
        <w:t>同将</w:t>
      </w:r>
      <w:r>
        <w:rPr>
          <w:w w:val="95"/>
        </w:rPr>
        <w:t>不予理赔。</w:t>
      </w:r>
    </w:p>
    <w:p>
      <w:pPr>
        <w:pStyle w:val="BodyText"/>
        <w:spacing w:line="232" w:lineRule="auto" w:before="73"/>
        <w:ind w:left="2557" w:right="174" w:hanging="2441"/>
        <w:jc w:val="both"/>
      </w:pPr>
      <w:r>
        <w:rPr>
          <w:rFonts w:ascii="Times New Roman" w:eastAsia="Times New Roman"/>
        </w:rPr>
        <w:t>3</w:t>
      </w:r>
      <w:r>
        <w:rPr>
          <w:spacing w:val="-2"/>
        </w:rPr>
        <w:t>、新生儿死亡        ：指新生婴儿在被分娩后 </w:t>
      </w:r>
      <w:r>
        <w:rPr/>
        <w:t>28</w:t>
      </w:r>
      <w:r>
        <w:rPr>
          <w:spacing w:val="-9"/>
        </w:rPr>
        <w:t> 天内死亡。其诊断必须由具有执业医师资格</w:t>
      </w:r>
      <w:r>
        <w:rPr>
          <w:spacing w:val="-1"/>
        </w:rPr>
        <w:t>的医院的新生儿学专家或儿科医师确诊。任何利用人工方法或药物方</w:t>
      </w:r>
      <w:r>
        <w:rPr>
          <w:spacing w:val="-1"/>
          <w:w w:val="95"/>
        </w:rPr>
        <w:t>法造成的胎儿或新生儿死亡，本合同将不予理赔。</w:t>
      </w:r>
    </w:p>
    <w:p>
      <w:pPr>
        <w:pStyle w:val="BodyText"/>
        <w:spacing w:before="3"/>
        <w:rPr>
          <w:sz w:val="28"/>
        </w:rPr>
      </w:pPr>
    </w:p>
    <w:p>
      <w:pPr>
        <w:pStyle w:val="BodyText"/>
        <w:ind w:left="121"/>
      </w:pPr>
      <w:r>
        <w:rPr>
          <w:w w:val="95"/>
        </w:rPr>
        <w:t>附表三：新生儿先天性疾病</w:t>
      </w:r>
    </w:p>
    <w:p>
      <w:pPr>
        <w:pStyle w:val="BodyText"/>
        <w:spacing w:before="6"/>
        <w:rPr>
          <w:sz w:val="26"/>
        </w:rPr>
      </w:pPr>
    </w:p>
    <w:p>
      <w:pPr>
        <w:pStyle w:val="BodyText"/>
        <w:spacing w:line="232" w:lineRule="auto"/>
        <w:ind w:left="2557" w:right="169" w:hanging="2441"/>
        <w:jc w:val="both"/>
      </w:pPr>
      <w:r>
        <w:rPr>
          <w:rFonts w:ascii="Times New Roman" w:eastAsia="Times New Roman"/>
        </w:rPr>
        <w:t>1</w:t>
      </w:r>
      <w:r>
        <w:rPr/>
        <w:t>、先天性缺两肢      ：指被保险人的新生婴儿出现先天性的缺两肢，必须是自腕关节以上两上肢缺失，或自踝关节以上两下肢缺失，或自腕关节以上一上肢缺失并且自踝关节以上一下肢缺失。其诊断必须由具有执业医师资格的医</w:t>
      </w:r>
      <w:r>
        <w:rPr>
          <w:w w:val="95"/>
        </w:rPr>
        <w:t>院的儿科医师确诊，理赔时必须提供相应的残疾鉴定书。</w:t>
      </w:r>
    </w:p>
    <w:p>
      <w:pPr>
        <w:pStyle w:val="BodyText"/>
        <w:tabs>
          <w:tab w:pos="2355" w:val="left" w:leader="none"/>
        </w:tabs>
        <w:spacing w:line="230" w:lineRule="auto" w:before="8"/>
        <w:ind w:left="2557" w:right="169" w:hanging="2441"/>
        <w:jc w:val="both"/>
      </w:pPr>
      <w:r>
        <w:rPr>
          <w:rFonts w:ascii="Times New Roman" w:eastAsia="Times New Roman"/>
        </w:rPr>
        <w:t>2</w:t>
      </w:r>
      <w:r>
        <w:rPr/>
        <w:t>、肛门闭锁</w:t>
        <w:tab/>
        <w:t>：指</w:t>
      </w:r>
      <w:r>
        <w:rPr>
          <w:spacing w:val="2"/>
        </w:rPr>
        <w:t>被</w:t>
      </w:r>
      <w:r>
        <w:rPr/>
        <w:t>保</w:t>
      </w:r>
      <w:r>
        <w:rPr>
          <w:spacing w:val="2"/>
        </w:rPr>
        <w:t>险</w:t>
      </w:r>
      <w:r>
        <w:rPr/>
        <w:t>人</w:t>
      </w:r>
      <w:r>
        <w:rPr>
          <w:spacing w:val="2"/>
        </w:rPr>
        <w:t>的</w:t>
      </w:r>
      <w:r>
        <w:rPr/>
        <w:t>新</w:t>
      </w:r>
      <w:r>
        <w:rPr>
          <w:spacing w:val="2"/>
        </w:rPr>
        <w:t>生</w:t>
      </w:r>
      <w:r>
        <w:rPr/>
        <w:t>婴</w:t>
      </w:r>
      <w:r>
        <w:rPr>
          <w:spacing w:val="2"/>
        </w:rPr>
        <w:t>儿缺乏</w:t>
      </w:r>
      <w:r>
        <w:rPr/>
        <w:t>正</w:t>
      </w:r>
      <w:r>
        <w:rPr>
          <w:spacing w:val="2"/>
        </w:rPr>
        <w:t>常</w:t>
      </w:r>
      <w:r>
        <w:rPr/>
        <w:t>肛</w:t>
      </w:r>
      <w:r>
        <w:rPr>
          <w:spacing w:val="2"/>
        </w:rPr>
        <w:t>门</w:t>
      </w:r>
      <w:r>
        <w:rPr/>
        <w:t>的</w:t>
      </w:r>
      <w:r>
        <w:rPr>
          <w:spacing w:val="2"/>
        </w:rPr>
        <w:t>出</w:t>
      </w:r>
      <w:r>
        <w:rPr/>
        <w:t>口</w:t>
      </w:r>
      <w:r>
        <w:rPr>
          <w:spacing w:val="2"/>
        </w:rPr>
        <w:t>，</w:t>
      </w:r>
      <w:r>
        <w:rPr/>
        <w:t>并</w:t>
      </w:r>
      <w:r>
        <w:rPr>
          <w:spacing w:val="2"/>
        </w:rPr>
        <w:t>因肛门</w:t>
      </w:r>
      <w:r>
        <w:rPr/>
        <w:t>闭</w:t>
      </w:r>
      <w:r>
        <w:rPr>
          <w:spacing w:val="2"/>
        </w:rPr>
        <w:t>锁</w:t>
      </w:r>
      <w:r>
        <w:rPr/>
        <w:t>的</w:t>
      </w:r>
      <w:r>
        <w:rPr>
          <w:spacing w:val="2"/>
        </w:rPr>
        <w:t>情</w:t>
      </w:r>
      <w:r>
        <w:rPr/>
        <w:t>况严 重</w:t>
      </w:r>
      <w:r>
        <w:rPr>
          <w:spacing w:val="2"/>
        </w:rPr>
        <w:t>而</w:t>
      </w:r>
      <w:r>
        <w:rPr/>
        <w:t>已</w:t>
      </w:r>
      <w:r>
        <w:rPr>
          <w:spacing w:val="2"/>
        </w:rPr>
        <w:t>接</w:t>
      </w:r>
      <w:r>
        <w:rPr/>
        <w:t>受</w:t>
      </w:r>
      <w:r>
        <w:rPr>
          <w:spacing w:val="2"/>
        </w:rPr>
        <w:t>结</w:t>
      </w:r>
      <w:r>
        <w:rPr/>
        <w:t>肠</w:t>
      </w:r>
      <w:r>
        <w:rPr>
          <w:spacing w:val="2"/>
        </w:rPr>
        <w:t>造</w:t>
      </w:r>
      <w:r>
        <w:rPr/>
        <w:t>瘘</w:t>
      </w:r>
      <w:r>
        <w:rPr>
          <w:spacing w:val="2"/>
        </w:rPr>
        <w:t>术并骶</w:t>
      </w:r>
      <w:r>
        <w:rPr/>
        <w:t>腹</w:t>
      </w:r>
      <w:r>
        <w:rPr>
          <w:spacing w:val="2"/>
        </w:rPr>
        <w:t>会</w:t>
      </w:r>
      <w:r>
        <w:rPr/>
        <w:t>阴</w:t>
      </w:r>
      <w:r>
        <w:rPr>
          <w:spacing w:val="2"/>
        </w:rPr>
        <w:t>肛</w:t>
      </w:r>
      <w:r>
        <w:rPr/>
        <w:t>门</w:t>
      </w:r>
      <w:r>
        <w:rPr>
          <w:spacing w:val="2"/>
        </w:rPr>
        <w:t>成</w:t>
      </w:r>
      <w:r>
        <w:rPr/>
        <w:t>形</w:t>
      </w:r>
      <w:r>
        <w:rPr>
          <w:spacing w:val="2"/>
        </w:rPr>
        <w:t>术</w:t>
      </w:r>
      <w:r>
        <w:rPr/>
        <w:t>矫</w:t>
      </w:r>
      <w:r>
        <w:rPr>
          <w:spacing w:val="2"/>
        </w:rPr>
        <w:t>正治</w:t>
      </w:r>
      <w:r>
        <w:rPr>
          <w:spacing w:val="5"/>
        </w:rPr>
        <w:t>疗</w:t>
      </w:r>
      <w:r>
        <w:rPr/>
        <w:t>。</w:t>
      </w:r>
      <w:r>
        <w:rPr>
          <w:spacing w:val="2"/>
        </w:rPr>
        <w:t>其</w:t>
      </w:r>
      <w:r>
        <w:rPr/>
        <w:t>诊</w:t>
      </w:r>
      <w:r>
        <w:rPr>
          <w:spacing w:val="2"/>
        </w:rPr>
        <w:t>断</w:t>
      </w:r>
      <w:r>
        <w:rPr/>
        <w:t>必须</w:t>
      </w:r>
      <w:r>
        <w:rPr>
          <w:w w:val="95"/>
        </w:rPr>
        <w:t>由具有执业医师资格的医院的儿科医师确诊。</w:t>
      </w:r>
    </w:p>
    <w:p>
      <w:pPr>
        <w:pStyle w:val="BodyText"/>
        <w:spacing w:line="232" w:lineRule="auto" w:before="10"/>
        <w:ind w:left="2557" w:right="169" w:hanging="2441"/>
        <w:jc w:val="both"/>
      </w:pPr>
      <w:r>
        <w:rPr>
          <w:rFonts w:ascii="Times New Roman" w:eastAsia="Times New Roman"/>
        </w:rPr>
        <w:t>3</w:t>
      </w:r>
      <w:r>
        <w:rPr/>
        <w:t>、房间隔缺损        ：指被保险人的新生婴儿左右心房之间有严重的缺损，从而导致血液可在左右心房之间直接流动。其严重程度必须采用胸外科开胸手术的方法来矫正。其诊断必须由具有执业医师资格的医院的儿科医师确诊， </w:t>
      </w:r>
      <w:r>
        <w:rPr>
          <w:w w:val="95"/>
        </w:rPr>
        <w:t>理赔时必须提供相应的心脏超声检查报告。</w:t>
      </w:r>
    </w:p>
    <w:p>
      <w:pPr>
        <w:pStyle w:val="BodyText"/>
        <w:spacing w:line="232" w:lineRule="auto" w:before="5"/>
        <w:ind w:left="2557" w:right="169" w:hanging="2441"/>
        <w:jc w:val="both"/>
      </w:pPr>
      <w:r>
        <w:rPr>
          <w:rFonts w:ascii="Times New Roman" w:eastAsia="Times New Roman"/>
        </w:rPr>
        <w:t>4</w:t>
      </w:r>
      <w:r>
        <w:rPr/>
        <w:t>、室间隔缺损        ：指被保险人的新生婴儿左右心室之间有严重的缺损，从而导致血液可在左右心室之间直接流动。其严重程度必须采用胸外科开胸手术的方法来矫正。其诊断必须由具有执业医师资格的医院的儿科医师确诊， </w:t>
      </w:r>
      <w:r>
        <w:rPr>
          <w:w w:val="95"/>
        </w:rPr>
        <w:t>理赔时必须提供相应的心脏超声检查报告。</w:t>
      </w:r>
    </w:p>
    <w:p>
      <w:pPr>
        <w:pStyle w:val="BodyText"/>
        <w:spacing w:line="232" w:lineRule="auto" w:before="31"/>
        <w:ind w:left="2557" w:right="169" w:hanging="2441"/>
        <w:jc w:val="both"/>
      </w:pPr>
      <w:r>
        <w:rPr>
          <w:rFonts w:ascii="Times New Roman" w:eastAsia="Times New Roman"/>
        </w:rPr>
        <w:t>5</w:t>
      </w:r>
      <w:r>
        <w:rPr/>
        <w:t>、完全性大动脉错位  ：指被保险人的新生婴儿患有主动脉连接右心室且肺动脉连接左心室的先天性异常。其严重程度必须采用胸外科开胸手术的方法来纠正。其诊断必须由具有执业医师资格的医院的儿科医师确诊，理赔时必须提</w:t>
      </w:r>
      <w:r>
        <w:rPr>
          <w:w w:val="95"/>
        </w:rPr>
        <w:t>供相应的心脏超声检查报告。</w:t>
      </w:r>
    </w:p>
    <w:p>
      <w:pPr>
        <w:spacing w:after="0" w:line="232" w:lineRule="auto"/>
        <w:jc w:val="both"/>
        <w:sectPr>
          <w:footerReference w:type="default" r:id="rId7"/>
          <w:pgSz w:w="11960" w:h="16850"/>
          <w:pgMar w:footer="1001" w:header="0" w:top="1600" w:bottom="1200" w:left="1580" w:right="1560"/>
          <w:pgNumType w:start="10"/>
        </w:sectPr>
      </w:pPr>
    </w:p>
    <w:p>
      <w:pPr>
        <w:pStyle w:val="BodyText"/>
        <w:spacing w:line="225" w:lineRule="auto" w:before="88"/>
        <w:ind w:left="2557" w:right="111" w:hanging="2441"/>
        <w:jc w:val="both"/>
      </w:pPr>
      <w:r>
        <w:rPr>
          <w:rFonts w:ascii="Times New Roman" w:eastAsia="Times New Roman"/>
        </w:rPr>
        <w:t>6</w:t>
      </w:r>
      <w:r>
        <w:rPr/>
        <w:t>、法洛氏四联症      ：指被保险人的新生婴儿出生后患有先天性心脏畸形，合并存在以下四</w:t>
      </w:r>
      <w:r>
        <w:rPr>
          <w:w w:val="95"/>
        </w:rPr>
        <w:t>项特征：</w:t>
      </w:r>
    </w:p>
    <w:p>
      <w:pPr>
        <w:pStyle w:val="BodyText"/>
        <w:spacing w:line="265" w:lineRule="exact"/>
        <w:ind w:left="2557"/>
      </w:pPr>
      <w:r>
        <w:rPr>
          <w:rFonts w:ascii="Times New Roman" w:eastAsia="Times New Roman"/>
          <w:w w:val="95"/>
        </w:rPr>
        <w:t>1</w:t>
      </w:r>
      <w:r>
        <w:rPr>
          <w:w w:val="95"/>
        </w:rPr>
        <w:t>、室间隔缺损；</w:t>
      </w:r>
    </w:p>
    <w:p>
      <w:pPr>
        <w:pStyle w:val="BodyText"/>
        <w:spacing w:line="259" w:lineRule="exact"/>
        <w:ind w:left="2557"/>
      </w:pPr>
      <w:r>
        <w:rPr>
          <w:rFonts w:ascii="Times New Roman" w:eastAsia="Times New Roman"/>
          <w:w w:val="95"/>
        </w:rPr>
        <w:t>2</w:t>
      </w:r>
      <w:r>
        <w:rPr>
          <w:w w:val="95"/>
        </w:rPr>
        <w:t>、主动脉骑跨；</w:t>
      </w:r>
    </w:p>
    <w:p>
      <w:pPr>
        <w:pStyle w:val="BodyText"/>
        <w:spacing w:line="259" w:lineRule="exact"/>
        <w:ind w:left="2557"/>
      </w:pPr>
      <w:r>
        <w:rPr>
          <w:rFonts w:ascii="Times New Roman" w:eastAsia="Times New Roman"/>
          <w:w w:val="95"/>
        </w:rPr>
        <w:t>3</w:t>
      </w:r>
      <w:r>
        <w:rPr>
          <w:w w:val="95"/>
        </w:rPr>
        <w:t>、右心室肥厚；</w:t>
      </w:r>
    </w:p>
    <w:p>
      <w:pPr>
        <w:pStyle w:val="BodyText"/>
        <w:spacing w:line="259" w:lineRule="exact"/>
        <w:ind w:left="2557"/>
      </w:pPr>
      <w:r>
        <w:rPr>
          <w:rFonts w:ascii="Times New Roman" w:eastAsia="Times New Roman"/>
          <w:w w:val="95"/>
        </w:rPr>
        <w:t>4</w:t>
      </w:r>
      <w:r>
        <w:rPr>
          <w:w w:val="95"/>
        </w:rPr>
        <w:t>、肺动脉狭窄。</w:t>
      </w:r>
    </w:p>
    <w:p>
      <w:pPr>
        <w:pStyle w:val="BodyText"/>
        <w:spacing w:line="237" w:lineRule="auto"/>
        <w:ind w:left="2557" w:right="109"/>
      </w:pPr>
      <w:r>
        <w:rPr/>
        <w:t>其诊断必须由具有执业医师资格的医院的儿科医师确诊，理赔时必须</w:t>
      </w:r>
      <w:r>
        <w:rPr>
          <w:w w:val="95"/>
        </w:rPr>
        <w:t>提供相应的心脏超声检查报告。</w:t>
      </w:r>
    </w:p>
    <w:p>
      <w:pPr>
        <w:pStyle w:val="BodyText"/>
        <w:spacing w:line="232" w:lineRule="auto" w:before="12"/>
        <w:ind w:left="2557" w:right="109" w:hanging="2441"/>
        <w:jc w:val="both"/>
      </w:pPr>
      <w:r>
        <w:rPr>
          <w:rFonts w:ascii="Times New Roman" w:eastAsia="Times New Roman"/>
        </w:rPr>
        <w:t>7</w:t>
      </w:r>
      <w:r>
        <w:rPr/>
        <w:t>、先天性动脉导管未闭 ：指被保险人的新生婴儿于出生后其肺动脉与主动脉之间仍有血管连接。该疾病严重程度必须采用胸外科开胸手术的方法来矫正。其诊断必须由具有执业医师资格的医院的儿科医师确诊，理赔时必须提供相</w:t>
      </w:r>
      <w:r>
        <w:rPr>
          <w:w w:val="95"/>
        </w:rPr>
        <w:t>应的心脏超声检查报告。</w:t>
      </w:r>
    </w:p>
    <w:p>
      <w:pPr>
        <w:pStyle w:val="BodyText"/>
        <w:tabs>
          <w:tab w:pos="2355" w:val="left" w:leader="none"/>
        </w:tabs>
        <w:spacing w:line="230" w:lineRule="auto" w:before="8"/>
        <w:ind w:left="2557" w:right="109" w:hanging="2441"/>
        <w:jc w:val="both"/>
      </w:pPr>
      <w:r>
        <w:rPr>
          <w:rFonts w:ascii="Times New Roman" w:eastAsia="Times New Roman"/>
        </w:rPr>
        <w:t>8</w:t>
      </w:r>
      <w:r>
        <w:rPr/>
        <w:t>、唇腭裂</w:t>
        <w:tab/>
        <w:t>：指</w:t>
      </w:r>
      <w:r>
        <w:rPr>
          <w:spacing w:val="2"/>
        </w:rPr>
        <w:t>被</w:t>
      </w:r>
      <w:r>
        <w:rPr/>
        <w:t>保</w:t>
      </w:r>
      <w:r>
        <w:rPr>
          <w:spacing w:val="2"/>
        </w:rPr>
        <w:t>险</w:t>
      </w:r>
      <w:r>
        <w:rPr/>
        <w:t>人</w:t>
      </w:r>
      <w:r>
        <w:rPr>
          <w:spacing w:val="2"/>
        </w:rPr>
        <w:t>的</w:t>
      </w:r>
      <w:r>
        <w:rPr/>
        <w:t>新</w:t>
      </w:r>
      <w:r>
        <w:rPr>
          <w:spacing w:val="2"/>
        </w:rPr>
        <w:t>生</w:t>
      </w:r>
      <w:r>
        <w:rPr/>
        <w:t>婴</w:t>
      </w:r>
      <w:r>
        <w:rPr>
          <w:spacing w:val="2"/>
        </w:rPr>
        <w:t>儿患有</w:t>
      </w:r>
      <w:r>
        <w:rPr/>
        <w:t>上</w:t>
      </w:r>
      <w:r>
        <w:rPr>
          <w:spacing w:val="2"/>
        </w:rPr>
        <w:t>唇</w:t>
      </w:r>
      <w:r>
        <w:rPr/>
        <w:t>及</w:t>
      </w:r>
      <w:r>
        <w:rPr>
          <w:spacing w:val="2"/>
        </w:rPr>
        <w:t>两</w:t>
      </w:r>
      <w:r>
        <w:rPr/>
        <w:t>侧上腭</w:t>
      </w:r>
      <w:r>
        <w:rPr>
          <w:spacing w:val="2"/>
        </w:rPr>
        <w:t>先</w:t>
      </w:r>
      <w:r>
        <w:rPr/>
        <w:t>天</w:t>
      </w:r>
      <w:r>
        <w:rPr>
          <w:spacing w:val="2"/>
        </w:rPr>
        <w:t>性分</w:t>
      </w:r>
      <w:r>
        <w:rPr>
          <w:spacing w:val="15"/>
        </w:rPr>
        <w:t>裂</w:t>
      </w:r>
      <w:r>
        <w:rPr/>
        <w:t>，</w:t>
      </w:r>
      <w:r>
        <w:rPr>
          <w:spacing w:val="2"/>
        </w:rPr>
        <w:t>保</w:t>
      </w:r>
      <w:r>
        <w:rPr/>
        <w:t>障</w:t>
      </w:r>
      <w:r>
        <w:rPr>
          <w:spacing w:val="2"/>
        </w:rPr>
        <w:t>范</w:t>
      </w:r>
      <w:r>
        <w:rPr/>
        <w:t>围包 括</w:t>
      </w:r>
      <w:r>
        <w:rPr>
          <w:spacing w:val="2"/>
        </w:rPr>
        <w:t>唇</w:t>
      </w:r>
      <w:r>
        <w:rPr/>
        <w:t>裂</w:t>
      </w:r>
      <w:r>
        <w:rPr>
          <w:spacing w:val="2"/>
        </w:rPr>
        <w:t>，</w:t>
      </w:r>
      <w:r>
        <w:rPr/>
        <w:t>腭</w:t>
      </w:r>
      <w:r>
        <w:rPr>
          <w:spacing w:val="2"/>
        </w:rPr>
        <w:t>裂</w:t>
      </w:r>
      <w:r>
        <w:rPr/>
        <w:t>或</w:t>
      </w:r>
      <w:r>
        <w:rPr>
          <w:spacing w:val="2"/>
        </w:rPr>
        <w:t>唇</w:t>
      </w:r>
      <w:r>
        <w:rPr/>
        <w:t>腭</w:t>
      </w:r>
      <w:r>
        <w:rPr>
          <w:spacing w:val="5"/>
        </w:rPr>
        <w:t>裂</w:t>
      </w:r>
      <w:r>
        <w:rPr>
          <w:spacing w:val="2"/>
        </w:rPr>
        <w:t>。其</w:t>
      </w:r>
      <w:r>
        <w:rPr/>
        <w:t>严</w:t>
      </w:r>
      <w:r>
        <w:rPr>
          <w:spacing w:val="2"/>
        </w:rPr>
        <w:t>重</w:t>
      </w:r>
      <w:r>
        <w:rPr/>
        <w:t>程</w:t>
      </w:r>
      <w:r>
        <w:rPr>
          <w:spacing w:val="2"/>
        </w:rPr>
        <w:t>度</w:t>
      </w:r>
      <w:r>
        <w:rPr/>
        <w:t>必</w:t>
      </w:r>
      <w:r>
        <w:rPr>
          <w:spacing w:val="2"/>
        </w:rPr>
        <w:t>须</w:t>
      </w:r>
      <w:r>
        <w:rPr/>
        <w:t>采用手</w:t>
      </w:r>
      <w:r>
        <w:rPr>
          <w:spacing w:val="2"/>
        </w:rPr>
        <w:t>术方法</w:t>
      </w:r>
      <w:r>
        <w:rPr/>
        <w:t>来</w:t>
      </w:r>
      <w:r>
        <w:rPr>
          <w:spacing w:val="2"/>
        </w:rPr>
        <w:t>矫</w:t>
      </w:r>
      <w:r>
        <w:rPr>
          <w:spacing w:val="6"/>
        </w:rPr>
        <w:t>正</w:t>
      </w:r>
      <w:r>
        <w:rPr>
          <w:spacing w:val="2"/>
        </w:rPr>
        <w:t>，</w:t>
      </w:r>
      <w:r>
        <w:rPr/>
        <w:t>其诊</w:t>
      </w:r>
      <w:r>
        <w:rPr>
          <w:w w:val="95"/>
        </w:rPr>
        <w:t>断必须由具有执业医师资格的医院的儿科医师确诊。</w:t>
      </w:r>
    </w:p>
    <w:p>
      <w:pPr>
        <w:pStyle w:val="BodyText"/>
        <w:spacing w:line="230" w:lineRule="auto" w:before="8"/>
        <w:ind w:left="2557" w:right="109" w:hanging="2441"/>
        <w:jc w:val="both"/>
      </w:pPr>
      <w:r>
        <w:rPr>
          <w:rFonts w:ascii="Times New Roman" w:eastAsia="Times New Roman"/>
        </w:rPr>
        <w:t>9</w:t>
      </w:r>
      <w:r>
        <w:rPr/>
        <w:t>、唐氏综合症        ：指被保险人的新生婴儿被确定患有一种特定常染色体异常情况，此类</w:t>
      </w:r>
      <w:r>
        <w:rPr>
          <w:spacing w:val="-5"/>
        </w:rPr>
        <w:t>幼儿较正常幼儿多出一条 </w:t>
      </w:r>
      <w:r>
        <w:rPr>
          <w:rFonts w:ascii="Times New Roman" w:eastAsia="Times New Roman"/>
        </w:rPr>
        <w:t>21 </w:t>
      </w:r>
      <w:r>
        <w:rPr>
          <w:spacing w:val="-2"/>
        </w:rPr>
        <w:t>号染色体</w:t>
      </w:r>
      <w:r>
        <w:rPr/>
        <w:t>（</w:t>
      </w:r>
      <w:r>
        <w:rPr>
          <w:spacing w:val="-27"/>
        </w:rPr>
        <w:t>即 </w:t>
      </w:r>
      <w:r>
        <w:rPr>
          <w:rFonts w:ascii="Times New Roman" w:eastAsia="Times New Roman"/>
        </w:rPr>
        <w:t>21 </w:t>
      </w:r>
      <w:r>
        <w:rPr/>
        <w:t>号染色体为三条</w:t>
      </w:r>
      <w:r>
        <w:rPr>
          <w:spacing w:val="-101"/>
        </w:rPr>
        <w:t>）</w:t>
      </w:r>
      <w:r>
        <w:rPr>
          <w:spacing w:val="-3"/>
        </w:rPr>
        <w:t>。被保</w:t>
      </w:r>
      <w:r>
        <w:rPr/>
        <w:t>险人的新生婴儿的临床特征为肌张力低，小头畸形，短头畸形，枕部扁平。其诊断必须由具有执业医师资格的医院的儿科医师基于被保险人的新生婴儿智力低下（</w:t>
      </w:r>
      <w:r>
        <w:rPr>
          <w:spacing w:val="-5"/>
        </w:rPr>
        <w:t>智商低于 </w:t>
      </w:r>
      <w:r>
        <w:rPr>
          <w:rFonts w:ascii="Times New Roman" w:eastAsia="Times New Roman"/>
        </w:rPr>
        <w:t>50</w:t>
      </w:r>
      <w:r>
        <w:rPr/>
        <w:t>）和体格发育迟缓的临床表现做</w:t>
      </w:r>
      <w:r>
        <w:rPr>
          <w:w w:val="95"/>
        </w:rPr>
        <w:t>出确诊。理赔时需提供染色体检查报告。</w:t>
      </w:r>
    </w:p>
    <w:p>
      <w:pPr>
        <w:pStyle w:val="BodyText"/>
        <w:spacing w:line="232" w:lineRule="auto" w:before="5"/>
        <w:ind w:left="2557" w:right="109" w:hanging="2441"/>
        <w:jc w:val="both"/>
      </w:pPr>
      <w:r>
        <w:rPr>
          <w:rFonts w:ascii="Times New Roman" w:eastAsia="Times New Roman"/>
        </w:rPr>
        <w:t>10</w:t>
      </w:r>
      <w:r>
        <w:rPr/>
        <w:t>、婴幼儿脑积水</w:t>
      </w:r>
      <w:r>
        <w:rPr>
          <w:rFonts w:ascii="Times New Roman" w:eastAsia="Times New Roman"/>
        </w:rPr>
        <w:t>/</w:t>
      </w:r>
      <w:r>
        <w:rPr/>
        <w:t>脑水肿：指被保险人的新生婴儿因先天性畸形而导致脑室中脑脊液异常增加。患儿具有显著的神经缺陷，且必须通过采取手术切除阻塞物或放置引流管的治疗方法来矫正。其诊断必须由具有执业医师资格的医院的儿</w:t>
      </w:r>
      <w:r>
        <w:rPr>
          <w:w w:val="95"/>
        </w:rPr>
        <w:t>科主任医师确诊。</w:t>
      </w:r>
    </w:p>
    <w:p>
      <w:pPr>
        <w:pStyle w:val="BodyText"/>
        <w:spacing w:line="232" w:lineRule="auto" w:before="5"/>
        <w:ind w:left="2557" w:right="111" w:hanging="2441"/>
        <w:jc w:val="both"/>
      </w:pPr>
      <w:r>
        <w:rPr>
          <w:rFonts w:ascii="Times New Roman" w:eastAsia="Times New Roman"/>
        </w:rPr>
        <w:t>11</w:t>
      </w:r>
      <w:r>
        <w:rPr/>
        <w:t>、食道闭锁</w:t>
      </w:r>
      <w:r>
        <w:rPr>
          <w:rFonts w:ascii="Times New Roman" w:eastAsia="Times New Roman"/>
        </w:rPr>
        <w:t>/</w:t>
      </w:r>
      <w:r>
        <w:rPr/>
        <w:t>食道气道瘘：指被保险人的新生婴儿因先天性食道发育不全而导致食道终止于一盲端或构成与气管相通的瘘管。以上畸形将导致患儿进食困难及呼吸障碍。本保障仅限于被保险人的新生婴儿同时患有食道闭锁及食道气管</w:t>
      </w:r>
      <w:r>
        <w:rPr>
          <w:w w:val="95"/>
        </w:rPr>
        <w:t>瘘病症。其诊断必须由具有执业医师资格的医院的儿科专家确诊。</w:t>
      </w:r>
    </w:p>
    <w:p>
      <w:pPr>
        <w:pStyle w:val="BodyText"/>
        <w:tabs>
          <w:tab w:pos="2355" w:val="left" w:leader="none"/>
        </w:tabs>
        <w:spacing w:line="232" w:lineRule="auto" w:before="27"/>
        <w:ind w:left="2557" w:right="109" w:hanging="2441"/>
        <w:jc w:val="both"/>
      </w:pPr>
      <w:r>
        <w:rPr>
          <w:rFonts w:ascii="Times New Roman" w:eastAsia="Times New Roman"/>
        </w:rPr>
        <w:t>12</w:t>
      </w:r>
      <w:r>
        <w:rPr/>
        <w:t>、脊柱裂</w:t>
        <w:tab/>
        <w:t>：指</w:t>
      </w:r>
      <w:r>
        <w:rPr>
          <w:spacing w:val="2"/>
        </w:rPr>
        <w:t>被</w:t>
      </w:r>
      <w:r>
        <w:rPr/>
        <w:t>保</w:t>
      </w:r>
      <w:r>
        <w:rPr>
          <w:spacing w:val="2"/>
        </w:rPr>
        <w:t>险</w:t>
      </w:r>
      <w:r>
        <w:rPr/>
        <w:t>人</w:t>
      </w:r>
      <w:r>
        <w:rPr>
          <w:spacing w:val="2"/>
        </w:rPr>
        <w:t>的</w:t>
      </w:r>
      <w:r>
        <w:rPr/>
        <w:t>新</w:t>
      </w:r>
      <w:r>
        <w:rPr>
          <w:spacing w:val="2"/>
        </w:rPr>
        <w:t>生</w:t>
      </w:r>
      <w:r>
        <w:rPr/>
        <w:t>婴</w:t>
      </w:r>
      <w:r>
        <w:rPr>
          <w:spacing w:val="2"/>
        </w:rPr>
        <w:t>儿因神</w:t>
      </w:r>
      <w:r>
        <w:rPr/>
        <w:t>经</w:t>
      </w:r>
      <w:r>
        <w:rPr>
          <w:spacing w:val="2"/>
        </w:rPr>
        <w:t>管</w:t>
      </w:r>
      <w:r>
        <w:rPr/>
        <w:t>先天性</w:t>
      </w:r>
      <w:r>
        <w:rPr>
          <w:spacing w:val="2"/>
        </w:rPr>
        <w:t>缺</w:t>
      </w:r>
      <w:r>
        <w:rPr/>
        <w:t>陷</w:t>
      </w:r>
      <w:r>
        <w:rPr>
          <w:spacing w:val="2"/>
        </w:rPr>
        <w:t>所</w:t>
      </w:r>
      <w:r>
        <w:rPr/>
        <w:t>致</w:t>
      </w:r>
      <w:r>
        <w:rPr>
          <w:spacing w:val="2"/>
        </w:rPr>
        <w:t>的</w:t>
      </w:r>
      <w:r>
        <w:rPr/>
        <w:t>脊</w:t>
      </w:r>
      <w:r>
        <w:rPr>
          <w:spacing w:val="2"/>
        </w:rPr>
        <w:t>柱</w:t>
      </w:r>
      <w:r>
        <w:rPr/>
        <w:t>闭</w:t>
      </w:r>
      <w:r>
        <w:rPr>
          <w:spacing w:val="2"/>
        </w:rPr>
        <w:t>合</w:t>
      </w:r>
      <w:r>
        <w:rPr/>
        <w:t>缺</w:t>
      </w:r>
      <w:r>
        <w:rPr>
          <w:spacing w:val="15"/>
        </w:rPr>
        <w:t>陷</w:t>
      </w:r>
      <w:r>
        <w:rPr/>
        <w:t>，伴 有</w:t>
      </w:r>
      <w:r>
        <w:rPr>
          <w:spacing w:val="2"/>
        </w:rPr>
        <w:t>囊</w:t>
      </w:r>
      <w:r>
        <w:rPr/>
        <w:t>状</w:t>
      </w:r>
      <w:r>
        <w:rPr>
          <w:spacing w:val="2"/>
        </w:rPr>
        <w:t>脑</w:t>
      </w:r>
      <w:r>
        <w:rPr/>
        <w:t>脊</w:t>
      </w:r>
      <w:r>
        <w:rPr>
          <w:spacing w:val="2"/>
        </w:rPr>
        <w:t>膜</w:t>
      </w:r>
      <w:r>
        <w:rPr/>
        <w:t>膨</w:t>
      </w:r>
      <w:r>
        <w:rPr>
          <w:spacing w:val="2"/>
        </w:rPr>
        <w:t>出</w:t>
      </w:r>
      <w:r>
        <w:rPr/>
        <w:t>或</w:t>
      </w:r>
      <w:r>
        <w:rPr>
          <w:spacing w:val="2"/>
        </w:rPr>
        <w:t>囊状</w:t>
      </w:r>
      <w:r>
        <w:rPr/>
        <w:t>脊髓脊膜</w:t>
      </w:r>
      <w:r>
        <w:rPr>
          <w:spacing w:val="2"/>
        </w:rPr>
        <w:t>膨</w:t>
      </w:r>
      <w:r>
        <w:rPr/>
        <w:t>出</w:t>
      </w:r>
      <w:r>
        <w:rPr>
          <w:spacing w:val="2"/>
        </w:rPr>
        <w:t>或</w:t>
      </w:r>
      <w:r>
        <w:rPr/>
        <w:t>脊</w:t>
      </w:r>
      <w:r>
        <w:rPr>
          <w:spacing w:val="2"/>
        </w:rPr>
        <w:t>髓</w:t>
      </w:r>
      <w:r>
        <w:rPr/>
        <w:t>膨</w:t>
      </w:r>
      <w:r>
        <w:rPr>
          <w:spacing w:val="20"/>
        </w:rPr>
        <w:t>出</w:t>
      </w:r>
      <w:r>
        <w:rPr>
          <w:spacing w:val="2"/>
        </w:rPr>
        <w:t>，隐</w:t>
      </w:r>
      <w:r>
        <w:rPr/>
        <w:t>性脊柱</w:t>
      </w:r>
      <w:r>
        <w:rPr>
          <w:spacing w:val="2"/>
        </w:rPr>
        <w:t>裂</w:t>
      </w:r>
      <w:r>
        <w:rPr/>
        <w:t>不包括在本</w:t>
      </w:r>
      <w:r>
        <w:rPr>
          <w:spacing w:val="2"/>
        </w:rPr>
        <w:t>合</w:t>
      </w:r>
      <w:r>
        <w:rPr/>
        <w:t>同</w:t>
      </w:r>
      <w:r>
        <w:rPr>
          <w:spacing w:val="2"/>
        </w:rPr>
        <w:t>的</w:t>
      </w:r>
      <w:r>
        <w:rPr/>
        <w:t>保</w:t>
      </w:r>
      <w:r>
        <w:rPr>
          <w:spacing w:val="2"/>
        </w:rPr>
        <w:t>险</w:t>
      </w:r>
      <w:r>
        <w:rPr/>
        <w:t>责</w:t>
      </w:r>
      <w:r>
        <w:rPr>
          <w:spacing w:val="2"/>
        </w:rPr>
        <w:t>任范围</w:t>
      </w:r>
      <w:r>
        <w:rPr>
          <w:spacing w:val="6"/>
        </w:rPr>
        <w:t>内</w:t>
      </w:r>
      <w:r>
        <w:rPr>
          <w:spacing w:val="2"/>
        </w:rPr>
        <w:t>。</w:t>
      </w:r>
      <w:r>
        <w:rPr/>
        <w:t>其</w:t>
      </w:r>
      <w:r>
        <w:rPr>
          <w:spacing w:val="2"/>
        </w:rPr>
        <w:t>诊</w:t>
      </w:r>
      <w:r>
        <w:rPr/>
        <w:t>断</w:t>
      </w:r>
      <w:r>
        <w:rPr>
          <w:spacing w:val="2"/>
        </w:rPr>
        <w:t>必</w:t>
      </w:r>
      <w:r>
        <w:rPr/>
        <w:t>须</w:t>
      </w:r>
      <w:r>
        <w:rPr>
          <w:spacing w:val="5"/>
        </w:rPr>
        <w:t>由</w:t>
      </w:r>
      <w:r>
        <w:rPr/>
        <w:t>具</w:t>
      </w:r>
      <w:r>
        <w:rPr>
          <w:spacing w:val="2"/>
        </w:rPr>
        <w:t>有执业</w:t>
      </w:r>
      <w:r>
        <w:rPr/>
        <w:t>医</w:t>
      </w:r>
      <w:r>
        <w:rPr>
          <w:spacing w:val="2"/>
        </w:rPr>
        <w:t>师</w:t>
      </w:r>
      <w:r>
        <w:rPr/>
        <w:t>资</w:t>
      </w:r>
      <w:r>
        <w:rPr>
          <w:spacing w:val="2"/>
        </w:rPr>
        <w:t>格</w:t>
      </w:r>
      <w:r>
        <w:rPr/>
        <w:t>的医</w:t>
      </w:r>
      <w:r>
        <w:rPr>
          <w:w w:val="95"/>
        </w:rPr>
        <w:t>院的儿科主任医师确诊。</w:t>
      </w:r>
    </w:p>
    <w:sectPr>
      <w:pgSz w:w="11960" w:h="16850"/>
      <w:pgMar w:header="0" w:footer="1001" w:top="1600" w:bottom="1200" w:left="15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28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z w:val="18"/>
                  </w:rPr>
                  <w:t> 页 共 11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300690pt;margin-top:781.347778pt;width:78.7pt;height:11pt;mso-position-horizontal-relative:page;mso-position-vertical-relative:page;z-index:-1326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32" w:hanging="632"/>
        <w:jc w:val="left"/>
      </w:pPr>
      <w:rPr>
        <w:rFonts w:hint="default" w:ascii="宋体" w:hAnsi="宋体" w:eastAsia="宋体" w:cs="宋体"/>
        <w:spacing w:val="-1"/>
        <w:w w:val="100"/>
        <w:sz w:val="21"/>
        <w:szCs w:val="21"/>
      </w:rPr>
    </w:lvl>
    <w:lvl w:ilvl="1">
      <w:start w:val="0"/>
      <w:numFmt w:val="bullet"/>
      <w:lvlText w:val="•"/>
      <w:lvlJc w:val="left"/>
      <w:pPr>
        <w:ind w:left="1549" w:hanging="632"/>
      </w:pPr>
      <w:rPr>
        <w:rFonts w:hint="default"/>
      </w:rPr>
    </w:lvl>
    <w:lvl w:ilvl="2">
      <w:start w:val="0"/>
      <w:numFmt w:val="bullet"/>
      <w:lvlText w:val="•"/>
      <w:lvlJc w:val="left"/>
      <w:pPr>
        <w:ind w:left="2358" w:hanging="632"/>
      </w:pPr>
      <w:rPr>
        <w:rFonts w:hint="default"/>
      </w:rPr>
    </w:lvl>
    <w:lvl w:ilvl="3">
      <w:start w:val="0"/>
      <w:numFmt w:val="bullet"/>
      <w:lvlText w:val="•"/>
      <w:lvlJc w:val="left"/>
      <w:pPr>
        <w:ind w:left="3167" w:hanging="632"/>
      </w:pPr>
      <w:rPr>
        <w:rFonts w:hint="default"/>
      </w:rPr>
    </w:lvl>
    <w:lvl w:ilvl="4">
      <w:start w:val="0"/>
      <w:numFmt w:val="bullet"/>
      <w:lvlText w:val="•"/>
      <w:lvlJc w:val="left"/>
      <w:pPr>
        <w:ind w:left="3976" w:hanging="632"/>
      </w:pPr>
      <w:rPr>
        <w:rFonts w:hint="default"/>
      </w:rPr>
    </w:lvl>
    <w:lvl w:ilvl="5">
      <w:start w:val="0"/>
      <w:numFmt w:val="bullet"/>
      <w:lvlText w:val="•"/>
      <w:lvlJc w:val="left"/>
      <w:pPr>
        <w:ind w:left="4786" w:hanging="632"/>
      </w:pPr>
      <w:rPr>
        <w:rFonts w:hint="default"/>
      </w:rPr>
    </w:lvl>
    <w:lvl w:ilvl="6">
      <w:start w:val="0"/>
      <w:numFmt w:val="bullet"/>
      <w:lvlText w:val="•"/>
      <w:lvlJc w:val="left"/>
      <w:pPr>
        <w:ind w:left="5595" w:hanging="632"/>
      </w:pPr>
      <w:rPr>
        <w:rFonts w:hint="default"/>
      </w:rPr>
    </w:lvl>
    <w:lvl w:ilvl="7">
      <w:start w:val="0"/>
      <w:numFmt w:val="bullet"/>
      <w:lvlText w:val="•"/>
      <w:lvlJc w:val="left"/>
      <w:pPr>
        <w:ind w:left="6404" w:hanging="632"/>
      </w:pPr>
      <w:rPr>
        <w:rFonts w:hint="default"/>
      </w:rPr>
    </w:lvl>
    <w:lvl w:ilvl="8">
      <w:start w:val="0"/>
      <w:numFmt w:val="bullet"/>
      <w:lvlText w:val="•"/>
      <w:lvlJc w:val="left"/>
      <w:pPr>
        <w:ind w:left="7213"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right="682"/>
      <w:jc w:val="center"/>
    </w:pPr>
    <w:rPr>
      <w:rFonts w:ascii="宋体" w:hAnsi="宋体" w:eastAsia="宋体" w:cs="宋体"/>
      <w:sz w:val="21"/>
      <w:szCs w:val="21"/>
    </w:rPr>
  </w:style>
  <w:style w:styleId="TOC2" w:type="paragraph">
    <w:name w:val="TOC 2"/>
    <w:basedOn w:val="Normal"/>
    <w:uiPriority w:val="1"/>
    <w:qFormat/>
    <w:pPr>
      <w:spacing w:before="141"/>
      <w:ind w:left="10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right="126"/>
      <w:jc w:val="center"/>
      <w:outlineLvl w:val="1"/>
    </w:pPr>
    <w:rPr>
      <w:rFonts w:ascii="宋体" w:hAnsi="宋体" w:eastAsia="宋体" w:cs="宋体"/>
      <w:b/>
      <w:bCs/>
      <w:sz w:val="28"/>
      <w:szCs w:val="28"/>
    </w:rPr>
  </w:style>
  <w:style w:styleId="Heading2" w:type="paragraph">
    <w:name w:val="Heading 2"/>
    <w:basedOn w:val="Normal"/>
    <w:uiPriority w:val="1"/>
    <w:qFormat/>
    <w:pPr>
      <w:ind w:left="101"/>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732" w:hanging="631"/>
    </w:pPr>
    <w:rPr>
      <w:rFonts w:ascii="宋体" w:hAnsi="宋体" w:eastAsia="宋体" w:cs="宋体"/>
    </w:rPr>
  </w:style>
  <w:style w:styleId="TableParagraph" w:type="paragraph">
    <w:name w:val="Table Paragraph"/>
    <w:basedOn w:val="Normal"/>
    <w:uiPriority w:val="1"/>
    <w:qFormat/>
    <w:pPr>
      <w:spacing w:line="229"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卢敏芳</dc:creator>
  <dc:title>海尔纽约人寿保险有限公司</dc:title>
  <dcterms:created xsi:type="dcterms:W3CDTF">2018-10-19T22:41:03Z</dcterms:created>
  <dcterms:modified xsi:type="dcterms:W3CDTF">2018-10-19T22:41:03Z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2015-12-23T00:00:00Z</vt:filetime>
  </property>
  <property fmtid="{D5CDD505-2E9C-101B-9397-08002B2CF9AE}" pid="3" name="Creator">
    <vt:lpwstr>Microsoft Office Word</vt:lpwstr>
  </property>
  <property fmtid="{D5CDD505-2E9C-101B-9397-08002B2CF9AE}" pid="4" name="LastSaved">
    <vt:filetime>2015-12-23T00:00:00Z</vt:filetime>
  </property>
</Properties>
</file>