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388" w:firstLine="0"/>
        <w:jc w:val="right"/>
        <w:rPr>
          <w:sz w:val="16"/>
        </w:rPr>
      </w:pPr>
      <w:r>
        <w:rPr/>
        <w:drawing>
          <wp:anchor distT="0" distB="0" distL="0" distR="0" allowOverlap="1" layoutInCell="1" locked="0" behindDoc="0" simplePos="0" relativeHeight="0">
            <wp:simplePos x="0" y="0"/>
            <wp:positionH relativeFrom="page">
              <wp:posOffset>5502402</wp:posOffset>
            </wp:positionH>
            <wp:positionV relativeFrom="paragraph">
              <wp:posOffset>162484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幸福人寿﹝2014﹞疾病保险 007 号</w:t>
      </w:r>
    </w:p>
    <w:p>
      <w:pPr>
        <w:spacing w:line="154" w:lineRule="exact" w:before="0"/>
        <w:ind w:left="0" w:right="789" w:firstLine="0"/>
        <w:jc w:val="right"/>
        <w:rPr>
          <w:sz w:val="16"/>
        </w:rPr>
      </w:pPr>
      <w:r>
        <w:rPr>
          <w:w w:val="95"/>
          <w:sz w:val="16"/>
        </w:rPr>
        <w:t>请扫描以查询验证条款</w:t>
      </w:r>
    </w:p>
    <w:p>
      <w:pPr>
        <w:pStyle w:val="Heading1"/>
        <w:spacing w:before="126"/>
      </w:pPr>
      <w:r>
        <w:rPr>
          <w:w w:val="95"/>
        </w:rPr>
        <w:t>幸福人寿保险股份有限公司</w:t>
      </w:r>
    </w:p>
    <w:p>
      <w:pPr>
        <w:spacing w:line="346" w:lineRule="exact" w:before="0"/>
        <w:ind w:left="2650" w:right="2527" w:firstLine="0"/>
        <w:jc w:val="center"/>
        <w:rPr>
          <w:b/>
          <w:sz w:val="30"/>
        </w:rPr>
      </w:pPr>
      <w:r>
        <w:rPr>
          <w:b/>
          <w:w w:val="95"/>
          <w:sz w:val="30"/>
        </w:rPr>
        <w:t>幸福附加贵福宝重大疾病保险条款</w:t>
      </w:r>
    </w:p>
    <w:p>
      <w:pPr>
        <w:pStyle w:val="BodyText"/>
        <w:spacing w:before="11"/>
        <w:rPr>
          <w:b/>
        </w:rPr>
      </w:pPr>
    </w:p>
    <w:p>
      <w:pPr>
        <w:pStyle w:val="BodyText"/>
        <w:spacing w:line="204" w:lineRule="auto" w:before="56"/>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2"/>
        <w:ind w:left="2650" w:right="2462"/>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44" w:after="0"/>
            <w:ind w:left="471" w:right="0" w:hanging="351"/>
            <w:jc w:val="left"/>
            <w:rPr>
              <w:rFonts w:ascii="Times New Roman" w:eastAsia="Times New Roman"/>
            </w:rPr>
          </w:pPr>
          <w:hyperlink w:history="true" w:anchor="_TOC_250027">
            <w:r>
              <w:rPr/>
              <w:t>您与我们的合同</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23">
            <w:r>
              <w:rPr/>
              <w:t>保险期间</w:t>
              <w:tab/>
            </w:r>
            <w:r>
              <w:rPr>
                <w:rFonts w:ascii="Times New Roman" w:eastAsia="Times New Roman"/>
              </w:rPr>
              <w:t>2</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22">
            <w:r>
              <w:rPr/>
              <w:t>我们提供的保障</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21">
            <w:r>
              <w:rPr/>
              <w:t>保险金额</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20">
            <w:r>
              <w:rPr/>
              <w:t>未成年人身故保险金额限制</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9">
            <w:r>
              <w:rPr/>
              <w:t>保险责任</w:t>
              <w:tab/>
            </w:r>
            <w:r>
              <w:rPr>
                <w:rFonts w:ascii="Times New Roman" w:eastAsia="Times New Roman"/>
              </w:rPr>
              <w:t>2</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8">
            <w:r>
              <w:rPr/>
              <w:t>责任免除</w:t>
              <w:tab/>
            </w:r>
            <w:r>
              <w:rPr>
                <w:rFonts w:ascii="Times New Roman" w:eastAsia="Times New Roman"/>
              </w:rPr>
              <w:t>3</w:t>
            </w:r>
          </w:hyperlink>
        </w:p>
        <w:p>
          <w:pPr>
            <w:pStyle w:val="TOC1"/>
            <w:numPr>
              <w:ilvl w:val="0"/>
              <w:numId w:val="1"/>
            </w:numPr>
            <w:tabs>
              <w:tab w:pos="539" w:val="left" w:leader="none"/>
              <w:tab w:pos="540" w:val="left" w:leader="none"/>
              <w:tab w:pos="9330" w:val="right" w:leader="dot"/>
            </w:tabs>
            <w:spacing w:line="240" w:lineRule="auto" w:before="154" w:after="0"/>
            <w:ind w:left="540" w:right="0" w:hanging="420"/>
            <w:jc w:val="left"/>
            <w:rPr>
              <w:rFonts w:ascii="Times New Roman" w:eastAsia="Times New Roman"/>
            </w:rPr>
          </w:pPr>
          <w:hyperlink w:history="true" w:anchor="_TOC_250017">
            <w:r>
              <w:rPr/>
              <w:t>如何申请领取保险金</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16">
            <w:r>
              <w:rPr/>
              <w:t>受益人</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5">
            <w:r>
              <w:rPr/>
              <w:t>保险金申请</w:t>
              <w:tab/>
            </w:r>
            <w:r>
              <w:rPr>
                <w:rFonts w:ascii="Times New Roman" w:eastAsia="Times New Roman"/>
              </w:rPr>
              <w:t>4</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4">
            <w:r>
              <w:rPr/>
              <w:t>宣告死亡处理</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3">
            <w:r>
              <w:rPr/>
              <w:t>诉讼时效</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12">
            <w:r>
              <w:rPr/>
              <w:t>保险金领取方式选择权</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11">
            <w:r>
              <w:rPr/>
              <w:t>如何交纳保险费</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10">
            <w:r>
              <w:rPr/>
              <w:t>保险费的交纳</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09">
            <w:r>
              <w:rPr/>
              <w:t>合同效力的中止与恢复</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08">
            <w:r>
              <w:rPr/>
              <w:t>合同效力的中止</w:t>
              <w:tab/>
            </w:r>
            <w:r>
              <w:rPr>
                <w:rFonts w:ascii="Times New Roman" w:eastAsia="Times New Roman"/>
              </w:rPr>
              <w:t>5</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7">
            <w:r>
              <w:rPr/>
              <w:t>合同效力的恢复</w:t>
              <w:tab/>
            </w:r>
            <w:r>
              <w:rPr>
                <w:rFonts w:ascii="Times New Roman" w:eastAsia="Times New Roman"/>
              </w:rPr>
              <w:t>5</w:t>
            </w:r>
          </w:hyperlink>
        </w:p>
        <w:p>
          <w:pPr>
            <w:pStyle w:val="TOC1"/>
            <w:numPr>
              <w:ilvl w:val="0"/>
              <w:numId w:val="1"/>
            </w:numPr>
            <w:tabs>
              <w:tab w:pos="471" w:val="left" w:leader="none"/>
              <w:tab w:pos="472" w:val="left" w:leader="none"/>
              <w:tab w:pos="9330" w:val="right" w:leader="dot"/>
            </w:tabs>
            <w:spacing w:line="240" w:lineRule="auto" w:before="154" w:after="0"/>
            <w:ind w:left="471" w:right="0" w:hanging="351"/>
            <w:jc w:val="left"/>
            <w:rPr>
              <w:rFonts w:ascii="Times New Roman" w:eastAsia="Times New Roman"/>
            </w:rPr>
          </w:pPr>
          <w:hyperlink w:history="true" w:anchor="_TOC_250006">
            <w:r>
              <w:rPr/>
              <w:t>其他事项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154" w:after="0"/>
            <w:ind w:left="739" w:right="0" w:hanging="409"/>
            <w:jc w:val="left"/>
            <w:rPr>
              <w:rFonts w:ascii="Times New Roman" w:eastAsia="Times New Roman"/>
            </w:rPr>
          </w:pPr>
          <w:hyperlink w:history="true" w:anchor="_TOC_250005">
            <w:r>
              <w:rPr/>
              <w:t>年龄和性别确定与错误处理</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4">
            <w:r>
              <w:rPr/>
              <w:t>扣除款项</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3">
            <w:r>
              <w:rPr/>
              <w:t>职业或工种变更</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2">
            <w:r>
              <w:rPr/>
              <w:t>与主险合同效力的关系</w:t>
              <w:tab/>
            </w:r>
            <w:r>
              <w:rPr>
                <w:rFonts w:ascii="Times New Roman" w:eastAsia="Times New Roman"/>
              </w:rPr>
              <w:t>6</w:t>
            </w:r>
          </w:hyperlink>
        </w:p>
        <w:p>
          <w:pPr>
            <w:pStyle w:val="TOC2"/>
            <w:numPr>
              <w:ilvl w:val="1"/>
              <w:numId w:val="1"/>
            </w:numPr>
            <w:tabs>
              <w:tab w:pos="740" w:val="left" w:leader="none"/>
              <w:tab w:pos="9330" w:val="right" w:leader="dot"/>
            </w:tabs>
            <w:spacing w:line="240" w:lineRule="auto" w:before="34" w:after="0"/>
            <w:ind w:left="739" w:right="0" w:hanging="409"/>
            <w:jc w:val="left"/>
            <w:rPr>
              <w:rFonts w:ascii="Times New Roman" w:eastAsia="Times New Roman"/>
            </w:rPr>
          </w:pPr>
          <w:hyperlink w:history="true" w:anchor="_TOC_250001">
            <w:r>
              <w:rPr/>
              <w:t>适用主险合同条款</w:t>
              <w:tab/>
            </w:r>
            <w:r>
              <w:rPr>
                <w:rFonts w:ascii="Times New Roman" w:eastAsia="Times New Roman"/>
              </w:rPr>
              <w:t>6</w:t>
            </w:r>
          </w:hyperlink>
        </w:p>
        <w:p>
          <w:pPr>
            <w:pStyle w:val="TOC2"/>
            <w:tabs>
              <w:tab w:pos="9330" w:val="right" w:leader="dot"/>
            </w:tabs>
            <w:ind w:left="330" w:firstLine="0"/>
            <w:rPr>
              <w:rFonts w:ascii="Times New Roman" w:eastAsia="Times New Roman"/>
            </w:rPr>
          </w:pPr>
          <w:hyperlink w:history="true" w:anchor="_TOC_250000">
            <w:r>
              <w:rPr/>
              <w:t>附件一：重大疾病名称和定义</w:t>
              <w:tab/>
            </w:r>
            <w:r>
              <w:rPr>
                <w:rFonts w:ascii="Times New Roman" w:eastAsia="Times New Roman"/>
              </w:rPr>
              <w:t>7</w:t>
            </w:r>
          </w:hyperlink>
        </w:p>
      </w:sdtContent>
    </w:sdt>
    <w:p>
      <w:pPr>
        <w:spacing w:before="355"/>
        <w:ind w:left="0" w:right="581" w:firstLine="0"/>
        <w:jc w:val="right"/>
        <w:rPr>
          <w:rFonts w:ascii="Arial"/>
          <w:sz w:val="18"/>
        </w:rPr>
      </w:pPr>
      <w:r>
        <w:rPr>
          <w:rFonts w:ascii="Arial"/>
          <w:sz w:val="18"/>
        </w:rPr>
        <w:t>0204</w:t>
      </w:r>
    </w:p>
    <w:p>
      <w:pPr>
        <w:spacing w:after="0"/>
        <w:jc w:val="right"/>
        <w:rPr>
          <w:rFonts w:ascii="Arial"/>
          <w:sz w:val="18"/>
        </w:rPr>
        <w:sectPr>
          <w:footerReference w:type="default" r:id="rId5"/>
          <w:type w:val="continuous"/>
          <w:pgSz w:w="11910" w:h="16840"/>
          <w:pgMar w:footer="959" w:top="920" w:bottom="1140" w:left="1320" w:right="1080"/>
          <w:pgNumType w:start="1"/>
        </w:sectPr>
      </w:pPr>
    </w:p>
    <w:p>
      <w:pPr>
        <w:pStyle w:val="Heading2"/>
        <w:numPr>
          <w:ilvl w:val="0"/>
          <w:numId w:val="2"/>
        </w:numPr>
        <w:tabs>
          <w:tab w:pos="489" w:val="left" w:leader="none"/>
          <w:tab w:pos="490" w:val="left" w:leader="none"/>
        </w:tabs>
        <w:spacing w:line="240" w:lineRule="auto" w:before="30" w:after="0"/>
        <w:ind w:left="489" w:right="0" w:hanging="369"/>
        <w:jc w:val="left"/>
      </w:pPr>
      <w:bookmarkStart w:name="_TOC_250027" w:id="1"/>
      <w:bookmarkEnd w:id="1"/>
      <w:r>
        <w:rPr>
          <w:w w:val="95"/>
        </w:rPr>
        <w:t>您与我们的合同</w:t>
      </w:r>
    </w:p>
    <w:p>
      <w:pPr>
        <w:pStyle w:val="BodyText"/>
        <w:spacing w:before="6"/>
        <w:rPr>
          <w:b/>
          <w:sz w:val="22"/>
        </w:rPr>
      </w:pPr>
    </w:p>
    <w:p>
      <w:pPr>
        <w:pStyle w:val="Heading2"/>
        <w:numPr>
          <w:ilvl w:val="1"/>
          <w:numId w:val="2"/>
        </w:numPr>
        <w:tabs>
          <w:tab w:pos="593" w:val="left" w:leader="none"/>
          <w:tab w:pos="594" w:val="left" w:leader="none"/>
        </w:tabs>
        <w:spacing w:line="290" w:lineRule="exact" w:before="0" w:after="0"/>
        <w:ind w:left="593" w:right="0" w:hanging="473"/>
        <w:jc w:val="left"/>
      </w:pPr>
      <w:bookmarkStart w:name="_TOC_250026" w:id="2"/>
      <w:bookmarkEnd w:id="2"/>
      <w:r>
        <w:rPr>
          <w:w w:val="95"/>
        </w:rPr>
        <w:t>合同构成</w:t>
      </w:r>
    </w:p>
    <w:p>
      <w:pPr>
        <w:pStyle w:val="BodyText"/>
        <w:tabs>
          <w:tab w:pos="539" w:val="left" w:leader="none"/>
        </w:tabs>
        <w:spacing w:line="249" w:lineRule="auto" w:before="0"/>
        <w:ind w:left="119" w:right="185" w:firstLine="420"/>
      </w:pPr>
      <w:r>
        <w:rPr/>
        <w:t>幸福附加贵福宝重大疾病保险合同（以下简称本附加险合同）由以下几个部分构成：本保险条款</w:t>
        <w:tab/>
      </w:r>
      <w:r>
        <w:rPr>
          <w:spacing w:val="-21"/>
        </w:rPr>
        <w:t>、</w:t>
      </w:r>
      <w:r>
        <w:rPr/>
        <w:t>保险单或其他保险凭证</w:t>
      </w:r>
      <w:r>
        <w:rPr>
          <w:spacing w:val="-21"/>
        </w:rPr>
        <w:t>、</w:t>
      </w:r>
      <w:r>
        <w:rPr/>
        <w:t>投保</w:t>
      </w:r>
      <w:r>
        <w:rPr>
          <w:spacing w:val="-21"/>
        </w:rPr>
        <w:t>单</w:t>
      </w:r>
      <w:r>
        <w:rPr/>
        <w:t>（其复印件或电子影像印刷件与正本具有同等效力</w:t>
      </w:r>
      <w:r>
        <w:rPr>
          <w:spacing w:val="-21"/>
        </w:rPr>
        <w:t>）</w:t>
      </w:r>
      <w:r>
        <w:rPr>
          <w:spacing w:val="-22"/>
        </w:rPr>
        <w:t>、</w:t>
      </w:r>
      <w:r>
        <w:rPr/>
        <w:t>批注、附贴批单，以及经您与我们认可的其他书面文件。</w:t>
      </w:r>
    </w:p>
    <w:p>
      <w:pPr>
        <w:pStyle w:val="BodyText"/>
        <w:spacing w:before="0"/>
        <w:rPr>
          <w:sz w:val="23"/>
        </w:rPr>
      </w:pPr>
    </w:p>
    <w:p>
      <w:pPr>
        <w:pStyle w:val="Heading2"/>
        <w:numPr>
          <w:ilvl w:val="1"/>
          <w:numId w:val="2"/>
        </w:numPr>
        <w:tabs>
          <w:tab w:pos="593" w:val="left" w:leader="none"/>
          <w:tab w:pos="594" w:val="left" w:leader="none"/>
        </w:tabs>
        <w:spacing w:line="240" w:lineRule="auto" w:before="0" w:after="0"/>
        <w:ind w:left="593" w:right="0" w:hanging="474"/>
        <w:jc w:val="left"/>
      </w:pPr>
      <w:bookmarkStart w:name="_TOC_250025" w:id="3"/>
      <w:bookmarkEnd w:id="3"/>
      <w:r>
        <w:rPr>
          <w:w w:val="95"/>
        </w:rPr>
        <w:t>合同成立与生效</w:t>
      </w:r>
    </w:p>
    <w:p>
      <w:pPr>
        <w:pStyle w:val="BodyText"/>
        <w:spacing w:before="9"/>
        <w:ind w:left="539"/>
      </w:pPr>
      <w:r>
        <w:rPr/>
        <w:t>您提出保险申请、我们同意承保，本附加险合同成立。</w:t>
      </w:r>
    </w:p>
    <w:p>
      <w:pPr>
        <w:pStyle w:val="BodyText"/>
        <w:spacing w:line="264" w:lineRule="auto" w:before="15"/>
        <w:ind w:left="119" w:right="290" w:firstLine="420"/>
        <w:jc w:val="both"/>
      </w:pPr>
      <w:r>
        <w:rPr/>
        <w:t>本附加险合同自我们同意承保、收取首期保险费并签发保险单开始生效，具体生效日以保险单</w:t>
      </w:r>
      <w:r>
        <w:rPr>
          <w:spacing w:val="-5"/>
        </w:rPr>
        <w:t>所载的日期为准。我们自生效日零时起开始承担本附加险合同约定的保险责任，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6"/>
          <w:vertAlign w:val="baseline"/>
        </w:rPr>
        <w:t>、</w:t>
      </w:r>
      <w:r>
        <w:rPr>
          <w:b/>
          <w:vertAlign w:val="baseline"/>
        </w:rPr>
        <w:t>保险费</w:t>
      </w:r>
      <w:r>
        <w:rPr>
          <w:b/>
          <w:w w:val="95"/>
          <w:vertAlign w:val="baseline"/>
        </w:rPr>
        <w:t>约定支付日</w:t>
      </w:r>
      <w:r>
        <w:rPr>
          <w:rFonts w:ascii="Times New Roman" w:eastAsia="Times New Roman"/>
          <w:b/>
          <w:w w:val="95"/>
          <w:vertAlign w:val="superscript"/>
        </w:rPr>
        <w:t>2</w:t>
      </w:r>
      <w:r>
        <w:rPr>
          <w:rFonts w:ascii="Times New Roman" w:eastAsia="Times New Roman"/>
          <w:b/>
          <w:w w:val="95"/>
          <w:vertAlign w:val="baseline"/>
        </w:rPr>
      </w:r>
      <w:r>
        <w:rPr>
          <w:w w:val="95"/>
          <w:vertAlign w:val="baseline"/>
        </w:rPr>
        <w:t>均以该日期计算。</w:t>
      </w:r>
    </w:p>
    <w:p>
      <w:pPr>
        <w:pStyle w:val="BodyText"/>
        <w:spacing w:before="7"/>
      </w:pPr>
    </w:p>
    <w:p>
      <w:pPr>
        <w:pStyle w:val="Heading2"/>
        <w:numPr>
          <w:ilvl w:val="1"/>
          <w:numId w:val="2"/>
        </w:numPr>
        <w:tabs>
          <w:tab w:pos="593" w:val="left" w:leader="none"/>
          <w:tab w:pos="594" w:val="left" w:leader="none"/>
        </w:tabs>
        <w:spacing w:line="288" w:lineRule="exact" w:before="0" w:after="0"/>
        <w:ind w:left="593" w:right="0" w:hanging="473"/>
        <w:jc w:val="left"/>
      </w:pPr>
      <w:bookmarkStart w:name="_TOC_250024" w:id="4"/>
      <w:bookmarkEnd w:id="4"/>
      <w:r>
        <w:rPr>
          <w:w w:val="95"/>
        </w:rPr>
        <w:t>投保范围</w:t>
      </w:r>
    </w:p>
    <w:p>
      <w:pPr>
        <w:pStyle w:val="BodyText"/>
        <w:spacing w:line="288" w:lineRule="exact" w:before="0"/>
        <w:ind w:left="539"/>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，身体健康的人可作为本附加险合同的被保险人。</w:t>
      </w:r>
    </w:p>
    <w:p>
      <w:pPr>
        <w:pStyle w:val="BodyText"/>
        <w:spacing w:before="4"/>
        <w:rPr>
          <w:sz w:val="22"/>
        </w:rPr>
      </w:pPr>
    </w:p>
    <w:p>
      <w:pPr>
        <w:pStyle w:val="Heading2"/>
        <w:numPr>
          <w:ilvl w:val="1"/>
          <w:numId w:val="2"/>
        </w:numPr>
        <w:tabs>
          <w:tab w:pos="593" w:val="left" w:leader="none"/>
          <w:tab w:pos="594" w:val="left" w:leader="none"/>
        </w:tabs>
        <w:spacing w:line="290" w:lineRule="exact" w:before="1" w:after="0"/>
        <w:ind w:left="593" w:right="0" w:hanging="473"/>
        <w:jc w:val="left"/>
      </w:pPr>
      <w:bookmarkStart w:name="_TOC_250023" w:id="5"/>
      <w:bookmarkEnd w:id="5"/>
      <w:r>
        <w:rPr>
          <w:w w:val="95"/>
        </w:rPr>
        <w:t>保险期间</w:t>
      </w:r>
    </w:p>
    <w:p>
      <w:pPr>
        <w:pStyle w:val="BodyText"/>
        <w:spacing w:line="290" w:lineRule="exact" w:before="0"/>
        <w:ind w:left="539"/>
      </w:pPr>
      <w:r>
        <w:rPr/>
        <w:t>本附加险合同的保险期间为 </w:t>
      </w:r>
      <w:r>
        <w:rPr>
          <w:rFonts w:ascii="Times New Roman" w:eastAsia="Times New Roman"/>
        </w:rPr>
        <w:t>6 </w:t>
      </w:r>
      <w:r>
        <w:rPr/>
        <w:t>年。</w:t>
      </w:r>
    </w:p>
    <w:p>
      <w:pPr>
        <w:pStyle w:val="BodyText"/>
        <w:spacing w:before="4"/>
        <w:rPr>
          <w:sz w:val="22"/>
        </w:rPr>
      </w:pPr>
    </w:p>
    <w:p>
      <w:pPr>
        <w:pStyle w:val="Heading2"/>
        <w:numPr>
          <w:ilvl w:val="0"/>
          <w:numId w:val="2"/>
        </w:numPr>
        <w:tabs>
          <w:tab w:pos="489" w:val="left" w:leader="none"/>
          <w:tab w:pos="490" w:val="left" w:leader="none"/>
        </w:tabs>
        <w:spacing w:line="240" w:lineRule="auto" w:before="0" w:after="0"/>
        <w:ind w:left="489" w:right="0" w:hanging="370"/>
        <w:jc w:val="left"/>
      </w:pPr>
      <w:bookmarkStart w:name="_TOC_250022" w:id="6"/>
      <w:bookmarkEnd w:id="6"/>
      <w:r>
        <w:rPr>
          <w:w w:val="95"/>
        </w:rPr>
        <w:t>我们提供的保障</w:t>
      </w:r>
    </w:p>
    <w:p>
      <w:pPr>
        <w:pStyle w:val="BodyText"/>
        <w:spacing w:before="6"/>
        <w:rPr>
          <w:b/>
          <w:sz w:val="22"/>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1" w:id="7"/>
      <w:bookmarkEnd w:id="7"/>
      <w:r>
        <w:rPr>
          <w:w w:val="95"/>
        </w:rPr>
        <w:t>保险金额</w:t>
      </w:r>
    </w:p>
    <w:p>
      <w:pPr>
        <w:pStyle w:val="BodyText"/>
        <w:spacing w:before="0"/>
        <w:ind w:left="119"/>
      </w:pPr>
      <w:r>
        <w:rPr/>
        <w:t>（</w:t>
      </w:r>
      <w:r>
        <w:rPr>
          <w:rFonts w:ascii="Times New Roman" w:eastAsia="Times New Roman"/>
        </w:rPr>
        <w:t>1</w:t>
      </w:r>
      <w:r>
        <w:rPr/>
        <w:t>）基本保险金额</w:t>
      </w:r>
    </w:p>
    <w:p>
      <w:pPr>
        <w:pStyle w:val="BodyText"/>
        <w:spacing w:line="273" w:lineRule="auto" w:before="22"/>
        <w:ind w:left="119" w:right="186" w:firstLine="420"/>
      </w:pPr>
      <w:r>
        <w:rPr>
          <w:spacing w:val="-4"/>
        </w:rPr>
        <w:t>本附加险合同的基本保险金额由您在投保时与我们约定并在保险单上载明。若该金额发生变更， 则以变更后的金额为基本保险金额。</w:t>
      </w:r>
    </w:p>
    <w:p>
      <w:pPr>
        <w:pStyle w:val="BodyText"/>
        <w:spacing w:before="8"/>
        <w:ind w:left="119"/>
      </w:pPr>
      <w:r>
        <w:rPr/>
        <w:t>（</w:t>
      </w:r>
      <w:r>
        <w:rPr>
          <w:rFonts w:ascii="Times New Roman" w:eastAsia="Times New Roman"/>
        </w:rPr>
        <w:t>2</w:t>
      </w:r>
      <w:r>
        <w:rPr/>
        <w:t>）保险金额</w:t>
      </w:r>
    </w:p>
    <w:p>
      <w:pPr>
        <w:pStyle w:val="BodyText"/>
        <w:spacing w:before="20"/>
        <w:ind w:left="555"/>
      </w:pPr>
      <w:r>
        <w:rPr/>
        <w:t>本附加险合同的保险金额参见本条款保险责任部分。</w:t>
      </w:r>
    </w:p>
    <w:p>
      <w:pPr>
        <w:pStyle w:val="BodyText"/>
        <w:spacing w:before="7"/>
        <w:rPr>
          <w:sz w:val="23"/>
        </w:rPr>
      </w:pPr>
    </w:p>
    <w:p>
      <w:pPr>
        <w:pStyle w:val="Heading2"/>
        <w:numPr>
          <w:ilvl w:val="1"/>
          <w:numId w:val="2"/>
        </w:numPr>
        <w:tabs>
          <w:tab w:pos="593" w:val="left" w:leader="none"/>
          <w:tab w:pos="594" w:val="left" w:leader="none"/>
        </w:tabs>
        <w:spacing w:line="291" w:lineRule="exact" w:before="0" w:after="0"/>
        <w:ind w:left="593" w:right="0" w:hanging="474"/>
        <w:jc w:val="left"/>
      </w:pPr>
      <w:bookmarkStart w:name="_TOC_250020" w:id="8"/>
      <w:bookmarkEnd w:id="8"/>
      <w:r>
        <w:rPr>
          <w:w w:val="95"/>
        </w:rPr>
        <w:t>未成年人身故保险金额限制</w:t>
      </w:r>
    </w:p>
    <w:p>
      <w:pPr>
        <w:spacing w:line="273" w:lineRule="auto" w:before="0"/>
        <w:ind w:left="119" w:right="292" w:firstLine="422"/>
        <w:jc w:val="both"/>
        <w:rPr>
          <w:b/>
          <w:sz w:val="21"/>
        </w:rPr>
      </w:pPr>
      <w:r>
        <w:rPr>
          <w:b/>
          <w:spacing w:val="-3"/>
          <w:sz w:val="21"/>
        </w:rPr>
        <w:t>为未成年子女投保的人身保险，因被保险人身故给付的保险金总和不得超过国务院保险监督管</w:t>
      </w:r>
      <w:r>
        <w:rPr>
          <w:b/>
          <w:spacing w:val="-6"/>
          <w:sz w:val="21"/>
        </w:rPr>
        <w:t>理机构规定的限额，身故给付的保险金额总和约定也不得超过前述限额。被保险人身故给付的保险</w:t>
      </w:r>
      <w:r>
        <w:rPr>
          <w:b/>
          <w:spacing w:val="-6"/>
          <w:w w:val="95"/>
          <w:sz w:val="21"/>
        </w:rPr>
        <w:t>金总和、身故给付的保险金额总和约定按照国务院保险监督管理机构的有关规定计算。</w:t>
      </w:r>
    </w:p>
    <w:p>
      <w:pPr>
        <w:pStyle w:val="BodyText"/>
        <w:spacing w:before="2"/>
        <w:rPr>
          <w:b/>
          <w:sz w:val="23"/>
        </w:rPr>
      </w:pPr>
    </w:p>
    <w:p>
      <w:pPr>
        <w:pStyle w:val="Heading2"/>
        <w:numPr>
          <w:ilvl w:val="1"/>
          <w:numId w:val="2"/>
        </w:numPr>
        <w:tabs>
          <w:tab w:pos="593" w:val="left" w:leader="none"/>
          <w:tab w:pos="594" w:val="left" w:leader="none"/>
        </w:tabs>
        <w:spacing w:line="290" w:lineRule="exact" w:before="0" w:after="0"/>
        <w:ind w:left="593" w:right="0" w:hanging="474"/>
        <w:jc w:val="left"/>
      </w:pPr>
      <w:bookmarkStart w:name="_TOC_250019" w:id="9"/>
      <w:bookmarkEnd w:id="9"/>
      <w:r>
        <w:rPr>
          <w:w w:val="95"/>
        </w:rPr>
        <w:t>保险责任</w:t>
      </w:r>
    </w:p>
    <w:p>
      <w:pPr>
        <w:pStyle w:val="BodyText"/>
        <w:spacing w:line="274" w:lineRule="exact" w:before="0"/>
        <w:ind w:left="539"/>
      </w:pPr>
      <w:r>
        <w:rPr/>
        <w:t>在本附加险合同有效期内，我们承担以下保险责任：</w:t>
      </w:r>
    </w:p>
    <w:p>
      <w:pPr>
        <w:pStyle w:val="BodyText"/>
        <w:spacing w:line="288" w:lineRule="exact" w:before="31"/>
        <w:ind w:left="539"/>
      </w:pPr>
      <w:r>
        <w:rPr/>
        <w:t>（</w:t>
      </w:r>
      <w:r>
        <w:rPr>
          <w:rFonts w:ascii="Times New Roman" w:eastAsia="Times New Roman"/>
        </w:rPr>
        <w:t>1</w:t>
      </w:r>
      <w:r>
        <w:rPr/>
        <w:t>）重大疾病保险金</w:t>
      </w:r>
    </w:p>
    <w:p>
      <w:pPr>
        <w:pStyle w:val="BodyText"/>
        <w:spacing w:line="272" w:lineRule="exact" w:before="0"/>
        <w:ind w:left="539"/>
        <w:rPr>
          <w:b/>
        </w:rPr>
      </w:pPr>
      <w:r>
        <w:rPr/>
        <w:t>自本附加险合同生效日或最后复效日（以较迟者为准）起第一个保单年度后，被保险人首次</w:t>
      </w:r>
      <w:r>
        <w:rPr>
          <w:b/>
        </w:rPr>
        <w:t>发病</w:t>
      </w:r>
    </w:p>
    <w:p>
      <w:pPr>
        <w:spacing w:before="12"/>
        <w:ind w:left="120" w:right="0" w:firstLine="0"/>
        <w:jc w:val="left"/>
        <w:rPr>
          <w:sz w:val="21"/>
        </w:rPr>
      </w:pPr>
      <w:r>
        <w:rPr>
          <w:b/>
          <w:w w:val="95"/>
          <w:position w:val="11"/>
          <w:sz w:val="11"/>
        </w:rPr>
        <w:t>4</w:t>
      </w:r>
      <w:r>
        <w:rPr>
          <w:w w:val="95"/>
          <w:sz w:val="21"/>
        </w:rPr>
        <w:t>并经</w:t>
      </w:r>
      <w:r>
        <w:rPr>
          <w:b/>
          <w:w w:val="95"/>
          <w:sz w:val="21"/>
        </w:rPr>
        <w:t>医院</w:t>
      </w:r>
      <w:r>
        <w:rPr>
          <w:b/>
          <w:w w:val="95"/>
          <w:position w:val="11"/>
          <w:sz w:val="11"/>
        </w:rPr>
        <w:t>5</w:t>
      </w:r>
      <w:r>
        <w:rPr>
          <w:w w:val="95"/>
          <w:sz w:val="21"/>
        </w:rPr>
        <w:t>确诊首次患一项或多项本条款附件一所定义的重大疾病（但因遭受</w:t>
      </w:r>
      <w:r>
        <w:rPr>
          <w:b/>
          <w:w w:val="95"/>
          <w:sz w:val="21"/>
        </w:rPr>
        <w:t>意外伤害事故</w:t>
      </w:r>
      <w:r>
        <w:rPr>
          <w:rFonts w:ascii="Times New Roman" w:eastAsia="Times New Roman"/>
          <w:b/>
          <w:w w:val="95"/>
          <w:sz w:val="21"/>
          <w:vertAlign w:val="superscript"/>
        </w:rPr>
        <w:t>6</w:t>
      </w:r>
      <w:r>
        <w:rPr>
          <w:rFonts w:ascii="Times New Roman" w:eastAsia="Times New Roman"/>
          <w:b/>
          <w:w w:val="95"/>
          <w:sz w:val="21"/>
          <w:vertAlign w:val="baseline"/>
        </w:rPr>
      </w:r>
      <w:r>
        <w:rPr>
          <w:w w:val="95"/>
          <w:sz w:val="21"/>
          <w:vertAlign w:val="baseline"/>
        </w:rPr>
        <w:t>导致的不</w:t>
      </w:r>
    </w:p>
    <w:p>
      <w:pPr>
        <w:pStyle w:val="BodyText"/>
        <w:spacing w:before="3"/>
        <w:rPr>
          <w:sz w:val="13"/>
        </w:rPr>
      </w:pPr>
      <w:r>
        <w:rPr/>
        <w:pict>
          <v:line style="position:absolute;mso-position-horizontal-relative:page;mso-position-vertical-relative:paragraph;z-index:1048;mso-wrap-distance-left:0;mso-wrap-distance-right:0" from="72pt,10.929603pt" to="216pt,10.929603pt" stroked="true" strokeweight=".53999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保单年度：</w:t>
      </w:r>
      <w:r>
        <w:rPr>
          <w:rFonts w:ascii="楷体" w:eastAsia="楷体" w:hint="eastAsia"/>
          <w:w w:val="95"/>
          <w:sz w:val="18"/>
        </w:rPr>
        <w:t>从保险合同生效日起的每个合同生效对应日到次年的合同生效对应日的前一日，为一个保单年度。从保</w:t>
      </w:r>
    </w:p>
    <w:p>
      <w:pPr>
        <w:spacing w:before="0"/>
        <w:ind w:left="120" w:right="322" w:firstLine="0"/>
        <w:jc w:val="left"/>
        <w:rPr>
          <w:rFonts w:ascii="楷体" w:eastAsia="楷体" w:hint="eastAsia"/>
          <w:sz w:val="18"/>
        </w:rPr>
      </w:pPr>
      <w:r>
        <w:rPr>
          <w:rFonts w:ascii="楷体" w:eastAsia="楷体" w:hint="eastAsia"/>
          <w:sz w:val="18"/>
        </w:rPr>
        <w:t>险合同生效日起到次年的合同生效对应日的前一日为第一个保单年度，以后依次为第二个保单年度、第三个保单年度等。</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3"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w:t>
      </w:r>
    </w:p>
    <w:p>
      <w:pPr>
        <w:spacing w:line="233" w:lineRule="exact" w:before="0"/>
        <w:ind w:left="119" w:right="0" w:firstLine="0"/>
        <w:jc w:val="left"/>
        <w:rPr>
          <w:rFonts w:ascii="楷体" w:eastAsia="楷体" w:hint="eastAsia"/>
          <w:sz w:val="18"/>
        </w:rPr>
      </w:pPr>
      <w:r>
        <w:rPr>
          <w:rFonts w:ascii="楷体" w:eastAsia="楷体" w:hint="eastAsia"/>
          <w:sz w:val="18"/>
        </w:rPr>
        <w:t>的不计。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w:t>
      </w:r>
    </w:p>
    <w:p>
      <w:pPr>
        <w:spacing w:line="234" w:lineRule="exact" w:before="0"/>
        <w:ind w:left="119" w:right="0" w:firstLine="0"/>
        <w:jc w:val="left"/>
        <w:rPr>
          <w:rFonts w:ascii="楷体" w:eastAsia="楷体" w:hint="eastAsia"/>
          <w:sz w:val="18"/>
        </w:rPr>
      </w:pPr>
      <w:r>
        <w:rPr>
          <w:rFonts w:ascii="楷体" w:eastAsia="楷体" w:hint="eastAsia"/>
          <w:sz w:val="18"/>
        </w:rPr>
        <w:t>寻求诊断、治疗或护理的病症，但不包括本附加险合同生效或恢复效力前的任何疾病或症状。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before="0"/>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after="0"/>
        <w:jc w:val="left"/>
        <w:rPr>
          <w:rFonts w:ascii="楷体" w:eastAsia="楷体" w:hint="eastAsia"/>
          <w:sz w:val="18"/>
        </w:rPr>
        <w:sectPr>
          <w:pgSz w:w="11910" w:h="16840"/>
          <w:pgMar w:header="0" w:footer="959" w:top="1200" w:bottom="1160" w:left="1320" w:right="1140"/>
        </w:sectPr>
      </w:pPr>
    </w:p>
    <w:p>
      <w:pPr>
        <w:pStyle w:val="BodyText"/>
        <w:spacing w:line="249" w:lineRule="auto" w:before="20"/>
        <w:ind w:left="120" w:right="56"/>
      </w:pPr>
      <w:r>
        <w:rPr/>
        <w:t>受此第一个保单年度限制），且自确诊日起生存满30天，我们按被保险人确诊时本附加险合同的基本保险金额给付重大疾病保险金，本附加险合同效力终止。</w:t>
      </w:r>
    </w:p>
    <w:p>
      <w:pPr>
        <w:pStyle w:val="BodyText"/>
        <w:spacing w:line="249" w:lineRule="auto" w:before="3"/>
        <w:ind w:left="120" w:right="102" w:firstLine="420"/>
        <w:jc w:val="both"/>
      </w:pPr>
      <w:r>
        <w:rPr>
          <w:spacing w:val="-1"/>
        </w:rPr>
        <w:t>自本附加险合同生效日或最后复效日</w:t>
      </w:r>
      <w:r>
        <w:rPr/>
        <w:t>（以较迟者为准</w:t>
      </w:r>
      <w:r>
        <w:rPr>
          <w:spacing w:val="-8"/>
        </w:rPr>
        <w:t>）</w:t>
      </w:r>
      <w:r>
        <w:rPr>
          <w:spacing w:val="-1"/>
        </w:rPr>
        <w:t>起第一个保单年度内，被保险人经医院确</w:t>
      </w:r>
      <w:r>
        <w:rPr>
          <w:spacing w:val="-2"/>
        </w:rPr>
        <w:t>诊患一项或多项本条款附件一所定义的重大疾病</w:t>
      </w:r>
      <w:r>
        <w:rPr/>
        <w:t>（但因遭受意外伤害事故导致的除外</w:t>
      </w:r>
      <w:r>
        <w:rPr>
          <w:spacing w:val="-8"/>
        </w:rPr>
        <w:t>），</w:t>
      </w:r>
      <w:r>
        <w:rPr/>
        <w:t>我们无息返还本附加险合同已交保险费，本附加险合同效力终止。</w:t>
      </w:r>
    </w:p>
    <w:p>
      <w:pPr>
        <w:pStyle w:val="BodyText"/>
        <w:spacing w:line="288" w:lineRule="exact" w:before="3"/>
        <w:ind w:left="540"/>
      </w:pPr>
      <w:r>
        <w:rPr/>
        <w:t>（</w:t>
      </w:r>
      <w:r>
        <w:rPr>
          <w:rFonts w:ascii="Times New Roman" w:eastAsia="Times New Roman"/>
        </w:rPr>
        <w:t>2</w:t>
      </w:r>
      <w:r>
        <w:rPr/>
        <w:t>）身故保险金</w:t>
      </w:r>
    </w:p>
    <w:p>
      <w:pPr>
        <w:pStyle w:val="BodyText"/>
        <w:spacing w:line="249" w:lineRule="auto" w:before="0"/>
        <w:ind w:left="119" w:right="292" w:firstLine="360"/>
        <w:jc w:val="both"/>
      </w:pPr>
      <w:r>
        <w:rPr/>
        <w:t>自本附加险合同生效日或最后复效日（以较迟者为准）起第一个保单年度后（但因遭受意外伤害事故导致的不受此第一个保单年度限制）被保险人身故，我们按本附加险合同基本保险金额给付身故保险金，本附加险合同效力终止。</w:t>
      </w:r>
    </w:p>
    <w:p>
      <w:pPr>
        <w:pStyle w:val="BodyText"/>
        <w:spacing w:line="249" w:lineRule="auto" w:before="5"/>
        <w:ind w:left="119" w:right="292" w:firstLine="420"/>
        <w:jc w:val="both"/>
      </w:pPr>
      <w:r>
        <w:rPr/>
        <w:t>自本附加险合同生效日或最后复效日（以较迟者为准）起第一个保单年度内（但因遭受意外伤害事故导致的除外）被保险人身故，我们无息返还本附加险合同已交保险费，本附加险合同效力终止。</w:t>
      </w:r>
    </w:p>
    <w:p>
      <w:pPr>
        <w:pStyle w:val="BodyText"/>
        <w:spacing w:line="235" w:lineRule="auto" w:before="8"/>
        <w:ind w:left="120" w:right="186" w:firstLine="420"/>
      </w:pPr>
      <w:r>
        <w:rPr>
          <w:spacing w:val="-5"/>
        </w:rPr>
        <w:t>如果被保险人身故时未满 </w:t>
      </w:r>
      <w:r>
        <w:rPr>
          <w:rFonts w:ascii="Times New Roman" w:hAnsi="Times New Roman" w:eastAsia="Times New Roman"/>
        </w:rPr>
        <w:t>18 </w:t>
      </w:r>
      <w:r>
        <w:rPr>
          <w:spacing w:val="-8"/>
        </w:rPr>
        <w:t>周岁，身故保险金给付额</w:t>
      </w:r>
      <w:r>
        <w:rPr/>
        <w:t>＝</w:t>
      </w:r>
      <w:r>
        <w:rPr>
          <w:spacing w:val="-4"/>
        </w:rPr>
        <w:t>已交每期保险费本息和的加总</w:t>
      </w:r>
      <w:r>
        <w:rPr/>
        <w:t>（每期保</w:t>
      </w:r>
      <w:r>
        <w:rPr>
          <w:w w:val="95"/>
        </w:rPr>
        <w:t>险费本息和＝</w:t>
      </w:r>
      <w:r>
        <w:rPr>
          <w:spacing w:val="-1"/>
          <w:w w:val="95"/>
        </w:rPr>
        <w:t>每期保险费×</w:t>
      </w:r>
      <w:r>
        <w:rPr>
          <w:spacing w:val="-3"/>
          <w:w w:val="95"/>
        </w:rPr>
        <w:t>（1＋10％×</w:t>
      </w:r>
      <w:r>
        <w:rPr>
          <w:b/>
          <w:w w:val="95"/>
        </w:rPr>
        <w:t>每期保险费经过完整年度数</w:t>
      </w:r>
      <w:r>
        <w:rPr>
          <w:b/>
          <w:spacing w:val="-13"/>
          <w:w w:val="95"/>
          <w:position w:val="11"/>
          <w:sz w:val="11"/>
        </w:rPr>
        <w:t>7</w:t>
      </w:r>
      <w:r>
        <w:rPr>
          <w:spacing w:val="-13"/>
          <w:w w:val="95"/>
        </w:rPr>
        <w:t>）），</w:t>
      </w:r>
      <w:r>
        <w:rPr>
          <w:w w:val="95"/>
        </w:rPr>
        <w:t>本附加险合同效力终止。</w:t>
      </w:r>
    </w:p>
    <w:p>
      <w:pPr>
        <w:pStyle w:val="BodyText"/>
        <w:spacing w:before="9"/>
        <w:rPr>
          <w:sz w:val="22"/>
        </w:rPr>
      </w:pPr>
    </w:p>
    <w:p>
      <w:pPr>
        <w:pStyle w:val="Heading2"/>
        <w:numPr>
          <w:ilvl w:val="1"/>
          <w:numId w:val="2"/>
        </w:numPr>
        <w:tabs>
          <w:tab w:pos="593" w:val="left" w:leader="none"/>
          <w:tab w:pos="594" w:val="left" w:leader="none"/>
        </w:tabs>
        <w:spacing w:line="240" w:lineRule="auto" w:before="0" w:after="0"/>
        <w:ind w:left="594" w:right="0" w:hanging="474"/>
        <w:jc w:val="left"/>
      </w:pPr>
      <w:bookmarkStart w:name="_TOC_250018" w:id="10"/>
      <w:bookmarkEnd w:id="10"/>
      <w:r>
        <w:rPr>
          <w:w w:val="95"/>
        </w:rPr>
        <w:t>责任免除</w:t>
      </w:r>
    </w:p>
    <w:p>
      <w:pPr>
        <w:pStyle w:val="BodyText"/>
        <w:spacing w:before="3"/>
        <w:rPr>
          <w:b/>
          <w:sz w:val="24"/>
        </w:rPr>
      </w:pPr>
    </w:p>
    <w:p>
      <w:pPr>
        <w:spacing w:before="0"/>
        <w:ind w:left="532" w:right="0" w:firstLine="0"/>
        <w:jc w:val="left"/>
        <w:rPr>
          <w:b/>
          <w:sz w:val="21"/>
        </w:rPr>
      </w:pPr>
      <w:r>
        <w:rPr>
          <w:b/>
          <w:w w:val="95"/>
          <w:sz w:val="21"/>
        </w:rPr>
        <w:t>因下列情形之一，导致被保险人身故的，我们不承担给付身故保险金的责任：</w:t>
      </w:r>
    </w:p>
    <w:p>
      <w:pPr>
        <w:spacing w:before="15"/>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20" w:right="292" w:firstLine="0"/>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w:t>
      </w:r>
      <w:r>
        <w:rPr>
          <w:b/>
          <w:w w:val="95"/>
          <w:sz w:val="21"/>
        </w:rPr>
        <w:t>民事行为能力人</w:t>
      </w:r>
      <w:r>
        <w:rPr>
          <w:rFonts w:ascii="Times New Roman" w:eastAsia="Times New Roman"/>
          <w:b/>
          <w:w w:val="95"/>
          <w:sz w:val="21"/>
          <w:vertAlign w:val="superscript"/>
        </w:rPr>
        <w:t>8</w:t>
      </w:r>
      <w:r>
        <w:rPr>
          <w:rFonts w:ascii="Times New Roman" w:eastAsia="Times New Roman"/>
          <w:b/>
          <w:w w:val="95"/>
          <w:sz w:val="21"/>
          <w:vertAlign w:val="baseline"/>
        </w:rPr>
      </w:r>
      <w:r>
        <w:rPr>
          <w:b/>
          <w:w w:val="95"/>
          <w:sz w:val="21"/>
          <w:vertAlign w:val="baseline"/>
        </w:rPr>
        <w:t>的除外；</w:t>
      </w:r>
    </w:p>
    <w:p>
      <w:pPr>
        <w:spacing w:before="4"/>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b/>
          <w:w w:val="95"/>
          <w:sz w:val="21"/>
          <w:vertAlign w:val="superscript"/>
        </w:rPr>
        <w:t>9</w:t>
      </w:r>
      <w:r>
        <w:rPr>
          <w:rFonts w:ascii="Times New Roman" w:eastAsia="Times New Roman"/>
          <w:b/>
          <w:w w:val="95"/>
          <w:sz w:val="21"/>
          <w:vertAlign w:val="baseline"/>
        </w:rPr>
      </w:r>
      <w:r>
        <w:rPr>
          <w:b/>
          <w:w w:val="95"/>
          <w:sz w:val="21"/>
          <w:vertAlign w:val="baseline"/>
        </w:rPr>
        <w:t>；</w:t>
      </w:r>
    </w:p>
    <w:p>
      <w:pPr>
        <w:spacing w:before="20"/>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b/>
          <w:w w:val="95"/>
          <w:sz w:val="21"/>
          <w:vertAlign w:val="superscript"/>
        </w:rPr>
        <w:t>10</w:t>
      </w:r>
      <w:r>
        <w:rPr>
          <w:rFonts w:ascii="Times New Roman" w:eastAsia="Times New Roman"/>
          <w:b/>
          <w:w w:val="95"/>
          <w:sz w:val="21"/>
          <w:vertAlign w:val="baseline"/>
        </w:rPr>
      </w:r>
      <w:r>
        <w:rPr>
          <w:b/>
          <w:w w:val="95"/>
          <w:sz w:val="21"/>
          <w:vertAlign w:val="baseline"/>
        </w:rPr>
        <w:t>、无合法有效驾驶证驾驶</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，或驾驶无有效行驶证</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的机动车；</w:t>
      </w:r>
    </w:p>
    <w:p>
      <w:pPr>
        <w:spacing w:before="20"/>
        <w:ind w:left="119"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9"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61" w:lineRule="auto" w:before="30"/>
        <w:ind w:left="119" w:right="292" w:firstLine="412"/>
        <w:jc w:val="both"/>
        <w:rPr>
          <w:b/>
          <w:sz w:val="21"/>
        </w:rPr>
      </w:pPr>
      <w:r>
        <w:rPr>
          <w:b/>
          <w:spacing w:val="-2"/>
          <w:sz w:val="21"/>
        </w:rPr>
        <w:t>发生上述第１项情形导致被保险人身故的，本附加险合同效力终止，我们向具有受益权的受益</w:t>
      </w:r>
      <w:r>
        <w:rPr>
          <w:b/>
          <w:spacing w:val="-2"/>
          <w:w w:val="95"/>
          <w:sz w:val="21"/>
        </w:rPr>
        <w:t>人退还本附加险合同的现金价值</w:t>
      </w:r>
      <w:r>
        <w:rPr>
          <w:rFonts w:ascii="Times New Roman" w:eastAsia="Times New Roman"/>
          <w:b/>
          <w:spacing w:val="-2"/>
          <w:w w:val="95"/>
          <w:sz w:val="21"/>
          <w:vertAlign w:val="superscript"/>
        </w:rPr>
        <w:t>13</w:t>
      </w:r>
      <w:r>
        <w:rPr>
          <w:rFonts w:ascii="Times New Roman" w:eastAsia="Times New Roman"/>
          <w:b/>
          <w:spacing w:val="-2"/>
          <w:w w:val="95"/>
          <w:sz w:val="21"/>
          <w:vertAlign w:val="baseline"/>
        </w:rPr>
      </w:r>
      <w:r>
        <w:rPr>
          <w:b/>
          <w:spacing w:val="-2"/>
          <w:w w:val="95"/>
          <w:sz w:val="21"/>
          <w:vertAlign w:val="baseline"/>
        </w:rPr>
        <w:t>。</w:t>
      </w:r>
    </w:p>
    <w:p>
      <w:pPr>
        <w:spacing w:line="254" w:lineRule="exact" w:before="0"/>
        <w:ind w:left="477" w:right="0" w:firstLine="0"/>
        <w:jc w:val="left"/>
        <w:rPr>
          <w:b/>
          <w:sz w:val="21"/>
        </w:rPr>
      </w:pPr>
      <w:r>
        <w:rPr>
          <w:b/>
          <w:sz w:val="21"/>
        </w:rPr>
        <w:t>发生上述其他情形导致被保险人身故的，本附加险合同效力终止，我们向您退还本附加险合同</w:t>
      </w:r>
    </w:p>
    <w:p>
      <w:pPr>
        <w:spacing w:before="37"/>
        <w:ind w:left="120" w:right="0" w:firstLine="0"/>
        <w:jc w:val="left"/>
        <w:rPr>
          <w:b/>
          <w:sz w:val="21"/>
        </w:rPr>
      </w:pPr>
      <w:r>
        <w:rPr>
          <w:b/>
          <w:w w:val="95"/>
          <w:sz w:val="21"/>
        </w:rPr>
        <w:t>的现金价值。</w:t>
      </w:r>
    </w:p>
    <w:p>
      <w:pPr>
        <w:pStyle w:val="BodyText"/>
        <w:spacing w:before="8"/>
        <w:rPr>
          <w:b/>
          <w:sz w:val="26"/>
        </w:rPr>
      </w:pPr>
    </w:p>
    <w:p>
      <w:pPr>
        <w:spacing w:before="0"/>
        <w:ind w:left="542" w:right="0" w:firstLine="0"/>
        <w:jc w:val="left"/>
        <w:rPr>
          <w:b/>
          <w:sz w:val="21"/>
        </w:rPr>
      </w:pPr>
      <w:r>
        <w:rPr>
          <w:b/>
          <w:w w:val="95"/>
          <w:sz w:val="21"/>
        </w:rPr>
        <w:t>因下列情形之一导致被保险人患一项或多项本条款附件一所定义的重大疾病的，我们不承担给</w:t>
      </w:r>
    </w:p>
    <w:p>
      <w:pPr>
        <w:pStyle w:val="BodyText"/>
        <w:spacing w:before="9"/>
        <w:rPr>
          <w:b/>
          <w:sz w:val="17"/>
        </w:rPr>
      </w:pPr>
      <w:r>
        <w:rPr/>
        <w:pict>
          <v:line style="position:absolute;mso-position-horizontal-relative:page;mso-position-vertical-relative:paragraph;z-index:1072;mso-wrap-distance-left:0;mso-wrap-distance-right:0" from="72pt,13.830035pt" to="532.98pt,13.830035pt" stroked="true" strokeweight=".54001pt" strokecolor="#000000">
            <v:stroke dashstyle="solid"/>
            <w10:wrap type="topAndBottom"/>
          </v:line>
        </w:pict>
      </w:r>
    </w:p>
    <w:p>
      <w:pPr>
        <w:spacing w:before="72"/>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line="234" w:lineRule="exact" w:before="35"/>
        <w:ind w:left="120"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每期保险费经过完整年度数：</w:t>
      </w:r>
      <w:r>
        <w:rPr>
          <w:rFonts w:ascii="楷体" w:eastAsia="楷体" w:hint="eastAsia"/>
          <w:w w:val="95"/>
          <w:sz w:val="18"/>
        </w:rPr>
        <w:t>指每期保险费交费日至被保险人身故时经过的完整年度数。</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无民事行为能力人</w:t>
      </w:r>
      <w:r>
        <w:rPr>
          <w:rFonts w:ascii="楷体" w:eastAsia="楷体" w:hint="eastAsia"/>
          <w:w w:val="95"/>
          <w:sz w:val="18"/>
        </w:rPr>
        <w:t>：一种是指不满十周岁的未成年人，另一种是指不能辨认自己行为的精神病人。（根据《中华人</w:t>
      </w:r>
    </w:p>
    <w:p>
      <w:pPr>
        <w:spacing w:line="233" w:lineRule="exact" w:before="0"/>
        <w:ind w:left="119" w:right="0" w:firstLine="0"/>
        <w:jc w:val="left"/>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line="237" w:lineRule="auto" w:before="2"/>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w:t>
      </w:r>
    </w:p>
    <w:p>
      <w:pPr>
        <w:spacing w:line="233" w:lineRule="exact" w:before="0"/>
        <w:ind w:left="120" w:right="0" w:firstLine="0"/>
        <w:jc w:val="left"/>
        <w:rPr>
          <w:rFonts w:ascii="楷体" w:eastAsia="楷体" w:hint="eastAsia"/>
          <w:sz w:val="18"/>
        </w:rPr>
      </w:pPr>
      <w:r>
        <w:rPr>
          <w:rFonts w:ascii="楷体" w:eastAsia="楷体" w:hint="eastAsia"/>
          <w:sz w:val="18"/>
        </w:rPr>
        <w:t>机关交通管理部门依据《道路交通安全法》的规定认定为饮酒后驾驶或醉酒后驾驶。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11</w:t>
      </w:r>
      <w:r>
        <w:rPr>
          <w:rFonts w:ascii="楷体" w:eastAsia="楷体" w:hint="eastAsia"/>
          <w:b/>
          <w:w w:val="95"/>
          <w:sz w:val="18"/>
        </w:rPr>
        <w:t>无合法有效驾驶证驾驶：</w:t>
      </w:r>
      <w:r>
        <w:rPr>
          <w:rFonts w:ascii="楷体" w:eastAsia="楷体" w:hint="eastAsia"/>
          <w:w w:val="95"/>
          <w:sz w:val="18"/>
        </w:rPr>
        <w:t>指下列情形之一：</w:t>
      </w:r>
    </w:p>
    <w:p>
      <w:pPr>
        <w:spacing w:line="233" w:lineRule="exact" w:before="0"/>
        <w:ind w:left="480" w:right="0" w:firstLine="0"/>
        <w:jc w:val="left"/>
        <w:rPr>
          <w:rFonts w:ascii="楷体" w:eastAsia="楷体" w:hint="eastAsia"/>
          <w:sz w:val="18"/>
        </w:rPr>
      </w:pPr>
      <w:r>
        <w:rPr>
          <w:rFonts w:ascii="楷体" w:eastAsia="楷体" w:hint="eastAsia"/>
          <w:sz w:val="18"/>
        </w:rPr>
        <w:t>（1）没有取得驾驶资格；</w:t>
      </w:r>
    </w:p>
    <w:p>
      <w:pPr>
        <w:spacing w:line="233" w:lineRule="exact" w:before="0"/>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line="233" w:lineRule="exact" w:before="0"/>
        <w:ind w:left="480" w:right="0" w:firstLine="0"/>
        <w:jc w:val="left"/>
        <w:rPr>
          <w:rFonts w:ascii="楷体" w:eastAsia="楷体" w:hint="eastAsia"/>
          <w:sz w:val="18"/>
        </w:rPr>
      </w:pPr>
      <w:r>
        <w:rPr>
          <w:rFonts w:ascii="楷体" w:eastAsia="楷体" w:hint="eastAsia"/>
          <w:sz w:val="18"/>
        </w:rPr>
        <w:t>（3）持审验不合格的驾驶证驾驶；</w:t>
      </w:r>
    </w:p>
    <w:p>
      <w:pPr>
        <w:spacing w:line="235" w:lineRule="exact" w:before="0"/>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left"/>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无有效行驶证：</w:t>
      </w:r>
      <w:r>
        <w:rPr>
          <w:rFonts w:ascii="楷体" w:eastAsia="楷体" w:hint="eastAsia"/>
          <w:w w:val="95"/>
          <w:sz w:val="18"/>
        </w:rPr>
        <w:t>指下列情形之一：</w:t>
      </w:r>
    </w:p>
    <w:p>
      <w:pPr>
        <w:spacing w:line="235" w:lineRule="exact" w:before="35"/>
        <w:ind w:left="480" w:right="0" w:firstLine="0"/>
        <w:jc w:val="left"/>
        <w:rPr>
          <w:rFonts w:ascii="楷体" w:eastAsia="楷体" w:hint="eastAsia"/>
          <w:sz w:val="18"/>
        </w:rPr>
      </w:pPr>
      <w:r>
        <w:rPr>
          <w:rFonts w:ascii="楷体" w:eastAsia="楷体" w:hint="eastAsia"/>
          <w:sz w:val="18"/>
        </w:rPr>
        <w:t>（1）未依法取得行驶证的；</w:t>
      </w:r>
    </w:p>
    <w:p>
      <w:pPr>
        <w:spacing w:line="234" w:lineRule="exact" w:before="0"/>
        <w:ind w:left="480" w:right="0" w:firstLine="0"/>
        <w:jc w:val="left"/>
        <w:rPr>
          <w:rFonts w:ascii="楷体" w:eastAsia="楷体" w:hint="eastAsia"/>
          <w:sz w:val="18"/>
        </w:rPr>
      </w:pPr>
      <w:r>
        <w:rPr>
          <w:rFonts w:ascii="楷体" w:eastAsia="楷体" w:hint="eastAsia"/>
          <w:sz w:val="18"/>
        </w:rPr>
        <w:t>（2）机动车被依法注销登记的；</w:t>
      </w:r>
    </w:p>
    <w:p>
      <w:pPr>
        <w:spacing w:line="233" w:lineRule="exact" w:before="0"/>
        <w:ind w:left="480" w:right="0" w:firstLine="0"/>
        <w:jc w:val="left"/>
        <w:rPr>
          <w:rFonts w:ascii="楷体" w:eastAsia="楷体" w:hint="eastAsia"/>
          <w:sz w:val="18"/>
        </w:rPr>
      </w:pPr>
      <w:r>
        <w:rPr>
          <w:rFonts w:ascii="楷体" w:eastAsia="楷体" w:hint="eastAsia"/>
          <w:sz w:val="18"/>
        </w:rPr>
        <w:t>（3）未依法按时进行或通过机动车安全技术检验。</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13</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w:t>
      </w:r>
    </w:p>
    <w:p>
      <w:pPr>
        <w:spacing w:line="235" w:lineRule="exact" w:before="0"/>
        <w:ind w:left="120" w:right="0" w:firstLine="0"/>
        <w:jc w:val="left"/>
        <w:rPr>
          <w:rFonts w:ascii="楷体" w:eastAsia="楷体" w:hint="eastAsia"/>
          <w:sz w:val="18"/>
        </w:rPr>
      </w:pPr>
      <w:r>
        <w:rPr>
          <w:rFonts w:ascii="楷体" w:eastAsia="楷体" w:hint="eastAsia"/>
          <w:sz w:val="18"/>
        </w:rPr>
        <w:t>分金额。</w:t>
      </w:r>
    </w:p>
    <w:p>
      <w:pPr>
        <w:spacing w:after="0" w:line="235" w:lineRule="exact"/>
        <w:jc w:val="left"/>
        <w:rPr>
          <w:rFonts w:ascii="楷体" w:eastAsia="楷体" w:hint="eastAsia"/>
          <w:sz w:val="18"/>
        </w:rPr>
        <w:sectPr>
          <w:pgSz w:w="11910" w:h="16840"/>
          <w:pgMar w:header="0" w:footer="959" w:top="900" w:bottom="1160" w:left="1320" w:right="1140"/>
        </w:sectPr>
      </w:pPr>
    </w:p>
    <w:p>
      <w:pPr>
        <w:pStyle w:val="Heading2"/>
        <w:spacing w:before="21"/>
      </w:pPr>
      <w:r>
        <w:rPr>
          <w:w w:val="95"/>
        </w:rPr>
        <w:t>付重大疾病保险金的责任：</w:t>
      </w:r>
    </w:p>
    <w:p>
      <w:pPr>
        <w:spacing w:before="37"/>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20"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p>
    <w:p>
      <w:pPr>
        <w:spacing w:before="21"/>
        <w:ind w:left="120" w:right="0"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）被保险人酒后驾驶、无合法有效驾驶证驾驶，或驾驶无有效行驶证的机动车；</w:t>
      </w:r>
    </w:p>
    <w:p>
      <w:pPr>
        <w:spacing w:before="21"/>
        <w:ind w:left="120"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spacing w:val="-1"/>
          <w:w w:val="99"/>
          <w:sz w:val="21"/>
        </w:rPr>
        <w:t>被保险人感染艾滋病病毒或患艾滋病</w:t>
      </w:r>
      <w:r>
        <w:rPr>
          <w:rFonts w:ascii="Times New Roman" w:eastAsia="Times New Roman"/>
          <w:b/>
          <w:w w:val="97"/>
          <w:sz w:val="21"/>
          <w:vertAlign w:val="superscript"/>
        </w:rPr>
        <w:t>14</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spacing w:val="0"/>
          <w:w w:val="99"/>
          <w:sz w:val="21"/>
        </w:rPr>
        <w:t>（</w:t>
      </w:r>
      <w:r>
        <w:rPr>
          <w:rFonts w:ascii="Times New Roman" w:eastAsia="Times New Roman"/>
          <w:b/>
          <w:sz w:val="21"/>
        </w:rPr>
        <w:t>6</w:t>
      </w:r>
      <w:r>
        <w:rPr>
          <w:b/>
          <w:spacing w:val="0"/>
          <w:w w:val="99"/>
          <w:sz w:val="21"/>
        </w:rPr>
        <w:t>）</w:t>
      </w:r>
      <w:r>
        <w:rPr>
          <w:b/>
          <w:w w:val="99"/>
          <w:sz w:val="21"/>
        </w:rPr>
        <w:t>遗传性疾病</w:t>
      </w:r>
      <w:r>
        <w:rPr>
          <w:rFonts w:ascii="Times New Roman" w:eastAsia="Times New Roman"/>
          <w:b/>
          <w:w w:val="97"/>
          <w:sz w:val="21"/>
          <w:vertAlign w:val="superscript"/>
        </w:rPr>
        <w:t>15</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16</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3" w:lineRule="auto" w:before="21"/>
        <w:ind w:left="120" w:right="58" w:firstLine="422"/>
        <w:jc w:val="left"/>
        <w:rPr>
          <w:b/>
          <w:sz w:val="21"/>
        </w:rPr>
      </w:pPr>
      <w:r>
        <w:rPr>
          <w:b/>
          <w:sz w:val="21"/>
        </w:rPr>
        <w:t>发生上述第１项情形导致被保险人患一项或多项本条款附件一所定义的重大疾病的，本附加险</w:t>
      </w:r>
      <w:r>
        <w:rPr>
          <w:b/>
          <w:w w:val="95"/>
          <w:sz w:val="21"/>
        </w:rPr>
        <w:t>合同效力终止，我们向具有受益权的受益人退还本附加险合同的现金价值。</w:t>
      </w:r>
    </w:p>
    <w:p>
      <w:pPr>
        <w:spacing w:line="273" w:lineRule="auto" w:before="7"/>
        <w:ind w:left="120" w:right="58" w:firstLine="422"/>
        <w:jc w:val="left"/>
        <w:rPr>
          <w:b/>
          <w:sz w:val="21"/>
        </w:rPr>
      </w:pPr>
      <w:r>
        <w:rPr>
          <w:b/>
          <w:sz w:val="21"/>
        </w:rPr>
        <w:t>发生上述其他情形导致被保险人患一项或多项本条款附件一所定义的重大疾病的，本附加险合</w:t>
      </w:r>
      <w:r>
        <w:rPr>
          <w:b/>
          <w:w w:val="95"/>
          <w:sz w:val="21"/>
        </w:rPr>
        <w:t>同效力终止，我们向您退还本附加险合同的现金价值。</w:t>
      </w:r>
    </w:p>
    <w:p>
      <w:pPr>
        <w:pStyle w:val="BodyText"/>
        <w:spacing w:before="1"/>
        <w:rPr>
          <w:b/>
          <w:sz w:val="25"/>
        </w:rPr>
      </w:pPr>
    </w:p>
    <w:p>
      <w:pPr>
        <w:pStyle w:val="Heading2"/>
        <w:numPr>
          <w:ilvl w:val="0"/>
          <w:numId w:val="2"/>
        </w:numPr>
        <w:tabs>
          <w:tab w:pos="491" w:val="left" w:leader="none"/>
          <w:tab w:pos="492" w:val="left" w:leader="none"/>
        </w:tabs>
        <w:spacing w:line="240" w:lineRule="auto" w:before="0" w:after="0"/>
        <w:ind w:left="491" w:right="0" w:hanging="372"/>
        <w:jc w:val="left"/>
      </w:pPr>
      <w:bookmarkStart w:name="_TOC_250017" w:id="11"/>
      <w:bookmarkEnd w:id="11"/>
      <w:r>
        <w:rPr>
          <w:w w:val="95"/>
        </w:rPr>
        <w:t>如何申请领取保险金</w:t>
      </w:r>
    </w:p>
    <w:p>
      <w:pPr>
        <w:pStyle w:val="BodyText"/>
        <w:spacing w:before="6"/>
        <w:rPr>
          <w:b/>
          <w:sz w:val="24"/>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16" w:id="12"/>
      <w:bookmarkEnd w:id="12"/>
      <w:r>
        <w:rPr>
          <w:w w:val="95"/>
        </w:rPr>
        <w:t>受益人</w:t>
      </w:r>
    </w:p>
    <w:p>
      <w:pPr>
        <w:pStyle w:val="BodyText"/>
        <w:spacing w:before="8"/>
        <w:ind w:left="541"/>
      </w:pPr>
      <w:r>
        <w:rPr/>
        <w:t>重大疾病保险金的受益人为被保险人本人。</w:t>
      </w:r>
    </w:p>
    <w:p>
      <w:pPr>
        <w:pStyle w:val="BodyText"/>
        <w:spacing w:before="24"/>
        <w:ind w:left="541"/>
      </w:pPr>
      <w:r>
        <w:rPr/>
        <w:t>您或者被保险人可以指定一人或多人为身故保险金受益人。</w:t>
      </w:r>
    </w:p>
    <w:p>
      <w:pPr>
        <w:pStyle w:val="BodyText"/>
        <w:spacing w:line="261" w:lineRule="auto" w:before="24"/>
        <w:ind w:left="119" w:right="112" w:firstLine="421"/>
      </w:pPr>
      <w:r>
        <w:rPr/>
        <w:t>身故保险金受益人为多人时，可以确定受益顺序和受益份额；如果没有确定份额，各受益人按照相等份额享有受益权。</w:t>
      </w:r>
    </w:p>
    <w:p>
      <w:pPr>
        <w:spacing w:before="5"/>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17</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8"/>
        <w:ind w:left="119" w:right="112" w:firstLine="421"/>
      </w:pPr>
      <w:r>
        <w:rPr/>
        <w:t>您或者被保险人可以变更保险金受益人并书面通知我们。我们收到变更受益人的书面通知后， 在保险单或其他保险凭证上批注或附贴批单。</w:t>
      </w:r>
    </w:p>
    <w:p>
      <w:pPr>
        <w:pStyle w:val="BodyText"/>
        <w:spacing w:before="5"/>
        <w:ind w:left="541"/>
      </w:pPr>
      <w:r>
        <w:rPr/>
        <w:t>您在指定和变更保险金受益人时，必须经过被保险人或其监护人同意。</w:t>
      </w:r>
    </w:p>
    <w:p>
      <w:pPr>
        <w:pStyle w:val="BodyText"/>
        <w:spacing w:line="261" w:lineRule="auto" w:before="24"/>
        <w:ind w:left="119" w:right="112" w:firstLine="421"/>
      </w:pPr>
      <w:r>
        <w:rPr/>
        <w:t>被保险人身故后，有下列情形之一的，保险金作为被保险人的遗产，由我们依照《中华人民共和国继承法》的规定履行给付保险金的义务：</w:t>
      </w:r>
    </w:p>
    <w:p>
      <w:pPr>
        <w:pStyle w:val="BodyText"/>
        <w:spacing w:before="6"/>
        <w:ind w:left="119"/>
      </w:pPr>
      <w:r>
        <w:rPr/>
        <w:t>（</w:t>
      </w:r>
      <w:r>
        <w:rPr>
          <w:rFonts w:ascii="Times New Roman" w:eastAsia="Times New Roman"/>
        </w:rPr>
        <w:t>1</w:t>
      </w:r>
      <w:r>
        <w:rPr/>
        <w:t>）没有指定受益人，或者受益人指定不明无法确定的；</w:t>
      </w:r>
    </w:p>
    <w:p>
      <w:pPr>
        <w:pStyle w:val="BodyText"/>
        <w:spacing w:before="9"/>
        <w:ind w:left="120"/>
      </w:pPr>
      <w:r>
        <w:rPr/>
        <w:t>（</w:t>
      </w:r>
      <w:r>
        <w:rPr>
          <w:rFonts w:ascii="Times New Roman" w:eastAsia="Times New Roman"/>
        </w:rPr>
        <w:t>2</w:t>
      </w:r>
      <w:r>
        <w:rPr/>
        <w:t>）受益人先于被保险人身故，没有其他受益人的；</w:t>
      </w:r>
    </w:p>
    <w:p>
      <w:pPr>
        <w:pStyle w:val="BodyText"/>
        <w:spacing w:before="9"/>
        <w:ind w:left="120"/>
      </w:pPr>
      <w:r>
        <w:rPr/>
        <w:t>（</w:t>
      </w:r>
      <w:r>
        <w:rPr>
          <w:rFonts w:ascii="Times New Roman" w:eastAsia="Times New Roman"/>
        </w:rPr>
        <w:t>3</w:t>
      </w:r>
      <w:r>
        <w:rPr/>
        <w:t>）受益人依法丧失受益权或者放弃受益权，没有其他受益人的。</w:t>
      </w:r>
    </w:p>
    <w:p>
      <w:pPr>
        <w:pStyle w:val="BodyText"/>
        <w:spacing w:line="261" w:lineRule="auto" w:before="9"/>
        <w:ind w:left="540" w:right="11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6"/>
        <w:ind w:left="120"/>
      </w:pPr>
      <w:r>
        <w:rPr/>
        <w:t>受益权。</w:t>
      </w:r>
    </w:p>
    <w:p>
      <w:pPr>
        <w:pStyle w:val="BodyText"/>
        <w:spacing w:before="11"/>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15" w:id="13"/>
      <w:bookmarkEnd w:id="13"/>
      <w:r>
        <w:rPr>
          <w:w w:val="95"/>
        </w:rPr>
        <w:t>保险金申请</w:t>
      </w:r>
    </w:p>
    <w:p>
      <w:pPr>
        <w:pStyle w:val="BodyText"/>
        <w:spacing w:before="9"/>
        <w:ind w:left="120"/>
      </w:pPr>
      <w:r>
        <w:rPr/>
        <w:t>（</w:t>
      </w:r>
      <w:r>
        <w:rPr>
          <w:rFonts w:ascii="Times New Roman" w:eastAsia="Times New Roman"/>
        </w:rPr>
        <w:t>1</w:t>
      </w:r>
      <w:r>
        <w:rPr/>
        <w:t>）重大疾病保险金的申请</w:t>
      </w:r>
    </w:p>
    <w:p>
      <w:pPr>
        <w:pStyle w:val="BodyText"/>
        <w:spacing w:before="9"/>
        <w:ind w:left="540"/>
      </w:pPr>
      <w:r>
        <w:rPr/>
        <w:t>在申请重大疾病保险金时，申请人须填写保险金给付申请书，并提供下列证明和资料：</w:t>
      </w:r>
    </w:p>
    <w:p>
      <w:pPr>
        <w:pStyle w:val="BodyText"/>
        <w:spacing w:before="15"/>
        <w:ind w:left="540"/>
      </w:pPr>
      <w:r>
        <w:rPr/>
        <w:t>①保险合同或其他保险凭证；</w:t>
      </w:r>
    </w:p>
    <w:p>
      <w:pPr>
        <w:spacing w:before="46"/>
        <w:ind w:left="540" w:right="0" w:firstLine="0"/>
        <w:jc w:val="left"/>
        <w:rPr>
          <w:sz w:val="21"/>
        </w:rPr>
      </w:pPr>
      <w:r>
        <w:rPr>
          <w:w w:val="95"/>
          <w:sz w:val="21"/>
        </w:rPr>
        <w:t>②申请人的</w:t>
      </w:r>
      <w:r>
        <w:rPr>
          <w:b/>
          <w:w w:val="95"/>
          <w:sz w:val="21"/>
        </w:rPr>
        <w:t>有效身份证件</w:t>
      </w:r>
      <w:r>
        <w:rPr>
          <w:rFonts w:ascii="Times New Roman" w:hAnsi="Times New Roman" w:eastAsia="Times New Roman"/>
          <w:w w:val="95"/>
          <w:sz w:val="21"/>
          <w:vertAlign w:val="superscript"/>
        </w:rPr>
        <w:t>18</w:t>
      </w:r>
      <w:r>
        <w:rPr>
          <w:rFonts w:ascii="Times New Roman" w:hAnsi="Times New Roman" w:eastAsia="Times New Roman"/>
          <w:w w:val="95"/>
          <w:sz w:val="21"/>
          <w:vertAlign w:val="baseline"/>
        </w:rPr>
      </w:r>
      <w:r>
        <w:rPr>
          <w:w w:val="95"/>
          <w:sz w:val="21"/>
          <w:vertAlign w:val="baseline"/>
        </w:rPr>
        <w:t>；</w:t>
      </w:r>
    </w:p>
    <w:p>
      <w:pPr>
        <w:pStyle w:val="BodyText"/>
        <w:spacing w:before="11"/>
        <w:rPr>
          <w:sz w:val="22"/>
        </w:rPr>
      </w:pPr>
      <w:r>
        <w:rPr/>
        <w:pict>
          <v:line style="position:absolute;mso-position-horizontal-relative:page;mso-position-vertical-relative:paragraph;z-index:1096;mso-wrap-distance-left:0;mso-wrap-distance-right:0" from="72pt,17.229103pt" to="216pt,17.229103pt" stroked="true" strokeweight=".54001pt" strokecolor="#000000">
            <v:stroke dashstyle="solid"/>
            <w10:wrap type="topAndBottom"/>
          </v:line>
        </w:pict>
      </w:r>
    </w:p>
    <w:p>
      <w:pPr>
        <w:spacing w:line="237" w:lineRule="auto" w:before="32"/>
        <w:ind w:left="120" w:right="112" w:hanging="1"/>
        <w:jc w:val="both"/>
        <w:rPr>
          <w:rFonts w:ascii="楷体" w:eastAsia="楷体" w:hint="eastAsia"/>
          <w:sz w:val="18"/>
        </w:rPr>
      </w:pPr>
      <w:r>
        <w:rPr>
          <w:rFonts w:ascii="Times New Roman" w:eastAsia="Times New Roman"/>
          <w:position w:val="8"/>
          <w:sz w:val="12"/>
        </w:rPr>
        <w:t>14</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15</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16</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0" w:lineRule="exact" w:before="0"/>
        <w:ind w:left="120" w:right="0" w:firstLine="0"/>
        <w:jc w:val="both"/>
        <w:rPr>
          <w:rFonts w:ascii="楷体" w:eastAsia="楷体" w:hint="eastAsia"/>
          <w:sz w:val="18"/>
        </w:rPr>
      </w:pPr>
      <w:r>
        <w:rPr>
          <w:rFonts w:ascii="Times New Roman" w:eastAsia="Times New Roman"/>
          <w:w w:val="95"/>
          <w:position w:val="8"/>
          <w:sz w:val="12"/>
        </w:rPr>
        <w:t>17</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3" w:lineRule="exact" w:before="0"/>
        <w:ind w:left="119" w:right="0" w:firstLine="0"/>
        <w:jc w:val="both"/>
        <w:rPr>
          <w:rFonts w:ascii="楷体" w:eastAsia="楷体" w:hint="eastAsia"/>
          <w:sz w:val="18"/>
        </w:rPr>
      </w:pPr>
      <w:r>
        <w:rPr>
          <w:rFonts w:ascii="楷体" w:eastAsia="楷体" w:hint="eastAsia"/>
          <w:sz w:val="18"/>
        </w:rPr>
        <w:t>华人民共和国民法通则》第十二条及第十三条规定）</w:t>
      </w:r>
    </w:p>
    <w:p>
      <w:pPr>
        <w:spacing w:line="235" w:lineRule="exact" w:before="0"/>
        <w:ind w:left="120" w:right="0" w:firstLine="0"/>
        <w:jc w:val="both"/>
        <w:rPr>
          <w:rFonts w:ascii="楷体" w:eastAsia="楷体" w:hint="eastAsia"/>
          <w:sz w:val="18"/>
        </w:rPr>
      </w:pPr>
      <w:r>
        <w:rPr>
          <w:rFonts w:ascii="Times New Roman" w:eastAsia="Times New Roman"/>
          <w:w w:val="95"/>
          <w:position w:val="8"/>
          <w:sz w:val="12"/>
        </w:rPr>
        <w:t>18</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after="0" w:line="235" w:lineRule="exact"/>
        <w:jc w:val="both"/>
        <w:rPr>
          <w:rFonts w:ascii="楷体" w:eastAsia="楷体" w:hint="eastAsia"/>
          <w:sz w:val="18"/>
        </w:rPr>
        <w:sectPr>
          <w:pgSz w:w="11910" w:h="16840"/>
          <w:pgMar w:header="0" w:footer="959" w:top="900" w:bottom="1160" w:left="1320" w:right="1320"/>
        </w:sectPr>
      </w:pPr>
    </w:p>
    <w:p>
      <w:pPr>
        <w:pStyle w:val="BodyText"/>
        <w:spacing w:before="10"/>
        <w:ind w:left="520"/>
      </w:pPr>
      <w:r>
        <w:rPr/>
        <w:t>③医院出具的附有被保险人病理、血液及其他科学方法检验报告等诊断证明文件；</w:t>
      </w:r>
    </w:p>
    <w:p>
      <w:pPr>
        <w:pStyle w:val="BodyText"/>
        <w:spacing w:before="24"/>
        <w:ind w:left="520"/>
      </w:pPr>
      <w:r>
        <w:rPr/>
        <w:t>④所能提供的与确认保险事故的性质、原因等有关的其他证明和资料。</w:t>
      </w:r>
    </w:p>
    <w:p>
      <w:pPr>
        <w:pStyle w:val="BodyText"/>
        <w:spacing w:before="24"/>
        <w:ind w:left="100"/>
      </w:pPr>
      <w:r>
        <w:rPr/>
        <w:t>（</w:t>
      </w:r>
      <w:r>
        <w:rPr>
          <w:rFonts w:ascii="Times New Roman" w:eastAsia="Times New Roman"/>
        </w:rPr>
        <w:t>2</w:t>
      </w:r>
      <w:r>
        <w:rPr/>
        <w:t>）身故保险金的申请</w:t>
      </w:r>
    </w:p>
    <w:p>
      <w:pPr>
        <w:pStyle w:val="BodyText"/>
        <w:spacing w:before="8"/>
        <w:ind w:left="520"/>
      </w:pPr>
      <w:r>
        <w:rPr/>
        <w:t>在申请身故保险金时，申请人须填写保险金给付申请书，并提供下列证明和资料：</w:t>
      </w:r>
    </w:p>
    <w:p>
      <w:pPr>
        <w:pStyle w:val="BodyText"/>
        <w:spacing w:before="24"/>
        <w:ind w:left="520"/>
      </w:pPr>
      <w:r>
        <w:rPr/>
        <w:t>① 保险合同或其他保险凭证；</w:t>
      </w:r>
    </w:p>
    <w:p>
      <w:pPr>
        <w:pStyle w:val="BodyText"/>
        <w:spacing w:before="24"/>
        <w:ind w:left="520"/>
      </w:pPr>
      <w:r>
        <w:rPr/>
        <w:t>② 申请人的有效身份证件；</w:t>
      </w:r>
    </w:p>
    <w:p>
      <w:pPr>
        <w:pStyle w:val="BodyText"/>
        <w:spacing w:before="24"/>
        <w:ind w:left="520"/>
      </w:pPr>
      <w:r>
        <w:rPr/>
        <w:t>③ 国家卫生行政部门认定的医疗机构、公安部门或其他相关机构出具的被保险人的死亡证明；</w:t>
      </w:r>
    </w:p>
    <w:p>
      <w:pPr>
        <w:pStyle w:val="BodyText"/>
        <w:spacing w:before="24"/>
        <w:ind w:left="520"/>
      </w:pPr>
      <w:r>
        <w:rPr/>
        <w:t>④ 所能提供的与确认保险事故的性质、原因等有关的其他证明和资料。</w:t>
      </w:r>
    </w:p>
    <w:p>
      <w:pPr>
        <w:pStyle w:val="BodyText"/>
        <w:spacing w:before="24"/>
        <w:ind w:left="520"/>
      </w:pPr>
      <w:r>
        <w:rPr/>
        <w:t>保险金作为被保险人遗产时，必须提供可证明合法继承权的相关权利文件。</w:t>
      </w:r>
    </w:p>
    <w:p>
      <w:pPr>
        <w:pStyle w:val="BodyText"/>
        <w:spacing w:before="24"/>
        <w:ind w:left="520"/>
      </w:pPr>
      <w:r>
        <w:rPr/>
        <w:t>以上证明和资料不完整的，我们将及时一次性通知申请人补充提供有关证明和资料。</w:t>
      </w:r>
    </w:p>
    <w:p>
      <w:pPr>
        <w:pStyle w:val="BodyText"/>
        <w:spacing w:before="10"/>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4" w:id="14"/>
      <w:bookmarkEnd w:id="14"/>
      <w:r>
        <w:rPr>
          <w:w w:val="95"/>
        </w:rPr>
        <w:t>宣告死亡处理</w:t>
      </w:r>
    </w:p>
    <w:p>
      <w:pPr>
        <w:pStyle w:val="BodyText"/>
        <w:spacing w:line="261" w:lineRule="auto" w:before="8"/>
        <w:ind w:left="100" w:right="292" w:firstLine="420"/>
        <w:jc w:val="both"/>
      </w:pPr>
      <w:r>
        <w:rPr/>
        <w:t>在本附加险合同有效期内，如果被保险人失踪，且经法院宣告死亡，我们按本附加险合同的保险责任给付身故保险金，本附加险合同效力终止。</w:t>
      </w:r>
    </w:p>
    <w:p>
      <w:pPr>
        <w:pStyle w:val="BodyText"/>
        <w:spacing w:line="254" w:lineRule="auto" w:before="5"/>
        <w:ind w:left="100" w:right="29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天内，向我们退还已领取的身故保险金，退还后本附加险合同效力由我们和您依法协商确定。</w:t>
      </w:r>
    </w:p>
    <w:p>
      <w:pPr>
        <w:pStyle w:val="BodyText"/>
        <w:spacing w:before="9"/>
        <w:rPr>
          <w:sz w:val="24"/>
        </w:rPr>
      </w:pPr>
    </w:p>
    <w:p>
      <w:pPr>
        <w:pStyle w:val="Heading2"/>
        <w:numPr>
          <w:ilvl w:val="1"/>
          <w:numId w:val="2"/>
        </w:numPr>
        <w:tabs>
          <w:tab w:pos="573" w:val="left" w:leader="none"/>
          <w:tab w:pos="575" w:val="left" w:leader="none"/>
        </w:tabs>
        <w:spacing w:line="240" w:lineRule="auto" w:before="1" w:after="0"/>
        <w:ind w:left="574" w:right="0" w:hanging="474"/>
        <w:jc w:val="left"/>
      </w:pPr>
      <w:bookmarkStart w:name="_TOC_250013" w:id="15"/>
      <w:bookmarkEnd w:id="15"/>
      <w:r>
        <w:rPr>
          <w:w w:val="95"/>
        </w:rPr>
        <w:t>诉讼时效</w:t>
      </w:r>
    </w:p>
    <w:p>
      <w:pPr>
        <w:pStyle w:val="BodyText"/>
        <w:spacing w:before="9"/>
        <w:ind w:left="520"/>
      </w:pPr>
      <w:r>
        <w:rPr/>
        <w:t>受益人向我们请求给付重大疾病保险金的诉讼时效期间为 </w:t>
      </w:r>
      <w:r>
        <w:rPr>
          <w:rFonts w:ascii="Times New Roman" w:eastAsia="Times New Roman"/>
        </w:rPr>
        <w:t>2 </w:t>
      </w:r>
      <w:r>
        <w:rPr/>
        <w:t>年，请求给付身故保险金的诉讼时</w:t>
      </w:r>
    </w:p>
    <w:p>
      <w:pPr>
        <w:pStyle w:val="BodyText"/>
        <w:spacing w:before="9"/>
        <w:ind w:left="100"/>
      </w:pPr>
      <w:r>
        <w:rPr/>
        <w:t>效期间为 </w:t>
      </w:r>
      <w:r>
        <w:rPr>
          <w:rFonts w:ascii="Times New Roman" w:eastAsia="Times New Roman"/>
        </w:rPr>
        <w:t>5 </w:t>
      </w:r>
      <w:r>
        <w:rPr/>
        <w:t>年，自其知道或者应当知道保险事故发生之日起计算。</w:t>
      </w:r>
    </w:p>
    <w:p>
      <w:pPr>
        <w:pStyle w:val="BodyText"/>
        <w:spacing w:before="8"/>
        <w:rPr>
          <w:sz w:val="23"/>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12" w:id="16"/>
      <w:bookmarkEnd w:id="16"/>
      <w:r>
        <w:rPr>
          <w:w w:val="95"/>
        </w:rPr>
        <w:t>保险金领取方式选择权</w:t>
      </w:r>
    </w:p>
    <w:p>
      <w:pPr>
        <w:pStyle w:val="BodyText"/>
        <w:spacing w:line="261" w:lineRule="auto" w:before="9"/>
        <w:ind w:left="100" w:right="292" w:firstLine="420"/>
        <w:jc w:val="both"/>
      </w:pPr>
      <w:r>
        <w:rPr/>
        <w:t>受益人在领取身故保险金时，可以一次性领取，或者转换为年金领取。如果选择年金领取，领取金额按照受益人提出转换申请时我们提供的转换标准确定。用于转换的身故保险金额不得低于我们当时规定的相应最低限额。</w:t>
      </w:r>
    </w:p>
    <w:p>
      <w:pPr>
        <w:pStyle w:val="BodyText"/>
        <w:spacing w:before="5"/>
        <w:rPr>
          <w:sz w:val="23"/>
        </w:rPr>
      </w:pPr>
    </w:p>
    <w:p>
      <w:pPr>
        <w:pStyle w:val="Heading2"/>
        <w:numPr>
          <w:ilvl w:val="0"/>
          <w:numId w:val="2"/>
        </w:numPr>
        <w:tabs>
          <w:tab w:pos="469" w:val="left" w:leader="none"/>
          <w:tab w:pos="470" w:val="left" w:leader="none"/>
        </w:tabs>
        <w:spacing w:line="240" w:lineRule="auto" w:before="0" w:after="0"/>
        <w:ind w:left="469" w:right="0" w:hanging="369"/>
        <w:jc w:val="left"/>
      </w:pPr>
      <w:bookmarkStart w:name="_TOC_250011" w:id="17"/>
      <w:bookmarkEnd w:id="17"/>
      <w:r>
        <w:rPr>
          <w:w w:val="95"/>
        </w:rPr>
        <w:t>如何交纳保险费</w:t>
      </w:r>
    </w:p>
    <w:p>
      <w:pPr>
        <w:pStyle w:val="BodyText"/>
        <w:spacing w:before="9"/>
        <w:rPr>
          <w:b/>
          <w:sz w:val="23"/>
        </w:rPr>
      </w:pPr>
    </w:p>
    <w:p>
      <w:pPr>
        <w:pStyle w:val="Heading2"/>
        <w:numPr>
          <w:ilvl w:val="1"/>
          <w:numId w:val="2"/>
        </w:numPr>
        <w:tabs>
          <w:tab w:pos="573" w:val="left" w:leader="none"/>
          <w:tab w:pos="575" w:val="left" w:leader="none"/>
        </w:tabs>
        <w:spacing w:line="288" w:lineRule="exact" w:before="0" w:after="0"/>
        <w:ind w:left="574" w:right="0" w:hanging="474"/>
        <w:jc w:val="left"/>
      </w:pPr>
      <w:bookmarkStart w:name="_TOC_250010" w:id="18"/>
      <w:bookmarkEnd w:id="18"/>
      <w:r>
        <w:rPr>
          <w:w w:val="95"/>
        </w:rPr>
        <w:t>保险费的交纳</w:t>
      </w:r>
    </w:p>
    <w:p>
      <w:pPr>
        <w:pStyle w:val="BodyText"/>
        <w:spacing w:line="237" w:lineRule="auto" w:before="0"/>
        <w:ind w:left="100" w:right="291" w:firstLine="420"/>
        <w:jc w:val="both"/>
      </w:pPr>
      <w:r>
        <w:rPr>
          <w:spacing w:val="-2"/>
        </w:rPr>
        <w:t>本附加险合同的交费方式为分期交纳。对应的交费期间为为 </w:t>
      </w:r>
      <w:r>
        <w:rPr>
          <w:rFonts w:ascii="Times New Roman" w:eastAsia="Times New Roman"/>
        </w:rPr>
        <w:t>3 </w:t>
      </w:r>
      <w:r>
        <w:rPr/>
        <w:t>年，您在交纳了首期保险费后， 应在保险费约定支付日交纳其余各期的保险费。</w:t>
      </w:r>
    </w:p>
    <w:p>
      <w:pPr>
        <w:pStyle w:val="BodyText"/>
        <w:spacing w:line="261" w:lineRule="auto"/>
        <w:ind w:left="100" w:right="292"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49" w:lineRule="auto" w:before="0"/>
        <w:ind w:left="100" w:right="292" w:firstLine="420"/>
        <w:jc w:val="both"/>
      </w:pPr>
      <w:r>
        <w:rPr/>
        <w:t>我们进行保险费率调整后，您须按调整后的保险费率交纳续期保险费，保险费率调整前您已经交纳的保险费不受影响。</w:t>
      </w:r>
    </w:p>
    <w:p>
      <w:pPr>
        <w:pStyle w:val="BodyText"/>
        <w:spacing w:before="3"/>
        <w:rPr>
          <w:sz w:val="23"/>
        </w:rPr>
      </w:pPr>
    </w:p>
    <w:p>
      <w:pPr>
        <w:pStyle w:val="Heading2"/>
        <w:numPr>
          <w:ilvl w:val="0"/>
          <w:numId w:val="2"/>
        </w:numPr>
        <w:tabs>
          <w:tab w:pos="469" w:val="left" w:leader="none"/>
          <w:tab w:pos="470" w:val="left" w:leader="none"/>
        </w:tabs>
        <w:spacing w:line="240" w:lineRule="auto" w:before="1" w:after="0"/>
        <w:ind w:left="469" w:right="0" w:hanging="369"/>
        <w:jc w:val="left"/>
      </w:pPr>
      <w:bookmarkStart w:name="_TOC_250009" w:id="19"/>
      <w:bookmarkEnd w:id="19"/>
      <w:r>
        <w:rPr>
          <w:w w:val="95"/>
        </w:rPr>
        <w:t>合同效力的中止与恢复</w:t>
      </w:r>
    </w:p>
    <w:p>
      <w:pPr>
        <w:pStyle w:val="BodyText"/>
        <w:spacing w:before="7"/>
        <w:rPr>
          <w:b/>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8" w:id="20"/>
      <w:bookmarkEnd w:id="20"/>
      <w:r>
        <w:rPr>
          <w:w w:val="95"/>
        </w:rPr>
        <w:t>合同效力的中止</w:t>
      </w:r>
    </w:p>
    <w:p>
      <w:pPr>
        <w:pStyle w:val="BodyText"/>
        <w:spacing w:before="9"/>
        <w:ind w:left="520"/>
      </w:pPr>
      <w:r>
        <w:rPr/>
        <w:t>在本附加险合同效力中止期间，我们不承担保险责任。</w:t>
      </w:r>
    </w:p>
    <w:p>
      <w:pPr>
        <w:pStyle w:val="BodyText"/>
        <w:spacing w:before="11"/>
        <w:rPr>
          <w:sz w:val="24"/>
        </w:rPr>
      </w:pPr>
    </w:p>
    <w:p>
      <w:pPr>
        <w:pStyle w:val="Heading2"/>
        <w:numPr>
          <w:ilvl w:val="1"/>
          <w:numId w:val="2"/>
        </w:numPr>
        <w:tabs>
          <w:tab w:pos="573" w:val="left" w:leader="none"/>
          <w:tab w:pos="575" w:val="left" w:leader="none"/>
        </w:tabs>
        <w:spacing w:line="240" w:lineRule="auto" w:before="0" w:after="0"/>
        <w:ind w:left="574" w:right="0" w:hanging="474"/>
        <w:jc w:val="left"/>
      </w:pPr>
      <w:bookmarkStart w:name="_TOC_250007" w:id="21"/>
      <w:bookmarkEnd w:id="21"/>
      <w:r>
        <w:rPr>
          <w:w w:val="95"/>
        </w:rPr>
        <w:t>合同效力的恢复</w:t>
      </w:r>
    </w:p>
    <w:p>
      <w:pPr>
        <w:pStyle w:val="BodyText"/>
        <w:spacing w:line="254" w:lineRule="auto" w:before="9"/>
        <w:ind w:left="100" w:right="292" w:firstLine="420"/>
        <w:jc w:val="both"/>
      </w:pPr>
      <w:r>
        <w:rPr>
          <w:spacing w:val="-5"/>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w:t>
      </w:r>
    </w:p>
    <w:p>
      <w:pPr>
        <w:pStyle w:val="BodyText"/>
        <w:spacing w:before="7"/>
        <w:rPr>
          <w:sz w:val="20"/>
        </w:rPr>
      </w:pPr>
      <w:r>
        <w:rPr/>
        <w:pict>
          <v:line style="position:absolute;mso-position-horizontal-relative:page;mso-position-vertical-relative:paragraph;z-index:1120;mso-wrap-distance-left:0;mso-wrap-distance-right:0" from="72pt,15.727213pt" to="532.98pt,15.727213pt" stroked="true" strokeweight=".53998pt" strokecolor="#000000">
            <v:stroke dashstyle="solid"/>
            <w10:wrap type="topAndBottom"/>
          </v:line>
        </w:pict>
      </w:r>
    </w:p>
    <w:p>
      <w:pPr>
        <w:spacing w:before="31"/>
        <w:ind w:left="100" w:right="0" w:firstLine="0"/>
        <w:jc w:val="left"/>
        <w:rPr>
          <w:rFonts w:ascii="楷体" w:eastAsia="楷体" w:hint="eastAsia"/>
          <w:sz w:val="18"/>
        </w:rPr>
      </w:pPr>
      <w:r>
        <w:rPr>
          <w:rFonts w:ascii="楷体" w:eastAsia="楷体" w:hint="eastAsia"/>
          <w:sz w:val="18"/>
        </w:rPr>
        <w:t>官证、警官证、士兵证等证件。</w:t>
      </w:r>
    </w:p>
    <w:p>
      <w:pPr>
        <w:spacing w:after="0"/>
        <w:jc w:val="left"/>
        <w:rPr>
          <w:rFonts w:ascii="楷体" w:eastAsia="楷体" w:hint="eastAsia"/>
          <w:sz w:val="18"/>
        </w:rPr>
        <w:sectPr>
          <w:pgSz w:w="11910" w:h="16840"/>
          <w:pgMar w:header="0" w:footer="959" w:top="920" w:bottom="1160" w:left="1340" w:right="1140"/>
        </w:sectPr>
      </w:pPr>
    </w:p>
    <w:p>
      <w:pPr>
        <w:pStyle w:val="BodyText"/>
        <w:spacing w:before="10"/>
        <w:ind w:left="120"/>
      </w:pPr>
      <w:r>
        <w:rPr/>
        <w:t>零时起，合同效力恢复。</w:t>
      </w:r>
    </w:p>
    <w:p>
      <w:pPr>
        <w:pStyle w:val="Heading2"/>
        <w:spacing w:line="247" w:lineRule="auto" w:before="24"/>
        <w:ind w:left="119" w:right="112" w:firstLine="422"/>
        <w:jc w:val="both"/>
      </w:pPr>
      <w:r>
        <w:rPr>
          <w:spacing w:val="-4"/>
        </w:rPr>
        <w:t>自本附加险合同效力中止之日起满 </w:t>
      </w:r>
      <w:r>
        <w:rPr>
          <w:rFonts w:ascii="Times New Roman" w:eastAsia="Times New Roman"/>
        </w:rPr>
        <w:t>2 </w:t>
      </w:r>
      <w:r>
        <w:rPr>
          <w:spacing w:val="-3"/>
        </w:rPr>
        <w:t>年您和我们未达成协议的，我们有权解除保险合同。我们</w:t>
      </w:r>
      <w:r>
        <w:rPr>
          <w:spacing w:val="-3"/>
          <w:w w:val="95"/>
        </w:rPr>
        <w:t>解除合同的，向您退还本附加险合同的现金价值。</w:t>
      </w:r>
    </w:p>
    <w:p>
      <w:pPr>
        <w:pStyle w:val="BodyText"/>
        <w:spacing w:before="3"/>
        <w:rPr>
          <w:b/>
          <w:sz w:val="23"/>
        </w:rPr>
      </w:pPr>
    </w:p>
    <w:p>
      <w:pPr>
        <w:pStyle w:val="Heading2"/>
        <w:numPr>
          <w:ilvl w:val="0"/>
          <w:numId w:val="2"/>
        </w:numPr>
        <w:tabs>
          <w:tab w:pos="489" w:val="left" w:leader="none"/>
          <w:tab w:pos="490" w:val="left" w:leader="none"/>
        </w:tabs>
        <w:spacing w:line="240" w:lineRule="auto" w:before="0" w:after="0"/>
        <w:ind w:left="489" w:right="0" w:hanging="369"/>
        <w:jc w:val="left"/>
      </w:pPr>
      <w:bookmarkStart w:name="_TOC_250006" w:id="22"/>
      <w:bookmarkEnd w:id="22"/>
      <w:r>
        <w:rPr>
          <w:w w:val="95"/>
        </w:rPr>
        <w:t>其他事项</w:t>
      </w:r>
    </w:p>
    <w:p>
      <w:pPr>
        <w:pStyle w:val="BodyText"/>
        <w:spacing w:before="7"/>
        <w:rPr>
          <w:b/>
          <w:sz w:val="24"/>
        </w:rPr>
      </w:pPr>
    </w:p>
    <w:p>
      <w:pPr>
        <w:pStyle w:val="Heading2"/>
        <w:numPr>
          <w:ilvl w:val="1"/>
          <w:numId w:val="2"/>
        </w:numPr>
        <w:tabs>
          <w:tab w:pos="593" w:val="left" w:leader="none"/>
          <w:tab w:pos="594" w:val="left" w:leader="none"/>
        </w:tabs>
        <w:spacing w:line="240" w:lineRule="auto" w:before="0" w:after="0"/>
        <w:ind w:left="593" w:right="0" w:hanging="473"/>
        <w:jc w:val="left"/>
      </w:pPr>
      <w:bookmarkStart w:name="_TOC_250005" w:id="23"/>
      <w:bookmarkEnd w:id="23"/>
      <w:r>
        <w:rPr>
          <w:w w:val="95"/>
        </w:rPr>
        <w:t>年龄和性别确定与错误处理</w:t>
      </w:r>
    </w:p>
    <w:p>
      <w:pPr>
        <w:pStyle w:val="BodyText"/>
        <w:spacing w:before="9"/>
        <w:ind w:left="119"/>
      </w:pPr>
      <w:r>
        <w:rPr/>
        <w:t>（</w:t>
      </w:r>
      <w:r>
        <w:rPr>
          <w:rFonts w:ascii="Times New Roman" w:eastAsia="Times New Roman"/>
        </w:rPr>
        <w:t>1</w:t>
      </w:r>
      <w:r>
        <w:rPr/>
        <w:t>）被保险人的投保年龄以有效身份证件登记的周岁年龄计算。</w:t>
      </w:r>
    </w:p>
    <w:p>
      <w:pPr>
        <w:pStyle w:val="BodyText"/>
        <w:spacing w:line="247" w:lineRule="auto" w:before="9"/>
        <w:ind w:left="120" w:right="1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Heading2"/>
        <w:spacing w:line="261" w:lineRule="auto" w:before="18"/>
        <w:ind w:right="109" w:firstLine="422"/>
        <w:jc w:val="both"/>
      </w:pPr>
      <w:r>
        <w:rPr/>
        <w:t>① 您申报的被保险人年龄不真实，并且其真实年龄不符合本附加险合同约定投保年龄限制， </w:t>
      </w:r>
      <w:r>
        <w:rPr>
          <w:spacing w:val="-3"/>
        </w:rPr>
        <w:t>对于未发生保险事故的，我们有权解除本附加险合同。我们行使合同解除权适用“我们行使合同解</w:t>
      </w:r>
      <w:r>
        <w:rPr>
          <w:spacing w:val="-3"/>
          <w:w w:val="95"/>
        </w:rPr>
        <w:t>除权的限制”的规定。对于解除合同的，我们向您退还本附加险合同的现金价值。</w:t>
      </w:r>
    </w:p>
    <w:p>
      <w:pPr>
        <w:spacing w:line="261" w:lineRule="auto" w:before="5"/>
        <w:ind w:left="120" w:right="108" w:firstLine="422"/>
        <w:jc w:val="both"/>
        <w:rPr>
          <w:b/>
          <w:sz w:val="21"/>
        </w:rPr>
      </w:pPr>
      <w:r>
        <w:rPr>
          <w:b/>
          <w:sz w:val="21"/>
        </w:rPr>
        <w:t>② 您申报的被保险人年龄或性别不真实，致使您实付保险费少于应付保险费的，我们有权作</w:t>
      </w:r>
      <w:r>
        <w:rPr>
          <w:b/>
          <w:spacing w:val="-4"/>
          <w:sz w:val="21"/>
        </w:rPr>
        <w:t>相应的更正，并要求您补交保险费差额。若已经发生保险事故，在给付保险金时按实付保险费和应</w:t>
      </w:r>
      <w:r>
        <w:rPr>
          <w:b/>
          <w:spacing w:val="-4"/>
          <w:w w:val="95"/>
          <w:sz w:val="21"/>
        </w:rPr>
        <w:t>付保险费的比例给付。</w:t>
      </w:r>
    </w:p>
    <w:p>
      <w:pPr>
        <w:pStyle w:val="BodyText"/>
        <w:spacing w:line="261" w:lineRule="auto" w:before="5"/>
        <w:ind w:left="120" w:right="110" w:firstLine="420"/>
        <w:jc w:val="both"/>
      </w:pPr>
      <w:r>
        <w:rPr>
          <w:spacing w:val="-6"/>
        </w:rPr>
        <w:t>③ 您申报的被保险人年龄或性别不真实，致使您实付保险费多于应付保险费的，我们会将多收的保险费无息退还给您。</w:t>
      </w:r>
    </w:p>
    <w:p>
      <w:pPr>
        <w:pStyle w:val="BodyText"/>
        <w:spacing w:before="4"/>
        <w:rPr>
          <w:sz w:val="23"/>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4" w:id="24"/>
      <w:bookmarkEnd w:id="24"/>
      <w:r>
        <w:rPr>
          <w:w w:val="95"/>
        </w:rPr>
        <w:t>扣除款项</w:t>
      </w:r>
    </w:p>
    <w:p>
      <w:pPr>
        <w:spacing w:line="261" w:lineRule="auto" w:before="8"/>
        <w:ind w:left="120" w:right="112" w:firstLine="422"/>
        <w:jc w:val="both"/>
        <w:rPr>
          <w:b/>
          <w:sz w:val="21"/>
        </w:rPr>
      </w:pPr>
      <w:r>
        <w:rPr>
          <w:b/>
          <w:spacing w:val="-3"/>
          <w:sz w:val="21"/>
        </w:rPr>
        <w:t>我们在给付各项保险金、退还现金价值或返还保险费时，如果您有欠交的保险费或其他未还清</w:t>
      </w:r>
      <w:r>
        <w:rPr>
          <w:b/>
          <w:spacing w:val="-6"/>
          <w:sz w:val="21"/>
        </w:rPr>
        <w:t>款项，我们会在扣除上述款项及累积利息后给付。我们按合同约定解除本附加险合同、自始不承担</w:t>
      </w:r>
      <w:r>
        <w:rPr>
          <w:b/>
          <w:spacing w:val="-6"/>
          <w:w w:val="95"/>
          <w:sz w:val="21"/>
        </w:rPr>
        <w:t>保险责任并退还保险费的，还需扣除已给付过的任何保险金及您已领取的其他款项。</w:t>
      </w:r>
    </w:p>
    <w:p>
      <w:pPr>
        <w:pStyle w:val="BodyText"/>
        <w:spacing w:before="4"/>
        <w:rPr>
          <w:b/>
          <w:sz w:val="23"/>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3" w:id="25"/>
      <w:bookmarkEnd w:id="25"/>
      <w:r>
        <w:rPr>
          <w:w w:val="95"/>
        </w:rPr>
        <w:t>职业或工种变更</w:t>
      </w:r>
    </w:p>
    <w:p>
      <w:pPr>
        <w:spacing w:line="261" w:lineRule="auto" w:before="8"/>
        <w:ind w:left="120" w:right="139" w:firstLine="420"/>
        <w:jc w:val="both"/>
        <w:rPr>
          <w:b/>
          <w:sz w:val="21"/>
        </w:rPr>
      </w:pPr>
      <w:r>
        <w:rPr>
          <w:spacing w:val="-3"/>
          <w:sz w:val="21"/>
        </w:rPr>
        <w:t>被保险人变更职业或工种时，您或被保险人应于被保险人变更职业或工种之日起十日内以书面</w:t>
      </w:r>
      <w:r>
        <w:rPr>
          <w:spacing w:val="-7"/>
          <w:sz w:val="21"/>
        </w:rPr>
        <w:t>形式通知我们。</w:t>
      </w:r>
      <w:r>
        <w:rPr>
          <w:b/>
          <w:spacing w:val="-2"/>
          <w:sz w:val="21"/>
        </w:rPr>
        <w:t>若职业或工种的变更导致续期保险费的调整，请您按调整后的保险费交付以后各期</w:t>
      </w:r>
      <w:r>
        <w:rPr>
          <w:b/>
          <w:spacing w:val="-8"/>
          <w:sz w:val="21"/>
        </w:rPr>
        <w:t>保险费。如果被保险人变更的职业或工种，按照我们的职业和工种分类，在拒保范围内的，我们有</w:t>
      </w:r>
      <w:r>
        <w:rPr>
          <w:b/>
          <w:spacing w:val="-12"/>
          <w:w w:val="95"/>
          <w:sz w:val="21"/>
        </w:rPr>
        <w:t>权解除本附加险合同，并向您退还本附加险合同的现金价值，如果我们已给付过任何保险金，则不   </w:t>
      </w:r>
      <w:r>
        <w:rPr>
          <w:b/>
          <w:spacing w:val="-12"/>
          <w:sz w:val="21"/>
        </w:rPr>
        <w:t>退还。</w:t>
      </w:r>
    </w:p>
    <w:p>
      <w:pPr>
        <w:pStyle w:val="BodyText"/>
        <w:spacing w:before="3"/>
        <w:rPr>
          <w:b/>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2" w:id="26"/>
      <w:bookmarkEnd w:id="26"/>
      <w:r>
        <w:rPr>
          <w:w w:val="95"/>
        </w:rPr>
        <w:t>与主险合同效力的关系</w:t>
      </w:r>
    </w:p>
    <w:p>
      <w:pPr>
        <w:pStyle w:val="BodyText"/>
        <w:spacing w:before="8"/>
        <w:ind w:left="540"/>
      </w:pPr>
      <w:r>
        <w:rPr/>
        <w:t>除本附加险合同另有约定外，</w:t>
      </w:r>
    </w:p>
    <w:p>
      <w:pPr>
        <w:pStyle w:val="BodyText"/>
        <w:spacing w:line="291" w:lineRule="exact" w:before="24"/>
        <w:ind w:left="540"/>
      </w:pPr>
      <w:r>
        <w:rPr/>
        <w:t>（</w:t>
      </w:r>
      <w:r>
        <w:rPr>
          <w:rFonts w:ascii="Times New Roman" w:eastAsia="Times New Roman"/>
        </w:rPr>
        <w:t>1</w:t>
      </w:r>
      <w:r>
        <w:rPr/>
        <w:t>）主险合同效力中止，本附加险合同效力同时中止；</w:t>
      </w:r>
    </w:p>
    <w:p>
      <w:pPr>
        <w:pStyle w:val="BodyText"/>
        <w:spacing w:before="0"/>
        <w:ind w:left="540"/>
      </w:pPr>
      <w:r>
        <w:rPr/>
        <w:t>（</w:t>
      </w:r>
      <w:r>
        <w:rPr>
          <w:rFonts w:ascii="Times New Roman" w:eastAsia="Times New Roman"/>
        </w:rPr>
        <w:t>2</w:t>
      </w:r>
      <w:r>
        <w:rPr/>
        <w:t>）主险合同效力终止，本附加险合同效力同时终止。</w:t>
      </w:r>
    </w:p>
    <w:p>
      <w:pPr>
        <w:pStyle w:val="BodyText"/>
        <w:spacing w:before="4"/>
        <w:rPr>
          <w:sz w:val="24"/>
        </w:rPr>
      </w:pPr>
    </w:p>
    <w:p>
      <w:pPr>
        <w:pStyle w:val="Heading2"/>
        <w:numPr>
          <w:ilvl w:val="1"/>
          <w:numId w:val="2"/>
        </w:numPr>
        <w:tabs>
          <w:tab w:pos="593" w:val="left" w:leader="none"/>
          <w:tab w:pos="595" w:val="left" w:leader="none"/>
        </w:tabs>
        <w:spacing w:line="240" w:lineRule="auto" w:before="0" w:after="0"/>
        <w:ind w:left="594" w:right="0" w:hanging="474"/>
        <w:jc w:val="left"/>
      </w:pPr>
      <w:bookmarkStart w:name="_TOC_250001" w:id="27"/>
      <w:bookmarkEnd w:id="27"/>
      <w:r>
        <w:rPr>
          <w:w w:val="95"/>
        </w:rPr>
        <w:t>适用主险合同条款</w:t>
      </w:r>
    </w:p>
    <w:p>
      <w:pPr>
        <w:pStyle w:val="BodyText"/>
        <w:spacing w:before="9"/>
        <w:ind w:left="120"/>
      </w:pPr>
      <w:r>
        <w:rPr/>
        <w:t>（</w:t>
      </w:r>
      <w:r>
        <w:rPr>
          <w:rFonts w:ascii="Times New Roman" w:eastAsia="Times New Roman"/>
        </w:rPr>
        <w:t>1</w:t>
      </w:r>
      <w:r>
        <w:rPr/>
        <w:t>） 犹豫期</w:t>
      </w:r>
    </w:p>
    <w:p>
      <w:pPr>
        <w:pStyle w:val="BodyText"/>
        <w:spacing w:before="9"/>
        <w:ind w:left="120"/>
      </w:pPr>
      <w:r>
        <w:rPr/>
        <w:t>（</w:t>
      </w:r>
      <w:r>
        <w:rPr>
          <w:rFonts w:ascii="Times New Roman" w:eastAsia="Times New Roman"/>
        </w:rPr>
        <w:t>2</w:t>
      </w:r>
      <w:r>
        <w:rPr/>
        <w:t>）保险事故的通知</w:t>
      </w:r>
    </w:p>
    <w:p>
      <w:pPr>
        <w:pStyle w:val="BodyText"/>
        <w:spacing w:before="9"/>
        <w:ind w:left="120"/>
      </w:pPr>
      <w:r>
        <w:rPr/>
        <w:t>（</w:t>
      </w:r>
      <w:r>
        <w:rPr>
          <w:rFonts w:ascii="Times New Roman" w:eastAsia="Times New Roman"/>
        </w:rPr>
        <w:t>3</w:t>
      </w:r>
      <w:r>
        <w:rPr/>
        <w:t>）保险金的给付</w:t>
      </w:r>
    </w:p>
    <w:p>
      <w:pPr>
        <w:pStyle w:val="BodyText"/>
        <w:spacing w:before="9"/>
        <w:ind w:left="120"/>
      </w:pPr>
      <w:r>
        <w:rPr/>
        <w:t>（</w:t>
      </w:r>
      <w:r>
        <w:rPr>
          <w:rFonts w:ascii="Times New Roman" w:eastAsia="Times New Roman"/>
        </w:rPr>
        <w:t>4</w:t>
      </w:r>
      <w:r>
        <w:rPr/>
        <w:t>）宽限期</w:t>
      </w:r>
    </w:p>
    <w:p>
      <w:pPr>
        <w:pStyle w:val="BodyText"/>
        <w:spacing w:before="9"/>
        <w:ind w:left="120"/>
      </w:pPr>
      <w:r>
        <w:rPr/>
        <w:t>（</w:t>
      </w:r>
      <w:r>
        <w:rPr>
          <w:rFonts w:ascii="Times New Roman" w:eastAsia="Times New Roman"/>
        </w:rPr>
        <w:t>5</w:t>
      </w:r>
      <w:r>
        <w:rPr/>
        <w:t>）保单贷款</w:t>
      </w:r>
    </w:p>
    <w:p>
      <w:pPr>
        <w:pStyle w:val="BodyText"/>
        <w:spacing w:before="9"/>
        <w:ind w:left="120"/>
      </w:pPr>
      <w:r>
        <w:rPr/>
        <w:t>（</w:t>
      </w:r>
      <w:r>
        <w:rPr>
          <w:rFonts w:ascii="Times New Roman" w:eastAsia="Times New Roman"/>
        </w:rPr>
        <w:t>6</w:t>
      </w:r>
      <w:r>
        <w:rPr/>
        <w:t>）您解除合同的手续及风险</w:t>
      </w:r>
    </w:p>
    <w:p>
      <w:pPr>
        <w:pStyle w:val="BodyText"/>
        <w:spacing w:before="9"/>
        <w:ind w:left="120"/>
      </w:pPr>
      <w:r>
        <w:rPr/>
        <w:t>（</w:t>
      </w:r>
      <w:r>
        <w:rPr>
          <w:rFonts w:ascii="Times New Roman" w:eastAsia="Times New Roman"/>
        </w:rPr>
        <w:t>7</w:t>
      </w:r>
      <w:r>
        <w:rPr/>
        <w:t>）明确说明与如实告知</w:t>
      </w:r>
    </w:p>
    <w:p>
      <w:pPr>
        <w:pStyle w:val="BodyText"/>
        <w:spacing w:before="9"/>
        <w:ind w:left="120"/>
      </w:pPr>
      <w:r>
        <w:rPr/>
        <w:t>（</w:t>
      </w:r>
      <w:r>
        <w:rPr>
          <w:rFonts w:ascii="Times New Roman" w:eastAsia="Times New Roman"/>
        </w:rPr>
        <w:t>8</w:t>
      </w:r>
      <w:r>
        <w:rPr/>
        <w:t>）我们行使合同解除权的限制</w:t>
      </w:r>
    </w:p>
    <w:p>
      <w:pPr>
        <w:pStyle w:val="BodyText"/>
        <w:spacing w:before="9"/>
        <w:ind w:left="120"/>
      </w:pPr>
      <w:r>
        <w:rPr/>
        <w:t>（</w:t>
      </w:r>
      <w:r>
        <w:rPr>
          <w:rFonts w:ascii="Times New Roman" w:eastAsia="Times New Roman"/>
        </w:rPr>
        <w:t>9</w:t>
      </w:r>
      <w:r>
        <w:rPr/>
        <w:t>）合同内容变更</w:t>
      </w:r>
    </w:p>
    <w:p>
      <w:pPr>
        <w:pStyle w:val="BodyText"/>
        <w:spacing w:before="9"/>
        <w:ind w:left="120"/>
      </w:pPr>
      <w:r>
        <w:rPr/>
        <w:t>（</w:t>
      </w:r>
      <w:r>
        <w:rPr>
          <w:rFonts w:ascii="Times New Roman" w:eastAsia="Times New Roman"/>
        </w:rPr>
        <w:t>10</w:t>
      </w:r>
      <w:r>
        <w:rPr/>
        <w:t>）联系方式变更</w:t>
      </w:r>
    </w:p>
    <w:p>
      <w:pPr>
        <w:pStyle w:val="BodyText"/>
        <w:spacing w:before="9"/>
        <w:ind w:left="120"/>
      </w:pPr>
      <w:r>
        <w:rPr/>
        <w:t>（</w:t>
      </w:r>
      <w:r>
        <w:rPr>
          <w:rFonts w:ascii="Times New Roman" w:eastAsia="Times New Roman"/>
        </w:rPr>
        <w:t>11</w:t>
      </w:r>
      <w:r>
        <w:rPr/>
        <w:t>）争议处理</w:t>
      </w:r>
    </w:p>
    <w:p>
      <w:pPr>
        <w:spacing w:after="0"/>
        <w:sectPr>
          <w:pgSz w:w="11910" w:h="16840"/>
          <w:pgMar w:header="0" w:footer="959" w:top="920" w:bottom="1200" w:left="1320" w:right="1320"/>
        </w:sectPr>
      </w:pPr>
    </w:p>
    <w:p>
      <w:pPr>
        <w:pStyle w:val="BodyText"/>
        <w:spacing w:before="13"/>
        <w:ind w:left="540"/>
      </w:pPr>
      <w:r>
        <w:rPr/>
        <w:t>若主险合同与本附加险合同的条款相抵触的，以本附加险合同的条款为准。</w:t>
      </w:r>
    </w:p>
    <w:p>
      <w:pPr>
        <w:pStyle w:val="BodyText"/>
        <w:spacing w:before="0"/>
        <w:rPr>
          <w:sz w:val="20"/>
        </w:rPr>
      </w:pPr>
    </w:p>
    <w:p>
      <w:pPr>
        <w:pStyle w:val="BodyText"/>
        <w:spacing w:before="6"/>
        <w:rPr>
          <w:sz w:val="26"/>
        </w:rPr>
      </w:pPr>
    </w:p>
    <w:p>
      <w:pPr>
        <w:pStyle w:val="Heading2"/>
      </w:pPr>
      <w:bookmarkStart w:name="_TOC_250000" w:id="28"/>
      <w:bookmarkEnd w:id="28"/>
      <w:r>
        <w:rPr>
          <w:w w:val="95"/>
        </w:rPr>
        <w:t>附件一：重大疾病名称和定义</w:t>
      </w:r>
    </w:p>
    <w:p>
      <w:pPr>
        <w:pStyle w:val="BodyText"/>
        <w:spacing w:before="11"/>
        <w:ind w:left="228"/>
      </w:pPr>
      <w:r>
        <w:rPr>
          <w:spacing w:val="-2"/>
        </w:rPr>
        <w:t>重大疾病： </w:t>
      </w:r>
      <w:r>
        <w:rPr/>
        <w:t>（</w:t>
      </w:r>
      <w:r>
        <w:rPr>
          <w:spacing w:val="-12"/>
        </w:rPr>
        <w:t>包括以下 </w:t>
      </w:r>
      <w:r>
        <w:rPr/>
        <w:t>20</w:t>
      </w:r>
      <w:r>
        <w:rPr>
          <w:spacing w:val="-20"/>
        </w:rPr>
        <w:t> 种,其中 </w:t>
      </w:r>
      <w:r>
        <w:rPr/>
        <w:t>1-19</w:t>
      </w:r>
      <w:r>
        <w:rPr>
          <w:spacing w:val="-20"/>
        </w:rPr>
        <w:t> 种疾病为 </w:t>
      </w:r>
      <w:r>
        <w:rPr/>
        <w:t>2007</w:t>
      </w:r>
      <w:r>
        <w:rPr>
          <w:spacing w:val="-39"/>
        </w:rPr>
        <w:t> 年 </w:t>
      </w:r>
      <w:r>
        <w:rPr/>
        <w:t>4</w:t>
      </w:r>
      <w:r>
        <w:rPr>
          <w:spacing w:val="-39"/>
        </w:rPr>
        <w:t> 月 </w:t>
      </w:r>
      <w:r>
        <w:rPr/>
        <w:t>3</w:t>
      </w:r>
      <w:r>
        <w:rPr>
          <w:spacing w:val="-8"/>
        </w:rPr>
        <w:t> 日开始使用的中国保险行业协会</w:t>
      </w:r>
    </w:p>
    <w:p>
      <w:pPr>
        <w:pStyle w:val="BodyText"/>
        <w:spacing w:line="273" w:lineRule="auto" w:before="36"/>
        <w:ind w:left="228" w:right="270"/>
        <w:rPr>
          <w:b/>
        </w:rPr>
      </w:pPr>
      <w:r>
        <w:rPr>
          <w:spacing w:val="-2"/>
        </w:rPr>
        <w:t>与中国医师协会制定的《重大疾病保险的疾病定义使用规范》中的规范定义疾病，第 </w:t>
      </w:r>
      <w:r>
        <w:rPr/>
        <w:t>20</w:t>
      </w:r>
      <w:r>
        <w:rPr>
          <w:spacing w:val="-15"/>
        </w:rPr>
        <w:t> 种为我们增加的疾病。以下所有疾病应由</w:t>
      </w:r>
      <w:r>
        <w:rPr>
          <w:b/>
          <w:spacing w:val="-15"/>
        </w:rPr>
        <w:t>专科医生</w:t>
      </w:r>
      <w:r>
        <w:rPr>
          <w:b/>
          <w:spacing w:val="-15"/>
          <w:position w:val="11"/>
          <w:sz w:val="11"/>
        </w:rPr>
        <w:t>19</w:t>
      </w:r>
      <w:r>
        <w:rPr>
          <w:spacing w:val="-45"/>
        </w:rPr>
        <w:t>诊断。</w:t>
      </w:r>
      <w:r>
        <w:rPr>
          <w:b/>
        </w:rPr>
        <w:t>）</w:t>
      </w:r>
    </w:p>
    <w:p>
      <w:pPr>
        <w:pStyle w:val="ListParagraph"/>
        <w:numPr>
          <w:ilvl w:val="0"/>
          <w:numId w:val="3"/>
        </w:numPr>
        <w:tabs>
          <w:tab w:pos="385" w:val="left" w:leader="none"/>
          <w:tab w:pos="2827" w:val="left" w:leader="none"/>
        </w:tabs>
        <w:spacing w:line="295" w:lineRule="exact" w:before="0" w:after="0"/>
        <w:ind w:left="2984" w:right="0" w:hanging="286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before="22"/>
        <w:ind w:left="3004" w:right="12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left="3004" w:right="148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5" w:val="left" w:leader="none"/>
          <w:tab w:pos="2827" w:val="left" w:leader="none"/>
        </w:tabs>
        <w:spacing w:line="240" w:lineRule="auto" w:before="12" w:after="0"/>
        <w:ind w:left="2984" w:right="0" w:hanging="286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ind w:left="3004"/>
        <w:jc w:val="both"/>
      </w:pPr>
      <w:r>
        <w:rPr/>
        <w:t>足下列至少三项条件：</w:t>
      </w:r>
    </w:p>
    <w:p>
      <w:pPr>
        <w:pStyle w:val="BodyText"/>
        <w:spacing w:before="37"/>
        <w:ind w:left="3004"/>
        <w:jc w:val="both"/>
      </w:pPr>
      <w:r>
        <w:rPr/>
        <w:t>（</w:t>
      </w:r>
      <w:r>
        <w:rPr>
          <w:rFonts w:ascii="Times New Roman" w:eastAsia="Times New Roman"/>
        </w:rPr>
        <w:t>1</w:t>
      </w:r>
      <w:r>
        <w:rPr/>
        <w:t>）典型临床表现，例如急性胸痛等；</w:t>
      </w:r>
    </w:p>
    <w:p>
      <w:pPr>
        <w:pStyle w:val="BodyText"/>
        <w:ind w:left="3004"/>
        <w:jc w:val="both"/>
      </w:pPr>
      <w:r>
        <w:rPr/>
        <w:t>（</w:t>
      </w:r>
      <w:r>
        <w:rPr>
          <w:rFonts w:ascii="Times New Roman" w:eastAsia="Times New Roman"/>
        </w:rPr>
        <w:t>2</w:t>
      </w:r>
      <w:r>
        <w:rPr/>
        <w:t>）新近的心电图改变提示急性心肌梗塞；</w:t>
      </w:r>
    </w:p>
    <w:p>
      <w:pPr>
        <w:pStyle w:val="BodyText"/>
        <w:spacing w:line="256" w:lineRule="auto"/>
        <w:ind w:left="3004" w:right="1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1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5" w:val="left" w:leader="none"/>
          <w:tab w:pos="2827" w:val="left" w:leader="none"/>
        </w:tabs>
        <w:spacing w:line="296" w:lineRule="exact" w:before="0" w:after="0"/>
        <w:ind w:left="384" w:right="0" w:hanging="26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ind w:left="3004"/>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jc w:val="both"/>
      </w:pPr>
      <w:r>
        <w:rPr/>
        <w:t>天后，仍遗留下列一种或一种以上障碍：</w:t>
      </w:r>
    </w:p>
    <w:p>
      <w:pPr>
        <w:spacing w:before="36"/>
        <w:ind w:left="3004"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20</w:t>
      </w:r>
      <w:r>
        <w:rPr>
          <w:rFonts w:ascii="Times New Roman" w:eastAsia="Times New Roman"/>
          <w:b/>
          <w:w w:val="95"/>
          <w:sz w:val="21"/>
          <w:vertAlign w:val="baseline"/>
        </w:rPr>
      </w:r>
      <w:r>
        <w:rPr>
          <w:w w:val="95"/>
          <w:sz w:val="21"/>
          <w:vertAlign w:val="baseline"/>
        </w:rPr>
        <w:t>；</w:t>
      </w:r>
    </w:p>
    <w:p>
      <w:pPr>
        <w:pStyle w:val="Heading2"/>
        <w:spacing w:before="20"/>
        <w:ind w:left="3004"/>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21</w:t>
      </w:r>
      <w:r>
        <w:rPr>
          <w:rFonts w:ascii="Times New Roman" w:eastAsia="Times New Roman"/>
          <w:w w:val="95"/>
          <w:vertAlign w:val="baseline"/>
        </w:rPr>
      </w:r>
      <w:r>
        <w:rPr>
          <w:b w:val="0"/>
          <w:w w:val="95"/>
          <w:vertAlign w:val="baseline"/>
        </w:rPr>
        <w:t>；</w:t>
      </w:r>
    </w:p>
    <w:p>
      <w:pPr>
        <w:spacing w:line="256" w:lineRule="auto" w:before="20"/>
        <w:ind w:left="3004" w:right="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22</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1220" w:bottom="1140" w:left="1320" w:right="1160"/>
        </w:sectPr>
      </w:pPr>
    </w:p>
    <w:p>
      <w:pPr>
        <w:pStyle w:val="BodyText"/>
        <w:ind w:left="120"/>
      </w:pPr>
      <w:r>
        <w:rPr/>
        <w:t>细胞移植术</w:t>
      </w:r>
    </w:p>
    <w:p>
      <w:pPr>
        <w:pStyle w:val="BodyText"/>
        <w:ind w:left="120"/>
      </w:pPr>
      <w:r>
        <w:rPr/>
        <w:br w:type="column"/>
      </w:r>
      <w:r>
        <w:rPr/>
        <w:t>心脏或肺脏的异体移植手术。</w:t>
      </w:r>
    </w:p>
    <w:p>
      <w:pPr>
        <w:pStyle w:val="BodyText"/>
        <w:spacing w:before="37"/>
        <w:ind w:left="120"/>
      </w:pPr>
      <w:r>
        <w:rPr/>
        <w:t>造血干细胞移植术，指因造血功能损害或造血系统恶性肿瘤，已经实</w:t>
      </w:r>
    </w:p>
    <w:p>
      <w:pPr>
        <w:spacing w:after="0"/>
        <w:sectPr>
          <w:type w:val="continuous"/>
          <w:pgSz w:w="11910" w:h="16840"/>
          <w:pgMar w:top="920" w:bottom="1140" w:left="1320" w:right="1160"/>
          <w:cols w:num="2" w:equalWidth="0">
            <w:col w:w="1171" w:space="1714"/>
            <w:col w:w="6545"/>
          </w:cols>
        </w:sectPr>
      </w:pPr>
    </w:p>
    <w:p>
      <w:pPr>
        <w:pStyle w:val="BodyText"/>
        <w:spacing w:before="8"/>
      </w:pPr>
    </w:p>
    <w:p>
      <w:pPr>
        <w:pStyle w:val="BodyText"/>
        <w:spacing w:line="20" w:lineRule="exact" w:before="0"/>
        <w:ind w:left="114"/>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3999pt" strokecolor="#000000">
              <v:stroke dashstyle="solid"/>
            </v:line>
          </v:group>
        </w:pict>
      </w:r>
      <w:r>
        <w:rPr>
          <w:spacing w:val="2"/>
          <w:sz w:val="2"/>
        </w:rPr>
      </w:r>
    </w:p>
    <w:p>
      <w:pPr>
        <w:spacing w:line="235" w:lineRule="exact" w:before="51"/>
        <w:ind w:left="120" w:right="0" w:firstLine="0"/>
        <w:jc w:val="left"/>
        <w:rPr>
          <w:rFonts w:ascii="楷体" w:eastAsia="楷体" w:hint="eastAsia"/>
          <w:sz w:val="18"/>
        </w:rPr>
      </w:pPr>
      <w:r>
        <w:rPr>
          <w:rFonts w:ascii="Times New Roman" w:eastAsia="Times New Roman"/>
          <w:position w:val="8"/>
          <w:sz w:val="12"/>
        </w:rPr>
        <w:t>19</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line="237" w:lineRule="auto" w:before="1"/>
        <w:ind w:left="119" w:right="27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21</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3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7"/>
        <w:ind w:left="120" w:right="3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920" w:bottom="1140" w:left="1320" w:right="1160"/>
        </w:sectPr>
      </w:pPr>
    </w:p>
    <w:p>
      <w:pPr>
        <w:pStyle w:val="BodyText"/>
        <w:spacing w:line="273" w:lineRule="auto"/>
        <w:ind w:left="2984" w:right="222"/>
      </w:pPr>
      <w:r>
        <w:rPr/>
        <w:t>施了造血干细胞（包括骨髓造血干细胞、外周血造血干细胞和脐血造血干细胞）的异体移植手术。</w:t>
      </w:r>
    </w:p>
    <w:p>
      <w:pPr>
        <w:pStyle w:val="ListParagraph"/>
        <w:numPr>
          <w:ilvl w:val="0"/>
          <w:numId w:val="3"/>
        </w:numPr>
        <w:tabs>
          <w:tab w:pos="364" w:val="left" w:leader="none"/>
        </w:tabs>
        <w:spacing w:line="298" w:lineRule="exact" w:before="0" w:after="0"/>
        <w:ind w:left="364" w:right="0" w:hanging="26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98" w:lineRule="exact"/>
        <w:jc w:val="left"/>
        <w:rPr>
          <w:sz w:val="21"/>
        </w:rPr>
        <w:sectPr>
          <w:pgSz w:w="11910" w:h="16840"/>
          <w:pgMar w:header="0" w:footer="959" w:top="900" w:bottom="1200" w:left="1340" w:right="1060"/>
        </w:sectPr>
      </w:pPr>
    </w:p>
    <w:p>
      <w:pPr>
        <w:pStyle w:val="BodyText"/>
        <w:ind w:left="100"/>
      </w:pPr>
      <w:r>
        <w:rPr/>
        <w:t>动脉旁路移植术）</w:t>
      </w:r>
    </w:p>
    <w:p>
      <w:pPr>
        <w:pStyle w:val="BodyText"/>
        <w:ind w:left="100"/>
      </w:pPr>
      <w:r>
        <w:rPr/>
        <w:br w:type="column"/>
      </w:r>
      <w:r>
        <w:rPr/>
        <w:t>植的手术。</w:t>
      </w:r>
    </w:p>
    <w:p>
      <w:pPr>
        <w:pStyle w:val="BodyText"/>
        <w:spacing w:line="273" w:lineRule="auto" w:before="36"/>
        <w:ind w:left="10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920" w:bottom="1140" w:left="1340" w:right="1060"/>
          <w:cols w:num="2" w:equalWidth="0">
            <w:col w:w="1781" w:space="1104"/>
            <w:col w:w="6625"/>
          </w:cols>
        </w:sectPr>
      </w:pPr>
    </w:p>
    <w:p>
      <w:pPr>
        <w:pStyle w:val="ListParagraph"/>
        <w:numPr>
          <w:ilvl w:val="0"/>
          <w:numId w:val="3"/>
        </w:numPr>
        <w:tabs>
          <w:tab w:pos="364" w:val="left" w:leader="none"/>
        </w:tabs>
        <w:spacing w:line="298" w:lineRule="exact" w:before="0" w:after="0"/>
        <w:ind w:left="364" w:right="0" w:hanging="26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8" w:lineRule="exact"/>
        <w:jc w:val="left"/>
        <w:rPr>
          <w:sz w:val="21"/>
        </w:rPr>
        <w:sectPr>
          <w:type w:val="continuous"/>
          <w:pgSz w:w="11910" w:h="16840"/>
          <w:pgMar w:top="920" w:bottom="1140" w:left="1340" w:right="1060"/>
        </w:sectPr>
      </w:pPr>
    </w:p>
    <w:p>
      <w:pPr>
        <w:pStyle w:val="BodyText"/>
        <w:ind w:left="100"/>
      </w:pPr>
      <w:r>
        <w:rPr/>
        <w:t>能衰竭尿毒症期）</w:t>
      </w:r>
    </w:p>
    <w:p>
      <w:pPr>
        <w:pStyle w:val="BodyText"/>
        <w:ind w:left="10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920" w:bottom="1140" w:left="1340" w:right="1060"/>
          <w:cols w:num="2" w:equalWidth="0">
            <w:col w:w="1781" w:space="1104"/>
            <w:col w:w="6625"/>
          </w:cols>
        </w:sectPr>
      </w:pPr>
    </w:p>
    <w:p>
      <w:pPr>
        <w:pStyle w:val="ListParagraph"/>
        <w:numPr>
          <w:ilvl w:val="0"/>
          <w:numId w:val="3"/>
        </w:numPr>
        <w:tabs>
          <w:tab w:pos="364" w:val="left" w:leader="none"/>
          <w:tab w:pos="2807" w:val="left" w:leader="none"/>
        </w:tabs>
        <w:spacing w:line="256" w:lineRule="auto" w:before="11" w:after="0"/>
        <w:ind w:left="298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64" w:val="left" w:leader="none"/>
          <w:tab w:pos="2807" w:val="left" w:leader="none"/>
        </w:tabs>
        <w:spacing w:line="240" w:lineRule="auto" w:before="12" w:after="0"/>
        <w:ind w:left="364" w:right="0" w:hanging="26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ind w:left="2984"/>
      </w:pPr>
      <w:r>
        <w:rPr/>
        <w:t>且经血清学或病毒学检查证实，并须满足下列全部条件：</w:t>
      </w:r>
    </w:p>
    <w:p>
      <w:pPr>
        <w:pStyle w:val="BodyText"/>
        <w:spacing w:before="37"/>
        <w:ind w:left="2984"/>
      </w:pPr>
      <w:r>
        <w:rPr/>
        <w:t>（</w:t>
      </w:r>
      <w:r>
        <w:rPr>
          <w:rFonts w:ascii="Times New Roman" w:eastAsia="Times New Roman"/>
        </w:rPr>
        <w:t>1</w:t>
      </w:r>
      <w:r>
        <w:rPr/>
        <w:t>）重度黄疸或黄疸迅速加重；</w:t>
      </w:r>
    </w:p>
    <w:p>
      <w:pPr>
        <w:pStyle w:val="BodyText"/>
        <w:ind w:left="2984"/>
      </w:pPr>
      <w:r>
        <w:rPr/>
        <w:t>（</w:t>
      </w:r>
      <w:r>
        <w:rPr>
          <w:rFonts w:ascii="Times New Roman" w:eastAsia="Times New Roman"/>
        </w:rPr>
        <w:t>2</w:t>
      </w:r>
      <w:r>
        <w:rPr/>
        <w:t>）肝性脑病；</w:t>
      </w:r>
    </w:p>
    <w:p>
      <w:pPr>
        <w:pStyle w:val="BodyText"/>
        <w:ind w:left="298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ind w:left="2984"/>
      </w:pPr>
      <w:r>
        <w:rPr/>
        <w:t>（</w:t>
      </w:r>
      <w:r>
        <w:rPr>
          <w:rFonts w:ascii="Times New Roman" w:eastAsia="Times New Roman"/>
        </w:rPr>
        <w:t>4</w:t>
      </w:r>
      <w:r>
        <w:rPr/>
        <w:t>）肝功能指标进行性恶化。</w:t>
      </w:r>
    </w:p>
    <w:p>
      <w:pPr>
        <w:pStyle w:val="ListParagraph"/>
        <w:numPr>
          <w:ilvl w:val="0"/>
          <w:numId w:val="3"/>
        </w:numPr>
        <w:tabs>
          <w:tab w:pos="365" w:val="left" w:leader="none"/>
          <w:tab w:pos="2807" w:val="left" w:leader="none"/>
        </w:tabs>
        <w:spacing w:line="240" w:lineRule="auto" w:before="11" w:after="0"/>
        <w:ind w:left="36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ind w:left="2984"/>
      </w:pPr>
      <w:r>
        <w:rPr/>
        <w:t>精神症状、癫痫及运动感觉障碍等，并危及生命。须由头颅断层扫描</w:t>
      </w:r>
    </w:p>
    <w:p>
      <w:pPr>
        <w:pStyle w:val="BodyText"/>
        <w:spacing w:line="256" w:lineRule="auto" w:before="37"/>
        <w:ind w:left="298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2984"/>
      </w:pPr>
      <w:r>
        <w:rPr/>
        <w:t>（</w:t>
      </w:r>
      <w:r>
        <w:rPr>
          <w:rFonts w:ascii="Times New Roman" w:eastAsia="Times New Roman"/>
        </w:rPr>
        <w:t>1</w:t>
      </w:r>
      <w:r>
        <w:rPr/>
        <w:t>）实际实施了开颅进行的脑肿瘤完全切除或部分切除的手术；</w:t>
      </w:r>
    </w:p>
    <w:p>
      <w:pPr>
        <w:pStyle w:val="BodyText"/>
        <w:ind w:left="2984"/>
      </w:pPr>
      <w:r>
        <w:rPr/>
        <w:t>（</w:t>
      </w:r>
      <w:r>
        <w:rPr>
          <w:rFonts w:ascii="Times New Roman" w:eastAsia="Times New Roman"/>
        </w:rPr>
        <w:t>2</w:t>
      </w:r>
      <w:r>
        <w:rPr/>
        <w:t>）实际实施了对脑肿瘤进行的放射治疗。</w:t>
      </w:r>
    </w:p>
    <w:p>
      <w:pPr>
        <w:pStyle w:val="BodyText"/>
        <w:ind w:left="2984"/>
      </w:pPr>
      <w:r>
        <w:rPr/>
        <w:t>脑垂体瘤、脑囊肿、脑血管性疾病不在保障范围内。</w:t>
      </w:r>
    </w:p>
    <w:p>
      <w:pPr>
        <w:pStyle w:val="ListParagraph"/>
        <w:numPr>
          <w:ilvl w:val="0"/>
          <w:numId w:val="3"/>
        </w:numPr>
        <w:tabs>
          <w:tab w:pos="469" w:val="left" w:leader="none"/>
        </w:tabs>
        <w:spacing w:line="240" w:lineRule="auto" w:before="27" w:after="0"/>
        <w:ind w:left="46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ind w:left="2984"/>
      </w:pPr>
      <w:r>
        <w:rPr/>
        <w:t>（</w:t>
      </w:r>
      <w:r>
        <w:rPr>
          <w:rFonts w:ascii="Times New Roman" w:eastAsia="Times New Roman"/>
        </w:rPr>
        <w:t>1</w:t>
      </w:r>
      <w:r>
        <w:rPr/>
        <w:t>）持续性黄疸；</w:t>
      </w:r>
    </w:p>
    <w:p>
      <w:pPr>
        <w:pStyle w:val="BodyText"/>
        <w:ind w:left="2984"/>
      </w:pPr>
      <w:r>
        <w:rPr/>
        <w:t>（</w:t>
      </w:r>
      <w:r>
        <w:rPr>
          <w:rFonts w:ascii="Times New Roman" w:eastAsia="Times New Roman"/>
        </w:rPr>
        <w:t>2</w:t>
      </w:r>
      <w:r>
        <w:rPr/>
        <w:t>）腹水；</w:t>
      </w:r>
    </w:p>
    <w:p>
      <w:pPr>
        <w:pStyle w:val="BodyText"/>
        <w:ind w:left="2984"/>
      </w:pPr>
      <w:r>
        <w:rPr/>
        <w:t>（</w:t>
      </w:r>
      <w:r>
        <w:rPr>
          <w:rFonts w:ascii="Times New Roman" w:eastAsia="Times New Roman"/>
        </w:rPr>
        <w:t>3</w:t>
      </w:r>
      <w:r>
        <w:rPr/>
        <w:t>）肝性脑病；</w:t>
      </w:r>
    </w:p>
    <w:p>
      <w:pPr>
        <w:pStyle w:val="BodyText"/>
        <w:spacing w:line="256" w:lineRule="auto"/>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before="20"/>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ind w:left="2984"/>
      </w:pPr>
      <w:r>
        <w:rPr/>
        <w:t>（</w:t>
      </w:r>
      <w:r>
        <w:rPr>
          <w:rFonts w:ascii="Times New Roman" w:eastAsia="Times New Roman"/>
        </w:rPr>
        <w:t>2</w:t>
      </w:r>
      <w:r>
        <w:rPr/>
        <w:t>）语言能力或咀嚼吞咽能力完全丧失；</w:t>
      </w:r>
    </w:p>
    <w:p>
      <w:pPr>
        <w:pStyle w:val="BodyText"/>
        <w:spacing w:line="256" w:lineRule="auto"/>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ind w:left="2984"/>
      </w:pPr>
      <w:r>
        <w:rPr/>
        <w:t>的手术。</w:t>
      </w:r>
    </w:p>
    <w:p>
      <w:pPr>
        <w:pStyle w:val="ListParagraph"/>
        <w:numPr>
          <w:ilvl w:val="0"/>
          <w:numId w:val="3"/>
        </w:numPr>
        <w:tabs>
          <w:tab w:pos="469" w:val="left" w:leader="none"/>
          <w:tab w:pos="2807" w:val="left" w:leader="none"/>
        </w:tabs>
        <w:spacing w:line="240" w:lineRule="auto" w:before="26"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before="20"/>
        <w:ind w:left="2984"/>
      </w:pPr>
      <w:r>
        <w:rPr/>
        <w:t>为明显的认知能力障碍、行为异常和社交能力减退，其日常生活必须</w:t>
      </w:r>
    </w:p>
    <w:p>
      <w:pPr>
        <w:spacing w:after="0"/>
        <w:sectPr>
          <w:type w:val="continuous"/>
          <w:pgSz w:w="11910" w:h="16840"/>
          <w:pgMar w:top="920" w:bottom="1140" w:left="1340" w:right="1060"/>
        </w:sectPr>
      </w:pPr>
    </w:p>
    <w:p>
      <w:pPr>
        <w:pStyle w:val="BodyText"/>
        <w:spacing w:line="261" w:lineRule="auto"/>
        <w:ind w:left="3004" w:right="116"/>
      </w:pPr>
      <w:r>
        <w:rPr>
          <w:spacing w:val="-3"/>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8"/>
        <w:ind w:left="3004"/>
      </w:pPr>
      <w:r>
        <w:rPr/>
        <w:t>神经官能症和精神疾病不在保障范围内。</w:t>
      </w:r>
    </w:p>
    <w:p>
      <w:pPr>
        <w:pStyle w:val="ListParagraph"/>
        <w:numPr>
          <w:ilvl w:val="0"/>
          <w:numId w:val="3"/>
        </w:numPr>
        <w:tabs>
          <w:tab w:pos="489" w:val="left" w:leader="none"/>
          <w:tab w:pos="2827" w:val="left" w:leader="none"/>
        </w:tabs>
        <w:spacing w:line="240" w:lineRule="auto" w:before="27" w:after="0"/>
        <w:ind w:left="48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ind w:left="300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3004"/>
      </w:pPr>
      <w:r>
        <w:rPr/>
        <w:t>（</w:t>
      </w:r>
      <w:r>
        <w:rPr>
          <w:rFonts w:ascii="Times New Roman" w:eastAsia="Times New Roman"/>
        </w:rPr>
        <w:t>1</w:t>
      </w:r>
      <w:r>
        <w:rPr/>
        <w:t>）一肢或一肢以上肢体机能完全丧失；</w:t>
      </w:r>
    </w:p>
    <w:p>
      <w:pPr>
        <w:pStyle w:val="BodyText"/>
        <w:spacing w:before="20"/>
        <w:ind w:left="3004"/>
      </w:pPr>
      <w:r>
        <w:rPr/>
        <w:t>（</w:t>
      </w:r>
      <w:r>
        <w:rPr>
          <w:rFonts w:ascii="Times New Roman" w:eastAsia="Times New Roman"/>
        </w:rPr>
        <w:t>2</w:t>
      </w:r>
      <w:r>
        <w:rPr/>
        <w:t>）语言能力或咀嚼吞咽能力完全丧失；</w:t>
      </w:r>
    </w:p>
    <w:p>
      <w:pPr>
        <w:pStyle w:val="BodyText"/>
        <w:spacing w:line="256" w:lineRule="auto" w:before="20"/>
        <w:ind w:left="300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0"/>
        <w:ind w:left="3004"/>
      </w:pPr>
      <w:r>
        <w:rPr/>
        <w:t>等。须满足下列全部条件：</w:t>
      </w:r>
    </w:p>
    <w:p>
      <w:pPr>
        <w:pStyle w:val="BodyText"/>
        <w:spacing w:before="36"/>
        <w:ind w:left="3004"/>
      </w:pPr>
      <w:r>
        <w:rPr/>
        <w:t>（</w:t>
      </w:r>
      <w:r>
        <w:rPr>
          <w:rFonts w:ascii="Times New Roman" w:eastAsia="Times New Roman"/>
        </w:rPr>
        <w:t>1</w:t>
      </w:r>
      <w:r>
        <w:rPr/>
        <w:t>）药物治疗无法控制病情；</w:t>
      </w:r>
    </w:p>
    <w:p>
      <w:pPr>
        <w:pStyle w:val="BodyText"/>
        <w:spacing w:line="256" w:lineRule="auto" w:before="20"/>
        <w:ind w:left="3004" w:right="22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004"/>
      </w:pPr>
      <w:r>
        <w:rPr/>
        <w:t>继发性帕金森综合征不在保障范围内。</w:t>
      </w:r>
    </w:p>
    <w:p>
      <w:pPr>
        <w:pStyle w:val="ListParagraph"/>
        <w:numPr>
          <w:ilvl w:val="0"/>
          <w:numId w:val="3"/>
        </w:numPr>
        <w:tabs>
          <w:tab w:pos="489" w:val="left" w:leader="none"/>
          <w:tab w:pos="2827" w:val="left" w:leader="none"/>
        </w:tabs>
        <w:spacing w:line="240" w:lineRule="auto" w:before="27" w:after="0"/>
        <w:ind w:left="48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ind w:left="3004"/>
      </w:pPr>
      <w:r>
        <w:rPr>
          <w:rFonts w:ascii="Times New Roman" w:eastAsia="Times New Roman"/>
        </w:rPr>
        <w:t>20</w:t>
      </w:r>
      <w:r>
        <w:rPr/>
        <w:t>％以上。体表面积根据《中国新九分法》计算。</w:t>
      </w:r>
    </w:p>
    <w:p>
      <w:pPr>
        <w:pStyle w:val="ListParagraph"/>
        <w:numPr>
          <w:ilvl w:val="0"/>
          <w:numId w:val="3"/>
        </w:numPr>
        <w:tabs>
          <w:tab w:pos="489" w:val="left" w:leader="none"/>
          <w:tab w:pos="2827" w:val="left" w:leader="none"/>
        </w:tabs>
        <w:spacing w:line="240" w:lineRule="auto" w:before="11" w:after="0"/>
        <w:ind w:left="48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56" w:lineRule="auto"/>
        <w:ind w:left="3004" w:right="217"/>
      </w:pPr>
      <w:r>
        <w:rPr/>
        <w:t>病，已经造成</w:t>
      </w:r>
      <w:r>
        <w:rPr>
          <w:b/>
        </w:rPr>
        <w:t>永久不可逆</w:t>
      </w:r>
      <w:r>
        <w:rPr>
          <w:rFonts w:ascii="Times New Roman" w:eastAsia="Times New Roman"/>
          <w:b/>
          <w:vertAlign w:val="superscript"/>
        </w:rPr>
        <w:t>2</w:t>
      </w:r>
      <w:r>
        <w:rPr>
          <w:rFonts w:ascii="Times New Roman" w:eastAsia="Times New Roman"/>
          <w:b/>
          <w:vertAlign w:val="superscript"/>
        </w:rPr>
        <w:t>3</w:t>
      </w:r>
      <w:r>
        <w:rPr>
          <w:rFonts w:ascii="Times New Roman" w:eastAsia="Times New Roman"/>
          <w:b/>
          <w:vertAlign w:val="baseline"/>
        </w:rPr>
      </w:r>
      <w:r>
        <w:rPr>
          <w:vertAlign w:val="baseline"/>
        </w:rPr>
        <w:t>性的体力活动能力受限，达到美国纽约心脏病学会心功能状态分级 </w:t>
      </w:r>
      <w:r>
        <w:rPr>
          <w:rFonts w:ascii="Times New Roman" w:eastAsia="Times New Roman"/>
          <w:vertAlign w:val="baseline"/>
        </w:rPr>
        <w:t>IV  </w:t>
      </w:r>
      <w:r>
        <w:rPr>
          <w:vertAlign w:val="baseline"/>
        </w:rPr>
        <w:t>级，且静息状态下肺动脉平均压超过</w:t>
      </w:r>
    </w:p>
    <w:p>
      <w:pPr>
        <w:pStyle w:val="BodyText"/>
        <w:spacing w:before="5"/>
        <w:ind w:left="3004"/>
      </w:pPr>
      <w:r>
        <w:rPr>
          <w:rFonts w:ascii="Times New Roman" w:eastAsia="Times New Roman"/>
        </w:rPr>
        <w:t>30mmHg</w:t>
      </w:r>
      <w:r>
        <w:rPr/>
        <w:t>。</w:t>
      </w:r>
    </w:p>
    <w:p>
      <w:pPr>
        <w:pStyle w:val="BodyText"/>
        <w:ind w:left="119"/>
      </w:pPr>
      <w:r>
        <w:rPr/>
        <w:t>第 </w:t>
      </w:r>
      <w:r>
        <w:rPr>
          <w:rFonts w:ascii="Times New Roman" w:eastAsia="Times New Roman"/>
        </w:rPr>
        <w:t>20 </w:t>
      </w:r>
      <w:r>
        <w:rPr/>
        <w:t>种为我们增加的疾病</w:t>
      </w:r>
    </w:p>
    <w:p>
      <w:pPr>
        <w:pStyle w:val="ListParagraph"/>
        <w:numPr>
          <w:ilvl w:val="0"/>
          <w:numId w:val="3"/>
        </w:numPr>
        <w:tabs>
          <w:tab w:pos="489" w:val="left" w:leader="none"/>
          <w:tab w:pos="2827" w:val="left" w:leader="none"/>
        </w:tabs>
        <w:spacing w:line="240" w:lineRule="auto" w:before="39" w:after="0"/>
        <w:ind w:left="488" w:right="0" w:hanging="369"/>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left="3004" w:right="22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BodyText"/>
        <w:spacing w:before="4"/>
        <w:rPr>
          <w:sz w:val="22"/>
        </w:rPr>
      </w:pPr>
    </w:p>
    <w:p>
      <w:pPr>
        <w:pStyle w:val="Heading2"/>
        <w:ind w:left="0" w:right="181"/>
        <w:jc w:val="right"/>
      </w:pPr>
      <w:r>
        <w:rPr>
          <w:w w:val="95"/>
        </w:rPr>
        <w:t>〈本页内容结束〉</w:t>
      </w: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0"/>
        <w:rPr>
          <w:b/>
          <w:sz w:val="20"/>
        </w:rPr>
      </w:pPr>
    </w:p>
    <w:p>
      <w:pPr>
        <w:pStyle w:val="BodyText"/>
        <w:spacing w:before="6"/>
        <w:rPr>
          <w:b/>
          <w:sz w:val="19"/>
        </w:rPr>
      </w:pPr>
      <w:r>
        <w:rPr/>
        <w:pict>
          <v:line style="position:absolute;mso-position-horizontal-relative:page;mso-position-vertical-relative:paragraph;z-index:1168;mso-wrap-distance-left:0;mso-wrap-distance-right:0" from="72pt,14.986368pt" to="216pt,14.986368pt" stroked="true" strokeweight=".53998pt" strokecolor="#000000">
            <v:stroke dashstyle="solid"/>
            <w10:wrap type="topAndBottom"/>
          </v:line>
        </w:pict>
      </w:r>
    </w:p>
    <w:p>
      <w:pPr>
        <w:spacing w:before="31"/>
        <w:ind w:left="120" w:right="0" w:firstLine="0"/>
        <w:jc w:val="left"/>
        <w:rPr>
          <w:rFonts w:ascii="楷体" w:eastAsia="楷体" w:hint="eastAsia"/>
          <w:sz w:val="18"/>
        </w:rPr>
      </w:pPr>
      <w:r>
        <w:rPr>
          <w:rFonts w:ascii="Times New Roman" w:eastAsia="Times New Roman"/>
          <w:position w:val="8"/>
          <w:sz w:val="12"/>
        </w:rPr>
        <w:t>23</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sectPr>
      <w:pgSz w:w="11910" w:h="16840"/>
      <w:pgMar w:header="0" w:footer="959" w:top="900" w:bottom="1140" w:left="132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5"/>
      </w:rPr>
    </w:pPr>
    <w:r>
      <w:rPr/>
      <w:pict>
        <v:shapetype id="_x0000_t202" o:spt="202" coordsize="21600,21600" path="m,l,21600r21600,l21600,xe">
          <v:stroke joinstyle="miter"/>
          <v:path gradientshapeok="t" o:connecttype="rect"/>
        </v:shapetype>
        <v:shape style="position:absolute;margin-left:276.739990pt;margin-top:780.699707pt;width:51.5pt;height:12pt;mso-position-horizontal-relative:page;mso-position-vertical-relative:page;z-index:-1280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7</w:t>
                </w:r>
                <w:r>
                  <w:rPr/>
                  <w:fldChar w:fldCharType="end"/>
                </w:r>
                <w:r>
                  <w:rPr>
                    <w:sz w:val="18"/>
                  </w:rPr>
                  <w:t>页 共</w:t>
                </w:r>
                <w:r>
                  <w:rPr>
                    <w:rFonts w:ascii="Times New Roman" w:eastAsia="Times New Roman"/>
                    <w:sz w:val="18"/>
                  </w:rPr>
                  <w:t>9</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84" w:hanging="264"/>
        <w:jc w:val="left"/>
      </w:pPr>
      <w:rPr>
        <w:rFonts w:hint="default" w:ascii="Times New Roman" w:hAnsi="Times New Roman" w:eastAsia="Times New Roman" w:cs="Times New Roman"/>
        <w:spacing w:val="-33"/>
        <w:w w:val="100"/>
        <w:sz w:val="21"/>
        <w:szCs w:val="21"/>
      </w:rPr>
    </w:lvl>
    <w:lvl w:ilvl="1">
      <w:start w:val="0"/>
      <w:numFmt w:val="bullet"/>
      <w:lvlText w:val="•"/>
      <w:lvlJc w:val="left"/>
      <w:pPr>
        <w:ind w:left="3622" w:hanging="264"/>
      </w:pPr>
      <w:rPr>
        <w:rFonts w:hint="default"/>
      </w:rPr>
    </w:lvl>
    <w:lvl w:ilvl="2">
      <w:start w:val="0"/>
      <w:numFmt w:val="bullet"/>
      <w:lvlText w:val="•"/>
      <w:lvlJc w:val="left"/>
      <w:pPr>
        <w:ind w:left="4264" w:hanging="264"/>
      </w:pPr>
      <w:rPr>
        <w:rFonts w:hint="default"/>
      </w:rPr>
    </w:lvl>
    <w:lvl w:ilvl="3">
      <w:start w:val="0"/>
      <w:numFmt w:val="bullet"/>
      <w:lvlText w:val="•"/>
      <w:lvlJc w:val="left"/>
      <w:pPr>
        <w:ind w:left="4907" w:hanging="264"/>
      </w:pPr>
      <w:rPr>
        <w:rFonts w:hint="default"/>
      </w:rPr>
    </w:lvl>
    <w:lvl w:ilvl="4">
      <w:start w:val="0"/>
      <w:numFmt w:val="bullet"/>
      <w:lvlText w:val="•"/>
      <w:lvlJc w:val="left"/>
      <w:pPr>
        <w:ind w:left="5549" w:hanging="264"/>
      </w:pPr>
      <w:rPr>
        <w:rFonts w:hint="default"/>
      </w:rPr>
    </w:lvl>
    <w:lvl w:ilvl="5">
      <w:start w:val="0"/>
      <w:numFmt w:val="bullet"/>
      <w:lvlText w:val="•"/>
      <w:lvlJc w:val="left"/>
      <w:pPr>
        <w:ind w:left="6192" w:hanging="264"/>
      </w:pPr>
      <w:rPr>
        <w:rFonts w:hint="default"/>
      </w:rPr>
    </w:lvl>
    <w:lvl w:ilvl="6">
      <w:start w:val="0"/>
      <w:numFmt w:val="bullet"/>
      <w:lvlText w:val="•"/>
      <w:lvlJc w:val="left"/>
      <w:pPr>
        <w:ind w:left="6834" w:hanging="264"/>
      </w:pPr>
      <w:rPr>
        <w:rFonts w:hint="default"/>
      </w:rPr>
    </w:lvl>
    <w:lvl w:ilvl="7">
      <w:start w:val="0"/>
      <w:numFmt w:val="bullet"/>
      <w:lvlText w:val="•"/>
      <w:lvlJc w:val="left"/>
      <w:pPr>
        <w:ind w:left="7477" w:hanging="264"/>
      </w:pPr>
      <w:rPr>
        <w:rFonts w:hint="default"/>
      </w:rPr>
    </w:lvl>
    <w:lvl w:ilvl="8">
      <w:start w:val="0"/>
      <w:numFmt w:val="bullet"/>
      <w:lvlText w:val="•"/>
      <w:lvlJc w:val="left"/>
      <w:pPr>
        <w:ind w:left="8119" w:hanging="264"/>
      </w:pPr>
      <w:rPr>
        <w:rFonts w:hint="default"/>
      </w:rPr>
    </w:lvl>
  </w:abstractNum>
  <w:abstractNum w:abstractNumId="1">
    <w:multiLevelType w:val="hybridMultilevel"/>
    <w:lvl w:ilvl="0">
      <w:start w:val="1"/>
      <w:numFmt w:val="decimal"/>
      <w:lvlText w:val="%1."/>
      <w:lvlJc w:val="left"/>
      <w:pPr>
        <w:ind w:left="489"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600" w:hanging="474"/>
      </w:pPr>
      <w:rPr>
        <w:rFonts w:hint="default"/>
      </w:rPr>
    </w:lvl>
    <w:lvl w:ilvl="3">
      <w:start w:val="0"/>
      <w:numFmt w:val="bullet"/>
      <w:lvlText w:val="•"/>
      <w:lvlJc w:val="left"/>
      <w:pPr>
        <w:ind w:left="1680" w:hanging="474"/>
      </w:pPr>
      <w:rPr>
        <w:rFonts w:hint="default"/>
      </w:rPr>
    </w:lvl>
    <w:lvl w:ilvl="4">
      <w:start w:val="0"/>
      <w:numFmt w:val="bullet"/>
      <w:lvlText w:val="•"/>
      <w:lvlJc w:val="left"/>
      <w:pPr>
        <w:ind w:left="2761" w:hanging="474"/>
      </w:pPr>
      <w:rPr>
        <w:rFonts w:hint="default"/>
      </w:rPr>
    </w:lvl>
    <w:lvl w:ilvl="5">
      <w:start w:val="0"/>
      <w:numFmt w:val="bullet"/>
      <w:lvlText w:val="•"/>
      <w:lvlJc w:val="left"/>
      <w:pPr>
        <w:ind w:left="3841" w:hanging="474"/>
      </w:pPr>
      <w:rPr>
        <w:rFonts w:hint="default"/>
      </w:rPr>
    </w:lvl>
    <w:lvl w:ilvl="6">
      <w:start w:val="0"/>
      <w:numFmt w:val="bullet"/>
      <w:lvlText w:val="•"/>
      <w:lvlJc w:val="left"/>
      <w:pPr>
        <w:ind w:left="4922" w:hanging="474"/>
      </w:pPr>
      <w:rPr>
        <w:rFonts w:hint="default"/>
      </w:rPr>
    </w:lvl>
    <w:lvl w:ilvl="7">
      <w:start w:val="0"/>
      <w:numFmt w:val="bullet"/>
      <w:lvlText w:val="•"/>
      <w:lvlJc w:val="left"/>
      <w:pPr>
        <w:ind w:left="6002" w:hanging="474"/>
      </w:pPr>
      <w:rPr>
        <w:rFonts w:hint="default"/>
      </w:rPr>
    </w:lvl>
    <w:lvl w:ilvl="8">
      <w:start w:val="0"/>
      <w:numFmt w:val="bullet"/>
      <w:lvlText w:val="•"/>
      <w:lvlJc w:val="left"/>
      <w:pPr>
        <w:ind w:left="7083" w:hanging="474"/>
      </w:pPr>
      <w:rPr>
        <w:rFonts w:hint="default"/>
      </w:rPr>
    </w:lvl>
  </w:abstractNum>
  <w:abstractNum w:abstractNumId="0">
    <w:multiLevelType w:val="hybridMultilevel"/>
    <w:lvl w:ilvl="0">
      <w:start w:val="1"/>
      <w:numFmt w:val="decimal"/>
      <w:lvlText w:val="%1."/>
      <w:lvlJc w:val="left"/>
      <w:pPr>
        <w:ind w:left="471" w:hanging="352"/>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471" w:hanging="351"/>
    </w:pPr>
    <w:rPr>
      <w:rFonts w:ascii="宋体" w:hAnsi="宋体" w:eastAsia="宋体" w:cs="宋体"/>
      <w:b/>
      <w:bCs/>
      <w:sz w:val="20"/>
      <w:szCs w:val="20"/>
    </w:rPr>
  </w:style>
  <w:style w:styleId="TOC2" w:type="paragraph">
    <w:name w:val="TOC 2"/>
    <w:basedOn w:val="Normal"/>
    <w:uiPriority w:val="1"/>
    <w:qFormat/>
    <w:pPr>
      <w:spacing w:before="34"/>
      <w:ind w:left="739" w:hanging="409"/>
    </w:pPr>
    <w:rPr>
      <w:rFonts w:ascii="宋体" w:hAnsi="宋体" w:eastAsia="宋体" w:cs="宋体"/>
      <w:sz w:val="20"/>
      <w:szCs w:val="20"/>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spacing w:line="346" w:lineRule="exact"/>
      <w:ind w:left="2650" w:right="2526"/>
      <w:jc w:val="center"/>
      <w:outlineLvl w:val="1"/>
    </w:pPr>
    <w:rPr>
      <w:rFonts w:ascii="宋体" w:hAnsi="宋体" w:eastAsia="宋体" w:cs="宋体"/>
      <w:b/>
      <w:bCs/>
      <w:sz w:val="30"/>
      <w:szCs w:val="30"/>
    </w:rPr>
  </w:style>
  <w:style w:styleId="Heading2" w:type="paragraph">
    <w:name w:val="Heading 2"/>
    <w:basedOn w:val="Normal"/>
    <w:uiPriority w:val="1"/>
    <w:qFormat/>
    <w:pPr>
      <w:ind w:left="120"/>
      <w:outlineLvl w:val="2"/>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&lt;4D6963726F736F667420576F7264202D20323031342D35352D3035D0D2B8A3B8BDBCD3B9F3B8A3B1A6D6D8B4F3BCB2B2A1B1A3CFD5B1E4B8FCBAF3B1A3CFD5CCF5BFEE&gt;</dc:title>
  <dcterms:created xsi:type="dcterms:W3CDTF">2018-10-20T02:41:53Z</dcterms:created>
  <dcterms:modified xsi:type="dcterms:W3CDTF">2018-10-20T02:41:53Z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