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70"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6148070</wp:posOffset>
            </wp:positionH>
            <wp:positionV relativeFrom="paragraph">
              <wp:posOffset>246148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sz w:val="18"/>
        </w:rPr>
        <w:t>国华人寿[2017]疾病保险 029 号</w:t>
      </w:r>
    </w:p>
    <w:p>
      <w:pPr>
        <w:pStyle w:val="BodyText"/>
        <w:spacing w:before="11"/>
        <w:rPr>
          <w:rFonts w:ascii="仿宋"/>
          <w:sz w:val="27"/>
        </w:rPr>
      </w:pPr>
    </w:p>
    <w:p>
      <w:pPr>
        <w:spacing w:after="0"/>
        <w:rPr>
          <w:rFonts w:ascii="仿宋"/>
          <w:sz w:val="27"/>
        </w:rPr>
        <w:sectPr>
          <w:type w:val="continuous"/>
          <w:pgSz w:w="11910" w:h="16840"/>
          <w:pgMar w:top="480" w:bottom="280" w:left="940" w:right="920"/>
        </w:sectPr>
      </w:pPr>
    </w:p>
    <w:p>
      <w:pPr>
        <w:spacing w:line="505" w:lineRule="exact" w:before="0"/>
        <w:ind w:left="2770" w:right="0" w:firstLine="0"/>
        <w:jc w:val="center"/>
        <w:rPr>
          <w:rFonts w:ascii="微软雅黑" w:eastAsia="微软雅黑" w:hint="eastAsia"/>
          <w:b/>
          <w:sz w:val="32"/>
        </w:rPr>
      </w:pPr>
      <w:r>
        <w:rPr>
          <w:rFonts w:ascii="微软雅黑" w:eastAsia="微软雅黑" w:hint="eastAsia"/>
          <w:b/>
          <w:sz w:val="32"/>
        </w:rPr>
        <w:t>国华康运金生重大疾病保险条款</w:t>
      </w:r>
    </w:p>
    <w:p>
      <w:pPr>
        <w:spacing w:before="71"/>
        <w:ind w:left="2770"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5"/>
        <w:rPr>
          <w:rFonts w:ascii="微软雅黑"/>
          <w:b/>
          <w:sz w:val="19"/>
        </w:rPr>
      </w:pPr>
    </w:p>
    <w:p>
      <w:pPr>
        <w:spacing w:before="1"/>
        <w:ind w:left="778"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480" w:bottom="280" w:left="940" w:right="920"/>
          <w:cols w:num="2" w:equalWidth="0">
            <w:col w:w="7256" w:space="40"/>
            <w:col w:w="2754"/>
          </w:cols>
        </w:sectPr>
      </w:pPr>
    </w:p>
    <w:p>
      <w:pPr>
        <w:spacing w:before="53"/>
        <w:ind w:left="906" w:right="0" w:firstLine="0"/>
        <w:jc w:val="left"/>
        <w:rPr>
          <w:sz w:val="20"/>
        </w:rPr>
      </w:pP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8"/>
          <w:w w:val="99"/>
          <w:position w:val="-7"/>
          <w:sz w:val="20"/>
        </w:rPr>
        <w:t>．</w:t>
      </w:r>
      <w:r>
        <w:rPr>
          <w:spacing w:val="-141"/>
          <w:w w:val="99"/>
          <w:sz w:val="20"/>
        </w:rPr>
        <w:t>解</w:t>
      </w:r>
      <w:r>
        <w:rPr>
          <w:spacing w:val="-57"/>
          <w:w w:val="99"/>
          <w:position w:val="-7"/>
          <w:sz w:val="20"/>
        </w:rPr>
        <w:t>．</w:t>
      </w:r>
      <w:r>
        <w:rPr>
          <w:spacing w:val="-141"/>
          <w:w w:val="99"/>
          <w:sz w:val="20"/>
        </w:rPr>
        <w:t>条</w:t>
      </w:r>
      <w:r>
        <w:rPr>
          <w:spacing w:val="-59"/>
          <w:w w:val="99"/>
          <w:position w:val="-7"/>
          <w:sz w:val="20"/>
        </w:rPr>
        <w:t>．</w:t>
      </w:r>
      <w:r>
        <w:rPr>
          <w:spacing w:val="-141"/>
          <w:w w:val="99"/>
          <w:sz w:val="20"/>
        </w:rPr>
        <w:t>款</w:t>
      </w:r>
      <w:r>
        <w:rPr>
          <w:spacing w:val="-58"/>
          <w:w w:val="99"/>
          <w:position w:val="-7"/>
          <w:sz w:val="20"/>
        </w:rPr>
        <w:t>．</w:t>
      </w:r>
      <w:r>
        <w:rPr>
          <w:spacing w:val="-142"/>
          <w:w w:val="99"/>
          <w:sz w:val="20"/>
        </w:rPr>
        <w:t>，</w:t>
      </w:r>
      <w:r>
        <w:rPr>
          <w:spacing w:val="-58"/>
          <w:w w:val="99"/>
          <w:position w:val="-7"/>
          <w:sz w:val="20"/>
        </w:rPr>
        <w:t>．</w:t>
      </w:r>
      <w:r>
        <w:rPr>
          <w:spacing w:val="-142"/>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国</w:t>
      </w:r>
      <w:r>
        <w:rPr>
          <w:spacing w:val="-58"/>
          <w:w w:val="99"/>
          <w:position w:val="-7"/>
          <w:sz w:val="20"/>
        </w:rPr>
        <w:t>．</w:t>
      </w:r>
      <w:r>
        <w:rPr>
          <w:b/>
          <w:spacing w:val="-140"/>
          <w:w w:val="99"/>
          <w:sz w:val="20"/>
        </w:rPr>
        <w:t>华</w:t>
      </w:r>
      <w:r>
        <w:rPr>
          <w:spacing w:val="-58"/>
          <w:w w:val="99"/>
          <w:position w:val="-7"/>
          <w:sz w:val="20"/>
        </w:rPr>
        <w:t>．</w:t>
      </w:r>
      <w:r>
        <w:rPr>
          <w:b/>
          <w:spacing w:val="-140"/>
          <w:w w:val="99"/>
          <w:sz w:val="20"/>
        </w:rPr>
        <w:t>康</w:t>
      </w:r>
      <w:r>
        <w:rPr>
          <w:spacing w:val="-58"/>
          <w:w w:val="99"/>
          <w:position w:val="-7"/>
          <w:sz w:val="20"/>
        </w:rPr>
        <w:t>．</w:t>
      </w:r>
      <w:r>
        <w:rPr>
          <w:b/>
          <w:spacing w:val="-140"/>
          <w:w w:val="99"/>
          <w:sz w:val="20"/>
        </w:rPr>
        <w:t>运</w:t>
      </w:r>
      <w:r>
        <w:rPr>
          <w:spacing w:val="-58"/>
          <w:w w:val="99"/>
          <w:position w:val="-7"/>
          <w:sz w:val="20"/>
        </w:rPr>
        <w:t>．</w:t>
      </w:r>
      <w:r>
        <w:rPr>
          <w:b/>
          <w:spacing w:val="-140"/>
          <w:w w:val="99"/>
          <w:sz w:val="20"/>
        </w:rPr>
        <w:t>金</w:t>
      </w:r>
      <w:r>
        <w:rPr>
          <w:spacing w:val="-58"/>
          <w:w w:val="99"/>
          <w:position w:val="-7"/>
          <w:sz w:val="20"/>
        </w:rPr>
        <w:t>．</w:t>
      </w:r>
      <w:r>
        <w:rPr>
          <w:b/>
          <w:spacing w:val="-140"/>
          <w:w w:val="99"/>
          <w:sz w:val="20"/>
        </w:rPr>
        <w:t>生</w:t>
      </w:r>
      <w:r>
        <w:rPr>
          <w:spacing w:val="-58"/>
          <w:w w:val="99"/>
          <w:position w:val="-7"/>
          <w:sz w:val="20"/>
        </w:rPr>
        <w:t>．</w:t>
      </w:r>
      <w:r>
        <w:rPr>
          <w:b/>
          <w:spacing w:val="-142"/>
          <w:w w:val="99"/>
          <w:sz w:val="20"/>
        </w:rPr>
        <w:t>重</w:t>
      </w:r>
      <w:r>
        <w:rPr>
          <w:spacing w:val="-58"/>
          <w:w w:val="99"/>
          <w:position w:val="-7"/>
          <w:sz w:val="20"/>
        </w:rPr>
        <w:t>．</w:t>
      </w:r>
      <w:r>
        <w:rPr>
          <w:b/>
          <w:spacing w:val="-139"/>
          <w:w w:val="99"/>
          <w:sz w:val="20"/>
        </w:rPr>
        <w:t>大</w:t>
      </w:r>
      <w:r>
        <w:rPr>
          <w:spacing w:val="-59"/>
          <w:w w:val="99"/>
          <w:position w:val="-7"/>
          <w:sz w:val="20"/>
        </w:rPr>
        <w:t>．</w:t>
      </w:r>
      <w:r>
        <w:rPr>
          <w:b/>
          <w:spacing w:val="-139"/>
          <w:w w:val="99"/>
          <w:sz w:val="20"/>
        </w:rPr>
        <w:t>疾</w:t>
      </w:r>
      <w:r>
        <w:rPr>
          <w:spacing w:val="-59"/>
          <w:w w:val="99"/>
          <w:position w:val="-7"/>
          <w:sz w:val="20"/>
        </w:rPr>
        <w:t>．</w:t>
      </w:r>
      <w:r>
        <w:rPr>
          <w:b/>
          <w:spacing w:val="-139"/>
          <w:w w:val="99"/>
          <w:sz w:val="20"/>
        </w:rPr>
        <w:t>病</w:t>
      </w:r>
      <w:r>
        <w:rPr>
          <w:spacing w:val="-59"/>
          <w:w w:val="99"/>
          <w:position w:val="-7"/>
          <w:sz w:val="20"/>
        </w:rPr>
        <w:t>．</w:t>
      </w:r>
      <w:r>
        <w:rPr>
          <w:b/>
          <w:spacing w:val="-141"/>
          <w:w w:val="99"/>
          <w:sz w:val="20"/>
        </w:rPr>
        <w:t>保</w:t>
      </w:r>
      <w:r>
        <w:rPr>
          <w:spacing w:val="-59"/>
          <w:w w:val="99"/>
          <w:position w:val="-7"/>
          <w:sz w:val="20"/>
        </w:rPr>
        <w:t>．</w:t>
      </w:r>
      <w:r>
        <w:rPr>
          <w:b/>
          <w:spacing w:val="-139"/>
          <w:w w:val="99"/>
          <w:sz w:val="20"/>
        </w:rPr>
        <w:t>险</w:t>
      </w:r>
      <w:r>
        <w:rPr>
          <w:spacing w:val="-58"/>
          <w:w w:val="99"/>
          <w:position w:val="-7"/>
          <w:sz w:val="20"/>
        </w:rPr>
        <w:t>．</w:t>
      </w:r>
      <w:r>
        <w:rPr>
          <w:spacing w:val="-142"/>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6"/>
          <w:w w:val="99"/>
          <w:position w:val="-7"/>
          <w:sz w:val="20"/>
        </w:rPr>
        <w:t>．</w:t>
      </w:r>
      <w:r>
        <w:rPr>
          <w:spacing w:val="-142"/>
          <w:w w:val="99"/>
          <w:sz w:val="20"/>
        </w:rPr>
        <w:t>以</w:t>
      </w:r>
      <w:r>
        <w:rPr>
          <w:spacing w:val="-56"/>
          <w:w w:val="99"/>
          <w:position w:val="-7"/>
          <w:sz w:val="20"/>
        </w:rPr>
        <w:t>．</w:t>
      </w:r>
      <w:r>
        <w:rPr>
          <w:spacing w:val="-142"/>
          <w:w w:val="99"/>
          <w:sz w:val="20"/>
        </w:rPr>
        <w:t>条</w:t>
      </w:r>
      <w:r>
        <w:rPr>
          <w:spacing w:val="-59"/>
          <w:w w:val="99"/>
          <w:position w:val="-7"/>
          <w:sz w:val="20"/>
        </w:rPr>
        <w:t>．</w:t>
      </w:r>
      <w:r>
        <w:rPr>
          <w:spacing w:val="-142"/>
          <w:w w:val="99"/>
          <w:sz w:val="20"/>
        </w:rPr>
        <w:t>款</w:t>
      </w:r>
      <w:r>
        <w:rPr>
          <w:spacing w:val="-59"/>
          <w:w w:val="99"/>
          <w:position w:val="-7"/>
          <w:sz w:val="20"/>
        </w:rPr>
        <w:t>．</w:t>
      </w:r>
      <w:r>
        <w:rPr>
          <w:spacing w:val="-141"/>
          <w:w w:val="99"/>
          <w:sz w:val="20"/>
        </w:rPr>
        <w:t>为</w:t>
      </w:r>
      <w:r>
        <w:rPr>
          <w:spacing w:val="-59"/>
          <w:w w:val="99"/>
          <w:position w:val="-7"/>
          <w:sz w:val="20"/>
        </w:rPr>
        <w:t>．</w:t>
      </w:r>
      <w:r>
        <w:rPr>
          <w:spacing w:val="-141"/>
          <w:w w:val="99"/>
          <w:sz w:val="20"/>
        </w:rPr>
        <w:t>准</w:t>
      </w:r>
      <w:r>
        <w:rPr>
          <w:spacing w:val="-56"/>
          <w:w w:val="99"/>
          <w:position w:val="-7"/>
          <w:sz w:val="20"/>
        </w:rPr>
        <w:t>．</w:t>
      </w:r>
      <w:r>
        <w:rPr>
          <w:w w:val="99"/>
          <w:sz w:val="20"/>
        </w:rPr>
        <w:t>。</w:t>
      </w:r>
    </w:p>
    <w:p>
      <w:pPr>
        <w:pStyle w:val="Heading2"/>
        <w:tabs>
          <w:tab w:pos="1256" w:val="left" w:leader="none"/>
        </w:tabs>
        <w:spacing w:line="513" w:lineRule="exact" w:before="23"/>
        <w:ind w:left="245"/>
      </w:pPr>
      <w:r>
        <w:rPr/>
        <w:pict>
          <v:group style="position:absolute;margin-left:52.32pt;margin-top:2.137695pt;width:491.4pt;height:644.75pt;mso-position-horizontal-relative:page;mso-position-vertical-relative:paragraph;z-index:-42976" coordorigin="1046,43" coordsize="9828,12895">
            <v:shape style="position:absolute;left:1046;top:42;width:9828;height:12895" type="#_x0000_t75" stroked="false">
              <v:imagedata r:id="rId6" o:title=""/>
            </v:shape>
            <v:rect style="position:absolute;left:1279;top:5275;width:9131;height:7577" filled="true" fillcolor="#ffffff" stroked="false">
              <v:fill type="solid"/>
            </v:rect>
            <v:rect style="position:absolute;left:1279;top:5275;width:9131;height:7577" filled="false" stroked="true" strokeweight=".75pt" strokecolor="#000000">
              <v:stroke dashstyle="shortdot"/>
            </v:rect>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9521" w:val="right" w:leader="dot"/>
        </w:tabs>
        <w:spacing w:line="204" w:lineRule="exact" w:before="0" w:after="0"/>
        <w:ind w:left="1638" w:right="0" w:hanging="420"/>
        <w:jc w:val="left"/>
        <w:rPr>
          <w:rFonts w:ascii="宋体" w:eastAsia="宋体" w:hint="eastAsia"/>
          <w:sz w:val="21"/>
        </w:rPr>
      </w:pPr>
      <w:r>
        <w:rPr>
          <w:sz w:val="21"/>
        </w:rPr>
        <w:t>在犹</w:t>
      </w:r>
      <w:r>
        <w:rPr>
          <w:spacing w:val="-3"/>
          <w:sz w:val="21"/>
        </w:rPr>
        <w:t>豫</w:t>
      </w:r>
      <w:r>
        <w:rPr>
          <w:sz w:val="21"/>
        </w:rPr>
        <w:t>期</w:t>
      </w:r>
      <w:r>
        <w:rPr>
          <w:spacing w:val="-3"/>
          <w:sz w:val="21"/>
        </w:rPr>
        <w:t>内</w:t>
      </w:r>
      <w:r>
        <w:rPr>
          <w:sz w:val="21"/>
        </w:rPr>
        <w:t>您</w:t>
      </w:r>
      <w:r>
        <w:rPr>
          <w:spacing w:val="-3"/>
          <w:sz w:val="21"/>
        </w:rPr>
        <w:t>可</w:t>
      </w:r>
      <w:r>
        <w:rPr>
          <w:sz w:val="21"/>
        </w:rPr>
        <w:t>以</w:t>
      </w:r>
      <w:r>
        <w:rPr>
          <w:spacing w:val="-3"/>
          <w:sz w:val="21"/>
        </w:rPr>
        <w:t>按</w:t>
      </w:r>
      <w:r>
        <w:rPr>
          <w:sz w:val="21"/>
        </w:rPr>
        <w:t>本</w:t>
      </w:r>
      <w:r>
        <w:rPr>
          <w:spacing w:val="-3"/>
          <w:sz w:val="21"/>
        </w:rPr>
        <w:t>合</w:t>
      </w:r>
      <w:r>
        <w:rPr>
          <w:sz w:val="21"/>
        </w:rPr>
        <w:t>同约</w:t>
      </w:r>
      <w:r>
        <w:rPr>
          <w:spacing w:val="-3"/>
          <w:sz w:val="21"/>
        </w:rPr>
        <w:t>定</w:t>
      </w:r>
      <w:r>
        <w:rPr>
          <w:sz w:val="21"/>
        </w:rPr>
        <w:t>要</w:t>
      </w:r>
      <w:r>
        <w:rPr>
          <w:spacing w:val="-3"/>
          <w:sz w:val="21"/>
        </w:rPr>
        <w:t>求</w:t>
      </w:r>
      <w:r>
        <w:rPr>
          <w:sz w:val="21"/>
        </w:rPr>
        <w:t>退</w:t>
      </w:r>
      <w:r>
        <w:rPr>
          <w:spacing w:val="-3"/>
          <w:sz w:val="21"/>
        </w:rPr>
        <w:t>保</w:t>
      </w:r>
      <w:r>
        <w:rPr>
          <w:sz w:val="21"/>
        </w:rPr>
        <w:t>，</w:t>
      </w:r>
      <w:r>
        <w:rPr>
          <w:spacing w:val="-3"/>
          <w:sz w:val="21"/>
        </w:rPr>
        <w:t>我</w:t>
      </w:r>
      <w:r>
        <w:rPr>
          <w:sz w:val="21"/>
        </w:rPr>
        <w:t>们</w:t>
      </w:r>
      <w:r>
        <w:rPr>
          <w:spacing w:val="-3"/>
          <w:sz w:val="21"/>
        </w:rPr>
        <w:t>仅</w:t>
      </w:r>
      <w:r>
        <w:rPr>
          <w:sz w:val="21"/>
        </w:rPr>
        <w:t>扣除</w:t>
      </w:r>
      <w:r>
        <w:rPr>
          <w:spacing w:val="-3"/>
          <w:sz w:val="21"/>
        </w:rPr>
        <w:t>工</w:t>
      </w:r>
      <w:r>
        <w:rPr>
          <w:sz w:val="21"/>
        </w:rPr>
        <w:t>本费</w:t>
        <w:tab/>
      </w:r>
      <w:r>
        <w:rPr>
          <w:rFonts w:ascii="宋体" w:eastAsia="宋体" w:hint="eastAsia"/>
          <w:sz w:val="21"/>
        </w:rPr>
        <w:t>1.3</w:t>
      </w:r>
    </w:p>
    <w:p>
      <w:pPr>
        <w:pStyle w:val="ListParagraph"/>
        <w:numPr>
          <w:ilvl w:val="0"/>
          <w:numId w:val="1"/>
        </w:numPr>
        <w:tabs>
          <w:tab w:pos="1637" w:val="left" w:leader="none"/>
          <w:tab w:pos="1638" w:val="left" w:leader="none"/>
          <w:tab w:pos="9521" w:val="right" w:leader="dot"/>
        </w:tabs>
        <w:spacing w:line="240" w:lineRule="auto" w:before="22" w:after="0"/>
        <w:ind w:left="1638" w:right="0" w:hanging="420"/>
        <w:jc w:val="left"/>
        <w:rPr>
          <w:rFonts w:ascii="宋体" w:eastAsia="宋体" w:hint="eastAsia"/>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受本合</w:t>
      </w:r>
      <w:r>
        <w:rPr>
          <w:spacing w:val="-3"/>
          <w:sz w:val="21"/>
        </w:rPr>
        <w:t>同</w:t>
      </w:r>
      <w:r>
        <w:rPr>
          <w:sz w:val="21"/>
        </w:rPr>
        <w:t>提供</w:t>
      </w:r>
      <w:r>
        <w:rPr>
          <w:spacing w:val="-3"/>
          <w:sz w:val="21"/>
        </w:rPr>
        <w:t>的</w:t>
      </w:r>
      <w:r>
        <w:rPr>
          <w:sz w:val="21"/>
        </w:rPr>
        <w:t>保障</w:t>
        <w:tab/>
      </w:r>
      <w:r>
        <w:rPr>
          <w:rFonts w:ascii="宋体" w:eastAsia="宋体" w:hint="eastAsia"/>
          <w:sz w:val="21"/>
        </w:rPr>
        <w:t>2.4</w:t>
      </w:r>
    </w:p>
    <w:p>
      <w:pPr>
        <w:pStyle w:val="ListParagraph"/>
        <w:numPr>
          <w:ilvl w:val="0"/>
          <w:numId w:val="1"/>
        </w:numPr>
        <w:tabs>
          <w:tab w:pos="1637" w:val="left" w:leader="none"/>
          <w:tab w:pos="1638" w:val="left" w:leader="none"/>
          <w:tab w:pos="9521" w:val="right" w:leader="dot"/>
        </w:tabs>
        <w:spacing w:line="240" w:lineRule="auto" w:before="22" w:after="0"/>
        <w:ind w:left="1638" w:right="0" w:hanging="420"/>
        <w:jc w:val="left"/>
        <w:rPr>
          <w:rFonts w:ascii="宋体" w:eastAsia="宋体" w:hint="eastAsia"/>
          <w:sz w:val="21"/>
        </w:rPr>
      </w:pPr>
      <w:r>
        <w:rPr>
          <w:sz w:val="21"/>
        </w:rPr>
        <w:t>您有</w:t>
      </w:r>
      <w:r>
        <w:rPr>
          <w:spacing w:val="-3"/>
          <w:sz w:val="21"/>
        </w:rPr>
        <w:t>选</w:t>
      </w:r>
      <w:r>
        <w:rPr>
          <w:sz w:val="21"/>
        </w:rPr>
        <w:t>择</w:t>
      </w:r>
      <w:r>
        <w:rPr>
          <w:spacing w:val="-3"/>
          <w:sz w:val="21"/>
        </w:rPr>
        <w:t>保</w:t>
      </w:r>
      <w:r>
        <w:rPr>
          <w:sz w:val="21"/>
        </w:rPr>
        <w:t>险</w:t>
      </w:r>
      <w:r>
        <w:rPr>
          <w:spacing w:val="-3"/>
          <w:sz w:val="21"/>
        </w:rPr>
        <w:t>费</w:t>
      </w:r>
      <w:r>
        <w:rPr>
          <w:sz w:val="21"/>
        </w:rPr>
        <w:t>自</w:t>
      </w:r>
      <w:r>
        <w:rPr>
          <w:spacing w:val="-3"/>
          <w:sz w:val="21"/>
        </w:rPr>
        <w:t>动</w:t>
      </w:r>
      <w:r>
        <w:rPr>
          <w:sz w:val="21"/>
        </w:rPr>
        <w:t>垫</w:t>
      </w:r>
      <w:r>
        <w:rPr>
          <w:spacing w:val="-3"/>
          <w:sz w:val="21"/>
        </w:rPr>
        <w:t>交</w:t>
      </w:r>
      <w:r>
        <w:rPr>
          <w:sz w:val="21"/>
        </w:rPr>
        <w:t>的权利</w:t>
        <w:tab/>
      </w:r>
      <w:r>
        <w:rPr>
          <w:rFonts w:ascii="宋体" w:eastAsia="宋体" w:hint="eastAsia"/>
          <w:sz w:val="21"/>
        </w:rPr>
        <w:t>5.2</w:t>
      </w:r>
    </w:p>
    <w:p>
      <w:pPr>
        <w:pStyle w:val="ListParagraph"/>
        <w:numPr>
          <w:ilvl w:val="0"/>
          <w:numId w:val="1"/>
        </w:numPr>
        <w:tabs>
          <w:tab w:pos="1637" w:val="left" w:leader="none"/>
          <w:tab w:pos="1638" w:val="left" w:leader="none"/>
          <w:tab w:pos="9309" w:val="right" w:leader="dot"/>
        </w:tabs>
        <w:spacing w:line="267" w:lineRule="exact" w:before="22" w:after="0"/>
        <w:ind w:left="1638" w:right="0" w:hanging="420"/>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2"/>
        <w:tabs>
          <w:tab w:pos="1256" w:val="left" w:leader="none"/>
        </w:tabs>
        <w:spacing w:line="490" w:lineRule="exact"/>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9521" w:val="right" w:leader="dot"/>
        </w:tabs>
        <w:spacing w:line="204" w:lineRule="exact" w:before="0" w:after="0"/>
        <w:ind w:left="1638" w:right="0" w:hanging="420"/>
        <w:jc w:val="left"/>
        <w:rPr>
          <w:rFonts w:ascii="宋体" w:eastAsia="宋体" w:hint="eastAsia"/>
          <w:sz w:val="21"/>
        </w:rPr>
      </w:pPr>
      <w:r>
        <w:rPr>
          <w:sz w:val="21"/>
        </w:rPr>
        <w:t>在某</w:t>
      </w:r>
      <w:r>
        <w:rPr>
          <w:spacing w:val="-3"/>
          <w:sz w:val="21"/>
        </w:rPr>
        <w:t>些</w:t>
      </w:r>
      <w:r>
        <w:rPr>
          <w:sz w:val="21"/>
        </w:rPr>
        <w:t>情</w:t>
      </w:r>
      <w:r>
        <w:rPr>
          <w:spacing w:val="-3"/>
          <w:sz w:val="21"/>
        </w:rPr>
        <w:t>况</w:t>
      </w:r>
      <w:r>
        <w:rPr>
          <w:sz w:val="21"/>
        </w:rPr>
        <w:t>下，我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宋体" w:eastAsia="宋体" w:hint="eastAsia"/>
          <w:sz w:val="21"/>
        </w:rPr>
        <w:t>2.5</w:t>
      </w:r>
    </w:p>
    <w:p>
      <w:pPr>
        <w:pStyle w:val="ListParagraph"/>
        <w:numPr>
          <w:ilvl w:val="0"/>
          <w:numId w:val="1"/>
        </w:numPr>
        <w:tabs>
          <w:tab w:pos="1637" w:val="left" w:leader="none"/>
          <w:tab w:pos="1638" w:val="left" w:leader="none"/>
          <w:tab w:pos="9521" w:val="right" w:leader="dot"/>
        </w:tabs>
        <w:spacing w:line="240" w:lineRule="auto" w:before="22" w:after="0"/>
        <w:ind w:left="1638" w:right="0" w:hanging="420"/>
        <w:jc w:val="left"/>
        <w:rPr>
          <w:rFonts w:ascii="宋体" w:eastAsia="宋体" w:hint="eastAsia"/>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r>
      <w:r>
        <w:rPr>
          <w:rFonts w:ascii="宋体" w:eastAsia="宋体" w:hint="eastAsia"/>
          <w:sz w:val="21"/>
        </w:rPr>
        <w:t>3.2</w:t>
      </w:r>
    </w:p>
    <w:p>
      <w:pPr>
        <w:pStyle w:val="ListParagraph"/>
        <w:numPr>
          <w:ilvl w:val="0"/>
          <w:numId w:val="1"/>
        </w:numPr>
        <w:tabs>
          <w:tab w:pos="1637" w:val="left" w:leader="none"/>
          <w:tab w:pos="1638" w:val="left" w:leader="none"/>
          <w:tab w:pos="9521" w:val="right" w:leader="dot"/>
        </w:tabs>
        <w:spacing w:line="240" w:lineRule="auto" w:before="22" w:after="0"/>
        <w:ind w:left="1638" w:right="0" w:hanging="420"/>
        <w:jc w:val="left"/>
        <w:rPr>
          <w:rFonts w:ascii="宋体" w:eastAsia="宋体" w:hint="eastAsia"/>
          <w:sz w:val="21"/>
        </w:rPr>
      </w:pPr>
      <w:r>
        <w:rPr>
          <w:sz w:val="21"/>
        </w:rPr>
        <w:t>您应</w:t>
      </w:r>
      <w:r>
        <w:rPr>
          <w:spacing w:val="-3"/>
          <w:sz w:val="21"/>
        </w:rPr>
        <w:t>当</w:t>
      </w:r>
      <w:r>
        <w:rPr>
          <w:sz w:val="21"/>
        </w:rPr>
        <w:t>按</w:t>
      </w:r>
      <w:r>
        <w:rPr>
          <w:spacing w:val="-3"/>
          <w:sz w:val="21"/>
        </w:rPr>
        <w:t>时</w:t>
      </w:r>
      <w:r>
        <w:rPr>
          <w:sz w:val="21"/>
        </w:rPr>
        <w:t>支付保</w:t>
      </w:r>
      <w:r>
        <w:rPr>
          <w:spacing w:val="-3"/>
          <w:sz w:val="21"/>
        </w:rPr>
        <w:t>险</w:t>
      </w:r>
      <w:r>
        <w:rPr>
          <w:sz w:val="21"/>
        </w:rPr>
        <w:t>费</w:t>
        <w:tab/>
      </w:r>
      <w:r>
        <w:rPr>
          <w:rFonts w:ascii="宋体" w:eastAsia="宋体" w:hint="eastAsia"/>
          <w:sz w:val="21"/>
        </w:rPr>
        <w:t>4.1</w:t>
      </w:r>
    </w:p>
    <w:p>
      <w:pPr>
        <w:pStyle w:val="ListParagraph"/>
        <w:numPr>
          <w:ilvl w:val="0"/>
          <w:numId w:val="1"/>
        </w:numPr>
        <w:tabs>
          <w:tab w:pos="1637" w:val="left" w:leader="none"/>
          <w:tab w:pos="1638" w:val="left" w:leader="none"/>
          <w:tab w:pos="9521" w:val="right" w:leader="dot"/>
        </w:tabs>
        <w:spacing w:line="240" w:lineRule="auto" w:before="22" w:after="0"/>
        <w:ind w:left="1638" w:right="0" w:hanging="420"/>
        <w:jc w:val="left"/>
        <w:rPr>
          <w:rFonts w:ascii="宋体" w:eastAsia="宋体" w:hint="eastAsia"/>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宋体" w:eastAsia="宋体" w:hint="eastAsia"/>
          <w:sz w:val="21"/>
        </w:rPr>
        <w:t>7.1</w:t>
      </w:r>
    </w:p>
    <w:p>
      <w:pPr>
        <w:pStyle w:val="ListParagraph"/>
        <w:numPr>
          <w:ilvl w:val="0"/>
          <w:numId w:val="1"/>
        </w:numPr>
        <w:tabs>
          <w:tab w:pos="1637" w:val="left" w:leader="none"/>
          <w:tab w:pos="1638" w:val="left" w:leader="none"/>
          <w:tab w:pos="9521" w:val="right" w:leader="dot"/>
        </w:tabs>
        <w:spacing w:line="240" w:lineRule="auto" w:before="22" w:after="0"/>
        <w:ind w:left="1638" w:right="0" w:hanging="420"/>
        <w:jc w:val="left"/>
        <w:rPr>
          <w:rFonts w:ascii="宋体" w:eastAsia="宋体" w:hint="eastAsia"/>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宋体" w:eastAsia="宋体" w:hint="eastAsia"/>
          <w:sz w:val="21"/>
        </w:rPr>
        <w:t>8.2</w:t>
      </w:r>
    </w:p>
    <w:p>
      <w:pPr>
        <w:pStyle w:val="ListParagraph"/>
        <w:numPr>
          <w:ilvl w:val="0"/>
          <w:numId w:val="1"/>
        </w:numPr>
        <w:tabs>
          <w:tab w:pos="1637" w:val="left" w:leader="none"/>
          <w:tab w:pos="1638" w:val="left" w:leader="none"/>
          <w:tab w:pos="9309" w:val="right" w:leader="dot"/>
        </w:tabs>
        <w:spacing w:line="240" w:lineRule="auto" w:before="22" w:after="0"/>
        <w:ind w:left="1638" w:right="0" w:hanging="420"/>
        <w:jc w:val="left"/>
        <w:rPr>
          <w:rFonts w:ascii="宋体" w:eastAsia="宋体" w:hint="eastAsia"/>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宋体" w:eastAsia="宋体" w:hint="eastAsia"/>
          <w:sz w:val="21"/>
        </w:rPr>
        <w:t>9</w:t>
      </w:r>
    </w:p>
    <w:p>
      <w:pPr>
        <w:pStyle w:val="ListParagraph"/>
        <w:numPr>
          <w:ilvl w:val="0"/>
          <w:numId w:val="1"/>
        </w:numPr>
        <w:tabs>
          <w:tab w:pos="1637" w:val="left" w:leader="none"/>
          <w:tab w:pos="1638" w:val="left" w:leader="none"/>
          <w:tab w:pos="9521" w:val="right" w:leader="dot"/>
        </w:tabs>
        <w:spacing w:line="240" w:lineRule="auto" w:before="19" w:after="0"/>
        <w:ind w:left="1638" w:right="0" w:hanging="420"/>
        <w:jc w:val="left"/>
        <w:rPr>
          <w:rFonts w:ascii="宋体" w:eastAsia="宋体" w:hint="eastAsia"/>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疾</w:t>
      </w:r>
      <w:r>
        <w:rPr>
          <w:spacing w:val="-3"/>
          <w:sz w:val="21"/>
        </w:rPr>
        <w:t>病</w:t>
      </w:r>
      <w:r>
        <w:rPr>
          <w:sz w:val="21"/>
        </w:rPr>
        <w:t>的</w:t>
      </w:r>
      <w:r>
        <w:rPr>
          <w:spacing w:val="-3"/>
          <w:sz w:val="21"/>
        </w:rPr>
        <w:t>释</w:t>
      </w:r>
      <w:r>
        <w:rPr>
          <w:sz w:val="21"/>
        </w:rPr>
        <w:t>义，</w:t>
      </w:r>
      <w:r>
        <w:rPr>
          <w:spacing w:val="-3"/>
          <w:sz w:val="21"/>
        </w:rPr>
        <w:t>请</w:t>
      </w:r>
      <w:r>
        <w:rPr>
          <w:sz w:val="21"/>
        </w:rPr>
        <w:t>您</w:t>
      </w:r>
      <w:r>
        <w:rPr>
          <w:spacing w:val="-3"/>
          <w:sz w:val="21"/>
        </w:rPr>
        <w:t>留</w:t>
      </w:r>
      <w:r>
        <w:rPr>
          <w:sz w:val="21"/>
        </w:rPr>
        <w:t>意</w:t>
        <w:tab/>
      </w:r>
      <w:r>
        <w:rPr>
          <w:rFonts w:ascii="宋体" w:eastAsia="宋体" w:hint="eastAsia"/>
          <w:sz w:val="21"/>
        </w:rPr>
        <w:t>9.7</w:t>
      </w:r>
    </w:p>
    <w:p>
      <w:pPr>
        <w:pStyle w:val="ListParagraph"/>
        <w:numPr>
          <w:ilvl w:val="0"/>
          <w:numId w:val="1"/>
        </w:numPr>
        <w:tabs>
          <w:tab w:pos="1637" w:val="left" w:leader="none"/>
          <w:tab w:pos="1638" w:val="left" w:leader="none"/>
        </w:tabs>
        <w:spacing w:line="267" w:lineRule="exact" w:before="22" w:after="0"/>
        <w:ind w:left="1638" w:right="0" w:hanging="420"/>
        <w:jc w:val="left"/>
        <w:rPr>
          <w:rFonts w:ascii="宋体" w:hAnsi="宋体" w:eastAsia="宋体" w:hint="eastAsia"/>
          <w:sz w:val="21"/>
        </w:rPr>
      </w:pPr>
      <w:r>
        <w:rPr>
          <w:spacing w:val="-3"/>
          <w:sz w:val="21"/>
        </w:rPr>
        <w:t>保险条款有关于医疗机构、医院的释义，请您留意</w:t>
      </w:r>
      <w:r>
        <w:rPr>
          <w:rFonts w:ascii="宋体" w:hAnsi="宋体" w:eastAsia="宋体" w:hint="eastAsia"/>
          <w:spacing w:val="-1"/>
          <w:sz w:val="21"/>
        </w:rPr>
        <w:t>……………………………9.9</w:t>
      </w:r>
      <w:r>
        <w:rPr>
          <w:rFonts w:ascii="宋体" w:hAnsi="宋体" w:eastAsia="宋体" w:hint="eastAsia"/>
          <w:sz w:val="21"/>
        </w:rPr>
        <w:t>、9.11</w:t>
      </w:r>
    </w:p>
    <w:p>
      <w:pPr>
        <w:pStyle w:val="Heading2"/>
        <w:tabs>
          <w:tab w:pos="1256" w:val="left" w:leader="none"/>
        </w:tabs>
        <w:spacing w:line="457" w:lineRule="exact"/>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line="348" w:lineRule="exact" w:before="0"/>
        <w:ind w:left="245" w:right="0" w:firstLine="0"/>
        <w:jc w:val="left"/>
        <w:rPr>
          <w:b/>
          <w:sz w:val="21"/>
        </w:rPr>
      </w:pPr>
      <w:r>
        <w:rPr>
          <w:rFonts w:ascii="Arial" w:hAnsi="Arial" w:eastAsia="Arial"/>
          <w:b/>
          <w:w w:val="110"/>
          <w:position w:val="-11"/>
          <w:sz w:val="52"/>
        </w:rPr>
        <w:t></w:t>
        <w:tab/>
      </w:r>
      <w:r>
        <w:rPr>
          <w:b/>
          <w:sz w:val="21"/>
        </w:rPr>
        <w:t>条款目录</w:t>
      </w:r>
    </w:p>
    <w:p>
      <w:pPr>
        <w:spacing w:after="0" w:line="348" w:lineRule="exact"/>
        <w:jc w:val="left"/>
        <w:rPr>
          <w:sz w:val="21"/>
        </w:rPr>
        <w:sectPr>
          <w:type w:val="continuous"/>
          <w:pgSz w:w="11910" w:h="16840"/>
          <w:pgMar w:top="480" w:bottom="280" w:left="940" w:right="920"/>
        </w:sectPr>
      </w:pPr>
    </w:p>
    <w:p>
      <w:pPr>
        <w:pStyle w:val="Heading2"/>
        <w:spacing w:line="211" w:lineRule="exact"/>
        <w:ind w:left="483"/>
        <w:rPr>
          <w:rFonts w:ascii="仿宋" w:eastAsia="仿宋" w:hint="eastAsia"/>
        </w:rPr>
      </w:pPr>
      <w:r>
        <w:rPr/>
        <w:t>1.</w:t>
      </w:r>
      <w:r>
        <w:rPr>
          <w:rFonts w:ascii="仿宋" w:eastAsia="仿宋" w:hint="eastAsia"/>
        </w:rPr>
        <w:t>您与我们的合同</w:t>
      </w:r>
    </w:p>
    <w:p>
      <w:pPr>
        <w:pStyle w:val="BodyText"/>
        <w:spacing w:line="235" w:lineRule="exact" w:before="0"/>
        <w:ind w:left="483"/>
        <w:rPr>
          <w:rFonts w:ascii="仿宋" w:eastAsia="仿宋" w:hint="eastAsia"/>
        </w:rPr>
      </w:pPr>
      <w:r>
        <w:rPr/>
        <w:br w:type="column"/>
      </w:r>
      <w:r>
        <w:rPr/>
        <w:t>5.3 </w:t>
      </w:r>
      <w:r>
        <w:rPr>
          <w:rFonts w:ascii="仿宋" w:eastAsia="仿宋" w:hint="eastAsia"/>
        </w:rPr>
        <w:t>保单贷款</w:t>
      </w:r>
    </w:p>
    <w:p>
      <w:pPr>
        <w:pStyle w:val="BodyText"/>
        <w:tabs>
          <w:tab w:pos="1009" w:val="left" w:leader="none"/>
        </w:tabs>
        <w:spacing w:line="211" w:lineRule="exact" w:before="0"/>
        <w:ind w:left="483"/>
        <w:rPr>
          <w:rFonts w:ascii="仿宋" w:eastAsia="仿宋" w:hint="eastAsia"/>
        </w:rPr>
      </w:pPr>
      <w:r>
        <w:rPr/>
        <w:br w:type="column"/>
      </w:r>
      <w:r>
        <w:rPr/>
        <w:t>9.9</w:t>
        <w:tab/>
      </w:r>
      <w:r>
        <w:rPr>
          <w:rFonts w:ascii="仿宋" w:eastAsia="仿宋" w:hint="eastAsia"/>
          <w:spacing w:val="-2"/>
        </w:rPr>
        <w:t>医疗机构</w:t>
      </w:r>
    </w:p>
    <w:p>
      <w:pPr>
        <w:spacing w:after="0" w:line="211" w:lineRule="exact"/>
        <w:rPr>
          <w:rFonts w:ascii="仿宋" w:eastAsia="仿宋" w:hint="eastAsia"/>
        </w:rPr>
        <w:sectPr>
          <w:type w:val="continuous"/>
          <w:pgSz w:w="11910" w:h="16840"/>
          <w:pgMar w:top="480" w:bottom="280" w:left="940" w:right="920"/>
          <w:cols w:num="3" w:equalWidth="0">
            <w:col w:w="2174" w:space="1031"/>
            <w:col w:w="1747" w:space="1224"/>
            <w:col w:w="3874"/>
          </w:cols>
        </w:sectPr>
      </w:pPr>
    </w:p>
    <w:p>
      <w:pPr>
        <w:pStyle w:val="BodyText"/>
        <w:spacing w:before="11"/>
        <w:rPr>
          <w:rFonts w:ascii="仿宋"/>
          <w:sz w:val="5"/>
        </w:rPr>
      </w:pPr>
    </w:p>
    <w:tbl>
      <w:tblPr>
        <w:tblW w:w="0" w:type="auto"/>
        <w:jc w:val="left"/>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3613"/>
        <w:gridCol w:w="592"/>
        <w:gridCol w:w="1783"/>
      </w:tblGrid>
      <w:tr>
        <w:trPr>
          <w:trHeight w:val="296" w:hRule="atLeast"/>
        </w:trPr>
        <w:tc>
          <w:tcPr>
            <w:tcW w:w="2493" w:type="dxa"/>
          </w:tcPr>
          <w:p>
            <w:pPr>
              <w:pStyle w:val="TableParagraph"/>
              <w:spacing w:line="211" w:lineRule="exact"/>
              <w:ind w:right="547"/>
              <w:jc w:val="right"/>
              <w:rPr>
                <w:rFonts w:ascii="仿宋" w:eastAsia="仿宋" w:hint="eastAsia"/>
                <w:sz w:val="21"/>
              </w:rPr>
            </w:pPr>
            <w:r>
              <w:rPr>
                <w:sz w:val="21"/>
              </w:rPr>
              <w:t>1.1 </w:t>
            </w:r>
            <w:r>
              <w:rPr>
                <w:rFonts w:ascii="仿宋" w:eastAsia="仿宋" w:hint="eastAsia"/>
                <w:sz w:val="21"/>
              </w:rPr>
              <w:t>保险合同构成</w:t>
            </w:r>
          </w:p>
        </w:tc>
        <w:tc>
          <w:tcPr>
            <w:tcW w:w="3613" w:type="dxa"/>
          </w:tcPr>
          <w:p>
            <w:pPr>
              <w:pStyle w:val="TableParagraph"/>
              <w:spacing w:line="242" w:lineRule="exact"/>
              <w:ind w:left="550"/>
              <w:rPr>
                <w:rFonts w:ascii="仿宋" w:eastAsia="仿宋" w:hint="eastAsia"/>
                <w:b/>
                <w:sz w:val="21"/>
              </w:rPr>
            </w:pPr>
            <w:r>
              <w:rPr>
                <w:b/>
                <w:sz w:val="21"/>
              </w:rPr>
              <w:t>6.</w:t>
            </w:r>
            <w:r>
              <w:rPr>
                <w:rFonts w:ascii="仿宋" w:eastAsia="仿宋" w:hint="eastAsia"/>
                <w:b/>
                <w:sz w:val="21"/>
              </w:rPr>
              <w:t>如何恢复合同效力</w:t>
            </w:r>
          </w:p>
        </w:tc>
        <w:tc>
          <w:tcPr>
            <w:tcW w:w="592" w:type="dxa"/>
          </w:tcPr>
          <w:p>
            <w:pPr>
              <w:pStyle w:val="TableParagraph"/>
              <w:spacing w:line="211" w:lineRule="exact"/>
              <w:ind w:left="101" w:right="31"/>
              <w:jc w:val="center"/>
              <w:rPr>
                <w:sz w:val="21"/>
              </w:rPr>
            </w:pPr>
            <w:r>
              <w:rPr>
                <w:sz w:val="21"/>
              </w:rPr>
              <w:t>9.10</w:t>
            </w:r>
          </w:p>
        </w:tc>
        <w:tc>
          <w:tcPr>
            <w:tcW w:w="1783" w:type="dxa"/>
          </w:tcPr>
          <w:p>
            <w:pPr>
              <w:pStyle w:val="TableParagraph"/>
              <w:spacing w:line="211" w:lineRule="exact"/>
              <w:ind w:left="53"/>
              <w:rPr>
                <w:rFonts w:ascii="仿宋" w:eastAsia="仿宋" w:hint="eastAsia"/>
                <w:sz w:val="21"/>
              </w:rPr>
            </w:pPr>
            <w:r>
              <w:rPr>
                <w:rFonts w:ascii="仿宋" w:eastAsia="仿宋" w:hint="eastAsia"/>
                <w:sz w:val="21"/>
              </w:rPr>
              <w:t>初次发生</w:t>
            </w:r>
          </w:p>
        </w:tc>
      </w:tr>
      <w:tr>
        <w:trPr>
          <w:trHeight w:val="296" w:hRule="atLeast"/>
        </w:trPr>
        <w:tc>
          <w:tcPr>
            <w:tcW w:w="6106" w:type="dxa"/>
            <w:gridSpan w:val="2"/>
          </w:tcPr>
          <w:p>
            <w:pPr>
              <w:pStyle w:val="TableParagraph"/>
              <w:tabs>
                <w:tab w:pos="3254" w:val="left" w:leader="none"/>
              </w:tabs>
              <w:spacing w:line="267" w:lineRule="exact"/>
              <w:ind w:left="261"/>
              <w:rPr>
                <w:rFonts w:ascii="仿宋" w:eastAsia="仿宋" w:hint="eastAsia"/>
                <w:sz w:val="21"/>
              </w:rPr>
            </w:pPr>
            <w:r>
              <w:rPr>
                <w:sz w:val="21"/>
              </w:rPr>
              <w:t>1.2</w:t>
            </w:r>
            <w:r>
              <w:rPr>
                <w:spacing w:val="5"/>
                <w:sz w:val="21"/>
              </w:rPr>
              <w:t> </w:t>
            </w: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成</w:t>
            </w:r>
            <w:r>
              <w:rPr>
                <w:rFonts w:ascii="仿宋" w:eastAsia="仿宋" w:hint="eastAsia"/>
                <w:sz w:val="21"/>
              </w:rPr>
              <w:t>立</w:t>
            </w:r>
            <w:r>
              <w:rPr>
                <w:rFonts w:ascii="仿宋" w:eastAsia="仿宋" w:hint="eastAsia"/>
                <w:spacing w:val="-3"/>
                <w:sz w:val="21"/>
              </w:rPr>
              <w:t>与</w:t>
            </w:r>
            <w:r>
              <w:rPr>
                <w:rFonts w:ascii="仿宋" w:eastAsia="仿宋" w:hint="eastAsia"/>
                <w:sz w:val="21"/>
              </w:rPr>
              <w:t>生效</w:t>
              <w:tab/>
            </w:r>
            <w:r>
              <w:rPr>
                <w:position w:val="-3"/>
                <w:sz w:val="21"/>
              </w:rPr>
              <w:t>6.1</w:t>
            </w:r>
            <w:r>
              <w:rPr>
                <w:spacing w:val="5"/>
                <w:position w:val="-3"/>
                <w:sz w:val="21"/>
              </w:rPr>
              <w:t> </w:t>
            </w:r>
            <w:r>
              <w:rPr>
                <w:rFonts w:ascii="仿宋" w:eastAsia="仿宋" w:hint="eastAsia"/>
                <w:spacing w:val="-3"/>
                <w:position w:val="-3"/>
                <w:sz w:val="21"/>
              </w:rPr>
              <w:t>效</w:t>
            </w:r>
            <w:r>
              <w:rPr>
                <w:rFonts w:ascii="仿宋" w:eastAsia="仿宋" w:hint="eastAsia"/>
                <w:position w:val="-3"/>
                <w:sz w:val="21"/>
              </w:rPr>
              <w:t>力</w:t>
            </w:r>
            <w:r>
              <w:rPr>
                <w:rFonts w:ascii="仿宋" w:eastAsia="仿宋" w:hint="eastAsia"/>
                <w:spacing w:val="-3"/>
                <w:position w:val="-3"/>
                <w:sz w:val="21"/>
              </w:rPr>
              <w:t>中</w:t>
            </w:r>
            <w:r>
              <w:rPr>
                <w:rFonts w:ascii="仿宋" w:eastAsia="仿宋" w:hint="eastAsia"/>
                <w:position w:val="-3"/>
                <w:sz w:val="21"/>
              </w:rPr>
              <w:t>止</w:t>
            </w:r>
          </w:p>
        </w:tc>
        <w:tc>
          <w:tcPr>
            <w:tcW w:w="592" w:type="dxa"/>
          </w:tcPr>
          <w:p>
            <w:pPr>
              <w:pStyle w:val="TableParagraph"/>
              <w:spacing w:line="227" w:lineRule="exact"/>
              <w:ind w:left="101" w:right="31"/>
              <w:jc w:val="center"/>
              <w:rPr>
                <w:sz w:val="21"/>
              </w:rPr>
            </w:pPr>
            <w:r>
              <w:rPr>
                <w:sz w:val="21"/>
              </w:rPr>
              <w:t>9.11</w:t>
            </w:r>
          </w:p>
        </w:tc>
        <w:tc>
          <w:tcPr>
            <w:tcW w:w="1783" w:type="dxa"/>
          </w:tcPr>
          <w:p>
            <w:pPr>
              <w:pStyle w:val="TableParagraph"/>
              <w:spacing w:line="227" w:lineRule="exact"/>
              <w:ind w:left="53"/>
              <w:rPr>
                <w:rFonts w:ascii="仿宋" w:eastAsia="仿宋" w:hint="eastAsia"/>
                <w:sz w:val="21"/>
              </w:rPr>
            </w:pPr>
            <w:r>
              <w:rPr>
                <w:rFonts w:ascii="仿宋" w:eastAsia="仿宋" w:hint="eastAsia"/>
                <w:sz w:val="21"/>
              </w:rPr>
              <w:t>医院</w:t>
            </w:r>
          </w:p>
        </w:tc>
      </w:tr>
      <w:tr>
        <w:trPr>
          <w:trHeight w:val="317" w:hRule="atLeast"/>
        </w:trPr>
        <w:tc>
          <w:tcPr>
            <w:tcW w:w="2493" w:type="dxa"/>
          </w:tcPr>
          <w:p>
            <w:pPr>
              <w:pStyle w:val="TableParagraph"/>
              <w:spacing w:line="242" w:lineRule="exact"/>
              <w:ind w:left="261"/>
              <w:rPr>
                <w:rFonts w:ascii="仿宋" w:eastAsia="仿宋" w:hint="eastAsia"/>
                <w:sz w:val="21"/>
              </w:rPr>
            </w:pPr>
            <w:r>
              <w:rPr>
                <w:sz w:val="21"/>
              </w:rPr>
              <w:t>1.3 </w:t>
            </w:r>
            <w:r>
              <w:rPr>
                <w:rFonts w:ascii="仿宋" w:eastAsia="仿宋" w:hint="eastAsia"/>
                <w:sz w:val="21"/>
              </w:rPr>
              <w:t>犹豫期</w:t>
            </w:r>
          </w:p>
        </w:tc>
        <w:tc>
          <w:tcPr>
            <w:tcW w:w="3613" w:type="dxa"/>
          </w:tcPr>
          <w:p>
            <w:pPr>
              <w:pStyle w:val="TableParagraph"/>
              <w:spacing w:before="15"/>
              <w:ind w:left="761"/>
              <w:rPr>
                <w:rFonts w:ascii="仿宋" w:eastAsia="仿宋" w:hint="eastAsia"/>
                <w:sz w:val="21"/>
              </w:rPr>
            </w:pPr>
            <w:r>
              <w:rPr>
                <w:sz w:val="21"/>
              </w:rPr>
              <w:t>6.2 </w:t>
            </w:r>
            <w:r>
              <w:rPr>
                <w:rFonts w:ascii="仿宋" w:eastAsia="仿宋" w:hint="eastAsia"/>
                <w:sz w:val="21"/>
              </w:rPr>
              <w:t>效力恢复</w:t>
            </w:r>
          </w:p>
        </w:tc>
        <w:tc>
          <w:tcPr>
            <w:tcW w:w="592" w:type="dxa"/>
          </w:tcPr>
          <w:p>
            <w:pPr>
              <w:pStyle w:val="TableParagraph"/>
              <w:spacing w:line="242" w:lineRule="exact"/>
              <w:ind w:left="101" w:right="31"/>
              <w:jc w:val="center"/>
              <w:rPr>
                <w:sz w:val="21"/>
              </w:rPr>
            </w:pPr>
            <w:r>
              <w:rPr>
                <w:sz w:val="21"/>
              </w:rPr>
              <w:t>9.12</w:t>
            </w:r>
          </w:p>
        </w:tc>
        <w:tc>
          <w:tcPr>
            <w:tcW w:w="1783" w:type="dxa"/>
          </w:tcPr>
          <w:p>
            <w:pPr>
              <w:pStyle w:val="TableParagraph"/>
              <w:spacing w:line="242" w:lineRule="exact"/>
              <w:ind w:left="53"/>
              <w:rPr>
                <w:rFonts w:ascii="仿宋" w:eastAsia="仿宋" w:hint="eastAsia"/>
                <w:sz w:val="21"/>
              </w:rPr>
            </w:pPr>
            <w:r>
              <w:rPr>
                <w:rFonts w:ascii="仿宋" w:eastAsia="仿宋" w:hint="eastAsia"/>
                <w:sz w:val="21"/>
              </w:rPr>
              <w:t>专科医生</w:t>
            </w:r>
          </w:p>
        </w:tc>
      </w:tr>
      <w:tr>
        <w:trPr>
          <w:trHeight w:val="303" w:hRule="atLeast"/>
        </w:trPr>
        <w:tc>
          <w:tcPr>
            <w:tcW w:w="2493" w:type="dxa"/>
          </w:tcPr>
          <w:p>
            <w:pPr>
              <w:pStyle w:val="TableParagraph"/>
              <w:spacing w:line="238" w:lineRule="exact"/>
              <w:ind w:left="50"/>
              <w:rPr>
                <w:rFonts w:ascii="仿宋" w:eastAsia="仿宋" w:hint="eastAsia"/>
                <w:b/>
                <w:sz w:val="21"/>
              </w:rPr>
            </w:pPr>
            <w:r>
              <w:rPr>
                <w:b/>
                <w:sz w:val="21"/>
              </w:rPr>
              <w:t>2.</w:t>
            </w:r>
            <w:r>
              <w:rPr>
                <w:rFonts w:ascii="仿宋" w:eastAsia="仿宋" w:hint="eastAsia"/>
                <w:b/>
                <w:sz w:val="21"/>
              </w:rPr>
              <w:t>我们提供的保障</w:t>
            </w:r>
          </w:p>
        </w:tc>
        <w:tc>
          <w:tcPr>
            <w:tcW w:w="3613" w:type="dxa"/>
          </w:tcPr>
          <w:p>
            <w:pPr>
              <w:pStyle w:val="TableParagraph"/>
              <w:spacing w:line="269" w:lineRule="exact"/>
              <w:ind w:left="550"/>
              <w:rPr>
                <w:rFonts w:ascii="仿宋" w:eastAsia="仿宋" w:hint="eastAsia"/>
                <w:b/>
                <w:sz w:val="21"/>
              </w:rPr>
            </w:pPr>
            <w:r>
              <w:rPr>
                <w:b/>
                <w:sz w:val="21"/>
              </w:rPr>
              <w:t>7.</w:t>
            </w:r>
            <w:r>
              <w:rPr>
                <w:rFonts w:ascii="仿宋" w:eastAsia="仿宋" w:hint="eastAsia"/>
                <w:b/>
                <w:sz w:val="21"/>
              </w:rPr>
              <w:t>如何解除保险合同</w:t>
            </w:r>
          </w:p>
        </w:tc>
        <w:tc>
          <w:tcPr>
            <w:tcW w:w="592" w:type="dxa"/>
          </w:tcPr>
          <w:p>
            <w:pPr>
              <w:pStyle w:val="TableParagraph"/>
              <w:spacing w:line="238" w:lineRule="exact"/>
              <w:ind w:left="101" w:right="31"/>
              <w:jc w:val="center"/>
              <w:rPr>
                <w:sz w:val="21"/>
              </w:rPr>
            </w:pPr>
            <w:r>
              <w:rPr>
                <w:sz w:val="21"/>
              </w:rPr>
              <w:t>9.13</w:t>
            </w:r>
          </w:p>
        </w:tc>
        <w:tc>
          <w:tcPr>
            <w:tcW w:w="1783" w:type="dxa"/>
          </w:tcPr>
          <w:p>
            <w:pPr>
              <w:pStyle w:val="TableParagraph"/>
              <w:spacing w:line="238" w:lineRule="exact"/>
              <w:ind w:left="53"/>
              <w:rPr>
                <w:rFonts w:ascii="仿宋" w:eastAsia="仿宋" w:hint="eastAsia"/>
                <w:sz w:val="21"/>
              </w:rPr>
            </w:pPr>
            <w:r>
              <w:rPr>
                <w:rFonts w:ascii="仿宋" w:eastAsia="仿宋" w:hint="eastAsia"/>
                <w:sz w:val="21"/>
              </w:rPr>
              <w:t>住院</w:t>
            </w:r>
          </w:p>
        </w:tc>
      </w:tr>
      <w:tr>
        <w:trPr>
          <w:trHeight w:val="312" w:hRule="atLeast"/>
        </w:trPr>
        <w:tc>
          <w:tcPr>
            <w:tcW w:w="2493" w:type="dxa"/>
          </w:tcPr>
          <w:p>
            <w:pPr>
              <w:pStyle w:val="TableParagraph"/>
              <w:spacing w:line="246" w:lineRule="exact"/>
              <w:ind w:left="261"/>
              <w:rPr>
                <w:rFonts w:ascii="仿宋" w:eastAsia="仿宋" w:hint="eastAsia"/>
                <w:sz w:val="21"/>
              </w:rPr>
            </w:pPr>
            <w:r>
              <w:rPr>
                <w:sz w:val="21"/>
              </w:rPr>
              <w:t>2.1 </w:t>
            </w:r>
            <w:r>
              <w:rPr>
                <w:rFonts w:ascii="仿宋" w:eastAsia="仿宋" w:hint="eastAsia"/>
                <w:sz w:val="21"/>
              </w:rPr>
              <w:t>保险期间</w:t>
            </w:r>
          </w:p>
        </w:tc>
        <w:tc>
          <w:tcPr>
            <w:tcW w:w="3613" w:type="dxa"/>
          </w:tcPr>
          <w:p>
            <w:pPr>
              <w:pStyle w:val="TableParagraph"/>
              <w:spacing w:before="2"/>
              <w:ind w:left="761"/>
              <w:rPr>
                <w:rFonts w:ascii="仿宋" w:eastAsia="仿宋" w:hint="eastAsia"/>
                <w:sz w:val="21"/>
              </w:rPr>
            </w:pPr>
            <w:r>
              <w:rPr>
                <w:sz w:val="21"/>
              </w:rPr>
              <w:t>7.1 </w:t>
            </w:r>
            <w:r>
              <w:rPr>
                <w:rFonts w:ascii="仿宋" w:eastAsia="仿宋" w:hint="eastAsia"/>
                <w:sz w:val="21"/>
              </w:rPr>
              <w:t>您解除合同的手续及风险</w:t>
            </w:r>
          </w:p>
        </w:tc>
        <w:tc>
          <w:tcPr>
            <w:tcW w:w="592" w:type="dxa"/>
          </w:tcPr>
          <w:p>
            <w:pPr>
              <w:pStyle w:val="TableParagraph"/>
              <w:spacing w:line="246" w:lineRule="exact"/>
              <w:ind w:left="101" w:right="31"/>
              <w:jc w:val="center"/>
              <w:rPr>
                <w:sz w:val="21"/>
              </w:rPr>
            </w:pPr>
            <w:r>
              <w:rPr>
                <w:sz w:val="21"/>
              </w:rPr>
              <w:t>9.14</w:t>
            </w:r>
          </w:p>
        </w:tc>
        <w:tc>
          <w:tcPr>
            <w:tcW w:w="1783" w:type="dxa"/>
          </w:tcPr>
          <w:p>
            <w:pPr>
              <w:pStyle w:val="TableParagraph"/>
              <w:spacing w:line="246" w:lineRule="exact"/>
              <w:ind w:left="53"/>
              <w:rPr>
                <w:rFonts w:ascii="仿宋" w:eastAsia="仿宋" w:hint="eastAsia"/>
                <w:sz w:val="21"/>
              </w:rPr>
            </w:pPr>
            <w:r>
              <w:rPr>
                <w:rFonts w:ascii="仿宋" w:eastAsia="仿宋" w:hint="eastAsia"/>
                <w:sz w:val="21"/>
              </w:rPr>
              <w:t>住院医疗费用</w:t>
            </w:r>
          </w:p>
        </w:tc>
      </w:tr>
      <w:tr>
        <w:trPr>
          <w:trHeight w:val="311" w:hRule="atLeast"/>
        </w:trPr>
        <w:tc>
          <w:tcPr>
            <w:tcW w:w="2493" w:type="dxa"/>
          </w:tcPr>
          <w:p>
            <w:pPr>
              <w:pStyle w:val="TableParagraph"/>
              <w:spacing w:line="246" w:lineRule="exact"/>
              <w:ind w:left="261"/>
              <w:rPr>
                <w:rFonts w:ascii="仿宋" w:eastAsia="仿宋" w:hint="eastAsia"/>
                <w:sz w:val="21"/>
              </w:rPr>
            </w:pPr>
            <w:r>
              <w:rPr>
                <w:sz w:val="21"/>
              </w:rPr>
              <w:t>2.2 </w:t>
            </w:r>
            <w:r>
              <w:rPr>
                <w:rFonts w:ascii="仿宋" w:eastAsia="仿宋" w:hint="eastAsia"/>
                <w:sz w:val="21"/>
              </w:rPr>
              <w:t>投保条件</w:t>
            </w:r>
          </w:p>
        </w:tc>
        <w:tc>
          <w:tcPr>
            <w:tcW w:w="3613" w:type="dxa"/>
          </w:tcPr>
          <w:p>
            <w:pPr>
              <w:pStyle w:val="TableParagraph"/>
              <w:spacing w:before="2"/>
              <w:ind w:left="550"/>
              <w:rPr>
                <w:rFonts w:ascii="仿宋" w:eastAsia="仿宋" w:hint="eastAsia"/>
                <w:b/>
                <w:sz w:val="21"/>
              </w:rPr>
            </w:pPr>
            <w:r>
              <w:rPr>
                <w:b/>
                <w:sz w:val="21"/>
              </w:rPr>
              <w:t>8.</w:t>
            </w:r>
            <w:r>
              <w:rPr>
                <w:rFonts w:ascii="仿宋" w:eastAsia="仿宋" w:hint="eastAsia"/>
                <w:b/>
                <w:sz w:val="21"/>
              </w:rPr>
              <w:t>其他需要关注的事项</w:t>
            </w:r>
          </w:p>
        </w:tc>
        <w:tc>
          <w:tcPr>
            <w:tcW w:w="592" w:type="dxa"/>
          </w:tcPr>
          <w:p>
            <w:pPr>
              <w:pStyle w:val="TableParagraph"/>
              <w:spacing w:line="246" w:lineRule="exact"/>
              <w:ind w:left="101" w:right="31"/>
              <w:jc w:val="center"/>
              <w:rPr>
                <w:sz w:val="21"/>
              </w:rPr>
            </w:pPr>
            <w:r>
              <w:rPr>
                <w:sz w:val="21"/>
              </w:rPr>
              <w:t>9.15</w:t>
            </w:r>
          </w:p>
        </w:tc>
        <w:tc>
          <w:tcPr>
            <w:tcW w:w="1783" w:type="dxa"/>
          </w:tcPr>
          <w:p>
            <w:pPr>
              <w:pStyle w:val="TableParagraph"/>
              <w:spacing w:line="246" w:lineRule="exact"/>
              <w:ind w:left="53"/>
              <w:rPr>
                <w:rFonts w:ascii="仿宋" w:eastAsia="仿宋" w:hint="eastAsia"/>
                <w:sz w:val="21"/>
              </w:rPr>
            </w:pPr>
            <w:r>
              <w:rPr>
                <w:rFonts w:ascii="仿宋" w:eastAsia="仿宋" w:hint="eastAsia"/>
                <w:sz w:val="21"/>
              </w:rPr>
              <w:t>社会医疗保险</w:t>
            </w:r>
          </w:p>
        </w:tc>
      </w:tr>
      <w:tr>
        <w:trPr>
          <w:trHeight w:val="312" w:hRule="atLeast"/>
        </w:trPr>
        <w:tc>
          <w:tcPr>
            <w:tcW w:w="2493" w:type="dxa"/>
          </w:tcPr>
          <w:p>
            <w:pPr>
              <w:pStyle w:val="TableParagraph"/>
              <w:spacing w:line="246" w:lineRule="exact"/>
              <w:ind w:right="547"/>
              <w:jc w:val="right"/>
              <w:rPr>
                <w:rFonts w:ascii="仿宋" w:eastAsia="仿宋" w:hint="eastAsia"/>
                <w:sz w:val="21"/>
              </w:rPr>
            </w:pPr>
            <w:r>
              <w:rPr>
                <w:sz w:val="21"/>
              </w:rPr>
              <w:t>2.3 </w:t>
            </w:r>
            <w:r>
              <w:rPr>
                <w:rFonts w:ascii="仿宋" w:eastAsia="仿宋" w:hint="eastAsia"/>
                <w:sz w:val="21"/>
              </w:rPr>
              <w:t>基本保险金额</w:t>
            </w:r>
          </w:p>
        </w:tc>
        <w:tc>
          <w:tcPr>
            <w:tcW w:w="3613" w:type="dxa"/>
          </w:tcPr>
          <w:p>
            <w:pPr>
              <w:pStyle w:val="TableParagraph"/>
              <w:spacing w:before="2"/>
              <w:ind w:left="763"/>
              <w:rPr>
                <w:rFonts w:ascii="仿宋" w:eastAsia="仿宋" w:hint="eastAsia"/>
                <w:sz w:val="21"/>
              </w:rPr>
            </w:pPr>
            <w:r>
              <w:rPr>
                <w:sz w:val="21"/>
              </w:rPr>
              <w:t>8.1 </w:t>
            </w:r>
            <w:r>
              <w:rPr>
                <w:rFonts w:ascii="仿宋" w:eastAsia="仿宋" w:hint="eastAsia"/>
                <w:sz w:val="21"/>
              </w:rPr>
              <w:t>未还款项</w:t>
            </w:r>
          </w:p>
        </w:tc>
        <w:tc>
          <w:tcPr>
            <w:tcW w:w="592" w:type="dxa"/>
          </w:tcPr>
          <w:p>
            <w:pPr>
              <w:pStyle w:val="TableParagraph"/>
              <w:spacing w:line="246" w:lineRule="exact"/>
              <w:ind w:left="101" w:right="31"/>
              <w:jc w:val="center"/>
              <w:rPr>
                <w:sz w:val="21"/>
              </w:rPr>
            </w:pPr>
            <w:r>
              <w:rPr>
                <w:sz w:val="21"/>
              </w:rPr>
              <w:t>9.16</w:t>
            </w:r>
          </w:p>
        </w:tc>
        <w:tc>
          <w:tcPr>
            <w:tcW w:w="1783" w:type="dxa"/>
          </w:tcPr>
          <w:p>
            <w:pPr>
              <w:pStyle w:val="TableParagraph"/>
              <w:spacing w:line="246" w:lineRule="exact"/>
              <w:ind w:left="53"/>
              <w:rPr>
                <w:rFonts w:ascii="仿宋" w:eastAsia="仿宋" w:hint="eastAsia"/>
                <w:sz w:val="21"/>
              </w:rPr>
            </w:pPr>
            <w:r>
              <w:rPr>
                <w:rFonts w:ascii="仿宋" w:eastAsia="仿宋" w:hint="eastAsia"/>
                <w:sz w:val="21"/>
              </w:rPr>
              <w:t>门诊急诊</w:t>
            </w:r>
          </w:p>
        </w:tc>
      </w:tr>
      <w:tr>
        <w:trPr>
          <w:trHeight w:val="277" w:hRule="atLeast"/>
        </w:trPr>
        <w:tc>
          <w:tcPr>
            <w:tcW w:w="2493" w:type="dxa"/>
          </w:tcPr>
          <w:p>
            <w:pPr>
              <w:pStyle w:val="TableParagraph"/>
              <w:spacing w:line="246" w:lineRule="exact"/>
              <w:ind w:left="261"/>
              <w:rPr>
                <w:rFonts w:ascii="仿宋" w:eastAsia="仿宋" w:hint="eastAsia"/>
                <w:sz w:val="21"/>
              </w:rPr>
            </w:pPr>
            <w:r>
              <w:rPr>
                <w:sz w:val="21"/>
              </w:rPr>
              <w:t>2.4 </w:t>
            </w:r>
            <w:r>
              <w:rPr>
                <w:rFonts w:ascii="仿宋" w:eastAsia="仿宋" w:hint="eastAsia"/>
                <w:sz w:val="21"/>
              </w:rPr>
              <w:t>保险责任</w:t>
            </w:r>
          </w:p>
        </w:tc>
        <w:tc>
          <w:tcPr>
            <w:tcW w:w="3613" w:type="dxa"/>
          </w:tcPr>
          <w:p>
            <w:pPr>
              <w:pStyle w:val="TableParagraph"/>
              <w:spacing w:line="255" w:lineRule="exact" w:before="2"/>
              <w:ind w:left="761"/>
              <w:rPr>
                <w:rFonts w:ascii="仿宋" w:eastAsia="仿宋" w:hint="eastAsia"/>
                <w:sz w:val="21"/>
              </w:rPr>
            </w:pPr>
            <w:r>
              <w:rPr>
                <w:sz w:val="21"/>
              </w:rPr>
              <w:t>8.2 </w:t>
            </w:r>
            <w:r>
              <w:rPr>
                <w:rFonts w:ascii="仿宋" w:eastAsia="仿宋" w:hint="eastAsia"/>
                <w:sz w:val="21"/>
              </w:rPr>
              <w:t>明确说明与如实告知</w:t>
            </w:r>
          </w:p>
        </w:tc>
        <w:tc>
          <w:tcPr>
            <w:tcW w:w="592" w:type="dxa"/>
          </w:tcPr>
          <w:p>
            <w:pPr>
              <w:pStyle w:val="TableParagraph"/>
              <w:spacing w:line="246" w:lineRule="exact"/>
              <w:ind w:left="101" w:right="31"/>
              <w:jc w:val="center"/>
              <w:rPr>
                <w:sz w:val="21"/>
              </w:rPr>
            </w:pPr>
            <w:r>
              <w:rPr>
                <w:sz w:val="21"/>
              </w:rPr>
              <w:t>9.17</w:t>
            </w:r>
          </w:p>
        </w:tc>
        <w:tc>
          <w:tcPr>
            <w:tcW w:w="1783" w:type="dxa"/>
          </w:tcPr>
          <w:p>
            <w:pPr>
              <w:pStyle w:val="TableParagraph"/>
              <w:spacing w:line="246" w:lineRule="exact"/>
              <w:ind w:left="53"/>
              <w:rPr>
                <w:rFonts w:ascii="仿宋" w:eastAsia="仿宋" w:hint="eastAsia"/>
                <w:sz w:val="21"/>
              </w:rPr>
            </w:pPr>
            <w:r>
              <w:rPr>
                <w:rFonts w:ascii="仿宋" w:eastAsia="仿宋" w:hint="eastAsia"/>
                <w:sz w:val="21"/>
              </w:rPr>
              <w:t>特定门诊治疗费用</w:t>
            </w:r>
          </w:p>
        </w:tc>
      </w:tr>
    </w:tbl>
    <w:p>
      <w:pPr>
        <w:spacing w:after="0" w:line="246" w:lineRule="exact"/>
        <w:rPr>
          <w:rFonts w:ascii="仿宋" w:eastAsia="仿宋" w:hint="eastAsia"/>
          <w:sz w:val="21"/>
        </w:rPr>
        <w:sectPr>
          <w:type w:val="continuous"/>
          <w:pgSz w:w="11910" w:h="16840"/>
          <w:pgMar w:top="480" w:bottom="280" w:left="940" w:right="920"/>
        </w:sectPr>
      </w:pPr>
    </w:p>
    <w:p>
      <w:pPr>
        <w:pStyle w:val="BodyText"/>
        <w:spacing w:before="6"/>
        <w:ind w:left="694"/>
        <w:rPr>
          <w:rFonts w:ascii="仿宋" w:eastAsia="仿宋" w:hint="eastAsia"/>
        </w:rPr>
      </w:pPr>
      <w:r>
        <w:rPr/>
        <w:t>2.5 </w:t>
      </w:r>
      <w:r>
        <w:rPr>
          <w:rFonts w:ascii="仿宋" w:eastAsia="仿宋" w:hint="eastAsia"/>
        </w:rPr>
        <w:t>责任免除</w:t>
      </w:r>
    </w:p>
    <w:p>
      <w:pPr>
        <w:pStyle w:val="Heading2"/>
        <w:spacing w:before="37"/>
        <w:ind w:left="483"/>
        <w:rPr>
          <w:rFonts w:ascii="仿宋" w:eastAsia="仿宋" w:hint="eastAsia"/>
        </w:rPr>
      </w:pPr>
      <w:r>
        <w:rPr/>
        <w:t>3.</w:t>
      </w:r>
      <w:r>
        <w:rPr>
          <w:rFonts w:ascii="仿宋" w:eastAsia="仿宋" w:hint="eastAsia"/>
        </w:rPr>
        <w:t>如何申请领取保险金</w:t>
      </w:r>
    </w:p>
    <w:p>
      <w:pPr>
        <w:pStyle w:val="ListParagraph"/>
        <w:numPr>
          <w:ilvl w:val="1"/>
          <w:numId w:val="2"/>
        </w:numPr>
        <w:tabs>
          <w:tab w:pos="1115" w:val="left" w:leader="none"/>
        </w:tabs>
        <w:spacing w:line="240" w:lineRule="auto" w:before="37" w:after="0"/>
        <w:ind w:left="1114" w:right="0" w:hanging="420"/>
        <w:jc w:val="left"/>
        <w:rPr>
          <w:sz w:val="21"/>
        </w:rPr>
      </w:pPr>
      <w:r>
        <w:rPr>
          <w:spacing w:val="-2"/>
          <w:sz w:val="21"/>
        </w:rPr>
        <w:t>受益人</w:t>
      </w:r>
    </w:p>
    <w:p>
      <w:pPr>
        <w:pStyle w:val="ListParagraph"/>
        <w:numPr>
          <w:ilvl w:val="1"/>
          <w:numId w:val="2"/>
        </w:numPr>
        <w:tabs>
          <w:tab w:pos="1115" w:val="left" w:leader="none"/>
        </w:tabs>
        <w:spacing w:line="240" w:lineRule="auto" w:before="37" w:after="0"/>
        <w:ind w:left="1114" w:right="0" w:hanging="420"/>
        <w:jc w:val="left"/>
        <w:rPr>
          <w:sz w:val="21"/>
        </w:rPr>
      </w:pPr>
      <w:r>
        <w:rPr>
          <w:spacing w:val="-3"/>
          <w:sz w:val="21"/>
        </w:rPr>
        <w:t>保险事故通知</w:t>
      </w:r>
    </w:p>
    <w:p>
      <w:pPr>
        <w:pStyle w:val="ListParagraph"/>
        <w:numPr>
          <w:ilvl w:val="1"/>
          <w:numId w:val="2"/>
        </w:numPr>
        <w:tabs>
          <w:tab w:pos="1120" w:val="left" w:leader="none"/>
        </w:tabs>
        <w:spacing w:line="273" w:lineRule="auto" w:before="37" w:after="0"/>
        <w:ind w:left="1114" w:right="0" w:hanging="420"/>
        <w:jc w:val="left"/>
        <w:rPr>
          <w:sz w:val="21"/>
        </w:rPr>
      </w:pPr>
      <w:r>
        <w:rPr>
          <w:sz w:val="21"/>
        </w:rPr>
        <w:t>保险金或者豁免保险费申请</w:t>
      </w:r>
    </w:p>
    <w:p>
      <w:pPr>
        <w:pStyle w:val="ListParagraph"/>
        <w:numPr>
          <w:ilvl w:val="1"/>
          <w:numId w:val="2"/>
        </w:numPr>
        <w:tabs>
          <w:tab w:pos="1118" w:val="left" w:leader="none"/>
        </w:tabs>
        <w:spacing w:line="240" w:lineRule="auto" w:before="7" w:after="0"/>
        <w:ind w:left="1117" w:right="0" w:hanging="423"/>
        <w:jc w:val="left"/>
        <w:rPr>
          <w:sz w:val="21"/>
        </w:rPr>
      </w:pPr>
      <w:r>
        <w:rPr>
          <w:spacing w:val="-3"/>
          <w:sz w:val="21"/>
        </w:rPr>
        <w:t>保险金给付</w:t>
      </w:r>
    </w:p>
    <w:p>
      <w:pPr>
        <w:pStyle w:val="ListParagraph"/>
        <w:numPr>
          <w:ilvl w:val="1"/>
          <w:numId w:val="2"/>
        </w:numPr>
        <w:tabs>
          <w:tab w:pos="1118" w:val="left" w:leader="none"/>
        </w:tabs>
        <w:spacing w:line="240" w:lineRule="auto" w:before="37" w:after="0"/>
        <w:ind w:left="1117" w:right="0" w:hanging="423"/>
        <w:jc w:val="left"/>
        <w:rPr>
          <w:sz w:val="21"/>
        </w:rPr>
      </w:pPr>
      <w:r>
        <w:rPr>
          <w:spacing w:val="-3"/>
          <w:sz w:val="21"/>
        </w:rPr>
        <w:t>失踪处理</w:t>
      </w:r>
    </w:p>
    <w:p>
      <w:pPr>
        <w:pStyle w:val="ListParagraph"/>
        <w:numPr>
          <w:ilvl w:val="1"/>
          <w:numId w:val="2"/>
        </w:numPr>
        <w:tabs>
          <w:tab w:pos="1118" w:val="left" w:leader="none"/>
        </w:tabs>
        <w:spacing w:line="240" w:lineRule="auto" w:before="37" w:after="0"/>
        <w:ind w:left="1117" w:right="0" w:hanging="423"/>
        <w:jc w:val="left"/>
        <w:rPr>
          <w:sz w:val="21"/>
        </w:rPr>
      </w:pPr>
      <w:r>
        <w:rPr>
          <w:spacing w:val="-3"/>
          <w:sz w:val="21"/>
        </w:rPr>
        <w:t>诉讼时效</w:t>
      </w:r>
    </w:p>
    <w:p>
      <w:pPr>
        <w:pStyle w:val="Heading2"/>
        <w:spacing w:before="37"/>
        <w:ind w:left="483"/>
        <w:rPr>
          <w:rFonts w:ascii="仿宋" w:eastAsia="仿宋" w:hint="eastAsia"/>
        </w:rPr>
      </w:pPr>
      <w:r>
        <w:rPr/>
        <w:t>4.</w:t>
      </w:r>
      <w:r>
        <w:rPr>
          <w:rFonts w:ascii="仿宋" w:eastAsia="仿宋" w:hint="eastAsia"/>
        </w:rPr>
        <w:t>如何支付保险费</w:t>
      </w:r>
    </w:p>
    <w:p>
      <w:pPr>
        <w:pStyle w:val="ListParagraph"/>
        <w:numPr>
          <w:ilvl w:val="1"/>
          <w:numId w:val="3"/>
        </w:numPr>
        <w:tabs>
          <w:tab w:pos="1118" w:val="left" w:leader="none"/>
        </w:tabs>
        <w:spacing w:line="240" w:lineRule="auto" w:before="37" w:after="0"/>
        <w:ind w:left="1117" w:right="0" w:hanging="423"/>
        <w:jc w:val="left"/>
        <w:rPr>
          <w:sz w:val="21"/>
        </w:rPr>
      </w:pPr>
      <w:r>
        <w:rPr>
          <w:spacing w:val="-3"/>
          <w:sz w:val="21"/>
        </w:rPr>
        <w:t>保险费的支付</w:t>
      </w:r>
    </w:p>
    <w:p>
      <w:pPr>
        <w:pStyle w:val="ListParagraph"/>
        <w:numPr>
          <w:ilvl w:val="1"/>
          <w:numId w:val="3"/>
        </w:numPr>
        <w:tabs>
          <w:tab w:pos="1118" w:val="left" w:leader="none"/>
        </w:tabs>
        <w:spacing w:line="240" w:lineRule="auto" w:before="37" w:after="0"/>
        <w:ind w:left="1117" w:right="0" w:hanging="423"/>
        <w:jc w:val="left"/>
        <w:rPr>
          <w:sz w:val="21"/>
        </w:rPr>
      </w:pPr>
      <w:r>
        <w:rPr>
          <w:spacing w:val="-2"/>
          <w:sz w:val="21"/>
        </w:rPr>
        <w:t>宽限期</w:t>
      </w:r>
    </w:p>
    <w:p>
      <w:pPr>
        <w:pStyle w:val="Heading2"/>
        <w:spacing w:before="37"/>
        <w:ind w:left="483"/>
        <w:rPr>
          <w:rFonts w:ascii="仿宋" w:eastAsia="仿宋" w:hint="eastAsia"/>
        </w:rPr>
      </w:pPr>
      <w:r>
        <w:rPr/>
        <w:t>5.</w:t>
      </w:r>
      <w:r>
        <w:rPr>
          <w:rFonts w:ascii="仿宋" w:eastAsia="仿宋" w:hint="eastAsia"/>
        </w:rPr>
        <w:t>现金价值权益</w:t>
      </w:r>
    </w:p>
    <w:p>
      <w:pPr>
        <w:pStyle w:val="ListParagraph"/>
        <w:numPr>
          <w:ilvl w:val="1"/>
          <w:numId w:val="4"/>
        </w:numPr>
        <w:tabs>
          <w:tab w:pos="1118" w:val="left" w:leader="none"/>
        </w:tabs>
        <w:spacing w:line="240" w:lineRule="auto" w:before="61" w:after="0"/>
        <w:ind w:left="1117" w:right="0" w:hanging="423"/>
        <w:jc w:val="left"/>
        <w:rPr>
          <w:sz w:val="21"/>
        </w:rPr>
      </w:pPr>
      <w:r>
        <w:rPr>
          <w:spacing w:val="-3"/>
          <w:sz w:val="21"/>
        </w:rPr>
        <w:t>现金价值</w:t>
      </w:r>
    </w:p>
    <w:p>
      <w:pPr>
        <w:pStyle w:val="ListParagraph"/>
        <w:numPr>
          <w:ilvl w:val="1"/>
          <w:numId w:val="4"/>
        </w:numPr>
        <w:tabs>
          <w:tab w:pos="1118" w:val="left" w:leader="none"/>
        </w:tabs>
        <w:spacing w:line="240" w:lineRule="auto" w:before="44" w:after="0"/>
        <w:ind w:left="1117" w:right="0" w:hanging="423"/>
        <w:jc w:val="left"/>
        <w:rPr>
          <w:sz w:val="21"/>
        </w:rPr>
      </w:pPr>
      <w:r>
        <w:rPr>
          <w:spacing w:val="-3"/>
          <w:sz w:val="21"/>
        </w:rPr>
        <w:t>保险费的自动垫交</w:t>
      </w:r>
    </w:p>
    <w:p>
      <w:pPr>
        <w:pStyle w:val="ListParagraph"/>
        <w:numPr>
          <w:ilvl w:val="1"/>
          <w:numId w:val="5"/>
        </w:numPr>
        <w:tabs>
          <w:tab w:pos="808" w:val="left" w:leader="none"/>
        </w:tabs>
        <w:spacing w:line="240" w:lineRule="auto" w:before="61" w:after="0"/>
        <w:ind w:left="807" w:right="0" w:hanging="423"/>
        <w:jc w:val="left"/>
        <w:rPr>
          <w:sz w:val="21"/>
        </w:rPr>
      </w:pPr>
      <w:r>
        <w:rPr>
          <w:spacing w:val="-3"/>
          <w:w w:val="100"/>
          <w:sz w:val="21"/>
        </w:rPr>
        <w:br w:type="column"/>
      </w:r>
      <w:r>
        <w:rPr>
          <w:spacing w:val="-3"/>
          <w:sz w:val="21"/>
        </w:rPr>
        <w:t>我们合同解除权的限制</w:t>
      </w:r>
    </w:p>
    <w:p>
      <w:pPr>
        <w:pStyle w:val="ListParagraph"/>
        <w:numPr>
          <w:ilvl w:val="1"/>
          <w:numId w:val="5"/>
        </w:numPr>
        <w:tabs>
          <w:tab w:pos="808" w:val="left" w:leader="none"/>
        </w:tabs>
        <w:spacing w:line="240" w:lineRule="auto" w:before="44" w:after="0"/>
        <w:ind w:left="807" w:right="0" w:hanging="423"/>
        <w:jc w:val="left"/>
        <w:rPr>
          <w:sz w:val="21"/>
        </w:rPr>
      </w:pPr>
      <w:r>
        <w:rPr>
          <w:spacing w:val="-3"/>
          <w:sz w:val="21"/>
        </w:rPr>
        <w:t>年龄性别错误</w:t>
      </w:r>
    </w:p>
    <w:p>
      <w:pPr>
        <w:pStyle w:val="ListParagraph"/>
        <w:numPr>
          <w:ilvl w:val="1"/>
          <w:numId w:val="5"/>
        </w:numPr>
        <w:tabs>
          <w:tab w:pos="808" w:val="left" w:leader="none"/>
        </w:tabs>
        <w:spacing w:line="240" w:lineRule="auto" w:before="47" w:after="0"/>
        <w:ind w:left="807" w:right="0" w:hanging="423"/>
        <w:jc w:val="left"/>
        <w:rPr>
          <w:sz w:val="21"/>
        </w:rPr>
      </w:pPr>
      <w:r>
        <w:rPr>
          <w:spacing w:val="-3"/>
          <w:sz w:val="21"/>
        </w:rPr>
        <w:t>合同内容变更</w:t>
      </w:r>
    </w:p>
    <w:p>
      <w:pPr>
        <w:pStyle w:val="ListParagraph"/>
        <w:numPr>
          <w:ilvl w:val="1"/>
          <w:numId w:val="5"/>
        </w:numPr>
        <w:tabs>
          <w:tab w:pos="808" w:val="left" w:leader="none"/>
        </w:tabs>
        <w:spacing w:line="240" w:lineRule="auto" w:before="44" w:after="0"/>
        <w:ind w:left="807" w:right="0" w:hanging="423"/>
        <w:jc w:val="left"/>
        <w:rPr>
          <w:sz w:val="21"/>
        </w:rPr>
      </w:pPr>
      <w:r>
        <w:rPr>
          <w:spacing w:val="-3"/>
          <w:sz w:val="21"/>
        </w:rPr>
        <w:t>职业或工种变更</w:t>
      </w:r>
    </w:p>
    <w:p>
      <w:pPr>
        <w:pStyle w:val="ListParagraph"/>
        <w:numPr>
          <w:ilvl w:val="1"/>
          <w:numId w:val="5"/>
        </w:numPr>
        <w:tabs>
          <w:tab w:pos="808" w:val="left" w:leader="none"/>
        </w:tabs>
        <w:spacing w:line="240" w:lineRule="auto" w:before="44" w:after="0"/>
        <w:ind w:left="807" w:right="0" w:hanging="423"/>
        <w:jc w:val="left"/>
        <w:rPr>
          <w:sz w:val="21"/>
        </w:rPr>
      </w:pPr>
      <w:r>
        <w:rPr>
          <w:spacing w:val="-3"/>
          <w:sz w:val="21"/>
        </w:rPr>
        <w:t>联系方式变更</w:t>
      </w:r>
    </w:p>
    <w:p>
      <w:pPr>
        <w:pStyle w:val="ListParagraph"/>
        <w:numPr>
          <w:ilvl w:val="1"/>
          <w:numId w:val="5"/>
        </w:numPr>
        <w:tabs>
          <w:tab w:pos="808" w:val="left" w:leader="none"/>
        </w:tabs>
        <w:spacing w:line="240" w:lineRule="auto" w:before="47" w:after="0"/>
        <w:ind w:left="807" w:right="0" w:hanging="423"/>
        <w:jc w:val="left"/>
        <w:rPr>
          <w:sz w:val="21"/>
        </w:rPr>
      </w:pPr>
      <w:r>
        <w:rPr>
          <w:spacing w:val="-3"/>
          <w:sz w:val="21"/>
        </w:rPr>
        <w:t>争议处理</w:t>
      </w:r>
    </w:p>
    <w:p>
      <w:pPr>
        <w:pStyle w:val="Heading2"/>
        <w:spacing w:before="20"/>
        <w:ind w:left="173"/>
        <w:rPr>
          <w:rFonts w:ascii="仿宋" w:eastAsia="仿宋" w:hint="eastAsia"/>
        </w:rPr>
      </w:pPr>
      <w:r>
        <w:rPr/>
        <w:t>9.</w:t>
      </w:r>
      <w:r>
        <w:rPr>
          <w:rFonts w:ascii="仿宋" w:eastAsia="仿宋" w:hint="eastAsia"/>
        </w:rPr>
        <w:t>释义</w:t>
      </w:r>
    </w:p>
    <w:p>
      <w:pPr>
        <w:pStyle w:val="ListParagraph"/>
        <w:numPr>
          <w:ilvl w:val="1"/>
          <w:numId w:val="6"/>
        </w:numPr>
        <w:tabs>
          <w:tab w:pos="808" w:val="left" w:leader="none"/>
        </w:tabs>
        <w:spacing w:line="240" w:lineRule="auto" w:before="37" w:after="0"/>
        <w:ind w:left="807" w:right="0" w:hanging="423"/>
        <w:jc w:val="left"/>
        <w:rPr>
          <w:sz w:val="21"/>
        </w:rPr>
      </w:pPr>
      <w:r>
        <w:rPr>
          <w:spacing w:val="-3"/>
          <w:sz w:val="21"/>
        </w:rPr>
        <w:t>保单周年日</w:t>
      </w:r>
    </w:p>
    <w:p>
      <w:pPr>
        <w:pStyle w:val="ListParagraph"/>
        <w:numPr>
          <w:ilvl w:val="1"/>
          <w:numId w:val="6"/>
        </w:numPr>
        <w:tabs>
          <w:tab w:pos="808" w:val="left" w:leader="none"/>
        </w:tabs>
        <w:spacing w:line="240" w:lineRule="auto" w:before="37" w:after="0"/>
        <w:ind w:left="807" w:right="0" w:hanging="423"/>
        <w:jc w:val="left"/>
        <w:rPr>
          <w:sz w:val="21"/>
        </w:rPr>
      </w:pPr>
      <w:r>
        <w:rPr>
          <w:spacing w:val="-3"/>
          <w:sz w:val="21"/>
        </w:rPr>
        <w:t>保单年度</w:t>
      </w:r>
    </w:p>
    <w:p>
      <w:pPr>
        <w:pStyle w:val="ListParagraph"/>
        <w:numPr>
          <w:ilvl w:val="1"/>
          <w:numId w:val="6"/>
        </w:numPr>
        <w:tabs>
          <w:tab w:pos="808" w:val="left" w:leader="none"/>
        </w:tabs>
        <w:spacing w:line="240" w:lineRule="auto" w:before="37" w:after="0"/>
        <w:ind w:left="807" w:right="0" w:hanging="423"/>
        <w:jc w:val="left"/>
        <w:rPr>
          <w:sz w:val="21"/>
        </w:rPr>
      </w:pPr>
      <w:r>
        <w:rPr>
          <w:spacing w:val="-3"/>
          <w:sz w:val="21"/>
        </w:rPr>
        <w:t>保险费约定支付日</w:t>
      </w:r>
    </w:p>
    <w:p>
      <w:pPr>
        <w:pStyle w:val="ListParagraph"/>
        <w:numPr>
          <w:ilvl w:val="1"/>
          <w:numId w:val="6"/>
        </w:numPr>
        <w:tabs>
          <w:tab w:pos="808" w:val="left" w:leader="none"/>
        </w:tabs>
        <w:spacing w:line="240" w:lineRule="auto" w:before="37" w:after="0"/>
        <w:ind w:left="807" w:right="0" w:hanging="423"/>
        <w:jc w:val="left"/>
        <w:rPr>
          <w:sz w:val="21"/>
        </w:rPr>
      </w:pPr>
      <w:r>
        <w:rPr>
          <w:spacing w:val="-3"/>
          <w:sz w:val="21"/>
        </w:rPr>
        <w:t>有效身份证件</w:t>
      </w:r>
    </w:p>
    <w:p>
      <w:pPr>
        <w:pStyle w:val="ListParagraph"/>
        <w:numPr>
          <w:ilvl w:val="1"/>
          <w:numId w:val="6"/>
        </w:numPr>
        <w:tabs>
          <w:tab w:pos="808" w:val="left" w:leader="none"/>
        </w:tabs>
        <w:spacing w:line="240" w:lineRule="auto" w:before="37" w:after="0"/>
        <w:ind w:left="807" w:right="0" w:hanging="423"/>
        <w:jc w:val="left"/>
        <w:rPr>
          <w:sz w:val="21"/>
        </w:rPr>
      </w:pPr>
      <w:r>
        <w:rPr>
          <w:spacing w:val="-3"/>
          <w:sz w:val="21"/>
        </w:rPr>
        <w:t>周岁</w:t>
      </w:r>
    </w:p>
    <w:p>
      <w:pPr>
        <w:pStyle w:val="ListParagraph"/>
        <w:numPr>
          <w:ilvl w:val="1"/>
          <w:numId w:val="6"/>
        </w:numPr>
        <w:tabs>
          <w:tab w:pos="808" w:val="left" w:leader="none"/>
        </w:tabs>
        <w:spacing w:line="240" w:lineRule="auto" w:before="37" w:after="0"/>
        <w:ind w:left="807" w:right="0" w:hanging="423"/>
        <w:jc w:val="left"/>
        <w:rPr>
          <w:sz w:val="21"/>
        </w:rPr>
      </w:pPr>
      <w:r>
        <w:rPr>
          <w:spacing w:val="-3"/>
          <w:sz w:val="21"/>
        </w:rPr>
        <w:t>意外伤害事故</w:t>
      </w:r>
    </w:p>
    <w:p>
      <w:pPr>
        <w:pStyle w:val="ListParagraph"/>
        <w:numPr>
          <w:ilvl w:val="1"/>
          <w:numId w:val="6"/>
        </w:numPr>
        <w:tabs>
          <w:tab w:pos="808" w:val="left" w:leader="none"/>
        </w:tabs>
        <w:spacing w:line="240" w:lineRule="auto" w:before="37" w:after="0"/>
        <w:ind w:left="807" w:right="0" w:hanging="423"/>
        <w:jc w:val="left"/>
        <w:rPr>
          <w:sz w:val="21"/>
        </w:rPr>
      </w:pPr>
      <w:r>
        <w:rPr>
          <w:spacing w:val="-3"/>
          <w:sz w:val="21"/>
        </w:rPr>
        <w:t>重大疾病</w:t>
      </w:r>
    </w:p>
    <w:p>
      <w:pPr>
        <w:pStyle w:val="ListParagraph"/>
        <w:numPr>
          <w:ilvl w:val="1"/>
          <w:numId w:val="6"/>
        </w:numPr>
        <w:tabs>
          <w:tab w:pos="808" w:val="left" w:leader="none"/>
        </w:tabs>
        <w:spacing w:line="240" w:lineRule="auto" w:before="37" w:after="0"/>
        <w:ind w:left="807" w:right="0" w:hanging="423"/>
        <w:jc w:val="left"/>
        <w:rPr>
          <w:sz w:val="21"/>
        </w:rPr>
      </w:pPr>
      <w:r>
        <w:rPr>
          <w:spacing w:val="-3"/>
          <w:sz w:val="21"/>
        </w:rPr>
        <w:t>中国境内</w:t>
      </w:r>
    </w:p>
    <w:p>
      <w:pPr>
        <w:pStyle w:val="ListParagraph"/>
        <w:numPr>
          <w:ilvl w:val="1"/>
          <w:numId w:val="7"/>
        </w:numPr>
        <w:tabs>
          <w:tab w:pos="935" w:val="left" w:leader="none"/>
        </w:tabs>
        <w:spacing w:line="240" w:lineRule="auto" w:before="6" w:after="0"/>
        <w:ind w:left="934" w:right="0" w:hanging="526"/>
        <w:jc w:val="left"/>
        <w:rPr>
          <w:sz w:val="21"/>
        </w:rPr>
      </w:pPr>
      <w:r>
        <w:rPr>
          <w:w w:val="100"/>
          <w:sz w:val="21"/>
        </w:rPr>
        <w:br w:type="column"/>
      </w:r>
      <w:r>
        <w:rPr>
          <w:sz w:val="21"/>
        </w:rPr>
        <w:t>酗酒</w:t>
      </w:r>
    </w:p>
    <w:p>
      <w:pPr>
        <w:pStyle w:val="ListParagraph"/>
        <w:numPr>
          <w:ilvl w:val="1"/>
          <w:numId w:val="7"/>
        </w:numPr>
        <w:tabs>
          <w:tab w:pos="935" w:val="left" w:leader="none"/>
        </w:tabs>
        <w:spacing w:line="240" w:lineRule="auto" w:before="37" w:after="0"/>
        <w:ind w:left="934" w:right="0" w:hanging="526"/>
        <w:jc w:val="left"/>
        <w:rPr>
          <w:sz w:val="21"/>
        </w:rPr>
      </w:pPr>
      <w:r>
        <w:rPr>
          <w:sz w:val="21"/>
        </w:rPr>
        <w:t>毒品</w:t>
      </w:r>
    </w:p>
    <w:p>
      <w:pPr>
        <w:pStyle w:val="ListParagraph"/>
        <w:numPr>
          <w:ilvl w:val="1"/>
          <w:numId w:val="7"/>
        </w:numPr>
        <w:tabs>
          <w:tab w:pos="935" w:val="left" w:leader="none"/>
        </w:tabs>
        <w:spacing w:line="240" w:lineRule="auto" w:before="37" w:after="0"/>
        <w:ind w:left="934" w:right="0" w:hanging="526"/>
        <w:jc w:val="left"/>
        <w:rPr>
          <w:sz w:val="21"/>
        </w:rPr>
      </w:pPr>
      <w:r>
        <w:rPr>
          <w:spacing w:val="-2"/>
          <w:sz w:val="21"/>
        </w:rPr>
        <w:t>酒后驾驶</w:t>
      </w:r>
    </w:p>
    <w:p>
      <w:pPr>
        <w:pStyle w:val="ListParagraph"/>
        <w:numPr>
          <w:ilvl w:val="1"/>
          <w:numId w:val="7"/>
        </w:numPr>
        <w:tabs>
          <w:tab w:pos="935" w:val="left" w:leader="none"/>
        </w:tabs>
        <w:spacing w:line="240" w:lineRule="auto" w:before="37" w:after="0"/>
        <w:ind w:left="934" w:right="0" w:hanging="526"/>
        <w:jc w:val="left"/>
        <w:rPr>
          <w:sz w:val="21"/>
        </w:rPr>
      </w:pPr>
      <w:r>
        <w:rPr>
          <w:spacing w:val="-3"/>
          <w:sz w:val="21"/>
        </w:rPr>
        <w:t>无合法有效驾驶证驾驶</w:t>
      </w:r>
    </w:p>
    <w:p>
      <w:pPr>
        <w:pStyle w:val="ListParagraph"/>
        <w:numPr>
          <w:ilvl w:val="1"/>
          <w:numId w:val="7"/>
        </w:numPr>
        <w:tabs>
          <w:tab w:pos="935" w:val="left" w:leader="none"/>
        </w:tabs>
        <w:spacing w:line="240" w:lineRule="auto" w:before="37" w:after="0"/>
        <w:ind w:left="934" w:right="0" w:hanging="526"/>
        <w:jc w:val="left"/>
        <w:rPr>
          <w:sz w:val="21"/>
        </w:rPr>
      </w:pPr>
      <w:r>
        <w:rPr>
          <w:spacing w:val="-3"/>
          <w:sz w:val="21"/>
        </w:rPr>
        <w:t>无有效行驶证照</w:t>
      </w:r>
    </w:p>
    <w:p>
      <w:pPr>
        <w:pStyle w:val="ListParagraph"/>
        <w:numPr>
          <w:ilvl w:val="1"/>
          <w:numId w:val="7"/>
        </w:numPr>
        <w:tabs>
          <w:tab w:pos="935" w:val="left" w:leader="none"/>
        </w:tabs>
        <w:spacing w:line="240" w:lineRule="auto" w:before="37" w:after="0"/>
        <w:ind w:left="934" w:right="0" w:hanging="526"/>
        <w:jc w:val="left"/>
        <w:rPr>
          <w:sz w:val="21"/>
        </w:rPr>
      </w:pPr>
      <w:r>
        <w:rPr>
          <w:spacing w:val="-2"/>
          <w:sz w:val="21"/>
        </w:rPr>
        <w:t>机动车</w:t>
      </w:r>
    </w:p>
    <w:p>
      <w:pPr>
        <w:pStyle w:val="ListParagraph"/>
        <w:numPr>
          <w:ilvl w:val="1"/>
          <w:numId w:val="7"/>
        </w:numPr>
        <w:tabs>
          <w:tab w:pos="952" w:val="left" w:leader="none"/>
        </w:tabs>
        <w:spacing w:line="273" w:lineRule="auto" w:before="37" w:after="0"/>
        <w:ind w:left="934" w:right="612" w:hanging="526"/>
        <w:jc w:val="left"/>
        <w:rPr>
          <w:sz w:val="21"/>
        </w:rPr>
      </w:pPr>
      <w:r>
        <w:rPr>
          <w:spacing w:val="8"/>
          <w:sz w:val="21"/>
        </w:rPr>
        <w:t>感染艾滋病病毒或患艾滋病</w:t>
      </w:r>
    </w:p>
    <w:p>
      <w:pPr>
        <w:pStyle w:val="ListParagraph"/>
        <w:numPr>
          <w:ilvl w:val="1"/>
          <w:numId w:val="7"/>
        </w:numPr>
        <w:tabs>
          <w:tab w:pos="935" w:val="left" w:leader="none"/>
        </w:tabs>
        <w:spacing w:line="240" w:lineRule="auto" w:before="7" w:after="0"/>
        <w:ind w:left="934" w:right="0" w:hanging="526"/>
        <w:jc w:val="left"/>
        <w:rPr>
          <w:sz w:val="21"/>
        </w:rPr>
      </w:pPr>
      <w:r>
        <w:rPr>
          <w:spacing w:val="-3"/>
          <w:sz w:val="21"/>
        </w:rPr>
        <w:t>遗传性疾病</w:t>
      </w:r>
    </w:p>
    <w:p>
      <w:pPr>
        <w:pStyle w:val="ListParagraph"/>
        <w:numPr>
          <w:ilvl w:val="1"/>
          <w:numId w:val="7"/>
        </w:numPr>
        <w:tabs>
          <w:tab w:pos="935" w:val="left" w:leader="none"/>
        </w:tabs>
        <w:spacing w:line="273" w:lineRule="auto" w:before="36" w:after="0"/>
        <w:ind w:left="934" w:right="609" w:hanging="526"/>
        <w:jc w:val="left"/>
        <w:rPr>
          <w:sz w:val="21"/>
        </w:rPr>
      </w:pPr>
      <w:r>
        <w:rPr>
          <w:spacing w:val="-10"/>
          <w:sz w:val="21"/>
        </w:rPr>
        <w:t>先天性畸形、变形或染色体异常</w:t>
      </w:r>
    </w:p>
    <w:p>
      <w:pPr>
        <w:pStyle w:val="ListParagraph"/>
        <w:numPr>
          <w:ilvl w:val="1"/>
          <w:numId w:val="7"/>
        </w:numPr>
        <w:tabs>
          <w:tab w:pos="935" w:val="left" w:leader="none"/>
        </w:tabs>
        <w:spacing w:line="240" w:lineRule="auto" w:before="7" w:after="0"/>
        <w:ind w:left="934" w:right="0" w:hanging="526"/>
        <w:jc w:val="left"/>
        <w:rPr>
          <w:sz w:val="21"/>
        </w:rPr>
      </w:pPr>
      <w:r>
        <w:rPr>
          <w:spacing w:val="-2"/>
          <w:sz w:val="21"/>
        </w:rPr>
        <w:t>现金价值</w:t>
      </w:r>
    </w:p>
    <w:p>
      <w:pPr>
        <w:pStyle w:val="ListParagraph"/>
        <w:numPr>
          <w:ilvl w:val="1"/>
          <w:numId w:val="7"/>
        </w:numPr>
        <w:tabs>
          <w:tab w:pos="935" w:val="left" w:leader="none"/>
        </w:tabs>
        <w:spacing w:line="240" w:lineRule="auto" w:before="37" w:after="0"/>
        <w:ind w:left="934" w:right="0" w:hanging="526"/>
        <w:jc w:val="left"/>
        <w:rPr>
          <w:sz w:val="21"/>
        </w:rPr>
      </w:pPr>
      <w:r>
        <w:rPr>
          <w:spacing w:val="-3"/>
          <w:sz w:val="21"/>
        </w:rPr>
        <w:t>现金价值净额</w:t>
      </w:r>
    </w:p>
    <w:p>
      <w:pPr>
        <w:pStyle w:val="ListParagraph"/>
        <w:numPr>
          <w:ilvl w:val="1"/>
          <w:numId w:val="7"/>
        </w:numPr>
        <w:tabs>
          <w:tab w:pos="935" w:val="left" w:leader="none"/>
        </w:tabs>
        <w:spacing w:line="240" w:lineRule="auto" w:before="37" w:after="0"/>
        <w:ind w:left="934" w:right="0" w:hanging="526"/>
        <w:jc w:val="left"/>
        <w:rPr>
          <w:sz w:val="21"/>
        </w:rPr>
      </w:pPr>
      <w:r>
        <w:rPr>
          <w:spacing w:val="-3"/>
          <w:sz w:val="21"/>
        </w:rPr>
        <w:t>本条款约定利率</w:t>
      </w:r>
    </w:p>
    <w:p>
      <w:pPr>
        <w:spacing w:after="0" w:line="240" w:lineRule="auto"/>
        <w:jc w:val="left"/>
        <w:rPr>
          <w:sz w:val="21"/>
        </w:rPr>
        <w:sectPr>
          <w:type w:val="continuous"/>
          <w:pgSz w:w="11910" w:h="16840"/>
          <w:pgMar w:top="480" w:bottom="280" w:left="940" w:right="920"/>
          <w:cols w:num="3" w:equalWidth="0">
            <w:col w:w="3264" w:space="40"/>
            <w:col w:w="2908" w:space="39"/>
            <w:col w:w="3799"/>
          </w:cols>
        </w:sectPr>
      </w:pPr>
    </w:p>
    <w:p>
      <w:pPr>
        <w:pStyle w:val="BodyText"/>
        <w:spacing w:before="0"/>
        <w:ind w:left="220"/>
        <w:rPr>
          <w:rFonts w:ascii="仿宋"/>
          <w:sz w:val="20"/>
        </w:rPr>
      </w:pPr>
      <w:r>
        <w:rPr>
          <w:rFonts w:ascii="仿宋"/>
          <w:sz w:val="20"/>
        </w:rPr>
        <w:drawing>
          <wp:inline distT="0" distB="0" distL="0" distR="0">
            <wp:extent cx="6275694"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75694" cy="859535"/>
                    </a:xfrm>
                    <a:prstGeom prst="rect">
                      <a:avLst/>
                    </a:prstGeom>
                  </pic:spPr>
                </pic:pic>
              </a:graphicData>
            </a:graphic>
          </wp:inline>
        </w:drawing>
      </w:r>
      <w:r>
        <w:rPr>
          <w:rFonts w:ascii="仿宋"/>
          <w:sz w:val="20"/>
        </w:rPr>
      </w:r>
    </w:p>
    <w:p>
      <w:pPr>
        <w:pStyle w:val="BodyText"/>
        <w:spacing w:before="0"/>
        <w:rPr>
          <w:rFonts w:ascii="仿宋"/>
          <w:sz w:val="20"/>
        </w:rPr>
      </w:pPr>
    </w:p>
    <w:p>
      <w:pPr>
        <w:spacing w:before="102"/>
        <w:ind w:left="2910" w:right="0" w:firstLine="0"/>
        <w:jc w:val="left"/>
        <w:rPr>
          <w:rFonts w:ascii="微软雅黑" w:eastAsia="微软雅黑" w:hint="eastAsia"/>
          <w:b/>
          <w:sz w:val="32"/>
        </w:rPr>
      </w:pPr>
      <w:r>
        <w:rPr>
          <w:rFonts w:ascii="微软雅黑" w:eastAsia="微软雅黑" w:hint="eastAsia"/>
          <w:b/>
          <w:sz w:val="32"/>
        </w:rPr>
        <w:t>国华康运金生重大疾病保险条款</w:t>
      </w:r>
    </w:p>
    <w:p>
      <w:pPr>
        <w:pStyle w:val="BodyText"/>
        <w:spacing w:before="5"/>
        <w:rPr>
          <w:rFonts w:ascii="微软雅黑"/>
          <w:b/>
          <w:sz w:val="24"/>
        </w:rPr>
      </w:pPr>
    </w:p>
    <w:p>
      <w:pPr>
        <w:spacing w:before="0"/>
        <w:ind w:left="220" w:right="0" w:firstLine="0"/>
        <w:jc w:val="left"/>
        <w:rPr>
          <w:sz w:val="21"/>
        </w:rPr>
      </w:pPr>
      <w:r>
        <w:rPr>
          <w:w w:val="95"/>
          <w:sz w:val="20"/>
        </w:rPr>
        <w:t>在本条款中，“您”指投保人，“我们”、“本公司”均指国华人寿保险股份有限公司</w:t>
      </w:r>
      <w:r>
        <w:rPr>
          <w:w w:val="95"/>
          <w:sz w:val="21"/>
        </w:rPr>
        <w:t>。</w:t>
      </w:r>
    </w:p>
    <w:p>
      <w:pPr>
        <w:pStyle w:val="BodyText"/>
        <w:spacing w:before="0"/>
        <w:rPr>
          <w:sz w:val="20"/>
        </w:rPr>
      </w:pPr>
    </w:p>
    <w:p>
      <w:pPr>
        <w:pStyle w:val="BodyText"/>
        <w:spacing w:before="4"/>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6"/>
        <w:gridCol w:w="1763"/>
        <w:gridCol w:w="7462"/>
      </w:tblGrid>
      <w:tr>
        <w:trPr>
          <w:trHeight w:val="522" w:hRule="atLeast"/>
        </w:trPr>
        <w:tc>
          <w:tcPr>
            <w:tcW w:w="826"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225" w:type="dxa"/>
            <w:gridSpan w:val="2"/>
            <w:tcBorders>
              <w:bottom w:val="single" w:sz="8" w:space="0" w:color="000000"/>
            </w:tcBorders>
          </w:tcPr>
          <w:p>
            <w:pPr>
              <w:pStyle w:val="TableParagraph"/>
              <w:spacing w:before="14"/>
              <w:ind w:left="360"/>
              <w:rPr>
                <w:b/>
                <w:sz w:val="24"/>
              </w:rPr>
            </w:pPr>
            <w:r>
              <w:rPr>
                <w:b/>
                <w:w w:val="95"/>
                <w:sz w:val="24"/>
              </w:rPr>
              <w:t>您与我们的合同</w:t>
            </w:r>
          </w:p>
        </w:tc>
      </w:tr>
      <w:tr>
        <w:trPr>
          <w:trHeight w:val="2031" w:hRule="atLeast"/>
        </w:trPr>
        <w:tc>
          <w:tcPr>
            <w:tcW w:w="826" w:type="dxa"/>
            <w:tcBorders>
              <w:top w:val="single" w:sz="8" w:space="0" w:color="000000"/>
            </w:tcBorders>
          </w:tcPr>
          <w:p>
            <w:pPr>
              <w:pStyle w:val="TableParagraph"/>
              <w:spacing w:before="1"/>
              <w:rPr>
                <w:sz w:val="23"/>
              </w:rPr>
            </w:pPr>
          </w:p>
          <w:p>
            <w:pPr>
              <w:pStyle w:val="TableParagraph"/>
              <w:ind w:left="107"/>
              <w:rPr>
                <w:b/>
                <w:sz w:val="21"/>
              </w:rPr>
            </w:pPr>
            <w:r>
              <w:rPr>
                <w:b/>
                <w:sz w:val="21"/>
              </w:rPr>
              <w:t>1.1</w:t>
            </w:r>
          </w:p>
        </w:tc>
        <w:tc>
          <w:tcPr>
            <w:tcW w:w="1763" w:type="dxa"/>
            <w:tcBorders>
              <w:top w:val="single" w:sz="8" w:space="0" w:color="000000"/>
            </w:tcBorders>
          </w:tcPr>
          <w:p>
            <w:pPr>
              <w:pStyle w:val="TableParagraph"/>
              <w:spacing w:before="1"/>
              <w:rPr>
                <w:sz w:val="23"/>
              </w:rPr>
            </w:pPr>
          </w:p>
          <w:p>
            <w:pPr>
              <w:pStyle w:val="TableParagraph"/>
              <w:ind w:left="360"/>
              <w:rPr>
                <w:b/>
                <w:sz w:val="21"/>
              </w:rPr>
            </w:pPr>
            <w:r>
              <w:rPr>
                <w:b/>
                <w:sz w:val="21"/>
              </w:rPr>
              <w:t>保险合同构成</w:t>
            </w:r>
          </w:p>
        </w:tc>
        <w:tc>
          <w:tcPr>
            <w:tcW w:w="7462" w:type="dxa"/>
            <w:tcBorders>
              <w:top w:val="single" w:sz="8" w:space="0" w:color="000000"/>
            </w:tcBorders>
          </w:tcPr>
          <w:p>
            <w:pPr>
              <w:pStyle w:val="TableParagraph"/>
              <w:spacing w:before="1"/>
              <w:rPr>
                <w:sz w:val="23"/>
              </w:rPr>
            </w:pPr>
          </w:p>
          <w:p>
            <w:pPr>
              <w:pStyle w:val="TableParagraph"/>
              <w:spacing w:line="273" w:lineRule="auto"/>
              <w:ind w:left="135" w:right="106"/>
              <w:rPr>
                <w:sz w:val="21"/>
              </w:rPr>
            </w:pPr>
            <w:r>
              <w:rPr>
                <w:spacing w:val="-3"/>
                <w:w w:val="100"/>
                <w:sz w:val="21"/>
              </w:rPr>
              <w:t>本保险合同</w:t>
            </w:r>
            <w:r>
              <w:rPr>
                <w:w w:val="100"/>
                <w:sz w:val="21"/>
              </w:rPr>
              <w:t>（</w:t>
            </w:r>
            <w:r>
              <w:rPr>
                <w:spacing w:val="-17"/>
                <w:w w:val="100"/>
                <w:sz w:val="21"/>
              </w:rPr>
              <w:t>以下简称“本合同”</w:t>
            </w:r>
            <w:r>
              <w:rPr>
                <w:spacing w:val="-10"/>
                <w:w w:val="100"/>
                <w:sz w:val="21"/>
              </w:rPr>
              <w:t>）</w:t>
            </w:r>
            <w:r>
              <w:rPr>
                <w:spacing w:val="-4"/>
                <w:w w:val="100"/>
                <w:sz w:val="21"/>
              </w:rPr>
              <w:t>指您与我们之间订立的“国华康运金生重大</w:t>
            </w:r>
            <w:r>
              <w:rPr>
                <w:spacing w:val="-30"/>
                <w:sz w:val="21"/>
              </w:rPr>
              <w:t>疾病保险合同”。</w:t>
            </w:r>
          </w:p>
          <w:p>
            <w:pPr>
              <w:pStyle w:val="TableParagraph"/>
              <w:spacing w:before="5"/>
              <w:rPr>
                <w:sz w:val="24"/>
              </w:rPr>
            </w:pPr>
          </w:p>
          <w:p>
            <w:pPr>
              <w:pStyle w:val="TableParagraph"/>
              <w:spacing w:line="273" w:lineRule="auto"/>
              <w:ind w:left="135" w:right="178"/>
              <w:rPr>
                <w:sz w:val="21"/>
              </w:rPr>
            </w:pPr>
            <w:r>
              <w:rPr>
                <w:sz w:val="21"/>
              </w:rPr>
              <w:t>本合同由保险单、保险条款、投保单，以及与本合同有关的投保文件、合法有效的声明、批注、批单和其他书面协议共同构成。</w:t>
            </w:r>
          </w:p>
        </w:tc>
      </w:tr>
      <w:tr>
        <w:trPr>
          <w:trHeight w:val="2184" w:hRule="atLeast"/>
        </w:trPr>
        <w:tc>
          <w:tcPr>
            <w:tcW w:w="826" w:type="dxa"/>
          </w:tcPr>
          <w:p>
            <w:pPr>
              <w:pStyle w:val="TableParagraph"/>
              <w:spacing w:before="142"/>
              <w:ind w:left="107"/>
              <w:rPr>
                <w:b/>
                <w:sz w:val="21"/>
              </w:rPr>
            </w:pPr>
            <w:r>
              <w:rPr>
                <w:b/>
                <w:sz w:val="21"/>
              </w:rPr>
              <w:t>1.2</w:t>
            </w:r>
          </w:p>
        </w:tc>
        <w:tc>
          <w:tcPr>
            <w:tcW w:w="1763" w:type="dxa"/>
          </w:tcPr>
          <w:p>
            <w:pPr>
              <w:pStyle w:val="TableParagraph"/>
              <w:spacing w:line="273" w:lineRule="auto" w:before="142"/>
              <w:ind w:left="360" w:right="133"/>
              <w:rPr>
                <w:b/>
                <w:sz w:val="21"/>
              </w:rPr>
            </w:pPr>
            <w:r>
              <w:rPr>
                <w:b/>
                <w:sz w:val="21"/>
              </w:rPr>
              <w:t>保险合同成立与生效</w:t>
            </w:r>
          </w:p>
        </w:tc>
        <w:tc>
          <w:tcPr>
            <w:tcW w:w="7462" w:type="dxa"/>
          </w:tcPr>
          <w:p>
            <w:pPr>
              <w:pStyle w:val="TableParagraph"/>
              <w:spacing w:before="142"/>
              <w:ind w:left="135"/>
              <w:rPr>
                <w:sz w:val="21"/>
              </w:rPr>
            </w:pPr>
            <w:r>
              <w:rPr>
                <w:sz w:val="21"/>
              </w:rPr>
              <w:t>您提出保险申请、我们同意承保，本合同成立。</w:t>
            </w:r>
          </w:p>
          <w:p>
            <w:pPr>
              <w:pStyle w:val="TableParagraph"/>
              <w:spacing w:before="8"/>
              <w:rPr>
                <w:sz w:val="26"/>
              </w:rPr>
            </w:pPr>
          </w:p>
          <w:p>
            <w:pPr>
              <w:pStyle w:val="TableParagraph"/>
              <w:spacing w:line="273" w:lineRule="auto"/>
              <w:ind w:left="135" w:right="103"/>
              <w:rPr>
                <w:sz w:val="21"/>
              </w:rPr>
            </w:pPr>
            <w:r>
              <w:rPr>
                <w:spacing w:val="-3"/>
                <w:sz w:val="21"/>
              </w:rPr>
              <w:t>本合同自我们同意承保、收取首期保险费并签发保险单开始生效，具体生效日</w:t>
            </w:r>
            <w:r>
              <w:rPr>
                <w:spacing w:val="-3"/>
                <w:w w:val="100"/>
                <w:sz w:val="21"/>
              </w:rPr>
              <w:t>以保险单所载的日期为准。</w:t>
            </w:r>
            <w:r>
              <w:rPr>
                <w:b/>
                <w:w w:val="100"/>
                <w:sz w:val="21"/>
              </w:rPr>
              <w:t>保单周年日</w:t>
            </w:r>
            <w:r>
              <w:rPr>
                <w:w w:val="100"/>
                <w:sz w:val="21"/>
              </w:rPr>
              <w:t>（见</w:t>
            </w:r>
            <w:r>
              <w:rPr>
                <w:spacing w:val="-55"/>
                <w:sz w:val="21"/>
              </w:rPr>
              <w:t> </w:t>
            </w:r>
            <w:r>
              <w:rPr>
                <w:w w:val="100"/>
                <w:sz w:val="21"/>
              </w:rPr>
              <w:t>9.1</w:t>
            </w:r>
            <w:r>
              <w:rPr>
                <w:spacing w:val="-108"/>
                <w:w w:val="100"/>
                <w:sz w:val="21"/>
              </w:rPr>
              <w:t>）</w:t>
            </w:r>
            <w:r>
              <w:rPr>
                <w:spacing w:val="-3"/>
                <w:w w:val="100"/>
                <w:sz w:val="21"/>
              </w:rPr>
              <w:t>、</w:t>
            </w:r>
            <w:r>
              <w:rPr>
                <w:b/>
                <w:w w:val="100"/>
                <w:sz w:val="21"/>
              </w:rPr>
              <w:t>保单年度</w:t>
            </w:r>
            <w:r>
              <w:rPr>
                <w:spacing w:val="-3"/>
                <w:w w:val="100"/>
                <w:sz w:val="21"/>
              </w:rPr>
              <w:t>（</w:t>
            </w:r>
            <w:r>
              <w:rPr>
                <w:w w:val="100"/>
                <w:sz w:val="21"/>
              </w:rPr>
              <w:t>见</w:t>
            </w:r>
            <w:r>
              <w:rPr>
                <w:spacing w:val="-52"/>
                <w:sz w:val="21"/>
              </w:rPr>
              <w:t> </w:t>
            </w:r>
            <w:r>
              <w:rPr>
                <w:w w:val="100"/>
                <w:sz w:val="21"/>
              </w:rPr>
              <w:t>9.</w:t>
            </w:r>
            <w:r>
              <w:rPr>
                <w:spacing w:val="-3"/>
                <w:w w:val="100"/>
                <w:sz w:val="21"/>
              </w:rPr>
              <w:t>2</w:t>
            </w:r>
            <w:r>
              <w:rPr>
                <w:w w:val="100"/>
                <w:sz w:val="21"/>
              </w:rPr>
              <w:t>）</w:t>
            </w:r>
            <w:r>
              <w:rPr>
                <w:spacing w:val="-3"/>
                <w:w w:val="100"/>
                <w:sz w:val="21"/>
              </w:rPr>
              <w:t>和</w:t>
            </w:r>
            <w:r>
              <w:rPr>
                <w:b/>
                <w:spacing w:val="-3"/>
                <w:w w:val="100"/>
                <w:sz w:val="21"/>
              </w:rPr>
              <w:t>保险</w:t>
            </w:r>
            <w:r>
              <w:rPr>
                <w:b/>
                <w:spacing w:val="-4"/>
                <w:sz w:val="21"/>
              </w:rPr>
              <w:t>费约定支付日</w:t>
            </w:r>
            <w:r>
              <w:rPr>
                <w:spacing w:val="-3"/>
                <w:sz w:val="21"/>
              </w:rPr>
              <w:t>（</w:t>
            </w:r>
            <w:r>
              <w:rPr>
                <w:spacing w:val="-11"/>
                <w:sz w:val="21"/>
              </w:rPr>
              <w:t>见 </w:t>
            </w:r>
            <w:r>
              <w:rPr>
                <w:spacing w:val="-7"/>
                <w:sz w:val="21"/>
              </w:rPr>
              <w:t>9.3）</w:t>
            </w:r>
            <w:r>
              <w:rPr>
                <w:spacing w:val="-6"/>
                <w:sz w:val="21"/>
              </w:rPr>
              <w:t>均以本合同生效日计算。如当月无对应同一日，则以该</w:t>
            </w:r>
            <w:r>
              <w:rPr>
                <w:spacing w:val="-4"/>
                <w:sz w:val="21"/>
              </w:rPr>
              <w:t>月最后一日作为对应日。</w:t>
            </w:r>
          </w:p>
        </w:tc>
      </w:tr>
      <w:tr>
        <w:trPr>
          <w:trHeight w:val="2833" w:hRule="atLeast"/>
        </w:trPr>
        <w:tc>
          <w:tcPr>
            <w:tcW w:w="826" w:type="dxa"/>
          </w:tcPr>
          <w:p>
            <w:pPr>
              <w:pStyle w:val="TableParagraph"/>
              <w:spacing w:before="143"/>
              <w:ind w:left="107"/>
              <w:rPr>
                <w:b/>
                <w:sz w:val="21"/>
              </w:rPr>
            </w:pPr>
            <w:r>
              <w:rPr>
                <w:b/>
                <w:sz w:val="21"/>
              </w:rPr>
              <w:t>1.3</w:t>
            </w:r>
          </w:p>
        </w:tc>
        <w:tc>
          <w:tcPr>
            <w:tcW w:w="1763" w:type="dxa"/>
          </w:tcPr>
          <w:p>
            <w:pPr>
              <w:pStyle w:val="TableParagraph"/>
              <w:spacing w:before="143"/>
              <w:ind w:left="360"/>
              <w:rPr>
                <w:b/>
                <w:sz w:val="21"/>
              </w:rPr>
            </w:pPr>
            <w:r>
              <w:rPr>
                <w:b/>
                <w:sz w:val="21"/>
              </w:rPr>
              <w:t>犹豫期</w:t>
            </w:r>
          </w:p>
        </w:tc>
        <w:tc>
          <w:tcPr>
            <w:tcW w:w="7462" w:type="dxa"/>
          </w:tcPr>
          <w:p>
            <w:pPr>
              <w:pStyle w:val="TableParagraph"/>
              <w:spacing w:line="273" w:lineRule="auto" w:before="143"/>
              <w:ind w:left="135" w:right="103"/>
              <w:jc w:val="both"/>
              <w:rPr>
                <w:sz w:val="21"/>
              </w:rPr>
            </w:pPr>
            <w:r>
              <w:rPr>
                <w:spacing w:val="-6"/>
                <w:sz w:val="21"/>
              </w:rPr>
              <w:t>从您首次收到本合同并书面签收之日起，有 </w:t>
            </w:r>
            <w:r>
              <w:rPr>
                <w:sz w:val="21"/>
              </w:rPr>
              <w:t>15</w:t>
            </w:r>
            <w:r>
              <w:rPr>
                <w:spacing w:val="-8"/>
                <w:sz w:val="21"/>
              </w:rPr>
              <w:t> 日的犹豫期。在犹豫期内请您认真审视本合同，如果您认为本合同与您的需求不相符，您可以在此期间提出解</w:t>
            </w:r>
            <w:r>
              <w:rPr>
                <w:spacing w:val="-10"/>
                <w:sz w:val="21"/>
              </w:rPr>
              <w:t>除本合同，我们将会扣除不超过人民币 </w:t>
            </w:r>
            <w:r>
              <w:rPr>
                <w:sz w:val="21"/>
              </w:rPr>
              <w:t>10</w:t>
            </w:r>
            <w:r>
              <w:rPr>
                <w:spacing w:val="-8"/>
                <w:sz w:val="21"/>
              </w:rPr>
              <w:t> 元的工本费后无息退还您所支付的保险费。</w:t>
            </w:r>
          </w:p>
          <w:p>
            <w:pPr>
              <w:pStyle w:val="TableParagraph"/>
              <w:spacing w:before="5"/>
              <w:rPr>
                <w:sz w:val="24"/>
              </w:rPr>
            </w:pPr>
          </w:p>
          <w:p>
            <w:pPr>
              <w:pStyle w:val="TableParagraph"/>
              <w:spacing w:line="273" w:lineRule="auto" w:before="1"/>
              <w:ind w:left="135" w:right="103"/>
              <w:jc w:val="both"/>
              <w:rPr>
                <w:sz w:val="21"/>
              </w:rPr>
            </w:pPr>
            <w:r>
              <w:rPr>
                <w:sz w:val="21"/>
              </w:rPr>
              <w:t>解除本合同时，您需要填写解除合同申请书，并提供您的保险合同及</w:t>
            </w:r>
            <w:r>
              <w:rPr>
                <w:b/>
                <w:sz w:val="21"/>
              </w:rPr>
              <w:t>有效身份</w:t>
            </w:r>
            <w:r>
              <w:rPr>
                <w:b/>
                <w:w w:val="100"/>
                <w:sz w:val="21"/>
              </w:rPr>
              <w:t>证件</w:t>
            </w:r>
            <w:r>
              <w:rPr>
                <w:w w:val="100"/>
                <w:sz w:val="21"/>
              </w:rPr>
              <w:t>（见</w:t>
            </w:r>
            <w:r>
              <w:rPr>
                <w:sz w:val="21"/>
              </w:rPr>
              <w:t> </w:t>
            </w:r>
            <w:r>
              <w:rPr>
                <w:w w:val="100"/>
                <w:sz w:val="21"/>
              </w:rPr>
              <w:t>9.4</w:t>
            </w:r>
            <w:r>
              <w:rPr>
                <w:spacing w:val="-108"/>
                <w:w w:val="100"/>
                <w:sz w:val="21"/>
              </w:rPr>
              <w:t>）</w:t>
            </w:r>
            <w:r>
              <w:rPr>
                <w:spacing w:val="-3"/>
                <w:w w:val="100"/>
                <w:sz w:val="21"/>
              </w:rPr>
              <w:t>。自我们收到您的解除合同申请书时起，本合同即被解除，合同</w:t>
            </w:r>
            <w:r>
              <w:rPr>
                <w:spacing w:val="-3"/>
                <w:sz w:val="21"/>
              </w:rPr>
              <w:t>解除前发生的保险事故我们不承担保险责任。</w:t>
            </w:r>
          </w:p>
        </w:tc>
      </w:tr>
      <w:tr>
        <w:trPr>
          <w:trHeight w:val="753" w:hRule="atLeast"/>
        </w:trPr>
        <w:tc>
          <w:tcPr>
            <w:tcW w:w="826"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225" w:type="dxa"/>
            <w:gridSpan w:val="2"/>
            <w:tcBorders>
              <w:bottom w:val="single" w:sz="8" w:space="0" w:color="000000"/>
            </w:tcBorders>
          </w:tcPr>
          <w:p>
            <w:pPr>
              <w:pStyle w:val="TableParagraph"/>
              <w:spacing w:before="10"/>
              <w:rPr>
                <w:sz w:val="18"/>
              </w:rPr>
            </w:pPr>
          </w:p>
          <w:p>
            <w:pPr>
              <w:pStyle w:val="TableParagraph"/>
              <w:ind w:left="360"/>
              <w:rPr>
                <w:b/>
                <w:sz w:val="24"/>
              </w:rPr>
            </w:pPr>
            <w:r>
              <w:rPr>
                <w:b/>
                <w:w w:val="95"/>
                <w:sz w:val="24"/>
              </w:rPr>
              <w:t>我们提供的保障</w:t>
            </w:r>
          </w:p>
        </w:tc>
      </w:tr>
      <w:tr>
        <w:trPr>
          <w:trHeight w:val="1093" w:hRule="atLeast"/>
        </w:trPr>
        <w:tc>
          <w:tcPr>
            <w:tcW w:w="826" w:type="dxa"/>
            <w:tcBorders>
              <w:top w:val="single" w:sz="8" w:space="0" w:color="000000"/>
            </w:tcBorders>
          </w:tcPr>
          <w:p>
            <w:pPr>
              <w:pStyle w:val="TableParagraph"/>
              <w:spacing w:before="11"/>
              <w:rPr>
                <w:sz w:val="22"/>
              </w:rPr>
            </w:pPr>
          </w:p>
          <w:p>
            <w:pPr>
              <w:pStyle w:val="TableParagraph"/>
              <w:spacing w:before="1"/>
              <w:ind w:left="107"/>
              <w:rPr>
                <w:b/>
                <w:sz w:val="21"/>
              </w:rPr>
            </w:pPr>
            <w:r>
              <w:rPr>
                <w:b/>
                <w:sz w:val="21"/>
              </w:rPr>
              <w:t>2.1</w:t>
            </w:r>
          </w:p>
        </w:tc>
        <w:tc>
          <w:tcPr>
            <w:tcW w:w="1763" w:type="dxa"/>
            <w:tcBorders>
              <w:top w:val="single" w:sz="8" w:space="0" w:color="000000"/>
            </w:tcBorders>
          </w:tcPr>
          <w:p>
            <w:pPr>
              <w:pStyle w:val="TableParagraph"/>
              <w:spacing w:before="11"/>
              <w:rPr>
                <w:sz w:val="22"/>
              </w:rPr>
            </w:pPr>
          </w:p>
          <w:p>
            <w:pPr>
              <w:pStyle w:val="TableParagraph"/>
              <w:spacing w:before="1"/>
              <w:ind w:left="360"/>
              <w:rPr>
                <w:b/>
                <w:sz w:val="21"/>
              </w:rPr>
            </w:pPr>
            <w:r>
              <w:rPr>
                <w:b/>
                <w:sz w:val="21"/>
              </w:rPr>
              <w:t>保险期间</w:t>
            </w:r>
          </w:p>
        </w:tc>
        <w:tc>
          <w:tcPr>
            <w:tcW w:w="7462" w:type="dxa"/>
            <w:tcBorders>
              <w:top w:val="single" w:sz="8" w:space="0" w:color="000000"/>
            </w:tcBorders>
          </w:tcPr>
          <w:p>
            <w:pPr>
              <w:pStyle w:val="TableParagraph"/>
              <w:spacing w:before="11"/>
              <w:rPr>
                <w:sz w:val="22"/>
              </w:rPr>
            </w:pPr>
          </w:p>
          <w:p>
            <w:pPr>
              <w:pStyle w:val="TableParagraph"/>
              <w:spacing w:line="273" w:lineRule="auto" w:before="1"/>
              <w:ind w:left="135" w:right="178"/>
              <w:rPr>
                <w:sz w:val="21"/>
              </w:rPr>
            </w:pPr>
            <w:r>
              <w:rPr>
                <w:sz w:val="21"/>
              </w:rPr>
              <w:t>本合同的保险期间为终身。除合同另有约定外，本合同的保险期间自本合同生效日起，至被保险人身故时止。</w:t>
            </w:r>
          </w:p>
        </w:tc>
      </w:tr>
      <w:tr>
        <w:trPr>
          <w:trHeight w:val="623" w:hRule="atLeast"/>
        </w:trPr>
        <w:tc>
          <w:tcPr>
            <w:tcW w:w="826" w:type="dxa"/>
          </w:tcPr>
          <w:p>
            <w:pPr>
              <w:pStyle w:val="TableParagraph"/>
              <w:spacing w:before="142"/>
              <w:ind w:left="107"/>
              <w:rPr>
                <w:b/>
                <w:sz w:val="21"/>
              </w:rPr>
            </w:pPr>
            <w:r>
              <w:rPr>
                <w:b/>
                <w:sz w:val="21"/>
              </w:rPr>
              <w:t>2.2</w:t>
            </w:r>
          </w:p>
        </w:tc>
        <w:tc>
          <w:tcPr>
            <w:tcW w:w="1763" w:type="dxa"/>
          </w:tcPr>
          <w:p>
            <w:pPr>
              <w:pStyle w:val="TableParagraph"/>
              <w:spacing w:before="142"/>
              <w:ind w:left="360"/>
              <w:rPr>
                <w:b/>
                <w:sz w:val="21"/>
              </w:rPr>
            </w:pPr>
            <w:r>
              <w:rPr>
                <w:b/>
                <w:sz w:val="21"/>
              </w:rPr>
              <w:t>投保条件</w:t>
            </w:r>
          </w:p>
        </w:tc>
        <w:tc>
          <w:tcPr>
            <w:tcW w:w="7462" w:type="dxa"/>
          </w:tcPr>
          <w:p>
            <w:pPr>
              <w:pStyle w:val="TableParagraph"/>
              <w:spacing w:before="142"/>
              <w:ind w:left="135"/>
              <w:rPr>
                <w:sz w:val="21"/>
              </w:rPr>
            </w:pPr>
            <w:r>
              <w:rPr>
                <w:sz w:val="21"/>
              </w:rPr>
              <w:t>您和被保险人必须符合以下条件：</w:t>
            </w:r>
          </w:p>
        </w:tc>
      </w:tr>
      <w:tr>
        <w:trPr>
          <w:trHeight w:val="729" w:hRule="atLeast"/>
        </w:trPr>
        <w:tc>
          <w:tcPr>
            <w:tcW w:w="826" w:type="dxa"/>
          </w:tcPr>
          <w:p>
            <w:pPr>
              <w:pStyle w:val="TableParagraph"/>
              <w:rPr>
                <w:rFonts w:ascii="Times New Roman"/>
                <w:sz w:val="20"/>
              </w:rPr>
            </w:pPr>
          </w:p>
        </w:tc>
        <w:tc>
          <w:tcPr>
            <w:tcW w:w="1763" w:type="dxa"/>
          </w:tcPr>
          <w:p>
            <w:pPr>
              <w:pStyle w:val="TableParagraph"/>
              <w:spacing w:before="55"/>
              <w:ind w:left="360"/>
              <w:rPr>
                <w:rFonts w:ascii="Microsoft JhengHei" w:eastAsia="Microsoft JhengHei" w:hint="eastAsia"/>
                <w:b/>
                <w:sz w:val="24"/>
              </w:rPr>
            </w:pPr>
            <w:r>
              <w:rPr>
                <w:rFonts w:ascii="Microsoft JhengHei" w:eastAsia="Microsoft JhengHei" w:hint="eastAsia"/>
                <w:b/>
                <w:sz w:val="24"/>
              </w:rPr>
              <w:t>投保人条件</w:t>
            </w:r>
          </w:p>
        </w:tc>
        <w:tc>
          <w:tcPr>
            <w:tcW w:w="7462" w:type="dxa"/>
          </w:tcPr>
          <w:p>
            <w:pPr>
              <w:pStyle w:val="TableParagraph"/>
              <w:spacing w:line="310" w:lineRule="atLeast" w:before="107"/>
              <w:ind w:left="135" w:right="125"/>
              <w:rPr>
                <w:sz w:val="21"/>
              </w:rPr>
            </w:pPr>
            <w:r>
              <w:rPr>
                <w:spacing w:val="-12"/>
                <w:sz w:val="21"/>
              </w:rPr>
              <w:t>凡年满 </w:t>
            </w:r>
            <w:r>
              <w:rPr>
                <w:sz w:val="21"/>
              </w:rPr>
              <w:t>18 </w:t>
            </w:r>
            <w:r>
              <w:rPr>
                <w:b/>
                <w:sz w:val="21"/>
              </w:rPr>
              <w:t>周岁</w:t>
            </w:r>
            <w:r>
              <w:rPr>
                <w:spacing w:val="-3"/>
                <w:sz w:val="21"/>
              </w:rPr>
              <w:t>（</w:t>
            </w:r>
            <w:r>
              <w:rPr>
                <w:spacing w:val="-22"/>
                <w:sz w:val="21"/>
              </w:rPr>
              <w:t>见 </w:t>
            </w:r>
            <w:r>
              <w:rPr>
                <w:sz w:val="21"/>
              </w:rPr>
              <w:t>9.5）</w:t>
            </w:r>
            <w:r>
              <w:rPr>
                <w:spacing w:val="-3"/>
                <w:sz w:val="21"/>
              </w:rPr>
              <w:t>，具有完全民事行为能力且对被保险人具有保险利益的人，均可作为本合同的投保人。</w:t>
            </w:r>
          </w:p>
        </w:tc>
      </w:tr>
    </w:tbl>
    <w:p>
      <w:pPr>
        <w:spacing w:after="0" w:line="310" w:lineRule="atLeast"/>
        <w:rPr>
          <w:sz w:val="21"/>
        </w:rPr>
        <w:sectPr>
          <w:pgSz w:w="11910" w:h="16840"/>
          <w:pgMar w:top="1220" w:bottom="280" w:left="800" w:right="8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571"/>
        <w:gridCol w:w="7662"/>
      </w:tblGrid>
      <w:tr>
        <w:trPr>
          <w:trHeight w:val="772" w:hRule="atLeast"/>
        </w:trPr>
        <w:tc>
          <w:tcPr>
            <w:tcW w:w="1110" w:type="dxa"/>
          </w:tcPr>
          <w:p>
            <w:pPr>
              <w:pStyle w:val="TableParagraph"/>
              <w:rPr>
                <w:rFonts w:ascii="Times New Roman"/>
                <w:sz w:val="20"/>
              </w:rPr>
            </w:pPr>
          </w:p>
        </w:tc>
        <w:tc>
          <w:tcPr>
            <w:tcW w:w="1571" w:type="dxa"/>
          </w:tcPr>
          <w:p>
            <w:pPr>
              <w:pStyle w:val="TableParagraph"/>
              <w:spacing w:line="216" w:lineRule="exact"/>
              <w:ind w:left="168"/>
              <w:rPr>
                <w:rFonts w:ascii="Microsoft JhengHei" w:eastAsia="Microsoft JhengHei" w:hint="eastAsia"/>
                <w:b/>
                <w:sz w:val="24"/>
              </w:rPr>
            </w:pPr>
            <w:r>
              <w:rPr>
                <w:rFonts w:ascii="Microsoft JhengHei" w:eastAsia="Microsoft JhengHei" w:hint="eastAsia"/>
                <w:b/>
                <w:sz w:val="24"/>
              </w:rPr>
              <w:t>被保险人条</w:t>
            </w:r>
          </w:p>
          <w:p>
            <w:pPr>
              <w:pStyle w:val="TableParagraph"/>
              <w:spacing w:line="370" w:lineRule="exact"/>
              <w:ind w:left="168"/>
              <w:rPr>
                <w:rFonts w:ascii="Microsoft JhengHei" w:eastAsia="Microsoft JhengHei" w:hint="eastAsia"/>
                <w:b/>
                <w:sz w:val="24"/>
              </w:rPr>
            </w:pPr>
            <w:r>
              <w:rPr>
                <w:rFonts w:ascii="Microsoft JhengHei" w:eastAsia="Microsoft JhengHei" w:hint="eastAsia"/>
                <w:b/>
                <w:sz w:val="24"/>
              </w:rPr>
              <w:t>件</w:t>
            </w:r>
          </w:p>
        </w:tc>
        <w:tc>
          <w:tcPr>
            <w:tcW w:w="7662" w:type="dxa"/>
          </w:tcPr>
          <w:p>
            <w:pPr>
              <w:pStyle w:val="TableParagraph"/>
              <w:spacing w:line="209" w:lineRule="exact"/>
              <w:ind w:left="135"/>
              <w:rPr>
                <w:sz w:val="21"/>
              </w:rPr>
            </w:pPr>
            <w:r>
              <w:rPr>
                <w:sz w:val="21"/>
              </w:rPr>
              <w:t>凡投保时身体健康，且符合我们承保条件的人，均可作为本合同的被保险人。</w:t>
            </w:r>
          </w:p>
        </w:tc>
      </w:tr>
      <w:tr>
        <w:trPr>
          <w:trHeight w:val="917" w:hRule="atLeast"/>
        </w:trPr>
        <w:tc>
          <w:tcPr>
            <w:tcW w:w="1110" w:type="dxa"/>
          </w:tcPr>
          <w:p>
            <w:pPr>
              <w:pStyle w:val="TableParagraph"/>
              <w:spacing w:before="122"/>
              <w:ind w:left="200"/>
              <w:rPr>
                <w:b/>
                <w:sz w:val="21"/>
              </w:rPr>
            </w:pPr>
            <w:r>
              <w:rPr>
                <w:b/>
                <w:sz w:val="21"/>
              </w:rPr>
              <w:t>2.3</w:t>
            </w:r>
          </w:p>
        </w:tc>
        <w:tc>
          <w:tcPr>
            <w:tcW w:w="1571" w:type="dxa"/>
          </w:tcPr>
          <w:p>
            <w:pPr>
              <w:pStyle w:val="TableParagraph"/>
              <w:spacing w:before="122"/>
              <w:ind w:left="168"/>
              <w:rPr>
                <w:b/>
                <w:sz w:val="21"/>
              </w:rPr>
            </w:pPr>
            <w:r>
              <w:rPr>
                <w:b/>
                <w:sz w:val="21"/>
              </w:rPr>
              <w:t>基本保险金额</w:t>
            </w:r>
          </w:p>
        </w:tc>
        <w:tc>
          <w:tcPr>
            <w:tcW w:w="7662" w:type="dxa"/>
          </w:tcPr>
          <w:p>
            <w:pPr>
              <w:pStyle w:val="TableParagraph"/>
              <w:spacing w:line="273" w:lineRule="auto" w:before="122"/>
              <w:ind w:left="135" w:right="378"/>
              <w:rPr>
                <w:sz w:val="21"/>
              </w:rPr>
            </w:pPr>
            <w:r>
              <w:rPr>
                <w:sz w:val="21"/>
              </w:rPr>
              <w:t>本合同的基本保险金额由您在投保时与我们约定并在保险单上载明，投保时的基本保险金额须符合我们当时的投保规定。</w:t>
            </w:r>
          </w:p>
        </w:tc>
      </w:tr>
      <w:tr>
        <w:trPr>
          <w:trHeight w:val="628" w:hRule="atLeast"/>
        </w:trPr>
        <w:tc>
          <w:tcPr>
            <w:tcW w:w="1110" w:type="dxa"/>
          </w:tcPr>
          <w:p>
            <w:pPr>
              <w:pStyle w:val="TableParagraph"/>
              <w:spacing w:before="140"/>
              <w:ind w:left="200"/>
              <w:rPr>
                <w:b/>
                <w:sz w:val="21"/>
              </w:rPr>
            </w:pPr>
            <w:r>
              <w:rPr>
                <w:b/>
                <w:sz w:val="21"/>
              </w:rPr>
              <w:t>2.4</w:t>
            </w:r>
          </w:p>
        </w:tc>
        <w:tc>
          <w:tcPr>
            <w:tcW w:w="1571" w:type="dxa"/>
          </w:tcPr>
          <w:p>
            <w:pPr>
              <w:pStyle w:val="TableParagraph"/>
              <w:spacing w:before="140"/>
              <w:ind w:left="168"/>
              <w:rPr>
                <w:b/>
                <w:sz w:val="21"/>
              </w:rPr>
            </w:pPr>
            <w:r>
              <w:rPr>
                <w:b/>
                <w:sz w:val="21"/>
              </w:rPr>
              <w:t>保险责任</w:t>
            </w:r>
          </w:p>
        </w:tc>
        <w:tc>
          <w:tcPr>
            <w:tcW w:w="7662" w:type="dxa"/>
          </w:tcPr>
          <w:p>
            <w:pPr>
              <w:pStyle w:val="TableParagraph"/>
              <w:spacing w:before="140"/>
              <w:ind w:left="135"/>
              <w:rPr>
                <w:sz w:val="21"/>
              </w:rPr>
            </w:pPr>
            <w:r>
              <w:rPr>
                <w:sz w:val="21"/>
              </w:rPr>
              <w:t>在本合同有效期内，我们承担如下保险责任：</w:t>
            </w:r>
          </w:p>
        </w:tc>
      </w:tr>
      <w:tr>
        <w:trPr>
          <w:trHeight w:val="2189" w:hRule="atLeast"/>
        </w:trPr>
        <w:tc>
          <w:tcPr>
            <w:tcW w:w="1110" w:type="dxa"/>
          </w:tcPr>
          <w:p>
            <w:pPr>
              <w:pStyle w:val="TableParagraph"/>
              <w:spacing w:before="145"/>
              <w:ind w:left="200"/>
              <w:rPr>
                <w:rFonts w:ascii="楷体"/>
                <w:b/>
                <w:sz w:val="21"/>
              </w:rPr>
            </w:pPr>
            <w:r>
              <w:rPr>
                <w:rFonts w:ascii="楷体"/>
                <w:b/>
                <w:sz w:val="21"/>
              </w:rPr>
              <w:t>2.4.1</w:t>
            </w:r>
          </w:p>
        </w:tc>
        <w:tc>
          <w:tcPr>
            <w:tcW w:w="1571" w:type="dxa"/>
          </w:tcPr>
          <w:p>
            <w:pPr>
              <w:pStyle w:val="TableParagraph"/>
              <w:spacing w:before="57"/>
              <w:ind w:left="168"/>
              <w:rPr>
                <w:rFonts w:ascii="Microsoft JhengHei" w:eastAsia="Microsoft JhengHei" w:hint="eastAsia"/>
                <w:b/>
                <w:sz w:val="24"/>
              </w:rPr>
            </w:pPr>
            <w:r>
              <w:rPr>
                <w:rFonts w:ascii="Microsoft JhengHei" w:eastAsia="Microsoft JhengHei" w:hint="eastAsia"/>
                <w:b/>
                <w:sz w:val="24"/>
              </w:rPr>
              <w:t>等待期</w:t>
            </w:r>
          </w:p>
        </w:tc>
        <w:tc>
          <w:tcPr>
            <w:tcW w:w="7662" w:type="dxa"/>
          </w:tcPr>
          <w:p>
            <w:pPr>
              <w:pStyle w:val="TableParagraph"/>
              <w:spacing w:line="273" w:lineRule="auto" w:before="145"/>
              <w:ind w:left="135" w:right="198"/>
              <w:rPr>
                <w:sz w:val="21"/>
              </w:rPr>
            </w:pPr>
            <w:r>
              <w:rPr>
                <w:spacing w:val="-3"/>
                <w:sz w:val="21"/>
              </w:rPr>
              <w:t>在本合同生效或最后复效日</w:t>
            </w:r>
            <w:r>
              <w:rPr>
                <w:sz w:val="21"/>
              </w:rPr>
              <w:t>（</w:t>
            </w:r>
            <w:r>
              <w:rPr>
                <w:spacing w:val="-3"/>
                <w:sz w:val="21"/>
              </w:rPr>
              <w:t>以较迟者为准）</w:t>
            </w:r>
            <w:r>
              <w:rPr>
                <w:spacing w:val="-23"/>
                <w:sz w:val="21"/>
              </w:rPr>
              <w:t>起 </w:t>
            </w:r>
            <w:r>
              <w:rPr>
                <w:sz w:val="21"/>
              </w:rPr>
              <w:t>180</w:t>
            </w:r>
            <w:r>
              <w:rPr>
                <w:spacing w:val="-8"/>
                <w:sz w:val="21"/>
              </w:rPr>
              <w:t> 日内，被保险人因</w:t>
            </w:r>
            <w:r>
              <w:rPr>
                <w:b/>
                <w:spacing w:val="-2"/>
                <w:sz w:val="21"/>
              </w:rPr>
              <w:t>意外伤害</w:t>
            </w:r>
            <w:r>
              <w:rPr>
                <w:b/>
                <w:spacing w:val="-18"/>
                <w:sz w:val="21"/>
              </w:rPr>
              <w:t>事故</w:t>
            </w:r>
            <w:r>
              <w:rPr>
                <w:spacing w:val="-3"/>
                <w:sz w:val="21"/>
              </w:rPr>
              <w:t>（</w:t>
            </w:r>
            <w:r>
              <w:rPr>
                <w:spacing w:val="-19"/>
                <w:sz w:val="21"/>
              </w:rPr>
              <w:t>见 </w:t>
            </w:r>
            <w:r>
              <w:rPr>
                <w:spacing w:val="-10"/>
                <w:sz w:val="21"/>
              </w:rPr>
              <w:t>9.6）</w:t>
            </w:r>
            <w:r>
              <w:rPr>
                <w:spacing w:val="-3"/>
                <w:sz w:val="21"/>
              </w:rPr>
              <w:t>以外的原因导致身故或患本合同约定的</w:t>
            </w:r>
            <w:r>
              <w:rPr>
                <w:b/>
                <w:spacing w:val="-9"/>
                <w:sz w:val="21"/>
              </w:rPr>
              <w:t>重大疾病</w:t>
            </w:r>
            <w:r>
              <w:rPr>
                <w:spacing w:val="-3"/>
                <w:sz w:val="21"/>
              </w:rPr>
              <w:t>（</w:t>
            </w:r>
            <w:r>
              <w:rPr>
                <w:spacing w:val="-19"/>
                <w:sz w:val="21"/>
              </w:rPr>
              <w:t>见 </w:t>
            </w:r>
            <w:r>
              <w:rPr>
                <w:spacing w:val="-11"/>
                <w:sz w:val="21"/>
              </w:rPr>
              <w:t>9.7）</w:t>
            </w:r>
            <w:r>
              <w:rPr>
                <w:spacing w:val="-2"/>
                <w:sz w:val="21"/>
              </w:rPr>
              <w:t>的， </w:t>
            </w:r>
            <w:r>
              <w:rPr>
                <w:spacing w:val="-3"/>
                <w:sz w:val="21"/>
              </w:rPr>
              <w:t>我们不承担保险责任，我们向您退还本合同已交保险费，本合同终止。这 180 日的时间称为等待期。</w:t>
            </w:r>
          </w:p>
          <w:p>
            <w:pPr>
              <w:pStyle w:val="TableParagraph"/>
              <w:spacing w:before="6"/>
              <w:rPr>
                <w:sz w:val="24"/>
              </w:rPr>
            </w:pPr>
          </w:p>
          <w:p>
            <w:pPr>
              <w:pStyle w:val="TableParagraph"/>
              <w:ind w:left="135"/>
              <w:rPr>
                <w:sz w:val="21"/>
              </w:rPr>
            </w:pPr>
            <w:r>
              <w:rPr>
                <w:sz w:val="21"/>
              </w:rPr>
              <w:t>因意外伤害事故导致身故或患本合同约定的重大疾病的无等待期。</w:t>
            </w:r>
          </w:p>
        </w:tc>
      </w:tr>
      <w:tr>
        <w:trPr>
          <w:trHeight w:val="935" w:hRule="atLeast"/>
        </w:trPr>
        <w:tc>
          <w:tcPr>
            <w:tcW w:w="1110" w:type="dxa"/>
          </w:tcPr>
          <w:p>
            <w:pPr>
              <w:pStyle w:val="TableParagraph"/>
              <w:rPr>
                <w:rFonts w:ascii="Times New Roman"/>
                <w:sz w:val="20"/>
              </w:rPr>
            </w:pPr>
          </w:p>
        </w:tc>
        <w:tc>
          <w:tcPr>
            <w:tcW w:w="1571" w:type="dxa"/>
          </w:tcPr>
          <w:p>
            <w:pPr>
              <w:pStyle w:val="TableParagraph"/>
              <w:rPr>
                <w:rFonts w:ascii="Times New Roman"/>
                <w:sz w:val="20"/>
              </w:rPr>
            </w:pPr>
          </w:p>
        </w:tc>
        <w:tc>
          <w:tcPr>
            <w:tcW w:w="7662" w:type="dxa"/>
          </w:tcPr>
          <w:p>
            <w:pPr>
              <w:pStyle w:val="TableParagraph"/>
              <w:spacing w:line="273" w:lineRule="auto" w:before="140"/>
              <w:ind w:left="135" w:right="378"/>
              <w:rPr>
                <w:sz w:val="21"/>
              </w:rPr>
            </w:pPr>
            <w:r>
              <w:rPr>
                <w:sz w:val="21"/>
              </w:rPr>
              <w:t>如被保险人在等待期后发生本合同所约定的保险事故，我们按下列方式给付保险金：</w:t>
            </w:r>
          </w:p>
        </w:tc>
      </w:tr>
      <w:tr>
        <w:trPr>
          <w:trHeight w:val="2811" w:hRule="atLeast"/>
        </w:trPr>
        <w:tc>
          <w:tcPr>
            <w:tcW w:w="1110" w:type="dxa"/>
          </w:tcPr>
          <w:p>
            <w:pPr>
              <w:pStyle w:val="TableParagraph"/>
              <w:spacing w:before="140"/>
              <w:ind w:left="200"/>
              <w:rPr>
                <w:rFonts w:ascii="楷体"/>
                <w:b/>
                <w:sz w:val="21"/>
              </w:rPr>
            </w:pPr>
            <w:r>
              <w:rPr>
                <w:rFonts w:ascii="楷体"/>
                <w:b/>
                <w:sz w:val="21"/>
              </w:rPr>
              <w:t>2.4.2</w:t>
            </w:r>
          </w:p>
        </w:tc>
        <w:tc>
          <w:tcPr>
            <w:tcW w:w="1571" w:type="dxa"/>
          </w:tcPr>
          <w:p>
            <w:pPr>
              <w:pStyle w:val="TableParagraph"/>
              <w:spacing w:line="182" w:lineRule="auto" w:before="153"/>
              <w:ind w:left="168" w:right="198"/>
              <w:jc w:val="both"/>
              <w:rPr>
                <w:rFonts w:ascii="Microsoft JhengHei" w:eastAsia="Microsoft JhengHei" w:hint="eastAsia"/>
                <w:b/>
                <w:sz w:val="24"/>
              </w:rPr>
            </w:pPr>
            <w:r>
              <w:rPr>
                <w:rFonts w:ascii="Microsoft JhengHei" w:eastAsia="Microsoft JhengHei" w:hint="eastAsia"/>
                <w:b/>
                <w:sz w:val="24"/>
              </w:rPr>
              <w:t>首次重大疾病医疗保险金</w:t>
            </w:r>
          </w:p>
        </w:tc>
        <w:tc>
          <w:tcPr>
            <w:tcW w:w="7662" w:type="dxa"/>
          </w:tcPr>
          <w:p>
            <w:pPr>
              <w:pStyle w:val="TableParagraph"/>
              <w:spacing w:line="273" w:lineRule="auto" w:before="140"/>
              <w:ind w:left="135" w:right="432"/>
              <w:rPr>
                <w:sz w:val="21"/>
              </w:rPr>
            </w:pPr>
            <w:r>
              <w:rPr>
                <w:spacing w:val="-3"/>
                <w:w w:val="100"/>
                <w:sz w:val="21"/>
              </w:rPr>
              <w:t>本合同首次重大疾病医疗保险金的保障范围，仅指发生在</w:t>
            </w:r>
            <w:r>
              <w:rPr>
                <w:b/>
                <w:w w:val="100"/>
                <w:sz w:val="21"/>
              </w:rPr>
              <w:t>中国境内</w:t>
            </w:r>
            <w:r>
              <w:rPr>
                <w:spacing w:val="-3"/>
                <w:w w:val="100"/>
                <w:sz w:val="21"/>
              </w:rPr>
              <w:t>（</w:t>
            </w:r>
            <w:r>
              <w:rPr>
                <w:w w:val="100"/>
                <w:sz w:val="21"/>
              </w:rPr>
              <w:t>见</w:t>
            </w:r>
            <w:r>
              <w:rPr>
                <w:spacing w:val="-53"/>
                <w:sz w:val="21"/>
              </w:rPr>
              <w:t> </w:t>
            </w:r>
            <w:r>
              <w:rPr>
                <w:spacing w:val="-3"/>
                <w:w w:val="100"/>
                <w:sz w:val="21"/>
              </w:rPr>
              <w:t>9</w:t>
            </w:r>
            <w:r>
              <w:rPr>
                <w:w w:val="100"/>
                <w:sz w:val="21"/>
              </w:rPr>
              <w:t>.</w:t>
            </w:r>
            <w:r>
              <w:rPr>
                <w:spacing w:val="-1"/>
                <w:w w:val="100"/>
                <w:sz w:val="21"/>
              </w:rPr>
              <w:t>8</w:t>
            </w:r>
            <w:r>
              <w:rPr>
                <w:spacing w:val="-108"/>
                <w:w w:val="100"/>
                <w:sz w:val="21"/>
              </w:rPr>
              <w:t>），</w:t>
            </w:r>
            <w:r>
              <w:rPr>
                <w:spacing w:val="-3"/>
                <w:sz w:val="21"/>
              </w:rPr>
              <w:t>并在本合同约定的</w:t>
            </w:r>
            <w:r>
              <w:rPr>
                <w:b/>
                <w:sz w:val="21"/>
              </w:rPr>
              <w:t>医疗机构</w:t>
            </w:r>
            <w:r>
              <w:rPr>
                <w:sz w:val="21"/>
              </w:rPr>
              <w:t>（</w:t>
            </w:r>
            <w:r>
              <w:rPr>
                <w:spacing w:val="-16"/>
                <w:sz w:val="21"/>
              </w:rPr>
              <w:t>见 </w:t>
            </w:r>
            <w:r>
              <w:rPr>
                <w:sz w:val="21"/>
              </w:rPr>
              <w:t>9.9）</w:t>
            </w:r>
            <w:r>
              <w:rPr>
                <w:spacing w:val="-3"/>
                <w:sz w:val="21"/>
              </w:rPr>
              <w:t>发生的医疗费用。</w:t>
            </w:r>
          </w:p>
          <w:p>
            <w:pPr>
              <w:pStyle w:val="TableParagraph"/>
              <w:spacing w:before="5"/>
              <w:rPr>
                <w:sz w:val="24"/>
              </w:rPr>
            </w:pPr>
          </w:p>
          <w:p>
            <w:pPr>
              <w:pStyle w:val="TableParagraph"/>
              <w:spacing w:line="273" w:lineRule="auto"/>
              <w:ind w:left="135" w:right="301"/>
              <w:rPr>
                <w:sz w:val="21"/>
              </w:rPr>
            </w:pPr>
            <w:r>
              <w:rPr>
                <w:spacing w:val="-1"/>
                <w:sz w:val="21"/>
              </w:rPr>
              <w:t>被保险人</w:t>
            </w:r>
            <w:r>
              <w:rPr>
                <w:b/>
                <w:spacing w:val="-4"/>
                <w:sz w:val="21"/>
              </w:rPr>
              <w:t>初次发生</w:t>
            </w:r>
            <w:r>
              <w:rPr>
                <w:spacing w:val="-3"/>
                <w:sz w:val="21"/>
              </w:rPr>
              <w:t>（</w:t>
            </w:r>
            <w:r>
              <w:rPr>
                <w:spacing w:val="-21"/>
                <w:sz w:val="21"/>
              </w:rPr>
              <w:t>见 </w:t>
            </w:r>
            <w:r>
              <w:rPr>
                <w:spacing w:val="-5"/>
                <w:sz w:val="21"/>
              </w:rPr>
              <w:t>9.10）</w:t>
            </w:r>
            <w:r>
              <w:rPr>
                <w:spacing w:val="-3"/>
                <w:sz w:val="21"/>
              </w:rPr>
              <w:t>并被</w:t>
            </w:r>
            <w:r>
              <w:rPr>
                <w:b/>
                <w:spacing w:val="-8"/>
                <w:sz w:val="21"/>
              </w:rPr>
              <w:t>医院</w:t>
            </w:r>
            <w:r>
              <w:rPr>
                <w:sz w:val="21"/>
              </w:rPr>
              <w:t>（</w:t>
            </w:r>
            <w:r>
              <w:rPr>
                <w:spacing w:val="-22"/>
                <w:sz w:val="21"/>
              </w:rPr>
              <w:t>见 </w:t>
            </w:r>
            <w:r>
              <w:rPr>
                <w:spacing w:val="-4"/>
                <w:sz w:val="21"/>
              </w:rPr>
              <w:t>9.11）</w:t>
            </w:r>
            <w:r>
              <w:rPr>
                <w:spacing w:val="-3"/>
                <w:sz w:val="21"/>
              </w:rPr>
              <w:t>的</w:t>
            </w:r>
            <w:r>
              <w:rPr>
                <w:b/>
                <w:spacing w:val="-4"/>
                <w:sz w:val="21"/>
              </w:rPr>
              <w:t>专科医生</w:t>
            </w:r>
            <w:r>
              <w:rPr>
                <w:spacing w:val="-3"/>
                <w:sz w:val="21"/>
              </w:rPr>
              <w:t>（</w:t>
            </w:r>
            <w:r>
              <w:rPr>
                <w:spacing w:val="-20"/>
                <w:sz w:val="21"/>
              </w:rPr>
              <w:t>见 </w:t>
            </w:r>
            <w:r>
              <w:rPr>
                <w:spacing w:val="-5"/>
                <w:sz w:val="21"/>
              </w:rPr>
              <w:t>9.12）</w:t>
            </w:r>
            <w:r>
              <w:rPr>
                <w:sz w:val="21"/>
              </w:rPr>
              <w:t>确诊</w:t>
            </w:r>
            <w:r>
              <w:rPr>
                <w:spacing w:val="-3"/>
                <w:sz w:val="21"/>
              </w:rPr>
              <w:t>患有本合同约定的重大疾病，并因该重大疾病发生医疗费用支出的，我们在上</w:t>
            </w:r>
            <w:r>
              <w:rPr>
                <w:spacing w:val="-5"/>
                <w:sz w:val="21"/>
              </w:rPr>
              <w:t>述保障范围内承担被保险人确诊该重大疾病前 </w:t>
            </w:r>
            <w:r>
              <w:rPr>
                <w:sz w:val="21"/>
              </w:rPr>
              <w:t>90</w:t>
            </w:r>
            <w:r>
              <w:rPr>
                <w:spacing w:val="-20"/>
                <w:sz w:val="21"/>
              </w:rPr>
              <w:t> 日内</w:t>
            </w:r>
            <w:r>
              <w:rPr>
                <w:sz w:val="21"/>
              </w:rPr>
              <w:t>（</w:t>
            </w:r>
            <w:r>
              <w:rPr>
                <w:spacing w:val="-3"/>
                <w:sz w:val="21"/>
              </w:rPr>
              <w:t>含确诊日当日</w:t>
            </w:r>
            <w:r>
              <w:rPr>
                <w:spacing w:val="-15"/>
                <w:sz w:val="21"/>
              </w:rPr>
              <w:t>）</w:t>
            </w:r>
            <w:r>
              <w:rPr>
                <w:spacing w:val="-3"/>
                <w:sz w:val="21"/>
              </w:rPr>
              <w:t>及之后的下列首次重大疾病医疗保险金责任，同时该项保险责任针对其他种类重大疾</w:t>
            </w:r>
            <w:r>
              <w:rPr>
                <w:spacing w:val="-1"/>
                <w:sz w:val="21"/>
              </w:rPr>
              <w:t>病终止：</w:t>
            </w:r>
          </w:p>
        </w:tc>
      </w:tr>
      <w:tr>
        <w:trPr>
          <w:trHeight w:val="3748" w:hRule="atLeast"/>
        </w:trPr>
        <w:tc>
          <w:tcPr>
            <w:tcW w:w="1110" w:type="dxa"/>
          </w:tcPr>
          <w:p>
            <w:pPr>
              <w:pStyle w:val="TableParagraph"/>
              <w:spacing w:before="144"/>
              <w:ind w:left="200"/>
              <w:rPr>
                <w:rFonts w:ascii="楷体"/>
                <w:b/>
                <w:sz w:val="21"/>
              </w:rPr>
            </w:pPr>
            <w:r>
              <w:rPr>
                <w:rFonts w:ascii="楷体"/>
                <w:b/>
                <w:sz w:val="21"/>
              </w:rPr>
              <w:t>2.4.2.1</w:t>
            </w:r>
          </w:p>
        </w:tc>
        <w:tc>
          <w:tcPr>
            <w:tcW w:w="1571" w:type="dxa"/>
          </w:tcPr>
          <w:p>
            <w:pPr>
              <w:pStyle w:val="TableParagraph"/>
              <w:spacing w:line="184" w:lineRule="auto" w:before="152"/>
              <w:ind w:left="168" w:right="198"/>
              <w:jc w:val="both"/>
              <w:rPr>
                <w:rFonts w:ascii="Microsoft JhengHei" w:eastAsia="Microsoft JhengHei" w:hint="eastAsia"/>
                <w:b/>
                <w:sz w:val="24"/>
              </w:rPr>
            </w:pPr>
            <w:r>
              <w:rPr>
                <w:rFonts w:ascii="Microsoft JhengHei" w:eastAsia="Microsoft JhengHei" w:hint="eastAsia"/>
                <w:b/>
                <w:sz w:val="24"/>
              </w:rPr>
              <w:t>首次重大疾病住院医疗保险金</w:t>
            </w:r>
          </w:p>
        </w:tc>
        <w:tc>
          <w:tcPr>
            <w:tcW w:w="7662" w:type="dxa"/>
          </w:tcPr>
          <w:p>
            <w:pPr>
              <w:pStyle w:val="TableParagraph"/>
              <w:spacing w:line="273" w:lineRule="auto" w:before="144"/>
              <w:ind w:left="135" w:right="303"/>
              <w:jc w:val="both"/>
              <w:rPr>
                <w:sz w:val="21"/>
              </w:rPr>
            </w:pPr>
            <w:r>
              <w:rPr>
                <w:spacing w:val="-3"/>
                <w:sz w:val="21"/>
              </w:rPr>
              <w:t>被保险人经医疗机构诊断必须</w:t>
            </w:r>
            <w:r>
              <w:rPr>
                <w:b/>
                <w:sz w:val="21"/>
              </w:rPr>
              <w:t>住院</w:t>
            </w:r>
            <w:r>
              <w:rPr>
                <w:sz w:val="21"/>
              </w:rPr>
              <w:t>（</w:t>
            </w:r>
            <w:r>
              <w:rPr>
                <w:spacing w:val="-1"/>
                <w:sz w:val="21"/>
              </w:rPr>
              <w:t>见 </w:t>
            </w:r>
            <w:r>
              <w:rPr>
                <w:sz w:val="21"/>
              </w:rPr>
              <w:t>9.13）</w:t>
            </w:r>
            <w:r>
              <w:rPr>
                <w:spacing w:val="-3"/>
                <w:sz w:val="21"/>
              </w:rPr>
              <w:t>治疗的，对于被保险人住院实际</w:t>
            </w:r>
            <w:r>
              <w:rPr>
                <w:spacing w:val="-3"/>
                <w:w w:val="100"/>
                <w:sz w:val="21"/>
              </w:rPr>
              <w:t>发生并支付的符合本合同保障范围的</w:t>
            </w:r>
            <w:r>
              <w:rPr>
                <w:b/>
                <w:spacing w:val="-8"/>
                <w:w w:val="100"/>
                <w:sz w:val="21"/>
              </w:rPr>
              <w:t>住院医疗费用</w:t>
            </w:r>
            <w:r>
              <w:rPr>
                <w:w w:val="100"/>
                <w:sz w:val="21"/>
              </w:rPr>
              <w:t>（见</w:t>
            </w:r>
            <w:r>
              <w:rPr>
                <w:spacing w:val="-53"/>
                <w:sz w:val="21"/>
              </w:rPr>
              <w:t> </w:t>
            </w:r>
            <w:r>
              <w:rPr>
                <w:w w:val="100"/>
                <w:sz w:val="21"/>
              </w:rPr>
              <w:t>9.</w:t>
            </w:r>
            <w:r>
              <w:rPr>
                <w:spacing w:val="-3"/>
                <w:w w:val="100"/>
                <w:sz w:val="21"/>
              </w:rPr>
              <w:t>1</w:t>
            </w:r>
            <w:r>
              <w:rPr>
                <w:spacing w:val="-1"/>
                <w:w w:val="100"/>
                <w:sz w:val="21"/>
              </w:rPr>
              <w:t>4</w:t>
            </w:r>
            <w:r>
              <w:rPr>
                <w:spacing w:val="-106"/>
                <w:w w:val="100"/>
                <w:sz w:val="21"/>
              </w:rPr>
              <w:t>）</w:t>
            </w:r>
            <w:r>
              <w:rPr>
                <w:spacing w:val="-8"/>
                <w:w w:val="100"/>
                <w:sz w:val="21"/>
              </w:rPr>
              <w:t>，若被保险人已经</w:t>
            </w:r>
            <w:r>
              <w:rPr>
                <w:w w:val="100"/>
                <w:sz w:val="21"/>
              </w:rPr>
              <w:t>通过</w:t>
            </w:r>
            <w:r>
              <w:rPr>
                <w:b/>
                <w:spacing w:val="0"/>
                <w:w w:val="100"/>
                <w:sz w:val="21"/>
              </w:rPr>
              <w:t>社会医疗保险</w:t>
            </w:r>
            <w:r>
              <w:rPr>
                <w:w w:val="100"/>
                <w:sz w:val="21"/>
              </w:rPr>
              <w:t>（见</w:t>
            </w:r>
            <w:r>
              <w:rPr>
                <w:sz w:val="21"/>
              </w:rPr>
              <w:t> </w:t>
            </w:r>
            <w:r>
              <w:rPr>
                <w:w w:val="100"/>
                <w:sz w:val="21"/>
              </w:rPr>
              <w:t>9</w:t>
            </w:r>
            <w:r>
              <w:rPr>
                <w:spacing w:val="-3"/>
                <w:w w:val="100"/>
                <w:sz w:val="21"/>
              </w:rPr>
              <w:t>.</w:t>
            </w:r>
            <w:r>
              <w:rPr>
                <w:w w:val="100"/>
                <w:sz w:val="21"/>
              </w:rPr>
              <w:t>1</w:t>
            </w:r>
            <w:r>
              <w:rPr>
                <w:spacing w:val="1"/>
                <w:w w:val="100"/>
                <w:sz w:val="21"/>
              </w:rPr>
              <w:t>5</w:t>
            </w:r>
            <w:r>
              <w:rPr>
                <w:spacing w:val="-104"/>
                <w:w w:val="100"/>
                <w:sz w:val="21"/>
              </w:rPr>
              <w:t>）</w:t>
            </w:r>
            <w:r>
              <w:rPr>
                <w:w w:val="100"/>
                <w:sz w:val="21"/>
              </w:rPr>
              <w:t>、公费医疗、商业性费用补偿型医疗保险、其他</w:t>
            </w:r>
            <w:r>
              <w:rPr>
                <w:sz w:val="21"/>
              </w:rPr>
              <w:t>政府机构或社会福利机构等途径取得医疗费用补偿，我们在扣除补偿后，按剩</w:t>
            </w:r>
            <w:r>
              <w:rPr>
                <w:spacing w:val="-7"/>
                <w:sz w:val="21"/>
              </w:rPr>
              <w:t>余部分的 </w:t>
            </w:r>
            <w:r>
              <w:rPr>
                <w:sz w:val="21"/>
              </w:rPr>
              <w:t>100</w:t>
            </w:r>
            <w:r>
              <w:rPr>
                <w:spacing w:val="-3"/>
                <w:sz w:val="21"/>
              </w:rPr>
              <w:t>%给付首次重大疾病住院医疗保险金。</w:t>
            </w:r>
          </w:p>
          <w:p>
            <w:pPr>
              <w:pStyle w:val="TableParagraph"/>
              <w:spacing w:before="5"/>
              <w:rPr>
                <w:sz w:val="24"/>
              </w:rPr>
            </w:pPr>
          </w:p>
          <w:p>
            <w:pPr>
              <w:pStyle w:val="TableParagraph"/>
              <w:spacing w:line="273" w:lineRule="auto" w:before="1"/>
              <w:ind w:left="135" w:right="306"/>
              <w:jc w:val="both"/>
              <w:rPr>
                <w:sz w:val="21"/>
              </w:rPr>
            </w:pPr>
            <w:r>
              <w:rPr>
                <w:sz w:val="21"/>
              </w:rPr>
              <w:t>被保险人经医疗机构诊断必须住院治疗的，对于被保险人住院实际发生并支付的符合本合同保障范围的住院医疗费用，若被保险人未通过社会医疗保险、公费医疗、商业性费用补偿型医疗保险、其他政府机构或社会福利机构等途径取得医疗费用补偿，我们按住院医疗费用的70％给付首次重大疾病住院医疗保险金。</w:t>
            </w:r>
          </w:p>
        </w:tc>
      </w:tr>
      <w:tr>
        <w:trPr>
          <w:trHeight w:val="2056" w:hRule="atLeast"/>
        </w:trPr>
        <w:tc>
          <w:tcPr>
            <w:tcW w:w="1110" w:type="dxa"/>
          </w:tcPr>
          <w:p>
            <w:pPr>
              <w:pStyle w:val="TableParagraph"/>
              <w:spacing w:before="140"/>
              <w:ind w:left="200"/>
              <w:rPr>
                <w:rFonts w:ascii="楷体"/>
                <w:b/>
                <w:sz w:val="21"/>
              </w:rPr>
            </w:pPr>
            <w:r>
              <w:rPr>
                <w:rFonts w:ascii="楷体"/>
                <w:b/>
                <w:sz w:val="21"/>
              </w:rPr>
              <w:t>2.4.2.2</w:t>
            </w:r>
          </w:p>
        </w:tc>
        <w:tc>
          <w:tcPr>
            <w:tcW w:w="1571" w:type="dxa"/>
          </w:tcPr>
          <w:p>
            <w:pPr>
              <w:pStyle w:val="TableParagraph"/>
              <w:spacing w:line="184" w:lineRule="auto" w:before="149"/>
              <w:ind w:left="168" w:right="198"/>
              <w:jc w:val="both"/>
              <w:rPr>
                <w:rFonts w:ascii="Microsoft JhengHei" w:eastAsia="Microsoft JhengHei" w:hint="eastAsia"/>
                <w:b/>
                <w:sz w:val="24"/>
              </w:rPr>
            </w:pPr>
            <w:r>
              <w:rPr>
                <w:rFonts w:ascii="Microsoft JhengHei" w:eastAsia="Microsoft JhengHei" w:hint="eastAsia"/>
                <w:b/>
                <w:sz w:val="24"/>
              </w:rPr>
              <w:t>首次重大疾病住院前后门急诊医疗保险金</w:t>
            </w:r>
          </w:p>
        </w:tc>
        <w:tc>
          <w:tcPr>
            <w:tcW w:w="7662" w:type="dxa"/>
          </w:tcPr>
          <w:p>
            <w:pPr>
              <w:pStyle w:val="TableParagraph"/>
              <w:spacing w:before="10"/>
              <w:rPr>
                <w:sz w:val="16"/>
              </w:rPr>
            </w:pPr>
          </w:p>
          <w:p>
            <w:pPr>
              <w:pStyle w:val="TableParagraph"/>
              <w:spacing w:line="273" w:lineRule="auto"/>
              <w:ind w:left="135" w:right="312"/>
              <w:rPr>
                <w:sz w:val="21"/>
              </w:rPr>
            </w:pPr>
            <w:r>
              <w:rPr>
                <w:sz w:val="21"/>
              </w:rPr>
              <w:t>被保险人在医疗机构住院治疗的，对于被保险人在与住院相同的医疗机构因与该次住院相同的原因在该次住院前七日内（含住院当日）以及出院后三十日内</w:t>
            </w:r>
          </w:p>
          <w:p>
            <w:pPr>
              <w:pStyle w:val="TableParagraph"/>
              <w:spacing w:line="312" w:lineRule="exact" w:before="3"/>
              <w:ind w:left="135" w:right="198"/>
              <w:rPr>
                <w:sz w:val="21"/>
              </w:rPr>
            </w:pPr>
            <w:r>
              <w:rPr>
                <w:sz w:val="21"/>
              </w:rPr>
              <w:t>（</w:t>
            </w:r>
            <w:r>
              <w:rPr>
                <w:spacing w:val="-3"/>
                <w:sz w:val="21"/>
              </w:rPr>
              <w:t>含出院当日</w:t>
            </w:r>
            <w:r>
              <w:rPr>
                <w:spacing w:val="-41"/>
                <w:sz w:val="21"/>
              </w:rPr>
              <w:t>）</w:t>
            </w:r>
            <w:r>
              <w:rPr>
                <w:spacing w:val="-3"/>
                <w:sz w:val="21"/>
              </w:rPr>
              <w:t>所实际发生并支付的符合本合同保障范围的</w:t>
            </w:r>
            <w:r>
              <w:rPr>
                <w:b/>
                <w:spacing w:val="-11"/>
                <w:sz w:val="21"/>
              </w:rPr>
              <w:t>门诊急诊</w:t>
            </w:r>
            <w:r>
              <w:rPr>
                <w:spacing w:val="-3"/>
                <w:sz w:val="21"/>
              </w:rPr>
              <w:t>（</w:t>
            </w:r>
            <w:r>
              <w:rPr>
                <w:spacing w:val="-15"/>
                <w:sz w:val="21"/>
              </w:rPr>
              <w:t>见 </w:t>
            </w:r>
            <w:r>
              <w:rPr>
                <w:sz w:val="21"/>
              </w:rPr>
              <w:t>9.16） 治疗费用，若被保险人已经通过社会医疗保险、公费医疗、商业性费用补偿型医疗保险、其他政府机构或社会福利机构等途径取得医疗费用补偿，我们在扣</w:t>
            </w:r>
            <w:r>
              <w:rPr>
                <w:spacing w:val="-5"/>
                <w:sz w:val="21"/>
              </w:rPr>
              <w:t>除补偿后，按剩余部分的 </w:t>
            </w:r>
            <w:r>
              <w:rPr>
                <w:sz w:val="21"/>
              </w:rPr>
              <w:t>100%</w:t>
            </w:r>
            <w:r>
              <w:rPr>
                <w:spacing w:val="-3"/>
                <w:sz w:val="21"/>
              </w:rPr>
              <w:t>给付首次重大疾病住院前后门急诊医疗保险金。</w:t>
            </w:r>
          </w:p>
        </w:tc>
      </w:tr>
    </w:tbl>
    <w:p>
      <w:pPr>
        <w:spacing w:after="0" w:line="312" w:lineRule="exact"/>
        <w:rPr>
          <w:sz w:val="21"/>
        </w:rPr>
        <w:sectPr>
          <w:pgSz w:w="11910" w:h="16840"/>
          <w:pgMar w:top="1480" w:bottom="280" w:left="72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616"/>
        <w:gridCol w:w="7621"/>
      </w:tblGrid>
      <w:tr>
        <w:trPr>
          <w:trHeight w:val="3230" w:hRule="atLeast"/>
        </w:trPr>
        <w:tc>
          <w:tcPr>
            <w:tcW w:w="1110" w:type="dxa"/>
          </w:tcPr>
          <w:p>
            <w:pPr>
              <w:pStyle w:val="TableParagraph"/>
              <w:rPr>
                <w:rFonts w:ascii="Times New Roman"/>
                <w:sz w:val="20"/>
              </w:rPr>
            </w:pPr>
          </w:p>
        </w:tc>
        <w:tc>
          <w:tcPr>
            <w:tcW w:w="1616" w:type="dxa"/>
          </w:tcPr>
          <w:p>
            <w:pPr>
              <w:pStyle w:val="TableParagraph"/>
              <w:rPr>
                <w:rFonts w:ascii="Times New Roman"/>
                <w:sz w:val="20"/>
              </w:rPr>
            </w:pPr>
          </w:p>
        </w:tc>
        <w:tc>
          <w:tcPr>
            <w:tcW w:w="7621" w:type="dxa"/>
          </w:tcPr>
          <w:p>
            <w:pPr>
              <w:pStyle w:val="TableParagraph"/>
              <w:spacing w:line="209" w:lineRule="exact"/>
              <w:ind w:left="90"/>
              <w:rPr>
                <w:sz w:val="21"/>
              </w:rPr>
            </w:pPr>
            <w:r>
              <w:rPr>
                <w:sz w:val="21"/>
              </w:rPr>
              <w:t>被保险人在医疗机构住院治疗的，对于被保险人在与住院相同的医疗机构因与</w:t>
            </w:r>
          </w:p>
          <w:p>
            <w:pPr>
              <w:pStyle w:val="TableParagraph"/>
              <w:spacing w:before="37"/>
              <w:ind w:left="90"/>
              <w:rPr>
                <w:sz w:val="21"/>
              </w:rPr>
            </w:pPr>
            <w:r>
              <w:rPr>
                <w:sz w:val="21"/>
              </w:rPr>
              <w:t>该次住院相同的原因在该次住院前七日内（含住院当日）以及出院后三十日内</w:t>
            </w:r>
          </w:p>
          <w:p>
            <w:pPr>
              <w:pStyle w:val="TableParagraph"/>
              <w:spacing w:line="273" w:lineRule="auto" w:before="36"/>
              <w:ind w:left="90" w:right="150"/>
              <w:rPr>
                <w:sz w:val="21"/>
              </w:rPr>
            </w:pPr>
            <w:r>
              <w:rPr>
                <w:sz w:val="21"/>
              </w:rPr>
              <w:t>（含出院当日）所实际发生并支付的符合本合同保障范围的门诊急诊治疗费用， 若被保险人未通过社会医疗保险、公费医疗、商业性费用补偿型医疗保险、其他政府机构或社会福利机构等途径取得医疗费用补偿，我们按门诊急诊治疗费用的 70％给付首次重大疾病住院前后门急诊医疗保险金。</w:t>
            </w:r>
          </w:p>
          <w:p>
            <w:pPr>
              <w:pStyle w:val="TableParagraph"/>
              <w:spacing w:before="5"/>
              <w:rPr>
                <w:sz w:val="24"/>
              </w:rPr>
            </w:pPr>
          </w:p>
          <w:p>
            <w:pPr>
              <w:pStyle w:val="TableParagraph"/>
              <w:spacing w:line="273" w:lineRule="auto"/>
              <w:ind w:left="90" w:right="314"/>
              <w:jc w:val="both"/>
              <w:rPr>
                <w:sz w:val="21"/>
              </w:rPr>
            </w:pPr>
            <w:r>
              <w:rPr>
                <w:sz w:val="21"/>
              </w:rPr>
              <w:t>其中，门诊急诊治疗费用是指包括医生诊断、处方、药品、检查、护理、医疗用品等在医疗机构内发生的费用，以当地卫生或有关政府部门核准的收费标准为限。</w:t>
            </w:r>
          </w:p>
        </w:tc>
      </w:tr>
      <w:tr>
        <w:trPr>
          <w:trHeight w:val="3753" w:hRule="atLeast"/>
        </w:trPr>
        <w:tc>
          <w:tcPr>
            <w:tcW w:w="1110" w:type="dxa"/>
          </w:tcPr>
          <w:p>
            <w:pPr>
              <w:pStyle w:val="TableParagraph"/>
              <w:spacing w:before="145"/>
              <w:ind w:left="200"/>
              <w:rPr>
                <w:rFonts w:ascii="楷体"/>
                <w:b/>
                <w:sz w:val="21"/>
              </w:rPr>
            </w:pPr>
            <w:r>
              <w:rPr>
                <w:rFonts w:ascii="楷体"/>
                <w:b/>
                <w:sz w:val="21"/>
              </w:rPr>
              <w:t>2.4.2.3</w:t>
            </w:r>
          </w:p>
        </w:tc>
        <w:tc>
          <w:tcPr>
            <w:tcW w:w="1616" w:type="dxa"/>
          </w:tcPr>
          <w:p>
            <w:pPr>
              <w:pStyle w:val="TableParagraph"/>
              <w:spacing w:line="182" w:lineRule="auto" w:before="158"/>
              <w:ind w:left="168" w:right="91"/>
              <w:jc w:val="both"/>
              <w:rPr>
                <w:rFonts w:ascii="Microsoft JhengHei" w:eastAsia="Microsoft JhengHei" w:hint="eastAsia"/>
                <w:b/>
                <w:sz w:val="24"/>
              </w:rPr>
            </w:pPr>
            <w:r>
              <w:rPr>
                <w:rFonts w:ascii="Microsoft JhengHei" w:eastAsia="Microsoft JhengHei" w:hint="eastAsia"/>
                <w:b/>
                <w:sz w:val="24"/>
              </w:rPr>
              <w:t>首次重大疾病特定门诊医疗保险金</w:t>
            </w:r>
          </w:p>
        </w:tc>
        <w:tc>
          <w:tcPr>
            <w:tcW w:w="7621" w:type="dxa"/>
          </w:tcPr>
          <w:p>
            <w:pPr>
              <w:pStyle w:val="TableParagraph"/>
              <w:spacing w:line="273" w:lineRule="auto" w:before="145"/>
              <w:ind w:left="90" w:right="310"/>
              <w:jc w:val="both"/>
              <w:rPr>
                <w:sz w:val="21"/>
              </w:rPr>
            </w:pPr>
            <w:r>
              <w:rPr>
                <w:sz w:val="21"/>
              </w:rPr>
              <w:t>被保险人在医疗机构以门诊方式接受治疗的，对于被保险人每次门诊实际发生</w:t>
            </w:r>
            <w:r>
              <w:rPr>
                <w:spacing w:val="-3"/>
                <w:w w:val="100"/>
                <w:sz w:val="21"/>
              </w:rPr>
              <w:t>并支付的符合本合同保障范围的</w:t>
            </w:r>
            <w:r>
              <w:rPr>
                <w:b/>
                <w:spacing w:val="-4"/>
                <w:w w:val="100"/>
                <w:sz w:val="21"/>
              </w:rPr>
              <w:t>特定门诊治疗费用</w:t>
            </w:r>
            <w:r>
              <w:rPr>
                <w:w w:val="100"/>
                <w:sz w:val="21"/>
              </w:rPr>
              <w:t>（见9</w:t>
            </w:r>
            <w:r>
              <w:rPr>
                <w:spacing w:val="-3"/>
                <w:w w:val="100"/>
                <w:sz w:val="21"/>
              </w:rPr>
              <w:t>.</w:t>
            </w:r>
            <w:r>
              <w:rPr>
                <w:w w:val="100"/>
                <w:sz w:val="21"/>
              </w:rPr>
              <w:t>1</w:t>
            </w:r>
            <w:r>
              <w:rPr>
                <w:spacing w:val="-1"/>
                <w:w w:val="100"/>
                <w:sz w:val="21"/>
              </w:rPr>
              <w:t>7</w:t>
            </w:r>
            <w:r>
              <w:rPr>
                <w:spacing w:val="-108"/>
                <w:w w:val="100"/>
                <w:sz w:val="21"/>
              </w:rPr>
              <w:t>）</w:t>
            </w:r>
            <w:r>
              <w:rPr>
                <w:spacing w:val="-5"/>
                <w:w w:val="100"/>
                <w:sz w:val="21"/>
              </w:rPr>
              <w:t>，若被保险人已经</w:t>
            </w:r>
            <w:r>
              <w:rPr>
                <w:sz w:val="21"/>
              </w:rPr>
              <w:t>通过社会医疗保险、公费医疗、商业性费用补偿型医疗保险、其他政府机构或</w:t>
            </w:r>
            <w:r>
              <w:rPr>
                <w:spacing w:val="3"/>
                <w:sz w:val="21"/>
              </w:rPr>
              <w:t>社会福利机构等途径取得医疗费用补偿，我们在扣除补偿后，按剩余部分的</w:t>
            </w:r>
          </w:p>
          <w:p>
            <w:pPr>
              <w:pStyle w:val="TableParagraph"/>
              <w:spacing w:before="7"/>
              <w:ind w:left="90"/>
              <w:rPr>
                <w:sz w:val="21"/>
              </w:rPr>
            </w:pPr>
            <w:r>
              <w:rPr>
                <w:sz w:val="21"/>
              </w:rPr>
              <w:t>100％给付首次重大疾病特定门诊医疗保险金。</w:t>
            </w:r>
          </w:p>
          <w:p>
            <w:pPr>
              <w:pStyle w:val="TableParagraph"/>
              <w:spacing w:before="8"/>
              <w:rPr>
                <w:sz w:val="26"/>
              </w:rPr>
            </w:pPr>
          </w:p>
          <w:p>
            <w:pPr>
              <w:pStyle w:val="TableParagraph"/>
              <w:spacing w:line="273" w:lineRule="auto"/>
              <w:ind w:left="90" w:right="310"/>
              <w:jc w:val="both"/>
              <w:rPr>
                <w:sz w:val="21"/>
              </w:rPr>
            </w:pPr>
            <w:r>
              <w:rPr>
                <w:sz w:val="21"/>
              </w:rPr>
              <w:t>被保险人在医疗机构以门诊方式接受治疗的，对于被保险人每次门诊实际发生并支付的符合本合同保障范围的特定门诊治疗费用，若被保险人未通过社会医疗保险、公费医疗、商业性费用补偿型医疗保险、其他政府机构或社会福利机</w:t>
            </w:r>
            <w:r>
              <w:rPr>
                <w:spacing w:val="-3"/>
                <w:sz w:val="21"/>
              </w:rPr>
              <w:t>构等途径取得医疗费用补偿，我们按特定门诊治疗费用的 </w:t>
            </w:r>
            <w:r>
              <w:rPr>
                <w:sz w:val="21"/>
              </w:rPr>
              <w:t>70</w:t>
            </w:r>
            <w:r>
              <w:rPr>
                <w:spacing w:val="-3"/>
                <w:sz w:val="21"/>
              </w:rPr>
              <w:t>％给付首次重大疾病特定门诊医疗保险金。</w:t>
            </w:r>
          </w:p>
        </w:tc>
      </w:tr>
      <w:tr>
        <w:trPr>
          <w:trHeight w:val="1301" w:hRule="atLeast"/>
        </w:trPr>
        <w:tc>
          <w:tcPr>
            <w:tcW w:w="1110" w:type="dxa"/>
          </w:tcPr>
          <w:p>
            <w:pPr>
              <w:pStyle w:val="TableParagraph"/>
              <w:spacing w:before="144"/>
              <w:ind w:left="200"/>
              <w:rPr>
                <w:rFonts w:ascii="楷体"/>
                <w:b/>
                <w:sz w:val="21"/>
              </w:rPr>
            </w:pPr>
            <w:r>
              <w:rPr>
                <w:rFonts w:ascii="楷体"/>
                <w:b/>
                <w:sz w:val="21"/>
              </w:rPr>
              <w:t>2.4.2.4</w:t>
            </w:r>
          </w:p>
        </w:tc>
        <w:tc>
          <w:tcPr>
            <w:tcW w:w="1616" w:type="dxa"/>
          </w:tcPr>
          <w:p>
            <w:pPr>
              <w:pStyle w:val="TableParagraph"/>
              <w:spacing w:line="184" w:lineRule="auto" w:before="152"/>
              <w:ind w:left="168" w:right="91"/>
              <w:jc w:val="both"/>
              <w:rPr>
                <w:rFonts w:ascii="Microsoft JhengHei" w:eastAsia="Microsoft JhengHei" w:hint="eastAsia"/>
                <w:b/>
                <w:sz w:val="24"/>
              </w:rPr>
            </w:pPr>
            <w:r>
              <w:rPr>
                <w:rFonts w:ascii="Microsoft JhengHei" w:eastAsia="Microsoft JhengHei" w:hint="eastAsia"/>
                <w:b/>
                <w:sz w:val="24"/>
              </w:rPr>
              <w:t>首次重大疾病医疗保险金给付限额</w:t>
            </w:r>
          </w:p>
        </w:tc>
        <w:tc>
          <w:tcPr>
            <w:tcW w:w="7621" w:type="dxa"/>
          </w:tcPr>
          <w:p>
            <w:pPr>
              <w:pStyle w:val="TableParagraph"/>
              <w:spacing w:line="273" w:lineRule="auto" w:before="144"/>
              <w:ind w:left="90" w:right="256"/>
              <w:rPr>
                <w:sz w:val="21"/>
              </w:rPr>
            </w:pPr>
            <w:r>
              <w:rPr>
                <w:sz w:val="21"/>
              </w:rPr>
              <w:t>首次重大疾病医疗保险金的累计给付金额以本合同重大疾病保险金额为限， 当累计给付金额达到本合同重大疾病保险金额时，本合同效力终止。</w:t>
            </w:r>
          </w:p>
        </w:tc>
      </w:tr>
      <w:tr>
        <w:trPr>
          <w:trHeight w:val="3418" w:hRule="atLeast"/>
        </w:trPr>
        <w:tc>
          <w:tcPr>
            <w:tcW w:w="1110" w:type="dxa"/>
          </w:tcPr>
          <w:p>
            <w:pPr>
              <w:pStyle w:val="TableParagraph"/>
              <w:spacing w:before="122"/>
              <w:ind w:left="200"/>
              <w:rPr>
                <w:rFonts w:ascii="楷体"/>
                <w:b/>
                <w:sz w:val="21"/>
              </w:rPr>
            </w:pPr>
            <w:r>
              <w:rPr>
                <w:rFonts w:ascii="楷体"/>
                <w:b/>
                <w:sz w:val="21"/>
              </w:rPr>
              <w:t>2.4.3</w:t>
            </w:r>
          </w:p>
        </w:tc>
        <w:tc>
          <w:tcPr>
            <w:tcW w:w="1616" w:type="dxa"/>
          </w:tcPr>
          <w:p>
            <w:pPr>
              <w:pStyle w:val="TableParagraph"/>
              <w:spacing w:line="184" w:lineRule="auto" w:before="130"/>
              <w:ind w:left="168" w:right="91"/>
              <w:rPr>
                <w:rFonts w:ascii="Microsoft JhengHei" w:eastAsia="Microsoft JhengHei" w:hint="eastAsia"/>
                <w:b/>
                <w:sz w:val="24"/>
              </w:rPr>
            </w:pPr>
            <w:r>
              <w:rPr>
                <w:rFonts w:ascii="Microsoft JhengHei" w:eastAsia="Microsoft JhengHei" w:hint="eastAsia"/>
                <w:b/>
                <w:sz w:val="24"/>
              </w:rPr>
              <w:t>二次重大疾病保险金</w:t>
            </w:r>
          </w:p>
        </w:tc>
        <w:tc>
          <w:tcPr>
            <w:tcW w:w="7621" w:type="dxa"/>
          </w:tcPr>
          <w:p>
            <w:pPr>
              <w:pStyle w:val="TableParagraph"/>
              <w:spacing w:line="273" w:lineRule="auto" w:before="122"/>
              <w:ind w:left="90" w:right="331"/>
              <w:jc w:val="both"/>
              <w:rPr>
                <w:sz w:val="21"/>
              </w:rPr>
            </w:pPr>
            <w:r>
              <w:rPr>
                <w:spacing w:val="-2"/>
                <w:sz w:val="21"/>
              </w:rPr>
              <w:t>若被保险人自首次重大疾病确诊之日起满 </w:t>
            </w:r>
            <w:r>
              <w:rPr>
                <w:sz w:val="21"/>
              </w:rPr>
              <w:t>1</w:t>
            </w:r>
            <w:r>
              <w:rPr>
                <w:spacing w:val="-22"/>
                <w:sz w:val="21"/>
              </w:rPr>
              <w:t> 年</w:t>
            </w:r>
            <w:r>
              <w:rPr>
                <w:spacing w:val="-3"/>
                <w:sz w:val="21"/>
              </w:rPr>
              <w:t>（含确诊日当日</w:t>
            </w:r>
            <w:r>
              <w:rPr>
                <w:sz w:val="21"/>
              </w:rPr>
              <w:t>）</w:t>
            </w:r>
            <w:r>
              <w:rPr>
                <w:spacing w:val="-3"/>
                <w:sz w:val="21"/>
              </w:rPr>
              <w:t>后，初次发生并被医院的专科医生确诊患有首次重大疾病以外其他的任何一种或一种以上的本合同约定的重大疾病，我们按本合同重大疾病保险金额扣除累计已给付的首次重大疾病医疗保险金后的余额给付二次重大疾病保险金，本合同终止。</w:t>
            </w:r>
          </w:p>
          <w:p>
            <w:pPr>
              <w:pStyle w:val="TableParagraph"/>
              <w:spacing w:before="5"/>
              <w:rPr>
                <w:sz w:val="24"/>
              </w:rPr>
            </w:pPr>
          </w:p>
          <w:p>
            <w:pPr>
              <w:pStyle w:val="TableParagraph"/>
              <w:spacing w:line="273" w:lineRule="auto"/>
              <w:ind w:left="90" w:right="199"/>
              <w:rPr>
                <w:sz w:val="21"/>
              </w:rPr>
            </w:pPr>
            <w:r>
              <w:rPr>
                <w:spacing w:val="-3"/>
                <w:sz w:val="21"/>
              </w:rPr>
              <w:t>自被保险人首个符合首次重大疾病医疗保险金给付条件的重大疾病初次确诊之 </w:t>
            </w:r>
            <w:r>
              <w:rPr>
                <w:spacing w:val="-10"/>
                <w:sz w:val="21"/>
              </w:rPr>
              <w:t>日起的 </w:t>
            </w:r>
            <w:r>
              <w:rPr>
                <w:sz w:val="21"/>
              </w:rPr>
              <w:t>1</w:t>
            </w:r>
            <w:r>
              <w:rPr>
                <w:spacing w:val="-35"/>
                <w:sz w:val="21"/>
              </w:rPr>
              <w:t> 年内</w:t>
            </w:r>
            <w:r>
              <w:rPr>
                <w:sz w:val="21"/>
              </w:rPr>
              <w:t>（</w:t>
            </w:r>
            <w:r>
              <w:rPr>
                <w:spacing w:val="-3"/>
                <w:sz w:val="21"/>
              </w:rPr>
              <w:t>含确诊日当日</w:t>
            </w:r>
            <w:r>
              <w:rPr>
                <w:spacing w:val="-87"/>
                <w:sz w:val="21"/>
              </w:rPr>
              <w:t>）</w:t>
            </w:r>
            <w:r>
              <w:rPr>
                <w:spacing w:val="-11"/>
                <w:sz w:val="21"/>
              </w:rPr>
              <w:t>，被保险人又被初次确诊其他种类的重大疾病的，</w:t>
            </w:r>
          </w:p>
          <w:p>
            <w:pPr>
              <w:pStyle w:val="TableParagraph"/>
              <w:spacing w:line="273" w:lineRule="auto" w:before="7"/>
              <w:ind w:left="90" w:right="308"/>
              <w:rPr>
                <w:sz w:val="21"/>
              </w:rPr>
            </w:pPr>
            <w:r>
              <w:rPr>
                <w:spacing w:val="-9"/>
                <w:sz w:val="21"/>
              </w:rPr>
              <w:t>我们对该 </w:t>
            </w:r>
            <w:r>
              <w:rPr>
                <w:sz w:val="21"/>
              </w:rPr>
              <w:t>1</w:t>
            </w:r>
            <w:r>
              <w:rPr>
                <w:spacing w:val="-8"/>
                <w:sz w:val="21"/>
              </w:rPr>
              <w:t> 年内确诊的所有重大疾病</w:t>
            </w:r>
            <w:r>
              <w:rPr>
                <w:sz w:val="21"/>
              </w:rPr>
              <w:t>（</w:t>
            </w:r>
            <w:r>
              <w:rPr>
                <w:spacing w:val="-3"/>
                <w:sz w:val="21"/>
              </w:rPr>
              <w:t>含首个符合首次重大疾病医疗保险金给</w:t>
            </w:r>
            <w:r>
              <w:rPr>
                <w:spacing w:val="-3"/>
                <w:w w:val="100"/>
                <w:sz w:val="21"/>
              </w:rPr>
              <w:t>付条件的重大疾病</w:t>
            </w:r>
            <w:r>
              <w:rPr>
                <w:spacing w:val="-106"/>
                <w:w w:val="100"/>
                <w:sz w:val="21"/>
              </w:rPr>
              <w:t>）</w:t>
            </w:r>
            <w:r>
              <w:rPr>
                <w:spacing w:val="-6"/>
                <w:w w:val="100"/>
                <w:sz w:val="21"/>
              </w:rPr>
              <w:t>，不承担给付二次重大疾病保险金的责任，该项责任继续有</w:t>
            </w:r>
            <w:r>
              <w:rPr>
                <w:spacing w:val="-6"/>
                <w:sz w:val="21"/>
              </w:rPr>
              <w:t>效。</w:t>
            </w:r>
          </w:p>
        </w:tc>
      </w:tr>
      <w:tr>
        <w:trPr>
          <w:trHeight w:val="1880" w:hRule="atLeast"/>
        </w:trPr>
        <w:tc>
          <w:tcPr>
            <w:tcW w:w="1110" w:type="dxa"/>
          </w:tcPr>
          <w:p>
            <w:pPr>
              <w:pStyle w:val="TableParagraph"/>
              <w:spacing w:before="145"/>
              <w:ind w:left="200"/>
              <w:rPr>
                <w:rFonts w:ascii="楷体"/>
                <w:b/>
                <w:sz w:val="21"/>
              </w:rPr>
            </w:pPr>
            <w:r>
              <w:rPr>
                <w:rFonts w:ascii="楷体"/>
                <w:b/>
                <w:sz w:val="21"/>
              </w:rPr>
              <w:t>2.4.4</w:t>
            </w:r>
          </w:p>
        </w:tc>
        <w:tc>
          <w:tcPr>
            <w:tcW w:w="1616" w:type="dxa"/>
          </w:tcPr>
          <w:p>
            <w:pPr>
              <w:pStyle w:val="TableParagraph"/>
              <w:spacing w:before="58"/>
              <w:ind w:left="168"/>
              <w:rPr>
                <w:rFonts w:ascii="Microsoft JhengHei" w:eastAsia="Microsoft JhengHei" w:hint="eastAsia"/>
                <w:b/>
                <w:sz w:val="24"/>
              </w:rPr>
            </w:pPr>
            <w:r>
              <w:rPr>
                <w:rFonts w:ascii="Microsoft JhengHei" w:eastAsia="Microsoft JhengHei" w:hint="eastAsia"/>
                <w:b/>
                <w:sz w:val="24"/>
              </w:rPr>
              <w:t>身故保险金</w:t>
            </w:r>
          </w:p>
        </w:tc>
        <w:tc>
          <w:tcPr>
            <w:tcW w:w="7621" w:type="dxa"/>
          </w:tcPr>
          <w:p>
            <w:pPr>
              <w:pStyle w:val="TableParagraph"/>
              <w:spacing w:before="145"/>
              <w:ind w:left="90"/>
              <w:rPr>
                <w:sz w:val="21"/>
              </w:rPr>
            </w:pPr>
            <w:r>
              <w:rPr>
                <w:sz w:val="21"/>
              </w:rPr>
              <w:t>若被保险人身故，我们按以下情形之一的金额给付身故保险金，本合同终止。</w:t>
            </w:r>
          </w:p>
          <w:p>
            <w:pPr>
              <w:pStyle w:val="TableParagraph"/>
              <w:spacing w:line="273" w:lineRule="auto" w:before="36"/>
              <w:ind w:left="90" w:right="256"/>
              <w:rPr>
                <w:sz w:val="21"/>
              </w:rPr>
            </w:pPr>
            <w:r>
              <w:rPr>
                <w:sz w:val="21"/>
              </w:rPr>
              <w:t>（1）若被保险人身故时未满 18 周岁，则为被保险人身故时本合同累计已交纳保险费扣除累计已给付的首次重大疾病医疗保险金后的余额；</w:t>
            </w:r>
          </w:p>
          <w:p>
            <w:pPr>
              <w:pStyle w:val="TableParagraph"/>
              <w:spacing w:line="273" w:lineRule="auto" w:before="7"/>
              <w:ind w:left="90" w:right="310"/>
              <w:rPr>
                <w:sz w:val="21"/>
              </w:rPr>
            </w:pPr>
            <w:r>
              <w:rPr>
                <w:spacing w:val="-4"/>
                <w:sz w:val="21"/>
              </w:rPr>
              <w:t>（2）</w:t>
            </w:r>
            <w:r>
              <w:rPr>
                <w:spacing w:val="-7"/>
                <w:sz w:val="21"/>
              </w:rPr>
              <w:t>若被保险人身故时已满 </w:t>
            </w:r>
            <w:r>
              <w:rPr>
                <w:sz w:val="21"/>
              </w:rPr>
              <w:t>18</w:t>
            </w:r>
            <w:r>
              <w:rPr>
                <w:spacing w:val="-20"/>
                <w:sz w:val="21"/>
              </w:rPr>
              <w:t> 周岁</w:t>
            </w:r>
            <w:r>
              <w:rPr>
                <w:sz w:val="21"/>
              </w:rPr>
              <w:t>（</w:t>
            </w:r>
            <w:r>
              <w:rPr>
                <w:spacing w:val="-22"/>
                <w:sz w:val="21"/>
              </w:rPr>
              <w:t>含 </w:t>
            </w:r>
            <w:r>
              <w:rPr>
                <w:sz w:val="21"/>
              </w:rPr>
              <w:t>18</w:t>
            </w:r>
            <w:r>
              <w:rPr>
                <w:spacing w:val="-16"/>
                <w:sz w:val="21"/>
              </w:rPr>
              <w:t> 周岁</w:t>
            </w:r>
            <w:r>
              <w:rPr>
                <w:spacing w:val="-9"/>
                <w:sz w:val="21"/>
              </w:rPr>
              <w:t>）</w:t>
            </w:r>
            <w:r>
              <w:rPr>
                <w:spacing w:val="-4"/>
                <w:sz w:val="21"/>
              </w:rPr>
              <w:t>，则为本合同身故保险金额</w:t>
            </w:r>
            <w:r>
              <w:rPr>
                <w:spacing w:val="-3"/>
                <w:sz w:val="21"/>
              </w:rPr>
              <w:t>扣除累计已给付的首次重大疾病医疗保险金后的余额。</w:t>
            </w:r>
          </w:p>
        </w:tc>
      </w:tr>
      <w:tr>
        <w:trPr>
          <w:trHeight w:val="421" w:hRule="atLeast"/>
        </w:trPr>
        <w:tc>
          <w:tcPr>
            <w:tcW w:w="1110" w:type="dxa"/>
          </w:tcPr>
          <w:p>
            <w:pPr>
              <w:pStyle w:val="TableParagraph"/>
              <w:rPr>
                <w:rFonts w:ascii="Times New Roman"/>
                <w:sz w:val="20"/>
              </w:rPr>
            </w:pPr>
          </w:p>
        </w:tc>
        <w:tc>
          <w:tcPr>
            <w:tcW w:w="1616" w:type="dxa"/>
          </w:tcPr>
          <w:p>
            <w:pPr>
              <w:pStyle w:val="TableParagraph"/>
              <w:rPr>
                <w:rFonts w:ascii="Times New Roman"/>
                <w:sz w:val="20"/>
              </w:rPr>
            </w:pPr>
          </w:p>
        </w:tc>
        <w:tc>
          <w:tcPr>
            <w:tcW w:w="7621" w:type="dxa"/>
          </w:tcPr>
          <w:p>
            <w:pPr>
              <w:pStyle w:val="TableParagraph"/>
              <w:spacing w:line="257" w:lineRule="exact" w:before="144"/>
              <w:ind w:left="90"/>
              <w:rPr>
                <w:b/>
                <w:sz w:val="21"/>
              </w:rPr>
            </w:pPr>
            <w:r>
              <w:rPr>
                <w:b/>
                <w:sz w:val="21"/>
              </w:rPr>
              <w:t>上述重大疾病保险金额为本合同基本保险金额的 2 倍，身故保险金额为本合同</w:t>
            </w:r>
          </w:p>
        </w:tc>
      </w:tr>
    </w:tbl>
    <w:p>
      <w:pPr>
        <w:spacing w:after="0" w:line="257" w:lineRule="exact"/>
        <w:rPr>
          <w:sz w:val="21"/>
        </w:rPr>
        <w:sectPr>
          <w:pgSz w:w="11910" w:h="16840"/>
          <w:pgMar w:top="1480" w:bottom="280" w:left="720" w:right="64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645"/>
        <w:gridCol w:w="7441"/>
      </w:tblGrid>
      <w:tr>
        <w:trPr>
          <w:trHeight w:val="417" w:hRule="atLeast"/>
        </w:trPr>
        <w:tc>
          <w:tcPr>
            <w:tcW w:w="853" w:type="dxa"/>
          </w:tcPr>
          <w:p>
            <w:pPr>
              <w:pStyle w:val="TableParagraph"/>
              <w:rPr>
                <w:rFonts w:ascii="Times New Roman"/>
                <w:sz w:val="20"/>
              </w:rPr>
            </w:pPr>
          </w:p>
        </w:tc>
        <w:tc>
          <w:tcPr>
            <w:tcW w:w="1645" w:type="dxa"/>
          </w:tcPr>
          <w:p>
            <w:pPr>
              <w:pStyle w:val="TableParagraph"/>
              <w:rPr>
                <w:rFonts w:ascii="Times New Roman"/>
                <w:sz w:val="20"/>
              </w:rPr>
            </w:pPr>
          </w:p>
        </w:tc>
        <w:tc>
          <w:tcPr>
            <w:tcW w:w="7441" w:type="dxa"/>
          </w:tcPr>
          <w:p>
            <w:pPr>
              <w:pStyle w:val="TableParagraph"/>
              <w:spacing w:line="211" w:lineRule="exact"/>
              <w:ind w:left="168"/>
              <w:rPr>
                <w:b/>
                <w:sz w:val="21"/>
              </w:rPr>
            </w:pPr>
            <w:r>
              <w:rPr>
                <w:b/>
                <w:sz w:val="21"/>
              </w:rPr>
              <w:t>基本保险金额。</w:t>
            </w:r>
          </w:p>
        </w:tc>
      </w:tr>
      <w:tr>
        <w:trPr>
          <w:trHeight w:val="468" w:hRule="atLeast"/>
        </w:trPr>
        <w:tc>
          <w:tcPr>
            <w:tcW w:w="853" w:type="dxa"/>
          </w:tcPr>
          <w:p>
            <w:pPr>
              <w:pStyle w:val="TableParagraph"/>
              <w:rPr>
                <w:rFonts w:ascii="Times New Roman"/>
                <w:sz w:val="20"/>
              </w:rPr>
            </w:pPr>
          </w:p>
        </w:tc>
        <w:tc>
          <w:tcPr>
            <w:tcW w:w="1645" w:type="dxa"/>
          </w:tcPr>
          <w:p>
            <w:pPr>
              <w:pStyle w:val="TableParagraph"/>
              <w:rPr>
                <w:rFonts w:ascii="Times New Roman"/>
                <w:sz w:val="20"/>
              </w:rPr>
            </w:pPr>
          </w:p>
        </w:tc>
        <w:tc>
          <w:tcPr>
            <w:tcW w:w="7441" w:type="dxa"/>
          </w:tcPr>
          <w:p>
            <w:pPr>
              <w:pStyle w:val="TableParagraph"/>
              <w:spacing w:before="143"/>
              <w:ind w:left="168"/>
              <w:rPr>
                <w:b/>
                <w:sz w:val="21"/>
              </w:rPr>
            </w:pPr>
            <w:r>
              <w:rPr>
                <w:b/>
                <w:spacing w:val="-7"/>
                <w:sz w:val="21"/>
              </w:rPr>
              <w:t>上述“身故保险金”、 “二次重大疾病保险金”两项保险金，我们仅给付其中</w:t>
            </w:r>
          </w:p>
        </w:tc>
      </w:tr>
      <w:tr>
        <w:trPr>
          <w:trHeight w:val="467" w:hRule="atLeast"/>
        </w:trPr>
        <w:tc>
          <w:tcPr>
            <w:tcW w:w="853" w:type="dxa"/>
          </w:tcPr>
          <w:p>
            <w:pPr>
              <w:pStyle w:val="TableParagraph"/>
              <w:rPr>
                <w:rFonts w:ascii="Times New Roman"/>
                <w:sz w:val="20"/>
              </w:rPr>
            </w:pPr>
          </w:p>
        </w:tc>
        <w:tc>
          <w:tcPr>
            <w:tcW w:w="1645" w:type="dxa"/>
          </w:tcPr>
          <w:p>
            <w:pPr>
              <w:pStyle w:val="TableParagraph"/>
              <w:rPr>
                <w:rFonts w:ascii="Times New Roman"/>
                <w:sz w:val="20"/>
              </w:rPr>
            </w:pPr>
          </w:p>
        </w:tc>
        <w:tc>
          <w:tcPr>
            <w:tcW w:w="7441" w:type="dxa"/>
          </w:tcPr>
          <w:p>
            <w:pPr>
              <w:pStyle w:val="TableParagraph"/>
              <w:spacing w:line="261" w:lineRule="exact"/>
              <w:ind w:left="168"/>
              <w:rPr>
                <w:b/>
                <w:sz w:val="21"/>
              </w:rPr>
            </w:pPr>
            <w:r>
              <w:rPr>
                <w:b/>
                <w:sz w:val="21"/>
              </w:rPr>
              <w:t>一项，给付后，本合同终止。</w:t>
            </w:r>
          </w:p>
        </w:tc>
      </w:tr>
      <w:tr>
        <w:trPr>
          <w:trHeight w:val="493" w:hRule="atLeast"/>
        </w:trPr>
        <w:tc>
          <w:tcPr>
            <w:tcW w:w="853" w:type="dxa"/>
          </w:tcPr>
          <w:p>
            <w:pPr>
              <w:pStyle w:val="TableParagraph"/>
              <w:spacing w:before="142"/>
              <w:ind w:left="50"/>
              <w:rPr>
                <w:rFonts w:ascii="楷体"/>
                <w:b/>
                <w:sz w:val="21"/>
              </w:rPr>
            </w:pPr>
            <w:r>
              <w:rPr>
                <w:rFonts w:ascii="楷体"/>
                <w:b/>
                <w:sz w:val="21"/>
              </w:rPr>
              <w:t>2.4.5</w:t>
            </w:r>
          </w:p>
        </w:tc>
        <w:tc>
          <w:tcPr>
            <w:tcW w:w="1645" w:type="dxa"/>
          </w:tcPr>
          <w:p>
            <w:pPr>
              <w:pStyle w:val="TableParagraph"/>
              <w:spacing w:before="55"/>
              <w:ind w:left="275"/>
              <w:rPr>
                <w:rFonts w:ascii="Microsoft JhengHei" w:eastAsia="Microsoft JhengHei" w:hint="eastAsia"/>
                <w:b/>
                <w:sz w:val="24"/>
              </w:rPr>
            </w:pPr>
            <w:r>
              <w:rPr>
                <w:rFonts w:ascii="Microsoft JhengHei" w:eastAsia="Microsoft JhengHei" w:hint="eastAsia"/>
                <w:b/>
                <w:sz w:val="24"/>
              </w:rPr>
              <w:t>重大疾病豁</w:t>
            </w:r>
          </w:p>
        </w:tc>
        <w:tc>
          <w:tcPr>
            <w:tcW w:w="7441" w:type="dxa"/>
          </w:tcPr>
          <w:p>
            <w:pPr>
              <w:pStyle w:val="TableParagraph"/>
              <w:spacing w:before="142"/>
              <w:ind w:left="168"/>
              <w:rPr>
                <w:sz w:val="21"/>
              </w:rPr>
            </w:pPr>
            <w:r>
              <w:rPr>
                <w:sz w:val="21"/>
              </w:rPr>
              <w:t>被保险人初次发生并被医院的专科医生确诊患有本合同约定的重大疾病，我们</w:t>
            </w:r>
          </w:p>
        </w:tc>
      </w:tr>
      <w:tr>
        <w:trPr>
          <w:trHeight w:val="759" w:hRule="atLeast"/>
        </w:trPr>
        <w:tc>
          <w:tcPr>
            <w:tcW w:w="853" w:type="dxa"/>
          </w:tcPr>
          <w:p>
            <w:pPr>
              <w:pStyle w:val="TableParagraph"/>
              <w:rPr>
                <w:rFonts w:ascii="Times New Roman"/>
                <w:sz w:val="20"/>
              </w:rPr>
            </w:pPr>
          </w:p>
        </w:tc>
        <w:tc>
          <w:tcPr>
            <w:tcW w:w="1645" w:type="dxa"/>
          </w:tcPr>
          <w:p>
            <w:pPr>
              <w:pStyle w:val="TableParagraph"/>
              <w:spacing w:line="301" w:lineRule="exact"/>
              <w:ind w:left="275"/>
              <w:rPr>
                <w:rFonts w:ascii="Microsoft JhengHei" w:eastAsia="Microsoft JhengHei" w:hint="eastAsia"/>
                <w:b/>
                <w:sz w:val="24"/>
              </w:rPr>
            </w:pPr>
            <w:r>
              <w:rPr>
                <w:rFonts w:ascii="Microsoft JhengHei" w:eastAsia="Microsoft JhengHei" w:hint="eastAsia"/>
                <w:b/>
                <w:sz w:val="24"/>
              </w:rPr>
              <w:t>免保险费</w:t>
            </w:r>
          </w:p>
        </w:tc>
        <w:tc>
          <w:tcPr>
            <w:tcW w:w="7441" w:type="dxa"/>
          </w:tcPr>
          <w:p>
            <w:pPr>
              <w:pStyle w:val="TableParagraph"/>
              <w:spacing w:line="236" w:lineRule="exact"/>
              <w:ind w:left="168"/>
              <w:rPr>
                <w:sz w:val="21"/>
              </w:rPr>
            </w:pPr>
            <w:r>
              <w:rPr>
                <w:sz w:val="21"/>
              </w:rPr>
              <w:t>豁免自确诊日后本合同应交的剩余各期保险费。被豁免的保险费视为已交纳，</w:t>
            </w:r>
          </w:p>
          <w:p>
            <w:pPr>
              <w:pStyle w:val="TableParagraph"/>
              <w:spacing w:before="37"/>
              <w:ind w:left="168"/>
              <w:rPr>
                <w:sz w:val="21"/>
              </w:rPr>
            </w:pPr>
            <w:r>
              <w:rPr>
                <w:sz w:val="21"/>
              </w:rPr>
              <w:t>同时本合同继续有效。</w:t>
            </w:r>
          </w:p>
        </w:tc>
      </w:tr>
      <w:tr>
        <w:trPr>
          <w:trHeight w:val="484" w:hRule="atLeast"/>
        </w:trPr>
        <w:tc>
          <w:tcPr>
            <w:tcW w:w="853" w:type="dxa"/>
          </w:tcPr>
          <w:p>
            <w:pPr>
              <w:pStyle w:val="TableParagraph"/>
              <w:spacing w:before="147"/>
              <w:ind w:left="50"/>
              <w:rPr>
                <w:b/>
                <w:sz w:val="21"/>
              </w:rPr>
            </w:pPr>
            <w:r>
              <w:rPr>
                <w:b/>
                <w:sz w:val="21"/>
              </w:rPr>
              <w:t>2.5</w:t>
            </w:r>
          </w:p>
        </w:tc>
        <w:tc>
          <w:tcPr>
            <w:tcW w:w="1645" w:type="dxa"/>
          </w:tcPr>
          <w:p>
            <w:pPr>
              <w:pStyle w:val="TableParagraph"/>
              <w:spacing w:before="171"/>
              <w:ind w:left="275"/>
              <w:rPr>
                <w:b/>
                <w:sz w:val="21"/>
              </w:rPr>
            </w:pPr>
            <w:r>
              <w:rPr>
                <w:b/>
                <w:sz w:val="21"/>
              </w:rPr>
              <w:t>责任免除</w:t>
            </w:r>
          </w:p>
        </w:tc>
        <w:tc>
          <w:tcPr>
            <w:tcW w:w="7441" w:type="dxa"/>
          </w:tcPr>
          <w:p>
            <w:pPr>
              <w:pStyle w:val="TableParagraph"/>
              <w:spacing w:before="147"/>
              <w:ind w:left="168"/>
              <w:rPr>
                <w:rFonts w:ascii="黑体" w:eastAsia="黑体" w:hint="eastAsia"/>
                <w:sz w:val="21"/>
              </w:rPr>
            </w:pPr>
            <w:r>
              <w:rPr>
                <w:rFonts w:ascii="黑体" w:eastAsia="黑体" w:hint="eastAsia"/>
                <w:sz w:val="21"/>
                <w:shd w:fill="D9D9D9" w:color="auto" w:val="clear"/>
              </w:rPr>
              <w:t>因下列第（1）至第（7）项情形之一导致被保险人身故的，我们不承担给付身</w:t>
            </w:r>
          </w:p>
        </w:tc>
      </w:tr>
      <w:tr>
        <w:trPr>
          <w:trHeight w:val="300" w:hRule="atLeast"/>
        </w:trPr>
        <w:tc>
          <w:tcPr>
            <w:tcW w:w="853" w:type="dxa"/>
          </w:tcPr>
          <w:p>
            <w:pPr>
              <w:pStyle w:val="TableParagraph"/>
              <w:rPr>
                <w:rFonts w:ascii="Times New Roman"/>
                <w:sz w:val="20"/>
              </w:rPr>
            </w:pPr>
          </w:p>
        </w:tc>
        <w:tc>
          <w:tcPr>
            <w:tcW w:w="1645" w:type="dxa"/>
          </w:tcPr>
          <w:p>
            <w:pPr>
              <w:pStyle w:val="TableParagraph"/>
              <w:rPr>
                <w:rFonts w:ascii="Times New Roman"/>
                <w:sz w:val="20"/>
              </w:rPr>
            </w:pPr>
          </w:p>
        </w:tc>
        <w:tc>
          <w:tcPr>
            <w:tcW w:w="7441" w:type="dxa"/>
          </w:tcPr>
          <w:p>
            <w:pPr>
              <w:pStyle w:val="TableParagraph"/>
              <w:spacing w:line="249" w:lineRule="exact"/>
              <w:ind w:left="168"/>
              <w:rPr>
                <w:rFonts w:ascii="黑体" w:hAnsi="黑体" w:eastAsia="黑体" w:hint="eastAsia"/>
                <w:sz w:val="21"/>
              </w:rPr>
            </w:pPr>
            <w:r>
              <w:rPr>
                <w:rFonts w:ascii="黑体" w:hAnsi="黑体" w:eastAsia="黑体" w:hint="eastAsia"/>
                <w:sz w:val="21"/>
                <w:shd w:fill="D9D9D9" w:color="auto" w:val="clear"/>
              </w:rPr>
              <w:t>故保险金的责任；因下列第（1）至第（9）项情形之一导致被保险人发Th“重</w:t>
            </w:r>
          </w:p>
        </w:tc>
      </w:tr>
      <w:tr>
        <w:trPr>
          <w:trHeight w:val="308" w:hRule="atLeast"/>
        </w:trPr>
        <w:tc>
          <w:tcPr>
            <w:tcW w:w="853" w:type="dxa"/>
          </w:tcPr>
          <w:p>
            <w:pPr>
              <w:pStyle w:val="TableParagraph"/>
              <w:rPr>
                <w:rFonts w:ascii="Times New Roman"/>
                <w:sz w:val="20"/>
              </w:rPr>
            </w:pPr>
          </w:p>
        </w:tc>
        <w:tc>
          <w:tcPr>
            <w:tcW w:w="1645" w:type="dxa"/>
          </w:tcPr>
          <w:p>
            <w:pPr>
              <w:pStyle w:val="TableParagraph"/>
              <w:rPr>
                <w:rFonts w:ascii="Times New Roman"/>
                <w:sz w:val="20"/>
              </w:rPr>
            </w:pPr>
          </w:p>
        </w:tc>
        <w:tc>
          <w:tcPr>
            <w:tcW w:w="7441" w:type="dxa"/>
          </w:tcPr>
          <w:p>
            <w:pPr>
              <w:pStyle w:val="TableParagraph"/>
              <w:spacing w:line="261" w:lineRule="exact"/>
              <w:ind w:left="168"/>
              <w:rPr>
                <w:rFonts w:ascii="黑体" w:hAnsi="黑体" w:eastAsia="黑体" w:hint="eastAsia"/>
                <w:sz w:val="21"/>
              </w:rPr>
            </w:pPr>
            <w:r>
              <w:rPr>
                <w:rFonts w:ascii="黑体" w:hAnsi="黑体" w:eastAsia="黑体" w:hint="eastAsia"/>
                <w:sz w:val="21"/>
                <w:shd w:fill="D9D9D9" w:color="auto" w:val="clear"/>
              </w:rPr>
              <w:t>大疾病”的，我们不承担相应保险责任：</w:t>
            </w:r>
          </w:p>
        </w:tc>
      </w:tr>
      <w:tr>
        <w:trPr>
          <w:trHeight w:val="319" w:hRule="atLeast"/>
        </w:trPr>
        <w:tc>
          <w:tcPr>
            <w:tcW w:w="853" w:type="dxa"/>
          </w:tcPr>
          <w:p>
            <w:pPr>
              <w:pStyle w:val="TableParagraph"/>
              <w:rPr>
                <w:rFonts w:ascii="Times New Roman"/>
                <w:sz w:val="20"/>
              </w:rPr>
            </w:pPr>
          </w:p>
        </w:tc>
        <w:tc>
          <w:tcPr>
            <w:tcW w:w="1645" w:type="dxa"/>
          </w:tcPr>
          <w:p>
            <w:pPr>
              <w:pStyle w:val="TableParagraph"/>
              <w:rPr>
                <w:rFonts w:ascii="Times New Roman"/>
                <w:sz w:val="20"/>
              </w:rPr>
            </w:pPr>
          </w:p>
        </w:tc>
        <w:tc>
          <w:tcPr>
            <w:tcW w:w="7441" w:type="dxa"/>
          </w:tcPr>
          <w:p>
            <w:pPr>
              <w:pStyle w:val="TableParagraph"/>
              <w:spacing w:line="265" w:lineRule="exact"/>
              <w:ind w:left="168"/>
              <w:rPr>
                <w:rFonts w:ascii="黑体" w:eastAsia="黑体" w:hint="eastAsia"/>
                <w:sz w:val="21"/>
              </w:rPr>
            </w:pPr>
            <w:r>
              <w:rPr>
                <w:rFonts w:ascii="黑体" w:eastAsia="黑体" w:hint="eastAsia"/>
                <w:sz w:val="21"/>
              </w:rPr>
              <w:t>(1)</w:t>
            </w:r>
            <w:r>
              <w:rPr>
                <w:rFonts w:ascii="黑体" w:eastAsia="黑体" w:hint="eastAsia"/>
                <w:sz w:val="21"/>
                <w:shd w:fill="D9D9D9" w:color="auto" w:val="clear"/>
              </w:rPr>
              <w:t> 投保人对被保险人的故意杀害、故意伤害；</w:t>
            </w:r>
          </w:p>
        </w:tc>
      </w:tr>
      <w:tr>
        <w:trPr>
          <w:trHeight w:val="272" w:hRule="atLeast"/>
        </w:trPr>
        <w:tc>
          <w:tcPr>
            <w:tcW w:w="853" w:type="dxa"/>
          </w:tcPr>
          <w:p>
            <w:pPr>
              <w:pStyle w:val="TableParagraph"/>
              <w:rPr>
                <w:rFonts w:ascii="Times New Roman"/>
                <w:sz w:val="20"/>
              </w:rPr>
            </w:pPr>
          </w:p>
        </w:tc>
        <w:tc>
          <w:tcPr>
            <w:tcW w:w="1645" w:type="dxa"/>
          </w:tcPr>
          <w:p>
            <w:pPr>
              <w:pStyle w:val="TableParagraph"/>
              <w:rPr>
                <w:rFonts w:ascii="Times New Roman"/>
                <w:sz w:val="20"/>
              </w:rPr>
            </w:pPr>
          </w:p>
        </w:tc>
        <w:tc>
          <w:tcPr>
            <w:tcW w:w="7441" w:type="dxa"/>
          </w:tcPr>
          <w:p>
            <w:pPr>
              <w:pStyle w:val="TableParagraph"/>
              <w:spacing w:line="253" w:lineRule="exact"/>
              <w:ind w:left="168"/>
              <w:rPr>
                <w:rFonts w:ascii="黑体" w:eastAsia="黑体" w:hint="eastAsia"/>
                <w:sz w:val="21"/>
              </w:rPr>
            </w:pPr>
            <w:r>
              <w:rPr>
                <w:rFonts w:ascii="黑体" w:eastAsia="黑体" w:hint="eastAsia"/>
                <w:sz w:val="21"/>
              </w:rPr>
              <w:t>(2)</w:t>
            </w:r>
            <w:r>
              <w:rPr>
                <w:rFonts w:ascii="黑体" w:eastAsia="黑体" w:hint="eastAsia"/>
                <w:sz w:val="21"/>
                <w:shd w:fill="D9D9D9" w:color="auto" w:val="clear"/>
              </w:rPr>
              <w:t> 被保险人自本合同成立或者合同效力恢复之日起 2 年内自杀，</w:t>
            </w:r>
            <w:r>
              <w:rPr>
                <w:rFonts w:ascii="黑体" w:eastAsia="黑体" w:hint="eastAsia"/>
                <w:sz w:val="21"/>
              </w:rPr>
              <w:t>但被保险人</w:t>
            </w:r>
          </w:p>
        </w:tc>
      </w:tr>
    </w:tbl>
    <w:p>
      <w:pPr>
        <w:pStyle w:val="BodyText"/>
        <w:spacing w:before="27"/>
        <w:ind w:left="3257"/>
        <w:rPr>
          <w:rFonts w:ascii="黑体" w:eastAsia="黑体" w:hint="eastAsia"/>
        </w:rPr>
      </w:pPr>
      <w:r>
        <w:rPr>
          <w:rFonts w:ascii="黑体" w:eastAsia="黑体" w:hint="eastAsia"/>
        </w:rPr>
        <w:t>自杀时为无民事行为能力人的除外；</w:t>
      </w:r>
    </w:p>
    <w:p>
      <w:pPr>
        <w:pStyle w:val="ListParagraph"/>
        <w:numPr>
          <w:ilvl w:val="2"/>
          <w:numId w:val="7"/>
        </w:numPr>
        <w:tabs>
          <w:tab w:pos="3155" w:val="left" w:leader="none"/>
        </w:tabs>
        <w:spacing w:line="240" w:lineRule="auto" w:before="37" w:after="0"/>
        <w:ind w:left="3257" w:right="0" w:hanging="421"/>
        <w:jc w:val="left"/>
        <w:rPr>
          <w:rFonts w:ascii="黑体" w:eastAsia="黑体" w:hint="eastAsia"/>
          <w:sz w:val="21"/>
        </w:rPr>
      </w:pPr>
      <w:r>
        <w:rPr>
          <w:rFonts w:ascii="Times New Roman" w:eastAsia="Times New Roman"/>
          <w:w w:val="100"/>
          <w:sz w:val="21"/>
          <w:shd w:fill="D9D9D9" w:color="auto" w:val="clear"/>
        </w:rPr>
        <w:t> </w:t>
      </w:r>
      <w:r>
        <w:rPr>
          <w:rFonts w:ascii="Times New Roman" w:eastAsia="Times New Roman"/>
          <w:sz w:val="21"/>
          <w:shd w:fill="D9D9D9" w:color="auto" w:val="clear"/>
        </w:rPr>
        <w:t> </w:t>
      </w:r>
      <w:r>
        <w:rPr>
          <w:rFonts w:ascii="黑体" w:eastAsia="黑体" w:hint="eastAsia"/>
          <w:spacing w:val="-3"/>
          <w:sz w:val="21"/>
          <w:shd w:fill="D9D9D9" w:color="auto" w:val="clear"/>
        </w:rPr>
        <w:t>被保险人故意自伤、故意犯罪或抗拒依法采取的刑事强制措施；</w:t>
      </w:r>
    </w:p>
    <w:p>
      <w:pPr>
        <w:pStyle w:val="ListParagraph"/>
        <w:numPr>
          <w:ilvl w:val="2"/>
          <w:numId w:val="7"/>
        </w:numPr>
        <w:tabs>
          <w:tab w:pos="3155" w:val="left" w:leader="none"/>
        </w:tabs>
        <w:spacing w:line="273" w:lineRule="auto" w:before="37" w:after="0"/>
        <w:ind w:left="3257" w:right="118" w:hanging="421"/>
        <w:jc w:val="left"/>
        <w:rPr>
          <w:rFonts w:ascii="黑体" w:eastAsia="黑体" w:hint="eastAsia"/>
          <w:sz w:val="21"/>
        </w:rPr>
      </w:pPr>
      <w:r>
        <w:rPr>
          <w:rFonts w:ascii="Times New Roman" w:eastAsia="Times New Roman"/>
          <w:w w:val="100"/>
          <w:sz w:val="21"/>
          <w:shd w:fill="D9D9D9" w:color="auto" w:val="clear"/>
        </w:rPr>
        <w:t> </w:t>
      </w:r>
      <w:r>
        <w:rPr>
          <w:rFonts w:ascii="Times New Roman" w:eastAsia="Times New Roman"/>
          <w:sz w:val="21"/>
          <w:shd w:fill="D9D9D9" w:color="auto" w:val="clear"/>
        </w:rPr>
        <w:t> </w:t>
      </w:r>
      <w:r>
        <w:rPr>
          <w:rFonts w:ascii="黑体" w:eastAsia="黑体" w:hint="eastAsia"/>
          <w:spacing w:val="-3"/>
          <w:sz w:val="21"/>
          <w:shd w:fill="D9D9D9" w:color="auto" w:val="clear"/>
        </w:rPr>
        <w:t>被保险人</w:t>
      </w:r>
      <w:r>
        <w:rPr>
          <w:rFonts w:ascii="黑体" w:eastAsia="黑体" w:hint="eastAsia"/>
          <w:b/>
          <w:spacing w:val="-10"/>
          <w:sz w:val="21"/>
          <w:shd w:fill="D9D9D9" w:color="auto" w:val="clear"/>
        </w:rPr>
        <w:t>酗酒</w:t>
      </w:r>
      <w:r>
        <w:rPr>
          <w:rFonts w:ascii="黑体" w:eastAsia="黑体" w:hint="eastAsia"/>
          <w:sz w:val="21"/>
          <w:shd w:fill="D9D9D9" w:color="auto" w:val="clear"/>
        </w:rPr>
        <w:t>（</w:t>
      </w:r>
      <w:r>
        <w:rPr>
          <w:rFonts w:ascii="黑体" w:eastAsia="黑体" w:hint="eastAsia"/>
          <w:spacing w:val="-18"/>
          <w:sz w:val="21"/>
          <w:shd w:fill="D9D9D9" w:color="auto" w:val="clear"/>
        </w:rPr>
        <w:t>见 </w:t>
      </w:r>
      <w:r>
        <w:rPr>
          <w:rFonts w:ascii="黑体" w:eastAsia="黑体" w:hint="eastAsia"/>
          <w:spacing w:val="-5"/>
          <w:sz w:val="21"/>
          <w:shd w:fill="D9D9D9" w:color="auto" w:val="clear"/>
        </w:rPr>
        <w:t>9.18）</w:t>
      </w:r>
      <w:r>
        <w:rPr>
          <w:rFonts w:ascii="黑体" w:eastAsia="黑体" w:hint="eastAsia"/>
          <w:spacing w:val="-10"/>
          <w:sz w:val="21"/>
          <w:shd w:fill="D9D9D9" w:color="auto" w:val="clear"/>
        </w:rPr>
        <w:t>、殴斗、服用、主动吸食或注射</w:t>
      </w:r>
      <w:r>
        <w:rPr>
          <w:rFonts w:ascii="黑体" w:eastAsia="黑体" w:hint="eastAsia"/>
          <w:b/>
          <w:spacing w:val="-10"/>
          <w:sz w:val="21"/>
          <w:shd w:fill="D9D9D9" w:color="auto" w:val="clear"/>
        </w:rPr>
        <w:t>毒品</w:t>
      </w:r>
      <w:r>
        <w:rPr>
          <w:rFonts w:ascii="黑体" w:eastAsia="黑体" w:hint="eastAsia"/>
          <w:sz w:val="21"/>
          <w:shd w:fill="D9D9D9" w:color="auto" w:val="clear"/>
        </w:rPr>
        <w:t>（</w:t>
      </w:r>
      <w:r>
        <w:rPr>
          <w:rFonts w:ascii="黑体" w:eastAsia="黑体" w:hint="eastAsia"/>
          <w:spacing w:val="-18"/>
          <w:sz w:val="21"/>
          <w:shd w:fill="D9D9D9" w:color="auto" w:val="clear"/>
        </w:rPr>
        <w:t>见 </w:t>
      </w:r>
      <w:r>
        <w:rPr>
          <w:rFonts w:ascii="黑体" w:eastAsia="黑体" w:hint="eastAsia"/>
          <w:spacing w:val="-8"/>
          <w:sz w:val="21"/>
          <w:shd w:fill="D9D9D9" w:color="auto" w:val="clear"/>
        </w:rPr>
        <w:t>9.19），</w:t>
      </w:r>
      <w:r>
        <w:rPr>
          <w:rFonts w:ascii="黑体" w:eastAsia="黑体" w:hint="eastAsia"/>
          <w:spacing w:val="-204"/>
          <w:sz w:val="21"/>
          <w:shd w:fill="D9D9D9" w:color="auto" w:val="clear"/>
        </w:rPr>
        <w:t>违</w:t>
      </w:r>
      <w:r>
        <w:rPr>
          <w:rFonts w:ascii="黑体" w:eastAsia="黑体" w:hint="eastAsia"/>
          <w:spacing w:val="-3"/>
          <w:sz w:val="21"/>
          <w:shd w:fill="D9D9D9" w:color="auto" w:val="clear"/>
        </w:rPr>
        <w:t>反规定使用麻醉或精神药品，未遵医嘱私自服用、涂用、注射药物；</w:t>
      </w:r>
    </w:p>
    <w:p>
      <w:pPr>
        <w:pStyle w:val="ListParagraph"/>
        <w:numPr>
          <w:ilvl w:val="2"/>
          <w:numId w:val="7"/>
        </w:numPr>
        <w:tabs>
          <w:tab w:pos="3155" w:val="left" w:leader="none"/>
        </w:tabs>
        <w:spacing w:line="273" w:lineRule="auto" w:before="7" w:after="0"/>
        <w:ind w:left="3257" w:right="207" w:hanging="421"/>
        <w:jc w:val="left"/>
        <w:rPr>
          <w:rFonts w:ascii="黑体" w:eastAsia="黑体" w:hint="eastAsia"/>
          <w:sz w:val="21"/>
        </w:rPr>
      </w:pPr>
      <w:r>
        <w:rPr>
          <w:rFonts w:ascii="Times New Roman" w:eastAsia="Times New Roman"/>
          <w:w w:val="100"/>
          <w:sz w:val="21"/>
          <w:shd w:fill="D9D9D9" w:color="auto" w:val="clear"/>
        </w:rPr>
        <w:t> </w:t>
      </w:r>
      <w:r>
        <w:rPr>
          <w:rFonts w:ascii="Times New Roman" w:eastAsia="Times New Roman"/>
          <w:sz w:val="21"/>
          <w:shd w:fill="D9D9D9" w:color="auto" w:val="clear"/>
        </w:rPr>
        <w:t> </w:t>
      </w:r>
      <w:r>
        <w:rPr>
          <w:rFonts w:ascii="黑体" w:eastAsia="黑体" w:hint="eastAsia"/>
          <w:spacing w:val="-3"/>
          <w:sz w:val="21"/>
          <w:shd w:fill="D9D9D9" w:color="auto" w:val="clear"/>
        </w:rPr>
        <w:t>被保险人</w:t>
      </w:r>
      <w:r>
        <w:rPr>
          <w:rFonts w:ascii="黑体" w:eastAsia="黑体" w:hint="eastAsia"/>
          <w:b/>
          <w:spacing w:val="-2"/>
          <w:sz w:val="21"/>
          <w:shd w:fill="D9D9D9" w:color="auto" w:val="clear"/>
        </w:rPr>
        <w:t>酒后驾驶</w:t>
      </w:r>
      <w:r>
        <w:rPr>
          <w:rFonts w:ascii="黑体" w:eastAsia="黑体" w:hint="eastAsia"/>
          <w:spacing w:val="-3"/>
          <w:sz w:val="21"/>
          <w:shd w:fill="D9D9D9" w:color="auto" w:val="clear"/>
        </w:rPr>
        <w:t>（</w:t>
      </w:r>
      <w:r>
        <w:rPr>
          <w:rFonts w:ascii="黑体" w:eastAsia="黑体" w:hint="eastAsia"/>
          <w:spacing w:val="-19"/>
          <w:sz w:val="21"/>
          <w:shd w:fill="D9D9D9" w:color="auto" w:val="clear"/>
        </w:rPr>
        <w:t>见 </w:t>
      </w:r>
      <w:r>
        <w:rPr>
          <w:rFonts w:ascii="黑体" w:eastAsia="黑体" w:hint="eastAsia"/>
          <w:spacing w:val="-3"/>
          <w:sz w:val="21"/>
          <w:shd w:fill="D9D9D9" w:color="auto" w:val="clear"/>
        </w:rPr>
        <w:t>9.20）</w:t>
      </w:r>
      <w:r>
        <w:rPr>
          <w:rFonts w:ascii="黑体" w:eastAsia="黑体" w:hint="eastAsia"/>
          <w:spacing w:val="-10"/>
          <w:sz w:val="21"/>
          <w:shd w:fill="D9D9D9" w:color="auto" w:val="clear"/>
        </w:rPr>
        <w:t>、</w:t>
      </w:r>
      <w:r>
        <w:rPr>
          <w:rFonts w:ascii="黑体" w:eastAsia="黑体" w:hint="eastAsia"/>
          <w:b/>
          <w:spacing w:val="-2"/>
          <w:sz w:val="21"/>
          <w:shd w:fill="D9D9D9" w:color="auto" w:val="clear"/>
        </w:rPr>
        <w:t>无合法有效驾驶证驾驶</w:t>
      </w:r>
      <w:r>
        <w:rPr>
          <w:rFonts w:ascii="黑体" w:eastAsia="黑体" w:hint="eastAsia"/>
          <w:sz w:val="21"/>
          <w:shd w:fill="D9D9D9" w:color="auto" w:val="clear"/>
        </w:rPr>
        <w:t>（</w:t>
      </w:r>
      <w:r>
        <w:rPr>
          <w:rFonts w:ascii="黑体" w:eastAsia="黑体" w:hint="eastAsia"/>
          <w:spacing w:val="-20"/>
          <w:sz w:val="21"/>
          <w:shd w:fill="D9D9D9" w:color="auto" w:val="clear"/>
        </w:rPr>
        <w:t>见 </w:t>
      </w:r>
      <w:r>
        <w:rPr>
          <w:rFonts w:ascii="黑体" w:eastAsia="黑体" w:hint="eastAsia"/>
          <w:spacing w:val="-4"/>
          <w:sz w:val="21"/>
          <w:shd w:fill="D9D9D9" w:color="auto" w:val="clear"/>
        </w:rPr>
        <w:t>9.21）</w:t>
      </w:r>
      <w:r>
        <w:rPr>
          <w:rFonts w:ascii="黑体" w:eastAsia="黑体" w:hint="eastAsia"/>
          <w:spacing w:val="-3"/>
          <w:sz w:val="21"/>
          <w:shd w:fill="D9D9D9" w:color="auto" w:val="clear"/>
        </w:rPr>
        <w:t>，或驾驶</w:t>
      </w:r>
      <w:r>
        <w:rPr>
          <w:rFonts w:ascii="黑体" w:eastAsia="黑体" w:hint="eastAsia"/>
          <w:b/>
          <w:sz w:val="21"/>
          <w:shd w:fill="D9D9D9" w:color="auto" w:val="clear"/>
        </w:rPr>
        <w:t>无有效行驶证照</w:t>
      </w:r>
      <w:r>
        <w:rPr>
          <w:rFonts w:ascii="黑体" w:eastAsia="黑体" w:hint="eastAsia"/>
          <w:spacing w:val="-3"/>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9.22）的</w:t>
      </w:r>
      <w:r>
        <w:rPr>
          <w:rFonts w:ascii="黑体" w:eastAsia="黑体" w:hint="eastAsia"/>
          <w:b/>
          <w:sz w:val="21"/>
          <w:shd w:fill="D9D9D9" w:color="auto" w:val="clear"/>
        </w:rPr>
        <w:t>机动车</w:t>
      </w:r>
      <w:r>
        <w:rPr>
          <w:rFonts w:ascii="黑体" w:eastAsia="黑体" w:hint="eastAsia"/>
          <w:spacing w:val="-3"/>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9.23）；</w:t>
      </w:r>
    </w:p>
    <w:p>
      <w:pPr>
        <w:pStyle w:val="ListParagraph"/>
        <w:numPr>
          <w:ilvl w:val="2"/>
          <w:numId w:val="7"/>
        </w:numPr>
        <w:tabs>
          <w:tab w:pos="3155" w:val="left" w:leader="none"/>
        </w:tabs>
        <w:spacing w:line="273" w:lineRule="auto" w:before="7" w:after="0"/>
        <w:ind w:left="2836" w:right="3642" w:firstLine="0"/>
        <w:jc w:val="left"/>
        <w:rPr>
          <w:rFonts w:ascii="黑体" w:eastAsia="黑体" w:hint="eastAsia"/>
          <w:sz w:val="21"/>
        </w:rPr>
      </w:pPr>
      <w:r>
        <w:rPr>
          <w:rFonts w:ascii="Times New Roman" w:eastAsia="Times New Roman"/>
          <w:w w:val="100"/>
          <w:sz w:val="21"/>
          <w:shd w:fill="D9D9D9" w:color="auto" w:val="clear"/>
        </w:rPr>
        <w:t> </w:t>
      </w:r>
      <w:r>
        <w:rPr>
          <w:rFonts w:ascii="Times New Roman" w:eastAsia="Times New Roman"/>
          <w:sz w:val="21"/>
          <w:shd w:fill="D9D9D9" w:color="auto" w:val="clear"/>
        </w:rPr>
        <w:t> </w:t>
      </w:r>
      <w:r>
        <w:rPr>
          <w:rFonts w:ascii="黑体" w:eastAsia="黑体" w:hint="eastAsia"/>
          <w:spacing w:val="-3"/>
          <w:sz w:val="21"/>
          <w:shd w:fill="D9D9D9" w:color="auto" w:val="clear"/>
        </w:rPr>
        <w:t>战争、军事冲突、暴乱或武装叛乱；</w:t>
      </w:r>
      <w:r>
        <w:rPr>
          <w:rFonts w:ascii="黑体" w:eastAsia="黑体" w:hint="eastAsia"/>
          <w:spacing w:val="-3"/>
          <w:sz w:val="21"/>
        </w:rPr>
        <w:t> (7)</w:t>
      </w:r>
      <w:r>
        <w:rPr>
          <w:rFonts w:ascii="黑体" w:eastAsia="黑体" w:hint="eastAsia"/>
          <w:spacing w:val="-3"/>
          <w:sz w:val="21"/>
          <w:shd w:fill="D9D9D9" w:color="auto" w:val="clear"/>
        </w:rPr>
        <w:t> 核爆炸、核辐射或核污染；</w:t>
      </w:r>
    </w:p>
    <w:p>
      <w:pPr>
        <w:spacing w:line="273" w:lineRule="auto" w:before="7"/>
        <w:ind w:left="2836" w:right="372" w:firstLine="0"/>
        <w:jc w:val="left"/>
        <w:rPr>
          <w:rFonts w:ascii="黑体" w:eastAsia="黑体" w:hint="eastAsia"/>
          <w:sz w:val="21"/>
        </w:rPr>
      </w:pPr>
      <w:r>
        <w:rPr>
          <w:rFonts w:ascii="黑体" w:eastAsia="黑体" w:hint="eastAsia"/>
          <w:sz w:val="21"/>
        </w:rPr>
        <w:t>(8)</w:t>
      </w:r>
      <w:r>
        <w:rPr>
          <w:rFonts w:ascii="黑体" w:eastAsia="黑体" w:hint="eastAsia"/>
          <w:spacing w:val="-2"/>
          <w:sz w:val="21"/>
          <w:shd w:fill="D9D9D9" w:color="auto" w:val="clear"/>
        </w:rPr>
        <w:t> 被保险人</w:t>
      </w:r>
      <w:r>
        <w:rPr>
          <w:rFonts w:ascii="黑体" w:eastAsia="黑体" w:hint="eastAsia"/>
          <w:b/>
          <w:spacing w:val="-1"/>
          <w:sz w:val="21"/>
          <w:shd w:fill="D9D9D9" w:color="auto" w:val="clear"/>
        </w:rPr>
        <w:t>感染艾滋病病毒或患艾滋病</w:t>
      </w:r>
      <w:r>
        <w:rPr>
          <w:rFonts w:ascii="黑体" w:eastAsia="黑体" w:hint="eastAsia"/>
          <w:spacing w:val="-3"/>
          <w:sz w:val="21"/>
          <w:shd w:fill="D9D9D9" w:color="auto" w:val="clear"/>
        </w:rPr>
        <w:t>（</w:t>
      </w:r>
      <w:r>
        <w:rPr>
          <w:rFonts w:ascii="黑体" w:eastAsia="黑体" w:hint="eastAsia"/>
          <w:spacing w:val="-26"/>
          <w:sz w:val="21"/>
          <w:shd w:fill="D9D9D9" w:color="auto" w:val="clear"/>
        </w:rPr>
        <w:t>见 </w:t>
      </w:r>
      <w:r>
        <w:rPr>
          <w:rFonts w:ascii="黑体" w:eastAsia="黑体" w:hint="eastAsia"/>
          <w:sz w:val="21"/>
          <w:shd w:fill="D9D9D9" w:color="auto" w:val="clear"/>
        </w:rPr>
        <w:t>9.24）</w:t>
      </w:r>
      <w:r>
        <w:rPr>
          <w:rFonts w:ascii="黑体" w:eastAsia="黑体" w:hint="eastAsia"/>
          <w:spacing w:val="-3"/>
          <w:sz w:val="21"/>
          <w:shd w:fill="D9D9D9" w:color="auto" w:val="clear"/>
        </w:rPr>
        <w:t>期间因疾病导致的；</w:t>
      </w:r>
      <w:r>
        <w:rPr>
          <w:rFonts w:ascii="黑体" w:eastAsia="黑体" w:hint="eastAsia"/>
          <w:spacing w:val="-3"/>
          <w:sz w:val="21"/>
        </w:rPr>
        <w:t> (9)</w:t>
      </w:r>
      <w:r>
        <w:rPr>
          <w:rFonts w:ascii="黑体" w:eastAsia="黑体" w:hint="eastAsia"/>
          <w:spacing w:val="0"/>
          <w:sz w:val="21"/>
          <w:shd w:fill="D9D9D9" w:color="auto" w:val="clear"/>
        </w:rPr>
        <w:t> </w:t>
      </w:r>
      <w:r>
        <w:rPr>
          <w:rFonts w:ascii="黑体" w:eastAsia="黑体" w:hint="eastAsia"/>
          <w:b/>
          <w:sz w:val="21"/>
          <w:shd w:fill="D9D9D9" w:color="auto" w:val="clear"/>
        </w:rPr>
        <w:t>遗传性疾病</w:t>
      </w:r>
      <w:r>
        <w:rPr>
          <w:rFonts w:ascii="黑体" w:eastAsia="黑体" w:hint="eastAsia"/>
          <w:spacing w:val="-3"/>
          <w:sz w:val="21"/>
          <w:shd w:fill="D9D9D9" w:color="auto" w:val="clear"/>
        </w:rPr>
        <w:t>（</w:t>
      </w:r>
      <w:r>
        <w:rPr>
          <w:rFonts w:ascii="黑体" w:eastAsia="黑体" w:hint="eastAsia"/>
          <w:spacing w:val="-26"/>
          <w:sz w:val="21"/>
          <w:shd w:fill="D9D9D9" w:color="auto" w:val="clear"/>
        </w:rPr>
        <w:t>见 </w:t>
      </w:r>
      <w:r>
        <w:rPr>
          <w:rFonts w:ascii="黑体" w:eastAsia="黑体" w:hint="eastAsia"/>
          <w:sz w:val="21"/>
          <w:shd w:fill="D9D9D9" w:color="auto" w:val="clear"/>
        </w:rPr>
        <w:t>9.25），</w:t>
      </w:r>
      <w:r>
        <w:rPr>
          <w:rFonts w:ascii="黑体" w:eastAsia="黑体" w:hint="eastAsia"/>
          <w:b/>
          <w:spacing w:val="-1"/>
          <w:sz w:val="21"/>
          <w:shd w:fill="D9D9D9" w:color="auto" w:val="clear"/>
        </w:rPr>
        <w:t>先天性畸形、变形或染色体异常</w:t>
      </w:r>
      <w:r>
        <w:rPr>
          <w:rFonts w:ascii="黑体" w:eastAsia="黑体" w:hint="eastAsia"/>
          <w:spacing w:val="-3"/>
          <w:sz w:val="21"/>
          <w:shd w:fill="D9D9D9" w:color="auto" w:val="clear"/>
        </w:rPr>
        <w:t>（</w:t>
      </w:r>
      <w:r>
        <w:rPr>
          <w:rFonts w:ascii="黑体" w:eastAsia="黑体" w:hint="eastAsia"/>
          <w:spacing w:val="-26"/>
          <w:sz w:val="21"/>
          <w:shd w:fill="D9D9D9" w:color="auto" w:val="clear"/>
        </w:rPr>
        <w:t>见 </w:t>
      </w:r>
      <w:r>
        <w:rPr>
          <w:rFonts w:ascii="黑体" w:eastAsia="黑体" w:hint="eastAsia"/>
          <w:sz w:val="21"/>
          <w:shd w:fill="D9D9D9" w:color="auto" w:val="clear"/>
        </w:rPr>
        <w:t>9.26）。</w:t>
      </w:r>
    </w:p>
    <w:p>
      <w:pPr>
        <w:pStyle w:val="BodyText"/>
        <w:spacing w:before="8"/>
        <w:rPr>
          <w:rFonts w:ascii="黑体"/>
        </w:rPr>
      </w:pPr>
    </w:p>
    <w:p>
      <w:pPr>
        <w:pStyle w:val="BodyText"/>
        <w:spacing w:line="273" w:lineRule="auto" w:before="36"/>
        <w:ind w:left="2836" w:right="101"/>
        <w:rPr>
          <w:rFonts w:ascii="黑体" w:hAnsi="黑体" w:eastAsia="黑体" w:hint="eastAsia"/>
        </w:rPr>
      </w:pPr>
      <w:r>
        <w:rPr>
          <w:rFonts w:ascii="黑体" w:hAnsi="黑体" w:eastAsia="黑体" w:hint="eastAsia"/>
          <w:shd w:fill="D9D9D9" w:color="auto" w:val="clear"/>
        </w:rPr>
        <w:t>发Th</w:t>
      </w:r>
      <w:r>
        <w:rPr>
          <w:rFonts w:ascii="黑体" w:hAnsi="黑体" w:eastAsia="黑体" w:hint="eastAsia"/>
          <w:spacing w:val="-10"/>
          <w:shd w:fill="D9D9D9" w:color="auto" w:val="clear"/>
        </w:rPr>
        <w:t>上述第（1）</w:t>
      </w:r>
      <w:r>
        <w:rPr>
          <w:rFonts w:ascii="黑体" w:hAnsi="黑体" w:eastAsia="黑体" w:hint="eastAsia"/>
          <w:spacing w:val="-5"/>
          <w:shd w:fill="D9D9D9" w:color="auto" w:val="clear"/>
        </w:rPr>
        <w:t>项情形导致被保险人身故、发</w:t>
      </w:r>
      <w:r>
        <w:rPr>
          <w:rFonts w:ascii="黑体" w:hAnsi="黑体" w:eastAsia="黑体" w:hint="eastAsia"/>
          <w:spacing w:val="-18"/>
          <w:shd w:fill="D9D9D9" w:color="auto" w:val="clear"/>
        </w:rPr>
        <w:t>Th</w:t>
      </w:r>
      <w:r>
        <w:rPr>
          <w:rFonts w:ascii="黑体" w:hAnsi="黑体" w:eastAsia="黑体" w:hint="eastAsia"/>
          <w:spacing w:val="-10"/>
          <w:shd w:fill="D9D9D9" w:color="auto" w:val="clear"/>
        </w:rPr>
        <w:t>“重大疾病”的，本合同终止， </w:t>
      </w:r>
      <w:r>
        <w:rPr>
          <w:rFonts w:ascii="黑体" w:hAnsi="黑体" w:eastAsia="黑体" w:hint="eastAsia"/>
          <w:spacing w:val="-4"/>
          <w:shd w:fill="D9D9D9" w:color="auto" w:val="clear"/>
        </w:rPr>
        <w:t>您已交足 </w:t>
      </w:r>
      <w:r>
        <w:rPr>
          <w:rFonts w:ascii="黑体" w:hAnsi="黑体" w:eastAsia="黑体" w:hint="eastAsia"/>
          <w:shd w:fill="D9D9D9" w:color="auto" w:val="clear"/>
        </w:rPr>
        <w:t>2</w:t>
      </w:r>
      <w:r>
        <w:rPr>
          <w:rFonts w:ascii="黑体" w:hAnsi="黑体" w:eastAsia="黑体" w:hint="eastAsia"/>
          <w:spacing w:val="-7"/>
          <w:shd w:fill="D9D9D9" w:color="auto" w:val="clear"/>
        </w:rPr>
        <w:t> 年以上保险费的，我们向其他权利人退还合同效力终止之日本合同的</w:t>
      </w:r>
      <w:r>
        <w:rPr>
          <w:rFonts w:ascii="黑体" w:hAnsi="黑体" w:eastAsia="黑体" w:hint="eastAsia"/>
          <w:b/>
          <w:shd w:fill="D9D9D9" w:color="auto" w:val="clear"/>
        </w:rPr>
        <w:t>现金价值</w:t>
      </w:r>
      <w:r>
        <w:rPr>
          <w:rFonts w:ascii="黑体" w:hAnsi="黑体" w:eastAsia="黑体" w:hint="eastAsia"/>
          <w:shd w:fill="D9D9D9" w:color="auto" w:val="clear"/>
        </w:rPr>
        <w:t>（</w:t>
      </w:r>
      <w:r>
        <w:rPr>
          <w:rFonts w:ascii="黑体" w:hAnsi="黑体" w:eastAsia="黑体" w:hint="eastAsia"/>
          <w:spacing w:val="5"/>
          <w:shd w:fill="D9D9D9" w:color="auto" w:val="clear"/>
        </w:rPr>
        <w:t>见  </w:t>
      </w:r>
      <w:r>
        <w:rPr>
          <w:rFonts w:ascii="黑体" w:hAnsi="黑体" w:eastAsia="黑体" w:hint="eastAsia"/>
          <w:shd w:fill="D9D9D9" w:color="auto" w:val="clear"/>
        </w:rPr>
        <w:t>9.27）</w:t>
      </w:r>
      <w:r>
        <w:rPr>
          <w:rFonts w:ascii="黑体" w:hAnsi="黑体" w:eastAsia="黑体" w:hint="eastAsia"/>
          <w:spacing w:val="-3"/>
          <w:shd w:fill="D9D9D9" w:color="auto" w:val="clear"/>
        </w:rPr>
        <w:t>。其他权利人按照被保险人、被保险人继承人的顺序确定。</w:t>
      </w:r>
    </w:p>
    <w:p>
      <w:pPr>
        <w:pStyle w:val="BodyText"/>
        <w:spacing w:before="8"/>
        <w:rPr>
          <w:rFonts w:ascii="黑体"/>
        </w:rPr>
      </w:pPr>
    </w:p>
    <w:p>
      <w:pPr>
        <w:pStyle w:val="BodyText"/>
        <w:spacing w:line="273" w:lineRule="auto" w:before="36"/>
        <w:ind w:left="2836" w:right="284"/>
        <w:rPr>
          <w:rFonts w:ascii="黑体" w:eastAsia="黑体" w:hint="eastAsia"/>
        </w:rPr>
      </w:pPr>
      <w:r>
        <w:rPr>
          <w:rFonts w:ascii="黑体" w:eastAsia="黑体" w:hint="eastAsia"/>
          <w:shd w:fill="D9D9D9" w:color="auto" w:val="clear"/>
        </w:rPr>
        <w:t>发Th</w:t>
      </w:r>
      <w:r>
        <w:rPr>
          <w:rFonts w:ascii="黑体" w:eastAsia="黑体" w:hint="eastAsia"/>
          <w:spacing w:val="-3"/>
          <w:shd w:fill="D9D9D9" w:color="auto" w:val="clear"/>
        </w:rPr>
        <w:t>上述第</w:t>
      </w:r>
      <w:r>
        <w:rPr>
          <w:rFonts w:ascii="黑体" w:eastAsia="黑体" w:hint="eastAsia"/>
          <w:shd w:fill="D9D9D9" w:color="auto" w:val="clear"/>
        </w:rPr>
        <w:t>（2）</w:t>
      </w:r>
      <w:r>
        <w:rPr>
          <w:rFonts w:ascii="黑体" w:eastAsia="黑体" w:hint="eastAsia"/>
          <w:spacing w:val="-3"/>
          <w:shd w:fill="D9D9D9" w:color="auto" w:val="clear"/>
        </w:rPr>
        <w:t>项至第</w:t>
      </w:r>
      <w:r>
        <w:rPr>
          <w:rFonts w:ascii="黑体" w:eastAsia="黑体" w:hint="eastAsia"/>
          <w:shd w:fill="D9D9D9" w:color="auto" w:val="clear"/>
        </w:rPr>
        <w:t>（7）</w:t>
      </w:r>
      <w:r>
        <w:rPr>
          <w:rFonts w:ascii="黑体" w:eastAsia="黑体" w:hint="eastAsia"/>
          <w:spacing w:val="-3"/>
          <w:shd w:fill="D9D9D9" w:color="auto" w:val="clear"/>
        </w:rPr>
        <w:t>项情形导致被保险人身故的，本合同终止，我们</w:t>
      </w:r>
      <w:r>
        <w:rPr>
          <w:rFonts w:ascii="黑体" w:eastAsia="黑体" w:hint="eastAsia"/>
          <w:spacing w:val="-208"/>
          <w:shd w:fill="D9D9D9" w:color="auto" w:val="clear"/>
        </w:rPr>
        <w:t>向</w:t>
      </w:r>
      <w:r>
        <w:rPr>
          <w:rFonts w:ascii="黑体" w:eastAsia="黑体" w:hint="eastAsia"/>
          <w:spacing w:val="-3"/>
          <w:shd w:fill="D9D9D9" w:color="auto" w:val="clear"/>
        </w:rPr>
        <w:t>您退还被保险人身故时本合同的现金价值。</w:t>
      </w:r>
    </w:p>
    <w:p>
      <w:pPr>
        <w:pStyle w:val="BodyText"/>
        <w:spacing w:before="8"/>
        <w:rPr>
          <w:rFonts w:ascii="黑体"/>
        </w:rPr>
      </w:pPr>
    </w:p>
    <w:p>
      <w:pPr>
        <w:pStyle w:val="BodyText"/>
        <w:spacing w:line="273" w:lineRule="auto" w:before="36"/>
        <w:ind w:left="2836" w:right="208"/>
        <w:rPr>
          <w:rFonts w:ascii="黑体" w:hAnsi="黑体" w:eastAsia="黑体" w:hint="eastAsia"/>
        </w:rPr>
      </w:pPr>
      <w:r>
        <w:rPr>
          <w:rFonts w:ascii="黑体" w:hAnsi="黑体" w:eastAsia="黑体" w:hint="eastAsia"/>
          <w:shd w:fill="D9D9D9" w:color="auto" w:val="clear"/>
        </w:rPr>
        <w:t>发Th上述第（2）项至第（9）项情形导致被保险人发Th“重大疾病”的，本合同终</w:t>
      </w:r>
      <w:r>
        <w:rPr>
          <w:rFonts w:ascii="黑体" w:hAnsi="黑体" w:eastAsia="黑体" w:hint="eastAsia"/>
          <w:spacing w:val="-212"/>
          <w:shd w:fill="D9D9D9" w:color="auto" w:val="clear"/>
        </w:rPr>
        <w:t>止</w:t>
      </w:r>
      <w:r>
        <w:rPr>
          <w:rFonts w:ascii="黑体" w:hAnsi="黑体" w:eastAsia="黑体" w:hint="eastAsia"/>
          <w:spacing w:val="-3"/>
          <w:shd w:fill="D9D9D9" w:color="auto" w:val="clear"/>
        </w:rPr>
        <w:t>，我们向您退还合同效力终止之日本合同的现金价值。</w:t>
      </w:r>
    </w:p>
    <w:p>
      <w:pPr>
        <w:pStyle w:val="BodyText"/>
        <w:spacing w:before="0"/>
        <w:rPr>
          <w:rFonts w:ascii="黑体"/>
          <w:sz w:val="20"/>
        </w:rPr>
      </w:pPr>
    </w:p>
    <w:p>
      <w:pPr>
        <w:pStyle w:val="BodyText"/>
        <w:spacing w:before="0"/>
        <w:rPr>
          <w:rFonts w:ascii="黑体"/>
          <w:sz w:val="14"/>
        </w:rPr>
      </w:pPr>
    </w:p>
    <w:p>
      <w:pPr>
        <w:pStyle w:val="Heading1"/>
        <w:tabs>
          <w:tab w:pos="1297" w:val="left" w:leader="none"/>
        </w:tabs>
      </w:pPr>
      <w:r>
        <w:rPr/>
        <w:pict>
          <v:group style="position:absolute;margin-left:45.599998pt;margin-top:28.159807pt;width:502.55pt;height:1pt;mso-position-horizontal-relative:page;mso-position-vertical-relative:paragraph;z-index:1072;mso-wrap-distance-left:0;mso-wrap-distance-right:0" coordorigin="912,563" coordsize="10051,20">
            <v:line style="position:absolute" from="912,573" to="1988,573" stroked="true" strokeweight=".95996pt" strokecolor="#000000">
              <v:stroke dashstyle="solid"/>
            </v:line>
            <v:rect style="position:absolute;left:1987;top:563;width:20;height:20" filled="true" fillcolor="#000000" stroked="false">
              <v:fill type="solid"/>
            </v:rect>
            <v:line style="position:absolute" from="2007,573" to="10963,573" stroked="true" strokeweight=".959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
        <w:rPr>
          <w:b/>
          <w:sz w:val="18"/>
        </w:rPr>
      </w:pPr>
    </w:p>
    <w:p>
      <w:pPr>
        <w:tabs>
          <w:tab w:pos="1297" w:val="left" w:leader="none"/>
          <w:tab w:pos="2836" w:val="left" w:leader="none"/>
        </w:tabs>
        <w:spacing w:before="36"/>
        <w:ind w:left="220" w:right="0" w:firstLine="0"/>
        <w:jc w:val="left"/>
        <w:rPr>
          <w:sz w:val="21"/>
        </w:rPr>
      </w:pPr>
      <w:r>
        <w:rPr>
          <w:b/>
          <w:sz w:val="21"/>
        </w:rPr>
        <w:t>3.1</w:t>
        <w:tab/>
        <w:t>受益人</w:t>
        <w:tab/>
      </w:r>
      <w:r>
        <w:rPr>
          <w:sz w:val="21"/>
        </w:rPr>
        <w:t>您或</w:t>
      </w:r>
      <w:r>
        <w:rPr>
          <w:spacing w:val="-3"/>
          <w:sz w:val="21"/>
        </w:rPr>
        <w:t>者</w:t>
      </w: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指</w:t>
      </w:r>
      <w:r>
        <w:rPr>
          <w:spacing w:val="-3"/>
          <w:sz w:val="21"/>
        </w:rPr>
        <w:t>定</w:t>
      </w:r>
      <w:r>
        <w:rPr>
          <w:sz w:val="21"/>
        </w:rPr>
        <w:t>一人</w:t>
      </w:r>
      <w:r>
        <w:rPr>
          <w:spacing w:val="-3"/>
          <w:sz w:val="21"/>
        </w:rPr>
        <w:t>或</w:t>
      </w:r>
      <w:r>
        <w:rPr>
          <w:sz w:val="21"/>
        </w:rPr>
        <w:t>者</w:t>
      </w:r>
      <w:r>
        <w:rPr>
          <w:spacing w:val="-3"/>
          <w:sz w:val="21"/>
        </w:rPr>
        <w:t>多</w:t>
      </w:r>
      <w:r>
        <w:rPr>
          <w:sz w:val="21"/>
        </w:rPr>
        <w:t>人</w:t>
      </w:r>
      <w:r>
        <w:rPr>
          <w:spacing w:val="-3"/>
          <w:sz w:val="21"/>
        </w:rPr>
        <w:t>为</w:t>
      </w:r>
      <w:r>
        <w:rPr>
          <w:sz w:val="21"/>
        </w:rPr>
        <w:t>身</w:t>
      </w:r>
      <w:r>
        <w:rPr>
          <w:spacing w:val="-3"/>
          <w:sz w:val="21"/>
        </w:rPr>
        <w:t>故</w:t>
      </w:r>
      <w:r>
        <w:rPr>
          <w:sz w:val="21"/>
        </w:rPr>
        <w:t>保</w:t>
      </w:r>
      <w:r>
        <w:rPr>
          <w:spacing w:val="-3"/>
          <w:sz w:val="21"/>
        </w:rPr>
        <w:t>险</w:t>
      </w:r>
      <w:r>
        <w:rPr>
          <w:sz w:val="21"/>
        </w:rPr>
        <w:t>金受</w:t>
      </w:r>
      <w:r>
        <w:rPr>
          <w:spacing w:val="-3"/>
          <w:sz w:val="21"/>
        </w:rPr>
        <w:t>益</w:t>
      </w:r>
      <w:r>
        <w:rPr>
          <w:sz w:val="21"/>
        </w:rPr>
        <w:t>人。</w:t>
      </w:r>
    </w:p>
    <w:p>
      <w:pPr>
        <w:pStyle w:val="BodyText"/>
        <w:spacing w:before="8"/>
        <w:rPr>
          <w:sz w:val="26"/>
        </w:rPr>
      </w:pPr>
    </w:p>
    <w:p>
      <w:pPr>
        <w:pStyle w:val="BodyText"/>
        <w:spacing w:line="273" w:lineRule="auto" w:before="0"/>
        <w:ind w:left="2836" w:right="215"/>
      </w:pPr>
      <w:r>
        <w:rPr/>
        <w:t>身故保险金受益人为多人时，可以确定受益顺序和受益份额；如果没有确定受益份额，各受益人按照相等份额享有受益权。</w:t>
      </w:r>
    </w:p>
    <w:p>
      <w:pPr>
        <w:pStyle w:val="BodyText"/>
        <w:spacing w:before="5"/>
        <w:rPr>
          <w:sz w:val="24"/>
        </w:rPr>
      </w:pPr>
    </w:p>
    <w:p>
      <w:pPr>
        <w:pStyle w:val="BodyText"/>
        <w:spacing w:line="273" w:lineRule="auto" w:before="0"/>
        <w:ind w:left="2836" w:right="215"/>
      </w:pPr>
      <w:r>
        <w:rPr/>
        <w:t>被保险人为无民事行为能力人或限制民事行为能力人的，可以由其监护人指定受益人。</w:t>
      </w:r>
    </w:p>
    <w:p>
      <w:pPr>
        <w:spacing w:after="0" w:line="273" w:lineRule="auto"/>
        <w:sectPr>
          <w:pgSz w:w="11910" w:h="16840"/>
          <w:pgMar w:top="1160" w:bottom="280" w:left="800" w:right="8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1827"/>
        <w:gridCol w:w="7618"/>
      </w:tblGrid>
      <w:tr>
        <w:trPr>
          <w:trHeight w:val="6346" w:hRule="atLeast"/>
        </w:trPr>
        <w:tc>
          <w:tcPr>
            <w:tcW w:w="897" w:type="dxa"/>
          </w:tcPr>
          <w:p>
            <w:pPr>
              <w:pStyle w:val="TableParagraph"/>
              <w:rPr>
                <w:rFonts w:ascii="Times New Roman"/>
                <w:sz w:val="20"/>
              </w:rPr>
            </w:pPr>
          </w:p>
        </w:tc>
        <w:tc>
          <w:tcPr>
            <w:tcW w:w="1827" w:type="dxa"/>
          </w:tcPr>
          <w:p>
            <w:pPr>
              <w:pStyle w:val="TableParagraph"/>
              <w:rPr>
                <w:rFonts w:ascii="Times New Roman"/>
                <w:sz w:val="20"/>
              </w:rPr>
            </w:pPr>
          </w:p>
        </w:tc>
        <w:tc>
          <w:tcPr>
            <w:tcW w:w="7618" w:type="dxa"/>
          </w:tcPr>
          <w:p>
            <w:pPr>
              <w:pStyle w:val="TableParagraph"/>
              <w:spacing w:line="209" w:lineRule="exact"/>
              <w:ind w:left="92"/>
              <w:rPr>
                <w:sz w:val="21"/>
              </w:rPr>
            </w:pPr>
            <w:r>
              <w:rPr>
                <w:sz w:val="21"/>
              </w:rPr>
              <w:t>您或者被保险人可以变更身故保险金受益人并书面通知我们，我们收到变更受</w:t>
            </w:r>
          </w:p>
          <w:p>
            <w:pPr>
              <w:pStyle w:val="TableParagraph"/>
              <w:spacing w:line="273" w:lineRule="auto" w:before="37"/>
              <w:ind w:left="92" w:right="311"/>
              <w:rPr>
                <w:sz w:val="21"/>
              </w:rPr>
            </w:pPr>
            <w:r>
              <w:rPr>
                <w:sz w:val="21"/>
              </w:rPr>
              <w:t>益人的书面通知后，在保险单或其他保险凭证上批注或者附贴批单，变更自我们在保险单或者其他保险凭证上批注或者附贴批单之日起产生效力。</w:t>
            </w:r>
          </w:p>
          <w:p>
            <w:pPr>
              <w:pStyle w:val="TableParagraph"/>
              <w:spacing w:before="5"/>
              <w:rPr>
                <w:sz w:val="24"/>
              </w:rPr>
            </w:pPr>
          </w:p>
          <w:p>
            <w:pPr>
              <w:pStyle w:val="TableParagraph"/>
              <w:ind w:left="92"/>
              <w:rPr>
                <w:sz w:val="21"/>
              </w:rPr>
            </w:pPr>
            <w:r>
              <w:rPr>
                <w:sz w:val="21"/>
              </w:rPr>
              <w:t>您在指定和变更身故保险金受益人时，必须经过被保险人书面同意。</w:t>
            </w:r>
          </w:p>
          <w:p>
            <w:pPr>
              <w:pStyle w:val="TableParagraph"/>
              <w:spacing w:before="8"/>
              <w:rPr>
                <w:sz w:val="26"/>
              </w:rPr>
            </w:pPr>
          </w:p>
          <w:p>
            <w:pPr>
              <w:pStyle w:val="TableParagraph"/>
              <w:spacing w:line="273" w:lineRule="auto" w:before="1"/>
              <w:ind w:left="92" w:right="306"/>
              <w:rPr>
                <w:sz w:val="21"/>
              </w:rPr>
            </w:pPr>
            <w:r>
              <w:rPr>
                <w:sz w:val="21"/>
              </w:rPr>
              <w:t>除另有约定外，首次重大疾病医疗保险金、二次重大疾病保险金受益人为被保险人本人。</w:t>
            </w:r>
          </w:p>
          <w:p>
            <w:pPr>
              <w:pStyle w:val="TableParagraph"/>
              <w:spacing w:before="5"/>
              <w:rPr>
                <w:sz w:val="24"/>
              </w:rPr>
            </w:pPr>
          </w:p>
          <w:p>
            <w:pPr>
              <w:pStyle w:val="TableParagraph"/>
              <w:spacing w:line="273" w:lineRule="auto" w:before="1"/>
              <w:ind w:left="92" w:right="311"/>
              <w:rPr>
                <w:sz w:val="21"/>
              </w:rPr>
            </w:pPr>
            <w:r>
              <w:rPr>
                <w:sz w:val="21"/>
              </w:rPr>
              <w:t>被保险人身故后，遇有下列情形之一的，保险金作为被保险人的遗产，由我们依照《中华人民共和国继承法》的规定履行给付保险金的义务：</w:t>
            </w:r>
          </w:p>
          <w:p>
            <w:pPr>
              <w:pStyle w:val="TableParagraph"/>
              <w:spacing w:before="8"/>
              <w:ind w:left="92"/>
              <w:rPr>
                <w:sz w:val="21"/>
              </w:rPr>
            </w:pPr>
            <w:r>
              <w:rPr>
                <w:sz w:val="21"/>
              </w:rPr>
              <w:t>（1）没有指定受益人，或者受益人指定不明无法确定的；</w:t>
            </w:r>
          </w:p>
          <w:p>
            <w:pPr>
              <w:pStyle w:val="TableParagraph"/>
              <w:spacing w:before="37"/>
              <w:ind w:left="92"/>
              <w:rPr>
                <w:sz w:val="21"/>
              </w:rPr>
            </w:pPr>
            <w:r>
              <w:rPr>
                <w:sz w:val="21"/>
              </w:rPr>
              <w:t>（2）受益人先于被保险人身故，没有其他受益人的；</w:t>
            </w:r>
          </w:p>
          <w:p>
            <w:pPr>
              <w:pStyle w:val="TableParagraph"/>
              <w:spacing w:before="37"/>
              <w:ind w:left="92"/>
              <w:rPr>
                <w:sz w:val="21"/>
              </w:rPr>
            </w:pPr>
            <w:r>
              <w:rPr>
                <w:sz w:val="21"/>
              </w:rPr>
              <w:t>（3）受益人依法丧失受益权或者放弃受益权，没有其他受益人的。</w:t>
            </w:r>
          </w:p>
          <w:p>
            <w:pPr>
              <w:pStyle w:val="TableParagraph"/>
              <w:spacing w:before="8"/>
              <w:rPr>
                <w:sz w:val="26"/>
              </w:rPr>
            </w:pPr>
          </w:p>
          <w:p>
            <w:pPr>
              <w:pStyle w:val="TableParagraph"/>
              <w:spacing w:line="273" w:lineRule="auto"/>
              <w:ind w:left="92" w:right="377"/>
              <w:rPr>
                <w:sz w:val="21"/>
              </w:rPr>
            </w:pPr>
            <w:r>
              <w:rPr>
                <w:sz w:val="21"/>
              </w:rPr>
              <w:t>受益人与被保险人在同一事件中身故，且不能确定身故先后顺序的，推定受益人身故在先。</w:t>
            </w:r>
          </w:p>
          <w:p>
            <w:pPr>
              <w:pStyle w:val="TableParagraph"/>
              <w:spacing w:before="5"/>
              <w:rPr>
                <w:sz w:val="24"/>
              </w:rPr>
            </w:pPr>
          </w:p>
          <w:p>
            <w:pPr>
              <w:pStyle w:val="TableParagraph"/>
              <w:spacing w:line="273" w:lineRule="auto"/>
              <w:ind w:left="92" w:right="195"/>
              <w:rPr>
                <w:sz w:val="21"/>
              </w:rPr>
            </w:pPr>
            <w:r>
              <w:rPr>
                <w:spacing w:val="-6"/>
                <w:sz w:val="21"/>
              </w:rPr>
              <w:t>受益人故意造成被保险人身故、伤残、疾病的，或者故意杀害被保险人未遂的， </w:t>
            </w:r>
            <w:r>
              <w:rPr>
                <w:spacing w:val="-4"/>
                <w:sz w:val="21"/>
              </w:rPr>
              <w:t>该受益人丧失受益权。</w:t>
            </w:r>
          </w:p>
        </w:tc>
      </w:tr>
      <w:tr>
        <w:trPr>
          <w:trHeight w:val="4368" w:hRule="atLeast"/>
        </w:trPr>
        <w:tc>
          <w:tcPr>
            <w:tcW w:w="897" w:type="dxa"/>
          </w:tcPr>
          <w:p>
            <w:pPr>
              <w:pStyle w:val="TableParagraph"/>
              <w:spacing w:before="140"/>
              <w:ind w:left="200"/>
              <w:rPr>
                <w:b/>
                <w:sz w:val="21"/>
              </w:rPr>
            </w:pPr>
            <w:r>
              <w:rPr>
                <w:b/>
                <w:sz w:val="21"/>
              </w:rPr>
              <w:t>3.2</w:t>
            </w:r>
          </w:p>
        </w:tc>
        <w:tc>
          <w:tcPr>
            <w:tcW w:w="1827" w:type="dxa"/>
          </w:tcPr>
          <w:p>
            <w:pPr>
              <w:pStyle w:val="TableParagraph"/>
              <w:spacing w:before="140"/>
              <w:ind w:left="381"/>
              <w:rPr>
                <w:b/>
                <w:sz w:val="21"/>
              </w:rPr>
            </w:pPr>
            <w:r>
              <w:rPr>
                <w:b/>
                <w:sz w:val="21"/>
              </w:rPr>
              <w:t>保险事故通知</w:t>
            </w:r>
          </w:p>
        </w:tc>
        <w:tc>
          <w:tcPr>
            <w:tcW w:w="7618" w:type="dxa"/>
          </w:tcPr>
          <w:p>
            <w:pPr>
              <w:pStyle w:val="TableParagraph"/>
              <w:spacing w:before="140"/>
              <w:ind w:left="92"/>
              <w:rPr>
                <w:sz w:val="21"/>
              </w:rPr>
            </w:pPr>
            <w:r>
              <w:rPr>
                <w:sz w:val="21"/>
              </w:rPr>
              <w:t>您、被保险人或受益人知道保险事故后应当在10日内通知我们。</w:t>
            </w:r>
          </w:p>
          <w:p>
            <w:pPr>
              <w:pStyle w:val="TableParagraph"/>
              <w:spacing w:before="8"/>
              <w:rPr>
                <w:sz w:val="26"/>
              </w:rPr>
            </w:pPr>
          </w:p>
          <w:p>
            <w:pPr>
              <w:pStyle w:val="TableParagraph"/>
              <w:spacing w:line="273" w:lineRule="auto"/>
              <w:ind w:left="92" w:right="307"/>
              <w:jc w:val="both"/>
              <w:rPr>
                <w:sz w:val="21"/>
              </w:rPr>
            </w:pPr>
            <w:r>
              <w:rPr>
                <w:sz w:val="21"/>
              </w:rPr>
              <w:t>如果您、被保险人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TableParagraph"/>
              <w:spacing w:before="5"/>
              <w:rPr>
                <w:sz w:val="24"/>
              </w:rPr>
            </w:pPr>
          </w:p>
          <w:p>
            <w:pPr>
              <w:pStyle w:val="TableParagraph"/>
              <w:spacing w:line="273" w:lineRule="auto"/>
              <w:ind w:left="92" w:right="377"/>
              <w:jc w:val="both"/>
              <w:rPr>
                <w:sz w:val="21"/>
              </w:rPr>
            </w:pPr>
            <w:r>
              <w:rPr>
                <w:spacing w:val="-3"/>
                <w:sz w:val="21"/>
              </w:rPr>
              <w:t>被保险人应在我们指定或认可的医疗机构就诊，若因急诊未在我们指定或认可</w:t>
            </w:r>
            <w:r>
              <w:rPr>
                <w:spacing w:val="-6"/>
                <w:sz w:val="21"/>
              </w:rPr>
              <w:t>的医疗机构就诊的，应在 </w:t>
            </w:r>
            <w:r>
              <w:rPr>
                <w:sz w:val="21"/>
              </w:rPr>
              <w:t>3</w:t>
            </w:r>
            <w:r>
              <w:rPr>
                <w:spacing w:val="-8"/>
                <w:sz w:val="21"/>
              </w:rPr>
              <w:t> 日内通知我们，并在病情好转后及时转入我们指定</w:t>
            </w:r>
            <w:r>
              <w:rPr>
                <w:spacing w:val="-5"/>
                <w:sz w:val="21"/>
              </w:rPr>
              <w:t>或认可的医疗机构。若确需在非指定或认可的医疗机构就诊的，应向我们提出</w:t>
            </w:r>
            <w:r>
              <w:rPr>
                <w:spacing w:val="-7"/>
                <w:sz w:val="21"/>
              </w:rPr>
              <w:t>书面申请，我们在接到申请后 </w:t>
            </w:r>
            <w:r>
              <w:rPr>
                <w:sz w:val="21"/>
              </w:rPr>
              <w:t>3</w:t>
            </w:r>
            <w:r>
              <w:rPr>
                <w:spacing w:val="-8"/>
                <w:sz w:val="21"/>
              </w:rPr>
              <w:t> 日内给予答复，对于我们同意在非指定或认可</w:t>
            </w:r>
            <w:r>
              <w:rPr>
                <w:spacing w:val="-5"/>
                <w:sz w:val="21"/>
              </w:rPr>
              <w:t>的医疗机构就诊的，我们按约定承担给付保险金的责任。</w:t>
            </w:r>
          </w:p>
        </w:tc>
      </w:tr>
      <w:tr>
        <w:trPr>
          <w:trHeight w:val="936" w:hRule="atLeast"/>
        </w:trPr>
        <w:tc>
          <w:tcPr>
            <w:tcW w:w="897" w:type="dxa"/>
          </w:tcPr>
          <w:p>
            <w:pPr>
              <w:pStyle w:val="TableParagraph"/>
              <w:spacing w:before="140"/>
              <w:ind w:left="200"/>
              <w:rPr>
                <w:b/>
                <w:sz w:val="21"/>
              </w:rPr>
            </w:pPr>
            <w:r>
              <w:rPr>
                <w:b/>
                <w:sz w:val="21"/>
              </w:rPr>
              <w:t>3.3</w:t>
            </w:r>
          </w:p>
        </w:tc>
        <w:tc>
          <w:tcPr>
            <w:tcW w:w="1827" w:type="dxa"/>
          </w:tcPr>
          <w:p>
            <w:pPr>
              <w:pStyle w:val="TableParagraph"/>
              <w:spacing w:line="273" w:lineRule="auto" w:before="140"/>
              <w:ind w:left="381" w:right="176"/>
              <w:rPr>
                <w:b/>
                <w:sz w:val="21"/>
              </w:rPr>
            </w:pPr>
            <w:r>
              <w:rPr>
                <w:b/>
                <w:sz w:val="21"/>
              </w:rPr>
              <w:t>保险金或者豁免保险费申请</w:t>
            </w:r>
          </w:p>
        </w:tc>
        <w:tc>
          <w:tcPr>
            <w:tcW w:w="7618" w:type="dxa"/>
          </w:tcPr>
          <w:p>
            <w:pPr>
              <w:pStyle w:val="TableParagraph"/>
              <w:spacing w:before="140"/>
              <w:ind w:left="92"/>
              <w:rPr>
                <w:sz w:val="21"/>
              </w:rPr>
            </w:pPr>
            <w:r>
              <w:rPr>
                <w:sz w:val="21"/>
              </w:rPr>
              <w:t>在申请保险金或者申请豁免保险费时，请按照下列方式办理：</w:t>
            </w:r>
          </w:p>
        </w:tc>
      </w:tr>
      <w:tr>
        <w:trPr>
          <w:trHeight w:val="2289" w:hRule="atLeast"/>
        </w:trPr>
        <w:tc>
          <w:tcPr>
            <w:tcW w:w="897" w:type="dxa"/>
          </w:tcPr>
          <w:p>
            <w:pPr>
              <w:pStyle w:val="TableParagraph"/>
              <w:rPr>
                <w:rFonts w:ascii="Times New Roman"/>
                <w:sz w:val="20"/>
              </w:rPr>
            </w:pPr>
          </w:p>
        </w:tc>
        <w:tc>
          <w:tcPr>
            <w:tcW w:w="1827" w:type="dxa"/>
          </w:tcPr>
          <w:p>
            <w:pPr>
              <w:pStyle w:val="TableParagraph"/>
              <w:spacing w:line="184" w:lineRule="auto" w:before="149"/>
              <w:ind w:left="381" w:right="89"/>
              <w:jc w:val="both"/>
              <w:rPr>
                <w:rFonts w:ascii="Microsoft JhengHei" w:eastAsia="Microsoft JhengHei" w:hint="eastAsia"/>
                <w:b/>
                <w:sz w:val="24"/>
              </w:rPr>
            </w:pPr>
            <w:r>
              <w:rPr>
                <w:rFonts w:ascii="Microsoft JhengHei" w:eastAsia="Microsoft JhengHei" w:hint="eastAsia"/>
                <w:b/>
                <w:sz w:val="24"/>
              </w:rPr>
              <w:t>首次重大疾病医疗保险金申请</w:t>
            </w:r>
          </w:p>
        </w:tc>
        <w:tc>
          <w:tcPr>
            <w:tcW w:w="7618" w:type="dxa"/>
          </w:tcPr>
          <w:p>
            <w:pPr>
              <w:pStyle w:val="TableParagraph"/>
              <w:spacing w:line="273" w:lineRule="auto" w:before="140"/>
              <w:ind w:left="92" w:right="377"/>
              <w:rPr>
                <w:sz w:val="21"/>
              </w:rPr>
            </w:pPr>
            <w:r>
              <w:rPr>
                <w:sz w:val="21"/>
              </w:rPr>
              <w:t>在申请首次重大疾病医疗保险金时，申请人须填写保险金给付申请书，并提供下列证明和资料：</w:t>
            </w:r>
          </w:p>
          <w:p>
            <w:pPr>
              <w:pStyle w:val="TableParagraph"/>
              <w:spacing w:before="7"/>
              <w:ind w:left="92"/>
              <w:rPr>
                <w:sz w:val="21"/>
              </w:rPr>
            </w:pPr>
            <w:r>
              <w:rPr>
                <w:sz w:val="21"/>
              </w:rPr>
              <w:t>（1）保险合同；</w:t>
            </w:r>
          </w:p>
          <w:p>
            <w:pPr>
              <w:pStyle w:val="TableParagraph"/>
              <w:spacing w:before="37"/>
              <w:ind w:left="92"/>
              <w:rPr>
                <w:sz w:val="21"/>
              </w:rPr>
            </w:pPr>
            <w:r>
              <w:rPr>
                <w:sz w:val="21"/>
              </w:rPr>
              <w:t>（2）申请人的有效身份证件；</w:t>
            </w:r>
          </w:p>
          <w:p>
            <w:pPr>
              <w:pStyle w:val="TableParagraph"/>
              <w:spacing w:line="273" w:lineRule="auto" w:before="37"/>
              <w:ind w:left="613" w:right="197" w:hanging="522"/>
              <w:rPr>
                <w:sz w:val="21"/>
              </w:rPr>
            </w:pPr>
            <w:r>
              <w:rPr>
                <w:spacing w:val="-5"/>
                <w:sz w:val="21"/>
              </w:rPr>
              <w:t>（3）</w:t>
            </w:r>
            <w:r>
              <w:rPr>
                <w:spacing w:val="-4"/>
                <w:sz w:val="21"/>
              </w:rPr>
              <w:t>医院的专科医生出具的附有病理显微镜检查、血液检验及其他科学方法检</w:t>
            </w:r>
            <w:r>
              <w:rPr>
                <w:spacing w:val="-11"/>
                <w:sz w:val="21"/>
              </w:rPr>
              <w:t>验报告的、诊断结论符合“</w:t>
            </w:r>
            <w:r>
              <w:rPr>
                <w:sz w:val="21"/>
              </w:rPr>
              <w:t>9.7</w:t>
            </w:r>
            <w:r>
              <w:rPr>
                <w:spacing w:val="-5"/>
                <w:sz w:val="21"/>
              </w:rPr>
              <w:t> 重大疾病”所列举情形的疾病诊断证明书；</w:t>
            </w:r>
          </w:p>
          <w:p>
            <w:pPr>
              <w:pStyle w:val="TableParagraph"/>
              <w:spacing w:line="257" w:lineRule="exact" w:before="7"/>
              <w:ind w:left="92"/>
              <w:rPr>
                <w:sz w:val="21"/>
              </w:rPr>
            </w:pPr>
            <w:r>
              <w:rPr>
                <w:sz w:val="21"/>
              </w:rPr>
              <w:t>（4）医疗机构出具的完整病历资料(包括门急诊病历、住院病历或出院小结以</w:t>
            </w:r>
          </w:p>
        </w:tc>
      </w:tr>
    </w:tbl>
    <w:p>
      <w:pPr>
        <w:spacing w:after="0" w:line="257" w:lineRule="exact"/>
        <w:rPr>
          <w:sz w:val="21"/>
        </w:rPr>
        <w:sectPr>
          <w:pgSz w:w="11910" w:h="16840"/>
          <w:pgMar w:top="1480" w:bottom="280" w:left="72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1825"/>
        <w:gridCol w:w="7622"/>
      </w:tblGrid>
      <w:tr>
        <w:trPr>
          <w:trHeight w:val="2294" w:hRule="atLeast"/>
        </w:trPr>
        <w:tc>
          <w:tcPr>
            <w:tcW w:w="897" w:type="dxa"/>
          </w:tcPr>
          <w:p>
            <w:pPr>
              <w:pStyle w:val="TableParagraph"/>
              <w:rPr>
                <w:rFonts w:ascii="Times New Roman"/>
                <w:sz w:val="20"/>
              </w:rPr>
            </w:pPr>
          </w:p>
        </w:tc>
        <w:tc>
          <w:tcPr>
            <w:tcW w:w="1825" w:type="dxa"/>
          </w:tcPr>
          <w:p>
            <w:pPr>
              <w:pStyle w:val="TableParagraph"/>
              <w:rPr>
                <w:rFonts w:ascii="Times New Roman"/>
                <w:sz w:val="20"/>
              </w:rPr>
            </w:pPr>
          </w:p>
        </w:tc>
        <w:tc>
          <w:tcPr>
            <w:tcW w:w="7622" w:type="dxa"/>
          </w:tcPr>
          <w:p>
            <w:pPr>
              <w:pStyle w:val="TableParagraph"/>
              <w:spacing w:line="211" w:lineRule="exact"/>
              <w:ind w:left="620"/>
              <w:rPr>
                <w:sz w:val="21"/>
              </w:rPr>
            </w:pPr>
            <w:r>
              <w:rPr>
                <w:sz w:val="21"/>
              </w:rPr>
              <w:t>及相关的检查报告)；</w:t>
            </w:r>
          </w:p>
          <w:p>
            <w:pPr>
              <w:pStyle w:val="TableParagraph"/>
              <w:spacing w:line="273" w:lineRule="auto" w:before="37"/>
              <w:ind w:left="620" w:right="269" w:hanging="527"/>
              <w:rPr>
                <w:sz w:val="21"/>
              </w:rPr>
            </w:pPr>
            <w:r>
              <w:rPr>
                <w:sz w:val="21"/>
              </w:rPr>
              <w:t>（5）医疗费用原始收据、医疗费用明细清单及医疗费用分割单（若发生手术费用，还需提供手术费用的原始凭证）；</w:t>
            </w:r>
          </w:p>
          <w:p>
            <w:pPr>
              <w:pStyle w:val="TableParagraph"/>
              <w:spacing w:before="7"/>
              <w:ind w:left="94"/>
              <w:rPr>
                <w:sz w:val="21"/>
              </w:rPr>
            </w:pPr>
            <w:r>
              <w:rPr>
                <w:sz w:val="21"/>
              </w:rPr>
              <w:t>（6）所能提供的与确认保险事故的性质、原因等有关的其他证明和资料。</w:t>
            </w:r>
          </w:p>
          <w:p>
            <w:pPr>
              <w:pStyle w:val="TableParagraph"/>
              <w:spacing w:before="8"/>
              <w:rPr>
                <w:sz w:val="26"/>
              </w:rPr>
            </w:pPr>
          </w:p>
          <w:p>
            <w:pPr>
              <w:pStyle w:val="TableParagraph"/>
              <w:spacing w:line="273" w:lineRule="auto"/>
              <w:ind w:left="94" w:right="379"/>
              <w:rPr>
                <w:sz w:val="21"/>
              </w:rPr>
            </w:pPr>
            <w:r>
              <w:rPr>
                <w:sz w:val="21"/>
              </w:rPr>
              <w:t>以上证明和资料不完整的，我们将及时一次性通知申请人补充提供有关证明和资料。</w:t>
            </w:r>
          </w:p>
        </w:tc>
      </w:tr>
      <w:tr>
        <w:trPr>
          <w:trHeight w:val="3441" w:hRule="atLeast"/>
        </w:trPr>
        <w:tc>
          <w:tcPr>
            <w:tcW w:w="897" w:type="dxa"/>
          </w:tcPr>
          <w:p>
            <w:pPr>
              <w:pStyle w:val="TableParagraph"/>
              <w:rPr>
                <w:rFonts w:ascii="Times New Roman"/>
                <w:sz w:val="20"/>
              </w:rPr>
            </w:pPr>
          </w:p>
        </w:tc>
        <w:tc>
          <w:tcPr>
            <w:tcW w:w="1825" w:type="dxa"/>
          </w:tcPr>
          <w:p>
            <w:pPr>
              <w:pStyle w:val="TableParagraph"/>
              <w:spacing w:line="184" w:lineRule="auto" w:before="156"/>
              <w:ind w:left="381" w:right="87"/>
              <w:jc w:val="both"/>
              <w:rPr>
                <w:rFonts w:ascii="Microsoft JhengHei" w:eastAsia="Microsoft JhengHei" w:hint="eastAsia"/>
                <w:b/>
                <w:sz w:val="24"/>
              </w:rPr>
            </w:pPr>
            <w:r>
              <w:rPr>
                <w:rFonts w:ascii="Microsoft JhengHei" w:eastAsia="Microsoft JhengHei" w:hint="eastAsia"/>
                <w:b/>
                <w:spacing w:val="30"/>
                <w:sz w:val="24"/>
              </w:rPr>
              <w:t>二次重大疾</w:t>
            </w:r>
            <w:r>
              <w:rPr>
                <w:rFonts w:ascii="Microsoft JhengHei" w:eastAsia="Microsoft JhengHei" w:hint="eastAsia"/>
                <w:b/>
                <w:spacing w:val="-20"/>
                <w:sz w:val="24"/>
              </w:rPr>
              <w:t>病保险金、重</w:t>
            </w:r>
            <w:r>
              <w:rPr>
                <w:rFonts w:ascii="Microsoft JhengHei" w:eastAsia="Microsoft JhengHei" w:hint="eastAsia"/>
                <w:b/>
                <w:spacing w:val="30"/>
                <w:sz w:val="24"/>
              </w:rPr>
              <w:t>大疾病豁免</w:t>
            </w:r>
            <w:r>
              <w:rPr>
                <w:rFonts w:ascii="Microsoft JhengHei" w:eastAsia="Microsoft JhengHei" w:hint="eastAsia"/>
                <w:b/>
                <w:sz w:val="24"/>
              </w:rPr>
              <w:t>保险费申请</w:t>
            </w:r>
          </w:p>
        </w:tc>
        <w:tc>
          <w:tcPr>
            <w:tcW w:w="7622" w:type="dxa"/>
          </w:tcPr>
          <w:p>
            <w:pPr>
              <w:pStyle w:val="TableParagraph"/>
              <w:spacing w:line="273" w:lineRule="auto" w:before="147"/>
              <w:ind w:left="94" w:right="379"/>
              <w:rPr>
                <w:sz w:val="21"/>
              </w:rPr>
            </w:pPr>
            <w:r>
              <w:rPr>
                <w:sz w:val="21"/>
              </w:rPr>
              <w:t>在申请二次重大疾病保险金、重大疾病豁免保险费时，申请人须填写保险金给付申请书或豁免保险费申请书，并提供下列证明和资料：</w:t>
            </w:r>
          </w:p>
          <w:p>
            <w:pPr>
              <w:pStyle w:val="TableParagraph"/>
              <w:spacing w:before="7"/>
              <w:ind w:left="94"/>
              <w:rPr>
                <w:sz w:val="21"/>
              </w:rPr>
            </w:pPr>
            <w:r>
              <w:rPr>
                <w:sz w:val="21"/>
              </w:rPr>
              <w:t>（1）保险合同；</w:t>
            </w:r>
          </w:p>
          <w:p>
            <w:pPr>
              <w:pStyle w:val="TableParagraph"/>
              <w:spacing w:before="37"/>
              <w:ind w:left="94"/>
              <w:rPr>
                <w:sz w:val="21"/>
              </w:rPr>
            </w:pPr>
            <w:r>
              <w:rPr>
                <w:sz w:val="21"/>
              </w:rPr>
              <w:t>（2）申请人的有效身份证件；</w:t>
            </w:r>
          </w:p>
          <w:p>
            <w:pPr>
              <w:pStyle w:val="TableParagraph"/>
              <w:spacing w:line="273" w:lineRule="auto" w:before="37"/>
              <w:ind w:left="599" w:right="199" w:hanging="505"/>
              <w:rPr>
                <w:sz w:val="21"/>
              </w:rPr>
            </w:pPr>
            <w:r>
              <w:rPr>
                <w:spacing w:val="-5"/>
                <w:sz w:val="21"/>
              </w:rPr>
              <w:t>（3）</w:t>
            </w:r>
            <w:r>
              <w:rPr>
                <w:spacing w:val="-4"/>
                <w:sz w:val="21"/>
              </w:rPr>
              <w:t>医院的专科医生出具的附有病理显微镜检查、血液检验及其他科学方法检</w:t>
            </w:r>
            <w:r>
              <w:rPr>
                <w:spacing w:val="-11"/>
                <w:sz w:val="21"/>
              </w:rPr>
              <w:t>验报告的、诊断结论符合“</w:t>
            </w:r>
            <w:r>
              <w:rPr>
                <w:sz w:val="21"/>
              </w:rPr>
              <w:t>9.7</w:t>
            </w:r>
            <w:r>
              <w:rPr>
                <w:spacing w:val="-3"/>
                <w:sz w:val="21"/>
              </w:rPr>
              <w:t> 重大疾病”所列举情形的疾病诊断证明书；</w:t>
            </w:r>
          </w:p>
          <w:p>
            <w:pPr>
              <w:pStyle w:val="TableParagraph"/>
              <w:spacing w:before="8"/>
              <w:ind w:left="111"/>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before="1"/>
              <w:ind w:left="89" w:right="384"/>
              <w:rPr>
                <w:sz w:val="21"/>
              </w:rPr>
            </w:pPr>
            <w:r>
              <w:rPr>
                <w:sz w:val="21"/>
              </w:rPr>
              <w:t>以上证明和资料不完整的，我们将及时一次性通知申请人补充提供有关证明和资料。</w:t>
            </w:r>
          </w:p>
        </w:tc>
      </w:tr>
      <w:tr>
        <w:trPr>
          <w:trHeight w:val="4687" w:hRule="atLeast"/>
        </w:trPr>
        <w:tc>
          <w:tcPr>
            <w:tcW w:w="897" w:type="dxa"/>
          </w:tcPr>
          <w:p>
            <w:pPr>
              <w:pStyle w:val="TableParagraph"/>
              <w:rPr>
                <w:rFonts w:ascii="Times New Roman"/>
                <w:sz w:val="20"/>
              </w:rPr>
            </w:pPr>
          </w:p>
        </w:tc>
        <w:tc>
          <w:tcPr>
            <w:tcW w:w="1825" w:type="dxa"/>
          </w:tcPr>
          <w:p>
            <w:pPr>
              <w:pStyle w:val="TableParagraph"/>
              <w:spacing w:line="182" w:lineRule="auto" w:before="159"/>
              <w:ind w:left="381" w:right="87"/>
              <w:rPr>
                <w:rFonts w:ascii="Microsoft JhengHei" w:eastAsia="Microsoft JhengHei" w:hint="eastAsia"/>
                <w:b/>
                <w:sz w:val="24"/>
              </w:rPr>
            </w:pPr>
            <w:r>
              <w:rPr>
                <w:rFonts w:ascii="Microsoft JhengHei" w:eastAsia="Microsoft JhengHei" w:hint="eastAsia"/>
                <w:b/>
                <w:sz w:val="24"/>
              </w:rPr>
              <w:t>身故保险金申请</w:t>
            </w:r>
          </w:p>
        </w:tc>
        <w:tc>
          <w:tcPr>
            <w:tcW w:w="7622" w:type="dxa"/>
          </w:tcPr>
          <w:p>
            <w:pPr>
              <w:pStyle w:val="TableParagraph"/>
              <w:spacing w:line="273" w:lineRule="auto" w:before="146"/>
              <w:ind w:left="94" w:right="379"/>
              <w:rPr>
                <w:sz w:val="21"/>
              </w:rPr>
            </w:pPr>
            <w:r>
              <w:rPr>
                <w:sz w:val="21"/>
              </w:rPr>
              <w:t>在申请身故保险金时，申请人须填写保险金给付申请书，并提供下列证明和资料：</w:t>
            </w:r>
          </w:p>
          <w:p>
            <w:pPr>
              <w:pStyle w:val="TableParagraph"/>
              <w:spacing w:before="7"/>
              <w:ind w:left="94"/>
              <w:rPr>
                <w:sz w:val="21"/>
              </w:rPr>
            </w:pPr>
            <w:r>
              <w:rPr>
                <w:sz w:val="21"/>
              </w:rPr>
              <w:t>（1）保险合同；</w:t>
            </w:r>
          </w:p>
          <w:p>
            <w:pPr>
              <w:pStyle w:val="TableParagraph"/>
              <w:spacing w:before="36"/>
              <w:ind w:left="94"/>
              <w:rPr>
                <w:sz w:val="21"/>
              </w:rPr>
            </w:pPr>
            <w:r>
              <w:rPr>
                <w:sz w:val="21"/>
              </w:rPr>
              <w:t>（2）申请人的有效身份证件；</w:t>
            </w:r>
          </w:p>
          <w:p>
            <w:pPr>
              <w:pStyle w:val="TableParagraph"/>
              <w:spacing w:line="273" w:lineRule="auto" w:before="36"/>
              <w:ind w:left="635" w:right="255" w:hanging="524"/>
              <w:rPr>
                <w:sz w:val="21"/>
              </w:rPr>
            </w:pPr>
            <w:r>
              <w:rPr>
                <w:sz w:val="21"/>
              </w:rPr>
              <w:t>（3）国家卫生行政部门认定的医疗机构、公安部门或其他相关机构出具的被保险人的死亡证明；</w:t>
            </w:r>
          </w:p>
          <w:p>
            <w:pPr>
              <w:pStyle w:val="TableParagraph"/>
              <w:spacing w:line="273" w:lineRule="auto" w:before="7"/>
              <w:ind w:left="599" w:right="267" w:hanging="505"/>
              <w:rPr>
                <w:sz w:val="21"/>
              </w:rPr>
            </w:pPr>
            <w:r>
              <w:rPr>
                <w:sz w:val="21"/>
              </w:rPr>
              <w:t>（4）如被保险人为宣告死亡，须提供法院出具的宣告死亡判决书和被保险人户籍注销证明；</w:t>
            </w:r>
          </w:p>
          <w:p>
            <w:pPr>
              <w:pStyle w:val="TableParagraph"/>
              <w:spacing w:before="7"/>
              <w:ind w:left="94"/>
              <w:rPr>
                <w:sz w:val="21"/>
              </w:rPr>
            </w:pPr>
            <w:r>
              <w:rPr>
                <w:sz w:val="21"/>
              </w:rPr>
              <w:t>（5）所能提供的与确认保险事故的性质、原因等有关的其他证明和资料。</w:t>
            </w:r>
          </w:p>
          <w:p>
            <w:pPr>
              <w:pStyle w:val="TableParagraph"/>
              <w:spacing w:before="8"/>
              <w:rPr>
                <w:sz w:val="26"/>
              </w:rPr>
            </w:pPr>
          </w:p>
          <w:p>
            <w:pPr>
              <w:pStyle w:val="TableParagraph"/>
              <w:ind w:left="94"/>
              <w:rPr>
                <w:sz w:val="21"/>
              </w:rPr>
            </w:pPr>
            <w:r>
              <w:rPr>
                <w:sz w:val="21"/>
              </w:rPr>
              <w:t>保险金作为被保险人遗产时，必须提供可证明合法继承权的相关权利文件。</w:t>
            </w:r>
          </w:p>
          <w:p>
            <w:pPr>
              <w:pStyle w:val="TableParagraph"/>
              <w:spacing w:before="8"/>
              <w:rPr>
                <w:sz w:val="26"/>
              </w:rPr>
            </w:pPr>
          </w:p>
          <w:p>
            <w:pPr>
              <w:pStyle w:val="TableParagraph"/>
              <w:spacing w:line="273" w:lineRule="auto"/>
              <w:ind w:left="94" w:right="379"/>
              <w:rPr>
                <w:sz w:val="21"/>
              </w:rPr>
            </w:pPr>
            <w:r>
              <w:rPr>
                <w:sz w:val="21"/>
              </w:rPr>
              <w:t>以上证明和资料不完整的，我们将及时一次性通知申请人补充提供有关证明和资料。</w:t>
            </w:r>
          </w:p>
        </w:tc>
      </w:tr>
      <w:tr>
        <w:trPr>
          <w:trHeight w:val="3853" w:hRule="atLeast"/>
        </w:trPr>
        <w:tc>
          <w:tcPr>
            <w:tcW w:w="897" w:type="dxa"/>
          </w:tcPr>
          <w:p>
            <w:pPr>
              <w:pStyle w:val="TableParagraph"/>
              <w:spacing w:before="146"/>
              <w:ind w:left="200"/>
              <w:rPr>
                <w:b/>
                <w:sz w:val="21"/>
              </w:rPr>
            </w:pPr>
            <w:r>
              <w:rPr>
                <w:b/>
                <w:sz w:val="21"/>
              </w:rPr>
              <w:t>3.4</w:t>
            </w:r>
          </w:p>
        </w:tc>
        <w:tc>
          <w:tcPr>
            <w:tcW w:w="1825" w:type="dxa"/>
          </w:tcPr>
          <w:p>
            <w:pPr>
              <w:pStyle w:val="TableParagraph"/>
              <w:spacing w:before="146"/>
              <w:ind w:left="381"/>
              <w:rPr>
                <w:b/>
                <w:sz w:val="21"/>
              </w:rPr>
            </w:pPr>
            <w:r>
              <w:rPr>
                <w:b/>
                <w:sz w:val="21"/>
              </w:rPr>
              <w:t>保险金给付</w:t>
            </w:r>
          </w:p>
        </w:tc>
        <w:tc>
          <w:tcPr>
            <w:tcW w:w="7622" w:type="dxa"/>
          </w:tcPr>
          <w:p>
            <w:pPr>
              <w:pStyle w:val="TableParagraph"/>
              <w:spacing w:line="273" w:lineRule="auto" w:before="146"/>
              <w:ind w:left="94" w:right="304"/>
              <w:rPr>
                <w:sz w:val="21"/>
              </w:rPr>
            </w:pPr>
            <w:r>
              <w:rPr>
                <w:spacing w:val="-3"/>
                <w:sz w:val="21"/>
              </w:rPr>
              <w:t>我们在收到保险金给付申请书或豁免保险费申请书及合同约定的证明和资料  </w:t>
            </w:r>
            <w:r>
              <w:rPr>
                <w:spacing w:val="-4"/>
                <w:sz w:val="21"/>
              </w:rPr>
              <w:t>后，将在</w:t>
            </w:r>
            <w:r>
              <w:rPr>
                <w:spacing w:val="-3"/>
                <w:sz w:val="21"/>
              </w:rPr>
              <w:t>5</w:t>
            </w:r>
            <w:r>
              <w:rPr>
                <w:spacing w:val="-5"/>
                <w:sz w:val="21"/>
              </w:rPr>
              <w:t>日内作出核定；情形复杂的，在</w:t>
            </w:r>
            <w:r>
              <w:rPr>
                <w:sz w:val="21"/>
              </w:rPr>
              <w:t>30</w:t>
            </w:r>
            <w:r>
              <w:rPr>
                <w:spacing w:val="-4"/>
                <w:sz w:val="21"/>
              </w:rPr>
              <w:t>日内作出核定。但因第三方责任或</w:t>
            </w:r>
            <w:r>
              <w:rPr>
                <w:spacing w:val="-3"/>
                <w:sz w:val="21"/>
              </w:rPr>
              <w:t>其他非我们的责任导致保险事故的性质、金额无法确定的除外。</w:t>
            </w:r>
          </w:p>
          <w:p>
            <w:pPr>
              <w:pStyle w:val="TableParagraph"/>
              <w:spacing w:before="6"/>
              <w:rPr>
                <w:sz w:val="24"/>
              </w:rPr>
            </w:pPr>
          </w:p>
          <w:p>
            <w:pPr>
              <w:pStyle w:val="TableParagraph"/>
              <w:spacing w:line="273" w:lineRule="auto"/>
              <w:ind w:left="94" w:right="169"/>
              <w:rPr>
                <w:sz w:val="21"/>
              </w:rPr>
            </w:pPr>
            <w:r>
              <w:rPr>
                <w:sz w:val="21"/>
              </w:rPr>
              <w:t>对确定属于保险责任的，在与受益人达成有关给付保险金数额的协议后10日内， 履行给付保险金义务。</w:t>
            </w:r>
          </w:p>
          <w:p>
            <w:pPr>
              <w:pStyle w:val="TableParagraph"/>
              <w:spacing w:before="5"/>
              <w:rPr>
                <w:sz w:val="24"/>
              </w:rPr>
            </w:pPr>
          </w:p>
          <w:p>
            <w:pPr>
              <w:pStyle w:val="TableParagraph"/>
              <w:spacing w:line="273" w:lineRule="auto"/>
              <w:ind w:left="94" w:right="379"/>
              <w:rPr>
                <w:sz w:val="21"/>
              </w:rPr>
            </w:pPr>
            <w:r>
              <w:rPr>
                <w:sz w:val="21"/>
              </w:rPr>
              <w:t>我们未及时履行前款规定义务的，除支付保险金外，应当赔偿受益人因此受到的损失。</w:t>
            </w:r>
          </w:p>
          <w:p>
            <w:pPr>
              <w:pStyle w:val="TableParagraph"/>
              <w:spacing w:before="9"/>
              <w:rPr>
                <w:sz w:val="21"/>
              </w:rPr>
            </w:pPr>
          </w:p>
          <w:p>
            <w:pPr>
              <w:pStyle w:val="TableParagraph"/>
              <w:spacing w:line="310" w:lineRule="atLeast"/>
              <w:ind w:left="94" w:right="259"/>
              <w:rPr>
                <w:sz w:val="21"/>
              </w:rPr>
            </w:pPr>
            <w:r>
              <w:rPr>
                <w:sz w:val="21"/>
              </w:rPr>
              <w:t>对不属于保险责任的，我们自作出核定之日起3日内向受益人发出拒绝给付保险金通知书并说明理由。</w:t>
            </w:r>
          </w:p>
        </w:tc>
      </w:tr>
    </w:tbl>
    <w:p>
      <w:pPr>
        <w:spacing w:after="0" w:line="310" w:lineRule="atLeast"/>
        <w:rPr>
          <w:sz w:val="21"/>
        </w:rPr>
        <w:sectPr>
          <w:pgSz w:w="11910" w:h="16840"/>
          <w:pgMar w:top="1160" w:bottom="280" w:left="72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6"/>
        <w:gridCol w:w="1792"/>
        <w:gridCol w:w="7513"/>
      </w:tblGrid>
      <w:tr>
        <w:trPr>
          <w:trHeight w:val="1041" w:hRule="atLeast"/>
        </w:trPr>
        <w:tc>
          <w:tcPr>
            <w:tcW w:w="826" w:type="dxa"/>
          </w:tcPr>
          <w:p>
            <w:pPr>
              <w:pStyle w:val="TableParagraph"/>
              <w:rPr>
                <w:rFonts w:ascii="Times New Roman"/>
                <w:sz w:val="20"/>
              </w:rPr>
            </w:pPr>
          </w:p>
        </w:tc>
        <w:tc>
          <w:tcPr>
            <w:tcW w:w="1792" w:type="dxa"/>
          </w:tcPr>
          <w:p>
            <w:pPr>
              <w:pStyle w:val="TableParagraph"/>
              <w:rPr>
                <w:rFonts w:ascii="Times New Roman"/>
                <w:sz w:val="20"/>
              </w:rPr>
            </w:pPr>
          </w:p>
        </w:tc>
        <w:tc>
          <w:tcPr>
            <w:tcW w:w="7513" w:type="dxa"/>
          </w:tcPr>
          <w:p>
            <w:pPr>
              <w:pStyle w:val="TableParagraph"/>
              <w:spacing w:line="209" w:lineRule="exact"/>
              <w:ind w:left="106"/>
              <w:rPr>
                <w:sz w:val="21"/>
              </w:rPr>
            </w:pPr>
            <w:r>
              <w:rPr>
                <w:sz w:val="21"/>
              </w:rPr>
              <w:t>我们在收到保险金给付申请书或豁免保险费申请书及有关证明和资料之日起 60</w:t>
            </w:r>
          </w:p>
          <w:p>
            <w:pPr>
              <w:pStyle w:val="TableParagraph"/>
              <w:spacing w:line="273" w:lineRule="auto" w:before="37"/>
              <w:ind w:left="106" w:right="258"/>
              <w:rPr>
                <w:sz w:val="21"/>
              </w:rPr>
            </w:pPr>
            <w:r>
              <w:rPr>
                <w:sz w:val="21"/>
              </w:rPr>
              <w:t>日内，对给付保险金的数额不能确定的，根据已有证明和资料可以确定的数额先予支付；我们最终确定给付保险金的数额后，将支付相应的差额。</w:t>
            </w:r>
          </w:p>
        </w:tc>
      </w:tr>
      <w:tr>
        <w:trPr>
          <w:trHeight w:val="2184" w:hRule="atLeast"/>
        </w:trPr>
        <w:tc>
          <w:tcPr>
            <w:tcW w:w="826" w:type="dxa"/>
          </w:tcPr>
          <w:p>
            <w:pPr>
              <w:pStyle w:val="TableParagraph"/>
              <w:spacing w:before="140"/>
              <w:ind w:left="107"/>
              <w:rPr>
                <w:b/>
                <w:sz w:val="21"/>
              </w:rPr>
            </w:pPr>
            <w:r>
              <w:rPr>
                <w:b/>
                <w:sz w:val="21"/>
              </w:rPr>
              <w:t>3.5</w:t>
            </w:r>
          </w:p>
        </w:tc>
        <w:tc>
          <w:tcPr>
            <w:tcW w:w="1792" w:type="dxa"/>
          </w:tcPr>
          <w:p>
            <w:pPr>
              <w:pStyle w:val="TableParagraph"/>
              <w:spacing w:before="140"/>
              <w:ind w:left="360"/>
              <w:rPr>
                <w:b/>
                <w:sz w:val="21"/>
              </w:rPr>
            </w:pPr>
            <w:r>
              <w:rPr>
                <w:b/>
                <w:sz w:val="21"/>
              </w:rPr>
              <w:t>失踪处理</w:t>
            </w:r>
          </w:p>
        </w:tc>
        <w:tc>
          <w:tcPr>
            <w:tcW w:w="7513" w:type="dxa"/>
          </w:tcPr>
          <w:p>
            <w:pPr>
              <w:pStyle w:val="TableParagraph"/>
              <w:spacing w:line="273" w:lineRule="auto" w:before="140"/>
              <w:ind w:left="106" w:right="258"/>
              <w:jc w:val="both"/>
              <w:rPr>
                <w:sz w:val="21"/>
              </w:rPr>
            </w:pPr>
            <w:r>
              <w:rPr>
                <w:sz w:val="21"/>
              </w:rPr>
              <w:t>在本合同有效期内，如果被保险人因本合同约定的保险事故失踪且被法院宣告死亡，我们以法院判决宣告死亡之日作为被保险人的死亡时间，按本合同的约定给付身故保险金，本合同终止。</w:t>
            </w:r>
          </w:p>
          <w:p>
            <w:pPr>
              <w:pStyle w:val="TableParagraph"/>
              <w:spacing w:before="5"/>
              <w:rPr>
                <w:sz w:val="24"/>
              </w:rPr>
            </w:pPr>
          </w:p>
          <w:p>
            <w:pPr>
              <w:pStyle w:val="TableParagraph"/>
              <w:spacing w:line="273" w:lineRule="auto"/>
              <w:ind w:left="106" w:right="258"/>
              <w:jc w:val="both"/>
              <w:rPr>
                <w:sz w:val="21"/>
              </w:rPr>
            </w:pPr>
            <w:r>
              <w:rPr>
                <w:sz w:val="21"/>
              </w:rPr>
              <w:t>如果被保险人在宣告死亡后重新出现或者受益人确知其没有死亡的，受益人应于知道后30日内向我们退还已给付的保险金，本合同的效力依法确定。</w:t>
            </w:r>
          </w:p>
        </w:tc>
      </w:tr>
      <w:tr>
        <w:trPr>
          <w:trHeight w:val="961" w:hRule="atLeast"/>
        </w:trPr>
        <w:tc>
          <w:tcPr>
            <w:tcW w:w="826" w:type="dxa"/>
          </w:tcPr>
          <w:p>
            <w:pPr>
              <w:pStyle w:val="TableParagraph"/>
              <w:spacing w:before="140"/>
              <w:ind w:left="107"/>
              <w:rPr>
                <w:b/>
                <w:sz w:val="21"/>
              </w:rPr>
            </w:pPr>
            <w:r>
              <w:rPr>
                <w:b/>
                <w:sz w:val="21"/>
              </w:rPr>
              <w:t>3.6</w:t>
            </w:r>
          </w:p>
        </w:tc>
        <w:tc>
          <w:tcPr>
            <w:tcW w:w="1792" w:type="dxa"/>
          </w:tcPr>
          <w:p>
            <w:pPr>
              <w:pStyle w:val="TableParagraph"/>
              <w:spacing w:before="140"/>
              <w:ind w:left="360"/>
              <w:rPr>
                <w:b/>
                <w:sz w:val="21"/>
              </w:rPr>
            </w:pPr>
            <w:r>
              <w:rPr>
                <w:b/>
                <w:sz w:val="21"/>
              </w:rPr>
              <w:t>诉讼时效</w:t>
            </w:r>
          </w:p>
        </w:tc>
        <w:tc>
          <w:tcPr>
            <w:tcW w:w="7513" w:type="dxa"/>
          </w:tcPr>
          <w:p>
            <w:pPr>
              <w:pStyle w:val="TableParagraph"/>
              <w:spacing w:before="140"/>
              <w:ind w:left="106"/>
              <w:rPr>
                <w:sz w:val="21"/>
              </w:rPr>
            </w:pPr>
            <w:r>
              <w:rPr>
                <w:sz w:val="21"/>
              </w:rPr>
              <w:t>受益人向我们请求给付身故保险金的诉讼时效期间为 5 年，其余保险金的诉讼</w:t>
            </w:r>
          </w:p>
          <w:p>
            <w:pPr>
              <w:pStyle w:val="TableParagraph"/>
              <w:spacing w:before="37"/>
              <w:ind w:left="106"/>
              <w:rPr>
                <w:sz w:val="21"/>
              </w:rPr>
            </w:pPr>
            <w:r>
              <w:rPr>
                <w:sz w:val="21"/>
              </w:rPr>
              <w:t>时效期间为 2 年，自其知道或者应当知道保险事故发生之日起计算。</w:t>
            </w:r>
          </w:p>
        </w:tc>
      </w:tr>
      <w:tr>
        <w:trPr>
          <w:trHeight w:val="754" w:hRule="atLeast"/>
        </w:trPr>
        <w:tc>
          <w:tcPr>
            <w:tcW w:w="826" w:type="dxa"/>
            <w:tcBorders>
              <w:bottom w:val="single" w:sz="8" w:space="0" w:color="000000"/>
            </w:tcBorders>
          </w:tcPr>
          <w:p>
            <w:pPr>
              <w:pStyle w:val="TableParagraph"/>
              <w:spacing w:before="192"/>
              <w:ind w:left="107"/>
              <w:rPr>
                <w:rFonts w:ascii="Arial" w:hAnsi="Arial"/>
                <w:b/>
                <w:sz w:val="40"/>
              </w:rPr>
            </w:pPr>
            <w:r>
              <w:rPr>
                <w:rFonts w:ascii="Arial" w:hAnsi="Arial"/>
                <w:b/>
                <w:w w:val="119"/>
                <w:sz w:val="40"/>
              </w:rPr>
              <w:t></w:t>
            </w:r>
          </w:p>
        </w:tc>
        <w:tc>
          <w:tcPr>
            <w:tcW w:w="9305" w:type="dxa"/>
            <w:gridSpan w:val="2"/>
            <w:tcBorders>
              <w:bottom w:val="single" w:sz="8" w:space="0" w:color="000000"/>
            </w:tcBorders>
          </w:tcPr>
          <w:p>
            <w:pPr>
              <w:pStyle w:val="TableParagraph"/>
              <w:spacing w:before="8"/>
              <w:rPr>
                <w:sz w:val="18"/>
              </w:rPr>
            </w:pPr>
          </w:p>
          <w:p>
            <w:pPr>
              <w:pStyle w:val="TableParagraph"/>
              <w:ind w:left="360"/>
              <w:rPr>
                <w:b/>
                <w:sz w:val="24"/>
              </w:rPr>
            </w:pPr>
            <w:r>
              <w:rPr>
                <w:b/>
                <w:w w:val="95"/>
                <w:sz w:val="24"/>
              </w:rPr>
              <w:t>如何支付保险费</w:t>
            </w:r>
          </w:p>
        </w:tc>
      </w:tr>
      <w:tr>
        <w:trPr>
          <w:trHeight w:val="2030" w:hRule="atLeast"/>
        </w:trPr>
        <w:tc>
          <w:tcPr>
            <w:tcW w:w="826" w:type="dxa"/>
            <w:tcBorders>
              <w:top w:val="single" w:sz="8" w:space="0" w:color="000000"/>
            </w:tcBorders>
          </w:tcPr>
          <w:p>
            <w:pPr>
              <w:pStyle w:val="TableParagraph"/>
              <w:rPr>
                <w:sz w:val="20"/>
              </w:rPr>
            </w:pPr>
          </w:p>
          <w:p>
            <w:pPr>
              <w:pStyle w:val="TableParagraph"/>
              <w:spacing w:before="9"/>
              <w:rPr>
                <w:sz w:val="26"/>
              </w:rPr>
            </w:pPr>
          </w:p>
          <w:p>
            <w:pPr>
              <w:pStyle w:val="TableParagraph"/>
              <w:ind w:left="107"/>
              <w:rPr>
                <w:b/>
                <w:sz w:val="21"/>
              </w:rPr>
            </w:pPr>
            <w:r>
              <w:rPr>
                <w:b/>
                <w:sz w:val="21"/>
              </w:rPr>
              <w:t>4.1</w:t>
            </w:r>
          </w:p>
        </w:tc>
        <w:tc>
          <w:tcPr>
            <w:tcW w:w="1792" w:type="dxa"/>
            <w:tcBorders>
              <w:top w:val="single" w:sz="8" w:space="0" w:color="000000"/>
            </w:tcBorders>
          </w:tcPr>
          <w:p>
            <w:pPr>
              <w:pStyle w:val="TableParagraph"/>
              <w:rPr>
                <w:sz w:val="20"/>
              </w:rPr>
            </w:pPr>
          </w:p>
          <w:p>
            <w:pPr>
              <w:pStyle w:val="TableParagraph"/>
              <w:spacing w:before="9"/>
              <w:rPr>
                <w:sz w:val="26"/>
              </w:rPr>
            </w:pPr>
          </w:p>
          <w:p>
            <w:pPr>
              <w:pStyle w:val="TableParagraph"/>
              <w:ind w:left="360"/>
              <w:rPr>
                <w:b/>
                <w:sz w:val="21"/>
              </w:rPr>
            </w:pPr>
            <w:r>
              <w:rPr>
                <w:b/>
                <w:sz w:val="21"/>
              </w:rPr>
              <w:t>保险费的支付</w:t>
            </w:r>
          </w:p>
        </w:tc>
        <w:tc>
          <w:tcPr>
            <w:tcW w:w="7513" w:type="dxa"/>
            <w:tcBorders>
              <w:top w:val="single" w:sz="8" w:space="0" w:color="000000"/>
            </w:tcBorders>
          </w:tcPr>
          <w:p>
            <w:pPr>
              <w:pStyle w:val="TableParagraph"/>
              <w:rPr>
                <w:sz w:val="20"/>
              </w:rPr>
            </w:pPr>
          </w:p>
          <w:p>
            <w:pPr>
              <w:pStyle w:val="TableParagraph"/>
              <w:spacing w:before="9"/>
              <w:rPr>
                <w:sz w:val="26"/>
              </w:rPr>
            </w:pPr>
          </w:p>
          <w:p>
            <w:pPr>
              <w:pStyle w:val="TableParagraph"/>
              <w:ind w:left="106"/>
              <w:rPr>
                <w:sz w:val="21"/>
              </w:rPr>
            </w:pPr>
            <w:r>
              <w:rPr>
                <w:sz w:val="21"/>
              </w:rPr>
              <w:t>本合同的交费方式和交费期间由您和我们约定并在保险单上载明。</w:t>
            </w:r>
          </w:p>
          <w:p>
            <w:pPr>
              <w:pStyle w:val="TableParagraph"/>
              <w:spacing w:before="8"/>
              <w:rPr>
                <w:sz w:val="26"/>
              </w:rPr>
            </w:pPr>
          </w:p>
          <w:p>
            <w:pPr>
              <w:pStyle w:val="TableParagraph"/>
              <w:spacing w:line="273" w:lineRule="auto"/>
              <w:ind w:left="106" w:right="78"/>
              <w:rPr>
                <w:sz w:val="21"/>
              </w:rPr>
            </w:pPr>
            <w:r>
              <w:rPr>
                <w:spacing w:val="-3"/>
                <w:sz w:val="21"/>
              </w:rPr>
              <w:t>您应当按照本合同约定向我们支付保险费。如果您选择分期支付保险费，您在 </w:t>
            </w:r>
            <w:r>
              <w:rPr>
                <w:spacing w:val="-6"/>
                <w:sz w:val="21"/>
              </w:rPr>
              <w:t>支付首期保险费后，应在每期保险费约定支付日或之前支付对应各期的保险费。</w:t>
            </w:r>
          </w:p>
        </w:tc>
      </w:tr>
      <w:tr>
        <w:trPr>
          <w:trHeight w:val="2521" w:hRule="atLeast"/>
        </w:trPr>
        <w:tc>
          <w:tcPr>
            <w:tcW w:w="826" w:type="dxa"/>
          </w:tcPr>
          <w:p>
            <w:pPr>
              <w:pStyle w:val="TableParagraph"/>
              <w:spacing w:before="140"/>
              <w:ind w:left="107"/>
              <w:rPr>
                <w:b/>
                <w:sz w:val="21"/>
              </w:rPr>
            </w:pPr>
            <w:r>
              <w:rPr>
                <w:b/>
                <w:sz w:val="21"/>
              </w:rPr>
              <w:t>4.2</w:t>
            </w:r>
          </w:p>
        </w:tc>
        <w:tc>
          <w:tcPr>
            <w:tcW w:w="1792" w:type="dxa"/>
          </w:tcPr>
          <w:p>
            <w:pPr>
              <w:pStyle w:val="TableParagraph"/>
              <w:spacing w:before="140"/>
              <w:ind w:left="360"/>
              <w:rPr>
                <w:b/>
                <w:sz w:val="21"/>
              </w:rPr>
            </w:pPr>
            <w:r>
              <w:rPr>
                <w:b/>
                <w:sz w:val="21"/>
              </w:rPr>
              <w:t>宽限期</w:t>
            </w:r>
          </w:p>
        </w:tc>
        <w:tc>
          <w:tcPr>
            <w:tcW w:w="7513" w:type="dxa"/>
          </w:tcPr>
          <w:p>
            <w:pPr>
              <w:pStyle w:val="TableParagraph"/>
              <w:spacing w:line="273" w:lineRule="auto" w:before="140"/>
              <w:ind w:left="106" w:right="183"/>
              <w:rPr>
                <w:sz w:val="21"/>
              </w:rPr>
            </w:pPr>
            <w:r>
              <w:rPr>
                <w:spacing w:val="-3"/>
                <w:sz w:val="21"/>
              </w:rPr>
              <w:t>分期支付保险费的，您支付首期保险费后，除本合同另有约定外，如果您到期</w:t>
            </w:r>
            <w:r>
              <w:rPr>
                <w:spacing w:val="-7"/>
                <w:sz w:val="21"/>
              </w:rPr>
              <w:t>未支付保险费，自保险费约定支付日的次日零时起 </w:t>
            </w:r>
            <w:r>
              <w:rPr>
                <w:sz w:val="21"/>
              </w:rPr>
              <w:t>60</w:t>
            </w:r>
            <w:r>
              <w:rPr>
                <w:spacing w:val="-9"/>
                <w:sz w:val="21"/>
              </w:rPr>
              <w:t> 日为宽限期。宽限期内发</w:t>
            </w:r>
            <w:r>
              <w:rPr>
                <w:spacing w:val="-5"/>
                <w:sz w:val="21"/>
              </w:rPr>
              <w:t>生的保险事故，我们仍会承担保险责任，但在给付保险金时会扣减您欠交的保险费。</w:t>
            </w:r>
          </w:p>
          <w:p>
            <w:pPr>
              <w:pStyle w:val="TableParagraph"/>
              <w:spacing w:before="5"/>
              <w:rPr>
                <w:sz w:val="24"/>
              </w:rPr>
            </w:pPr>
          </w:p>
          <w:p>
            <w:pPr>
              <w:pStyle w:val="TableParagraph"/>
              <w:spacing w:line="273" w:lineRule="auto"/>
              <w:ind w:left="106" w:right="192"/>
              <w:rPr>
                <w:sz w:val="21"/>
              </w:rPr>
            </w:pPr>
            <w:r>
              <w:rPr>
                <w:sz w:val="21"/>
              </w:rPr>
              <w:t>如果您在宽限期结束之后仍未支付保险费，则本合同自宽限期满的次日零时起效力中止。</w:t>
            </w:r>
          </w:p>
        </w:tc>
      </w:tr>
      <w:tr>
        <w:trPr>
          <w:trHeight w:val="753" w:hRule="atLeast"/>
        </w:trPr>
        <w:tc>
          <w:tcPr>
            <w:tcW w:w="826" w:type="dxa"/>
            <w:tcBorders>
              <w:bottom w:val="single" w:sz="4" w:space="0" w:color="000000"/>
            </w:tcBorders>
          </w:tcPr>
          <w:p>
            <w:pPr>
              <w:pStyle w:val="TableParagraph"/>
              <w:spacing w:before="192"/>
              <w:ind w:left="107"/>
              <w:rPr>
                <w:rFonts w:ascii="Arial" w:hAnsi="Arial"/>
                <w:b/>
                <w:sz w:val="40"/>
              </w:rPr>
            </w:pPr>
            <w:r>
              <w:rPr>
                <w:rFonts w:ascii="Arial" w:hAnsi="Arial"/>
                <w:b/>
                <w:w w:val="119"/>
                <w:sz w:val="40"/>
              </w:rPr>
              <w:t></w:t>
            </w:r>
          </w:p>
        </w:tc>
        <w:tc>
          <w:tcPr>
            <w:tcW w:w="1792" w:type="dxa"/>
            <w:tcBorders>
              <w:bottom w:val="single" w:sz="4" w:space="0" w:color="000000"/>
            </w:tcBorders>
          </w:tcPr>
          <w:p>
            <w:pPr>
              <w:pStyle w:val="TableParagraph"/>
              <w:spacing w:before="7"/>
              <w:rPr>
                <w:sz w:val="18"/>
              </w:rPr>
            </w:pPr>
          </w:p>
          <w:p>
            <w:pPr>
              <w:pStyle w:val="TableParagraph"/>
              <w:spacing w:before="1"/>
              <w:ind w:left="386" w:right="-44"/>
              <w:rPr>
                <w:b/>
                <w:sz w:val="24"/>
              </w:rPr>
            </w:pPr>
            <w:r>
              <w:rPr>
                <w:b/>
                <w:w w:val="95"/>
                <w:sz w:val="24"/>
              </w:rPr>
              <w:t>现金价值权益</w:t>
            </w:r>
          </w:p>
        </w:tc>
        <w:tc>
          <w:tcPr>
            <w:tcW w:w="7513" w:type="dxa"/>
            <w:tcBorders>
              <w:bottom w:val="single" w:sz="4" w:space="0" w:color="000000"/>
            </w:tcBorders>
          </w:tcPr>
          <w:p>
            <w:pPr>
              <w:pStyle w:val="TableParagraph"/>
              <w:rPr>
                <w:rFonts w:ascii="Times New Roman"/>
                <w:sz w:val="20"/>
              </w:rPr>
            </w:pPr>
          </w:p>
        </w:tc>
      </w:tr>
      <w:tr>
        <w:trPr>
          <w:trHeight w:val="1092" w:hRule="atLeast"/>
        </w:trPr>
        <w:tc>
          <w:tcPr>
            <w:tcW w:w="826" w:type="dxa"/>
            <w:tcBorders>
              <w:top w:val="single" w:sz="4" w:space="0" w:color="000000"/>
            </w:tcBorders>
          </w:tcPr>
          <w:p>
            <w:pPr>
              <w:pStyle w:val="TableParagraph"/>
              <w:spacing w:before="9"/>
              <w:rPr>
                <w:sz w:val="22"/>
              </w:rPr>
            </w:pPr>
          </w:p>
          <w:p>
            <w:pPr>
              <w:pStyle w:val="TableParagraph"/>
              <w:ind w:left="107"/>
              <w:rPr>
                <w:b/>
                <w:sz w:val="21"/>
              </w:rPr>
            </w:pPr>
            <w:r>
              <w:rPr>
                <w:b/>
                <w:sz w:val="21"/>
              </w:rPr>
              <w:t>5.1</w:t>
            </w:r>
          </w:p>
        </w:tc>
        <w:tc>
          <w:tcPr>
            <w:tcW w:w="1792" w:type="dxa"/>
            <w:tcBorders>
              <w:top w:val="single" w:sz="4" w:space="0" w:color="000000"/>
            </w:tcBorders>
          </w:tcPr>
          <w:p>
            <w:pPr>
              <w:pStyle w:val="TableParagraph"/>
              <w:spacing w:before="9"/>
              <w:rPr>
                <w:sz w:val="22"/>
              </w:rPr>
            </w:pPr>
          </w:p>
          <w:p>
            <w:pPr>
              <w:pStyle w:val="TableParagraph"/>
              <w:ind w:left="386"/>
              <w:rPr>
                <w:b/>
                <w:sz w:val="21"/>
              </w:rPr>
            </w:pPr>
            <w:r>
              <w:rPr>
                <w:b/>
                <w:sz w:val="21"/>
              </w:rPr>
              <w:t>现金价值</w:t>
            </w:r>
          </w:p>
        </w:tc>
        <w:tc>
          <w:tcPr>
            <w:tcW w:w="7513" w:type="dxa"/>
            <w:tcBorders>
              <w:top w:val="single" w:sz="4" w:space="0" w:color="000000"/>
            </w:tcBorders>
          </w:tcPr>
          <w:p>
            <w:pPr>
              <w:pStyle w:val="TableParagraph"/>
              <w:spacing w:before="9"/>
              <w:rPr>
                <w:sz w:val="22"/>
              </w:rPr>
            </w:pPr>
          </w:p>
          <w:p>
            <w:pPr>
              <w:pStyle w:val="TableParagraph"/>
              <w:spacing w:line="273" w:lineRule="auto"/>
              <w:ind w:left="106" w:right="104"/>
              <w:rPr>
                <w:sz w:val="21"/>
              </w:rPr>
            </w:pPr>
            <w:r>
              <w:rPr>
                <w:spacing w:val="-6"/>
                <w:sz w:val="21"/>
              </w:rPr>
              <w:t>本合同保单年度末的现金价值会在保险单上载明。保单年度内的现金价值，您可</w:t>
            </w:r>
            <w:r>
              <w:rPr>
                <w:spacing w:val="-4"/>
                <w:sz w:val="21"/>
              </w:rPr>
              <w:t>以向我们咨询。</w:t>
            </w:r>
          </w:p>
        </w:tc>
      </w:tr>
      <w:tr>
        <w:trPr>
          <w:trHeight w:val="2289" w:hRule="atLeast"/>
        </w:trPr>
        <w:tc>
          <w:tcPr>
            <w:tcW w:w="826" w:type="dxa"/>
          </w:tcPr>
          <w:p>
            <w:pPr>
              <w:pStyle w:val="TableParagraph"/>
              <w:spacing w:before="140"/>
              <w:ind w:left="107"/>
              <w:rPr>
                <w:b/>
                <w:sz w:val="21"/>
              </w:rPr>
            </w:pPr>
            <w:r>
              <w:rPr>
                <w:b/>
                <w:sz w:val="21"/>
              </w:rPr>
              <w:t>5.2</w:t>
            </w:r>
          </w:p>
        </w:tc>
        <w:tc>
          <w:tcPr>
            <w:tcW w:w="1792" w:type="dxa"/>
          </w:tcPr>
          <w:p>
            <w:pPr>
              <w:pStyle w:val="TableParagraph"/>
              <w:spacing w:line="273" w:lineRule="auto" w:before="140"/>
              <w:ind w:left="386" w:right="106"/>
              <w:rPr>
                <w:b/>
                <w:sz w:val="21"/>
              </w:rPr>
            </w:pPr>
            <w:r>
              <w:rPr>
                <w:b/>
                <w:sz w:val="21"/>
              </w:rPr>
              <w:t>保险费的自动垫交</w:t>
            </w:r>
          </w:p>
        </w:tc>
        <w:tc>
          <w:tcPr>
            <w:tcW w:w="7513" w:type="dxa"/>
          </w:tcPr>
          <w:p>
            <w:pPr>
              <w:pStyle w:val="TableParagraph"/>
              <w:spacing w:line="310" w:lineRule="atLeast" w:before="105"/>
              <w:ind w:left="106"/>
              <w:rPr>
                <w:sz w:val="21"/>
              </w:rPr>
            </w:pPr>
            <w:r>
              <w:rPr>
                <w:spacing w:val="-5"/>
                <w:sz w:val="21"/>
              </w:rPr>
              <w:t>若您在投保时选择了或宽限期结束前书面同意了保险费的自动垫交，并且您在宽</w:t>
            </w:r>
            <w:r>
              <w:rPr>
                <w:spacing w:val="-12"/>
                <w:sz w:val="21"/>
              </w:rPr>
              <w:t>限期结束时仍未支付保险费，本合同及其附加合同当时的</w:t>
            </w:r>
            <w:r>
              <w:rPr>
                <w:b/>
                <w:spacing w:val="-18"/>
                <w:sz w:val="21"/>
              </w:rPr>
              <w:t>现金价值净额</w:t>
            </w:r>
            <w:r>
              <w:rPr>
                <w:sz w:val="21"/>
              </w:rPr>
              <w:t>（</w:t>
            </w:r>
            <w:r>
              <w:rPr>
                <w:spacing w:val="-17"/>
                <w:sz w:val="21"/>
              </w:rPr>
              <w:t>见 </w:t>
            </w:r>
            <w:r>
              <w:rPr>
                <w:sz w:val="21"/>
              </w:rPr>
              <w:t>9.28） </w:t>
            </w:r>
            <w:r>
              <w:rPr>
                <w:spacing w:val="-8"/>
                <w:sz w:val="21"/>
              </w:rPr>
              <w:t>足以垫交到期应交保险费的，我们将以现金价值净额自动垫交本合同及其附加合</w:t>
            </w:r>
            <w:r>
              <w:rPr>
                <w:spacing w:val="-9"/>
                <w:sz w:val="21"/>
              </w:rPr>
              <w:t>同的到期应交保险费，使本合同及其附加合同继续有效。若本合同及其附加合同</w:t>
            </w:r>
            <w:r>
              <w:rPr>
                <w:spacing w:val="-8"/>
                <w:sz w:val="21"/>
              </w:rPr>
              <w:t>当时的现金价值净额不足以垫交一期保险费的，我们按当时本合同及其附加合同</w:t>
            </w:r>
            <w:r>
              <w:rPr>
                <w:spacing w:val="-7"/>
                <w:sz w:val="21"/>
              </w:rPr>
              <w:t>的现金价值净额计算本合同及其附加合同可以继续有效的日数。当现金价值净额</w:t>
            </w:r>
            <w:r>
              <w:rPr>
                <w:spacing w:val="-5"/>
                <w:sz w:val="21"/>
              </w:rPr>
              <w:t>小于零时，本合同及其附加合同效力即行中止。</w:t>
            </w:r>
          </w:p>
        </w:tc>
      </w:tr>
    </w:tbl>
    <w:p>
      <w:pPr>
        <w:spacing w:after="0" w:line="310" w:lineRule="atLeast"/>
        <w:rPr>
          <w:sz w:val="21"/>
        </w:rPr>
        <w:sectPr>
          <w:pgSz w:w="11910" w:h="16840"/>
          <w:pgMar w:top="1480" w:bottom="280" w:left="80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63"/>
        <w:gridCol w:w="7525"/>
      </w:tblGrid>
      <w:tr>
        <w:trPr>
          <w:trHeight w:val="729" w:hRule="atLeast"/>
        </w:trPr>
        <w:tc>
          <w:tcPr>
            <w:tcW w:w="839" w:type="dxa"/>
          </w:tcPr>
          <w:p>
            <w:pPr>
              <w:pStyle w:val="TableParagraph"/>
              <w:rPr>
                <w:rFonts w:ascii="Times New Roman"/>
                <w:sz w:val="20"/>
              </w:rPr>
            </w:pPr>
          </w:p>
        </w:tc>
        <w:tc>
          <w:tcPr>
            <w:tcW w:w="1763" w:type="dxa"/>
          </w:tcPr>
          <w:p>
            <w:pPr>
              <w:pStyle w:val="TableParagraph"/>
              <w:rPr>
                <w:rFonts w:ascii="Times New Roman"/>
                <w:sz w:val="20"/>
              </w:rPr>
            </w:pPr>
          </w:p>
        </w:tc>
        <w:tc>
          <w:tcPr>
            <w:tcW w:w="7525" w:type="dxa"/>
          </w:tcPr>
          <w:p>
            <w:pPr>
              <w:pStyle w:val="TableParagraph"/>
              <w:spacing w:line="211" w:lineRule="exact"/>
              <w:ind w:left="122"/>
              <w:rPr>
                <w:sz w:val="21"/>
              </w:rPr>
            </w:pPr>
            <w:r>
              <w:rPr>
                <w:sz w:val="21"/>
              </w:rPr>
              <w:t>我们为您垫交的保险费将按照</w:t>
            </w:r>
            <w:r>
              <w:rPr>
                <w:b/>
                <w:sz w:val="21"/>
              </w:rPr>
              <w:t>本条款约定利率</w:t>
            </w:r>
            <w:r>
              <w:rPr>
                <w:sz w:val="21"/>
              </w:rPr>
              <w:t>（见 9.29）以年复利方式计算并</w:t>
            </w:r>
          </w:p>
          <w:p>
            <w:pPr>
              <w:pStyle w:val="TableParagraph"/>
              <w:spacing w:before="37"/>
              <w:ind w:left="122"/>
              <w:rPr>
                <w:sz w:val="21"/>
              </w:rPr>
            </w:pPr>
            <w:r>
              <w:rPr>
                <w:sz w:val="21"/>
              </w:rPr>
              <w:t>收取利息。</w:t>
            </w:r>
          </w:p>
        </w:tc>
      </w:tr>
      <w:tr>
        <w:trPr>
          <w:trHeight w:val="3457" w:hRule="atLeast"/>
        </w:trPr>
        <w:tc>
          <w:tcPr>
            <w:tcW w:w="839" w:type="dxa"/>
          </w:tcPr>
          <w:p>
            <w:pPr>
              <w:pStyle w:val="TableParagraph"/>
              <w:spacing w:before="143"/>
              <w:ind w:left="107"/>
              <w:rPr>
                <w:b/>
                <w:sz w:val="21"/>
              </w:rPr>
            </w:pPr>
            <w:r>
              <w:rPr>
                <w:b/>
                <w:sz w:val="21"/>
              </w:rPr>
              <w:t>5.3</w:t>
            </w:r>
          </w:p>
        </w:tc>
        <w:tc>
          <w:tcPr>
            <w:tcW w:w="1763" w:type="dxa"/>
          </w:tcPr>
          <w:p>
            <w:pPr>
              <w:pStyle w:val="TableParagraph"/>
              <w:spacing w:before="143"/>
              <w:ind w:left="373"/>
              <w:rPr>
                <w:b/>
                <w:sz w:val="21"/>
              </w:rPr>
            </w:pPr>
            <w:r>
              <w:rPr>
                <w:b/>
                <w:sz w:val="21"/>
              </w:rPr>
              <w:t>保单贷款</w:t>
            </w:r>
          </w:p>
        </w:tc>
        <w:tc>
          <w:tcPr>
            <w:tcW w:w="7525" w:type="dxa"/>
          </w:tcPr>
          <w:p>
            <w:pPr>
              <w:pStyle w:val="TableParagraph"/>
              <w:spacing w:line="273" w:lineRule="auto" w:before="143"/>
              <w:ind w:left="122" w:right="98"/>
              <w:jc w:val="both"/>
              <w:rPr>
                <w:sz w:val="21"/>
              </w:rPr>
            </w:pPr>
            <w:r>
              <w:rPr>
                <w:spacing w:val="-7"/>
                <w:sz w:val="21"/>
              </w:rPr>
              <w:t>在本合同有效期内，经我们同意，您可以凭保险单向我们申请贷款。贷款金额不得超过本合同及其附加合同现金价值净额的 </w:t>
            </w:r>
            <w:r>
              <w:rPr>
                <w:spacing w:val="-3"/>
                <w:sz w:val="21"/>
              </w:rPr>
              <w:t>80</w:t>
            </w:r>
            <w:r>
              <w:rPr>
                <w:spacing w:val="-6"/>
                <w:sz w:val="21"/>
              </w:rPr>
              <w:t>%，每次贷款期限最长不超过 </w:t>
            </w:r>
            <w:r>
              <w:rPr>
                <w:sz w:val="21"/>
              </w:rPr>
              <w:t>6</w:t>
            </w:r>
            <w:r>
              <w:rPr>
                <w:spacing w:val="-20"/>
                <w:sz w:val="21"/>
              </w:rPr>
              <w:t> 个</w:t>
            </w:r>
            <w:r>
              <w:rPr>
                <w:spacing w:val="-8"/>
                <w:sz w:val="21"/>
              </w:rPr>
              <w:t>月。贷款本金及利息</w:t>
            </w:r>
            <w:r>
              <w:rPr>
                <w:spacing w:val="-3"/>
                <w:sz w:val="21"/>
              </w:rPr>
              <w:t>（按本条款约定利率计算</w:t>
            </w:r>
            <w:r>
              <w:rPr>
                <w:spacing w:val="-15"/>
                <w:sz w:val="21"/>
              </w:rPr>
              <w:t>）</w:t>
            </w:r>
            <w:r>
              <w:rPr>
                <w:spacing w:val="-5"/>
                <w:sz w:val="21"/>
              </w:rPr>
              <w:t>在贷款到期时一并归还。若您到</w:t>
            </w:r>
            <w:r>
              <w:rPr>
                <w:spacing w:val="-8"/>
                <w:sz w:val="21"/>
              </w:rPr>
              <w:t>期未能足额偿还贷款本金及利息，则您所欠的贷款本金及利息将作为新的贷款本</w:t>
            </w:r>
            <w:r>
              <w:rPr>
                <w:spacing w:val="-6"/>
                <w:sz w:val="21"/>
              </w:rPr>
              <w:t>金计息。</w:t>
            </w:r>
          </w:p>
          <w:p>
            <w:pPr>
              <w:pStyle w:val="TableParagraph"/>
              <w:spacing w:before="5"/>
              <w:rPr>
                <w:sz w:val="24"/>
              </w:rPr>
            </w:pPr>
          </w:p>
          <w:p>
            <w:pPr>
              <w:pStyle w:val="TableParagraph"/>
              <w:spacing w:line="273" w:lineRule="auto" w:before="1"/>
              <w:ind w:left="122" w:right="45"/>
              <w:jc w:val="both"/>
              <w:rPr>
                <w:sz w:val="21"/>
              </w:rPr>
            </w:pPr>
            <w:r>
              <w:rPr>
                <w:sz w:val="21"/>
              </w:rPr>
              <w:t>当未还贷款本金及利息加上其他各项欠款达到本合同及其附加合同现金价值时， 本合同及其附加合同效力即行中止。</w:t>
            </w:r>
          </w:p>
          <w:p>
            <w:pPr>
              <w:pStyle w:val="TableParagraph"/>
              <w:spacing w:before="5"/>
              <w:rPr>
                <w:sz w:val="24"/>
              </w:rPr>
            </w:pPr>
          </w:p>
          <w:p>
            <w:pPr>
              <w:pStyle w:val="TableParagraph"/>
              <w:spacing w:before="1"/>
              <w:ind w:left="122"/>
              <w:jc w:val="both"/>
              <w:rPr>
                <w:b/>
                <w:sz w:val="21"/>
              </w:rPr>
            </w:pPr>
            <w:r>
              <w:rPr>
                <w:b/>
                <w:sz w:val="21"/>
              </w:rPr>
              <w:t>如已发生保险金给付的，您不得申请保单贷款。</w:t>
            </w:r>
          </w:p>
        </w:tc>
      </w:tr>
      <w:tr>
        <w:trPr>
          <w:trHeight w:val="754" w:hRule="atLeast"/>
        </w:trPr>
        <w:tc>
          <w:tcPr>
            <w:tcW w:w="83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288" w:type="dxa"/>
            <w:gridSpan w:val="2"/>
            <w:tcBorders>
              <w:bottom w:val="single" w:sz="8" w:space="0" w:color="000000"/>
            </w:tcBorders>
          </w:tcPr>
          <w:p>
            <w:pPr>
              <w:pStyle w:val="TableParagraph"/>
              <w:spacing w:before="10"/>
              <w:rPr>
                <w:sz w:val="18"/>
              </w:rPr>
            </w:pPr>
          </w:p>
          <w:p>
            <w:pPr>
              <w:pStyle w:val="TableParagraph"/>
              <w:ind w:left="373"/>
              <w:rPr>
                <w:b/>
                <w:sz w:val="24"/>
              </w:rPr>
            </w:pPr>
            <w:r>
              <w:rPr>
                <w:b/>
                <w:w w:val="95"/>
                <w:sz w:val="24"/>
              </w:rPr>
              <w:t>如何恢复合同效力</w:t>
            </w:r>
          </w:p>
        </w:tc>
      </w:tr>
      <w:tr>
        <w:trPr>
          <w:trHeight w:val="2342" w:hRule="atLeast"/>
        </w:trPr>
        <w:tc>
          <w:tcPr>
            <w:tcW w:w="839" w:type="dxa"/>
            <w:tcBorders>
              <w:top w:val="single" w:sz="8" w:space="0" w:color="000000"/>
            </w:tcBorders>
          </w:tcPr>
          <w:p>
            <w:pPr>
              <w:pStyle w:val="TableParagraph"/>
              <w:rPr>
                <w:sz w:val="23"/>
              </w:rPr>
            </w:pPr>
          </w:p>
          <w:p>
            <w:pPr>
              <w:pStyle w:val="TableParagraph"/>
              <w:ind w:left="107"/>
              <w:rPr>
                <w:b/>
                <w:sz w:val="21"/>
              </w:rPr>
            </w:pPr>
            <w:r>
              <w:rPr>
                <w:b/>
                <w:sz w:val="21"/>
              </w:rPr>
              <w:t>6.1</w:t>
            </w:r>
          </w:p>
        </w:tc>
        <w:tc>
          <w:tcPr>
            <w:tcW w:w="1763" w:type="dxa"/>
            <w:tcBorders>
              <w:top w:val="single" w:sz="8" w:space="0" w:color="000000"/>
            </w:tcBorders>
          </w:tcPr>
          <w:p>
            <w:pPr>
              <w:pStyle w:val="TableParagraph"/>
              <w:rPr>
                <w:sz w:val="23"/>
              </w:rPr>
            </w:pPr>
          </w:p>
          <w:p>
            <w:pPr>
              <w:pStyle w:val="TableParagraph"/>
              <w:ind w:left="373"/>
              <w:rPr>
                <w:b/>
                <w:sz w:val="21"/>
              </w:rPr>
            </w:pPr>
            <w:r>
              <w:rPr>
                <w:b/>
                <w:sz w:val="21"/>
              </w:rPr>
              <w:t>效力中止</w:t>
            </w:r>
          </w:p>
        </w:tc>
        <w:tc>
          <w:tcPr>
            <w:tcW w:w="7525" w:type="dxa"/>
            <w:tcBorders>
              <w:top w:val="single" w:sz="8" w:space="0" w:color="000000"/>
            </w:tcBorders>
          </w:tcPr>
          <w:p>
            <w:pPr>
              <w:pStyle w:val="TableParagraph"/>
              <w:rPr>
                <w:sz w:val="23"/>
              </w:rPr>
            </w:pPr>
          </w:p>
          <w:p>
            <w:pPr>
              <w:pStyle w:val="TableParagraph"/>
              <w:ind w:left="122"/>
              <w:rPr>
                <w:sz w:val="21"/>
              </w:rPr>
            </w:pPr>
            <w:r>
              <w:rPr>
                <w:sz w:val="21"/>
              </w:rPr>
              <w:t>出现下列情况之一，本合同效力中止。</w:t>
            </w:r>
          </w:p>
          <w:p>
            <w:pPr>
              <w:pStyle w:val="TableParagraph"/>
              <w:spacing w:line="273" w:lineRule="auto" w:before="36"/>
              <w:ind w:left="643" w:right="105" w:hanging="522"/>
              <w:rPr>
                <w:sz w:val="21"/>
              </w:rPr>
            </w:pPr>
            <w:r>
              <w:rPr>
                <w:sz w:val="21"/>
              </w:rPr>
              <w:t>（1）当支付保险费宽限期结束时，您仍未支付应交保险费，且您未选择保险费自动垫交；</w:t>
            </w:r>
          </w:p>
          <w:p>
            <w:pPr>
              <w:pStyle w:val="TableParagraph"/>
              <w:spacing w:before="7"/>
              <w:ind w:left="122"/>
              <w:rPr>
                <w:sz w:val="21"/>
              </w:rPr>
            </w:pPr>
            <w:r>
              <w:rPr>
                <w:sz w:val="21"/>
              </w:rPr>
              <w:t>（2）因自动垫交保险费或保单贷款导致本合同现金价值净额小于零时。</w:t>
            </w:r>
          </w:p>
          <w:p>
            <w:pPr>
              <w:pStyle w:val="TableParagraph"/>
              <w:spacing w:before="8"/>
              <w:rPr>
                <w:sz w:val="26"/>
              </w:rPr>
            </w:pPr>
          </w:p>
          <w:p>
            <w:pPr>
              <w:pStyle w:val="TableParagraph"/>
              <w:spacing w:before="1"/>
              <w:ind w:left="122"/>
              <w:rPr>
                <w:sz w:val="21"/>
              </w:rPr>
            </w:pPr>
            <w:r>
              <w:rPr>
                <w:sz w:val="21"/>
              </w:rPr>
              <w:t>在本合同效力中止期间，我们不承担保险责任。</w:t>
            </w:r>
          </w:p>
        </w:tc>
      </w:tr>
      <w:tr>
        <w:trPr>
          <w:trHeight w:val="2209" w:hRule="atLeast"/>
        </w:trPr>
        <w:tc>
          <w:tcPr>
            <w:tcW w:w="839" w:type="dxa"/>
          </w:tcPr>
          <w:p>
            <w:pPr>
              <w:pStyle w:val="TableParagraph"/>
              <w:spacing w:before="142"/>
              <w:ind w:left="107"/>
              <w:rPr>
                <w:b/>
                <w:sz w:val="21"/>
              </w:rPr>
            </w:pPr>
            <w:r>
              <w:rPr>
                <w:b/>
                <w:sz w:val="21"/>
              </w:rPr>
              <w:t>6.2</w:t>
            </w:r>
          </w:p>
        </w:tc>
        <w:tc>
          <w:tcPr>
            <w:tcW w:w="1763" w:type="dxa"/>
          </w:tcPr>
          <w:p>
            <w:pPr>
              <w:pStyle w:val="TableParagraph"/>
              <w:spacing w:before="142"/>
              <w:ind w:left="373"/>
              <w:rPr>
                <w:b/>
                <w:sz w:val="21"/>
              </w:rPr>
            </w:pPr>
            <w:r>
              <w:rPr>
                <w:b/>
                <w:sz w:val="21"/>
              </w:rPr>
              <w:t>效力恢复</w:t>
            </w:r>
          </w:p>
        </w:tc>
        <w:tc>
          <w:tcPr>
            <w:tcW w:w="7525" w:type="dxa"/>
          </w:tcPr>
          <w:p>
            <w:pPr>
              <w:pStyle w:val="TableParagraph"/>
              <w:spacing w:line="273" w:lineRule="auto" w:before="142"/>
              <w:ind w:left="122" w:right="100"/>
              <w:jc w:val="both"/>
              <w:rPr>
                <w:sz w:val="21"/>
              </w:rPr>
            </w:pPr>
            <w:r>
              <w:rPr>
                <w:spacing w:val="-7"/>
                <w:sz w:val="21"/>
              </w:rPr>
              <w:t>本合同效力中止后 </w:t>
            </w:r>
            <w:r>
              <w:rPr>
                <w:sz w:val="21"/>
              </w:rPr>
              <w:t>2</w:t>
            </w:r>
            <w:r>
              <w:rPr>
                <w:spacing w:val="-12"/>
                <w:sz w:val="21"/>
              </w:rPr>
              <w:t> 年内，您可以申请恢复合同效力。经我们与您协商并达成协</w:t>
            </w:r>
            <w:r>
              <w:rPr>
                <w:spacing w:val="-10"/>
                <w:sz w:val="21"/>
              </w:rPr>
              <w:t>议，在您补交保险费、偿还保单贷款及利息、及其他未还款项之日起，合同效力恢复。</w:t>
            </w:r>
          </w:p>
          <w:p>
            <w:pPr>
              <w:pStyle w:val="TableParagraph"/>
              <w:spacing w:before="5"/>
              <w:rPr>
                <w:sz w:val="24"/>
              </w:rPr>
            </w:pPr>
          </w:p>
          <w:p>
            <w:pPr>
              <w:pStyle w:val="TableParagraph"/>
              <w:spacing w:line="273" w:lineRule="auto"/>
              <w:ind w:left="122" w:right="98"/>
              <w:jc w:val="both"/>
              <w:rPr>
                <w:sz w:val="21"/>
              </w:rPr>
            </w:pPr>
            <w:r>
              <w:rPr>
                <w:spacing w:val="-6"/>
                <w:sz w:val="21"/>
              </w:rPr>
              <w:t>自本合同效力中止之日起满 </w:t>
            </w:r>
            <w:r>
              <w:rPr>
                <w:sz w:val="21"/>
              </w:rPr>
              <w:t>2</w:t>
            </w:r>
            <w:r>
              <w:rPr>
                <w:spacing w:val="-11"/>
                <w:sz w:val="21"/>
              </w:rPr>
              <w:t> 年您和我们未达成协议的，我们有权解除合同。我</w:t>
            </w:r>
            <w:r>
              <w:rPr>
                <w:spacing w:val="-6"/>
                <w:sz w:val="21"/>
              </w:rPr>
              <w:t>们解除合同的，向您退还合同效力中止时本合同的现金价值。</w:t>
            </w:r>
          </w:p>
        </w:tc>
      </w:tr>
      <w:tr>
        <w:trPr>
          <w:trHeight w:val="753" w:hRule="atLeast"/>
        </w:trPr>
        <w:tc>
          <w:tcPr>
            <w:tcW w:w="83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288" w:type="dxa"/>
            <w:gridSpan w:val="2"/>
            <w:tcBorders>
              <w:bottom w:val="single" w:sz="8" w:space="0" w:color="000000"/>
            </w:tcBorders>
          </w:tcPr>
          <w:p>
            <w:pPr>
              <w:pStyle w:val="TableParagraph"/>
              <w:spacing w:before="10"/>
              <w:rPr>
                <w:sz w:val="18"/>
              </w:rPr>
            </w:pPr>
          </w:p>
          <w:p>
            <w:pPr>
              <w:pStyle w:val="TableParagraph"/>
              <w:ind w:left="373"/>
              <w:rPr>
                <w:b/>
                <w:sz w:val="24"/>
              </w:rPr>
            </w:pPr>
            <w:r>
              <w:rPr>
                <w:b/>
                <w:w w:val="95"/>
                <w:sz w:val="24"/>
              </w:rPr>
              <w:t>如何解除保险合同</w:t>
            </w:r>
          </w:p>
        </w:tc>
      </w:tr>
      <w:tr>
        <w:trPr>
          <w:trHeight w:val="3694" w:hRule="atLeast"/>
        </w:trPr>
        <w:tc>
          <w:tcPr>
            <w:tcW w:w="839" w:type="dxa"/>
            <w:tcBorders>
              <w:top w:val="single" w:sz="8" w:space="0" w:color="000000"/>
            </w:tcBorders>
          </w:tcPr>
          <w:p>
            <w:pPr>
              <w:pStyle w:val="TableParagraph"/>
              <w:spacing w:before="11"/>
              <w:rPr>
                <w:sz w:val="22"/>
              </w:rPr>
            </w:pPr>
          </w:p>
          <w:p>
            <w:pPr>
              <w:pStyle w:val="TableParagraph"/>
              <w:ind w:left="107"/>
              <w:rPr>
                <w:b/>
                <w:sz w:val="21"/>
              </w:rPr>
            </w:pPr>
            <w:r>
              <w:rPr>
                <w:b/>
                <w:sz w:val="21"/>
              </w:rPr>
              <w:t>7.1</w:t>
            </w:r>
          </w:p>
        </w:tc>
        <w:tc>
          <w:tcPr>
            <w:tcW w:w="1763" w:type="dxa"/>
            <w:tcBorders>
              <w:top w:val="single" w:sz="8" w:space="0" w:color="000000"/>
            </w:tcBorders>
          </w:tcPr>
          <w:p>
            <w:pPr>
              <w:pStyle w:val="TableParagraph"/>
              <w:spacing w:before="11"/>
              <w:rPr>
                <w:sz w:val="22"/>
              </w:rPr>
            </w:pPr>
          </w:p>
          <w:p>
            <w:pPr>
              <w:pStyle w:val="TableParagraph"/>
              <w:spacing w:line="273" w:lineRule="auto"/>
              <w:ind w:left="373" w:right="120"/>
              <w:rPr>
                <w:b/>
                <w:sz w:val="21"/>
              </w:rPr>
            </w:pPr>
            <w:r>
              <w:rPr>
                <w:b/>
                <w:sz w:val="21"/>
              </w:rPr>
              <w:t>您解除合同的手续及风险</w:t>
            </w:r>
          </w:p>
        </w:tc>
        <w:tc>
          <w:tcPr>
            <w:tcW w:w="7525" w:type="dxa"/>
            <w:tcBorders>
              <w:top w:val="single" w:sz="8" w:space="0" w:color="000000"/>
            </w:tcBorders>
          </w:tcPr>
          <w:p>
            <w:pPr>
              <w:pStyle w:val="TableParagraph"/>
              <w:spacing w:before="11"/>
              <w:rPr>
                <w:sz w:val="22"/>
              </w:rPr>
            </w:pPr>
          </w:p>
          <w:p>
            <w:pPr>
              <w:pStyle w:val="TableParagraph"/>
              <w:spacing w:line="273" w:lineRule="auto"/>
              <w:ind w:left="122" w:right="151"/>
              <w:rPr>
                <w:sz w:val="21"/>
              </w:rPr>
            </w:pPr>
            <w:r>
              <w:rPr>
                <w:spacing w:val="-3"/>
                <w:w w:val="100"/>
                <w:sz w:val="21"/>
              </w:rPr>
              <w:t>如您在犹豫期后申请解除本合同</w:t>
            </w:r>
            <w:r>
              <w:rPr>
                <w:w w:val="100"/>
                <w:sz w:val="21"/>
              </w:rPr>
              <w:t>（</w:t>
            </w:r>
            <w:r>
              <w:rPr>
                <w:spacing w:val="-3"/>
                <w:w w:val="100"/>
                <w:sz w:val="21"/>
              </w:rPr>
              <w:t>简称退保</w:t>
            </w:r>
            <w:r>
              <w:rPr>
                <w:spacing w:val="-108"/>
                <w:w w:val="100"/>
                <w:sz w:val="21"/>
              </w:rPr>
              <w:t>）</w:t>
            </w:r>
            <w:r>
              <w:rPr>
                <w:spacing w:val="-3"/>
                <w:w w:val="100"/>
                <w:sz w:val="21"/>
              </w:rPr>
              <w:t>，请填写解除合同申请书并向我们</w:t>
            </w:r>
            <w:r>
              <w:rPr>
                <w:spacing w:val="-3"/>
                <w:sz w:val="21"/>
              </w:rPr>
              <w:t>提供下列资料：</w:t>
            </w:r>
          </w:p>
          <w:p>
            <w:pPr>
              <w:pStyle w:val="TableParagraph"/>
              <w:spacing w:before="7"/>
              <w:ind w:left="122"/>
              <w:rPr>
                <w:sz w:val="21"/>
              </w:rPr>
            </w:pPr>
            <w:r>
              <w:rPr>
                <w:sz w:val="21"/>
              </w:rPr>
              <w:t>（1）保险合同；</w:t>
            </w:r>
          </w:p>
          <w:p>
            <w:pPr>
              <w:pStyle w:val="TableParagraph"/>
              <w:spacing w:before="36"/>
              <w:ind w:left="122"/>
              <w:rPr>
                <w:sz w:val="21"/>
              </w:rPr>
            </w:pPr>
            <w:r>
              <w:rPr>
                <w:sz w:val="21"/>
              </w:rPr>
              <w:t>（2）您的有效身份证件。</w:t>
            </w:r>
          </w:p>
          <w:p>
            <w:pPr>
              <w:pStyle w:val="TableParagraph"/>
              <w:spacing w:before="8"/>
              <w:rPr>
                <w:sz w:val="26"/>
              </w:rPr>
            </w:pPr>
          </w:p>
          <w:p>
            <w:pPr>
              <w:pStyle w:val="TableParagraph"/>
              <w:spacing w:line="273" w:lineRule="auto" w:before="1"/>
              <w:ind w:left="122" w:right="98"/>
              <w:rPr>
                <w:sz w:val="21"/>
              </w:rPr>
            </w:pPr>
            <w:r>
              <w:rPr>
                <w:spacing w:val="-7"/>
                <w:sz w:val="21"/>
              </w:rPr>
              <w:t>自我们收到解除合同申请书时起，本合同终止。我们自收到解除合同申请书之日</w:t>
            </w:r>
            <w:r>
              <w:rPr>
                <w:spacing w:val="-22"/>
                <w:sz w:val="21"/>
              </w:rPr>
              <w:t>起 </w:t>
            </w:r>
            <w:r>
              <w:rPr>
                <w:sz w:val="21"/>
              </w:rPr>
              <w:t>30</w:t>
            </w:r>
            <w:r>
              <w:rPr>
                <w:spacing w:val="-8"/>
                <w:sz w:val="21"/>
              </w:rPr>
              <w:t> 日内向您退还收到解除合同申请书之日本合同的现金价值。</w:t>
            </w:r>
          </w:p>
          <w:p>
            <w:pPr>
              <w:pStyle w:val="TableParagraph"/>
              <w:spacing w:before="5"/>
              <w:rPr>
                <w:sz w:val="24"/>
              </w:rPr>
            </w:pPr>
          </w:p>
          <w:p>
            <w:pPr>
              <w:pStyle w:val="TableParagraph"/>
              <w:spacing w:before="1"/>
              <w:ind w:left="122"/>
              <w:rPr>
                <w:sz w:val="21"/>
              </w:rPr>
            </w:pPr>
            <w:r>
              <w:rPr>
                <w:sz w:val="21"/>
              </w:rPr>
              <w:t>您在犹豫期后解除合同会遭受一定损失。</w:t>
            </w:r>
          </w:p>
          <w:p>
            <w:pPr>
              <w:pStyle w:val="TableParagraph"/>
              <w:spacing w:before="9"/>
              <w:rPr>
                <w:sz w:val="26"/>
              </w:rPr>
            </w:pPr>
          </w:p>
          <w:p>
            <w:pPr>
              <w:pStyle w:val="TableParagraph"/>
              <w:spacing w:line="255" w:lineRule="exact"/>
              <w:ind w:left="122"/>
              <w:rPr>
                <w:b/>
                <w:sz w:val="21"/>
              </w:rPr>
            </w:pPr>
            <w:r>
              <w:rPr>
                <w:b/>
                <w:sz w:val="21"/>
              </w:rPr>
              <w:t>除另有约定外，如已发生保险金给付的，您不得要求解除本合同。</w:t>
            </w:r>
          </w:p>
        </w:tc>
      </w:tr>
    </w:tbl>
    <w:p>
      <w:pPr>
        <w:spacing w:after="0" w:line="255" w:lineRule="exact"/>
        <w:rPr>
          <w:sz w:val="21"/>
        </w:rPr>
        <w:sectPr>
          <w:pgSz w:w="11910" w:h="16840"/>
          <w:pgMar w:top="1160" w:bottom="280" w:left="800" w:right="760"/>
        </w:sectPr>
      </w:pPr>
    </w:p>
    <w:p>
      <w:pPr>
        <w:pStyle w:val="Heading1"/>
        <w:tabs>
          <w:tab w:pos="1324" w:val="left" w:leader="none"/>
        </w:tabs>
        <w:spacing w:before="35"/>
      </w:pPr>
      <w:r>
        <w:rPr/>
        <w:pict>
          <v:group style="position:absolute;margin-left:45.599998pt;margin-top:29.909746pt;width:506.4pt;height:1pt;mso-position-horizontal-relative:page;mso-position-vertical-relative:paragraph;z-index:1096;mso-wrap-distance-left:0;mso-wrap-distance-right:0" coordorigin="912,598" coordsize="10128,20">
            <v:line style="position:absolute" from="912,608" to="2016,608" stroked="true" strokeweight=".96pt" strokecolor="#000000">
              <v:stroke dashstyle="solid"/>
            </v:line>
            <v:rect style="position:absolute;left:2016;top:598;width:20;height:20" filled="true" fillcolor="#000000" stroked="false">
              <v:fill type="solid"/>
            </v:rect>
            <v:line style="position:absolute" from="2036,608" to="11039,608"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4"/>
        <w:rPr>
          <w:b/>
          <w:sz w:val="24"/>
        </w:rPr>
      </w:pPr>
    </w:p>
    <w:p>
      <w:pPr>
        <w:pStyle w:val="ListParagraph"/>
        <w:numPr>
          <w:ilvl w:val="1"/>
          <w:numId w:val="8"/>
        </w:numPr>
        <w:tabs>
          <w:tab w:pos="1324" w:val="left" w:leader="none"/>
          <w:tab w:pos="1325" w:val="left" w:leader="none"/>
          <w:tab w:pos="2836" w:val="left" w:leader="none"/>
        </w:tabs>
        <w:spacing w:line="273" w:lineRule="auto" w:before="36" w:after="0"/>
        <w:ind w:left="2836" w:right="208" w:hanging="2616"/>
        <w:jc w:val="left"/>
        <w:rPr>
          <w:rFonts w:ascii="宋体" w:eastAsia="宋体" w:hint="eastAsia"/>
          <w:sz w:val="21"/>
        </w:rPr>
      </w:pPr>
      <w:r>
        <w:rPr>
          <w:rFonts w:ascii="宋体" w:eastAsia="宋体" w:hint="eastAsia"/>
          <w:b/>
          <w:sz w:val="21"/>
        </w:rPr>
        <w:t>未还款项</w:t>
        <w:tab/>
      </w:r>
      <w:r>
        <w:rPr>
          <w:rFonts w:ascii="宋体" w:eastAsia="宋体" w:hint="eastAsia"/>
          <w:sz w:val="21"/>
        </w:rPr>
        <w:t>我们</w:t>
      </w:r>
      <w:r>
        <w:rPr>
          <w:rFonts w:ascii="宋体" w:eastAsia="宋体" w:hint="eastAsia"/>
          <w:spacing w:val="-3"/>
          <w:sz w:val="21"/>
        </w:rPr>
        <w:t>在</w:t>
      </w:r>
      <w:r>
        <w:rPr>
          <w:rFonts w:ascii="宋体" w:eastAsia="宋体" w:hint="eastAsia"/>
          <w:sz w:val="21"/>
        </w:rPr>
        <w:t>给</w:t>
      </w:r>
      <w:r>
        <w:rPr>
          <w:rFonts w:ascii="宋体" w:eastAsia="宋体" w:hint="eastAsia"/>
          <w:spacing w:val="-3"/>
          <w:sz w:val="21"/>
        </w:rPr>
        <w:t>付</w:t>
      </w:r>
      <w:r>
        <w:rPr>
          <w:rFonts w:ascii="宋体" w:eastAsia="宋体" w:hint="eastAsia"/>
          <w:sz w:val="21"/>
        </w:rPr>
        <w:t>各</w:t>
      </w:r>
      <w:r>
        <w:rPr>
          <w:rFonts w:ascii="宋体" w:eastAsia="宋体" w:hint="eastAsia"/>
          <w:spacing w:val="-3"/>
          <w:sz w:val="21"/>
        </w:rPr>
        <w:t>项</w:t>
      </w:r>
      <w:r>
        <w:rPr>
          <w:rFonts w:ascii="宋体" w:eastAsia="宋体" w:hint="eastAsia"/>
          <w:sz w:val="21"/>
        </w:rPr>
        <w:t>保</w:t>
      </w:r>
      <w:r>
        <w:rPr>
          <w:rFonts w:ascii="宋体" w:eastAsia="宋体" w:hint="eastAsia"/>
          <w:spacing w:val="-3"/>
          <w:sz w:val="21"/>
        </w:rPr>
        <w:t>险金</w:t>
      </w:r>
      <w:r>
        <w:rPr>
          <w:rFonts w:ascii="宋体" w:eastAsia="宋体" w:hint="eastAsia"/>
          <w:spacing w:val="-29"/>
          <w:sz w:val="21"/>
        </w:rPr>
        <w:t>、</w:t>
      </w:r>
      <w:r>
        <w:rPr>
          <w:rFonts w:ascii="宋体" w:eastAsia="宋体" w:hint="eastAsia"/>
          <w:sz w:val="21"/>
        </w:rPr>
        <w:t>退还</w:t>
      </w:r>
      <w:r>
        <w:rPr>
          <w:rFonts w:ascii="宋体" w:eastAsia="宋体" w:hint="eastAsia"/>
          <w:spacing w:val="-3"/>
          <w:sz w:val="21"/>
        </w:rPr>
        <w:t>现</w:t>
      </w:r>
      <w:r>
        <w:rPr>
          <w:rFonts w:ascii="宋体" w:eastAsia="宋体" w:hint="eastAsia"/>
          <w:sz w:val="21"/>
        </w:rPr>
        <w:t>金</w:t>
      </w:r>
      <w:r>
        <w:rPr>
          <w:rFonts w:ascii="宋体" w:eastAsia="宋体" w:hint="eastAsia"/>
          <w:spacing w:val="-3"/>
          <w:sz w:val="21"/>
        </w:rPr>
        <w:t>价</w:t>
      </w:r>
      <w:r>
        <w:rPr>
          <w:rFonts w:ascii="宋体" w:eastAsia="宋体" w:hint="eastAsia"/>
          <w:sz w:val="21"/>
        </w:rPr>
        <w:t>值</w:t>
      </w:r>
      <w:r>
        <w:rPr>
          <w:rFonts w:ascii="宋体" w:eastAsia="宋体" w:hint="eastAsia"/>
          <w:spacing w:val="-3"/>
          <w:sz w:val="21"/>
        </w:rPr>
        <w:t>或</w:t>
      </w:r>
      <w:r>
        <w:rPr>
          <w:rFonts w:ascii="宋体" w:eastAsia="宋体" w:hint="eastAsia"/>
          <w:sz w:val="21"/>
        </w:rPr>
        <w:t>退</w:t>
      </w:r>
      <w:r>
        <w:rPr>
          <w:rFonts w:ascii="宋体" w:eastAsia="宋体" w:hint="eastAsia"/>
          <w:spacing w:val="-3"/>
          <w:sz w:val="21"/>
        </w:rPr>
        <w:t>还</w:t>
      </w:r>
      <w:r>
        <w:rPr>
          <w:rFonts w:ascii="宋体" w:eastAsia="宋体" w:hint="eastAsia"/>
          <w:sz w:val="21"/>
        </w:rPr>
        <w:t>保</w:t>
      </w:r>
      <w:r>
        <w:rPr>
          <w:rFonts w:ascii="宋体" w:eastAsia="宋体" w:hint="eastAsia"/>
          <w:spacing w:val="-3"/>
          <w:sz w:val="21"/>
        </w:rPr>
        <w:t>险</w:t>
      </w:r>
      <w:r>
        <w:rPr>
          <w:rFonts w:ascii="宋体" w:eastAsia="宋体" w:hint="eastAsia"/>
          <w:sz w:val="21"/>
        </w:rPr>
        <w:t>费</w:t>
      </w:r>
      <w:r>
        <w:rPr>
          <w:rFonts w:ascii="宋体" w:eastAsia="宋体" w:hint="eastAsia"/>
          <w:spacing w:val="-3"/>
          <w:sz w:val="21"/>
        </w:rPr>
        <w:t>时</w:t>
      </w:r>
      <w:r>
        <w:rPr>
          <w:rFonts w:ascii="宋体" w:eastAsia="宋体" w:hint="eastAsia"/>
          <w:spacing w:val="-27"/>
          <w:sz w:val="21"/>
        </w:rPr>
        <w:t>，</w:t>
      </w:r>
      <w:r>
        <w:rPr>
          <w:rFonts w:ascii="宋体" w:eastAsia="宋体" w:hint="eastAsia"/>
          <w:spacing w:val="-3"/>
          <w:sz w:val="21"/>
        </w:rPr>
        <w:t>如</w:t>
      </w:r>
      <w:r>
        <w:rPr>
          <w:rFonts w:ascii="宋体" w:eastAsia="宋体" w:hint="eastAsia"/>
          <w:sz w:val="21"/>
        </w:rPr>
        <w:t>果</w:t>
      </w:r>
      <w:r>
        <w:rPr>
          <w:rFonts w:ascii="宋体" w:eastAsia="宋体" w:hint="eastAsia"/>
          <w:spacing w:val="-3"/>
          <w:sz w:val="21"/>
        </w:rPr>
        <w:t>有</w:t>
      </w:r>
      <w:r>
        <w:rPr>
          <w:rFonts w:ascii="宋体" w:eastAsia="宋体" w:hint="eastAsia"/>
          <w:sz w:val="21"/>
        </w:rPr>
        <w:t>您</w:t>
      </w:r>
      <w:r>
        <w:rPr>
          <w:rFonts w:ascii="宋体" w:eastAsia="宋体" w:hint="eastAsia"/>
          <w:spacing w:val="-3"/>
          <w:sz w:val="21"/>
        </w:rPr>
        <w:t>欠</w:t>
      </w:r>
      <w:r>
        <w:rPr>
          <w:rFonts w:ascii="宋体" w:eastAsia="宋体" w:hint="eastAsia"/>
          <w:sz w:val="21"/>
        </w:rPr>
        <w:t>交</w:t>
      </w:r>
      <w:r>
        <w:rPr>
          <w:rFonts w:ascii="宋体" w:eastAsia="宋体" w:hint="eastAsia"/>
          <w:spacing w:val="-3"/>
          <w:sz w:val="21"/>
        </w:rPr>
        <w:t>的保</w:t>
      </w:r>
      <w:r>
        <w:rPr>
          <w:rFonts w:ascii="宋体" w:eastAsia="宋体" w:hint="eastAsia"/>
          <w:sz w:val="21"/>
        </w:rPr>
        <w:t>险费 或其</w:t>
      </w:r>
      <w:r>
        <w:rPr>
          <w:rFonts w:ascii="宋体" w:eastAsia="宋体" w:hint="eastAsia"/>
          <w:spacing w:val="-3"/>
          <w:sz w:val="21"/>
        </w:rPr>
        <w:t>他</w:t>
      </w:r>
      <w:r>
        <w:rPr>
          <w:rFonts w:ascii="宋体" w:eastAsia="宋体" w:hint="eastAsia"/>
          <w:sz w:val="21"/>
        </w:rPr>
        <w:t>未</w:t>
      </w:r>
      <w:r>
        <w:rPr>
          <w:rFonts w:ascii="宋体" w:eastAsia="宋体" w:hint="eastAsia"/>
          <w:spacing w:val="-3"/>
          <w:sz w:val="21"/>
        </w:rPr>
        <w:t>还</w:t>
      </w:r>
      <w:r>
        <w:rPr>
          <w:rFonts w:ascii="宋体" w:eastAsia="宋体" w:hint="eastAsia"/>
          <w:sz w:val="21"/>
        </w:rPr>
        <w:t>清</w:t>
      </w:r>
      <w:r>
        <w:rPr>
          <w:rFonts w:ascii="宋体" w:eastAsia="宋体" w:hint="eastAsia"/>
          <w:spacing w:val="-3"/>
          <w:sz w:val="21"/>
        </w:rPr>
        <w:t>款</w:t>
      </w:r>
      <w:r>
        <w:rPr>
          <w:rFonts w:ascii="宋体" w:eastAsia="宋体" w:hint="eastAsia"/>
          <w:sz w:val="21"/>
        </w:rPr>
        <w:t>项</w:t>
      </w:r>
      <w:r>
        <w:rPr>
          <w:rFonts w:ascii="宋体" w:eastAsia="宋体" w:hint="eastAsia"/>
          <w:spacing w:val="-3"/>
          <w:sz w:val="21"/>
        </w:rPr>
        <w:t>，</w:t>
      </w:r>
      <w:r>
        <w:rPr>
          <w:rFonts w:ascii="宋体" w:eastAsia="宋体" w:hint="eastAsia"/>
          <w:sz w:val="21"/>
        </w:rPr>
        <w:t>我</w:t>
      </w:r>
      <w:r>
        <w:rPr>
          <w:rFonts w:ascii="宋体" w:eastAsia="宋体" w:hint="eastAsia"/>
          <w:spacing w:val="-3"/>
          <w:sz w:val="21"/>
        </w:rPr>
        <w:t>们</w:t>
      </w:r>
      <w:r>
        <w:rPr>
          <w:rFonts w:ascii="宋体" w:eastAsia="宋体" w:hint="eastAsia"/>
          <w:sz w:val="21"/>
        </w:rPr>
        <w:t>会在</w:t>
      </w:r>
      <w:r>
        <w:rPr>
          <w:rFonts w:ascii="宋体" w:eastAsia="宋体" w:hint="eastAsia"/>
          <w:spacing w:val="-3"/>
          <w:sz w:val="21"/>
        </w:rPr>
        <w:t>扣</w:t>
      </w:r>
      <w:r>
        <w:rPr>
          <w:rFonts w:ascii="宋体" w:eastAsia="宋体" w:hint="eastAsia"/>
          <w:sz w:val="21"/>
        </w:rPr>
        <w:t>除</w:t>
      </w:r>
      <w:r>
        <w:rPr>
          <w:rFonts w:ascii="宋体" w:eastAsia="宋体" w:hint="eastAsia"/>
          <w:spacing w:val="-3"/>
          <w:sz w:val="21"/>
        </w:rPr>
        <w:t>上</w:t>
      </w:r>
      <w:r>
        <w:rPr>
          <w:rFonts w:ascii="宋体" w:eastAsia="宋体" w:hint="eastAsia"/>
          <w:sz w:val="21"/>
        </w:rPr>
        <w:t>述</w:t>
      </w:r>
      <w:r>
        <w:rPr>
          <w:rFonts w:ascii="宋体" w:eastAsia="宋体" w:hint="eastAsia"/>
          <w:spacing w:val="-3"/>
          <w:sz w:val="21"/>
        </w:rPr>
        <w:t>欠</w:t>
      </w:r>
      <w:r>
        <w:rPr>
          <w:rFonts w:ascii="宋体" w:eastAsia="宋体" w:hint="eastAsia"/>
          <w:sz w:val="21"/>
        </w:rPr>
        <w:t>款</w:t>
      </w:r>
      <w:r>
        <w:rPr>
          <w:rFonts w:ascii="宋体" w:eastAsia="宋体" w:hint="eastAsia"/>
          <w:spacing w:val="-3"/>
          <w:sz w:val="21"/>
        </w:rPr>
        <w:t>及</w:t>
      </w:r>
      <w:r>
        <w:rPr>
          <w:rFonts w:ascii="宋体" w:eastAsia="宋体" w:hint="eastAsia"/>
          <w:sz w:val="21"/>
        </w:rPr>
        <w:t>应</w:t>
      </w:r>
      <w:r>
        <w:rPr>
          <w:rFonts w:ascii="宋体" w:eastAsia="宋体" w:hint="eastAsia"/>
          <w:spacing w:val="-3"/>
          <w:sz w:val="21"/>
        </w:rPr>
        <w:t>付</w:t>
      </w:r>
      <w:r>
        <w:rPr>
          <w:rFonts w:ascii="宋体" w:eastAsia="宋体" w:hint="eastAsia"/>
          <w:sz w:val="21"/>
        </w:rPr>
        <w:t>利息</w:t>
      </w:r>
      <w:r>
        <w:rPr>
          <w:rFonts w:ascii="宋体" w:eastAsia="宋体" w:hint="eastAsia"/>
          <w:spacing w:val="-3"/>
          <w:sz w:val="21"/>
        </w:rPr>
        <w:t>后</w:t>
      </w:r>
      <w:r>
        <w:rPr>
          <w:rFonts w:ascii="宋体" w:eastAsia="宋体" w:hint="eastAsia"/>
          <w:sz w:val="21"/>
        </w:rPr>
        <w:t>给</w:t>
      </w:r>
      <w:r>
        <w:rPr>
          <w:rFonts w:ascii="宋体" w:eastAsia="宋体" w:hint="eastAsia"/>
          <w:spacing w:val="-3"/>
          <w:sz w:val="21"/>
        </w:rPr>
        <w:t>付</w:t>
      </w:r>
      <w:r>
        <w:rPr>
          <w:rFonts w:ascii="宋体" w:eastAsia="宋体" w:hint="eastAsia"/>
          <w:sz w:val="21"/>
        </w:rPr>
        <w:t>。</w:t>
      </w:r>
    </w:p>
    <w:p>
      <w:pPr>
        <w:pStyle w:val="BodyText"/>
        <w:spacing w:before="8"/>
      </w:pPr>
    </w:p>
    <w:p>
      <w:pPr>
        <w:spacing w:after="0"/>
        <w:sectPr>
          <w:pgSz w:w="11910" w:h="16840"/>
          <w:pgMar w:top="1140" w:bottom="280" w:left="800" w:right="760"/>
        </w:sectPr>
      </w:pPr>
    </w:p>
    <w:p>
      <w:pPr>
        <w:pStyle w:val="Heading2"/>
        <w:numPr>
          <w:ilvl w:val="1"/>
          <w:numId w:val="8"/>
        </w:numPr>
        <w:tabs>
          <w:tab w:pos="1324" w:val="left" w:leader="none"/>
          <w:tab w:pos="1325" w:val="left" w:leader="none"/>
        </w:tabs>
        <w:spacing w:line="273" w:lineRule="auto" w:before="36" w:after="0"/>
        <w:ind w:left="1324" w:right="0" w:hanging="1104"/>
        <w:jc w:val="left"/>
      </w:pPr>
      <w:r>
        <w:rPr/>
        <w:t>明确说明与如实告知</w:t>
      </w:r>
    </w:p>
    <w:p>
      <w:pPr>
        <w:pStyle w:val="BodyText"/>
        <w:spacing w:before="36"/>
        <w:ind w:left="204"/>
      </w:pPr>
      <w:r>
        <w:rPr/>
        <w:br w:type="column"/>
      </w:r>
      <w:r>
        <w:rPr/>
        <w:t>订立本合同时，我们应向您说明本合同的内容。</w:t>
      </w:r>
    </w:p>
    <w:p>
      <w:pPr>
        <w:pStyle w:val="BodyText"/>
        <w:spacing w:before="8"/>
        <w:rPr>
          <w:sz w:val="26"/>
        </w:rPr>
      </w:pPr>
    </w:p>
    <w:p>
      <w:pPr>
        <w:pStyle w:val="BodyText"/>
        <w:spacing w:line="273" w:lineRule="auto" w:before="0"/>
        <w:ind w:left="204" w:right="206"/>
        <w:jc w:val="both"/>
      </w:pPr>
      <w:r>
        <w:rPr>
          <w:spacing w:val="-6"/>
        </w:rPr>
        <w:t>对保险条款中免除我们责任的条款，我们在订立合同时应当在投保单、保险单或</w:t>
      </w:r>
      <w:r>
        <w:rPr>
          <w:spacing w:val="-7"/>
        </w:rPr>
        <w:t>者其他保险凭证上作出足以引起您注意的提示，并对该条款的内容以书面或者口</w:t>
      </w:r>
      <w:r>
        <w:rPr>
          <w:spacing w:val="-5"/>
        </w:rPr>
        <w:t>头形式向您作出明确说明，未作提示或者明确说明的，该条款不产生效力。</w:t>
      </w:r>
    </w:p>
    <w:p>
      <w:pPr>
        <w:pStyle w:val="BodyText"/>
        <w:spacing w:before="5"/>
        <w:rPr>
          <w:sz w:val="24"/>
        </w:rPr>
      </w:pPr>
    </w:p>
    <w:p>
      <w:pPr>
        <w:pStyle w:val="BodyText"/>
        <w:spacing w:before="0"/>
        <w:ind w:left="204"/>
        <w:jc w:val="both"/>
      </w:pPr>
      <w:r>
        <w:rPr/>
        <w:t>我们就您和被保险人的有关情况提出询问，您应当如实告知。</w:t>
      </w:r>
    </w:p>
    <w:p>
      <w:pPr>
        <w:spacing w:after="0"/>
        <w:jc w:val="both"/>
        <w:sectPr>
          <w:type w:val="continuous"/>
          <w:pgSz w:w="11910" w:h="16840"/>
          <w:pgMar w:top="480" w:bottom="280" w:left="800" w:right="760"/>
          <w:cols w:num="2" w:equalWidth="0">
            <w:col w:w="2592" w:space="40"/>
            <w:col w:w="7718"/>
          </w:cols>
        </w:sectPr>
      </w:pPr>
    </w:p>
    <w:p>
      <w:pPr>
        <w:pStyle w:val="BodyText"/>
        <w:spacing w:before="12"/>
        <w:rPr>
          <w:sz w:val="23"/>
        </w:rPr>
      </w:pPr>
    </w:p>
    <w:p>
      <w:pPr>
        <w:pStyle w:val="BodyText"/>
        <w:spacing w:line="273" w:lineRule="auto" w:before="36"/>
        <w:ind w:left="2836" w:right="148"/>
      </w:pPr>
      <w:r>
        <w:rPr>
          <w:shd w:fill="D9D9D9" w:color="auto" w:val="clear"/>
        </w:rPr>
        <w:t>如果您故意或者因重大过失未履行前款规定的如实告知义务，足以影响我们决定是否同意承保或者提高保险费率的，我们有权解除本合同。</w:t>
      </w:r>
    </w:p>
    <w:p>
      <w:pPr>
        <w:pStyle w:val="BodyText"/>
        <w:spacing w:before="8"/>
      </w:pPr>
    </w:p>
    <w:p>
      <w:pPr>
        <w:pStyle w:val="BodyText"/>
        <w:spacing w:line="273" w:lineRule="auto" w:before="36"/>
        <w:ind w:left="2836" w:right="207"/>
      </w:pPr>
      <w:r>
        <w:rPr>
          <w:spacing w:val="-6"/>
          <w:shd w:fill="D9D9D9" w:color="auto" w:val="clear"/>
        </w:rPr>
        <w:t>如果您故意不履行如实告知义务，对于本合同解除前发生的保险事故，我们不承</w:t>
      </w:r>
      <w:r>
        <w:rPr>
          <w:spacing w:val="-4"/>
          <w:shd w:fill="D9D9D9" w:color="auto" w:val="clear"/>
        </w:rPr>
        <w:t>担给付保险金的责任</w:t>
      </w:r>
      <w:r>
        <w:rPr>
          <w:spacing w:val="-25"/>
          <w:shd w:fill="D9D9D9" w:color="auto" w:val="clear"/>
        </w:rPr>
        <w:t>，并不退还保险费。</w:t>
      </w:r>
    </w:p>
    <w:p>
      <w:pPr>
        <w:pStyle w:val="BodyText"/>
        <w:spacing w:before="8"/>
      </w:pPr>
    </w:p>
    <w:p>
      <w:pPr>
        <w:pStyle w:val="BodyText"/>
        <w:spacing w:line="273" w:lineRule="auto" w:before="36"/>
        <w:ind w:left="2836" w:right="208"/>
        <w:jc w:val="both"/>
      </w:pPr>
      <w:r>
        <w:rPr>
          <w:spacing w:val="-6"/>
          <w:shd w:fill="D9D9D9" w:color="auto" w:val="clear"/>
        </w:rPr>
        <w:t>如果您因重大过失未履行如实告知义务，对保险事故的发生有严重影响的，对于</w:t>
      </w:r>
      <w:r>
        <w:rPr>
          <w:spacing w:val="-207"/>
          <w:shd w:fill="D9D9D9" w:color="auto" w:val="clear"/>
        </w:rPr>
        <w:t>本</w:t>
      </w:r>
      <w:r>
        <w:rPr>
          <w:spacing w:val="-6"/>
          <w:shd w:fill="D9D9D9" w:color="auto" w:val="clear"/>
        </w:rPr>
        <w:t>合同解除前发生的保险事故，我们不承担给付保险金的责任，但应当退还保险 费。</w:t>
      </w:r>
    </w:p>
    <w:p>
      <w:pPr>
        <w:pStyle w:val="BodyText"/>
        <w:spacing w:before="5"/>
        <w:rPr>
          <w:sz w:val="24"/>
        </w:rPr>
      </w:pPr>
    </w:p>
    <w:p>
      <w:pPr>
        <w:pStyle w:val="BodyText"/>
        <w:spacing w:line="273" w:lineRule="auto" w:before="0"/>
        <w:ind w:left="2836" w:right="205"/>
        <w:jc w:val="both"/>
      </w:pPr>
      <w:r>
        <w:rPr>
          <w:spacing w:val="-6"/>
        </w:rPr>
        <w:t>我们在合同订立时已经知道您未如实告知的情况的，我们不得解除合同；发生保</w:t>
      </w:r>
      <w:r>
        <w:rPr>
          <w:spacing w:val="-4"/>
        </w:rPr>
        <w:t>险事故的，我们承担给付保险金的责任。</w:t>
      </w:r>
    </w:p>
    <w:p>
      <w:pPr>
        <w:pStyle w:val="BodyText"/>
        <w:spacing w:before="8"/>
      </w:pPr>
    </w:p>
    <w:p>
      <w:pPr>
        <w:spacing w:after="0"/>
        <w:sectPr>
          <w:type w:val="continuous"/>
          <w:pgSz w:w="11910" w:h="16840"/>
          <w:pgMar w:top="480" w:bottom="280" w:left="800" w:right="760"/>
        </w:sectPr>
      </w:pPr>
    </w:p>
    <w:p>
      <w:pPr>
        <w:pStyle w:val="Heading2"/>
        <w:numPr>
          <w:ilvl w:val="1"/>
          <w:numId w:val="8"/>
        </w:numPr>
        <w:tabs>
          <w:tab w:pos="1324" w:val="left" w:leader="none"/>
          <w:tab w:pos="1325" w:val="left" w:leader="none"/>
        </w:tabs>
        <w:spacing w:line="273" w:lineRule="auto" w:before="37" w:after="0"/>
        <w:ind w:left="1324" w:right="0" w:hanging="1104"/>
        <w:jc w:val="left"/>
      </w:pPr>
      <w:r>
        <w:rPr/>
        <w:t>我们合同解除权的限制</w:t>
      </w:r>
    </w:p>
    <w:p>
      <w:pPr>
        <w:pStyle w:val="BodyText"/>
        <w:ind w:left="207"/>
      </w:pPr>
      <w:r>
        <w:rPr/>
        <w:br w:type="column"/>
      </w:r>
      <w:r>
        <w:rPr/>
        <w:t>前条规定的合同解除权，自我们知道有解除事由之日起，超过 30 日不行使而消</w:t>
      </w:r>
    </w:p>
    <w:p>
      <w:pPr>
        <w:pStyle w:val="BodyText"/>
        <w:spacing w:line="273" w:lineRule="auto"/>
        <w:ind w:left="204" w:right="208"/>
      </w:pPr>
      <w:r>
        <w:rPr>
          <w:spacing w:val="-8"/>
        </w:rPr>
        <w:t>灭。自本合同成立之日起超过 </w:t>
      </w:r>
      <w:r>
        <w:rPr/>
        <w:t>2</w:t>
      </w:r>
      <w:r>
        <w:rPr>
          <w:spacing w:val="-11"/>
        </w:rPr>
        <w:t> 年的，我们不得解除合同；发生保险事故的，我</w:t>
      </w:r>
      <w:r>
        <w:rPr>
          <w:spacing w:val="-6"/>
        </w:rPr>
        <w:t>们承担给付保险金的责任。</w:t>
      </w:r>
    </w:p>
    <w:p>
      <w:pPr>
        <w:spacing w:after="0" w:line="273" w:lineRule="auto"/>
        <w:sectPr>
          <w:type w:val="continuous"/>
          <w:pgSz w:w="11910" w:h="16840"/>
          <w:pgMar w:top="480" w:bottom="280" w:left="800" w:right="760"/>
          <w:cols w:num="2" w:equalWidth="0">
            <w:col w:w="2592" w:space="40"/>
            <w:col w:w="7718"/>
          </w:cols>
        </w:sectPr>
      </w:pPr>
    </w:p>
    <w:p>
      <w:pPr>
        <w:pStyle w:val="BodyText"/>
        <w:spacing w:before="8"/>
      </w:pPr>
    </w:p>
    <w:p>
      <w:pPr>
        <w:pStyle w:val="ListParagraph"/>
        <w:numPr>
          <w:ilvl w:val="1"/>
          <w:numId w:val="8"/>
        </w:numPr>
        <w:tabs>
          <w:tab w:pos="1325" w:val="left" w:leader="none"/>
        </w:tabs>
        <w:spacing w:line="273" w:lineRule="auto" w:before="37" w:after="0"/>
        <w:ind w:left="2836" w:right="205" w:hanging="2616"/>
        <w:jc w:val="both"/>
        <w:rPr>
          <w:rFonts w:ascii="宋体" w:eastAsia="宋体" w:hint="eastAsia"/>
          <w:sz w:val="21"/>
        </w:rPr>
      </w:pPr>
      <w:r>
        <w:rPr>
          <w:rFonts w:ascii="宋体" w:eastAsia="宋体" w:hint="eastAsia"/>
          <w:b/>
          <w:spacing w:val="10"/>
          <w:sz w:val="21"/>
        </w:rPr>
        <w:t>年龄性别错误 </w:t>
      </w:r>
      <w:r>
        <w:rPr>
          <w:rFonts w:ascii="宋体" w:eastAsia="宋体" w:hint="eastAsia"/>
          <w:spacing w:val="-8"/>
          <w:sz w:val="21"/>
        </w:rPr>
        <w:t>您在申请投保时，应将与有效身份证件相符的被保险人的出生日期和性别在投保</w:t>
      </w:r>
      <w:r>
        <w:rPr>
          <w:rFonts w:ascii="宋体" w:eastAsia="宋体" w:hint="eastAsia"/>
          <w:spacing w:val="-5"/>
          <w:sz w:val="21"/>
        </w:rPr>
        <w:t>单上填明，如果发生错误按照下列方式办理：</w:t>
      </w:r>
    </w:p>
    <w:p>
      <w:pPr>
        <w:pStyle w:val="BodyText"/>
        <w:spacing w:line="273" w:lineRule="auto" w:before="8"/>
        <w:ind w:left="3357" w:right="209" w:hanging="522"/>
        <w:jc w:val="both"/>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8"/>
        <w:ind w:left="3357" w:right="209" w:hanging="522"/>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3357" w:right="212" w:hanging="522"/>
        <w:jc w:val="both"/>
      </w:pPr>
      <w:r>
        <w:rPr/>
        <w:t>（3）您申报的被保险人年龄或性别不真实，致使您实付保险费多于应付保险费的，我们会将多收的保险费退还给您。</w:t>
      </w:r>
    </w:p>
    <w:p>
      <w:pPr>
        <w:pStyle w:val="BodyText"/>
        <w:spacing w:before="5"/>
        <w:rPr>
          <w:sz w:val="24"/>
        </w:rPr>
      </w:pPr>
    </w:p>
    <w:p>
      <w:pPr>
        <w:pStyle w:val="ListParagraph"/>
        <w:numPr>
          <w:ilvl w:val="1"/>
          <w:numId w:val="8"/>
        </w:numPr>
        <w:tabs>
          <w:tab w:pos="1325" w:val="left" w:leader="none"/>
        </w:tabs>
        <w:spacing w:line="273" w:lineRule="auto" w:before="1" w:after="0"/>
        <w:ind w:left="2836" w:right="206" w:hanging="2616"/>
        <w:jc w:val="both"/>
        <w:rPr>
          <w:rFonts w:ascii="宋体" w:eastAsia="宋体" w:hint="eastAsia"/>
          <w:sz w:val="21"/>
        </w:rPr>
      </w:pPr>
      <w:r>
        <w:rPr>
          <w:rFonts w:ascii="宋体" w:eastAsia="宋体" w:hint="eastAsia"/>
          <w:b/>
          <w:spacing w:val="10"/>
          <w:sz w:val="21"/>
        </w:rPr>
        <w:t>合同内容变更 </w:t>
      </w:r>
      <w:r>
        <w:rPr>
          <w:rFonts w:ascii="宋体" w:eastAsia="宋体" w:hint="eastAsia"/>
          <w:spacing w:val="-8"/>
          <w:sz w:val="21"/>
        </w:rPr>
        <w:t>在本合同有效期内，经您与我们协商一致，可以变更本合同内容。变更本合同内容的，应当由我们在保险单或其他保险凭证上批注或附贴批单，或由您与我们订</w:t>
      </w:r>
      <w:r>
        <w:rPr>
          <w:rFonts w:ascii="宋体" w:eastAsia="宋体" w:hint="eastAsia"/>
          <w:spacing w:val="-5"/>
          <w:sz w:val="21"/>
        </w:rPr>
        <w:t>立书面的变更协议。</w:t>
      </w:r>
    </w:p>
    <w:p>
      <w:pPr>
        <w:spacing w:after="0" w:line="273" w:lineRule="auto"/>
        <w:jc w:val="both"/>
        <w:rPr>
          <w:rFonts w:ascii="宋体" w:eastAsia="宋体" w:hint="eastAsia"/>
          <w:sz w:val="21"/>
        </w:rPr>
        <w:sectPr>
          <w:type w:val="continuous"/>
          <w:pgSz w:w="11910" w:h="16840"/>
          <w:pgMar w:top="480" w:bottom="280" w:left="80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63"/>
        <w:gridCol w:w="7528"/>
      </w:tblGrid>
      <w:tr>
        <w:trPr>
          <w:trHeight w:val="2913" w:hRule="atLeast"/>
        </w:trPr>
        <w:tc>
          <w:tcPr>
            <w:tcW w:w="839" w:type="dxa"/>
          </w:tcPr>
          <w:p>
            <w:pPr>
              <w:pStyle w:val="TableParagraph"/>
              <w:spacing w:line="211" w:lineRule="exact"/>
              <w:ind w:left="107"/>
              <w:rPr>
                <w:b/>
                <w:sz w:val="21"/>
              </w:rPr>
            </w:pPr>
            <w:r>
              <w:rPr>
                <w:b/>
                <w:sz w:val="21"/>
              </w:rPr>
              <w:t>8.6</w:t>
            </w:r>
          </w:p>
        </w:tc>
        <w:tc>
          <w:tcPr>
            <w:tcW w:w="1763" w:type="dxa"/>
          </w:tcPr>
          <w:p>
            <w:pPr>
              <w:pStyle w:val="TableParagraph"/>
              <w:spacing w:line="211" w:lineRule="exact"/>
              <w:ind w:left="373"/>
              <w:rPr>
                <w:b/>
                <w:sz w:val="21"/>
              </w:rPr>
            </w:pPr>
            <w:r>
              <w:rPr>
                <w:b/>
                <w:sz w:val="21"/>
              </w:rPr>
              <w:t>职业或工种变</w:t>
            </w:r>
          </w:p>
          <w:p>
            <w:pPr>
              <w:pStyle w:val="TableParagraph"/>
              <w:spacing w:before="37"/>
              <w:ind w:left="373"/>
              <w:rPr>
                <w:b/>
                <w:sz w:val="21"/>
              </w:rPr>
            </w:pPr>
            <w:r>
              <w:rPr>
                <w:b/>
                <w:w w:val="100"/>
                <w:sz w:val="21"/>
              </w:rPr>
              <w:t>更</w:t>
            </w:r>
          </w:p>
        </w:tc>
        <w:tc>
          <w:tcPr>
            <w:tcW w:w="7528" w:type="dxa"/>
          </w:tcPr>
          <w:p>
            <w:pPr>
              <w:pStyle w:val="TableParagraph"/>
              <w:spacing w:line="211" w:lineRule="exact"/>
              <w:ind w:left="122"/>
              <w:rPr>
                <w:sz w:val="21"/>
              </w:rPr>
            </w:pPr>
            <w:r>
              <w:rPr>
                <w:sz w:val="21"/>
              </w:rPr>
              <w:t>被保险人变更职业或工种时，您或被保险人应于 10 日内以书面形式通知我们。</w:t>
            </w:r>
          </w:p>
          <w:p>
            <w:pPr>
              <w:pStyle w:val="TableParagraph"/>
              <w:spacing w:before="9"/>
              <w:rPr>
                <w:sz w:val="26"/>
              </w:rPr>
            </w:pPr>
          </w:p>
          <w:p>
            <w:pPr>
              <w:pStyle w:val="TableParagraph"/>
              <w:spacing w:line="273" w:lineRule="auto"/>
              <w:ind w:left="122" w:right="101"/>
              <w:jc w:val="both"/>
              <w:rPr>
                <w:sz w:val="21"/>
              </w:rPr>
            </w:pPr>
            <w:r>
              <w:rPr>
                <w:spacing w:val="-5"/>
                <w:sz w:val="21"/>
              </w:rPr>
              <w:t>被保险人所变更的职业或者工种依照我们的职业分类在拒保范围内的，我们收到</w:t>
            </w:r>
            <w:r>
              <w:rPr>
                <w:spacing w:val="-9"/>
                <w:sz w:val="21"/>
              </w:rPr>
              <w:t>通知后，对被保险人的保险责任自被保险人职业、工种变更之日起终止，向您退</w:t>
            </w:r>
            <w:r>
              <w:rPr>
                <w:spacing w:val="-5"/>
                <w:sz w:val="21"/>
              </w:rPr>
              <w:t>还被保险人职业、工种变更之日本合同的现金价值。</w:t>
            </w:r>
          </w:p>
          <w:p>
            <w:pPr>
              <w:pStyle w:val="TableParagraph"/>
              <w:spacing w:before="5"/>
              <w:rPr>
                <w:sz w:val="24"/>
              </w:rPr>
            </w:pPr>
          </w:p>
          <w:p>
            <w:pPr>
              <w:pStyle w:val="TableParagraph"/>
              <w:spacing w:line="273" w:lineRule="auto"/>
              <w:ind w:left="122" w:right="101"/>
              <w:jc w:val="both"/>
              <w:rPr>
                <w:sz w:val="21"/>
              </w:rPr>
            </w:pPr>
            <w:r>
              <w:rPr>
                <w:spacing w:val="-5"/>
                <w:sz w:val="21"/>
              </w:rPr>
              <w:t>被保险人所变更的职业或工种依照我们的职业分类在拒保范围内的，但未依上述</w:t>
            </w:r>
            <w:r>
              <w:rPr>
                <w:spacing w:val="-9"/>
                <w:sz w:val="21"/>
              </w:rPr>
              <w:t>约定通知我们，且发生保险事故的，我们不承担给付保险金的责任。但会向您退</w:t>
            </w:r>
            <w:r>
              <w:rPr>
                <w:spacing w:val="-5"/>
                <w:sz w:val="21"/>
              </w:rPr>
              <w:t>还被保险人职业、工种变更之日本合同的现金价值。</w:t>
            </w:r>
          </w:p>
        </w:tc>
      </w:tr>
      <w:tr>
        <w:trPr>
          <w:trHeight w:val="1560" w:hRule="atLeast"/>
        </w:trPr>
        <w:tc>
          <w:tcPr>
            <w:tcW w:w="839" w:type="dxa"/>
          </w:tcPr>
          <w:p>
            <w:pPr>
              <w:pStyle w:val="TableParagraph"/>
              <w:spacing w:before="142"/>
              <w:ind w:left="107"/>
              <w:rPr>
                <w:b/>
                <w:sz w:val="21"/>
              </w:rPr>
            </w:pPr>
            <w:r>
              <w:rPr>
                <w:b/>
                <w:sz w:val="21"/>
              </w:rPr>
              <w:t>8.7</w:t>
            </w:r>
          </w:p>
        </w:tc>
        <w:tc>
          <w:tcPr>
            <w:tcW w:w="1763" w:type="dxa"/>
          </w:tcPr>
          <w:p>
            <w:pPr>
              <w:pStyle w:val="TableParagraph"/>
              <w:spacing w:before="142"/>
              <w:ind w:left="373"/>
              <w:rPr>
                <w:b/>
                <w:sz w:val="21"/>
              </w:rPr>
            </w:pPr>
            <w:r>
              <w:rPr>
                <w:b/>
                <w:sz w:val="21"/>
              </w:rPr>
              <w:t>联系方式变更</w:t>
            </w:r>
          </w:p>
        </w:tc>
        <w:tc>
          <w:tcPr>
            <w:tcW w:w="7528" w:type="dxa"/>
          </w:tcPr>
          <w:p>
            <w:pPr>
              <w:pStyle w:val="TableParagraph"/>
              <w:spacing w:line="273" w:lineRule="auto" w:before="142"/>
              <w:ind w:left="122" w:right="101"/>
              <w:jc w:val="both"/>
              <w:rPr>
                <w:sz w:val="21"/>
              </w:rPr>
            </w:pPr>
            <w:r>
              <w:rPr>
                <w:spacing w:val="-7"/>
                <w:sz w:val="21"/>
              </w:rPr>
              <w:t>为了保障您的合法权益，您的住所、通讯地址或电话等联系方式变更时，请及时</w:t>
            </w:r>
            <w:r>
              <w:rPr>
                <w:spacing w:val="-8"/>
                <w:sz w:val="21"/>
              </w:rPr>
              <w:t>以书面形式或双方认可的其他形式通知我们。若您未以书面形式或双方认可的其</w:t>
            </w:r>
            <w:r>
              <w:rPr>
                <w:spacing w:val="-9"/>
                <w:sz w:val="21"/>
              </w:rPr>
              <w:t>他形式通知我们，我们按本合同载明的最后住所或通讯地址发送的有关通知，均</w:t>
            </w:r>
            <w:r>
              <w:rPr>
                <w:spacing w:val="-5"/>
                <w:sz w:val="21"/>
              </w:rPr>
              <w:t>视为已送达给您。</w:t>
            </w:r>
          </w:p>
        </w:tc>
      </w:tr>
      <w:tr>
        <w:trPr>
          <w:trHeight w:val="1897" w:hRule="atLeast"/>
        </w:trPr>
        <w:tc>
          <w:tcPr>
            <w:tcW w:w="839" w:type="dxa"/>
          </w:tcPr>
          <w:p>
            <w:pPr>
              <w:pStyle w:val="TableParagraph"/>
              <w:spacing w:before="143"/>
              <w:ind w:left="107"/>
              <w:rPr>
                <w:b/>
                <w:sz w:val="21"/>
              </w:rPr>
            </w:pPr>
            <w:r>
              <w:rPr>
                <w:b/>
                <w:sz w:val="21"/>
              </w:rPr>
              <w:t>8.8</w:t>
            </w:r>
          </w:p>
        </w:tc>
        <w:tc>
          <w:tcPr>
            <w:tcW w:w="1763" w:type="dxa"/>
          </w:tcPr>
          <w:p>
            <w:pPr>
              <w:pStyle w:val="TableParagraph"/>
              <w:spacing w:before="143"/>
              <w:ind w:left="373"/>
              <w:rPr>
                <w:b/>
                <w:sz w:val="21"/>
              </w:rPr>
            </w:pPr>
            <w:r>
              <w:rPr>
                <w:b/>
                <w:sz w:val="21"/>
              </w:rPr>
              <w:t>争议处理</w:t>
            </w:r>
          </w:p>
        </w:tc>
        <w:tc>
          <w:tcPr>
            <w:tcW w:w="7528" w:type="dxa"/>
          </w:tcPr>
          <w:p>
            <w:pPr>
              <w:pStyle w:val="TableParagraph"/>
              <w:spacing w:before="143"/>
              <w:ind w:left="122"/>
              <w:rPr>
                <w:sz w:val="21"/>
              </w:rPr>
            </w:pPr>
            <w:r>
              <w:rPr>
                <w:sz w:val="21"/>
              </w:rPr>
              <w:t>合同争议解决方式由当事人在合同约定时从下列两种方式中选择一种：</w:t>
            </w:r>
          </w:p>
          <w:p>
            <w:pPr>
              <w:pStyle w:val="TableParagraph"/>
              <w:tabs>
                <w:tab w:pos="7211" w:val="left" w:leader="none"/>
              </w:tabs>
              <w:spacing w:line="273" w:lineRule="auto" w:before="37"/>
              <w:ind w:left="648" w:right="103" w:hanging="527"/>
              <w:rPr>
                <w:sz w:val="21"/>
              </w:rPr>
            </w:pPr>
            <w:r>
              <w:rPr>
                <w:sz w:val="21"/>
              </w:rPr>
              <w:t>（1）因履行本合同发生的争议，由当事人协商解决，协商不成的，提</w:t>
            </w:r>
            <w:r>
              <w:rPr>
                <w:spacing w:val="5"/>
                <w:sz w:val="21"/>
              </w:rPr>
              <w:t>交</w:t>
            </w:r>
            <w:r>
              <w:rPr>
                <w:spacing w:val="5"/>
                <w:sz w:val="21"/>
                <w:u w:val="single"/>
              </w:rPr>
              <w:t> </w:t>
              <w:tab/>
            </w:r>
            <w:r>
              <w:rPr>
                <w:sz w:val="21"/>
              </w:rPr>
              <w:t>仲裁委</w:t>
            </w:r>
            <w:r>
              <w:rPr>
                <w:spacing w:val="-3"/>
                <w:sz w:val="21"/>
              </w:rPr>
              <w:t>员</w:t>
            </w:r>
            <w:r>
              <w:rPr>
                <w:sz w:val="21"/>
              </w:rPr>
              <w:t>会</w:t>
            </w:r>
            <w:r>
              <w:rPr>
                <w:spacing w:val="-3"/>
                <w:sz w:val="21"/>
              </w:rPr>
              <w:t>仲</w:t>
            </w:r>
            <w:r>
              <w:rPr>
                <w:sz w:val="21"/>
              </w:rPr>
              <w:t>裁；</w:t>
            </w:r>
          </w:p>
          <w:p>
            <w:pPr>
              <w:pStyle w:val="TableParagraph"/>
              <w:spacing w:line="273" w:lineRule="auto" w:before="7"/>
              <w:ind w:left="648" w:right="154" w:hanging="527"/>
              <w:rPr>
                <w:sz w:val="21"/>
              </w:rPr>
            </w:pPr>
            <w:r>
              <w:rPr>
                <w:sz w:val="21"/>
              </w:rPr>
              <w:t>（2）因履行本合同发生的争议，由当事人协商解决，协商不成的，依法向被告住所地人民法院起诉。</w:t>
            </w:r>
          </w:p>
        </w:tc>
      </w:tr>
      <w:tr>
        <w:trPr>
          <w:trHeight w:val="753" w:hRule="atLeast"/>
        </w:trPr>
        <w:tc>
          <w:tcPr>
            <w:tcW w:w="83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763" w:type="dxa"/>
            <w:tcBorders>
              <w:bottom w:val="single" w:sz="8" w:space="0" w:color="000000"/>
            </w:tcBorders>
          </w:tcPr>
          <w:p>
            <w:pPr>
              <w:pStyle w:val="TableParagraph"/>
              <w:spacing w:before="10"/>
              <w:rPr>
                <w:sz w:val="18"/>
              </w:rPr>
            </w:pPr>
          </w:p>
          <w:p>
            <w:pPr>
              <w:pStyle w:val="TableParagraph"/>
              <w:ind w:left="373"/>
              <w:rPr>
                <w:b/>
                <w:sz w:val="24"/>
              </w:rPr>
            </w:pPr>
            <w:r>
              <w:rPr>
                <w:b/>
                <w:sz w:val="24"/>
              </w:rPr>
              <w:t>释义</w:t>
            </w:r>
          </w:p>
        </w:tc>
        <w:tc>
          <w:tcPr>
            <w:tcW w:w="7528" w:type="dxa"/>
            <w:tcBorders>
              <w:bottom w:val="single" w:sz="8" w:space="0" w:color="000000"/>
            </w:tcBorders>
          </w:tcPr>
          <w:p>
            <w:pPr>
              <w:pStyle w:val="TableParagraph"/>
              <w:rPr>
                <w:rFonts w:ascii="Times New Roman"/>
                <w:sz w:val="20"/>
              </w:rPr>
            </w:pPr>
          </w:p>
        </w:tc>
      </w:tr>
      <w:tr>
        <w:trPr>
          <w:trHeight w:val="1181" w:hRule="atLeast"/>
        </w:trPr>
        <w:tc>
          <w:tcPr>
            <w:tcW w:w="839" w:type="dxa"/>
            <w:tcBorders>
              <w:top w:val="single" w:sz="8" w:space="0" w:color="000000"/>
            </w:tcBorders>
          </w:tcPr>
          <w:p>
            <w:pPr>
              <w:pStyle w:val="TableParagraph"/>
              <w:spacing w:before="8"/>
              <w:rPr>
                <w:sz w:val="29"/>
              </w:rPr>
            </w:pPr>
          </w:p>
          <w:p>
            <w:pPr>
              <w:pStyle w:val="TableParagraph"/>
              <w:ind w:left="107"/>
              <w:rPr>
                <w:b/>
                <w:sz w:val="21"/>
              </w:rPr>
            </w:pPr>
            <w:r>
              <w:rPr>
                <w:b/>
                <w:sz w:val="21"/>
              </w:rPr>
              <w:t>9.1</w:t>
            </w:r>
          </w:p>
        </w:tc>
        <w:tc>
          <w:tcPr>
            <w:tcW w:w="1763" w:type="dxa"/>
            <w:tcBorders>
              <w:top w:val="single" w:sz="8" w:space="0" w:color="000000"/>
            </w:tcBorders>
          </w:tcPr>
          <w:p>
            <w:pPr>
              <w:pStyle w:val="TableParagraph"/>
              <w:spacing w:before="8"/>
              <w:rPr>
                <w:sz w:val="29"/>
              </w:rPr>
            </w:pPr>
          </w:p>
          <w:p>
            <w:pPr>
              <w:pStyle w:val="TableParagraph"/>
              <w:ind w:left="373"/>
              <w:rPr>
                <w:b/>
                <w:sz w:val="21"/>
              </w:rPr>
            </w:pPr>
            <w:r>
              <w:rPr>
                <w:b/>
                <w:sz w:val="21"/>
              </w:rPr>
              <w:t>保单周年日</w:t>
            </w:r>
          </w:p>
        </w:tc>
        <w:tc>
          <w:tcPr>
            <w:tcW w:w="7528" w:type="dxa"/>
            <w:tcBorders>
              <w:top w:val="single" w:sz="8" w:space="0" w:color="000000"/>
            </w:tcBorders>
          </w:tcPr>
          <w:p>
            <w:pPr>
              <w:pStyle w:val="TableParagraph"/>
              <w:spacing w:before="8"/>
              <w:rPr>
                <w:sz w:val="29"/>
              </w:rPr>
            </w:pPr>
          </w:p>
          <w:p>
            <w:pPr>
              <w:pStyle w:val="TableParagraph"/>
              <w:spacing w:line="273" w:lineRule="auto"/>
              <w:ind w:left="122" w:right="103"/>
              <w:rPr>
                <w:sz w:val="21"/>
              </w:rPr>
            </w:pPr>
            <w:r>
              <w:rPr>
                <w:spacing w:val="-7"/>
                <w:sz w:val="21"/>
              </w:rPr>
              <w:t>指在本合同有效期内，本合同生效日在合同生效后每年的对应日，不含本合同生</w:t>
            </w:r>
            <w:r>
              <w:rPr>
                <w:spacing w:val="-5"/>
                <w:sz w:val="21"/>
              </w:rPr>
              <w:t>效日当日。若当月没有对应的同一日，则以该月最后一日为对应日。</w:t>
            </w:r>
          </w:p>
        </w:tc>
      </w:tr>
      <w:tr>
        <w:trPr>
          <w:trHeight w:val="936" w:hRule="atLeast"/>
        </w:trPr>
        <w:tc>
          <w:tcPr>
            <w:tcW w:w="839" w:type="dxa"/>
          </w:tcPr>
          <w:p>
            <w:pPr>
              <w:pStyle w:val="TableParagraph"/>
              <w:spacing w:before="143"/>
              <w:ind w:left="107"/>
              <w:rPr>
                <w:b/>
                <w:sz w:val="21"/>
              </w:rPr>
            </w:pPr>
            <w:r>
              <w:rPr>
                <w:b/>
                <w:sz w:val="21"/>
              </w:rPr>
              <w:t>9.2</w:t>
            </w:r>
          </w:p>
        </w:tc>
        <w:tc>
          <w:tcPr>
            <w:tcW w:w="1763" w:type="dxa"/>
          </w:tcPr>
          <w:p>
            <w:pPr>
              <w:pStyle w:val="TableParagraph"/>
              <w:spacing w:before="143"/>
              <w:ind w:left="373"/>
              <w:rPr>
                <w:b/>
                <w:sz w:val="21"/>
              </w:rPr>
            </w:pPr>
            <w:r>
              <w:rPr>
                <w:b/>
                <w:sz w:val="21"/>
              </w:rPr>
              <w:t>保单年度</w:t>
            </w:r>
          </w:p>
        </w:tc>
        <w:tc>
          <w:tcPr>
            <w:tcW w:w="7528" w:type="dxa"/>
          </w:tcPr>
          <w:p>
            <w:pPr>
              <w:pStyle w:val="TableParagraph"/>
              <w:spacing w:line="273" w:lineRule="auto" w:before="143"/>
              <w:ind w:left="122" w:right="101"/>
              <w:rPr>
                <w:sz w:val="21"/>
              </w:rPr>
            </w:pPr>
            <w:r>
              <w:rPr>
                <w:spacing w:val="-9"/>
                <w:sz w:val="21"/>
              </w:rPr>
              <w:t>指在本合同有效期内，从本合同生效日或保单周年日零时起至下一年度的保单周</w:t>
            </w:r>
            <w:r>
              <w:rPr>
                <w:spacing w:val="-5"/>
                <w:sz w:val="21"/>
              </w:rPr>
              <w:t>年日零时止为一个保单年度。</w:t>
            </w:r>
          </w:p>
        </w:tc>
      </w:tr>
      <w:tr>
        <w:trPr>
          <w:trHeight w:val="936" w:hRule="atLeast"/>
        </w:trPr>
        <w:tc>
          <w:tcPr>
            <w:tcW w:w="839" w:type="dxa"/>
          </w:tcPr>
          <w:p>
            <w:pPr>
              <w:pStyle w:val="TableParagraph"/>
              <w:spacing w:before="142"/>
              <w:ind w:left="107"/>
              <w:rPr>
                <w:b/>
                <w:sz w:val="21"/>
              </w:rPr>
            </w:pPr>
            <w:r>
              <w:rPr>
                <w:b/>
                <w:sz w:val="21"/>
              </w:rPr>
              <w:t>9.3</w:t>
            </w:r>
          </w:p>
        </w:tc>
        <w:tc>
          <w:tcPr>
            <w:tcW w:w="1763" w:type="dxa"/>
          </w:tcPr>
          <w:p>
            <w:pPr>
              <w:pStyle w:val="TableParagraph"/>
              <w:spacing w:line="273" w:lineRule="auto" w:before="142"/>
              <w:ind w:left="373" w:right="120"/>
              <w:rPr>
                <w:b/>
                <w:sz w:val="21"/>
              </w:rPr>
            </w:pPr>
            <w:r>
              <w:rPr>
                <w:b/>
                <w:sz w:val="21"/>
              </w:rPr>
              <w:t>保险费约定支付日</w:t>
            </w:r>
          </w:p>
        </w:tc>
        <w:tc>
          <w:tcPr>
            <w:tcW w:w="7528" w:type="dxa"/>
          </w:tcPr>
          <w:p>
            <w:pPr>
              <w:pStyle w:val="TableParagraph"/>
              <w:spacing w:line="273" w:lineRule="auto" w:before="142"/>
              <w:ind w:left="122"/>
              <w:rPr>
                <w:sz w:val="21"/>
              </w:rPr>
            </w:pPr>
            <w:r>
              <w:rPr>
                <w:spacing w:val="-10"/>
                <w:sz w:val="21"/>
              </w:rPr>
              <w:t>根据本合同交费方式确定的本合同生效日在每月、每季、每半年或每年的对应日。</w:t>
            </w:r>
            <w:r>
              <w:rPr>
                <w:spacing w:val="-5"/>
                <w:sz w:val="21"/>
              </w:rPr>
              <w:t>如果当月无对应的同一日，则以该月最后一日为对应日。</w:t>
            </w:r>
          </w:p>
        </w:tc>
      </w:tr>
      <w:tr>
        <w:trPr>
          <w:trHeight w:val="936" w:hRule="atLeast"/>
        </w:trPr>
        <w:tc>
          <w:tcPr>
            <w:tcW w:w="839" w:type="dxa"/>
          </w:tcPr>
          <w:p>
            <w:pPr>
              <w:pStyle w:val="TableParagraph"/>
              <w:spacing w:before="142"/>
              <w:ind w:left="107"/>
              <w:rPr>
                <w:b/>
                <w:sz w:val="21"/>
              </w:rPr>
            </w:pPr>
            <w:r>
              <w:rPr>
                <w:b/>
                <w:sz w:val="21"/>
              </w:rPr>
              <w:t>9.4</w:t>
            </w:r>
          </w:p>
        </w:tc>
        <w:tc>
          <w:tcPr>
            <w:tcW w:w="1763" w:type="dxa"/>
          </w:tcPr>
          <w:p>
            <w:pPr>
              <w:pStyle w:val="TableParagraph"/>
              <w:spacing w:before="142"/>
              <w:ind w:left="373"/>
              <w:rPr>
                <w:b/>
                <w:sz w:val="21"/>
              </w:rPr>
            </w:pPr>
            <w:r>
              <w:rPr>
                <w:b/>
                <w:sz w:val="21"/>
              </w:rPr>
              <w:t>有效身份证件</w:t>
            </w:r>
          </w:p>
        </w:tc>
        <w:tc>
          <w:tcPr>
            <w:tcW w:w="7528" w:type="dxa"/>
          </w:tcPr>
          <w:p>
            <w:pPr>
              <w:pStyle w:val="TableParagraph"/>
              <w:spacing w:line="273" w:lineRule="auto" w:before="142"/>
              <w:ind w:left="122" w:right="101"/>
              <w:rPr>
                <w:sz w:val="21"/>
              </w:rPr>
            </w:pPr>
            <w:r>
              <w:rPr>
                <w:spacing w:val="-6"/>
                <w:sz w:val="21"/>
              </w:rPr>
              <w:t>指由政府主管部门规定的证明其身份的证件，如：居民身份证、按规定可使用的</w:t>
            </w:r>
            <w:r>
              <w:rPr>
                <w:spacing w:val="-4"/>
                <w:sz w:val="21"/>
              </w:rPr>
              <w:t>有效护照、军官证、武警警官证、士兵证等证件。</w:t>
            </w:r>
          </w:p>
        </w:tc>
      </w:tr>
      <w:tr>
        <w:trPr>
          <w:trHeight w:val="936" w:hRule="atLeast"/>
        </w:trPr>
        <w:tc>
          <w:tcPr>
            <w:tcW w:w="839" w:type="dxa"/>
          </w:tcPr>
          <w:p>
            <w:pPr>
              <w:pStyle w:val="TableParagraph"/>
              <w:spacing w:before="142"/>
              <w:ind w:left="107"/>
              <w:rPr>
                <w:b/>
                <w:sz w:val="21"/>
              </w:rPr>
            </w:pPr>
            <w:r>
              <w:rPr>
                <w:b/>
                <w:sz w:val="21"/>
              </w:rPr>
              <w:t>9.5</w:t>
            </w:r>
          </w:p>
        </w:tc>
        <w:tc>
          <w:tcPr>
            <w:tcW w:w="1763" w:type="dxa"/>
          </w:tcPr>
          <w:p>
            <w:pPr>
              <w:pStyle w:val="TableParagraph"/>
              <w:spacing w:before="142"/>
              <w:ind w:left="373"/>
              <w:rPr>
                <w:b/>
                <w:sz w:val="21"/>
              </w:rPr>
            </w:pPr>
            <w:r>
              <w:rPr>
                <w:b/>
                <w:sz w:val="21"/>
              </w:rPr>
              <w:t>周岁</w:t>
            </w:r>
          </w:p>
        </w:tc>
        <w:tc>
          <w:tcPr>
            <w:tcW w:w="7528" w:type="dxa"/>
          </w:tcPr>
          <w:p>
            <w:pPr>
              <w:pStyle w:val="TableParagraph"/>
              <w:spacing w:line="273" w:lineRule="auto" w:before="142"/>
              <w:ind w:left="122" w:right="103"/>
              <w:rPr>
                <w:sz w:val="21"/>
              </w:rPr>
            </w:pPr>
            <w:r>
              <w:rPr>
                <w:spacing w:val="-6"/>
                <w:sz w:val="21"/>
              </w:rPr>
              <w:t>指按有效身份证件中记载的出生日期计算的年龄，自出生之日起为零周岁，每经</w:t>
            </w:r>
            <w:r>
              <w:rPr>
                <w:spacing w:val="-4"/>
                <w:sz w:val="21"/>
              </w:rPr>
              <w:t>过一年增加一岁，不足一年的不计。</w:t>
            </w:r>
          </w:p>
        </w:tc>
      </w:tr>
      <w:tr>
        <w:trPr>
          <w:trHeight w:val="1977" w:hRule="atLeast"/>
        </w:trPr>
        <w:tc>
          <w:tcPr>
            <w:tcW w:w="839" w:type="dxa"/>
          </w:tcPr>
          <w:p>
            <w:pPr>
              <w:pStyle w:val="TableParagraph"/>
              <w:spacing w:before="143"/>
              <w:ind w:left="107"/>
              <w:rPr>
                <w:b/>
                <w:sz w:val="21"/>
              </w:rPr>
            </w:pPr>
            <w:r>
              <w:rPr>
                <w:b/>
                <w:sz w:val="21"/>
              </w:rPr>
              <w:t>9.6</w:t>
            </w:r>
          </w:p>
        </w:tc>
        <w:tc>
          <w:tcPr>
            <w:tcW w:w="1763" w:type="dxa"/>
          </w:tcPr>
          <w:p>
            <w:pPr>
              <w:pStyle w:val="TableParagraph"/>
              <w:spacing w:before="143"/>
              <w:ind w:left="373"/>
              <w:rPr>
                <w:b/>
                <w:sz w:val="21"/>
              </w:rPr>
            </w:pPr>
            <w:r>
              <w:rPr>
                <w:b/>
                <w:sz w:val="21"/>
              </w:rPr>
              <w:t>意外伤害事故</w:t>
            </w:r>
          </w:p>
        </w:tc>
        <w:tc>
          <w:tcPr>
            <w:tcW w:w="7528" w:type="dxa"/>
          </w:tcPr>
          <w:p>
            <w:pPr>
              <w:pStyle w:val="TableParagraph"/>
              <w:spacing w:line="273" w:lineRule="auto" w:before="143"/>
              <w:ind w:left="122" w:right="48"/>
              <w:rPr>
                <w:sz w:val="21"/>
              </w:rPr>
            </w:pPr>
            <w:r>
              <w:rPr>
                <w:sz w:val="21"/>
              </w:rPr>
              <w:t>指外来的、非本意的、突然的、非疾病的使被保险人身体受到伤害的客观事件。</w:t>
            </w:r>
            <w:r>
              <w:rPr>
                <w:b/>
                <w:sz w:val="21"/>
              </w:rPr>
              <w:t>猝死</w:t>
            </w:r>
            <w:r>
              <w:rPr>
                <w:sz w:val="21"/>
              </w:rPr>
              <w:t>不属于意外伤害事故。</w:t>
            </w:r>
          </w:p>
          <w:p>
            <w:pPr>
              <w:pStyle w:val="TableParagraph"/>
              <w:spacing w:before="5"/>
              <w:rPr>
                <w:sz w:val="24"/>
              </w:rPr>
            </w:pPr>
          </w:p>
          <w:p>
            <w:pPr>
              <w:pStyle w:val="TableParagraph"/>
              <w:spacing w:before="1"/>
              <w:ind w:left="122"/>
              <w:rPr>
                <w:sz w:val="21"/>
              </w:rPr>
            </w:pPr>
            <w:r>
              <w:rPr>
                <w:sz w:val="21"/>
              </w:rPr>
              <w:t>其中，猝死：指表面健康的人因潜在疾病、机能障碍或其他原因在出现症状后</w:t>
            </w:r>
          </w:p>
          <w:p>
            <w:pPr>
              <w:pStyle w:val="TableParagraph"/>
              <w:spacing w:line="310" w:lineRule="atLeast" w:before="2"/>
              <w:ind w:left="122" w:right="103"/>
              <w:rPr>
                <w:sz w:val="21"/>
              </w:rPr>
            </w:pPr>
            <w:r>
              <w:rPr>
                <w:sz w:val="21"/>
              </w:rPr>
              <w:t>24 小时内发生的非暴力性突然死亡。猝死的认定以医院的诊断和公安部门的鉴定为准。</w:t>
            </w:r>
          </w:p>
        </w:tc>
      </w:tr>
    </w:tbl>
    <w:p>
      <w:pPr>
        <w:spacing w:after="0" w:line="310" w:lineRule="atLeast"/>
        <w:rPr>
          <w:sz w:val="21"/>
        </w:rPr>
        <w:sectPr>
          <w:pgSz w:w="11910" w:h="16840"/>
          <w:pgMar w:top="1160" w:bottom="280" w:left="80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1"/>
        <w:gridCol w:w="1573"/>
        <w:gridCol w:w="7940"/>
      </w:tblGrid>
      <w:tr>
        <w:trPr>
          <w:trHeight w:val="14253" w:hRule="atLeast"/>
        </w:trPr>
        <w:tc>
          <w:tcPr>
            <w:tcW w:w="911" w:type="dxa"/>
          </w:tcPr>
          <w:p>
            <w:pPr>
              <w:pStyle w:val="TableParagraph"/>
              <w:spacing w:line="211" w:lineRule="exact"/>
              <w:ind w:left="200"/>
              <w:rPr>
                <w:b/>
                <w:sz w:val="21"/>
              </w:rPr>
            </w:pPr>
            <w:r>
              <w:rPr>
                <w:b/>
                <w:sz w:val="21"/>
              </w:rPr>
              <w:t>9.7</w:t>
            </w:r>
          </w:p>
        </w:tc>
        <w:tc>
          <w:tcPr>
            <w:tcW w:w="1573" w:type="dxa"/>
          </w:tcPr>
          <w:p>
            <w:pPr>
              <w:pStyle w:val="TableParagraph"/>
              <w:spacing w:line="211" w:lineRule="exact"/>
              <w:ind w:left="393"/>
              <w:rPr>
                <w:b/>
                <w:sz w:val="21"/>
              </w:rPr>
            </w:pPr>
            <w:r>
              <w:rPr>
                <w:b/>
                <w:sz w:val="21"/>
              </w:rPr>
              <w:t>重大疾病</w:t>
            </w:r>
          </w:p>
        </w:tc>
        <w:tc>
          <w:tcPr>
            <w:tcW w:w="7940" w:type="dxa"/>
          </w:tcPr>
          <w:p>
            <w:pPr>
              <w:pStyle w:val="TableParagraph"/>
              <w:spacing w:line="211" w:lineRule="exact"/>
              <w:ind w:left="332"/>
              <w:rPr>
                <w:sz w:val="21"/>
              </w:rPr>
            </w:pPr>
            <w:r>
              <w:rPr>
                <w:sz w:val="21"/>
              </w:rPr>
              <w:t>本合同所指的重大疾病（共50种），是指符合下列定义的疾病、疾病状态或手术：</w:t>
            </w:r>
          </w:p>
          <w:p>
            <w:pPr>
              <w:pStyle w:val="TableParagraph"/>
              <w:spacing w:before="9"/>
              <w:rPr>
                <w:sz w:val="26"/>
              </w:rPr>
            </w:pPr>
          </w:p>
          <w:p>
            <w:pPr>
              <w:pStyle w:val="TableParagraph"/>
              <w:ind w:left="332"/>
              <w:rPr>
                <w:b/>
                <w:sz w:val="21"/>
              </w:rPr>
            </w:pPr>
            <w:r>
              <w:rPr>
                <w:b/>
                <w:sz w:val="21"/>
              </w:rPr>
              <w:t>（一）恶性肿瘤</w:t>
            </w:r>
          </w:p>
          <w:p>
            <w:pPr>
              <w:pStyle w:val="TableParagraph"/>
              <w:spacing w:line="273" w:lineRule="auto" w:before="37"/>
              <w:ind w:left="332" w:right="211" w:firstLine="420"/>
              <w:jc w:val="both"/>
              <w:rPr>
                <w:sz w:val="21"/>
              </w:rPr>
            </w:pPr>
            <w:r>
              <w:rPr>
                <w:spacing w:val="-6"/>
                <w:sz w:val="21"/>
              </w:rPr>
              <w:t>指恶性细胞不受控制的进行性增长和扩散，浸润和破坏周围正常组织，可以</w:t>
            </w:r>
            <w:r>
              <w:rPr>
                <w:spacing w:val="-8"/>
                <w:sz w:val="21"/>
              </w:rPr>
              <w:t>经血管、淋巴管和体腔扩散转移到身体其他部位的疾病。经病理学检查结果明确</w:t>
            </w:r>
            <w:r>
              <w:rPr>
                <w:spacing w:val="8"/>
                <w:sz w:val="21"/>
              </w:rPr>
              <w:t>诊断，临床诊断属于世界卫生组织《疾病和有关健康问题的国际统计分类》</w:t>
            </w:r>
          </w:p>
          <w:p>
            <w:pPr>
              <w:pStyle w:val="TableParagraph"/>
              <w:spacing w:line="273" w:lineRule="auto" w:before="8"/>
              <w:ind w:left="753" w:right="4662" w:hanging="421"/>
              <w:rPr>
                <w:sz w:val="21"/>
              </w:rPr>
            </w:pPr>
            <w:r>
              <w:rPr>
                <w:sz w:val="21"/>
              </w:rPr>
              <w:t>（ICD-10）</w:t>
            </w:r>
            <w:r>
              <w:rPr>
                <w:spacing w:val="-3"/>
                <w:sz w:val="21"/>
              </w:rPr>
              <w:t>的恶性肿瘤范畴。 下列疾病不在保障范围内：</w:t>
            </w:r>
          </w:p>
          <w:p>
            <w:pPr>
              <w:pStyle w:val="TableParagraph"/>
              <w:spacing w:before="8"/>
              <w:ind w:left="753"/>
              <w:rPr>
                <w:sz w:val="21"/>
              </w:rPr>
            </w:pPr>
            <w:r>
              <w:rPr>
                <w:sz w:val="21"/>
              </w:rPr>
              <w:t>1.原位癌；</w:t>
            </w:r>
          </w:p>
          <w:p>
            <w:pPr>
              <w:pStyle w:val="TableParagraph"/>
              <w:spacing w:before="37"/>
              <w:ind w:left="753"/>
              <w:rPr>
                <w:sz w:val="21"/>
              </w:rPr>
            </w:pPr>
            <w:r>
              <w:rPr>
                <w:sz w:val="21"/>
              </w:rPr>
              <w:t>2.相当于 Binet 分期方案 A 期程度的慢性淋巴细胞白血病；</w:t>
            </w:r>
          </w:p>
          <w:p>
            <w:pPr>
              <w:pStyle w:val="TableParagraph"/>
              <w:spacing w:before="37"/>
              <w:ind w:left="753"/>
              <w:rPr>
                <w:sz w:val="21"/>
              </w:rPr>
            </w:pPr>
            <w:r>
              <w:rPr>
                <w:sz w:val="21"/>
              </w:rPr>
              <w:t>3.相当于 Ann Arbor 分期方案 I 期程度的何杰金氏病；</w:t>
            </w:r>
          </w:p>
          <w:p>
            <w:pPr>
              <w:pStyle w:val="TableParagraph"/>
              <w:spacing w:before="37"/>
              <w:ind w:left="753"/>
              <w:rPr>
                <w:sz w:val="21"/>
              </w:rPr>
            </w:pPr>
            <w:r>
              <w:rPr>
                <w:w w:val="100"/>
                <w:sz w:val="21"/>
              </w:rPr>
              <w:t>4.</w:t>
            </w:r>
            <w:r>
              <w:rPr>
                <w:spacing w:val="-2"/>
                <w:w w:val="100"/>
                <w:sz w:val="21"/>
              </w:rPr>
              <w:t>皮肤癌</w:t>
            </w:r>
            <w:r>
              <w:rPr>
                <w:spacing w:val="-3"/>
                <w:w w:val="100"/>
                <w:sz w:val="21"/>
              </w:rPr>
              <w:t>（不包括恶性黑色素瘤及已发生转移的皮肤癌</w:t>
            </w:r>
            <w:r>
              <w:rPr>
                <w:spacing w:val="-108"/>
                <w:w w:val="100"/>
                <w:sz w:val="21"/>
              </w:rPr>
              <w:t>）</w:t>
            </w:r>
            <w:r>
              <w:rPr>
                <w:w w:val="100"/>
                <w:sz w:val="21"/>
              </w:rPr>
              <w:t>；</w:t>
            </w:r>
          </w:p>
          <w:p>
            <w:pPr>
              <w:pStyle w:val="TableParagraph"/>
              <w:spacing w:before="37"/>
              <w:ind w:left="753"/>
              <w:rPr>
                <w:sz w:val="21"/>
              </w:rPr>
            </w:pPr>
            <w:r>
              <w:rPr>
                <w:sz w:val="21"/>
              </w:rPr>
              <w:t>5.TNM 分期为 T1N0M0 期或更轻分期的前列腺癌；</w:t>
            </w:r>
          </w:p>
          <w:p>
            <w:pPr>
              <w:pStyle w:val="TableParagraph"/>
              <w:spacing w:before="37"/>
              <w:ind w:left="753"/>
              <w:rPr>
                <w:sz w:val="21"/>
              </w:rPr>
            </w:pPr>
            <w:r>
              <w:rPr>
                <w:sz w:val="21"/>
              </w:rPr>
              <w:t>6.感染艾滋病病毒或患艾滋病期间所患恶性肿瘤。</w:t>
            </w:r>
          </w:p>
          <w:p>
            <w:pPr>
              <w:pStyle w:val="TableParagraph"/>
              <w:spacing w:before="9"/>
              <w:rPr>
                <w:sz w:val="26"/>
              </w:rPr>
            </w:pPr>
          </w:p>
          <w:p>
            <w:pPr>
              <w:pStyle w:val="TableParagraph"/>
              <w:ind w:left="332"/>
              <w:rPr>
                <w:b/>
                <w:sz w:val="21"/>
              </w:rPr>
            </w:pPr>
            <w:r>
              <w:rPr>
                <w:b/>
                <w:sz w:val="21"/>
              </w:rPr>
              <w:t>（二）急性心肌梗塞</w:t>
            </w:r>
          </w:p>
          <w:p>
            <w:pPr>
              <w:pStyle w:val="TableParagraph"/>
              <w:spacing w:line="273" w:lineRule="auto" w:before="37"/>
              <w:ind w:left="332" w:right="241" w:firstLine="432"/>
              <w:rPr>
                <w:sz w:val="21"/>
              </w:rPr>
            </w:pPr>
            <w:r>
              <w:rPr>
                <w:sz w:val="21"/>
              </w:rPr>
              <w:t>指因冠状动脉阻塞导致的相应区域供血不足造成部分心肌坏死。须满足下列至少三项条件：</w:t>
            </w:r>
          </w:p>
          <w:p>
            <w:pPr>
              <w:pStyle w:val="TableParagraph"/>
              <w:spacing w:before="7"/>
              <w:ind w:left="765"/>
              <w:rPr>
                <w:sz w:val="21"/>
              </w:rPr>
            </w:pPr>
            <w:r>
              <w:rPr>
                <w:sz w:val="21"/>
              </w:rPr>
              <w:t>1.典型临床表现，例如急性胸痛等；</w:t>
            </w:r>
          </w:p>
          <w:p>
            <w:pPr>
              <w:pStyle w:val="TableParagraph"/>
              <w:spacing w:before="36"/>
              <w:ind w:left="765"/>
              <w:rPr>
                <w:sz w:val="21"/>
              </w:rPr>
            </w:pPr>
            <w:r>
              <w:rPr>
                <w:sz w:val="21"/>
              </w:rPr>
              <w:t>2.新近的心电图改变提示急性心肌梗塞；</w:t>
            </w:r>
          </w:p>
          <w:p>
            <w:pPr>
              <w:pStyle w:val="TableParagraph"/>
              <w:spacing w:before="36"/>
              <w:ind w:left="765"/>
              <w:rPr>
                <w:sz w:val="21"/>
              </w:rPr>
            </w:pPr>
            <w:r>
              <w:rPr>
                <w:sz w:val="21"/>
              </w:rPr>
              <w:t>3.心肌酶或肌钙蛋白有诊断意义的升高，或呈符合急性心肌梗塞的动态性变</w:t>
            </w:r>
          </w:p>
          <w:p>
            <w:pPr>
              <w:pStyle w:val="TableParagraph"/>
              <w:spacing w:before="36"/>
              <w:ind w:left="332"/>
              <w:rPr>
                <w:sz w:val="21"/>
              </w:rPr>
            </w:pPr>
            <w:r>
              <w:rPr>
                <w:sz w:val="21"/>
              </w:rPr>
              <w:t>化；</w:t>
            </w:r>
          </w:p>
          <w:p>
            <w:pPr>
              <w:pStyle w:val="TableParagraph"/>
              <w:spacing w:before="36"/>
              <w:ind w:left="753"/>
              <w:rPr>
                <w:sz w:val="21"/>
              </w:rPr>
            </w:pPr>
            <w:r>
              <w:rPr>
                <w:sz w:val="21"/>
              </w:rPr>
              <w:t>4.发病 90 天后，经检查证实左心室功能降低，如左心室射血分数低于 50%。</w:t>
            </w:r>
          </w:p>
          <w:p>
            <w:pPr>
              <w:pStyle w:val="TableParagraph"/>
              <w:spacing w:before="8"/>
              <w:rPr>
                <w:sz w:val="26"/>
              </w:rPr>
            </w:pPr>
          </w:p>
          <w:p>
            <w:pPr>
              <w:pStyle w:val="TableParagraph"/>
              <w:ind w:left="332"/>
              <w:rPr>
                <w:b/>
                <w:sz w:val="21"/>
              </w:rPr>
            </w:pPr>
            <w:r>
              <w:rPr>
                <w:b/>
                <w:sz w:val="21"/>
              </w:rPr>
              <w:t>（三）脑中风后遗症</w:t>
            </w:r>
          </w:p>
          <w:p>
            <w:pPr>
              <w:pStyle w:val="TableParagraph"/>
              <w:spacing w:line="273" w:lineRule="auto" w:before="37"/>
              <w:ind w:left="332" w:right="303" w:firstLine="432"/>
              <w:rPr>
                <w:sz w:val="21"/>
              </w:rPr>
            </w:pPr>
            <w:r>
              <w:rPr>
                <w:spacing w:val="-7"/>
                <w:sz w:val="21"/>
              </w:rPr>
              <w:t>指因脑血管的突发病变引起脑血管出血、栓塞或梗塞，并导致神经系统永久</w:t>
            </w:r>
            <w:r>
              <w:rPr>
                <w:spacing w:val="-5"/>
                <w:sz w:val="21"/>
              </w:rPr>
              <w:t>性的功能障碍。</w:t>
            </w:r>
          </w:p>
          <w:p>
            <w:pPr>
              <w:pStyle w:val="TableParagraph"/>
              <w:spacing w:line="273" w:lineRule="auto" w:before="7"/>
              <w:ind w:left="332" w:right="303" w:firstLine="432"/>
              <w:rPr>
                <w:sz w:val="21"/>
              </w:rPr>
            </w:pPr>
            <w:r>
              <w:rPr>
                <w:spacing w:val="-8"/>
                <w:sz w:val="21"/>
              </w:rPr>
              <w:t>神经系统永久性的功能障碍，指疾病确诊 </w:t>
            </w:r>
            <w:r>
              <w:rPr>
                <w:sz w:val="21"/>
              </w:rPr>
              <w:t>180</w:t>
            </w:r>
            <w:r>
              <w:rPr>
                <w:spacing w:val="-10"/>
                <w:sz w:val="21"/>
              </w:rPr>
              <w:t> 天后，仍遗留下列一种或一种</w:t>
            </w:r>
            <w:r>
              <w:rPr>
                <w:spacing w:val="-5"/>
                <w:sz w:val="21"/>
              </w:rPr>
              <w:t>以上障碍：</w:t>
            </w:r>
          </w:p>
          <w:p>
            <w:pPr>
              <w:pStyle w:val="TableParagraph"/>
              <w:spacing w:before="7"/>
              <w:ind w:left="765"/>
              <w:rPr>
                <w:sz w:val="21"/>
              </w:rPr>
            </w:pPr>
            <w:r>
              <w:rPr>
                <w:sz w:val="21"/>
              </w:rPr>
              <w:t>1.一肢或一肢以上肢体机能完全丧失；</w:t>
            </w:r>
          </w:p>
          <w:p>
            <w:pPr>
              <w:pStyle w:val="TableParagraph"/>
              <w:spacing w:before="37"/>
              <w:ind w:left="765"/>
              <w:rPr>
                <w:sz w:val="21"/>
              </w:rPr>
            </w:pPr>
            <w:r>
              <w:rPr>
                <w:sz w:val="21"/>
              </w:rPr>
              <w:t>2.语言能力或咀嚼吞咽能力完全丧失；</w:t>
            </w:r>
          </w:p>
          <w:p>
            <w:pPr>
              <w:pStyle w:val="TableParagraph"/>
              <w:spacing w:line="273" w:lineRule="auto" w:before="37"/>
              <w:ind w:left="332" w:right="305" w:firstLine="463"/>
              <w:rPr>
                <w:sz w:val="21"/>
              </w:rPr>
            </w:pPr>
            <w:r>
              <w:rPr>
                <w:sz w:val="21"/>
              </w:rPr>
              <w:t>3.</w:t>
            </w:r>
            <w:r>
              <w:rPr>
                <w:spacing w:val="-11"/>
                <w:sz w:val="21"/>
              </w:rPr>
              <w:t>自主生活能力完全丧失，无法独立完成六项基本日常生活活动中的三项或</w:t>
            </w:r>
            <w:r>
              <w:rPr>
                <w:spacing w:val="-6"/>
                <w:sz w:val="21"/>
              </w:rPr>
              <w:t>三项以上。</w:t>
            </w:r>
          </w:p>
          <w:p>
            <w:pPr>
              <w:pStyle w:val="TableParagraph"/>
              <w:spacing w:before="5"/>
              <w:rPr>
                <w:sz w:val="24"/>
              </w:rPr>
            </w:pPr>
          </w:p>
          <w:p>
            <w:pPr>
              <w:pStyle w:val="TableParagraph"/>
              <w:ind w:left="332"/>
              <w:rPr>
                <w:b/>
                <w:sz w:val="21"/>
              </w:rPr>
            </w:pPr>
            <w:r>
              <w:rPr>
                <w:b/>
                <w:sz w:val="21"/>
              </w:rPr>
              <w:t>（四）重大器官移植术或造血干细胞移植术</w:t>
            </w:r>
          </w:p>
          <w:p>
            <w:pPr>
              <w:pStyle w:val="TableParagraph"/>
              <w:spacing w:line="273" w:lineRule="auto" w:before="36"/>
              <w:ind w:left="332" w:right="303" w:firstLine="432"/>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73" w:lineRule="auto" w:before="7"/>
              <w:ind w:left="332" w:right="305" w:firstLine="420"/>
              <w:jc w:val="both"/>
              <w:rPr>
                <w:sz w:val="21"/>
              </w:rPr>
            </w:pPr>
            <w:r>
              <w:rPr>
                <w:spacing w:val="-7"/>
                <w:sz w:val="21"/>
              </w:rPr>
              <w:t>造血干细胞移植术，指因造血功能损害或造血系统恶性肿瘤，已经实施了造</w:t>
            </w:r>
            <w:r>
              <w:rPr>
                <w:spacing w:val="-10"/>
                <w:sz w:val="21"/>
              </w:rPr>
              <w:t>血干细胞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p>
            <w:pPr>
              <w:pStyle w:val="TableParagraph"/>
              <w:spacing w:before="5"/>
              <w:rPr>
                <w:sz w:val="24"/>
              </w:rPr>
            </w:pPr>
          </w:p>
          <w:p>
            <w:pPr>
              <w:pStyle w:val="TableParagraph"/>
              <w:ind w:left="332"/>
              <w:rPr>
                <w:b/>
                <w:sz w:val="21"/>
              </w:rPr>
            </w:pPr>
            <w:r>
              <w:rPr>
                <w:b/>
                <w:sz w:val="21"/>
              </w:rPr>
              <w:t>（五）冠状动脉搭桥术（或称冠状动脉旁路移植术）</w:t>
            </w:r>
          </w:p>
          <w:p>
            <w:pPr>
              <w:pStyle w:val="TableParagraph"/>
              <w:spacing w:before="36"/>
              <w:ind w:left="765"/>
              <w:rPr>
                <w:sz w:val="21"/>
              </w:rPr>
            </w:pPr>
            <w:r>
              <w:rPr>
                <w:sz w:val="21"/>
              </w:rPr>
              <w:t>指为治疗严重的冠心病，实际实施了开胸进行的冠状动脉血管旁路移植的手</w:t>
            </w:r>
          </w:p>
          <w:p>
            <w:pPr>
              <w:pStyle w:val="TableParagraph"/>
              <w:spacing w:before="36"/>
              <w:ind w:left="332"/>
              <w:rPr>
                <w:sz w:val="21"/>
              </w:rPr>
            </w:pPr>
            <w:r>
              <w:rPr>
                <w:sz w:val="21"/>
              </w:rPr>
              <w:t>术。</w:t>
            </w:r>
          </w:p>
          <w:p>
            <w:pPr>
              <w:pStyle w:val="TableParagraph"/>
              <w:spacing w:line="310" w:lineRule="atLeast" w:before="1"/>
              <w:ind w:left="332" w:right="305" w:firstLine="420"/>
              <w:rPr>
                <w:sz w:val="21"/>
              </w:rPr>
            </w:pPr>
            <w:r>
              <w:rPr>
                <w:spacing w:val="-8"/>
                <w:sz w:val="21"/>
              </w:rPr>
              <w:t>冠状动脉支架植入术、心导管球囊扩张术、激光射频技术及其他非开胸的介</w:t>
            </w:r>
            <w:r>
              <w:rPr>
                <w:spacing w:val="-5"/>
                <w:sz w:val="21"/>
              </w:rPr>
              <w:t>入手术、腔镜手术不在保障范围内。</w:t>
            </w:r>
          </w:p>
        </w:tc>
      </w:tr>
    </w:tbl>
    <w:p>
      <w:pPr>
        <w:spacing w:after="0" w:line="310" w:lineRule="atLeast"/>
        <w:rPr>
          <w:sz w:val="21"/>
        </w:rPr>
        <w:sectPr>
          <w:pgSz w:w="11910" w:h="16840"/>
          <w:pgMar w:top="1160" w:bottom="280" w:left="720" w:right="560"/>
        </w:sectPr>
      </w:pPr>
    </w:p>
    <w:p>
      <w:pPr>
        <w:pStyle w:val="Heading2"/>
        <w:spacing w:before="14"/>
      </w:pPr>
      <w:r>
        <w:rPr/>
        <w:t>（六）终末期肾病（或称慢性肾功能衰竭尿毒症期）</w:t>
      </w:r>
    </w:p>
    <w:p>
      <w:pPr>
        <w:pStyle w:val="BodyText"/>
        <w:ind w:left="2377"/>
      </w:pPr>
      <w:r>
        <w:rPr/>
        <w:t>指双肾功能慢性不可逆性衰竭，达到尿毒症期，经诊断后已经进行了至少</w:t>
      </w:r>
    </w:p>
    <w:p>
      <w:pPr>
        <w:pStyle w:val="BodyText"/>
        <w:spacing w:before="36"/>
        <w:ind w:left="1956"/>
      </w:pPr>
      <w:r>
        <w:rPr/>
        <w:t>90 天的规律性透析治疗或实施了肾脏移植手术。</w:t>
      </w:r>
    </w:p>
    <w:p>
      <w:pPr>
        <w:pStyle w:val="BodyText"/>
        <w:spacing w:before="8"/>
        <w:rPr>
          <w:sz w:val="26"/>
        </w:rPr>
      </w:pPr>
    </w:p>
    <w:p>
      <w:pPr>
        <w:pStyle w:val="Heading2"/>
      </w:pPr>
      <w:r>
        <w:rPr/>
        <w:t>（七）重型再生障碍性贫血</w:t>
      </w:r>
    </w:p>
    <w:p>
      <w:pPr>
        <w:pStyle w:val="BodyText"/>
        <w:spacing w:line="273" w:lineRule="auto" w:before="36"/>
        <w:ind w:left="1956" w:right="205" w:firstLine="432"/>
      </w:pPr>
      <w:r>
        <w:rPr>
          <w:spacing w:val="-7"/>
        </w:rPr>
        <w:t>指因骨髓造血功能慢性持续性衰竭导致的贫血、中性粒细胞减少及血小板减</w:t>
      </w:r>
      <w:r>
        <w:rPr>
          <w:spacing w:val="-5"/>
        </w:rPr>
        <w:t>少。须满足下列全部条件：</w:t>
      </w:r>
    </w:p>
    <w:p>
      <w:pPr>
        <w:pStyle w:val="BodyText"/>
        <w:spacing w:before="7"/>
        <w:ind w:left="2388"/>
      </w:pPr>
      <w:r>
        <w:rPr/>
        <w:t>1.骨髓穿刺检查或骨髓活检结果支持诊断；</w:t>
      </w:r>
    </w:p>
    <w:p>
      <w:pPr>
        <w:pStyle w:val="BodyText"/>
        <w:ind w:left="2388"/>
      </w:pPr>
      <w:r>
        <w:rPr/>
        <w:t>2.外周血象须具备以下三项条件：</w:t>
      </w:r>
    </w:p>
    <w:p>
      <w:pPr>
        <w:pStyle w:val="BodyText"/>
        <w:ind w:left="2388"/>
      </w:pPr>
      <w:r>
        <w:rPr/>
        <w:t>（1）中性粒细胞绝对值≤0.5×109/L；</w:t>
      </w:r>
    </w:p>
    <w:p>
      <w:pPr>
        <w:pStyle w:val="BodyText"/>
        <w:ind w:left="2388"/>
      </w:pPr>
      <w:r>
        <w:rPr/>
        <w:t>（2）网织红细胞＜1%；</w:t>
      </w:r>
    </w:p>
    <w:p>
      <w:pPr>
        <w:pStyle w:val="BodyText"/>
        <w:ind w:left="2377"/>
      </w:pPr>
      <w:r>
        <w:rPr/>
        <w:t>（3）血小板绝对值≤20×109/L。</w:t>
      </w:r>
    </w:p>
    <w:p>
      <w:pPr>
        <w:pStyle w:val="BodyText"/>
        <w:spacing w:before="9"/>
        <w:rPr>
          <w:sz w:val="26"/>
        </w:rPr>
      </w:pPr>
    </w:p>
    <w:p>
      <w:pPr>
        <w:pStyle w:val="Heading2"/>
      </w:pPr>
      <w:r>
        <w:rPr/>
        <w:t>（八）特发性慢性肾上腺皮质功能衰竭</w:t>
      </w:r>
    </w:p>
    <w:p>
      <w:pPr>
        <w:pStyle w:val="BodyText"/>
        <w:spacing w:line="273" w:lineRule="auto" w:before="36"/>
        <w:ind w:left="1956" w:right="205" w:firstLine="432"/>
        <w:jc w:val="both"/>
      </w:pPr>
      <w:r>
        <w:rPr>
          <w:spacing w:val="-8"/>
        </w:rPr>
        <w:t>因为自身免疫功能紊乱，使肾上腺组织逐渐受损，而需要长期接受糖皮质激素及肾上腺皮质激素替代疗法。该病必须经内分泌专科医生确诊，并有以下报告</w:t>
      </w:r>
      <w:r>
        <w:rPr>
          <w:spacing w:val="-5"/>
        </w:rPr>
        <w:t>作为证据：</w:t>
      </w:r>
    </w:p>
    <w:p>
      <w:pPr>
        <w:pStyle w:val="BodyText"/>
        <w:spacing w:before="7"/>
        <w:ind w:left="2388"/>
      </w:pPr>
      <w:r>
        <w:rPr/>
        <w:t>1.促肾上腺皮质激素(ACTH)刺激试验；</w:t>
      </w:r>
    </w:p>
    <w:p>
      <w:pPr>
        <w:pStyle w:val="BodyText"/>
        <w:ind w:left="2388"/>
      </w:pPr>
      <w:r>
        <w:rPr/>
        <w:t>2.胰岛素血糖减少测试；</w:t>
      </w:r>
    </w:p>
    <w:p>
      <w:pPr>
        <w:pStyle w:val="BodyText"/>
        <w:ind w:left="2388"/>
      </w:pPr>
      <w:r>
        <w:rPr/>
        <w:t>3.血浆促肾上腺皮质激素(ACTH)水平测定；</w:t>
      </w:r>
    </w:p>
    <w:p>
      <w:pPr>
        <w:pStyle w:val="BodyText"/>
        <w:ind w:left="2388"/>
      </w:pPr>
      <w:r>
        <w:rPr/>
        <w:t>4.血浆肾素活性(PRA)测定。</w:t>
      </w:r>
    </w:p>
    <w:p>
      <w:pPr>
        <w:pStyle w:val="BodyText"/>
        <w:spacing w:line="273" w:lineRule="auto"/>
        <w:ind w:left="1956" w:right="144" w:firstLine="420"/>
      </w:pPr>
      <w:r>
        <w:rPr/>
        <w:t>慢性肾上腺皮质功能衰竭只对由自身免疫功能紊乱引起的承担保险责任，其他原因引起的除外。</w:t>
      </w:r>
    </w:p>
    <w:p>
      <w:pPr>
        <w:pStyle w:val="BodyText"/>
        <w:spacing w:before="5"/>
        <w:rPr>
          <w:sz w:val="24"/>
        </w:rPr>
      </w:pPr>
    </w:p>
    <w:p>
      <w:pPr>
        <w:pStyle w:val="Heading2"/>
      </w:pPr>
      <w:r>
        <w:rPr/>
        <w:t>（九）严重类风湿性关节炎</w:t>
      </w:r>
    </w:p>
    <w:p>
      <w:pPr>
        <w:pStyle w:val="BodyText"/>
        <w:spacing w:line="273" w:lineRule="auto"/>
        <w:ind w:left="1956" w:right="102" w:firstLine="432"/>
      </w:pPr>
      <w:r>
        <w:rPr/>
        <w:t>类风湿性关节炎为广泛分布的慢性进行性多关节病变，表现为关节严重变 </w:t>
      </w:r>
      <w:r>
        <w:rPr>
          <w:spacing w:val="-8"/>
        </w:rPr>
        <w:t>形，侵犯至少三个主要关节或关节组</w:t>
      </w:r>
      <w:r>
        <w:rPr>
          <w:spacing w:val="-3"/>
        </w:rPr>
        <w:t>（</w:t>
      </w:r>
      <w:r>
        <w:rPr>
          <w:spacing w:val="-14"/>
        </w:rPr>
        <w:t>如：双手</w:t>
      </w:r>
      <w:r>
        <w:rPr/>
        <w:t>（</w:t>
      </w:r>
      <w:r>
        <w:rPr>
          <w:spacing w:val="-3"/>
        </w:rPr>
        <w:t>多手指</w:t>
      </w:r>
      <w:r>
        <w:rPr>
          <w:spacing w:val="-22"/>
        </w:rPr>
        <w:t>）</w:t>
      </w:r>
      <w:r>
        <w:rPr>
          <w:spacing w:val="-13"/>
        </w:rPr>
        <w:t>关节、双足</w:t>
      </w:r>
      <w:r>
        <w:rPr/>
        <w:t>（</w:t>
      </w:r>
      <w:r>
        <w:rPr>
          <w:spacing w:val="-3"/>
        </w:rPr>
        <w:t>多足趾</w:t>
      </w:r>
      <w:r>
        <w:rPr/>
        <w:t>） 关节、双腕关节、双膝关节和双髋关节</w:t>
      </w:r>
      <w:r>
        <w:rPr>
          <w:spacing w:val="-106"/>
        </w:rPr>
        <w:t>）</w:t>
      </w:r>
      <w:r>
        <w:rPr/>
        <w:t>。类风湿性关节炎必须明确诊断并且已</w:t>
      </w:r>
      <w:r>
        <w:rPr>
          <w:spacing w:val="-5"/>
        </w:rPr>
        <w:t>经达到类风湿性关节炎功能分级Ⅲ级以上的功能障碍</w:t>
      </w:r>
      <w:r>
        <w:rPr>
          <w:spacing w:val="-3"/>
        </w:rPr>
        <w:t>（</w:t>
      </w:r>
      <w:r>
        <w:rPr>
          <w:spacing w:val="-6"/>
        </w:rPr>
        <w:t>关节活动严重限制，不能</w:t>
      </w:r>
      <w:r>
        <w:rPr>
          <w:spacing w:val="-4"/>
        </w:rPr>
        <w:t>完成大部分的日常工作和活动</w:t>
      </w:r>
      <w:r>
        <w:rPr>
          <w:spacing w:val="-3"/>
        </w:rPr>
        <w:t>）并且满足下列全部条件：</w:t>
      </w:r>
    </w:p>
    <w:p>
      <w:pPr>
        <w:pStyle w:val="BodyText"/>
        <w:spacing w:before="8"/>
        <w:ind w:left="2388"/>
      </w:pPr>
      <w:r>
        <w:rPr/>
        <w:t>1.晨僵；</w:t>
      </w:r>
    </w:p>
    <w:p>
      <w:pPr>
        <w:pStyle w:val="BodyText"/>
        <w:ind w:left="2388"/>
      </w:pPr>
      <w:r>
        <w:rPr/>
        <w:t>2.对称性关节炎；</w:t>
      </w:r>
    </w:p>
    <w:p>
      <w:pPr>
        <w:pStyle w:val="BodyText"/>
        <w:ind w:left="2388"/>
      </w:pPr>
      <w:r>
        <w:rPr/>
        <w:t>3.类风湿性皮下结节；</w:t>
      </w:r>
    </w:p>
    <w:p>
      <w:pPr>
        <w:pStyle w:val="BodyText"/>
        <w:ind w:left="2388"/>
      </w:pPr>
      <w:r>
        <w:rPr/>
        <w:t>4.类风湿因子滴度升高。</w:t>
      </w:r>
    </w:p>
    <w:p>
      <w:pPr>
        <w:pStyle w:val="BodyText"/>
        <w:spacing w:before="8"/>
        <w:rPr>
          <w:sz w:val="26"/>
        </w:rPr>
      </w:pPr>
    </w:p>
    <w:p>
      <w:pPr>
        <w:pStyle w:val="Heading2"/>
      </w:pPr>
      <w:r>
        <w:rPr/>
        <w:t>（十）严重瑞氏综合症（Reye 综合征，也称赖氏综合征、雷氏综合征）</w:t>
      </w:r>
    </w:p>
    <w:p>
      <w:pPr>
        <w:pStyle w:val="BodyText"/>
        <w:spacing w:line="273" w:lineRule="auto" w:before="36"/>
        <w:ind w:left="1956" w:right="102" w:firstLine="432"/>
      </w:pPr>
      <w:r>
        <w:rPr>
          <w:spacing w:val="-12"/>
        </w:rPr>
        <w:t>瑞氏综合症是线粒体功能障碍性疾病。导致脂肪代谢障碍，引起短链脂肪酸、</w:t>
      </w:r>
      <w:r>
        <w:rPr>
          <w:spacing w:val="-10"/>
        </w:rPr>
        <w:t>血氨升高，造成脑水肿。主要临床表现为急性发热、反复呕吐、惊厥及意识障碍等等。</w:t>
      </w:r>
    </w:p>
    <w:p>
      <w:pPr>
        <w:pStyle w:val="BodyText"/>
        <w:spacing w:line="273" w:lineRule="auto" w:before="7"/>
        <w:ind w:left="1956" w:right="216" w:firstLine="432"/>
      </w:pPr>
      <w:r>
        <w:rPr/>
        <w:t>肝脏活检是确诊的重要手段。瑞氏综合征需由三级医院的儿科专科医生确诊，并符合下列所有条件：</w:t>
      </w:r>
    </w:p>
    <w:p>
      <w:pPr>
        <w:pStyle w:val="BodyText"/>
        <w:spacing w:before="7"/>
        <w:ind w:left="2388"/>
      </w:pPr>
      <w:r>
        <w:rPr/>
        <w:t>1.有脑水肿和颅内压升高的脑脊液检查和影像学检查证据；</w:t>
      </w:r>
    </w:p>
    <w:p>
      <w:pPr>
        <w:pStyle w:val="BodyText"/>
        <w:spacing w:before="36"/>
        <w:ind w:left="2388"/>
      </w:pPr>
      <w:r>
        <w:rPr/>
        <w:t>2.血氨超过正常值的 3 倍；</w:t>
      </w:r>
    </w:p>
    <w:p>
      <w:pPr>
        <w:pStyle w:val="BodyText"/>
        <w:spacing w:before="36"/>
        <w:ind w:left="2388"/>
      </w:pPr>
      <w:r>
        <w:rPr/>
        <w:t>3.临床出现昏迷，病程至少达到疾病分期第 3 期。</w:t>
      </w:r>
    </w:p>
    <w:p>
      <w:pPr>
        <w:spacing w:after="0"/>
        <w:sectPr>
          <w:pgSz w:w="11910" w:h="16840"/>
          <w:pgMar w:top="1400" w:bottom="280" w:left="1680" w:right="760"/>
        </w:sectPr>
      </w:pPr>
    </w:p>
    <w:p>
      <w:pPr>
        <w:pStyle w:val="Heading2"/>
        <w:spacing w:before="22"/>
      </w:pPr>
      <w:r>
        <w:rPr/>
        <w:t>（十一）坏死性筋膜炎</w:t>
      </w:r>
    </w:p>
    <w:p>
      <w:pPr>
        <w:pStyle w:val="BodyText"/>
        <w:ind w:left="2388"/>
      </w:pPr>
      <w:r>
        <w:rPr/>
        <w:t>坏死性筋膜炎的诊断须同时符合下列要求：</w:t>
      </w:r>
    </w:p>
    <w:p>
      <w:pPr>
        <w:pStyle w:val="BodyText"/>
        <w:ind w:left="2388"/>
      </w:pPr>
      <w:r>
        <w:rPr/>
        <w:t>1.符合坏死性筋膜炎的一般临床表现；</w:t>
      </w:r>
    </w:p>
    <w:p>
      <w:pPr>
        <w:pStyle w:val="BodyText"/>
        <w:ind w:left="2388"/>
      </w:pPr>
      <w:r>
        <w:rPr/>
        <w:t>2.细菌培养检出致病菌；</w:t>
      </w:r>
    </w:p>
    <w:p>
      <w:pPr>
        <w:pStyle w:val="BodyText"/>
        <w:ind w:left="2388"/>
      </w:pPr>
      <w:r>
        <w:rPr/>
        <w:t>3.出现广泛性肌肉及软组织坏死，并导致身体受影响部位永久完全失去功</w:t>
      </w:r>
    </w:p>
    <w:p>
      <w:pPr>
        <w:pStyle w:val="BodyText"/>
        <w:ind w:left="1956"/>
      </w:pPr>
      <w:r>
        <w:rPr/>
        <w:t>能。</w:t>
      </w:r>
    </w:p>
    <w:p>
      <w:pPr>
        <w:pStyle w:val="BodyText"/>
        <w:ind w:left="2388"/>
      </w:pPr>
      <w:r>
        <w:rPr/>
        <w:t>所谓永久完全失去功能是指受影响部位的全部功能完全丧失超过 180 天者。</w:t>
      </w:r>
    </w:p>
    <w:p>
      <w:pPr>
        <w:pStyle w:val="BodyText"/>
        <w:spacing w:before="11"/>
        <w:rPr>
          <w:sz w:val="23"/>
        </w:rPr>
      </w:pPr>
    </w:p>
    <w:p>
      <w:pPr>
        <w:pStyle w:val="Heading2"/>
        <w:spacing w:before="37"/>
      </w:pPr>
      <w:r>
        <w:rPr/>
        <w:t>（十二）多个肢体缺失</w:t>
      </w:r>
    </w:p>
    <w:p>
      <w:pPr>
        <w:pStyle w:val="BodyText"/>
        <w:spacing w:line="273" w:lineRule="auto"/>
        <w:ind w:left="1956" w:right="165" w:firstLine="432"/>
        <w:jc w:val="both"/>
      </w:pPr>
      <w:r>
        <w:rPr>
          <w:spacing w:val="-6"/>
        </w:rPr>
        <w:t>指因疾病或意外伤害导致两个或两个以上肢体自腕关节或踝关节近端</w:t>
      </w:r>
      <w:r>
        <w:rPr/>
        <w:t>（</w:t>
      </w:r>
      <w:r>
        <w:rPr>
          <w:spacing w:val="-2"/>
        </w:rPr>
        <w:t>靠近</w:t>
      </w:r>
      <w:r>
        <w:rPr>
          <w:spacing w:val="-3"/>
        </w:rPr>
        <w:t>躯干端</w:t>
      </w:r>
      <w:r>
        <w:rPr/>
        <w:t>）</w:t>
      </w:r>
      <w:r>
        <w:rPr>
          <w:spacing w:val="-3"/>
        </w:rPr>
        <w:t>以上完全性断离。</w:t>
      </w:r>
    </w:p>
    <w:p>
      <w:pPr>
        <w:pStyle w:val="BodyText"/>
        <w:spacing w:before="5"/>
        <w:rPr>
          <w:sz w:val="24"/>
        </w:rPr>
      </w:pPr>
    </w:p>
    <w:p>
      <w:pPr>
        <w:pStyle w:val="Heading2"/>
      </w:pPr>
      <w:r>
        <w:rPr/>
        <w:t>（十三）急性出血坏死性胰腺炎开腹手术</w:t>
      </w:r>
    </w:p>
    <w:p>
      <w:pPr>
        <w:pStyle w:val="BodyText"/>
        <w:spacing w:line="273" w:lineRule="auto" w:before="36"/>
        <w:ind w:left="1956" w:right="165" w:firstLine="432"/>
        <w:jc w:val="both"/>
      </w:pPr>
      <w:r>
        <w:rPr>
          <w:spacing w:val="-6"/>
        </w:rPr>
        <w:t>指被保险人因为急性出血坏死性胰腺炎已经接受了外科开腹手术治疗，以进</w:t>
      </w:r>
      <w:r>
        <w:rPr>
          <w:spacing w:val="-4"/>
        </w:rPr>
        <w:t>行坏死组织清除、坏死病灶切除或胰腺切除。</w:t>
      </w:r>
    </w:p>
    <w:p>
      <w:pPr>
        <w:pStyle w:val="BodyText"/>
        <w:spacing w:line="273" w:lineRule="auto" w:before="7"/>
        <w:ind w:left="1956" w:right="172" w:firstLine="420"/>
        <w:jc w:val="both"/>
      </w:pPr>
      <w:r>
        <w:rPr/>
        <w:t>因饮酒所致的急性出血坏死性胰腺炎或经腹腔镜手术进行的治疗不在保障范围内。</w:t>
      </w:r>
    </w:p>
    <w:p>
      <w:pPr>
        <w:pStyle w:val="BodyText"/>
        <w:spacing w:before="5"/>
        <w:rPr>
          <w:sz w:val="24"/>
        </w:rPr>
      </w:pPr>
    </w:p>
    <w:p>
      <w:pPr>
        <w:pStyle w:val="Heading2"/>
      </w:pPr>
      <w:r>
        <w:rPr/>
        <w:t>（十四）严重克隆病</w:t>
      </w:r>
    </w:p>
    <w:p>
      <w:pPr>
        <w:pStyle w:val="BodyText"/>
        <w:spacing w:line="273" w:lineRule="auto" w:before="36"/>
        <w:ind w:left="1956" w:right="165" w:firstLine="432"/>
        <w:jc w:val="both"/>
      </w:pPr>
      <w:r>
        <w:rPr>
          <w:spacing w:val="-7"/>
        </w:rPr>
        <w:t>克隆病是一种慢性肉芽肿性肠炎，具有特征性的克隆病病理组织学变化。诊</w:t>
      </w:r>
      <w:r>
        <w:rPr>
          <w:spacing w:val="-9"/>
        </w:rPr>
        <w:t>断必须由病理检查结果证实。被保险人所患的克隆病必须已经造成瘘管形成并伴</w:t>
      </w:r>
      <w:r>
        <w:rPr>
          <w:spacing w:val="-5"/>
        </w:rPr>
        <w:t>有肠梗阻或肠穿孔。</w:t>
      </w:r>
    </w:p>
    <w:p>
      <w:pPr>
        <w:pStyle w:val="BodyText"/>
        <w:spacing w:before="5"/>
        <w:rPr>
          <w:sz w:val="24"/>
        </w:rPr>
      </w:pPr>
    </w:p>
    <w:p>
      <w:pPr>
        <w:pStyle w:val="Heading2"/>
      </w:pPr>
      <w:r>
        <w:rPr/>
        <w:t>（十五）严重溃疡性结肠炎</w:t>
      </w:r>
    </w:p>
    <w:p>
      <w:pPr>
        <w:pStyle w:val="BodyText"/>
        <w:spacing w:line="273" w:lineRule="auto"/>
        <w:ind w:left="1956" w:right="165" w:firstLine="432"/>
        <w:jc w:val="both"/>
      </w:pPr>
      <w:r>
        <w:rPr>
          <w:spacing w:val="-6"/>
        </w:rPr>
        <w:t>溃疡性结肠炎是指伴有致命性电解质紊乱的急性暴发性溃疡性结肠炎，病变</w:t>
      </w:r>
      <w:r>
        <w:rPr>
          <w:spacing w:val="-9"/>
        </w:rPr>
        <w:t>累及全结肠，表现为严重的血便和系统性症状体征，治疗通常采取全结肠切除和回肠造瘘术。溃疡性结肠炎必须根据组织病理学特点诊断，并且被保险人已经接</w:t>
      </w:r>
      <w:r>
        <w:rPr>
          <w:spacing w:val="-5"/>
        </w:rPr>
        <w:t>受了结肠切除和回肠造瘘术。</w:t>
      </w:r>
    </w:p>
    <w:p>
      <w:pPr>
        <w:pStyle w:val="BodyText"/>
        <w:spacing w:before="5"/>
        <w:rPr>
          <w:sz w:val="24"/>
        </w:rPr>
      </w:pPr>
    </w:p>
    <w:p>
      <w:pPr>
        <w:pStyle w:val="Heading2"/>
      </w:pPr>
      <w:r>
        <w:rPr/>
        <w:t>（十六）系统性红斑狼疮并发肾功能损害</w:t>
      </w:r>
    </w:p>
    <w:p>
      <w:pPr>
        <w:pStyle w:val="BodyText"/>
        <w:spacing w:line="273" w:lineRule="auto" w:before="36"/>
        <w:ind w:left="1956" w:right="166" w:firstLine="432"/>
        <w:jc w:val="both"/>
      </w:pPr>
      <w:r>
        <w:rPr/>
        <w:t>指一种自身免疫性结缔组织病，于体内有大量致病性自身抗体和免疫复合</w:t>
      </w:r>
      <w:r>
        <w:rPr>
          <w:spacing w:val="-8"/>
        </w:rPr>
        <w:t>物，造成组织损伤。系统性红斑狼疮的诊断必须经专科医生明确诊断，并须同时</w:t>
      </w:r>
      <w:r>
        <w:rPr>
          <w:spacing w:val="-5"/>
        </w:rPr>
        <w:t>满足下列条件：</w:t>
      </w:r>
    </w:p>
    <w:p>
      <w:pPr>
        <w:pStyle w:val="BodyText"/>
        <w:spacing w:before="7"/>
        <w:ind w:left="2377"/>
      </w:pPr>
      <w:r>
        <w:rPr/>
        <w:t>1.临床表现至少具备下列条件中的 4 个：</w:t>
      </w:r>
    </w:p>
    <w:p>
      <w:pPr>
        <w:pStyle w:val="BodyText"/>
        <w:tabs>
          <w:tab w:pos="3096" w:val="left" w:leader="none"/>
        </w:tabs>
        <w:ind w:left="2677"/>
      </w:pPr>
      <w:r>
        <w:rPr/>
        <w:t>①</w:t>
        <w:tab/>
      </w:r>
      <w:r>
        <w:rPr>
          <w:spacing w:val="-3"/>
        </w:rPr>
        <w:t>蝶形红斑或盘形红斑；</w:t>
      </w:r>
    </w:p>
    <w:p>
      <w:pPr>
        <w:pStyle w:val="BodyText"/>
        <w:tabs>
          <w:tab w:pos="3096" w:val="left" w:leader="none"/>
        </w:tabs>
        <w:ind w:left="2677"/>
      </w:pPr>
      <w:r>
        <w:rPr/>
        <w:t>②</w:t>
        <w:tab/>
      </w:r>
      <w:r>
        <w:rPr>
          <w:spacing w:val="-1"/>
        </w:rPr>
        <w:t>光敏感；</w:t>
      </w:r>
    </w:p>
    <w:p>
      <w:pPr>
        <w:pStyle w:val="BodyText"/>
        <w:tabs>
          <w:tab w:pos="3096" w:val="left" w:leader="none"/>
        </w:tabs>
        <w:ind w:left="2677"/>
      </w:pPr>
      <w:r>
        <w:rPr/>
        <w:t>③</w:t>
        <w:tab/>
      </w:r>
      <w:r>
        <w:rPr>
          <w:spacing w:val="-3"/>
        </w:rPr>
        <w:t>口鼻腔黏膜溃疡；</w:t>
      </w:r>
    </w:p>
    <w:p>
      <w:pPr>
        <w:pStyle w:val="BodyText"/>
        <w:tabs>
          <w:tab w:pos="3096" w:val="left" w:leader="none"/>
        </w:tabs>
        <w:ind w:left="2677"/>
      </w:pPr>
      <w:r>
        <w:rPr/>
        <w:t>④</w:t>
        <w:tab/>
      </w:r>
      <w:r>
        <w:rPr>
          <w:spacing w:val="-3"/>
        </w:rPr>
        <w:t>非畸形性关节炎或多关节痛；</w:t>
      </w:r>
    </w:p>
    <w:p>
      <w:pPr>
        <w:pStyle w:val="BodyText"/>
        <w:tabs>
          <w:tab w:pos="3096" w:val="left" w:leader="none"/>
        </w:tabs>
        <w:ind w:left="2677"/>
      </w:pPr>
      <w:r>
        <w:rPr/>
        <w:t>⑤</w:t>
        <w:tab/>
      </w:r>
      <w:r>
        <w:rPr>
          <w:spacing w:val="-3"/>
        </w:rPr>
        <w:t>胸膜炎或心包炎；</w:t>
      </w:r>
    </w:p>
    <w:p>
      <w:pPr>
        <w:pStyle w:val="BodyText"/>
        <w:tabs>
          <w:tab w:pos="3096" w:val="left" w:leader="none"/>
        </w:tabs>
        <w:spacing w:before="36"/>
        <w:ind w:left="2677"/>
      </w:pPr>
      <w:r>
        <w:rPr>
          <w:w w:val="100"/>
        </w:rPr>
        <w:t>⑥</w:t>
      </w:r>
      <w:r>
        <w:rPr/>
        <w:tab/>
      </w:r>
      <w:r>
        <w:rPr>
          <w:spacing w:val="-2"/>
          <w:w w:val="100"/>
        </w:rPr>
        <w:t>神经系统损伤</w:t>
      </w:r>
      <w:r>
        <w:rPr>
          <w:spacing w:val="-3"/>
          <w:w w:val="100"/>
        </w:rPr>
        <w:t>（癫痫或精神症状</w:t>
      </w:r>
      <w:r>
        <w:rPr>
          <w:spacing w:val="-106"/>
          <w:w w:val="100"/>
        </w:rPr>
        <w:t>）</w:t>
      </w:r>
      <w:r>
        <w:rPr>
          <w:w w:val="100"/>
        </w:rPr>
        <w:t>；</w:t>
      </w:r>
    </w:p>
    <w:p>
      <w:pPr>
        <w:pStyle w:val="BodyText"/>
        <w:tabs>
          <w:tab w:pos="3096" w:val="left" w:leader="none"/>
        </w:tabs>
        <w:spacing w:line="273" w:lineRule="auto" w:before="36"/>
        <w:ind w:left="3097" w:right="167" w:hanging="420"/>
      </w:pPr>
      <w:r>
        <w:rPr/>
        <w:t>⑦</w:t>
        <w:tab/>
      </w:r>
      <w:r>
        <w:rPr>
          <w:spacing w:val="-1"/>
        </w:rPr>
        <w:t>血象异常</w:t>
      </w:r>
      <w:r>
        <w:rPr>
          <w:spacing w:val="-3"/>
        </w:rPr>
        <w:t>（</w:t>
      </w:r>
      <w:r>
        <w:rPr>
          <w:spacing w:val="-8"/>
        </w:rPr>
        <w:t>白细胞小于 </w:t>
      </w:r>
      <w:r>
        <w:rPr/>
        <w:t>4000/μl</w:t>
      </w:r>
      <w:r>
        <w:rPr>
          <w:spacing w:val="-11"/>
        </w:rPr>
        <w:t> 或血小板小于 </w:t>
      </w:r>
      <w:r>
        <w:rPr/>
        <w:t>100000/μl</w:t>
      </w:r>
      <w:r>
        <w:rPr>
          <w:spacing w:val="-9"/>
        </w:rPr>
        <w:t> 或溶血</w:t>
      </w:r>
      <w:r>
        <w:rPr>
          <w:spacing w:val="-7"/>
        </w:rPr>
        <w:t>性贫血</w:t>
      </w:r>
      <w:r>
        <w:rPr>
          <w:spacing w:val="-106"/>
        </w:rPr>
        <w:t>）</w:t>
      </w:r>
      <w:r>
        <w:rPr/>
        <w:t>。</w:t>
      </w:r>
    </w:p>
    <w:p>
      <w:pPr>
        <w:pStyle w:val="BodyText"/>
        <w:spacing w:before="7"/>
        <w:ind w:left="2377"/>
      </w:pPr>
      <w:r>
        <w:rPr/>
        <w:t>2.检测结果至少具备下列条件中的 2 个：</w:t>
      </w:r>
    </w:p>
    <w:p>
      <w:pPr>
        <w:pStyle w:val="BodyText"/>
        <w:tabs>
          <w:tab w:pos="3096" w:val="left" w:leader="none"/>
        </w:tabs>
        <w:ind w:left="2677"/>
      </w:pPr>
      <w:r>
        <w:rPr/>
        <w:t>①</w:t>
        <w:tab/>
      </w:r>
      <w:r>
        <w:rPr>
          <w:spacing w:val="-25"/>
        </w:rPr>
        <w:t>抗 </w:t>
      </w:r>
      <w:r>
        <w:rPr/>
        <w:t>dsDNA</w:t>
      </w:r>
      <w:r>
        <w:rPr>
          <w:spacing w:val="-10"/>
        </w:rPr>
        <w:t> 抗体阳性；</w:t>
      </w:r>
    </w:p>
    <w:p>
      <w:pPr>
        <w:pStyle w:val="BodyText"/>
        <w:tabs>
          <w:tab w:pos="3096" w:val="left" w:leader="none"/>
        </w:tabs>
        <w:ind w:left="2677"/>
      </w:pPr>
      <w:r>
        <w:rPr/>
        <w:t>②</w:t>
        <w:tab/>
      </w:r>
      <w:r>
        <w:rPr>
          <w:spacing w:val="-25"/>
        </w:rPr>
        <w:t>抗 </w:t>
      </w:r>
      <w:r>
        <w:rPr/>
        <w:t>Sm</w:t>
      </w:r>
      <w:r>
        <w:rPr>
          <w:spacing w:val="-11"/>
        </w:rPr>
        <w:t> 抗体阳性；</w:t>
      </w:r>
    </w:p>
    <w:p>
      <w:pPr>
        <w:pStyle w:val="BodyText"/>
        <w:tabs>
          <w:tab w:pos="3096" w:val="left" w:leader="none"/>
        </w:tabs>
        <w:ind w:left="2677"/>
      </w:pPr>
      <w:r>
        <w:rPr/>
        <w:t>③</w:t>
        <w:tab/>
      </w:r>
      <w:r>
        <w:rPr>
          <w:spacing w:val="-2"/>
        </w:rPr>
        <w:t>抗核抗体阳性；</w:t>
      </w:r>
    </w:p>
    <w:p>
      <w:pPr>
        <w:spacing w:after="0"/>
        <w:sectPr>
          <w:pgSz w:w="11910" w:h="16840"/>
          <w:pgMar w:top="1080" w:bottom="280" w:left="1680" w:right="800"/>
        </w:sectPr>
      </w:pPr>
    </w:p>
    <w:p>
      <w:pPr>
        <w:pStyle w:val="BodyText"/>
        <w:tabs>
          <w:tab w:pos="3096" w:val="left" w:leader="none"/>
        </w:tabs>
        <w:spacing w:before="22"/>
        <w:ind w:left="2677"/>
      </w:pPr>
      <w:r>
        <w:rPr/>
        <w:t>④</w:t>
        <w:tab/>
      </w:r>
      <w:r>
        <w:rPr>
          <w:spacing w:val="-3"/>
        </w:rPr>
        <w:t>皮肤狼疮带试验</w:t>
      </w:r>
      <w:r>
        <w:rPr/>
        <w:t>（</w:t>
      </w:r>
      <w:r>
        <w:rPr>
          <w:spacing w:val="-3"/>
        </w:rPr>
        <w:t>非病损部位）或肾活检阳性；</w:t>
      </w:r>
    </w:p>
    <w:p>
      <w:pPr>
        <w:pStyle w:val="BodyText"/>
        <w:tabs>
          <w:tab w:pos="3096" w:val="left" w:leader="none"/>
        </w:tabs>
        <w:ind w:left="2677"/>
      </w:pPr>
      <w:r>
        <w:rPr/>
        <w:t>⑤</w:t>
        <w:tab/>
        <w:t>C3</w:t>
      </w:r>
      <w:r>
        <w:rPr>
          <w:spacing w:val="-9"/>
        </w:rPr>
        <w:t> 低于正常值。</w:t>
      </w:r>
    </w:p>
    <w:p>
      <w:pPr>
        <w:pStyle w:val="BodyText"/>
        <w:ind w:left="2377"/>
      </w:pPr>
      <w:r>
        <w:rPr>
          <w:w w:val="100"/>
        </w:rPr>
        <w:t>3.</w:t>
      </w:r>
      <w:r>
        <w:rPr>
          <w:spacing w:val="-3"/>
          <w:w w:val="100"/>
        </w:rPr>
        <w:t>狼疮肾炎致使肾功能减退</w:t>
      </w:r>
      <w:r>
        <w:rPr>
          <w:w w:val="100"/>
        </w:rPr>
        <w:t>（</w:t>
      </w:r>
      <w:r>
        <w:rPr>
          <w:spacing w:val="-3"/>
          <w:w w:val="100"/>
        </w:rPr>
        <w:t>或损害</w:t>
      </w:r>
      <w:r>
        <w:rPr>
          <w:spacing w:val="-106"/>
          <w:w w:val="100"/>
        </w:rPr>
        <w:t>）</w:t>
      </w:r>
      <w:r>
        <w:rPr>
          <w:spacing w:val="-3"/>
          <w:w w:val="100"/>
        </w:rPr>
        <w:t>，且符合以下条件之一：</w:t>
      </w:r>
    </w:p>
    <w:p>
      <w:pPr>
        <w:pStyle w:val="BodyText"/>
        <w:tabs>
          <w:tab w:pos="3096" w:val="left" w:leader="none"/>
        </w:tabs>
        <w:spacing w:line="273" w:lineRule="auto"/>
        <w:ind w:left="3097" w:right="205" w:hanging="420"/>
      </w:pPr>
      <w:r>
        <w:rPr/>
        <w:t>①</w:t>
        <w:tab/>
      </w:r>
      <w:r>
        <w:rPr>
          <w:spacing w:val="-9"/>
        </w:rPr>
        <w:t>系统性红斑狼疮造成肾脏功能损害，尿蛋白＞</w:t>
      </w:r>
      <w:r>
        <w:rPr/>
        <w:t>2g/24</w:t>
      </w:r>
      <w:r>
        <w:rPr>
          <w:spacing w:val="-6"/>
        </w:rPr>
        <w:t> 小时且持续性蛋</w:t>
      </w:r>
      <w:r>
        <w:rPr>
          <w:spacing w:val="-1"/>
        </w:rPr>
        <w:t>白尿＞+++；</w:t>
      </w:r>
    </w:p>
    <w:p>
      <w:pPr>
        <w:pStyle w:val="BodyText"/>
        <w:tabs>
          <w:tab w:pos="3096" w:val="left" w:leader="none"/>
        </w:tabs>
        <w:spacing w:line="544" w:lineRule="auto" w:before="8"/>
        <w:ind w:left="2388" w:right="1110" w:firstLine="288"/>
      </w:pPr>
      <w:r>
        <w:rPr/>
        <w:pict>
          <v:shapetype id="_x0000_t202" o:spt="202" coordsize="21600,21600" path="m,l,21600r21600,l21600,xe">
            <v:stroke joinstyle="miter"/>
            <v:path gradientshapeok="t" o:connecttype="rect"/>
          </v:shapetype>
          <v:shape style="position:absolute;margin-left:189.339996pt;margin-top:50.388668pt;width:361.3pt;height:73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4216"/>
                  </w:tblGrid>
                  <w:tr>
                    <w:trPr>
                      <w:trHeight w:val="261" w:hRule="atLeast"/>
                    </w:trPr>
                    <w:tc>
                      <w:tcPr>
                        <w:tcW w:w="3009" w:type="dxa"/>
                      </w:tcPr>
                      <w:p>
                        <w:pPr>
                          <w:pStyle w:val="TableParagraph"/>
                          <w:spacing w:line="211" w:lineRule="exact"/>
                          <w:ind w:left="200"/>
                          <w:rPr>
                            <w:sz w:val="21"/>
                          </w:rPr>
                        </w:pPr>
                        <w:r>
                          <w:rPr>
                            <w:sz w:val="21"/>
                          </w:rPr>
                          <w:t>I 型（微小病变型）</w:t>
                        </w:r>
                      </w:p>
                    </w:tc>
                    <w:tc>
                      <w:tcPr>
                        <w:tcW w:w="4216" w:type="dxa"/>
                      </w:tcPr>
                      <w:p>
                        <w:pPr>
                          <w:pStyle w:val="TableParagraph"/>
                          <w:spacing w:line="211" w:lineRule="exact"/>
                          <w:ind w:left="127"/>
                          <w:rPr>
                            <w:sz w:val="21"/>
                          </w:rPr>
                        </w:pPr>
                        <w:r>
                          <w:rPr>
                            <w:sz w:val="21"/>
                          </w:rPr>
                          <w:t>镜下阴性，尿液正常</w:t>
                        </w:r>
                      </w:p>
                    </w:tc>
                  </w:tr>
                  <w:tr>
                    <w:trPr>
                      <w:trHeight w:val="312" w:hRule="atLeast"/>
                    </w:trPr>
                    <w:tc>
                      <w:tcPr>
                        <w:tcW w:w="3009" w:type="dxa"/>
                      </w:tcPr>
                      <w:p>
                        <w:pPr>
                          <w:pStyle w:val="TableParagraph"/>
                          <w:spacing w:line="261" w:lineRule="exact"/>
                          <w:ind w:left="200"/>
                          <w:rPr>
                            <w:sz w:val="21"/>
                          </w:rPr>
                        </w:pPr>
                        <w:r>
                          <w:rPr>
                            <w:sz w:val="21"/>
                          </w:rPr>
                          <w:t>II 型（系膜病变型）</w:t>
                        </w:r>
                      </w:p>
                    </w:tc>
                    <w:tc>
                      <w:tcPr>
                        <w:tcW w:w="4216" w:type="dxa"/>
                      </w:tcPr>
                      <w:p>
                        <w:pPr>
                          <w:pStyle w:val="TableParagraph"/>
                          <w:spacing w:line="261" w:lineRule="exact"/>
                          <w:ind w:left="127"/>
                          <w:rPr>
                            <w:sz w:val="21"/>
                          </w:rPr>
                        </w:pPr>
                        <w:r>
                          <w:rPr>
                            <w:sz w:val="21"/>
                          </w:rPr>
                          <w:t>中度蛋白尿，偶有尿沉渣改变</w:t>
                        </w:r>
                      </w:p>
                    </w:tc>
                  </w:tr>
                  <w:tr>
                    <w:trPr>
                      <w:trHeight w:val="312" w:hRule="atLeast"/>
                    </w:trPr>
                    <w:tc>
                      <w:tcPr>
                        <w:tcW w:w="3009" w:type="dxa"/>
                      </w:tcPr>
                      <w:p>
                        <w:pPr>
                          <w:pStyle w:val="TableParagraph"/>
                          <w:spacing w:line="261" w:lineRule="exact"/>
                          <w:ind w:left="200"/>
                          <w:rPr>
                            <w:sz w:val="21"/>
                          </w:rPr>
                        </w:pPr>
                        <w:r>
                          <w:rPr>
                            <w:sz w:val="21"/>
                          </w:rPr>
                          <w:t>III 型（局灶及节段增生型）</w:t>
                        </w:r>
                      </w:p>
                    </w:tc>
                    <w:tc>
                      <w:tcPr>
                        <w:tcW w:w="4216" w:type="dxa"/>
                      </w:tcPr>
                      <w:p>
                        <w:pPr>
                          <w:pStyle w:val="TableParagraph"/>
                          <w:spacing w:line="261" w:lineRule="exact"/>
                          <w:ind w:left="127"/>
                          <w:rPr>
                            <w:sz w:val="21"/>
                          </w:rPr>
                        </w:pPr>
                        <w:r>
                          <w:rPr>
                            <w:sz w:val="21"/>
                          </w:rPr>
                          <w:t>蛋白尿，尿沉渣改变</w:t>
                        </w:r>
                      </w:p>
                    </w:tc>
                  </w:tr>
                  <w:tr>
                    <w:trPr>
                      <w:trHeight w:val="312" w:hRule="atLeast"/>
                    </w:trPr>
                    <w:tc>
                      <w:tcPr>
                        <w:tcW w:w="3009" w:type="dxa"/>
                      </w:tcPr>
                      <w:p>
                        <w:pPr>
                          <w:pStyle w:val="TableParagraph"/>
                          <w:spacing w:line="261" w:lineRule="exact"/>
                          <w:ind w:left="200"/>
                          <w:rPr>
                            <w:sz w:val="21"/>
                          </w:rPr>
                        </w:pPr>
                        <w:r>
                          <w:rPr>
                            <w:sz w:val="21"/>
                          </w:rPr>
                          <w:t>IV 型（弥漫增生型）</w:t>
                        </w:r>
                      </w:p>
                    </w:tc>
                    <w:tc>
                      <w:tcPr>
                        <w:tcW w:w="4216" w:type="dxa"/>
                      </w:tcPr>
                      <w:p>
                        <w:pPr>
                          <w:pStyle w:val="TableParagraph"/>
                          <w:spacing w:line="261" w:lineRule="exact"/>
                          <w:ind w:left="127"/>
                          <w:rPr>
                            <w:sz w:val="21"/>
                          </w:rPr>
                        </w:pPr>
                        <w:r>
                          <w:rPr>
                            <w:sz w:val="21"/>
                          </w:rPr>
                          <w:t>急性肾炎伴有尿沉渣改变及/或肾病综合征</w:t>
                        </w:r>
                      </w:p>
                    </w:tc>
                  </w:tr>
                  <w:tr>
                    <w:trPr>
                      <w:trHeight w:val="261" w:hRule="atLeast"/>
                    </w:trPr>
                    <w:tc>
                      <w:tcPr>
                        <w:tcW w:w="3009" w:type="dxa"/>
                      </w:tcPr>
                      <w:p>
                        <w:pPr>
                          <w:pStyle w:val="TableParagraph"/>
                          <w:spacing w:line="242" w:lineRule="exact"/>
                          <w:ind w:left="200"/>
                          <w:rPr>
                            <w:sz w:val="21"/>
                          </w:rPr>
                        </w:pPr>
                        <w:r>
                          <w:rPr>
                            <w:sz w:val="21"/>
                          </w:rPr>
                          <w:t>V 型（膜型）</w:t>
                        </w:r>
                      </w:p>
                    </w:tc>
                    <w:tc>
                      <w:tcPr>
                        <w:tcW w:w="4216" w:type="dxa"/>
                      </w:tcPr>
                      <w:p>
                        <w:pPr>
                          <w:pStyle w:val="TableParagraph"/>
                          <w:spacing w:line="242" w:lineRule="exact"/>
                          <w:ind w:left="127"/>
                          <w:rPr>
                            <w:sz w:val="21"/>
                          </w:rPr>
                        </w:pPr>
                        <w:r>
                          <w:rPr>
                            <w:sz w:val="21"/>
                          </w:rPr>
                          <w:t>肾病综合征或重度蛋白尿</w:t>
                        </w:r>
                      </w:p>
                    </w:tc>
                  </w:tr>
                </w:tbl>
                <w:p>
                  <w:pPr>
                    <w:pStyle w:val="BodyText"/>
                    <w:spacing w:before="0"/>
                  </w:pPr>
                </w:p>
              </w:txbxContent>
            </v:textbox>
            <w10:wrap type="none"/>
          </v:shape>
        </w:pict>
      </w:r>
      <w:r>
        <w:rPr/>
        <w:t>②</w:t>
        <w:tab/>
      </w:r>
      <w:r>
        <w:rPr>
          <w:spacing w:val="-11"/>
        </w:rPr>
        <w:t>符合下列 </w:t>
      </w:r>
      <w:r>
        <w:rPr/>
        <w:t>WHO</w:t>
      </w:r>
      <w:r>
        <w:rPr>
          <w:spacing w:val="-14"/>
        </w:rPr>
        <w:t> 诊断标准定义的 </w:t>
      </w:r>
      <w:r>
        <w:rPr/>
        <w:t>III</w:t>
      </w:r>
      <w:r>
        <w:rPr>
          <w:spacing w:val="-26"/>
        </w:rPr>
        <w:t> 型至 </w:t>
      </w:r>
      <w:r>
        <w:rPr/>
        <w:t>V</w:t>
      </w:r>
      <w:r>
        <w:rPr>
          <w:spacing w:val="-9"/>
        </w:rPr>
        <w:t> 型狼疮性肾炎。</w:t>
      </w:r>
      <w:r>
        <w:rPr>
          <w:spacing w:val="-3"/>
          <w:u w:val="single"/>
        </w:rPr>
        <w:t>世界卫生组织</w:t>
      </w:r>
      <w:r>
        <w:rPr>
          <w:spacing w:val="-1"/>
          <w:u w:val="single"/>
        </w:rPr>
        <w:t>（WHO）</w:t>
      </w:r>
      <w:r>
        <w:rPr>
          <w:spacing w:val="-3"/>
          <w:u w:val="single"/>
        </w:rPr>
        <w:t>狼疮性肾炎分型：</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7"/>
        <w:rPr>
          <w:sz w:val="25"/>
        </w:rPr>
      </w:pPr>
    </w:p>
    <w:p>
      <w:pPr>
        <w:pStyle w:val="Heading2"/>
      </w:pPr>
      <w:r>
        <w:rPr/>
        <w:t>（十七）肝豆状核变性</w:t>
      </w:r>
    </w:p>
    <w:p>
      <w:pPr>
        <w:pStyle w:val="BodyText"/>
        <w:spacing w:line="273" w:lineRule="auto" w:before="36"/>
        <w:ind w:left="1956" w:right="205" w:firstLine="420"/>
        <w:jc w:val="both"/>
      </w:pPr>
      <w:r>
        <w:rPr>
          <w:spacing w:val="-6"/>
        </w:rPr>
        <w:t>肝豆状核变性是一种可能危及生命的铜代谢疾病，以铜沉积造成的渐进性肝功能损害及/或神经功能恶化为特征。必须由本公司认可医院的专科医生通过肝脏活组织检查结果确定诊断并配合螯合剂治疗持续至少 </w:t>
      </w:r>
      <w:r>
        <w:rPr/>
        <w:t>6</w:t>
      </w:r>
      <w:r>
        <w:rPr>
          <w:spacing w:val="-12"/>
        </w:rPr>
        <w:t> 个月。</w:t>
      </w:r>
    </w:p>
    <w:p>
      <w:pPr>
        <w:pStyle w:val="BodyText"/>
        <w:spacing w:line="273" w:lineRule="auto" w:before="7"/>
        <w:ind w:left="1956" w:right="102" w:firstLine="432"/>
      </w:pPr>
      <w:r>
        <w:rPr>
          <w:spacing w:val="-10"/>
        </w:rPr>
        <w:t>本公司承担本项疾病责任不受本合同责任免除中“遗传性疾病，先天性畸形、</w:t>
      </w:r>
      <w:r>
        <w:rPr>
          <w:spacing w:val="-5"/>
        </w:rPr>
        <w:t>变形或染色体异常”的限制。</w:t>
      </w:r>
    </w:p>
    <w:p>
      <w:pPr>
        <w:pStyle w:val="BodyText"/>
        <w:spacing w:before="5"/>
        <w:rPr>
          <w:sz w:val="24"/>
        </w:rPr>
      </w:pPr>
    </w:p>
    <w:p>
      <w:pPr>
        <w:pStyle w:val="Heading2"/>
      </w:pPr>
      <w:r>
        <w:rPr/>
        <w:t>（十八）胰腺移植</w:t>
      </w:r>
    </w:p>
    <w:p>
      <w:pPr>
        <w:pStyle w:val="BodyText"/>
        <w:spacing w:before="36"/>
        <w:ind w:left="2388"/>
      </w:pPr>
      <w:r>
        <w:rPr/>
        <w:t>指胰腺功能衰竭，已经实施了在全身麻醉下进行的胰腺的异体器官移植手</w:t>
      </w:r>
    </w:p>
    <w:p>
      <w:pPr>
        <w:pStyle w:val="BodyText"/>
        <w:spacing w:before="36"/>
        <w:ind w:left="1956"/>
      </w:pPr>
      <w:r>
        <w:rPr/>
        <w:t>术。</w:t>
      </w:r>
    </w:p>
    <w:p>
      <w:pPr>
        <w:pStyle w:val="BodyText"/>
        <w:spacing w:before="36"/>
        <w:ind w:left="2388"/>
      </w:pPr>
      <w:r>
        <w:rPr/>
        <w:t>单纯胰岛移植、部分胰腺组织或细胞的移植不在本保障范围内。</w:t>
      </w:r>
    </w:p>
    <w:p>
      <w:pPr>
        <w:pStyle w:val="BodyText"/>
        <w:spacing w:before="11"/>
        <w:rPr>
          <w:sz w:val="23"/>
        </w:rPr>
      </w:pPr>
    </w:p>
    <w:p>
      <w:pPr>
        <w:pStyle w:val="Heading2"/>
        <w:spacing w:before="37"/>
      </w:pPr>
      <w:r>
        <w:rPr/>
        <w:t>（十九）原发性硬化性胆管炎</w:t>
      </w:r>
    </w:p>
    <w:p>
      <w:pPr>
        <w:pStyle w:val="BodyText"/>
        <w:spacing w:line="273" w:lineRule="auto"/>
        <w:ind w:left="1956" w:right="104" w:firstLine="432"/>
      </w:pPr>
      <w:r>
        <w:rPr>
          <w:spacing w:val="-16"/>
        </w:rPr>
        <w:t>指一种胆汁淤积综合征，其特征是肝内、肝外胆道因纤维化性炎症逐渐狭窄， </w:t>
      </w:r>
      <w:r>
        <w:rPr>
          <w:spacing w:val="-10"/>
        </w:rPr>
        <w:t>并最终导致完全阻塞而发展为肝硬化。本病须经内镜逆行胰胆管造影等影像学检</w:t>
      </w:r>
      <w:r>
        <w:rPr>
          <w:spacing w:val="-5"/>
        </w:rPr>
        <w:t>查证实，并须满足下列全部条件：</w:t>
      </w:r>
    </w:p>
    <w:p>
      <w:pPr>
        <w:pStyle w:val="BodyText"/>
        <w:spacing w:before="7"/>
        <w:ind w:left="2388"/>
      </w:pPr>
      <w:r>
        <w:rPr/>
        <w:t>1.总胆红素和直接胆红素同时升高，血清 ALP&gt;200U/L；</w:t>
      </w:r>
    </w:p>
    <w:p>
      <w:pPr>
        <w:pStyle w:val="BodyText"/>
        <w:spacing w:before="36"/>
        <w:ind w:left="2388"/>
      </w:pPr>
      <w:r>
        <w:rPr/>
        <w:t>2.持续性黄疸病史；</w:t>
      </w:r>
    </w:p>
    <w:p>
      <w:pPr>
        <w:pStyle w:val="BodyText"/>
        <w:spacing w:before="36"/>
        <w:ind w:left="2388"/>
      </w:pPr>
      <w:r>
        <w:rPr/>
        <w:t>3.出现胆汁性肝硬化或门脉高压。</w:t>
      </w:r>
    </w:p>
    <w:p>
      <w:pPr>
        <w:pStyle w:val="BodyText"/>
        <w:spacing w:before="36"/>
        <w:ind w:left="2388"/>
      </w:pPr>
      <w:r>
        <w:rPr/>
        <w:t>因肿瘤或胆管损伤等继发性的硬化性胆管炎不在保障范围内。</w:t>
      </w:r>
    </w:p>
    <w:p>
      <w:pPr>
        <w:pStyle w:val="BodyText"/>
        <w:spacing w:before="8"/>
        <w:rPr>
          <w:sz w:val="26"/>
        </w:rPr>
      </w:pPr>
    </w:p>
    <w:p>
      <w:pPr>
        <w:pStyle w:val="Heading2"/>
      </w:pPr>
      <w:r>
        <w:rPr/>
        <w:t>（二十）严重自身免疫性肝炎</w:t>
      </w:r>
    </w:p>
    <w:p>
      <w:pPr>
        <w:pStyle w:val="BodyText"/>
        <w:spacing w:line="273" w:lineRule="auto" w:before="36"/>
        <w:ind w:left="1956" w:right="205" w:firstLine="432"/>
        <w:jc w:val="both"/>
      </w:pPr>
      <w:r>
        <w:rPr>
          <w:spacing w:val="-6"/>
        </w:rPr>
        <w:t>自身免疫性肝炎是一种原因不明的慢性肝脏的坏死性炎性疾病，机体免疫机</w:t>
      </w:r>
      <w:r>
        <w:rPr>
          <w:spacing w:val="-9"/>
        </w:rPr>
        <w:t>制被破坏，产生针对肝脏自身抗原的抗体导致自身免疫反应，从而破坏肝细胞造</w:t>
      </w:r>
      <w:r>
        <w:rPr>
          <w:spacing w:val="-5"/>
        </w:rPr>
        <w:t>成肝脏炎症坏死，进而发展为肝硬化。必须满足所有以下条件：</w:t>
      </w:r>
    </w:p>
    <w:p>
      <w:pPr>
        <w:pStyle w:val="BodyText"/>
        <w:spacing w:before="7"/>
        <w:ind w:left="2388"/>
      </w:pPr>
      <w:r>
        <w:rPr/>
        <w:t>1.高γ球蛋白血症；</w:t>
      </w:r>
    </w:p>
    <w:p>
      <w:pPr>
        <w:pStyle w:val="BodyText"/>
        <w:spacing w:line="273" w:lineRule="auto"/>
        <w:ind w:left="1956" w:right="205" w:firstLine="432"/>
      </w:pPr>
      <w:r>
        <w:rPr/>
        <w:t>2.</w:t>
      </w:r>
      <w:r>
        <w:rPr>
          <w:spacing w:val="-6"/>
        </w:rPr>
        <w:t>血液中存在高水平的自身免疫抗体，如 </w:t>
      </w:r>
      <w:r>
        <w:rPr/>
        <w:t>ANA（</w:t>
      </w:r>
      <w:r>
        <w:rPr>
          <w:spacing w:val="-3"/>
        </w:rPr>
        <w:t>抗核抗体</w:t>
      </w:r>
      <w:r>
        <w:rPr>
          <w:spacing w:val="-108"/>
        </w:rPr>
        <w:t>）</w:t>
      </w:r>
      <w:r>
        <w:rPr>
          <w:spacing w:val="-3"/>
        </w:rPr>
        <w:t>、</w:t>
      </w:r>
      <w:r>
        <w:rPr/>
        <w:t>SMA（</w:t>
      </w:r>
      <w:r>
        <w:rPr>
          <w:spacing w:val="-2"/>
        </w:rPr>
        <w:t>抗平滑肌抗体</w:t>
      </w:r>
      <w:r>
        <w:rPr>
          <w:spacing w:val="-108"/>
        </w:rPr>
        <w:t>）</w:t>
      </w:r>
      <w:r>
        <w:rPr>
          <w:spacing w:val="-17"/>
        </w:rPr>
        <w:t>、抗 </w:t>
      </w:r>
      <w:r>
        <w:rPr/>
        <w:t>LKM1</w:t>
      </w:r>
      <w:r>
        <w:rPr>
          <w:spacing w:val="-11"/>
        </w:rPr>
        <w:t> 抗体或抗-</w:t>
      </w:r>
      <w:r>
        <w:rPr/>
        <w:t>SLA/LP</w:t>
      </w:r>
      <w:r>
        <w:rPr>
          <w:spacing w:val="-13"/>
        </w:rPr>
        <w:t> 抗体；</w:t>
      </w:r>
    </w:p>
    <w:p>
      <w:pPr>
        <w:pStyle w:val="BodyText"/>
        <w:spacing w:before="7"/>
        <w:ind w:left="2388"/>
      </w:pPr>
      <w:r>
        <w:rPr/>
        <w:t>3.肝脏活检证实免疫性肝炎；</w:t>
      </w:r>
    </w:p>
    <w:p>
      <w:pPr>
        <w:pStyle w:val="BodyText"/>
        <w:spacing w:before="36"/>
        <w:ind w:left="2388"/>
      </w:pPr>
      <w:r>
        <w:rPr/>
        <w:t>4.临床已经出现腹水、食道静脉曲张和脾肿大等肝硬化表现。</w:t>
      </w:r>
    </w:p>
    <w:p>
      <w:pPr>
        <w:pStyle w:val="BodyText"/>
        <w:spacing w:before="8"/>
        <w:rPr>
          <w:sz w:val="26"/>
        </w:rPr>
      </w:pPr>
    </w:p>
    <w:p>
      <w:pPr>
        <w:pStyle w:val="Heading2"/>
      </w:pPr>
      <w:r>
        <w:rPr/>
        <w:t>（二十一）慢性肝功能衰竭失代偿期</w:t>
      </w:r>
    </w:p>
    <w:p>
      <w:pPr>
        <w:spacing w:after="0"/>
        <w:sectPr>
          <w:pgSz w:w="11910" w:h="16840"/>
          <w:pgMar w:top="1080" w:bottom="280" w:left="1680" w:right="760"/>
        </w:sectPr>
      </w:pPr>
    </w:p>
    <w:p>
      <w:pPr>
        <w:pStyle w:val="BodyText"/>
        <w:spacing w:before="22"/>
        <w:ind w:left="2388"/>
      </w:pPr>
      <w:r>
        <w:rPr/>
        <w:t>指因慢性肝脏疾病导致肝功能衰竭。须满足下列全部条件：</w:t>
      </w:r>
    </w:p>
    <w:p>
      <w:pPr>
        <w:pStyle w:val="BodyText"/>
        <w:ind w:left="2388"/>
      </w:pPr>
      <w:r>
        <w:rPr/>
        <w:t>1.持续性黄疸；</w:t>
      </w:r>
    </w:p>
    <w:p>
      <w:pPr>
        <w:pStyle w:val="BodyText"/>
        <w:ind w:left="2388"/>
      </w:pPr>
      <w:r>
        <w:rPr/>
        <w:t>2.腹水；</w:t>
      </w:r>
    </w:p>
    <w:p>
      <w:pPr>
        <w:pStyle w:val="BodyText"/>
        <w:ind w:left="2388"/>
      </w:pPr>
      <w:r>
        <w:rPr/>
        <w:t>3.肝性脑病；</w:t>
      </w:r>
    </w:p>
    <w:p>
      <w:pPr>
        <w:pStyle w:val="BodyText"/>
        <w:spacing w:line="273" w:lineRule="auto"/>
        <w:ind w:left="2388" w:right="2029"/>
      </w:pPr>
      <w:r>
        <w:rPr/>
        <w:t>4.</w:t>
      </w:r>
      <w:r>
        <w:rPr>
          <w:spacing w:val="-3"/>
        </w:rPr>
        <w:t>充血性脾肿大伴脾功能亢进或食管胃底静脉曲张。 因酗酒或药物滥用导致的肝功能衰竭不在保障范围内。</w:t>
      </w:r>
    </w:p>
    <w:p>
      <w:pPr>
        <w:pStyle w:val="BodyText"/>
        <w:spacing w:before="5"/>
        <w:rPr>
          <w:sz w:val="24"/>
        </w:rPr>
      </w:pPr>
    </w:p>
    <w:p>
      <w:pPr>
        <w:pStyle w:val="Heading2"/>
      </w:pPr>
      <w:r>
        <w:rPr/>
        <w:t>（二十二）深度昏迷</w:t>
      </w:r>
    </w:p>
    <w:p>
      <w:pPr>
        <w:pStyle w:val="BodyText"/>
        <w:spacing w:line="273" w:lineRule="auto" w:before="36"/>
        <w:ind w:left="1956" w:right="155" w:firstLine="432"/>
        <w:jc w:val="both"/>
      </w:pPr>
      <w:r>
        <w:rPr/>
        <w:t>指因疾病或意外伤害导致意识丧失,对外界刺激和体内需求均无反应,昏迷</w:t>
      </w:r>
      <w:r>
        <w:rPr>
          <w:spacing w:val="-3"/>
        </w:rPr>
        <w:t>程度按照格拉斯哥昏迷分级</w:t>
      </w:r>
      <w:r>
        <w:rPr/>
        <w:t>（Glasgow coma</w:t>
      </w:r>
      <w:r>
        <w:rPr>
          <w:spacing w:val="1"/>
        </w:rPr>
        <w:t>  </w:t>
      </w:r>
      <w:r>
        <w:rPr/>
        <w:t>scale）</w:t>
      </w:r>
      <w:r>
        <w:rPr>
          <w:spacing w:val="-15"/>
        </w:rPr>
        <w:t>结果为 </w:t>
      </w:r>
      <w:r>
        <w:rPr/>
        <w:t>5</w:t>
      </w:r>
      <w:r>
        <w:rPr>
          <w:spacing w:val="-28"/>
        </w:rPr>
        <w:t> 分或 </w:t>
      </w:r>
      <w:r>
        <w:rPr/>
        <w:t>5</w:t>
      </w:r>
      <w:r>
        <w:rPr>
          <w:spacing w:val="-12"/>
        </w:rPr>
        <w:t> 分以下， </w:t>
      </w:r>
      <w:r>
        <w:rPr>
          <w:spacing w:val="-8"/>
        </w:rPr>
        <w:t>且已经持续使用呼吸机及其它生命维持系统 </w:t>
      </w:r>
      <w:r>
        <w:rPr/>
        <w:t>96</w:t>
      </w:r>
      <w:r>
        <w:rPr>
          <w:spacing w:val="-9"/>
        </w:rPr>
        <w:t> 小时以上。</w:t>
      </w:r>
    </w:p>
    <w:p>
      <w:pPr>
        <w:pStyle w:val="BodyText"/>
        <w:spacing w:before="7"/>
        <w:ind w:left="2388"/>
      </w:pPr>
      <w:r>
        <w:rPr/>
        <w:t>因酗酒或药物滥用导致的深度昏迷不在保障范围内。</w:t>
      </w:r>
    </w:p>
    <w:p>
      <w:pPr>
        <w:pStyle w:val="BodyText"/>
        <w:spacing w:before="8"/>
        <w:rPr>
          <w:sz w:val="26"/>
        </w:rPr>
      </w:pPr>
    </w:p>
    <w:p>
      <w:pPr>
        <w:pStyle w:val="Heading2"/>
        <w:spacing w:before="1"/>
      </w:pPr>
      <w:r>
        <w:rPr/>
        <w:t>（二十三）终末期肺病</w:t>
      </w:r>
    </w:p>
    <w:p>
      <w:pPr>
        <w:pStyle w:val="BodyText"/>
        <w:spacing w:line="273" w:lineRule="auto" w:before="38"/>
        <w:ind w:left="1956" w:right="147" w:firstLine="432"/>
      </w:pPr>
      <w:r>
        <w:rPr/>
        <w:t>慢性肺部疾病导致永久不可逆性的慢性呼吸功能衰竭。慢性呼吸功能衰竭必须明确诊断并满足下列全部条件：</w:t>
      </w:r>
    </w:p>
    <w:p>
      <w:pPr>
        <w:pStyle w:val="BodyText"/>
        <w:spacing w:before="8"/>
        <w:ind w:left="2388"/>
      </w:pPr>
      <w:r>
        <w:rPr/>
        <w:t>1.动脉血氧分压（PaO2）&lt;50mmHg；</w:t>
      </w:r>
    </w:p>
    <w:p>
      <w:pPr>
        <w:pStyle w:val="BodyText"/>
        <w:ind w:left="2388"/>
      </w:pPr>
      <w:r>
        <w:rPr/>
        <w:t>2.动脉血氧饱和度（SaO2）&lt;80%；</w:t>
      </w:r>
    </w:p>
    <w:p>
      <w:pPr>
        <w:pStyle w:val="BodyText"/>
        <w:ind w:left="2388"/>
      </w:pPr>
      <w:r>
        <w:rPr/>
        <w:t>3.因缺氧必须接受持续的输氧治疗。</w:t>
      </w:r>
    </w:p>
    <w:p>
      <w:pPr>
        <w:pStyle w:val="BodyText"/>
        <w:ind w:left="2377"/>
      </w:pPr>
      <w:r>
        <w:rPr/>
        <w:t>理赔时必须提供以上三项相应的证明文件或检查报告。</w:t>
      </w:r>
    </w:p>
    <w:p>
      <w:pPr>
        <w:pStyle w:val="BodyText"/>
        <w:spacing w:before="8"/>
        <w:rPr>
          <w:sz w:val="26"/>
        </w:rPr>
      </w:pPr>
    </w:p>
    <w:p>
      <w:pPr>
        <w:pStyle w:val="Heading2"/>
      </w:pPr>
      <w:r>
        <w:rPr/>
        <w:t>（二十四）肾髓质囊性病</w:t>
      </w:r>
    </w:p>
    <w:p>
      <w:pPr>
        <w:pStyle w:val="BodyText"/>
        <w:spacing w:before="36"/>
        <w:ind w:left="2388"/>
      </w:pPr>
      <w:r>
        <w:rPr/>
        <w:t>肾髓质囊性病的诊断须同时符合下列要求：</w:t>
      </w:r>
    </w:p>
    <w:p>
      <w:pPr>
        <w:pStyle w:val="BodyText"/>
        <w:spacing w:before="36"/>
        <w:ind w:left="2388"/>
      </w:pPr>
      <w:r>
        <w:rPr/>
        <w:t>1.肾髓质有囊肿、肾小管萎缩及间质纤维化等病理改变；</w:t>
      </w:r>
    </w:p>
    <w:p>
      <w:pPr>
        <w:pStyle w:val="BodyText"/>
        <w:spacing w:before="36"/>
        <w:ind w:left="2388"/>
      </w:pPr>
      <w:r>
        <w:rPr/>
        <w:t>2.肾功能衰竭；</w:t>
      </w:r>
    </w:p>
    <w:p>
      <w:pPr>
        <w:pStyle w:val="BodyText"/>
        <w:spacing w:before="36"/>
        <w:ind w:left="2388"/>
      </w:pPr>
      <w:r>
        <w:rPr/>
        <w:t>3.诊断须由肾组织活检确定。</w:t>
      </w:r>
    </w:p>
    <w:p>
      <w:pPr>
        <w:pStyle w:val="BodyText"/>
        <w:spacing w:line="273" w:lineRule="auto"/>
        <w:ind w:left="1956" w:right="102" w:firstLine="432"/>
      </w:pPr>
      <w:r>
        <w:rPr>
          <w:spacing w:val="-10"/>
        </w:rPr>
        <w:t>本公司承担本项疾病责任不受本合同责任免除中“遗传性疾病，先天性畸形、</w:t>
      </w:r>
      <w:r>
        <w:rPr>
          <w:spacing w:val="-5"/>
        </w:rPr>
        <w:t>变形或染色体异常”的限制。</w:t>
      </w:r>
    </w:p>
    <w:p>
      <w:pPr>
        <w:pStyle w:val="BodyText"/>
        <w:spacing w:before="5"/>
        <w:rPr>
          <w:sz w:val="24"/>
        </w:rPr>
      </w:pPr>
    </w:p>
    <w:p>
      <w:pPr>
        <w:pStyle w:val="Heading2"/>
        <w:spacing w:before="1"/>
      </w:pPr>
      <w:r>
        <w:rPr/>
        <w:t>（二十五）急性或亚急性重症肝炎</w:t>
      </w:r>
    </w:p>
    <w:p>
      <w:pPr>
        <w:pStyle w:val="BodyText"/>
        <w:spacing w:line="273" w:lineRule="auto"/>
        <w:ind w:left="1956" w:right="147" w:firstLine="432"/>
      </w:pPr>
      <w:r>
        <w:rPr/>
        <w:t>指因肝炎病毒感染引起肝脏组织弥漫性坏死，导致急性肝功能衰竭，且经血清学或病毒学检查证实，并须满足下列全部条件：</w:t>
      </w:r>
    </w:p>
    <w:p>
      <w:pPr>
        <w:pStyle w:val="BodyText"/>
        <w:spacing w:before="7"/>
        <w:ind w:left="2388"/>
      </w:pPr>
      <w:r>
        <w:rPr/>
        <w:t>1.重度黄疸或黄疸迅速加重；</w:t>
      </w:r>
    </w:p>
    <w:p>
      <w:pPr>
        <w:pStyle w:val="BodyText"/>
        <w:spacing w:before="36"/>
        <w:ind w:left="2388"/>
      </w:pPr>
      <w:r>
        <w:rPr/>
        <w:t>2.肝性脑病；</w:t>
      </w:r>
    </w:p>
    <w:p>
      <w:pPr>
        <w:pStyle w:val="BodyText"/>
        <w:spacing w:before="36"/>
        <w:ind w:left="2388"/>
      </w:pPr>
      <w:r>
        <w:rPr/>
        <w:t>3.B 超或其他影像学检查显示肝脏体积急速萎缩；</w:t>
      </w:r>
    </w:p>
    <w:p>
      <w:pPr>
        <w:pStyle w:val="BodyText"/>
        <w:spacing w:before="36"/>
        <w:ind w:left="2388"/>
      </w:pPr>
      <w:r>
        <w:rPr/>
        <w:t>4.肝功能指标进行性恶化。</w:t>
      </w:r>
    </w:p>
    <w:p>
      <w:pPr>
        <w:pStyle w:val="BodyText"/>
        <w:spacing w:before="8"/>
        <w:rPr>
          <w:sz w:val="26"/>
        </w:rPr>
      </w:pPr>
    </w:p>
    <w:p>
      <w:pPr>
        <w:pStyle w:val="Heading2"/>
      </w:pPr>
      <w:r>
        <w:rPr/>
        <w:t>（二十六）严重的原发性心肌病</w:t>
      </w:r>
    </w:p>
    <w:p>
      <w:pPr>
        <w:pStyle w:val="BodyText"/>
        <w:spacing w:line="273" w:lineRule="auto"/>
        <w:ind w:left="1956" w:right="205" w:firstLine="420"/>
        <w:jc w:val="both"/>
      </w:pPr>
      <w:r>
        <w:rPr>
          <w:spacing w:val="-6"/>
        </w:rPr>
        <w:t>指不明原因引起的一类心肌病变，包括原发性扩张型心肌病、原发性肥厚型</w:t>
      </w:r>
      <w:r>
        <w:rPr>
          <w:spacing w:val="-8"/>
        </w:rPr>
        <w:t>心肌病及原发性限制型心肌病三种，病变必须已造成事实上心室功能障碍而出现</w:t>
      </w:r>
      <w:r>
        <w:rPr>
          <w:spacing w:val="-4"/>
          <w:w w:val="100"/>
        </w:rPr>
        <w:t>明显的心功能衰竭</w:t>
      </w:r>
      <w:r>
        <w:rPr>
          <w:w w:val="100"/>
        </w:rPr>
        <w:t>（美国纽约心脏协会心功能分类标准心功能达四级</w:t>
      </w:r>
      <w:r>
        <w:rPr>
          <w:spacing w:val="-104"/>
          <w:w w:val="100"/>
        </w:rPr>
        <w:t>）</w:t>
      </w:r>
      <w:r>
        <w:rPr>
          <w:w w:val="100"/>
        </w:rPr>
        <w:t>，且有相</w:t>
      </w:r>
      <w:r>
        <w:rPr>
          <w:spacing w:val="-3"/>
        </w:rPr>
        <w:t>关住院医疗记录显示四级心功能衰竭状态持续至少一百八十天。</w:t>
      </w:r>
    </w:p>
    <w:p>
      <w:pPr>
        <w:pStyle w:val="BodyText"/>
        <w:spacing w:line="273" w:lineRule="auto" w:before="7"/>
        <w:ind w:left="1956" w:right="205" w:firstLine="420"/>
      </w:pPr>
      <w:r>
        <w:rPr>
          <w:spacing w:val="-8"/>
        </w:rPr>
        <w:t>本病须经专科医生明确诊断。继发于全身性疾病或其它器官系统疾病造成的</w:t>
      </w:r>
      <w:r>
        <w:rPr>
          <w:spacing w:val="-5"/>
        </w:rPr>
        <w:t>心肌病变除外。</w:t>
      </w:r>
    </w:p>
    <w:p>
      <w:pPr>
        <w:pStyle w:val="BodyText"/>
        <w:spacing w:line="273" w:lineRule="auto" w:before="7"/>
        <w:ind w:left="1956" w:right="212" w:firstLine="420"/>
      </w:pPr>
      <w:r>
        <w:rPr/>
        <w:t>美国纽约心脏协会分类标准心功能四级是指有医院的医疗记录显示病人不能进行任何活动，休息时仍有心悸、呼吸困难等心力衰竭表现。</w:t>
      </w:r>
    </w:p>
    <w:p>
      <w:pPr>
        <w:spacing w:after="0" w:line="273" w:lineRule="auto"/>
        <w:sectPr>
          <w:pgSz w:w="11910" w:h="16840"/>
          <w:pgMar w:top="1080" w:bottom="280" w:left="1680" w:right="760"/>
        </w:sectPr>
      </w:pPr>
    </w:p>
    <w:p>
      <w:pPr>
        <w:pStyle w:val="Heading2"/>
        <w:spacing w:before="14"/>
      </w:pPr>
      <w:r>
        <w:rPr/>
        <w:t>（二十七）严重川崎病</w:t>
      </w:r>
    </w:p>
    <w:p>
      <w:pPr>
        <w:pStyle w:val="BodyText"/>
        <w:spacing w:line="273" w:lineRule="auto"/>
        <w:ind w:left="1956" w:right="98" w:firstLine="432"/>
      </w:pPr>
      <w:r>
        <w:rPr>
          <w:spacing w:val="-3"/>
        </w:rPr>
        <w:t>是一种血管炎综合征，临床表现为急性发热，皮肤粘膜病损和淋巴结肿大。</w:t>
      </w:r>
      <w:r>
        <w:rPr>
          <w:spacing w:val="-6"/>
        </w:rPr>
        <w:t>本病须经专科医生明确诊断，同时须由血管造影或超声心动图检查证实，满足下</w:t>
      </w:r>
      <w:r>
        <w:rPr>
          <w:spacing w:val="-4"/>
        </w:rPr>
        <w:t>列至少一项条件：</w:t>
      </w:r>
    </w:p>
    <w:p>
      <w:pPr>
        <w:pStyle w:val="BodyText"/>
        <w:spacing w:before="7"/>
        <w:ind w:left="2388"/>
      </w:pPr>
      <w:r>
        <w:rPr/>
        <w:t>1.伴有冠状动脉瘤，且冠状动脉瘤于最初急性发病后持续至少 180 天；</w:t>
      </w:r>
    </w:p>
    <w:p>
      <w:pPr>
        <w:pStyle w:val="BodyText"/>
        <w:ind w:left="2388"/>
      </w:pPr>
      <w:r>
        <w:rPr/>
        <w:t>2.伴有冠状动脉瘤，且实际接受了对冠状动脉瘤进行的手术治疗。</w:t>
      </w:r>
    </w:p>
    <w:p>
      <w:pPr>
        <w:pStyle w:val="BodyText"/>
        <w:spacing w:before="8"/>
        <w:rPr>
          <w:sz w:val="26"/>
        </w:rPr>
      </w:pPr>
    </w:p>
    <w:p>
      <w:pPr>
        <w:pStyle w:val="Heading2"/>
        <w:spacing w:before="1"/>
      </w:pPr>
      <w:r>
        <w:rPr/>
        <w:t>（二十八）严重慢性缩窄型心包炎</w:t>
      </w:r>
    </w:p>
    <w:p>
      <w:pPr>
        <w:pStyle w:val="BodyText"/>
        <w:spacing w:line="273" w:lineRule="auto"/>
        <w:ind w:left="1956" w:right="165" w:firstLine="432"/>
      </w:pPr>
      <w:r>
        <w:rPr>
          <w:spacing w:val="-7"/>
        </w:rPr>
        <w:t>由于慢性心包炎症导致心包脏层和壁层广泛瘢痕粘连、增厚和钙化，心包腔</w:t>
      </w:r>
      <w:r>
        <w:rPr>
          <w:spacing w:val="-5"/>
        </w:rPr>
        <w:t>闭塞，形成一个纤维瘢痕外壳，使心脏和大血管根部受压，阻碍心脏的舒张。</w:t>
      </w:r>
    </w:p>
    <w:p>
      <w:pPr>
        <w:pStyle w:val="BodyText"/>
        <w:spacing w:before="7"/>
        <w:ind w:left="2388"/>
      </w:pPr>
      <w:r>
        <w:rPr/>
        <w:t>被保险人被明确诊断为慢性缩窄性心包炎且必须满足以下所有条件：</w:t>
      </w:r>
    </w:p>
    <w:p>
      <w:pPr>
        <w:pStyle w:val="BodyText"/>
        <w:spacing w:line="273" w:lineRule="auto" w:before="36"/>
        <w:ind w:left="1956" w:right="98" w:firstLine="432"/>
      </w:pPr>
      <w:r>
        <w:rPr/>
        <w:t>1.新功能衰竭达到美国纽约心脏病学会心功能状态分级 IV 级，并持续 180 天以上；</w:t>
      </w:r>
    </w:p>
    <w:p>
      <w:pPr>
        <w:pStyle w:val="BodyText"/>
        <w:spacing w:line="273" w:lineRule="auto" w:before="7"/>
        <w:ind w:left="1956" w:right="175" w:firstLine="432"/>
      </w:pPr>
      <w:r>
        <w:rPr/>
        <w:t>2.实际接收了以下任何一种手术路径的心包剥脱或心包切除手术；手术路径：胸骨正中切口；双侧前胸切口；左前胸肋间切口。</w:t>
      </w:r>
    </w:p>
    <w:p>
      <w:pPr>
        <w:pStyle w:val="BodyText"/>
        <w:spacing w:before="7"/>
        <w:ind w:left="2377"/>
      </w:pPr>
      <w:r>
        <w:rPr/>
        <w:t>经胸腔镜、胸壁打孔进行的手术、心包粘连松解手术不在保障范围内。</w:t>
      </w:r>
    </w:p>
    <w:p>
      <w:pPr>
        <w:pStyle w:val="BodyText"/>
        <w:spacing w:before="8"/>
        <w:rPr>
          <w:sz w:val="26"/>
        </w:rPr>
      </w:pPr>
    </w:p>
    <w:p>
      <w:pPr>
        <w:pStyle w:val="Heading2"/>
        <w:spacing w:before="1"/>
      </w:pPr>
      <w:r>
        <w:rPr/>
        <w:t>（二十九）肺源性心脏病</w:t>
      </w:r>
    </w:p>
    <w:p>
      <w:pPr>
        <w:pStyle w:val="BodyText"/>
        <w:spacing w:line="273" w:lineRule="auto"/>
        <w:ind w:left="1956" w:right="107" w:firstLine="432"/>
      </w:pPr>
      <w:r>
        <w:rPr/>
        <w:t>指由于各种胸肺及支气管病变而继发的肺动脉高压，最后导致以右室肥大为特征的心脏病。须经呼吸专科医生确诊，且必须同时满足如下诊断标准：</w:t>
      </w:r>
    </w:p>
    <w:p>
      <w:pPr>
        <w:pStyle w:val="BodyText"/>
        <w:spacing w:before="7"/>
        <w:ind w:left="2388"/>
      </w:pPr>
      <w:r>
        <w:rPr>
          <w:w w:val="100"/>
        </w:rPr>
        <w:t>1.</w:t>
      </w:r>
      <w:r>
        <w:rPr>
          <w:spacing w:val="-3"/>
          <w:w w:val="100"/>
        </w:rPr>
        <w:t>左心房压力增高（</w:t>
      </w:r>
      <w:r>
        <w:rPr>
          <w:spacing w:val="-2"/>
          <w:w w:val="100"/>
        </w:rPr>
        <w:t>不低于</w:t>
      </w:r>
      <w:r>
        <w:rPr>
          <w:spacing w:val="-53"/>
        </w:rPr>
        <w:t> </w:t>
      </w:r>
      <w:r>
        <w:rPr>
          <w:w w:val="100"/>
        </w:rPr>
        <w:t>20</w:t>
      </w:r>
      <w:r>
        <w:rPr>
          <w:spacing w:val="-55"/>
        </w:rPr>
        <w:t> </w:t>
      </w:r>
      <w:r>
        <w:rPr>
          <w:spacing w:val="-2"/>
          <w:w w:val="100"/>
        </w:rPr>
        <w:t>个单位</w:t>
      </w:r>
      <w:r>
        <w:rPr>
          <w:spacing w:val="-106"/>
          <w:w w:val="100"/>
        </w:rPr>
        <w:t>）</w:t>
      </w:r>
      <w:r>
        <w:rPr>
          <w:w w:val="100"/>
        </w:rPr>
        <w:t>；</w:t>
      </w:r>
    </w:p>
    <w:p>
      <w:pPr>
        <w:pStyle w:val="BodyText"/>
        <w:spacing w:before="36"/>
        <w:ind w:left="2388"/>
      </w:pPr>
      <w:r>
        <w:rPr>
          <w:w w:val="100"/>
        </w:rPr>
        <w:t>2.</w:t>
      </w:r>
      <w:r>
        <w:rPr>
          <w:spacing w:val="-3"/>
          <w:w w:val="100"/>
        </w:rPr>
        <w:t>肺血管阻力高于正常值</w:t>
      </w:r>
      <w:r>
        <w:rPr>
          <w:spacing w:val="-55"/>
        </w:rPr>
        <w:t> </w:t>
      </w:r>
      <w:r>
        <w:rPr>
          <w:w w:val="100"/>
        </w:rPr>
        <w:t>3</w:t>
      </w:r>
      <w:r>
        <w:rPr>
          <w:spacing w:val="-53"/>
        </w:rPr>
        <w:t> </w:t>
      </w:r>
      <w:r>
        <w:rPr>
          <w:spacing w:val="-2"/>
          <w:w w:val="100"/>
        </w:rPr>
        <w:t>个单位</w:t>
      </w:r>
      <w:r>
        <w:rPr>
          <w:spacing w:val="-3"/>
          <w:w w:val="100"/>
        </w:rPr>
        <w:t>（</w:t>
      </w:r>
      <w:r>
        <w:rPr>
          <w:w w:val="100"/>
        </w:rPr>
        <w:t>Pul</w:t>
      </w:r>
      <w:r>
        <w:rPr>
          <w:spacing w:val="-3"/>
          <w:w w:val="100"/>
        </w:rPr>
        <w:t>m</w:t>
      </w:r>
      <w:r>
        <w:rPr>
          <w:w w:val="100"/>
        </w:rPr>
        <w:t>ona</w:t>
      </w:r>
      <w:r>
        <w:rPr>
          <w:spacing w:val="-3"/>
          <w:w w:val="100"/>
        </w:rPr>
        <w:t>r</w:t>
      </w:r>
      <w:r>
        <w:rPr>
          <w:w w:val="100"/>
        </w:rPr>
        <w:t>y</w:t>
      </w:r>
      <w:r>
        <w:rPr/>
        <w:t> </w:t>
      </w:r>
      <w:r>
        <w:rPr>
          <w:w w:val="100"/>
        </w:rPr>
        <w:t>R</w:t>
      </w:r>
      <w:r>
        <w:rPr>
          <w:spacing w:val="-3"/>
          <w:w w:val="100"/>
        </w:rPr>
        <w:t>es</w:t>
      </w:r>
      <w:r>
        <w:rPr>
          <w:w w:val="100"/>
        </w:rPr>
        <w:t>istan</w:t>
      </w:r>
      <w:r>
        <w:rPr>
          <w:spacing w:val="-3"/>
          <w:w w:val="100"/>
        </w:rPr>
        <w:t>c</w:t>
      </w:r>
      <w:r>
        <w:rPr>
          <w:w w:val="100"/>
        </w:rPr>
        <w:t>e</w:t>
      </w:r>
      <w:r>
        <w:rPr>
          <w:spacing w:val="-106"/>
          <w:w w:val="100"/>
        </w:rPr>
        <w:t>）；</w:t>
      </w:r>
    </w:p>
    <w:p>
      <w:pPr>
        <w:pStyle w:val="BodyText"/>
        <w:spacing w:before="36"/>
        <w:ind w:left="2388"/>
      </w:pPr>
      <w:r>
        <w:rPr/>
        <w:t>3.肺动脉血压不低于 40 毫米汞柱；</w:t>
      </w:r>
    </w:p>
    <w:p>
      <w:pPr>
        <w:pStyle w:val="BodyText"/>
        <w:spacing w:before="36"/>
        <w:ind w:left="2388"/>
      </w:pPr>
      <w:r>
        <w:rPr/>
        <w:t>4.肺动脉楔压不低于 6 毫米汞柱；</w:t>
      </w:r>
    </w:p>
    <w:p>
      <w:pPr>
        <w:pStyle w:val="BodyText"/>
        <w:spacing w:before="36"/>
        <w:ind w:left="2388"/>
      </w:pPr>
      <w:r>
        <w:rPr/>
        <w:t>5.右心室心脏舒张期末压力不低于 8 毫米汞柱；</w:t>
      </w:r>
    </w:p>
    <w:p>
      <w:pPr>
        <w:pStyle w:val="BodyText"/>
        <w:ind w:left="2388"/>
      </w:pPr>
      <w:r>
        <w:rPr/>
        <w:t>6.右心室过度肥大、扩张，出现右心衰竭和呼吸困难。</w:t>
      </w:r>
    </w:p>
    <w:p>
      <w:pPr>
        <w:pStyle w:val="BodyText"/>
        <w:spacing w:before="8"/>
        <w:rPr>
          <w:sz w:val="26"/>
        </w:rPr>
      </w:pPr>
    </w:p>
    <w:p>
      <w:pPr>
        <w:pStyle w:val="Heading2"/>
        <w:spacing w:before="1"/>
      </w:pPr>
      <w:r>
        <w:rPr/>
        <w:t>（三十）瘫痪</w:t>
      </w:r>
    </w:p>
    <w:p>
      <w:pPr>
        <w:pStyle w:val="BodyText"/>
        <w:ind w:left="2388"/>
      </w:pPr>
      <w:r>
        <w:rPr/>
        <w:t>指因疾病或意外伤害导致两肢或两肢以上肢体机能永久完全丧失。</w:t>
      </w:r>
    </w:p>
    <w:p>
      <w:pPr>
        <w:pStyle w:val="BodyText"/>
        <w:spacing w:line="273" w:lineRule="auto"/>
        <w:ind w:left="1956" w:right="105" w:firstLine="420"/>
      </w:pPr>
      <w:r>
        <w:rPr/>
        <w:t>肢体机能永久完全丧失，指疾病确诊180天后或意外伤害发生180天后，每肢三大关节中的两大关节仍然完全僵硬，或不能随意识活动。</w:t>
      </w:r>
    </w:p>
    <w:p>
      <w:pPr>
        <w:pStyle w:val="BodyText"/>
        <w:spacing w:before="5"/>
        <w:rPr>
          <w:sz w:val="24"/>
        </w:rPr>
      </w:pPr>
    </w:p>
    <w:p>
      <w:pPr>
        <w:pStyle w:val="Heading2"/>
        <w:spacing w:before="1"/>
      </w:pPr>
      <w:r>
        <w:rPr/>
        <w:t>（三十一）心脏瓣膜手术</w:t>
      </w:r>
    </w:p>
    <w:p>
      <w:pPr>
        <w:pStyle w:val="BodyText"/>
        <w:spacing w:line="273" w:lineRule="auto"/>
        <w:ind w:left="1956" w:right="172" w:firstLine="420"/>
      </w:pPr>
      <w:r>
        <w:rPr/>
        <w:t>指为治疗心脏瓣膜疾病，实际实施了开胸进行的心脏瓣膜置换或修复的手术。</w:t>
      </w:r>
    </w:p>
    <w:p>
      <w:pPr>
        <w:pStyle w:val="BodyText"/>
        <w:spacing w:before="5"/>
        <w:rPr>
          <w:sz w:val="24"/>
        </w:rPr>
      </w:pPr>
    </w:p>
    <w:p>
      <w:pPr>
        <w:pStyle w:val="Heading2"/>
      </w:pPr>
      <w:r>
        <w:rPr/>
        <w:t>（三十二）严重原发性肺动脉高压</w:t>
      </w:r>
    </w:p>
    <w:p>
      <w:pPr>
        <w:pStyle w:val="BodyText"/>
        <w:spacing w:line="273" w:lineRule="auto"/>
        <w:ind w:left="1956" w:right="165" w:firstLine="420"/>
        <w:jc w:val="both"/>
      </w:pPr>
      <w:r>
        <w:rPr>
          <w:spacing w:val="-6"/>
        </w:rPr>
        <w:t>指不明原因的肺动脉压力持续性增高，进行性发展而导致的慢性疾病，已经</w:t>
      </w:r>
      <w:r>
        <w:rPr>
          <w:spacing w:val="-7"/>
        </w:rPr>
        <w:t>造成永久不可逆性的体力活动能力受限，达到美国纽约心脏病学会心功能状态分</w:t>
      </w:r>
      <w:r>
        <w:rPr>
          <w:spacing w:val="-27"/>
        </w:rPr>
        <w:t>级 </w:t>
      </w:r>
      <w:r>
        <w:rPr/>
        <w:t>IV</w:t>
      </w:r>
      <w:r>
        <w:rPr>
          <w:spacing w:val="-11"/>
        </w:rPr>
        <w:t> 级，且静息状态下肺动脉平均压超过 </w:t>
      </w:r>
      <w:r>
        <w:rPr/>
        <w:t>30mmHg。</w:t>
      </w:r>
    </w:p>
    <w:p>
      <w:pPr>
        <w:pStyle w:val="BodyText"/>
        <w:spacing w:before="5"/>
        <w:rPr>
          <w:sz w:val="24"/>
        </w:rPr>
      </w:pPr>
    </w:p>
    <w:p>
      <w:pPr>
        <w:pStyle w:val="Heading2"/>
      </w:pPr>
      <w:r>
        <w:rPr/>
        <w:t>(三十三) 嗜铬细胞瘤</w:t>
      </w:r>
    </w:p>
    <w:p>
      <w:pPr>
        <w:pStyle w:val="BodyText"/>
        <w:spacing w:line="259" w:lineRule="auto"/>
        <w:ind w:left="1956" w:right="72" w:firstLine="420"/>
      </w:pPr>
      <w:r>
        <w:rPr/>
        <w:t>是指肾上腺或嗜铬外组织出现神经内分泌肿瘤，并分</w:t>
      </w:r>
      <w:r>
        <w:rPr>
          <w:rFonts w:ascii="Arial" w:eastAsia="Arial"/>
          <w:w w:val="115"/>
        </w:rPr>
        <w:t>泌</w:t>
      </w:r>
      <w:r>
        <w:rPr/>
        <w:t>过多的儿茶酚胺类， 需要确实进行手术以切除肿瘤。嗜铬细胞瘤的诊断必须由内分泌专科医生确定。</w:t>
      </w:r>
    </w:p>
    <w:p>
      <w:pPr>
        <w:spacing w:after="0" w:line="259" w:lineRule="auto"/>
        <w:sectPr>
          <w:pgSz w:w="11910" w:h="16840"/>
          <w:pgMar w:top="1400" w:bottom="280" w:left="1680" w:right="800"/>
        </w:sectPr>
      </w:pPr>
    </w:p>
    <w:p>
      <w:pPr>
        <w:pStyle w:val="Heading2"/>
        <w:spacing w:before="22"/>
      </w:pPr>
      <w:r>
        <w:rPr/>
        <w:t>（三十四）肺泡蛋白质沉积症</w:t>
      </w:r>
    </w:p>
    <w:p>
      <w:pPr>
        <w:pStyle w:val="BodyText"/>
        <w:spacing w:line="273" w:lineRule="auto"/>
        <w:ind w:left="1956" w:right="216" w:firstLine="432"/>
      </w:pPr>
      <w:r>
        <w:rPr/>
        <w:t>因获得性或继发性原因或导致双肺肺泡和细支气管腔内充满不可溶性富磷脂蛋白的疾病。理赔时须满足下列所有条件：</w:t>
      </w:r>
    </w:p>
    <w:p>
      <w:pPr>
        <w:pStyle w:val="BodyText"/>
        <w:spacing w:line="273" w:lineRule="auto" w:before="7"/>
        <w:ind w:left="1956" w:right="33" w:firstLine="432"/>
      </w:pPr>
      <w:r>
        <w:rPr/>
        <w:t>1.支气管镜活检或开胸肺活检病理检查证实肺泡内充满有过碘酸雪夫（PAS） 染色阳性的蛋白样物质；</w:t>
      </w:r>
    </w:p>
    <w:p>
      <w:pPr>
        <w:pStyle w:val="BodyText"/>
        <w:spacing w:line="273" w:lineRule="auto" w:before="7"/>
        <w:ind w:left="1956" w:right="215" w:firstLine="432"/>
      </w:pPr>
      <w:r>
        <w:rPr/>
        <w:t>2.被保险人因中重度呼吸困难或低氧血症而实际已行全身麻醉下的全肺灌洗治疗。</w:t>
      </w:r>
    </w:p>
    <w:p>
      <w:pPr>
        <w:pStyle w:val="BodyText"/>
        <w:spacing w:before="5"/>
        <w:rPr>
          <w:sz w:val="24"/>
        </w:rPr>
      </w:pPr>
    </w:p>
    <w:p>
      <w:pPr>
        <w:pStyle w:val="Heading2"/>
      </w:pPr>
      <w:r>
        <w:rPr/>
        <w:t>（三十五）严重感染性心内膜炎</w:t>
      </w:r>
    </w:p>
    <w:p>
      <w:pPr>
        <w:pStyle w:val="BodyText"/>
        <w:spacing w:line="273" w:lineRule="auto" w:before="36"/>
        <w:ind w:left="1956" w:right="208" w:firstLine="432"/>
        <w:jc w:val="both"/>
      </w:pPr>
      <w:r>
        <w:rPr>
          <w:spacing w:val="-5"/>
        </w:rPr>
        <w:t>指因细菌、真菌和其他微生物</w:t>
      </w:r>
      <w:r>
        <w:rPr>
          <w:spacing w:val="-3"/>
        </w:rPr>
        <w:t>（</w:t>
      </w:r>
      <w:r>
        <w:rPr>
          <w:spacing w:val="-7"/>
        </w:rPr>
        <w:t>如病毒、立克次体、衣原体、螺旋体等</w:t>
      </w:r>
      <w:r>
        <w:rPr>
          <w:spacing w:val="-13"/>
        </w:rPr>
        <w:t>）</w:t>
      </w:r>
      <w:r>
        <w:rPr/>
        <w:t>直</w:t>
      </w:r>
      <w:r>
        <w:rPr>
          <w:spacing w:val="-6"/>
        </w:rPr>
        <w:t>接感染而产生心瓣膜或心室壁内膜的炎症，须经心脏专科医生确诊，并符合以下</w:t>
      </w:r>
      <w:r>
        <w:rPr>
          <w:spacing w:val="-4"/>
        </w:rPr>
        <w:t>所有条件：</w:t>
      </w:r>
    </w:p>
    <w:p>
      <w:pPr>
        <w:pStyle w:val="BodyText"/>
        <w:spacing w:before="7"/>
        <w:ind w:left="2388"/>
      </w:pPr>
      <w:r>
        <w:rPr/>
        <w:t>1.血液培养测试结果为阳性，并至少符合以下条件之一：</w:t>
      </w:r>
    </w:p>
    <w:p>
      <w:pPr>
        <w:pStyle w:val="BodyText"/>
        <w:spacing w:line="273" w:lineRule="auto"/>
        <w:ind w:left="1956" w:right="209" w:firstLine="432"/>
      </w:pPr>
      <w:r>
        <w:rPr/>
        <w:t>（1）微生物：在赘生物，栓塞的赘生物或心脏内脓肿培养或组织检查证实有微生物；</w:t>
      </w:r>
    </w:p>
    <w:p>
      <w:pPr>
        <w:pStyle w:val="BodyText"/>
        <w:spacing w:before="7"/>
        <w:ind w:left="2388"/>
      </w:pPr>
      <w:r>
        <w:rPr/>
        <w:t>（2）病理性病灶：组织检查证实赘生物或心脏内脓肿有活动性心内膜炎；</w:t>
      </w:r>
    </w:p>
    <w:p>
      <w:pPr>
        <w:pStyle w:val="BodyText"/>
        <w:spacing w:before="36"/>
        <w:ind w:left="2388"/>
      </w:pPr>
      <w:r>
        <w:rPr/>
        <w:t>（3）分别两次血液培养证实有典型的微生物且与心内膜炎符合；</w:t>
      </w:r>
    </w:p>
    <w:p>
      <w:pPr>
        <w:pStyle w:val="BodyText"/>
        <w:spacing w:before="36"/>
        <w:ind w:left="2388"/>
      </w:pPr>
      <w:r>
        <w:rPr/>
        <w:t>（4）持续血液培养证实有微生物阳性反应，且与心内膜炎符合。</w:t>
      </w:r>
    </w:p>
    <w:p>
      <w:pPr>
        <w:pStyle w:val="BodyText"/>
        <w:spacing w:line="273" w:lineRule="auto" w:before="36"/>
        <w:ind w:left="1956" w:right="205" w:firstLine="432"/>
      </w:pPr>
      <w:r>
        <w:rPr/>
        <w:t>2.</w:t>
      </w:r>
      <w:r>
        <w:rPr>
          <w:spacing w:val="-4"/>
        </w:rPr>
        <w:t>心内膜炎引起中度心瓣膜关闭不全</w:t>
      </w:r>
      <w:r>
        <w:rPr/>
        <w:t>（</w:t>
      </w:r>
      <w:r>
        <w:rPr>
          <w:spacing w:val="-7"/>
        </w:rPr>
        <w:t>指返流指数 </w:t>
      </w:r>
      <w:r>
        <w:rPr/>
        <w:t>20%</w:t>
      </w:r>
      <w:r>
        <w:rPr>
          <w:spacing w:val="-3"/>
        </w:rPr>
        <w:t>或以上</w:t>
      </w:r>
      <w:r>
        <w:rPr>
          <w:spacing w:val="-8"/>
        </w:rPr>
        <w:t>）</w:t>
      </w:r>
      <w:r>
        <w:rPr>
          <w:spacing w:val="-3"/>
        </w:rPr>
        <w:t>或中度心瓣</w:t>
      </w:r>
      <w:r>
        <w:rPr>
          <w:spacing w:val="-3"/>
          <w:w w:val="100"/>
        </w:rPr>
        <w:t>膜狭窄</w:t>
      </w:r>
      <w:r>
        <w:rPr>
          <w:w w:val="100"/>
        </w:rPr>
        <w:t>（</w:t>
      </w:r>
      <w:r>
        <w:rPr>
          <w:spacing w:val="-3"/>
          <w:w w:val="100"/>
        </w:rPr>
        <w:t>指心瓣膜开口范围小于或等于正常的</w:t>
      </w:r>
      <w:r>
        <w:rPr>
          <w:spacing w:val="-3"/>
        </w:rPr>
        <w:t> </w:t>
      </w:r>
      <w:r>
        <w:rPr>
          <w:w w:val="100"/>
        </w:rPr>
        <w:t>30</w:t>
      </w:r>
      <w:r>
        <w:rPr>
          <w:spacing w:val="-3"/>
          <w:w w:val="100"/>
        </w:rPr>
        <w:t>%</w:t>
      </w:r>
      <w:r>
        <w:rPr>
          <w:spacing w:val="-108"/>
          <w:w w:val="100"/>
        </w:rPr>
        <w:t>）；</w:t>
      </w:r>
    </w:p>
    <w:p>
      <w:pPr>
        <w:pStyle w:val="BodyText"/>
        <w:spacing w:before="7"/>
        <w:ind w:left="2388"/>
      </w:pPr>
      <w:r>
        <w:rPr/>
        <w:t>3.心内膜炎及心瓣膜损毁程度需经由心脏专科医生确诊。</w:t>
      </w:r>
    </w:p>
    <w:p>
      <w:pPr>
        <w:pStyle w:val="BodyText"/>
        <w:spacing w:before="8"/>
        <w:rPr>
          <w:sz w:val="26"/>
        </w:rPr>
      </w:pPr>
    </w:p>
    <w:p>
      <w:pPr>
        <w:pStyle w:val="Heading2"/>
      </w:pPr>
      <w:r>
        <w:rPr/>
        <w:t>（三十六）主动脉手术</w:t>
      </w:r>
    </w:p>
    <w:p>
      <w:pPr>
        <w:pStyle w:val="BodyText"/>
        <w:spacing w:line="273" w:lineRule="auto" w:before="36"/>
        <w:ind w:left="1956" w:right="208" w:firstLine="432"/>
        <w:jc w:val="both"/>
      </w:pPr>
      <w:r>
        <w:rPr>
          <w:spacing w:val="-8"/>
        </w:rPr>
        <w:t>指为治疗主动脉疾病，实际实施了开胸或开腹进行的切除、置换、修补病损</w:t>
      </w:r>
      <w:r>
        <w:rPr>
          <w:spacing w:val="-9"/>
        </w:rPr>
        <w:t>主动脉血管的手术。主动脉指胸主动脉和腹主动脉，不包括胸主动脉和腹主动脉</w:t>
      </w:r>
      <w:r>
        <w:rPr>
          <w:spacing w:val="-5"/>
        </w:rPr>
        <w:t>的分支血管。</w:t>
      </w:r>
    </w:p>
    <w:p>
      <w:pPr>
        <w:pStyle w:val="BodyText"/>
        <w:spacing w:before="7"/>
        <w:ind w:left="2388"/>
      </w:pPr>
      <w:r>
        <w:rPr/>
        <w:t>动脉内血管成形术不在保障范围内。</w:t>
      </w:r>
    </w:p>
    <w:p>
      <w:pPr>
        <w:pStyle w:val="BodyText"/>
        <w:spacing w:before="8"/>
        <w:rPr>
          <w:sz w:val="26"/>
        </w:rPr>
      </w:pPr>
    </w:p>
    <w:p>
      <w:pPr>
        <w:pStyle w:val="Heading2"/>
      </w:pPr>
      <w:r>
        <w:rPr/>
        <w:t>（三十七）进行性风疹性全脑炎</w:t>
      </w:r>
    </w:p>
    <w:p>
      <w:pPr>
        <w:pStyle w:val="BodyText"/>
        <w:spacing w:line="273" w:lineRule="auto"/>
        <w:ind w:left="1956" w:right="205" w:firstLine="432"/>
      </w:pPr>
      <w:r>
        <w:rPr/>
        <w:t>指由风疹病毒感染引起的儿童和青少年的慢性脑炎。疾病确诊 180 天后， 仍遗留下列一种或一种以上障碍：</w:t>
      </w:r>
    </w:p>
    <w:p>
      <w:pPr>
        <w:pStyle w:val="BodyText"/>
        <w:spacing w:before="8"/>
        <w:ind w:left="2388"/>
      </w:pPr>
      <w:r>
        <w:rPr/>
        <w:t>1.一肢或一肢以上肢体机能完全丧失；</w:t>
      </w:r>
    </w:p>
    <w:p>
      <w:pPr>
        <w:pStyle w:val="BodyText"/>
        <w:ind w:left="2377"/>
      </w:pPr>
      <w:r>
        <w:rPr/>
        <w:t>2.语言能力或咀嚼吞咽能力完全丧失；</w:t>
      </w:r>
    </w:p>
    <w:p>
      <w:pPr>
        <w:pStyle w:val="BodyText"/>
        <w:spacing w:line="273" w:lineRule="auto"/>
        <w:ind w:left="1956" w:right="205" w:firstLine="420"/>
      </w:pPr>
      <w:r>
        <w:rPr/>
        <w:t>3.</w:t>
      </w:r>
      <w:r>
        <w:rPr>
          <w:spacing w:val="-8"/>
        </w:rPr>
        <w:t>自主生活能力完全丧失，无法独立完成六项基本日常生活活动中的三项或</w:t>
      </w:r>
      <w:r>
        <w:rPr>
          <w:spacing w:val="-5"/>
        </w:rPr>
        <w:t>三项以上。</w:t>
      </w:r>
    </w:p>
    <w:p>
      <w:pPr>
        <w:pStyle w:val="BodyText"/>
        <w:spacing w:before="5"/>
        <w:rPr>
          <w:sz w:val="24"/>
        </w:rPr>
      </w:pPr>
    </w:p>
    <w:p>
      <w:pPr>
        <w:pStyle w:val="Heading2"/>
        <w:spacing w:before="1"/>
      </w:pPr>
      <w:r>
        <w:rPr/>
        <w:t>（三十八）严重运动神经元病</w:t>
      </w:r>
    </w:p>
    <w:p>
      <w:pPr>
        <w:pStyle w:val="BodyText"/>
        <w:spacing w:line="273" w:lineRule="auto"/>
        <w:ind w:left="1956" w:right="205" w:firstLine="420"/>
      </w:pPr>
      <w:r>
        <w:rPr>
          <w:spacing w:val="-3"/>
        </w:rPr>
        <w:t>是一组中枢神经系统运动神经元的进行性变性疾病，包括进行性脊肌萎缩 </w:t>
      </w:r>
      <w:r>
        <w:rPr>
          <w:spacing w:val="-9"/>
        </w:rPr>
        <w:t>症、进行性延髓麻痹症、原发性侧索硬化症、肌萎缩性侧索硬化症。须满足自主</w:t>
      </w:r>
      <w:r>
        <w:rPr>
          <w:spacing w:val="-11"/>
        </w:rPr>
        <w:t>生活能力完全丧失，无法独立完成六项基本日常生活活动中的三项或三项以上的条件。</w:t>
      </w:r>
    </w:p>
    <w:p>
      <w:pPr>
        <w:pStyle w:val="BodyText"/>
        <w:spacing w:before="5"/>
        <w:rPr>
          <w:sz w:val="24"/>
        </w:rPr>
      </w:pPr>
    </w:p>
    <w:p>
      <w:pPr>
        <w:pStyle w:val="Heading2"/>
      </w:pPr>
      <w:r>
        <w:rPr/>
        <w:t>（三十九）疾病或外伤所致智力障碍</w:t>
      </w:r>
    </w:p>
    <w:p>
      <w:pPr>
        <w:pStyle w:val="BodyText"/>
        <w:spacing w:line="264" w:lineRule="auto" w:before="36"/>
        <w:ind w:left="1956" w:right="205" w:firstLine="420"/>
        <w:jc w:val="both"/>
      </w:pPr>
      <w:r>
        <w:rPr/>
        <w:t>因严重头部创伤或疾病造成被保险人重度或极重度智力低常</w:t>
      </w:r>
      <w:r>
        <w:rPr>
          <w:spacing w:val="2"/>
        </w:rPr>
        <w:t>（</w:t>
      </w:r>
      <w:r>
        <w:rPr/>
        <w:t>智力低于常</w:t>
      </w:r>
      <w:r>
        <w:rPr>
          <w:w w:val="100"/>
        </w:rPr>
        <w:t>态</w:t>
      </w:r>
      <w:r>
        <w:rPr>
          <w:spacing w:val="-106"/>
          <w:w w:val="100"/>
        </w:rPr>
        <w:t>）</w:t>
      </w:r>
      <w:r>
        <w:rPr>
          <w:spacing w:val="-3"/>
          <w:w w:val="100"/>
        </w:rPr>
        <w:t>。根据智商</w:t>
      </w:r>
      <w:r>
        <w:rPr>
          <w:w w:val="100"/>
        </w:rPr>
        <w:t>（</w:t>
      </w:r>
      <w:r>
        <w:rPr>
          <w:rFonts w:ascii="Times New Roman" w:eastAsia="Times New Roman"/>
          <w:spacing w:val="-4"/>
          <w:w w:val="100"/>
        </w:rPr>
        <w:t>I</w:t>
      </w:r>
      <w:r>
        <w:rPr>
          <w:rFonts w:ascii="Times New Roman" w:eastAsia="Times New Roman"/>
          <w:spacing w:val="0"/>
          <w:w w:val="100"/>
        </w:rPr>
        <w:t>Q</w:t>
      </w:r>
      <w:r>
        <w:rPr>
          <w:spacing w:val="-106"/>
          <w:w w:val="100"/>
        </w:rPr>
        <w:t>）</w:t>
      </w:r>
      <w:r>
        <w:rPr>
          <w:spacing w:val="-3"/>
          <w:w w:val="100"/>
        </w:rPr>
        <w:t>，重度智力低常为</w:t>
      </w:r>
      <w:r>
        <w:rPr>
          <w:spacing w:val="-33"/>
        </w:rPr>
        <w:t> </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3"/>
          <w:w w:val="100"/>
        </w:rPr>
        <w:t>，极重度智力低常为</w:t>
      </w:r>
      <w:r>
        <w:rPr>
          <w:spacing w:val="-33"/>
        </w:rPr>
        <w:t> </w:t>
      </w:r>
      <w:r>
        <w:rPr>
          <w:rFonts w:ascii="Times New Roman" w:eastAsia="Times New Roman"/>
          <w:spacing w:val="-4"/>
          <w:w w:val="100"/>
        </w:rPr>
        <w:t>I</w:t>
      </w:r>
      <w:r>
        <w:rPr>
          <w:rFonts w:ascii="Times New Roman" w:eastAsia="Times New Roman"/>
          <w:w w:val="100"/>
        </w:rPr>
        <w:t>Q</w:t>
      </w:r>
      <w:r>
        <w:rPr>
          <w:rFonts w:ascii="Times New Roman" w:eastAsia="Times New Roman"/>
          <w:spacing w:val="-2"/>
          <w:w w:val="100"/>
        </w:rPr>
        <w:t>&lt;</w:t>
      </w:r>
      <w:r>
        <w:rPr>
          <w:rFonts w:ascii="Times New Roman" w:eastAsia="Times New Roman"/>
          <w:w w:val="100"/>
        </w:rPr>
        <w:t>2</w:t>
      </w:r>
      <w:r>
        <w:rPr>
          <w:rFonts w:ascii="Times New Roman" w:eastAsia="Times New Roman"/>
          <w:spacing w:val="-3"/>
          <w:w w:val="100"/>
        </w:rPr>
        <w:t>0</w:t>
      </w:r>
      <w:r>
        <w:rPr>
          <w:w w:val="100"/>
        </w:rPr>
        <w:t>。智</w:t>
      </w:r>
      <w:r>
        <w:rPr>
          <w:spacing w:val="-6"/>
        </w:rPr>
        <w:t>商的检测必须由我们认可的专职心理测验工作者进行，心理测验工作者必须持有</w:t>
      </w:r>
    </w:p>
    <w:p>
      <w:pPr>
        <w:spacing w:after="0" w:line="264" w:lineRule="auto"/>
        <w:jc w:val="both"/>
        <w:sectPr>
          <w:pgSz w:w="11910" w:h="16840"/>
          <w:pgMar w:top="1080" w:bottom="280" w:left="1680" w:right="760"/>
        </w:sectPr>
      </w:pPr>
    </w:p>
    <w:p>
      <w:pPr>
        <w:pStyle w:val="BodyText"/>
        <w:spacing w:line="273" w:lineRule="auto" w:before="22"/>
        <w:ind w:left="1956" w:right="205"/>
      </w:pPr>
      <w:r>
        <w:rPr>
          <w:spacing w:val="-7"/>
        </w:rPr>
        <w:t>由心理测量专业委员会资格认定书。根据被保险人年龄采用对应的智力量表如韦</w:t>
      </w:r>
      <w:r>
        <w:rPr>
          <w:spacing w:val="-5"/>
        </w:rPr>
        <w:t>克斯勒智力量表</w:t>
      </w:r>
      <w:r>
        <w:rPr/>
        <w:t>（</w:t>
      </w:r>
      <w:r>
        <w:rPr>
          <w:spacing w:val="-3"/>
        </w:rPr>
        <w:t>儿童智力量表或成人智力量表</w:t>
      </w:r>
      <w:r>
        <w:rPr>
          <w:spacing w:val="-108"/>
        </w:rPr>
        <w:t>）</w:t>
      </w:r>
      <w:r>
        <w:rPr/>
        <w:t>。</w:t>
      </w:r>
    </w:p>
    <w:p>
      <w:pPr>
        <w:pStyle w:val="BodyText"/>
        <w:spacing w:before="8"/>
        <w:ind w:left="2377"/>
      </w:pPr>
      <w:r>
        <w:rPr/>
        <w:t>理赔时必须满足下列全部条件：</w:t>
      </w:r>
    </w:p>
    <w:p>
      <w:pPr>
        <w:pStyle w:val="BodyText"/>
        <w:spacing w:line="273" w:lineRule="auto"/>
        <w:ind w:left="1956" w:right="144" w:firstLine="420"/>
      </w:pPr>
      <w:r>
        <w:rPr/>
        <w:t>1.造成被保险人智力低常（智力低于常态）的严重头部创伤或疾病（以入院日期为准）发生在被保险人 </w:t>
      </w:r>
      <w:r>
        <w:rPr>
          <w:rFonts w:ascii="Times New Roman" w:eastAsia="Times New Roman"/>
        </w:rPr>
        <w:t>6 </w:t>
      </w:r>
      <w:r>
        <w:rPr/>
        <w:t>周岁以后；</w:t>
      </w:r>
    </w:p>
    <w:p>
      <w:pPr>
        <w:pStyle w:val="BodyText"/>
        <w:spacing w:line="264" w:lineRule="exact" w:before="0"/>
        <w:ind w:left="2377"/>
      </w:pPr>
      <w:r>
        <w:rPr/>
        <w:t>2.专科医生确诊被保险人由于严重头部创伤或疾病造成智力低常；</w:t>
      </w:r>
    </w:p>
    <w:p>
      <w:pPr>
        <w:pStyle w:val="BodyText"/>
        <w:spacing w:line="273" w:lineRule="auto"/>
        <w:ind w:left="1956" w:right="206" w:firstLine="420"/>
      </w:pPr>
      <w:r>
        <w:rPr/>
        <w:t>3.专职合格心理检测工作者适时做的心理检测证实被保险人重度或极重度智力低常；</w:t>
      </w:r>
    </w:p>
    <w:p>
      <w:pPr>
        <w:pStyle w:val="BodyText"/>
        <w:spacing w:before="7"/>
        <w:ind w:left="2377"/>
      </w:pPr>
      <w:r>
        <w:rPr/>
        <w:t>4.被保险人的智力低常自确认日起持续 </w:t>
      </w:r>
      <w:r>
        <w:rPr>
          <w:rFonts w:ascii="Times New Roman" w:eastAsia="Times New Roman"/>
        </w:rPr>
        <w:t>180 </w:t>
      </w:r>
      <w:r>
        <w:rPr/>
        <w:t>天以上。</w:t>
      </w:r>
    </w:p>
    <w:p>
      <w:pPr>
        <w:pStyle w:val="BodyText"/>
        <w:spacing w:before="5"/>
        <w:rPr>
          <w:sz w:val="25"/>
        </w:rPr>
      </w:pPr>
    </w:p>
    <w:p>
      <w:pPr>
        <w:pStyle w:val="Heading2"/>
      </w:pPr>
      <w:r>
        <w:rPr/>
        <w:t>（四十）双目失明</w:t>
      </w:r>
    </w:p>
    <w:p>
      <w:pPr>
        <w:pStyle w:val="BodyText"/>
        <w:spacing w:line="273" w:lineRule="auto" w:before="36"/>
        <w:ind w:left="1956" w:right="147" w:firstLine="432"/>
      </w:pPr>
      <w:r>
        <w:rPr/>
        <w:t>指因疾病或意外伤害导致双眼视力永久不可逆性丧失，双眼中较好眼须满足下列至少一项条件：</w:t>
      </w:r>
    </w:p>
    <w:p>
      <w:pPr>
        <w:pStyle w:val="BodyText"/>
        <w:spacing w:before="7"/>
        <w:ind w:left="2388"/>
      </w:pPr>
      <w:r>
        <w:rPr/>
        <w:t>1.眼球缺失或摘除；</w:t>
      </w:r>
    </w:p>
    <w:p>
      <w:pPr>
        <w:pStyle w:val="BodyText"/>
        <w:spacing w:line="273" w:lineRule="auto"/>
        <w:ind w:left="1956" w:right="209" w:firstLine="432"/>
      </w:pPr>
      <w:r>
        <w:rPr/>
        <w:t>2.</w:t>
      </w:r>
      <w:r>
        <w:rPr>
          <w:spacing w:val="5"/>
        </w:rPr>
        <w:t>矫正视力低于 </w:t>
      </w:r>
      <w:r>
        <w:rPr/>
        <w:t>0.02（采用国际标准视力表，如使用其他视力表应进行换</w:t>
      </w:r>
      <w:r>
        <w:rPr>
          <w:w w:val="100"/>
        </w:rPr>
        <w:t>算</w:t>
      </w:r>
      <w:r>
        <w:rPr>
          <w:spacing w:val="-106"/>
          <w:w w:val="100"/>
        </w:rPr>
        <w:t>）</w:t>
      </w:r>
      <w:r>
        <w:rPr>
          <w:w w:val="100"/>
        </w:rPr>
        <w:t>；</w:t>
      </w:r>
    </w:p>
    <w:p>
      <w:pPr>
        <w:pStyle w:val="BodyText"/>
        <w:spacing w:before="7"/>
        <w:ind w:left="2377"/>
      </w:pPr>
      <w:r>
        <w:rPr/>
        <w:t>3.视野半径小于5度。</w:t>
      </w:r>
    </w:p>
    <w:p>
      <w:pPr>
        <w:pStyle w:val="BodyText"/>
        <w:spacing w:before="8"/>
        <w:rPr>
          <w:sz w:val="26"/>
        </w:rPr>
      </w:pPr>
    </w:p>
    <w:p>
      <w:pPr>
        <w:pStyle w:val="Heading2"/>
        <w:spacing w:before="1"/>
      </w:pPr>
      <w:r>
        <w:rPr/>
        <w:t>（四十一）严重多发性硬化症</w:t>
      </w:r>
    </w:p>
    <w:p>
      <w:pPr>
        <w:pStyle w:val="BodyText"/>
        <w:spacing w:line="273" w:lineRule="auto"/>
        <w:ind w:left="1956" w:right="205" w:firstLine="420"/>
        <w:jc w:val="both"/>
      </w:pPr>
      <w:r>
        <w:rPr>
          <w:spacing w:val="-4"/>
        </w:rPr>
        <w:t>被保险人因脑及脊髓内的脱髓鞘病变而出现神经系统多灶性</w:t>
      </w:r>
      <w:r>
        <w:rPr/>
        <w:t>（</w:t>
      </w:r>
      <w:r>
        <w:rPr>
          <w:spacing w:val="-3"/>
        </w:rPr>
        <w:t>多发性</w:t>
      </w:r>
      <w:r>
        <w:rPr>
          <w:spacing w:val="-27"/>
        </w:rPr>
        <w:t>）</w:t>
      </w:r>
      <w:r>
        <w:rPr>
          <w:spacing w:val="-2"/>
        </w:rPr>
        <w:t>多时相（至少6个月以内有一次以上（不包含一次）的发作）的病变，须由计算机断</w:t>
      </w:r>
      <w:r>
        <w:rPr>
          <w:spacing w:val="-5"/>
        </w:rPr>
        <w:t>层扫描</w:t>
      </w:r>
      <w:r>
        <w:rPr>
          <w:spacing w:val="-4"/>
        </w:rPr>
        <w:t>（CT）</w:t>
      </w:r>
      <w:r>
        <w:rPr>
          <w:spacing w:val="-5"/>
        </w:rPr>
        <w:t>、核磁共振检查</w:t>
      </w:r>
      <w:r>
        <w:rPr>
          <w:spacing w:val="-3"/>
        </w:rPr>
        <w:t>（MRI）</w:t>
      </w:r>
      <w:r>
        <w:rPr>
          <w:spacing w:val="-4"/>
        </w:rPr>
        <w:t>或正电子发射断层扫描</w:t>
      </w:r>
      <w:r>
        <w:rPr>
          <w:spacing w:val="-3"/>
        </w:rPr>
        <w:t>（PET）等影像学检</w:t>
      </w:r>
      <w:r>
        <w:rPr>
          <w:spacing w:val="-8"/>
        </w:rPr>
        <w:t>查证实，且已经造成自主生活能力完全丧失，无法独立完成六项基本日常生活活</w:t>
      </w:r>
      <w:r>
        <w:rPr>
          <w:spacing w:val="-3"/>
        </w:rPr>
        <w:t>动中的三项或三项以上，持续至少</w:t>
      </w:r>
      <w:r>
        <w:rPr/>
        <w:t>180</w:t>
      </w:r>
      <w:r>
        <w:rPr>
          <w:spacing w:val="-3"/>
        </w:rPr>
        <w:t>天。</w:t>
      </w:r>
    </w:p>
    <w:p>
      <w:pPr>
        <w:pStyle w:val="BodyText"/>
        <w:spacing w:before="5"/>
        <w:rPr>
          <w:sz w:val="24"/>
        </w:rPr>
      </w:pPr>
    </w:p>
    <w:p>
      <w:pPr>
        <w:pStyle w:val="Heading2"/>
      </w:pPr>
      <w:r>
        <w:rPr/>
        <w:t>（四十二）肌营养不良症</w:t>
      </w:r>
    </w:p>
    <w:p>
      <w:pPr>
        <w:pStyle w:val="BodyText"/>
        <w:spacing w:line="273" w:lineRule="auto"/>
        <w:ind w:left="1956" w:right="205" w:firstLine="432"/>
      </w:pPr>
      <w:r>
        <w:rPr>
          <w:spacing w:val="-8"/>
        </w:rPr>
        <w:t>指一组原发于肌肉的遗传性疾病，临床表现为与神经系统无关的肌肉无力和</w:t>
      </w:r>
      <w:r>
        <w:rPr>
          <w:spacing w:val="-5"/>
        </w:rPr>
        <w:t>肌肉萎缩。须满足下列全部条件：</w:t>
      </w:r>
    </w:p>
    <w:p>
      <w:pPr>
        <w:pStyle w:val="BodyText"/>
        <w:spacing w:before="7"/>
        <w:ind w:left="2388"/>
      </w:pPr>
      <w:r>
        <w:rPr/>
        <w:t>1.肌肉组织活检结果满足肌营养不良症的肌肉细胞变性、坏死等阳性改变；</w:t>
      </w:r>
    </w:p>
    <w:p>
      <w:pPr>
        <w:pStyle w:val="BodyText"/>
        <w:spacing w:line="273" w:lineRule="auto" w:before="36"/>
        <w:ind w:left="1956" w:right="205" w:firstLine="432"/>
      </w:pPr>
      <w:r>
        <w:rPr/>
        <w:t>2.</w:t>
      </w:r>
      <w:r>
        <w:rPr>
          <w:spacing w:val="-10"/>
        </w:rPr>
        <w:t>自主生活能力严重丧失，无法独立完成六项基本日常生活活动中的三项或</w:t>
      </w:r>
      <w:r>
        <w:rPr>
          <w:spacing w:val="-5"/>
        </w:rPr>
        <w:t>三项以上。</w:t>
      </w:r>
    </w:p>
    <w:p>
      <w:pPr>
        <w:pStyle w:val="BodyText"/>
        <w:spacing w:line="273" w:lineRule="auto" w:before="7"/>
        <w:ind w:left="1956" w:right="150" w:firstLine="420"/>
      </w:pPr>
      <w:r>
        <w:rPr/>
        <w:t>我们承担本项疾病责任不受本合同责任免除中“遗传性疾病，先天性畸形、变形或染色体异常”的限制。</w:t>
      </w:r>
    </w:p>
    <w:p>
      <w:pPr>
        <w:pStyle w:val="BodyText"/>
        <w:spacing w:before="5"/>
        <w:rPr>
          <w:sz w:val="24"/>
        </w:rPr>
      </w:pPr>
    </w:p>
    <w:p>
      <w:pPr>
        <w:pStyle w:val="Heading2"/>
      </w:pPr>
      <w:r>
        <w:rPr/>
        <w:t>（四十三）严重阿尔茨海默病</w:t>
      </w:r>
    </w:p>
    <w:p>
      <w:pPr>
        <w:pStyle w:val="BodyText"/>
        <w:spacing w:line="273" w:lineRule="auto" w:before="36"/>
        <w:ind w:left="1956" w:right="102" w:firstLine="420"/>
      </w:pPr>
      <w:r>
        <w:rPr>
          <w:spacing w:val="-8"/>
        </w:rPr>
        <w:t>指因大脑进行性、不可逆性改变导致智能严重衰退或丧失，临床表现为明显</w:t>
      </w:r>
      <w:r>
        <w:rPr>
          <w:spacing w:val="-16"/>
        </w:rPr>
        <w:t>的认知能力障碍、行为异常和社交能力减退，其日常生活必须持续受到他人监护。</w:t>
      </w:r>
      <w:r>
        <w:rPr>
          <w:spacing w:val="-7"/>
        </w:rPr>
        <w:t>须由头颅断层扫描</w:t>
      </w:r>
      <w:r>
        <w:rPr/>
        <w:t>（CT）</w:t>
      </w:r>
      <w:r>
        <w:rPr>
          <w:spacing w:val="-3"/>
        </w:rPr>
        <w:t>、核磁共振检查</w:t>
      </w:r>
      <w:r>
        <w:rPr/>
        <w:t>（MRI）</w:t>
      </w:r>
      <w:r>
        <w:rPr>
          <w:spacing w:val="-3"/>
        </w:rPr>
        <w:t>或正电子发射断层扫描</w:t>
      </w:r>
      <w:r>
        <w:rPr/>
        <w:t>（PET） </w:t>
      </w:r>
      <w:r>
        <w:rPr>
          <w:spacing w:val="-8"/>
        </w:rPr>
        <w:t>等影像学检查证实，且自主生活能力完全丧失，无法独立完成六项基本日常生活</w:t>
      </w:r>
      <w:r>
        <w:rPr>
          <w:spacing w:val="-5"/>
        </w:rPr>
        <w:t>活动中的三项或三项以上。</w:t>
      </w:r>
    </w:p>
    <w:p>
      <w:pPr>
        <w:pStyle w:val="BodyText"/>
        <w:spacing w:before="7"/>
        <w:ind w:left="2377"/>
      </w:pPr>
      <w:r>
        <w:rPr/>
        <w:t>神经官能症和精神疾病不在保障范围内。</w:t>
      </w:r>
    </w:p>
    <w:p>
      <w:pPr>
        <w:pStyle w:val="BodyText"/>
        <w:spacing w:before="8"/>
        <w:rPr>
          <w:sz w:val="26"/>
        </w:rPr>
      </w:pPr>
    </w:p>
    <w:p>
      <w:pPr>
        <w:pStyle w:val="Heading2"/>
        <w:spacing w:before="1"/>
      </w:pPr>
      <w:r>
        <w:rPr/>
        <w:t>（四十四）非阿尔茨海默病所致严重痴呆</w:t>
      </w:r>
    </w:p>
    <w:p>
      <w:pPr>
        <w:pStyle w:val="BodyText"/>
        <w:spacing w:line="273" w:lineRule="auto"/>
        <w:ind w:left="1956" w:right="205" w:firstLine="420"/>
        <w:jc w:val="both"/>
      </w:pPr>
      <w:r>
        <w:rPr/>
        <w:t>指因阿尔茨海默病以外的脑的器质性疾病造成脑功能衰竭导致永久不可逆</w:t>
      </w:r>
      <w:r>
        <w:rPr>
          <w:spacing w:val="-7"/>
        </w:rPr>
        <w:t>性的严重痴呆，临床表现为明显的认知能力障碍、行为异常和社交能力减退。被</w:t>
      </w:r>
      <w:r>
        <w:rPr>
          <w:spacing w:val="-9"/>
        </w:rPr>
        <w:t>保险人自主生活能力完全丧失，无法独立完成六项基本日常生活活动中的三项或</w:t>
      </w:r>
    </w:p>
    <w:p>
      <w:pPr>
        <w:spacing w:after="0" w:line="273" w:lineRule="auto"/>
        <w:jc w:val="both"/>
        <w:sectPr>
          <w:pgSz w:w="11910" w:h="16840"/>
          <w:pgMar w:top="1080" w:bottom="280" w:left="1680" w:right="760"/>
        </w:sectPr>
      </w:pPr>
    </w:p>
    <w:p>
      <w:pPr>
        <w:pStyle w:val="BodyText"/>
        <w:spacing w:line="273" w:lineRule="auto" w:before="22"/>
        <w:ind w:left="1956" w:right="166"/>
        <w:jc w:val="both"/>
      </w:pPr>
      <w:r>
        <w:rPr>
          <w:spacing w:val="-7"/>
        </w:rPr>
        <w:t>三项以上，日常生活必须持续受到他人监护。导致痴呆的疾病必须明确诊断，并</w:t>
      </w:r>
      <w:r>
        <w:rPr>
          <w:spacing w:val="-9"/>
        </w:rPr>
        <w:t>且由完整的临床、实验室和影像学检查结果证实。神经官能症和精神疾病不在保</w:t>
      </w:r>
      <w:r>
        <w:rPr>
          <w:spacing w:val="-5"/>
        </w:rPr>
        <w:t>障范围内。</w:t>
      </w:r>
    </w:p>
    <w:p>
      <w:pPr>
        <w:pStyle w:val="BodyText"/>
        <w:spacing w:before="5"/>
        <w:rPr>
          <w:sz w:val="24"/>
        </w:rPr>
      </w:pPr>
    </w:p>
    <w:p>
      <w:pPr>
        <w:pStyle w:val="Heading2"/>
        <w:spacing w:before="1"/>
      </w:pPr>
      <w:r>
        <w:rPr/>
        <w:t>（四十五）严重帕金森病</w:t>
      </w:r>
    </w:p>
    <w:p>
      <w:pPr>
        <w:pStyle w:val="BodyText"/>
        <w:spacing w:line="273" w:lineRule="auto"/>
        <w:ind w:left="1956" w:right="168" w:firstLine="432"/>
      </w:pPr>
      <w:r>
        <w:rPr>
          <w:spacing w:val="-7"/>
        </w:rPr>
        <w:t>是一种中枢神经系统的退行性疾病，临床表现为震颤麻痹、共济失调等。须</w:t>
      </w:r>
      <w:r>
        <w:rPr>
          <w:spacing w:val="-5"/>
        </w:rPr>
        <w:t>满足下列全部条件：</w:t>
      </w:r>
    </w:p>
    <w:p>
      <w:pPr>
        <w:pStyle w:val="BodyText"/>
        <w:spacing w:before="7"/>
        <w:ind w:left="2388"/>
      </w:pPr>
      <w:r>
        <w:rPr/>
        <w:t>1.药物治疗无法控制病情；</w:t>
      </w:r>
    </w:p>
    <w:p>
      <w:pPr>
        <w:pStyle w:val="BodyText"/>
        <w:spacing w:line="273" w:lineRule="auto" w:before="36"/>
        <w:ind w:left="1956" w:right="165" w:firstLine="432"/>
      </w:pPr>
      <w:r>
        <w:rPr/>
        <w:t>2.</w:t>
      </w:r>
      <w:r>
        <w:rPr>
          <w:spacing w:val="-10"/>
        </w:rPr>
        <w:t>自主生活能力完全丧失，无法独立完成六项基本日常生活活动中的三项或</w:t>
      </w:r>
      <w:r>
        <w:rPr>
          <w:spacing w:val="-5"/>
        </w:rPr>
        <w:t>三项以上。</w:t>
      </w:r>
    </w:p>
    <w:p>
      <w:pPr>
        <w:pStyle w:val="BodyText"/>
        <w:spacing w:before="7"/>
        <w:ind w:left="2377"/>
      </w:pPr>
      <w:r>
        <w:rPr/>
        <w:t>继发性帕金森综合征不在保障范围内。</w:t>
      </w:r>
    </w:p>
    <w:p>
      <w:pPr>
        <w:pStyle w:val="BodyText"/>
        <w:spacing w:before="8"/>
        <w:rPr>
          <w:sz w:val="26"/>
        </w:rPr>
      </w:pPr>
    </w:p>
    <w:p>
      <w:pPr>
        <w:pStyle w:val="Heading2"/>
        <w:spacing w:before="1"/>
      </w:pPr>
      <w:r>
        <w:rPr/>
        <w:t>（四十六）严重克雅氏症</w:t>
      </w:r>
    </w:p>
    <w:p>
      <w:pPr>
        <w:pStyle w:val="BodyText"/>
        <w:ind w:left="2377"/>
      </w:pPr>
      <w:r>
        <w:rPr/>
        <w:t>神经系统疾病及致命的成胶质状脑病，并有以下症状：</w:t>
      </w:r>
    </w:p>
    <w:p>
      <w:pPr>
        <w:pStyle w:val="BodyText"/>
        <w:ind w:left="2377"/>
      </w:pPr>
      <w:r>
        <w:rPr/>
        <w:t>1.不能控制的肌肉痉挛及震颤；</w:t>
      </w:r>
    </w:p>
    <w:p>
      <w:pPr>
        <w:pStyle w:val="BodyText"/>
        <w:spacing w:before="36"/>
        <w:ind w:left="2377"/>
      </w:pPr>
      <w:r>
        <w:rPr/>
        <w:t>2.逐渐痴呆；</w:t>
      </w:r>
    </w:p>
    <w:p>
      <w:pPr>
        <w:pStyle w:val="BodyText"/>
        <w:spacing w:before="36"/>
        <w:ind w:left="2377"/>
      </w:pPr>
      <w:r>
        <w:rPr/>
        <w:t>3.小脑功能不良，共济失调；</w:t>
      </w:r>
    </w:p>
    <w:p>
      <w:pPr>
        <w:pStyle w:val="BodyText"/>
        <w:spacing w:before="36"/>
        <w:ind w:left="2377"/>
      </w:pPr>
      <w:r>
        <w:rPr/>
        <w:t>4.手足徐动症；</w:t>
      </w:r>
    </w:p>
    <w:p>
      <w:pPr>
        <w:pStyle w:val="BodyText"/>
        <w:spacing w:line="273" w:lineRule="auto" w:before="36"/>
        <w:ind w:left="1956" w:right="110" w:firstLine="420"/>
      </w:pPr>
      <w:r>
        <w:rPr/>
        <w:t>诊断必须由神经科专科医生基于以下检查报告作出：脑电图、脑脊液报告、电脑断层扫描(CT)及核磁共振(MRI)。</w:t>
      </w:r>
    </w:p>
    <w:p>
      <w:pPr>
        <w:pStyle w:val="BodyText"/>
        <w:spacing w:before="5"/>
        <w:rPr>
          <w:sz w:val="24"/>
        </w:rPr>
      </w:pPr>
    </w:p>
    <w:p>
      <w:pPr>
        <w:pStyle w:val="Heading2"/>
      </w:pPr>
      <w:r>
        <w:rPr/>
        <w:t>（四十七）重症手足口病</w:t>
      </w:r>
    </w:p>
    <w:p>
      <w:pPr>
        <w:pStyle w:val="BodyText"/>
        <w:spacing w:line="273" w:lineRule="auto"/>
        <w:ind w:left="1956" w:right="166" w:firstLine="432"/>
        <w:jc w:val="both"/>
      </w:pPr>
      <w:r>
        <w:rPr>
          <w:spacing w:val="-7"/>
        </w:rPr>
        <w:t>由肠道病毒引起的急性传染病，主要症状表现为手、足、口腔等部位的斑丘</w:t>
      </w:r>
      <w:r>
        <w:rPr>
          <w:spacing w:val="-9"/>
        </w:rPr>
        <w:t>疹、疱疹。经我们认可的医疗机构的专科医生确诊为患有手足口病，并伴有下列</w:t>
      </w:r>
      <w:r>
        <w:rPr>
          <w:spacing w:val="-5"/>
        </w:rPr>
        <w:t>三项中的任意一项并发症：</w:t>
      </w:r>
    </w:p>
    <w:p>
      <w:pPr>
        <w:pStyle w:val="BodyText"/>
        <w:spacing w:line="273" w:lineRule="auto" w:before="7"/>
        <w:ind w:left="1956" w:right="165" w:firstLine="432"/>
      </w:pPr>
      <w:r>
        <w:rPr/>
        <w:t>1.</w:t>
      </w:r>
      <w:r>
        <w:rPr>
          <w:spacing w:val="-10"/>
        </w:rPr>
        <w:t>有脑膜炎或脑炎并发症，且导致意识障碍或瘫痪的临床表现及实验室检查证据；</w:t>
      </w:r>
    </w:p>
    <w:p>
      <w:pPr>
        <w:pStyle w:val="BodyText"/>
        <w:spacing w:before="7"/>
        <w:ind w:left="2388"/>
      </w:pPr>
      <w:r>
        <w:rPr/>
        <w:t>2.有肺炎或肺水肿并发症，且导致呼吸衰竭的临床表现及实验室检查证据；</w:t>
      </w:r>
    </w:p>
    <w:p>
      <w:pPr>
        <w:pStyle w:val="BodyText"/>
        <w:spacing w:line="273" w:lineRule="auto"/>
        <w:ind w:left="1956" w:right="172" w:firstLine="420"/>
      </w:pPr>
      <w:r>
        <w:rPr/>
        <w:t>3.有心肌炎并发症，且导致心脏扩大或心力衰竭的临床表现及实验室检查证。</w:t>
      </w:r>
    </w:p>
    <w:p>
      <w:pPr>
        <w:pStyle w:val="BodyText"/>
        <w:spacing w:before="5"/>
        <w:rPr>
          <w:sz w:val="24"/>
        </w:rPr>
      </w:pPr>
    </w:p>
    <w:p>
      <w:pPr>
        <w:pStyle w:val="Heading2"/>
      </w:pPr>
      <w:r>
        <w:rPr/>
        <w:t>（四十八）系统性硬皮病</w:t>
      </w:r>
    </w:p>
    <w:p>
      <w:pPr>
        <w:pStyle w:val="BodyText"/>
        <w:spacing w:line="273" w:lineRule="auto" w:before="36"/>
        <w:ind w:left="1956" w:right="165" w:firstLine="432"/>
        <w:jc w:val="both"/>
      </w:pPr>
      <w:r>
        <w:rPr>
          <w:spacing w:val="-8"/>
        </w:rPr>
        <w:t>指一种全身性的胶原血管性疾病，可以导致皮肤、血管及内脏器官进行性弥</w:t>
      </w:r>
      <w:r>
        <w:rPr>
          <w:spacing w:val="-9"/>
        </w:rPr>
        <w:t>漫性纤维化。诊断必须经活检及血清学检查证实，疾病必须是全身性，且须满足</w:t>
      </w:r>
      <w:r>
        <w:rPr>
          <w:spacing w:val="-5"/>
        </w:rPr>
        <w:t>下列至少一项条件：</w:t>
      </w:r>
    </w:p>
    <w:p>
      <w:pPr>
        <w:pStyle w:val="BodyText"/>
        <w:spacing w:before="7"/>
        <w:ind w:left="2388"/>
      </w:pPr>
      <w:r>
        <w:rPr/>
        <w:t>1.肺脏：肺部病变进而发展为肺间质纤维化和肺动脉高压；</w:t>
      </w:r>
    </w:p>
    <w:p>
      <w:pPr>
        <w:pStyle w:val="BodyText"/>
        <w:ind w:left="2388"/>
      </w:pPr>
      <w:r>
        <w:rPr/>
        <w:t>2.心脏：心功能受损达到美国纽约心脏病学会心功能状态分级 IV 级；</w:t>
      </w:r>
    </w:p>
    <w:p>
      <w:pPr>
        <w:pStyle w:val="BodyText"/>
        <w:spacing w:line="273" w:lineRule="auto"/>
        <w:ind w:left="2388" w:right="938"/>
      </w:pPr>
      <w:r>
        <w:rPr/>
        <w:t>3.肾脏：肾脏受损导致双肾功能慢性不可逆衰竭，达到尿毒症期。以下情况不在保障范围内：</w:t>
      </w:r>
    </w:p>
    <w:p>
      <w:pPr>
        <w:pStyle w:val="BodyText"/>
        <w:spacing w:before="7"/>
        <w:ind w:left="2388"/>
      </w:pPr>
      <w:r>
        <w:rPr>
          <w:w w:val="100"/>
        </w:rPr>
        <w:t>1.</w:t>
      </w:r>
      <w:r>
        <w:rPr>
          <w:spacing w:val="-3"/>
          <w:w w:val="100"/>
        </w:rPr>
        <w:t>局限性硬皮病</w:t>
      </w:r>
      <w:r>
        <w:rPr>
          <w:w w:val="100"/>
        </w:rPr>
        <w:t>（</w:t>
      </w:r>
      <w:r>
        <w:rPr>
          <w:spacing w:val="-3"/>
          <w:w w:val="100"/>
        </w:rPr>
        <w:t>带状硬皮病或斑状损害</w:t>
      </w:r>
      <w:r>
        <w:rPr>
          <w:spacing w:val="-106"/>
          <w:w w:val="100"/>
        </w:rPr>
        <w:t>）</w:t>
      </w:r>
      <w:r>
        <w:rPr>
          <w:w w:val="100"/>
        </w:rPr>
        <w:t>；</w:t>
      </w:r>
    </w:p>
    <w:p>
      <w:pPr>
        <w:pStyle w:val="BodyText"/>
        <w:spacing w:before="36"/>
        <w:ind w:left="2388"/>
      </w:pPr>
      <w:r>
        <w:rPr/>
        <w:t>2.嗜酸性筋膜炎；</w:t>
      </w:r>
    </w:p>
    <w:p>
      <w:pPr>
        <w:pStyle w:val="BodyText"/>
        <w:spacing w:before="36"/>
        <w:ind w:left="2377"/>
      </w:pPr>
      <w:r>
        <w:rPr/>
        <w:t>3.CREST 综合征。</w:t>
      </w:r>
    </w:p>
    <w:p>
      <w:pPr>
        <w:pStyle w:val="BodyText"/>
        <w:spacing w:before="8"/>
        <w:rPr>
          <w:sz w:val="26"/>
        </w:rPr>
      </w:pPr>
    </w:p>
    <w:p>
      <w:pPr>
        <w:pStyle w:val="Heading2"/>
      </w:pPr>
      <w:r>
        <w:rPr/>
        <w:t>（四十九）双耳失聪</w:t>
      </w:r>
    </w:p>
    <w:p>
      <w:pPr>
        <w:pStyle w:val="BodyText"/>
        <w:spacing w:before="36"/>
        <w:ind w:left="2388"/>
      </w:pPr>
      <w:r>
        <w:rPr/>
        <w:t>指因疾病或意外伤害导致双耳听力永久不可逆性丧失，在 500 赫兹、1000</w:t>
      </w:r>
    </w:p>
    <w:p>
      <w:pPr>
        <w:pStyle w:val="BodyText"/>
        <w:spacing w:before="36"/>
        <w:ind w:left="1956"/>
      </w:pPr>
      <w:r>
        <w:rPr/>
        <w:t>赫兹和 2000 赫兹语音频率下，平均听阈大于 90 分贝，且经纯音听力测试、声</w:t>
      </w:r>
    </w:p>
    <w:p>
      <w:pPr>
        <w:spacing w:after="0"/>
        <w:sectPr>
          <w:pgSz w:w="11910" w:h="16840"/>
          <w:pgMar w:top="1080" w:bottom="280" w:left="168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519"/>
        <w:gridCol w:w="7939"/>
      </w:tblGrid>
      <w:tr>
        <w:trPr>
          <w:trHeight w:val="11027" w:hRule="atLeast"/>
        </w:trPr>
        <w:tc>
          <w:tcPr>
            <w:tcW w:w="963" w:type="dxa"/>
          </w:tcPr>
          <w:p>
            <w:pPr>
              <w:pStyle w:val="TableParagraph"/>
              <w:rPr>
                <w:rFonts w:ascii="Times New Roman"/>
                <w:sz w:val="20"/>
              </w:rPr>
            </w:pPr>
          </w:p>
        </w:tc>
        <w:tc>
          <w:tcPr>
            <w:tcW w:w="1519" w:type="dxa"/>
          </w:tcPr>
          <w:p>
            <w:pPr>
              <w:pStyle w:val="TableParagraph"/>
              <w:rPr>
                <w:rFonts w:ascii="Times New Roman"/>
                <w:sz w:val="20"/>
              </w:rPr>
            </w:pPr>
          </w:p>
        </w:tc>
        <w:tc>
          <w:tcPr>
            <w:tcW w:w="7939" w:type="dxa"/>
          </w:tcPr>
          <w:p>
            <w:pPr>
              <w:pStyle w:val="TableParagraph"/>
              <w:spacing w:line="211" w:lineRule="exact"/>
              <w:ind w:left="334"/>
              <w:rPr>
                <w:sz w:val="21"/>
              </w:rPr>
            </w:pPr>
            <w:r>
              <w:rPr>
                <w:sz w:val="21"/>
              </w:rPr>
              <w:t>导抗检测或听觉诱发电位检测等证实。</w:t>
            </w:r>
          </w:p>
          <w:p>
            <w:pPr>
              <w:pStyle w:val="TableParagraph"/>
              <w:spacing w:before="37"/>
              <w:ind w:left="766"/>
              <w:rPr>
                <w:sz w:val="21"/>
              </w:rPr>
            </w:pPr>
            <w:r>
              <w:rPr>
                <w:sz w:val="21"/>
              </w:rPr>
              <w:t>在 0 周岁至 3 周岁的保险单周年日期间，被保险人初患双耳失聪除外。</w:t>
            </w:r>
          </w:p>
          <w:p>
            <w:pPr>
              <w:pStyle w:val="TableParagraph"/>
              <w:spacing w:before="9"/>
              <w:rPr>
                <w:sz w:val="26"/>
              </w:rPr>
            </w:pPr>
          </w:p>
          <w:p>
            <w:pPr>
              <w:pStyle w:val="TableParagraph"/>
              <w:ind w:left="334"/>
              <w:rPr>
                <w:b/>
                <w:sz w:val="21"/>
              </w:rPr>
            </w:pPr>
            <w:r>
              <w:rPr>
                <w:b/>
                <w:sz w:val="21"/>
              </w:rPr>
              <w:t>（五十）埃博拉病毒感染</w:t>
            </w:r>
          </w:p>
          <w:p>
            <w:pPr>
              <w:pStyle w:val="TableParagraph"/>
              <w:spacing w:before="37"/>
              <w:ind w:left="754"/>
              <w:rPr>
                <w:sz w:val="21"/>
              </w:rPr>
            </w:pPr>
            <w:r>
              <w:rPr>
                <w:sz w:val="21"/>
              </w:rPr>
              <w:t>指埃博拉病毒感染导致的烈性传染病，并须满足下列全部条件：</w:t>
            </w:r>
          </w:p>
          <w:p>
            <w:pPr>
              <w:pStyle w:val="TableParagraph"/>
              <w:spacing w:before="37"/>
              <w:ind w:left="754"/>
              <w:rPr>
                <w:sz w:val="21"/>
              </w:rPr>
            </w:pPr>
            <w:r>
              <w:rPr>
                <w:sz w:val="21"/>
              </w:rPr>
              <w:t>1.实验室检查证实埃博拉病毒的存在；</w:t>
            </w:r>
          </w:p>
          <w:p>
            <w:pPr>
              <w:pStyle w:val="TableParagraph"/>
              <w:spacing w:before="37"/>
              <w:ind w:left="754"/>
              <w:rPr>
                <w:sz w:val="21"/>
              </w:rPr>
            </w:pPr>
            <w:r>
              <w:rPr>
                <w:sz w:val="21"/>
              </w:rPr>
              <w:t>2.从发病开始有超过 30 天的进行性感染症状。</w:t>
            </w:r>
          </w:p>
          <w:p>
            <w:pPr>
              <w:pStyle w:val="TableParagraph"/>
              <w:spacing w:before="8"/>
              <w:rPr>
                <w:sz w:val="26"/>
              </w:rPr>
            </w:pPr>
          </w:p>
          <w:p>
            <w:pPr>
              <w:pStyle w:val="TableParagraph"/>
              <w:spacing w:before="1"/>
              <w:ind w:left="334"/>
              <w:rPr>
                <w:sz w:val="21"/>
              </w:rPr>
            </w:pPr>
            <w:r>
              <w:rPr>
                <w:sz w:val="21"/>
              </w:rPr>
              <w:t>上述 9.7 的释义中部分术语释义如下：</w:t>
            </w:r>
          </w:p>
          <w:p>
            <w:pPr>
              <w:pStyle w:val="TableParagraph"/>
              <w:spacing w:before="9"/>
              <w:rPr>
                <w:sz w:val="26"/>
              </w:rPr>
            </w:pPr>
          </w:p>
          <w:p>
            <w:pPr>
              <w:pStyle w:val="TableParagraph"/>
              <w:ind w:left="334"/>
              <w:rPr>
                <w:sz w:val="21"/>
              </w:rPr>
            </w:pPr>
            <w:r>
              <w:rPr>
                <w:sz w:val="21"/>
              </w:rPr>
              <w:t>（一）肢体机能完全丧失</w:t>
            </w:r>
          </w:p>
          <w:p>
            <w:pPr>
              <w:pStyle w:val="TableParagraph"/>
              <w:spacing w:line="273" w:lineRule="auto" w:before="37"/>
              <w:ind w:left="334" w:right="238" w:firstLine="432"/>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6"/>
              <w:rPr>
                <w:sz w:val="24"/>
              </w:rPr>
            </w:pPr>
          </w:p>
          <w:p>
            <w:pPr>
              <w:pStyle w:val="TableParagraph"/>
              <w:ind w:left="334"/>
              <w:rPr>
                <w:sz w:val="21"/>
              </w:rPr>
            </w:pPr>
            <w:r>
              <w:rPr>
                <w:sz w:val="21"/>
              </w:rPr>
              <w:t>（二）语言能力或咀嚼吞咽能力完全丧失</w:t>
            </w:r>
          </w:p>
          <w:p>
            <w:pPr>
              <w:pStyle w:val="TableParagraph"/>
              <w:spacing w:line="273" w:lineRule="auto" w:before="37"/>
              <w:ind w:left="334" w:right="197" w:firstLine="432"/>
              <w:rPr>
                <w:sz w:val="21"/>
              </w:rPr>
            </w:pPr>
            <w:r>
              <w:rPr>
                <w:spacing w:val="-5"/>
                <w:sz w:val="21"/>
              </w:rPr>
              <w:t>语言能力完全丧失是指无法发出四种语音</w:t>
            </w:r>
            <w:r>
              <w:rPr>
                <w:spacing w:val="-3"/>
                <w:sz w:val="21"/>
              </w:rPr>
              <w:t>（</w:t>
            </w:r>
            <w:r>
              <w:rPr>
                <w:spacing w:val="-9"/>
                <w:sz w:val="21"/>
              </w:rPr>
              <w:t>包括口唇音、齿舌音、口盖音和</w:t>
            </w:r>
            <w:r>
              <w:rPr>
                <w:spacing w:val="-7"/>
                <w:sz w:val="21"/>
              </w:rPr>
              <w:t>喉头音</w:t>
            </w:r>
            <w:r>
              <w:rPr>
                <w:spacing w:val="-56"/>
                <w:sz w:val="21"/>
              </w:rPr>
              <w:t>）</w:t>
            </w:r>
            <w:r>
              <w:rPr>
                <w:spacing w:val="-12"/>
                <w:sz w:val="21"/>
              </w:rPr>
              <w:t>中的任何三种、或声带全部切除，或因大脑语言中枢受伤害而患失语症。</w:t>
            </w:r>
          </w:p>
          <w:p>
            <w:pPr>
              <w:pStyle w:val="TableParagraph"/>
              <w:spacing w:line="273" w:lineRule="auto" w:before="7"/>
              <w:ind w:left="334" w:right="238" w:firstLine="432"/>
              <w:rPr>
                <w:sz w:val="21"/>
              </w:rPr>
            </w:pPr>
            <w:r>
              <w:rPr>
                <w:sz w:val="21"/>
              </w:rPr>
              <w:t>咀嚼吞咽能力完全丧失是指因牙齿以外的原因导致器质障碍或机能障碍，以致不能作咀嚼吞咽运动，除流质食物外不能摄取或吞咽的状态。</w:t>
            </w:r>
          </w:p>
          <w:p>
            <w:pPr>
              <w:pStyle w:val="TableParagraph"/>
              <w:spacing w:before="4"/>
              <w:rPr>
                <w:sz w:val="24"/>
              </w:rPr>
            </w:pPr>
          </w:p>
          <w:p>
            <w:pPr>
              <w:pStyle w:val="TableParagraph"/>
              <w:spacing w:before="1"/>
              <w:ind w:left="334"/>
              <w:rPr>
                <w:sz w:val="21"/>
              </w:rPr>
            </w:pPr>
            <w:r>
              <w:rPr>
                <w:sz w:val="21"/>
              </w:rPr>
              <w:t>（三）六项基本日常生活活动</w:t>
            </w:r>
          </w:p>
          <w:p>
            <w:pPr>
              <w:pStyle w:val="TableParagraph"/>
              <w:spacing w:before="37"/>
              <w:ind w:left="766"/>
              <w:rPr>
                <w:sz w:val="21"/>
              </w:rPr>
            </w:pPr>
            <w:r>
              <w:rPr>
                <w:sz w:val="21"/>
              </w:rPr>
              <w:t>六项基本日常生活活动是指：</w:t>
            </w:r>
          </w:p>
          <w:p>
            <w:pPr>
              <w:pStyle w:val="TableParagraph"/>
              <w:spacing w:before="37"/>
              <w:ind w:left="334"/>
              <w:rPr>
                <w:sz w:val="21"/>
              </w:rPr>
            </w:pPr>
            <w:r>
              <w:rPr>
                <w:sz w:val="21"/>
              </w:rPr>
              <w:t>（1）穿衣：自己能够穿衣及脱衣；</w:t>
            </w:r>
          </w:p>
          <w:p>
            <w:pPr>
              <w:pStyle w:val="TableParagraph"/>
              <w:spacing w:before="37"/>
              <w:ind w:left="334"/>
              <w:rPr>
                <w:sz w:val="21"/>
              </w:rPr>
            </w:pPr>
            <w:r>
              <w:rPr>
                <w:sz w:val="21"/>
              </w:rPr>
              <w:t>（2）移动：自己从一个房间到另一个房间；</w:t>
            </w:r>
          </w:p>
          <w:p>
            <w:pPr>
              <w:pStyle w:val="TableParagraph"/>
              <w:spacing w:before="37"/>
              <w:ind w:left="334"/>
              <w:rPr>
                <w:sz w:val="21"/>
              </w:rPr>
            </w:pPr>
            <w:r>
              <w:rPr>
                <w:sz w:val="21"/>
              </w:rPr>
              <w:t>（3）行动：自己上下床或上下轮椅；</w:t>
            </w:r>
          </w:p>
          <w:p>
            <w:pPr>
              <w:pStyle w:val="TableParagraph"/>
              <w:spacing w:before="37"/>
              <w:ind w:left="334"/>
              <w:rPr>
                <w:sz w:val="21"/>
              </w:rPr>
            </w:pPr>
            <w:r>
              <w:rPr>
                <w:sz w:val="21"/>
              </w:rPr>
              <w:t>（4）如厕：自己控制进行大小便；</w:t>
            </w:r>
          </w:p>
          <w:p>
            <w:pPr>
              <w:pStyle w:val="TableParagraph"/>
              <w:spacing w:before="37"/>
              <w:ind w:left="334"/>
              <w:rPr>
                <w:sz w:val="21"/>
              </w:rPr>
            </w:pPr>
            <w:r>
              <w:rPr>
                <w:sz w:val="21"/>
              </w:rPr>
              <w:t>（5）进食：自己从已准备好的碗或碟中取食物放入口中；</w:t>
            </w:r>
          </w:p>
          <w:p>
            <w:pPr>
              <w:pStyle w:val="TableParagraph"/>
              <w:spacing w:before="37"/>
              <w:ind w:left="334"/>
              <w:rPr>
                <w:sz w:val="21"/>
              </w:rPr>
            </w:pPr>
            <w:r>
              <w:rPr>
                <w:sz w:val="21"/>
              </w:rPr>
              <w:t>（6）洗澡：自己进行淋浴或盆浴。</w:t>
            </w:r>
          </w:p>
          <w:p>
            <w:pPr>
              <w:pStyle w:val="TableParagraph"/>
              <w:spacing w:before="9"/>
              <w:rPr>
                <w:sz w:val="26"/>
              </w:rPr>
            </w:pPr>
          </w:p>
          <w:p>
            <w:pPr>
              <w:pStyle w:val="TableParagraph"/>
              <w:ind w:left="334"/>
              <w:rPr>
                <w:sz w:val="21"/>
              </w:rPr>
            </w:pPr>
            <w:r>
              <w:rPr>
                <w:sz w:val="21"/>
              </w:rPr>
              <w:t>（四）永久不可逆</w:t>
            </w:r>
          </w:p>
          <w:p>
            <w:pPr>
              <w:pStyle w:val="TableParagraph"/>
              <w:spacing w:line="273" w:lineRule="auto" w:before="37"/>
              <w:ind w:left="334" w:right="300" w:firstLine="432"/>
              <w:rPr>
                <w:sz w:val="21"/>
              </w:rPr>
            </w:pPr>
            <w:r>
              <w:rPr>
                <w:sz w:val="21"/>
              </w:rPr>
              <w:t>永久不可逆是指自疾病确诊或意外伤害发生之日起，经过积极治疗 180 天后，仍无法通过现有医疗手段恢复。</w:t>
            </w:r>
          </w:p>
          <w:p>
            <w:pPr>
              <w:pStyle w:val="TableParagraph"/>
              <w:spacing w:before="5"/>
              <w:rPr>
                <w:sz w:val="24"/>
              </w:rPr>
            </w:pPr>
          </w:p>
          <w:p>
            <w:pPr>
              <w:pStyle w:val="TableParagraph"/>
              <w:ind w:left="334"/>
              <w:rPr>
                <w:sz w:val="21"/>
              </w:rPr>
            </w:pPr>
            <w:r>
              <w:rPr>
                <w:sz w:val="21"/>
              </w:rPr>
              <w:t>（五）三大关节</w:t>
            </w:r>
          </w:p>
          <w:p>
            <w:pPr>
              <w:pStyle w:val="TableParagraph"/>
              <w:spacing w:before="36"/>
              <w:ind w:left="754"/>
              <w:rPr>
                <w:sz w:val="21"/>
              </w:rPr>
            </w:pPr>
            <w:r>
              <w:rPr>
                <w:sz w:val="21"/>
              </w:rPr>
              <w:t>上肢三大关节是指肩、肘、腕关节，下肢三大关节是指髋、膝、踝关节。</w:t>
            </w:r>
          </w:p>
        </w:tc>
      </w:tr>
      <w:tr>
        <w:trPr>
          <w:trHeight w:val="936" w:hRule="atLeast"/>
        </w:trPr>
        <w:tc>
          <w:tcPr>
            <w:tcW w:w="963" w:type="dxa"/>
          </w:tcPr>
          <w:p>
            <w:pPr>
              <w:pStyle w:val="TableParagraph"/>
              <w:spacing w:before="142"/>
              <w:ind w:left="200"/>
              <w:rPr>
                <w:b/>
                <w:sz w:val="21"/>
              </w:rPr>
            </w:pPr>
            <w:r>
              <w:rPr>
                <w:b/>
                <w:sz w:val="21"/>
              </w:rPr>
              <w:t>9.8</w:t>
            </w:r>
          </w:p>
        </w:tc>
        <w:tc>
          <w:tcPr>
            <w:tcW w:w="1519" w:type="dxa"/>
          </w:tcPr>
          <w:p>
            <w:pPr>
              <w:pStyle w:val="TableParagraph"/>
              <w:spacing w:before="142"/>
              <w:ind w:right="330"/>
              <w:jc w:val="right"/>
              <w:rPr>
                <w:b/>
                <w:sz w:val="21"/>
              </w:rPr>
            </w:pPr>
            <w:r>
              <w:rPr>
                <w:b/>
                <w:sz w:val="21"/>
              </w:rPr>
              <w:t>中国境内</w:t>
            </w:r>
          </w:p>
        </w:tc>
        <w:tc>
          <w:tcPr>
            <w:tcW w:w="7939" w:type="dxa"/>
          </w:tcPr>
          <w:p>
            <w:pPr>
              <w:pStyle w:val="TableParagraph"/>
              <w:spacing w:line="273" w:lineRule="auto" w:before="142"/>
              <w:ind w:left="334" w:right="302"/>
              <w:rPr>
                <w:sz w:val="21"/>
              </w:rPr>
            </w:pPr>
            <w:r>
              <w:rPr>
                <w:spacing w:val="-7"/>
                <w:sz w:val="21"/>
              </w:rPr>
              <w:t>指中华人民共和国境内，但不包括中国香港特别行政区、中国澳门特别行政区和</w:t>
            </w:r>
            <w:r>
              <w:rPr>
                <w:spacing w:val="-5"/>
                <w:sz w:val="21"/>
              </w:rPr>
              <w:t>中国台湾地区。</w:t>
            </w:r>
          </w:p>
        </w:tc>
      </w:tr>
      <w:tr>
        <w:trPr>
          <w:trHeight w:val="1872" w:hRule="atLeast"/>
        </w:trPr>
        <w:tc>
          <w:tcPr>
            <w:tcW w:w="963" w:type="dxa"/>
          </w:tcPr>
          <w:p>
            <w:pPr>
              <w:pStyle w:val="TableParagraph"/>
              <w:spacing w:before="143"/>
              <w:ind w:left="200"/>
              <w:rPr>
                <w:b/>
                <w:sz w:val="21"/>
              </w:rPr>
            </w:pPr>
            <w:r>
              <w:rPr>
                <w:b/>
                <w:sz w:val="21"/>
              </w:rPr>
              <w:t>9.9</w:t>
            </w:r>
          </w:p>
        </w:tc>
        <w:tc>
          <w:tcPr>
            <w:tcW w:w="1519" w:type="dxa"/>
          </w:tcPr>
          <w:p>
            <w:pPr>
              <w:pStyle w:val="TableParagraph"/>
              <w:spacing w:before="143"/>
              <w:ind w:right="330"/>
              <w:jc w:val="right"/>
              <w:rPr>
                <w:b/>
                <w:sz w:val="21"/>
              </w:rPr>
            </w:pPr>
            <w:r>
              <w:rPr>
                <w:b/>
                <w:sz w:val="21"/>
              </w:rPr>
              <w:t>医疗机构</w:t>
            </w:r>
          </w:p>
        </w:tc>
        <w:tc>
          <w:tcPr>
            <w:tcW w:w="7939" w:type="dxa"/>
          </w:tcPr>
          <w:p>
            <w:pPr>
              <w:pStyle w:val="TableParagraph"/>
              <w:spacing w:line="273" w:lineRule="auto" w:before="143"/>
              <w:ind w:left="334" w:right="300"/>
              <w:jc w:val="both"/>
              <w:rPr>
                <w:sz w:val="21"/>
              </w:rPr>
            </w:pPr>
            <w:r>
              <w:rPr>
                <w:spacing w:val="-5"/>
                <w:sz w:val="21"/>
              </w:rPr>
              <w:t>指国家卫生部医院等级分类中的二级或二级以上的公立医院，但前述医院并不包</w:t>
            </w:r>
            <w:r>
              <w:rPr>
                <w:spacing w:val="-9"/>
                <w:sz w:val="21"/>
              </w:rPr>
              <w:t>括观察室、联合病房和康复病房以及附属于前述医院或单独作为诊所、康复、护理、疗养、戒酒、戒毒等或相类似的医疗机构。同时该医院必须具有符合有关医院管理规定设置标准的医疗设备，并且全日二十四小时有合格医师及护士驻院提</w:t>
            </w:r>
            <w:r>
              <w:rPr>
                <w:spacing w:val="-5"/>
                <w:sz w:val="21"/>
              </w:rPr>
              <w:t>供医疗和护理等服务。</w:t>
            </w:r>
          </w:p>
        </w:tc>
      </w:tr>
      <w:tr>
        <w:trPr>
          <w:trHeight w:val="417" w:hRule="atLeast"/>
        </w:trPr>
        <w:tc>
          <w:tcPr>
            <w:tcW w:w="963" w:type="dxa"/>
          </w:tcPr>
          <w:p>
            <w:pPr>
              <w:pStyle w:val="TableParagraph"/>
              <w:spacing w:line="255" w:lineRule="exact" w:before="142"/>
              <w:ind w:left="200"/>
              <w:rPr>
                <w:b/>
                <w:sz w:val="21"/>
              </w:rPr>
            </w:pPr>
            <w:r>
              <w:rPr>
                <w:b/>
                <w:sz w:val="21"/>
              </w:rPr>
              <w:t>9.10</w:t>
            </w:r>
          </w:p>
        </w:tc>
        <w:tc>
          <w:tcPr>
            <w:tcW w:w="1519" w:type="dxa"/>
          </w:tcPr>
          <w:p>
            <w:pPr>
              <w:pStyle w:val="TableParagraph"/>
              <w:spacing w:line="255" w:lineRule="exact" w:before="142"/>
              <w:ind w:right="330"/>
              <w:jc w:val="right"/>
              <w:rPr>
                <w:b/>
                <w:sz w:val="21"/>
              </w:rPr>
            </w:pPr>
            <w:r>
              <w:rPr>
                <w:b/>
                <w:sz w:val="21"/>
              </w:rPr>
              <w:t>初次发生</w:t>
            </w:r>
          </w:p>
        </w:tc>
        <w:tc>
          <w:tcPr>
            <w:tcW w:w="7939" w:type="dxa"/>
          </w:tcPr>
          <w:p>
            <w:pPr>
              <w:pStyle w:val="TableParagraph"/>
              <w:spacing w:line="255" w:lineRule="exact" w:before="142"/>
              <w:ind w:left="334"/>
              <w:rPr>
                <w:sz w:val="21"/>
              </w:rPr>
            </w:pPr>
            <w:r>
              <w:rPr>
                <w:sz w:val="21"/>
              </w:rPr>
              <w:t>指被保险人首次出现重大疾病的前兆或异常的身体状况，包括与重大疾病相关的</w:t>
            </w:r>
          </w:p>
        </w:tc>
      </w:tr>
    </w:tbl>
    <w:p>
      <w:pPr>
        <w:spacing w:after="0" w:line="255" w:lineRule="exact"/>
        <w:rPr>
          <w:sz w:val="21"/>
        </w:rPr>
        <w:sectPr>
          <w:pgSz w:w="11910" w:h="16840"/>
          <w:pgMar w:top="1160" w:bottom="280" w:left="7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727"/>
        <w:gridCol w:w="7731"/>
      </w:tblGrid>
      <w:tr>
        <w:trPr>
          <w:trHeight w:val="417" w:hRule="atLeast"/>
        </w:trPr>
        <w:tc>
          <w:tcPr>
            <w:tcW w:w="964" w:type="dxa"/>
          </w:tcPr>
          <w:p>
            <w:pPr>
              <w:pStyle w:val="TableParagraph"/>
              <w:rPr>
                <w:rFonts w:ascii="Times New Roman"/>
                <w:sz w:val="20"/>
              </w:rPr>
            </w:pPr>
          </w:p>
        </w:tc>
        <w:tc>
          <w:tcPr>
            <w:tcW w:w="1727" w:type="dxa"/>
          </w:tcPr>
          <w:p>
            <w:pPr>
              <w:pStyle w:val="TableParagraph"/>
              <w:rPr>
                <w:rFonts w:ascii="Times New Roman"/>
                <w:sz w:val="20"/>
              </w:rPr>
            </w:pPr>
          </w:p>
        </w:tc>
        <w:tc>
          <w:tcPr>
            <w:tcW w:w="7731" w:type="dxa"/>
          </w:tcPr>
          <w:p>
            <w:pPr>
              <w:pStyle w:val="TableParagraph"/>
              <w:spacing w:line="211" w:lineRule="exact"/>
              <w:ind w:left="125"/>
              <w:rPr>
                <w:sz w:val="21"/>
              </w:rPr>
            </w:pPr>
            <w:r>
              <w:rPr>
                <w:sz w:val="21"/>
              </w:rPr>
              <w:t>症状及体征。</w:t>
            </w:r>
          </w:p>
        </w:tc>
      </w:tr>
      <w:tr>
        <w:trPr>
          <w:trHeight w:val="1560" w:hRule="atLeast"/>
        </w:trPr>
        <w:tc>
          <w:tcPr>
            <w:tcW w:w="964" w:type="dxa"/>
          </w:tcPr>
          <w:p>
            <w:pPr>
              <w:pStyle w:val="TableParagraph"/>
              <w:spacing w:before="143"/>
              <w:ind w:left="200"/>
              <w:rPr>
                <w:b/>
                <w:sz w:val="21"/>
              </w:rPr>
            </w:pPr>
            <w:r>
              <w:rPr>
                <w:b/>
                <w:sz w:val="21"/>
              </w:rPr>
              <w:t>9.11</w:t>
            </w:r>
          </w:p>
        </w:tc>
        <w:tc>
          <w:tcPr>
            <w:tcW w:w="1727" w:type="dxa"/>
          </w:tcPr>
          <w:p>
            <w:pPr>
              <w:pStyle w:val="TableParagraph"/>
              <w:spacing w:before="143"/>
              <w:ind w:left="340"/>
              <w:rPr>
                <w:b/>
                <w:sz w:val="21"/>
              </w:rPr>
            </w:pPr>
            <w:r>
              <w:rPr>
                <w:b/>
                <w:sz w:val="21"/>
              </w:rPr>
              <w:t>医院</w:t>
            </w:r>
          </w:p>
        </w:tc>
        <w:tc>
          <w:tcPr>
            <w:tcW w:w="7731" w:type="dxa"/>
          </w:tcPr>
          <w:p>
            <w:pPr>
              <w:pStyle w:val="TableParagraph"/>
              <w:spacing w:line="273" w:lineRule="auto" w:before="143"/>
              <w:ind w:left="125" w:right="198"/>
              <w:rPr>
                <w:sz w:val="21"/>
              </w:rPr>
            </w:pPr>
            <w:r>
              <w:rPr>
                <w:spacing w:val="-5"/>
                <w:sz w:val="21"/>
              </w:rPr>
              <w:t>指国家卫生部医院等级分类中的二级或二级以上的公立医院，但不包括附属于前</w:t>
            </w:r>
            <w:r>
              <w:rPr>
                <w:spacing w:val="-14"/>
                <w:sz w:val="21"/>
              </w:rPr>
              <w:t>述医院或单独作为诊所、康复、护理、疗养、戒酒、戒毒等或相类似的医疗机构。</w:t>
            </w:r>
            <w:r>
              <w:rPr>
                <w:spacing w:val="-9"/>
                <w:sz w:val="21"/>
              </w:rPr>
              <w:t>同时该医院必须具有符合有关医院管理规定设置标准的医疗设备，并且全日二十</w:t>
            </w:r>
            <w:r>
              <w:rPr>
                <w:spacing w:val="-5"/>
                <w:sz w:val="21"/>
              </w:rPr>
              <w:t>四小时有合格医师及护士驻院提供医疗和护理等服务。</w:t>
            </w:r>
          </w:p>
        </w:tc>
      </w:tr>
      <w:tr>
        <w:trPr>
          <w:trHeight w:val="2184" w:hRule="atLeast"/>
        </w:trPr>
        <w:tc>
          <w:tcPr>
            <w:tcW w:w="964" w:type="dxa"/>
          </w:tcPr>
          <w:p>
            <w:pPr>
              <w:pStyle w:val="TableParagraph"/>
              <w:spacing w:before="142"/>
              <w:ind w:left="200"/>
              <w:rPr>
                <w:b/>
                <w:sz w:val="21"/>
              </w:rPr>
            </w:pPr>
            <w:r>
              <w:rPr>
                <w:b/>
                <w:sz w:val="21"/>
              </w:rPr>
              <w:t>9.12</w:t>
            </w:r>
          </w:p>
        </w:tc>
        <w:tc>
          <w:tcPr>
            <w:tcW w:w="1727" w:type="dxa"/>
          </w:tcPr>
          <w:p>
            <w:pPr>
              <w:pStyle w:val="TableParagraph"/>
              <w:spacing w:before="142"/>
              <w:ind w:left="340"/>
              <w:rPr>
                <w:b/>
                <w:sz w:val="21"/>
              </w:rPr>
            </w:pPr>
            <w:r>
              <w:rPr>
                <w:b/>
                <w:sz w:val="21"/>
              </w:rPr>
              <w:t>专科医生</w:t>
            </w:r>
          </w:p>
        </w:tc>
        <w:tc>
          <w:tcPr>
            <w:tcW w:w="7731" w:type="dxa"/>
          </w:tcPr>
          <w:p>
            <w:pPr>
              <w:pStyle w:val="TableParagraph"/>
              <w:spacing w:before="142"/>
              <w:ind w:left="125"/>
              <w:rPr>
                <w:sz w:val="21"/>
              </w:rPr>
            </w:pPr>
            <w:r>
              <w:rPr>
                <w:sz w:val="21"/>
              </w:rPr>
              <w:t>专科医生应当同时满足以下四项资格条件：</w:t>
            </w:r>
          </w:p>
          <w:p>
            <w:pPr>
              <w:pStyle w:val="TableParagraph"/>
              <w:spacing w:before="36"/>
              <w:ind w:left="125"/>
              <w:rPr>
                <w:sz w:val="21"/>
              </w:rPr>
            </w:pPr>
            <w:r>
              <w:rPr>
                <w:sz w:val="21"/>
              </w:rPr>
              <w:t>（1）具有有效的中华人民共和国《医师资格证书》；</w:t>
            </w:r>
          </w:p>
          <w:p>
            <w:pPr>
              <w:pStyle w:val="TableParagraph"/>
              <w:spacing w:before="36"/>
              <w:ind w:left="122"/>
              <w:rPr>
                <w:sz w:val="21"/>
              </w:rPr>
            </w:pPr>
            <w:r>
              <w:rPr>
                <w:spacing w:val="-19"/>
                <w:sz w:val="21"/>
              </w:rPr>
              <w:t>（2）</w:t>
            </w:r>
            <w:r>
              <w:rPr>
                <w:spacing w:val="-16"/>
                <w:sz w:val="21"/>
              </w:rPr>
              <w:t>具有有效的中华人民共和国《医师执业证书》，并按期到相关部门登记注册；</w:t>
            </w:r>
          </w:p>
          <w:p>
            <w:pPr>
              <w:pStyle w:val="TableParagraph"/>
              <w:spacing w:line="273" w:lineRule="auto" w:before="36"/>
              <w:ind w:left="651" w:right="308" w:hanging="527"/>
              <w:rPr>
                <w:sz w:val="21"/>
              </w:rPr>
            </w:pPr>
            <w:r>
              <w:rPr>
                <w:sz w:val="21"/>
              </w:rPr>
              <w:t>（3）具有有效的中华人民共和国主治医师或主治医师以上职称的《医师职称证书》；</w:t>
            </w:r>
          </w:p>
          <w:p>
            <w:pPr>
              <w:pStyle w:val="TableParagraph"/>
              <w:spacing w:before="7"/>
              <w:ind w:left="125"/>
              <w:rPr>
                <w:sz w:val="21"/>
              </w:rPr>
            </w:pPr>
            <w:r>
              <w:rPr>
                <w:sz w:val="21"/>
              </w:rPr>
              <w:t>（4）在二级或二级以上医院的相应科室从事临床工作三年以上。</w:t>
            </w:r>
          </w:p>
        </w:tc>
      </w:tr>
      <w:tr>
        <w:trPr>
          <w:trHeight w:val="2263" w:hRule="atLeast"/>
        </w:trPr>
        <w:tc>
          <w:tcPr>
            <w:tcW w:w="964" w:type="dxa"/>
          </w:tcPr>
          <w:p>
            <w:pPr>
              <w:pStyle w:val="TableParagraph"/>
              <w:spacing w:before="143"/>
              <w:ind w:left="200"/>
              <w:rPr>
                <w:b/>
                <w:sz w:val="21"/>
              </w:rPr>
            </w:pPr>
            <w:r>
              <w:rPr>
                <w:b/>
                <w:sz w:val="21"/>
              </w:rPr>
              <w:t>9.13</w:t>
            </w:r>
          </w:p>
        </w:tc>
        <w:tc>
          <w:tcPr>
            <w:tcW w:w="1727" w:type="dxa"/>
          </w:tcPr>
          <w:p>
            <w:pPr>
              <w:pStyle w:val="TableParagraph"/>
              <w:spacing w:before="143"/>
              <w:ind w:left="340"/>
              <w:rPr>
                <w:b/>
                <w:sz w:val="21"/>
              </w:rPr>
            </w:pPr>
            <w:r>
              <w:rPr>
                <w:b/>
                <w:sz w:val="21"/>
              </w:rPr>
              <w:t>住院</w:t>
            </w:r>
          </w:p>
        </w:tc>
        <w:tc>
          <w:tcPr>
            <w:tcW w:w="7731" w:type="dxa"/>
          </w:tcPr>
          <w:p>
            <w:pPr>
              <w:pStyle w:val="TableParagraph"/>
              <w:spacing w:before="12"/>
              <w:rPr>
                <w:sz w:val="16"/>
              </w:rPr>
            </w:pPr>
          </w:p>
          <w:p>
            <w:pPr>
              <w:pStyle w:val="TableParagraph"/>
              <w:spacing w:line="273" w:lineRule="auto"/>
              <w:ind w:left="118" w:right="204"/>
              <w:jc w:val="both"/>
              <w:rPr>
                <w:sz w:val="21"/>
              </w:rPr>
            </w:pPr>
            <w:r>
              <w:rPr>
                <w:sz w:val="21"/>
              </w:rPr>
              <w:t>指被保险人确因临床需要入住医疗机构之正式病房进行治疗，并正式办理入出院手续，</w:t>
            </w:r>
            <w:r>
              <w:rPr>
                <w:b/>
                <w:sz w:val="21"/>
              </w:rPr>
              <w:t>不包括入住门诊观察室、家庭病床、挂床住院及以及休养、疗养、身体检查和健康护理等非治疗性行为导致的住院</w:t>
            </w:r>
            <w:r>
              <w:rPr>
                <w:sz w:val="21"/>
              </w:rPr>
              <w:t>。</w:t>
            </w:r>
          </w:p>
          <w:p>
            <w:pPr>
              <w:pStyle w:val="TableParagraph"/>
              <w:spacing w:line="273" w:lineRule="auto" w:before="7"/>
              <w:ind w:left="125" w:right="301"/>
              <w:jc w:val="both"/>
              <w:rPr>
                <w:sz w:val="21"/>
              </w:rPr>
            </w:pPr>
            <w:r>
              <w:rPr>
                <w:spacing w:val="-7"/>
                <w:sz w:val="21"/>
              </w:rPr>
              <w:t>其中,挂床住院指被保险人非治疗需要，离开医疗机构 </w:t>
            </w:r>
            <w:r>
              <w:rPr>
                <w:sz w:val="21"/>
              </w:rPr>
              <w:t>12</w:t>
            </w:r>
            <w:r>
              <w:rPr>
                <w:spacing w:val="-10"/>
                <w:sz w:val="21"/>
              </w:rPr>
              <w:t> 小时以上，视为自动离开医疗机构，本公司仅对离开日及以前属于保险责任范围内的住院治疗承担保险</w:t>
            </w:r>
            <w:r>
              <w:rPr>
                <w:spacing w:val="-5"/>
                <w:sz w:val="21"/>
              </w:rPr>
              <w:t>金给付责任。</w:t>
            </w:r>
          </w:p>
        </w:tc>
      </w:tr>
      <w:tr>
        <w:trPr>
          <w:trHeight w:val="7906" w:hRule="atLeast"/>
        </w:trPr>
        <w:tc>
          <w:tcPr>
            <w:tcW w:w="964" w:type="dxa"/>
          </w:tcPr>
          <w:p>
            <w:pPr>
              <w:pStyle w:val="TableParagraph"/>
              <w:spacing w:before="142"/>
              <w:ind w:left="200"/>
              <w:rPr>
                <w:b/>
                <w:sz w:val="21"/>
              </w:rPr>
            </w:pPr>
            <w:r>
              <w:rPr>
                <w:b/>
                <w:sz w:val="21"/>
              </w:rPr>
              <w:t>9.14</w:t>
            </w:r>
          </w:p>
        </w:tc>
        <w:tc>
          <w:tcPr>
            <w:tcW w:w="1727" w:type="dxa"/>
          </w:tcPr>
          <w:p>
            <w:pPr>
              <w:pStyle w:val="TableParagraph"/>
              <w:spacing w:before="142"/>
              <w:ind w:left="340"/>
              <w:rPr>
                <w:b/>
                <w:sz w:val="21"/>
              </w:rPr>
            </w:pPr>
            <w:r>
              <w:rPr>
                <w:b/>
                <w:sz w:val="21"/>
              </w:rPr>
              <w:t>住院医疗费用</w:t>
            </w:r>
          </w:p>
        </w:tc>
        <w:tc>
          <w:tcPr>
            <w:tcW w:w="7731" w:type="dxa"/>
          </w:tcPr>
          <w:p>
            <w:pPr>
              <w:pStyle w:val="TableParagraph"/>
              <w:spacing w:before="142"/>
              <w:ind w:left="125"/>
              <w:rPr>
                <w:sz w:val="21"/>
              </w:rPr>
            </w:pPr>
            <w:r>
              <w:rPr>
                <w:sz w:val="21"/>
              </w:rPr>
              <w:t>保险人住院期间发生的医疗费用，包括：</w:t>
            </w:r>
          </w:p>
          <w:p>
            <w:pPr>
              <w:pStyle w:val="TableParagraph"/>
              <w:spacing w:before="36"/>
              <w:ind w:left="125"/>
              <w:rPr>
                <w:sz w:val="21"/>
              </w:rPr>
            </w:pPr>
            <w:r>
              <w:rPr>
                <w:sz w:val="21"/>
              </w:rPr>
              <w:t>（1）床位费</w:t>
            </w:r>
          </w:p>
          <w:p>
            <w:pPr>
              <w:pStyle w:val="TableParagraph"/>
              <w:spacing w:line="273" w:lineRule="auto" w:before="36"/>
              <w:ind w:left="125" w:right="245" w:firstLine="420"/>
              <w:jc w:val="both"/>
              <w:rPr>
                <w:sz w:val="21"/>
              </w:rPr>
            </w:pPr>
            <w:r>
              <w:rPr>
                <w:spacing w:val="-3"/>
                <w:sz w:val="21"/>
              </w:rPr>
              <w:t>指住院期间实际发生的、不高于双人病房的住院床位费（不包括单人病房、套房、家庭病床</w:t>
            </w:r>
            <w:r>
              <w:rPr>
                <w:spacing w:val="-106"/>
                <w:sz w:val="21"/>
              </w:rPr>
              <w:t>）</w:t>
            </w:r>
            <w:r>
              <w:rPr>
                <w:sz w:val="21"/>
              </w:rPr>
              <w:t>。</w:t>
            </w:r>
          </w:p>
          <w:p>
            <w:pPr>
              <w:pStyle w:val="TableParagraph"/>
              <w:spacing w:before="5"/>
              <w:rPr>
                <w:sz w:val="24"/>
              </w:rPr>
            </w:pPr>
          </w:p>
          <w:p>
            <w:pPr>
              <w:pStyle w:val="TableParagraph"/>
              <w:ind w:left="125"/>
              <w:rPr>
                <w:sz w:val="21"/>
              </w:rPr>
            </w:pPr>
            <w:r>
              <w:rPr>
                <w:sz w:val="21"/>
              </w:rPr>
              <w:t>（2）加床费</w:t>
            </w:r>
          </w:p>
          <w:p>
            <w:pPr>
              <w:pStyle w:val="TableParagraph"/>
              <w:spacing w:line="273" w:lineRule="auto" w:before="36"/>
              <w:ind w:left="125" w:right="248" w:firstLine="420"/>
              <w:jc w:val="both"/>
              <w:rPr>
                <w:sz w:val="21"/>
              </w:rPr>
            </w:pPr>
            <w:r>
              <w:rPr>
                <w:sz w:val="21"/>
              </w:rPr>
              <w:t>指未满 18 周岁的被保险人在住院治疗期间，我们根据合同约定给付其合法监护人（限一人）在医院留宿发生的加床费；或女性被保险人在住院治疗期间， 我们根据合同约定给付其一周岁以下哺乳期婴儿在医院留宿发生的加床费。</w:t>
            </w:r>
          </w:p>
          <w:p>
            <w:pPr>
              <w:pStyle w:val="TableParagraph"/>
              <w:spacing w:before="5"/>
              <w:rPr>
                <w:sz w:val="24"/>
              </w:rPr>
            </w:pPr>
          </w:p>
          <w:p>
            <w:pPr>
              <w:pStyle w:val="TableParagraph"/>
              <w:ind w:left="125"/>
              <w:rPr>
                <w:sz w:val="21"/>
              </w:rPr>
            </w:pPr>
            <w:r>
              <w:rPr>
                <w:sz w:val="21"/>
              </w:rPr>
              <w:t>（3）重症监护室床位费</w:t>
            </w:r>
          </w:p>
          <w:p>
            <w:pPr>
              <w:pStyle w:val="TableParagraph"/>
              <w:spacing w:line="273" w:lineRule="auto" w:before="37"/>
              <w:ind w:left="125" w:right="303" w:firstLine="420"/>
              <w:rPr>
                <w:sz w:val="21"/>
              </w:rPr>
            </w:pPr>
            <w:r>
              <w:rPr>
                <w:spacing w:val="-3"/>
                <w:sz w:val="21"/>
              </w:rPr>
              <w:t>指住院期间出于医学必要被保险人需在重症监护室进行合理且必要的医疗</w:t>
            </w:r>
            <w:r>
              <w:rPr>
                <w:spacing w:val="-8"/>
                <w:sz w:val="21"/>
              </w:rPr>
              <w:t>而产生的床位费。重症监护室指配有中心监护台、心电监护仪及其他监护抢救设</w:t>
            </w:r>
            <w:r>
              <w:rPr>
                <w:spacing w:val="-5"/>
                <w:w w:val="100"/>
                <w:sz w:val="21"/>
              </w:rPr>
              <w:t>施，相对封闭管理，符合重症监护病房</w:t>
            </w:r>
            <w:r>
              <w:rPr>
                <w:spacing w:val="-2"/>
                <w:w w:val="100"/>
                <w:sz w:val="21"/>
              </w:rPr>
              <w:t>（</w:t>
            </w:r>
            <w:r>
              <w:rPr>
                <w:w w:val="100"/>
                <w:sz w:val="21"/>
              </w:rPr>
              <w:t>ICU</w:t>
            </w:r>
            <w:r>
              <w:rPr>
                <w:spacing w:val="-108"/>
                <w:w w:val="100"/>
                <w:sz w:val="21"/>
              </w:rPr>
              <w:t>）</w:t>
            </w:r>
            <w:r>
              <w:rPr>
                <w:spacing w:val="-3"/>
                <w:w w:val="100"/>
                <w:sz w:val="21"/>
              </w:rPr>
              <w:t>、冠心病重症监护病房（</w:t>
            </w:r>
            <w:r>
              <w:rPr>
                <w:w w:val="100"/>
                <w:sz w:val="21"/>
              </w:rPr>
              <w:t>CC</w:t>
            </w:r>
            <w:r>
              <w:rPr>
                <w:spacing w:val="-3"/>
                <w:w w:val="100"/>
                <w:sz w:val="21"/>
              </w:rPr>
              <w:t>U）标</w:t>
            </w:r>
            <w:r>
              <w:rPr>
                <w:spacing w:val="-3"/>
                <w:sz w:val="21"/>
              </w:rPr>
              <w:t>准的单人或多人监护病房。</w:t>
            </w:r>
          </w:p>
          <w:p>
            <w:pPr>
              <w:pStyle w:val="TableParagraph"/>
              <w:spacing w:before="5"/>
              <w:rPr>
                <w:sz w:val="24"/>
              </w:rPr>
            </w:pPr>
          </w:p>
          <w:p>
            <w:pPr>
              <w:pStyle w:val="TableParagraph"/>
              <w:ind w:left="125"/>
              <w:rPr>
                <w:sz w:val="21"/>
              </w:rPr>
            </w:pPr>
            <w:r>
              <w:rPr>
                <w:sz w:val="21"/>
              </w:rPr>
              <w:t>（4）护理费</w:t>
            </w:r>
          </w:p>
          <w:p>
            <w:pPr>
              <w:pStyle w:val="TableParagraph"/>
              <w:spacing w:before="37"/>
              <w:ind w:left="545"/>
              <w:rPr>
                <w:sz w:val="21"/>
              </w:rPr>
            </w:pPr>
            <w:r>
              <w:rPr>
                <w:sz w:val="21"/>
              </w:rPr>
              <w:t>指住院期间根据医嘱所示的护理等级确定的护理费用。</w:t>
            </w:r>
          </w:p>
          <w:p>
            <w:pPr>
              <w:pStyle w:val="TableParagraph"/>
              <w:spacing w:before="8"/>
              <w:rPr>
                <w:sz w:val="26"/>
              </w:rPr>
            </w:pPr>
          </w:p>
          <w:p>
            <w:pPr>
              <w:pStyle w:val="TableParagraph"/>
              <w:ind w:left="125"/>
              <w:rPr>
                <w:sz w:val="21"/>
              </w:rPr>
            </w:pPr>
            <w:r>
              <w:rPr>
                <w:sz w:val="21"/>
              </w:rPr>
              <w:t>（5）膳食费</w:t>
            </w:r>
          </w:p>
          <w:p>
            <w:pPr>
              <w:pStyle w:val="TableParagraph"/>
              <w:spacing w:line="273" w:lineRule="auto" w:before="36"/>
              <w:ind w:left="125" w:right="248" w:firstLine="420"/>
              <w:jc w:val="both"/>
              <w:rPr>
                <w:sz w:val="21"/>
              </w:rPr>
            </w:pPr>
            <w:r>
              <w:rPr>
                <w:sz w:val="21"/>
              </w:rPr>
              <w:t>指住院期间根据医生的医嘱，由作为医院内部专属部门的、为住院病人配餐的食堂配送的膳食费用。膳食费应包含在医疗账单内；根据各医疗机构的惯例， 可以作为独立的款项、也可以合并在病房费等其他款项内。</w:t>
            </w:r>
          </w:p>
          <w:p>
            <w:pPr>
              <w:pStyle w:val="TableParagraph"/>
              <w:spacing w:before="5"/>
              <w:rPr>
                <w:sz w:val="24"/>
              </w:rPr>
            </w:pPr>
          </w:p>
          <w:p>
            <w:pPr>
              <w:pStyle w:val="TableParagraph"/>
              <w:spacing w:line="255" w:lineRule="exact"/>
              <w:ind w:left="125"/>
              <w:rPr>
                <w:sz w:val="21"/>
              </w:rPr>
            </w:pPr>
            <w:r>
              <w:rPr>
                <w:sz w:val="21"/>
              </w:rPr>
              <w:t>（6）检查检验费</w:t>
            </w:r>
          </w:p>
        </w:tc>
      </w:tr>
    </w:tbl>
    <w:p>
      <w:pPr>
        <w:spacing w:after="0" w:line="255" w:lineRule="exact"/>
        <w:rPr>
          <w:sz w:val="21"/>
        </w:rPr>
        <w:sectPr>
          <w:pgSz w:w="11910" w:h="16840"/>
          <w:pgMar w:top="1160" w:bottom="280" w:left="7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731"/>
        <w:gridCol w:w="7730"/>
      </w:tblGrid>
      <w:tr>
        <w:trPr>
          <w:trHeight w:val="6658" w:hRule="atLeast"/>
        </w:trPr>
        <w:tc>
          <w:tcPr>
            <w:tcW w:w="964" w:type="dxa"/>
          </w:tcPr>
          <w:p>
            <w:pPr>
              <w:pStyle w:val="TableParagraph"/>
              <w:rPr>
                <w:rFonts w:ascii="Times New Roman"/>
                <w:sz w:val="20"/>
              </w:rPr>
            </w:pPr>
          </w:p>
        </w:tc>
        <w:tc>
          <w:tcPr>
            <w:tcW w:w="1731" w:type="dxa"/>
          </w:tcPr>
          <w:p>
            <w:pPr>
              <w:pStyle w:val="TableParagraph"/>
              <w:rPr>
                <w:rFonts w:ascii="Times New Roman"/>
                <w:sz w:val="20"/>
              </w:rPr>
            </w:pPr>
          </w:p>
        </w:tc>
        <w:tc>
          <w:tcPr>
            <w:tcW w:w="7730" w:type="dxa"/>
          </w:tcPr>
          <w:p>
            <w:pPr>
              <w:pStyle w:val="TableParagraph"/>
              <w:spacing w:line="211" w:lineRule="exact"/>
              <w:ind w:left="541"/>
              <w:rPr>
                <w:sz w:val="21"/>
              </w:rPr>
            </w:pPr>
            <w:r>
              <w:rPr>
                <w:sz w:val="21"/>
              </w:rPr>
              <w:t>指住院期间实际发生的，以诊断疾病为目的，采取必要的医学手段进行检查</w:t>
            </w:r>
          </w:p>
          <w:p>
            <w:pPr>
              <w:pStyle w:val="TableParagraph"/>
              <w:spacing w:line="273" w:lineRule="auto" w:before="37"/>
              <w:ind w:left="121" w:right="136"/>
              <w:rPr>
                <w:sz w:val="21"/>
              </w:rPr>
            </w:pPr>
            <w:r>
              <w:rPr>
                <w:sz w:val="21"/>
              </w:rPr>
              <w:t>及检验而发生的合理的医疗费用，包括 X 光费、心电图费、B 超费、脑电图费、内窥镜费、肺功能仪费、分子生化检验费和血、尿、便常规检验费等。</w:t>
            </w:r>
          </w:p>
          <w:p>
            <w:pPr>
              <w:pStyle w:val="TableParagraph"/>
              <w:spacing w:before="5"/>
              <w:rPr>
                <w:sz w:val="24"/>
              </w:rPr>
            </w:pPr>
          </w:p>
          <w:p>
            <w:pPr>
              <w:pStyle w:val="TableParagraph"/>
              <w:ind w:left="121"/>
              <w:rPr>
                <w:sz w:val="21"/>
              </w:rPr>
            </w:pPr>
            <w:r>
              <w:rPr>
                <w:sz w:val="21"/>
              </w:rPr>
              <w:t>（7）治疗费</w:t>
            </w:r>
          </w:p>
          <w:p>
            <w:pPr>
              <w:pStyle w:val="TableParagraph"/>
              <w:spacing w:line="273" w:lineRule="auto" w:before="36"/>
              <w:ind w:left="121" w:right="304" w:firstLine="420"/>
              <w:jc w:val="both"/>
              <w:rPr>
                <w:sz w:val="21"/>
              </w:rPr>
            </w:pPr>
            <w:r>
              <w:rPr>
                <w:spacing w:val="-7"/>
                <w:sz w:val="21"/>
              </w:rPr>
              <w:t>指住院期间以治疗疾病为目的，提供必要的医学手段而发生的合理的治疗者</w:t>
            </w:r>
            <w:r>
              <w:rPr>
                <w:spacing w:val="-8"/>
                <w:sz w:val="21"/>
              </w:rPr>
              <w:t>的技术劳务费和医疗器械使用费，以及消耗品的费用，具体以就诊医院的费用项</w:t>
            </w:r>
            <w:r>
              <w:rPr>
                <w:spacing w:val="-5"/>
                <w:sz w:val="21"/>
              </w:rPr>
              <w:t>目划分为准。</w:t>
            </w:r>
          </w:p>
          <w:p>
            <w:pPr>
              <w:pStyle w:val="TableParagraph"/>
              <w:spacing w:before="7"/>
              <w:ind w:left="541"/>
              <w:rPr>
                <w:sz w:val="21"/>
              </w:rPr>
            </w:pPr>
            <w:r>
              <w:rPr>
                <w:sz w:val="21"/>
              </w:rPr>
              <w:t>本项责任不包含如下费用：物理治疗、中医理疗及其他特殊疗法费用。</w:t>
            </w:r>
          </w:p>
          <w:p>
            <w:pPr>
              <w:pStyle w:val="TableParagraph"/>
              <w:spacing w:before="8"/>
              <w:rPr>
                <w:sz w:val="26"/>
              </w:rPr>
            </w:pPr>
          </w:p>
          <w:p>
            <w:pPr>
              <w:pStyle w:val="TableParagraph"/>
              <w:spacing w:before="1"/>
              <w:ind w:left="121"/>
              <w:rPr>
                <w:sz w:val="21"/>
              </w:rPr>
            </w:pPr>
            <w:r>
              <w:rPr>
                <w:sz w:val="21"/>
              </w:rPr>
              <w:t>（8）药品费</w:t>
            </w:r>
          </w:p>
          <w:p>
            <w:pPr>
              <w:pStyle w:val="TableParagraph"/>
              <w:spacing w:line="273" w:lineRule="auto" w:before="37"/>
              <w:ind w:left="121" w:right="304" w:firstLine="420"/>
              <w:rPr>
                <w:sz w:val="21"/>
              </w:rPr>
            </w:pPr>
            <w:r>
              <w:rPr>
                <w:spacing w:val="-3"/>
                <w:sz w:val="21"/>
              </w:rPr>
              <w:t>指住院期间实际发生的合理且必要的由医生开具的具有国家药品监督管理</w:t>
            </w:r>
            <w:r>
              <w:rPr>
                <w:spacing w:val="-6"/>
                <w:sz w:val="21"/>
              </w:rPr>
              <w:t>部门核发的药品批准文号或者进口药品注册证书、医药产品注册证书的国产或进</w:t>
            </w:r>
            <w:r>
              <w:rPr>
                <w:spacing w:val="-4"/>
                <w:sz w:val="21"/>
              </w:rPr>
              <w:t>口药品的费用。药品费中不包含中草药费用。</w:t>
            </w:r>
          </w:p>
          <w:p>
            <w:pPr>
              <w:pStyle w:val="TableParagraph"/>
              <w:spacing w:before="5"/>
              <w:rPr>
                <w:sz w:val="24"/>
              </w:rPr>
            </w:pPr>
          </w:p>
          <w:p>
            <w:pPr>
              <w:pStyle w:val="TableParagraph"/>
              <w:spacing w:before="1"/>
              <w:ind w:left="121"/>
              <w:rPr>
                <w:sz w:val="21"/>
              </w:rPr>
            </w:pPr>
            <w:r>
              <w:rPr>
                <w:sz w:val="21"/>
              </w:rPr>
              <w:t>（9）医生费</w:t>
            </w:r>
          </w:p>
          <w:p>
            <w:pPr>
              <w:pStyle w:val="TableParagraph"/>
              <w:spacing w:before="37"/>
              <w:ind w:left="541"/>
              <w:rPr>
                <w:sz w:val="21"/>
              </w:rPr>
            </w:pPr>
            <w:r>
              <w:rPr>
                <w:sz w:val="21"/>
              </w:rPr>
              <w:t>指包括外科医生、麻醉师、内科医生、专科医生的费用。</w:t>
            </w:r>
          </w:p>
          <w:p>
            <w:pPr>
              <w:pStyle w:val="TableParagraph"/>
              <w:spacing w:before="8"/>
              <w:rPr>
                <w:sz w:val="26"/>
              </w:rPr>
            </w:pPr>
          </w:p>
          <w:p>
            <w:pPr>
              <w:pStyle w:val="TableParagraph"/>
              <w:ind w:left="121"/>
              <w:rPr>
                <w:sz w:val="21"/>
              </w:rPr>
            </w:pPr>
            <w:r>
              <w:rPr>
                <w:sz w:val="21"/>
              </w:rPr>
              <w:t>（10）手术费</w:t>
            </w:r>
          </w:p>
          <w:p>
            <w:pPr>
              <w:pStyle w:val="TableParagraph"/>
              <w:spacing w:line="273" w:lineRule="auto" w:before="36"/>
              <w:ind w:left="121" w:right="255" w:firstLine="420"/>
              <w:rPr>
                <w:sz w:val="21"/>
              </w:rPr>
            </w:pPr>
            <w:r>
              <w:rPr>
                <w:sz w:val="21"/>
              </w:rPr>
              <w:t>指当地卫生行政部门规定的手术项目的费用。包括手术费、麻醉费、手术监测。</w:t>
            </w:r>
          </w:p>
        </w:tc>
      </w:tr>
      <w:tr>
        <w:trPr>
          <w:trHeight w:val="1872" w:hRule="atLeast"/>
        </w:trPr>
        <w:tc>
          <w:tcPr>
            <w:tcW w:w="964" w:type="dxa"/>
          </w:tcPr>
          <w:p>
            <w:pPr>
              <w:pStyle w:val="TableParagraph"/>
              <w:spacing w:before="142"/>
              <w:ind w:left="200"/>
              <w:rPr>
                <w:b/>
                <w:sz w:val="21"/>
              </w:rPr>
            </w:pPr>
            <w:r>
              <w:rPr>
                <w:b/>
                <w:sz w:val="21"/>
              </w:rPr>
              <w:t>9.15</w:t>
            </w:r>
          </w:p>
        </w:tc>
        <w:tc>
          <w:tcPr>
            <w:tcW w:w="1731" w:type="dxa"/>
          </w:tcPr>
          <w:p>
            <w:pPr>
              <w:pStyle w:val="TableParagraph"/>
              <w:spacing w:before="142"/>
              <w:ind w:left="340"/>
              <w:rPr>
                <w:b/>
                <w:sz w:val="21"/>
              </w:rPr>
            </w:pPr>
            <w:r>
              <w:rPr>
                <w:b/>
                <w:sz w:val="21"/>
              </w:rPr>
              <w:t>社会医疗保险</w:t>
            </w:r>
          </w:p>
        </w:tc>
        <w:tc>
          <w:tcPr>
            <w:tcW w:w="7730" w:type="dxa"/>
          </w:tcPr>
          <w:p>
            <w:pPr>
              <w:pStyle w:val="TableParagraph"/>
              <w:spacing w:line="273" w:lineRule="auto" w:before="142"/>
              <w:ind w:left="121" w:right="304"/>
              <w:rPr>
                <w:sz w:val="21"/>
              </w:rPr>
            </w:pPr>
            <w:r>
              <w:rPr>
                <w:spacing w:val="-3"/>
                <w:sz w:val="21"/>
              </w:rPr>
              <w:t>各省区市城镇职工基本医疗保险办法和各省区市城镇职工地方附加医疗保险办</w:t>
            </w:r>
            <w:r>
              <w:rPr>
                <w:spacing w:val="-7"/>
                <w:sz w:val="21"/>
              </w:rPr>
              <w:t>法规定的医疗保险，包括新农合、城镇职工基本医疗保险、城镇居民基本医疗保</w:t>
            </w:r>
            <w:r>
              <w:rPr>
                <w:spacing w:val="-5"/>
                <w:sz w:val="21"/>
              </w:rPr>
              <w:t>险、医疗救助等政府举办的基本医疗保障项目以及城乡居民大病保险等保障项</w:t>
            </w:r>
            <w:r>
              <w:rPr>
                <w:spacing w:val="-10"/>
                <w:sz w:val="21"/>
              </w:rPr>
              <w:t>目。其中各省区市城镇职工基本医疗保险办法是指各省区市人民政府令发布的为</w:t>
            </w:r>
            <w:r>
              <w:rPr>
                <w:spacing w:val="-5"/>
                <w:sz w:val="21"/>
              </w:rPr>
              <w:t>保障职工基本医疗需求制定的管理办法。</w:t>
            </w:r>
          </w:p>
        </w:tc>
      </w:tr>
      <w:tr>
        <w:trPr>
          <w:trHeight w:val="1247" w:hRule="atLeast"/>
        </w:trPr>
        <w:tc>
          <w:tcPr>
            <w:tcW w:w="964" w:type="dxa"/>
          </w:tcPr>
          <w:p>
            <w:pPr>
              <w:pStyle w:val="TableParagraph"/>
              <w:spacing w:before="142"/>
              <w:ind w:left="200"/>
              <w:rPr>
                <w:b/>
                <w:sz w:val="21"/>
              </w:rPr>
            </w:pPr>
            <w:r>
              <w:rPr>
                <w:b/>
                <w:sz w:val="21"/>
              </w:rPr>
              <w:t>9.16</w:t>
            </w:r>
          </w:p>
        </w:tc>
        <w:tc>
          <w:tcPr>
            <w:tcW w:w="1731" w:type="dxa"/>
          </w:tcPr>
          <w:p>
            <w:pPr>
              <w:pStyle w:val="TableParagraph"/>
              <w:spacing w:before="142"/>
              <w:ind w:left="340"/>
              <w:rPr>
                <w:b/>
                <w:sz w:val="21"/>
              </w:rPr>
            </w:pPr>
            <w:r>
              <w:rPr>
                <w:b/>
                <w:sz w:val="21"/>
              </w:rPr>
              <w:t>门诊急诊</w:t>
            </w:r>
          </w:p>
        </w:tc>
        <w:tc>
          <w:tcPr>
            <w:tcW w:w="7730" w:type="dxa"/>
          </w:tcPr>
          <w:p>
            <w:pPr>
              <w:pStyle w:val="TableParagraph"/>
              <w:spacing w:line="273" w:lineRule="auto" w:before="142"/>
              <w:ind w:left="121" w:right="304"/>
              <w:jc w:val="both"/>
              <w:rPr>
                <w:sz w:val="21"/>
              </w:rPr>
            </w:pPr>
            <w:r>
              <w:rPr>
                <w:spacing w:val="-7"/>
                <w:sz w:val="21"/>
              </w:rPr>
              <w:t>指被保险人确因临床需要，正式办理挂号手续，并确实在医疗机构的门诊或急诊部接受治疗的行为过程，</w:t>
            </w:r>
            <w:r>
              <w:rPr>
                <w:b/>
                <w:spacing w:val="-7"/>
                <w:sz w:val="21"/>
              </w:rPr>
              <w:t>但不包括休养、疗养、身体检查和健康护理等非治疗性行为</w:t>
            </w:r>
            <w:r>
              <w:rPr>
                <w:spacing w:val="-7"/>
                <w:sz w:val="21"/>
              </w:rPr>
              <w:t>。</w:t>
            </w:r>
          </w:p>
        </w:tc>
      </w:tr>
      <w:tr>
        <w:trPr>
          <w:trHeight w:val="2184" w:hRule="atLeast"/>
        </w:trPr>
        <w:tc>
          <w:tcPr>
            <w:tcW w:w="964" w:type="dxa"/>
          </w:tcPr>
          <w:p>
            <w:pPr>
              <w:pStyle w:val="TableParagraph"/>
              <w:spacing w:before="142"/>
              <w:ind w:left="200"/>
              <w:rPr>
                <w:b/>
                <w:sz w:val="21"/>
              </w:rPr>
            </w:pPr>
            <w:r>
              <w:rPr>
                <w:b/>
                <w:sz w:val="21"/>
              </w:rPr>
              <w:t>9.17</w:t>
            </w:r>
          </w:p>
        </w:tc>
        <w:tc>
          <w:tcPr>
            <w:tcW w:w="1731" w:type="dxa"/>
          </w:tcPr>
          <w:p>
            <w:pPr>
              <w:pStyle w:val="TableParagraph"/>
              <w:spacing w:line="273" w:lineRule="auto" w:before="142"/>
              <w:ind w:left="340" w:right="121"/>
              <w:rPr>
                <w:b/>
                <w:sz w:val="21"/>
              </w:rPr>
            </w:pPr>
            <w:r>
              <w:rPr>
                <w:b/>
                <w:sz w:val="21"/>
              </w:rPr>
              <w:t>特定门诊治疗费用</w:t>
            </w:r>
          </w:p>
        </w:tc>
        <w:tc>
          <w:tcPr>
            <w:tcW w:w="7730" w:type="dxa"/>
          </w:tcPr>
          <w:p>
            <w:pPr>
              <w:pStyle w:val="TableParagraph"/>
              <w:spacing w:before="142"/>
              <w:ind w:left="121"/>
              <w:rPr>
                <w:sz w:val="21"/>
              </w:rPr>
            </w:pPr>
            <w:r>
              <w:rPr>
                <w:sz w:val="21"/>
              </w:rPr>
              <w:t>因首次确诊重大疾病在医院进行如下治疗发生的合理且必要的医疗费用：</w:t>
            </w:r>
          </w:p>
          <w:p>
            <w:pPr>
              <w:pStyle w:val="TableParagraph"/>
              <w:spacing w:before="36"/>
              <w:ind w:left="121"/>
              <w:rPr>
                <w:sz w:val="21"/>
              </w:rPr>
            </w:pPr>
            <w:r>
              <w:rPr>
                <w:sz w:val="21"/>
              </w:rPr>
              <w:t>（1）门诊肾透析费；</w:t>
            </w:r>
          </w:p>
          <w:p>
            <w:pPr>
              <w:pStyle w:val="TableParagraph"/>
              <w:spacing w:line="273" w:lineRule="auto" w:before="36"/>
              <w:ind w:left="121" w:right="357"/>
              <w:rPr>
                <w:sz w:val="21"/>
              </w:rPr>
            </w:pPr>
            <w:r>
              <w:rPr>
                <w:sz w:val="21"/>
              </w:rPr>
              <w:t>（2）门诊恶性肿瘤治疗费，包括化学疗法、放射疗法、肿瘤免疫疗法、肿瘤内分泌疗法、肿瘤靶向疗法治疗费用；</w:t>
            </w:r>
          </w:p>
          <w:p>
            <w:pPr>
              <w:pStyle w:val="TableParagraph"/>
              <w:spacing w:before="7"/>
              <w:ind w:left="121"/>
              <w:rPr>
                <w:sz w:val="21"/>
              </w:rPr>
            </w:pPr>
            <w:r>
              <w:rPr>
                <w:sz w:val="21"/>
              </w:rPr>
              <w:t>（3）器官移植后的门诊抗排异治疗费；</w:t>
            </w:r>
          </w:p>
          <w:p>
            <w:pPr>
              <w:pStyle w:val="TableParagraph"/>
              <w:spacing w:before="37"/>
              <w:ind w:left="121"/>
              <w:rPr>
                <w:sz w:val="21"/>
              </w:rPr>
            </w:pPr>
            <w:r>
              <w:rPr>
                <w:sz w:val="21"/>
              </w:rPr>
              <w:t>（4）门诊手术费。</w:t>
            </w:r>
          </w:p>
        </w:tc>
      </w:tr>
      <w:tr>
        <w:trPr>
          <w:trHeight w:val="966" w:hRule="atLeast"/>
        </w:trPr>
        <w:tc>
          <w:tcPr>
            <w:tcW w:w="964" w:type="dxa"/>
          </w:tcPr>
          <w:p>
            <w:pPr>
              <w:pStyle w:val="TableParagraph"/>
              <w:spacing w:before="143"/>
              <w:ind w:left="200"/>
              <w:rPr>
                <w:b/>
                <w:sz w:val="21"/>
              </w:rPr>
            </w:pPr>
            <w:r>
              <w:rPr>
                <w:b/>
                <w:sz w:val="21"/>
              </w:rPr>
              <w:t>9.18</w:t>
            </w:r>
          </w:p>
        </w:tc>
        <w:tc>
          <w:tcPr>
            <w:tcW w:w="1731" w:type="dxa"/>
          </w:tcPr>
          <w:p>
            <w:pPr>
              <w:pStyle w:val="TableParagraph"/>
              <w:spacing w:before="143"/>
              <w:ind w:left="340"/>
              <w:rPr>
                <w:b/>
                <w:sz w:val="21"/>
              </w:rPr>
            </w:pPr>
            <w:r>
              <w:rPr>
                <w:b/>
                <w:sz w:val="21"/>
              </w:rPr>
              <w:t>酗酒</w:t>
            </w:r>
          </w:p>
        </w:tc>
        <w:tc>
          <w:tcPr>
            <w:tcW w:w="7730" w:type="dxa"/>
          </w:tcPr>
          <w:p>
            <w:pPr>
              <w:pStyle w:val="TableParagraph"/>
              <w:spacing w:line="273" w:lineRule="auto" w:before="143"/>
              <w:ind w:left="121" w:right="304"/>
              <w:rPr>
                <w:sz w:val="21"/>
              </w:rPr>
            </w:pPr>
            <w:r>
              <w:rPr>
                <w:spacing w:val="-9"/>
                <w:sz w:val="21"/>
              </w:rPr>
              <w:t>指没有节制地喝酒，以医疗机构或司法部门出具的酒精中毒或酒精摄入过量的相</w:t>
            </w:r>
            <w:r>
              <w:rPr>
                <w:spacing w:val="-5"/>
                <w:sz w:val="21"/>
              </w:rPr>
              <w:t>关证明为依据。</w:t>
            </w:r>
          </w:p>
        </w:tc>
      </w:tr>
      <w:tr>
        <w:trPr>
          <w:trHeight w:val="1071" w:hRule="atLeast"/>
        </w:trPr>
        <w:tc>
          <w:tcPr>
            <w:tcW w:w="964" w:type="dxa"/>
          </w:tcPr>
          <w:p>
            <w:pPr>
              <w:pStyle w:val="TableParagraph"/>
              <w:spacing w:before="172"/>
              <w:ind w:left="200"/>
              <w:rPr>
                <w:b/>
                <w:sz w:val="21"/>
              </w:rPr>
            </w:pPr>
            <w:r>
              <w:rPr>
                <w:b/>
                <w:sz w:val="21"/>
              </w:rPr>
              <w:t>9.19</w:t>
            </w:r>
          </w:p>
        </w:tc>
        <w:tc>
          <w:tcPr>
            <w:tcW w:w="1731" w:type="dxa"/>
          </w:tcPr>
          <w:p>
            <w:pPr>
              <w:pStyle w:val="TableParagraph"/>
              <w:spacing w:before="172"/>
              <w:ind w:left="340"/>
              <w:rPr>
                <w:b/>
                <w:sz w:val="21"/>
              </w:rPr>
            </w:pPr>
            <w:r>
              <w:rPr>
                <w:b/>
                <w:sz w:val="21"/>
              </w:rPr>
              <w:t>毒品</w:t>
            </w:r>
          </w:p>
        </w:tc>
        <w:tc>
          <w:tcPr>
            <w:tcW w:w="7730" w:type="dxa"/>
          </w:tcPr>
          <w:p>
            <w:pPr>
              <w:pStyle w:val="TableParagraph"/>
              <w:spacing w:line="310" w:lineRule="atLeast" w:before="137"/>
              <w:ind w:left="121" w:right="199"/>
              <w:rPr>
                <w:sz w:val="21"/>
              </w:rPr>
            </w:pPr>
            <w:r>
              <w:rPr>
                <w:spacing w:val="-6"/>
                <w:sz w:val="21"/>
              </w:rPr>
              <w:t>指中华人民共和国刑法规定的鸦片、海洛因、甲基苯丙胺</w:t>
            </w:r>
            <w:r>
              <w:rPr>
                <w:spacing w:val="-3"/>
                <w:sz w:val="21"/>
              </w:rPr>
              <w:t>（</w:t>
            </w:r>
            <w:r>
              <w:rPr>
                <w:spacing w:val="-2"/>
                <w:sz w:val="21"/>
              </w:rPr>
              <w:t>冰毒</w:t>
            </w:r>
            <w:r>
              <w:rPr>
                <w:spacing w:val="-106"/>
                <w:sz w:val="21"/>
              </w:rPr>
              <w:t>）</w:t>
            </w:r>
            <w:r>
              <w:rPr>
                <w:spacing w:val="-6"/>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bl>
    <w:p>
      <w:pPr>
        <w:spacing w:after="0" w:line="310" w:lineRule="atLeast"/>
        <w:rPr>
          <w:sz w:val="21"/>
        </w:rPr>
        <w:sectPr>
          <w:pgSz w:w="11910" w:h="16840"/>
          <w:pgMar w:top="1160" w:bottom="280" w:left="7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746"/>
        <w:gridCol w:w="7714"/>
      </w:tblGrid>
      <w:tr>
        <w:trPr>
          <w:trHeight w:val="1042" w:hRule="atLeast"/>
        </w:trPr>
        <w:tc>
          <w:tcPr>
            <w:tcW w:w="964" w:type="dxa"/>
          </w:tcPr>
          <w:p>
            <w:pPr>
              <w:pStyle w:val="TableParagraph"/>
              <w:spacing w:line="211" w:lineRule="exact"/>
              <w:ind w:left="200"/>
              <w:rPr>
                <w:b/>
                <w:sz w:val="21"/>
              </w:rPr>
            </w:pPr>
            <w:r>
              <w:rPr>
                <w:b/>
                <w:sz w:val="21"/>
              </w:rPr>
              <w:t>9.20</w:t>
            </w:r>
          </w:p>
        </w:tc>
        <w:tc>
          <w:tcPr>
            <w:tcW w:w="1746" w:type="dxa"/>
          </w:tcPr>
          <w:p>
            <w:pPr>
              <w:pStyle w:val="TableParagraph"/>
              <w:spacing w:line="211" w:lineRule="exact"/>
              <w:ind w:left="340"/>
              <w:rPr>
                <w:b/>
                <w:sz w:val="21"/>
              </w:rPr>
            </w:pPr>
            <w:r>
              <w:rPr>
                <w:b/>
                <w:sz w:val="21"/>
              </w:rPr>
              <w:t>酒后驾驶</w:t>
            </w:r>
          </w:p>
        </w:tc>
        <w:tc>
          <w:tcPr>
            <w:tcW w:w="7714" w:type="dxa"/>
          </w:tcPr>
          <w:p>
            <w:pPr>
              <w:pStyle w:val="TableParagraph"/>
              <w:spacing w:line="211" w:lineRule="exact"/>
              <w:ind w:left="106"/>
              <w:rPr>
                <w:sz w:val="21"/>
              </w:rPr>
            </w:pPr>
            <w:r>
              <w:rPr>
                <w:sz w:val="21"/>
              </w:rPr>
              <w:t>指经检测或鉴定，发生事故时车辆驾驶人员每百毫升血液中的酒精含量达到或超</w:t>
            </w:r>
          </w:p>
          <w:p>
            <w:pPr>
              <w:pStyle w:val="TableParagraph"/>
              <w:spacing w:line="273" w:lineRule="auto" w:before="37"/>
              <w:ind w:left="106" w:right="306"/>
              <w:rPr>
                <w:sz w:val="21"/>
              </w:rPr>
            </w:pPr>
            <w:r>
              <w:rPr>
                <w:spacing w:val="-7"/>
                <w:sz w:val="21"/>
              </w:rPr>
              <w:t>过一定的标准，公安机关交通管理部门依据《道路交通安全法》的规定认定为饮</w:t>
            </w:r>
            <w:r>
              <w:rPr>
                <w:spacing w:val="-5"/>
                <w:sz w:val="21"/>
              </w:rPr>
              <w:t>酒后驾驶或醉酒后驾驶。</w:t>
            </w:r>
          </w:p>
        </w:tc>
      </w:tr>
      <w:tr>
        <w:trPr>
          <w:trHeight w:val="2495" w:hRule="atLeast"/>
        </w:trPr>
        <w:tc>
          <w:tcPr>
            <w:tcW w:w="964" w:type="dxa"/>
          </w:tcPr>
          <w:p>
            <w:pPr>
              <w:pStyle w:val="TableParagraph"/>
              <w:spacing w:before="142"/>
              <w:ind w:left="200"/>
              <w:rPr>
                <w:b/>
                <w:sz w:val="21"/>
              </w:rPr>
            </w:pPr>
            <w:r>
              <w:rPr>
                <w:b/>
                <w:sz w:val="21"/>
              </w:rPr>
              <w:t>9.21</w:t>
            </w:r>
          </w:p>
        </w:tc>
        <w:tc>
          <w:tcPr>
            <w:tcW w:w="1746" w:type="dxa"/>
          </w:tcPr>
          <w:p>
            <w:pPr>
              <w:pStyle w:val="TableParagraph"/>
              <w:spacing w:line="273" w:lineRule="auto" w:before="142"/>
              <w:ind w:left="340" w:right="106"/>
              <w:rPr>
                <w:b/>
                <w:sz w:val="21"/>
              </w:rPr>
            </w:pPr>
            <w:r>
              <w:rPr>
                <w:b/>
                <w:sz w:val="21"/>
              </w:rPr>
              <w:t>无合法有效驾驶证驾驶</w:t>
            </w:r>
          </w:p>
        </w:tc>
        <w:tc>
          <w:tcPr>
            <w:tcW w:w="7714" w:type="dxa"/>
          </w:tcPr>
          <w:p>
            <w:pPr>
              <w:pStyle w:val="TableParagraph"/>
              <w:spacing w:before="142"/>
              <w:ind w:left="106"/>
              <w:rPr>
                <w:sz w:val="21"/>
              </w:rPr>
            </w:pPr>
            <w:r>
              <w:rPr>
                <w:sz w:val="21"/>
              </w:rPr>
              <w:t>指下列情形之一：</w:t>
            </w:r>
          </w:p>
          <w:p>
            <w:pPr>
              <w:pStyle w:val="TableParagraph"/>
              <w:spacing w:before="36"/>
              <w:ind w:left="106"/>
              <w:rPr>
                <w:sz w:val="21"/>
              </w:rPr>
            </w:pPr>
            <w:r>
              <w:rPr>
                <w:sz w:val="21"/>
              </w:rPr>
              <w:t>（1）没有取得驾驶资格；</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（3）持审验不合格的驾驶证驾驶；</w:t>
            </w:r>
          </w:p>
          <w:p>
            <w:pPr>
              <w:pStyle w:val="TableParagraph"/>
              <w:spacing w:line="273" w:lineRule="auto" w:before="36"/>
              <w:ind w:left="632" w:right="310" w:hanging="527"/>
              <w:rPr>
                <w:sz w:val="21"/>
              </w:rPr>
            </w:pPr>
            <w:r>
              <w:rPr>
                <w:sz w:val="21"/>
              </w:rPr>
              <w:t>（4）持学习驾驶证学习驾车时，无教练员随车指导，或不按指定时间、路线学习驾车；</w:t>
            </w:r>
          </w:p>
          <w:p>
            <w:pPr>
              <w:pStyle w:val="TableParagraph"/>
              <w:spacing w:before="7"/>
              <w:ind w:left="106"/>
              <w:rPr>
                <w:sz w:val="21"/>
              </w:rPr>
            </w:pPr>
            <w:r>
              <w:rPr>
                <w:sz w:val="21"/>
              </w:rPr>
              <w:t>（5）驾驶证已过有效期的。</w:t>
            </w:r>
          </w:p>
        </w:tc>
      </w:tr>
      <w:tr>
        <w:trPr>
          <w:trHeight w:val="1560" w:hRule="atLeast"/>
        </w:trPr>
        <w:tc>
          <w:tcPr>
            <w:tcW w:w="964" w:type="dxa"/>
          </w:tcPr>
          <w:p>
            <w:pPr>
              <w:pStyle w:val="TableParagraph"/>
              <w:spacing w:before="142"/>
              <w:ind w:left="200"/>
              <w:rPr>
                <w:b/>
                <w:sz w:val="21"/>
              </w:rPr>
            </w:pPr>
            <w:r>
              <w:rPr>
                <w:b/>
                <w:sz w:val="21"/>
              </w:rPr>
              <w:t>9.22</w:t>
            </w:r>
          </w:p>
        </w:tc>
        <w:tc>
          <w:tcPr>
            <w:tcW w:w="1746" w:type="dxa"/>
          </w:tcPr>
          <w:p>
            <w:pPr>
              <w:pStyle w:val="TableParagraph"/>
              <w:spacing w:line="273" w:lineRule="auto" w:before="142"/>
              <w:ind w:left="340" w:right="136"/>
              <w:rPr>
                <w:b/>
                <w:sz w:val="21"/>
              </w:rPr>
            </w:pPr>
            <w:r>
              <w:rPr>
                <w:b/>
                <w:sz w:val="21"/>
              </w:rPr>
              <w:t>无有效行驶证照</w:t>
            </w:r>
          </w:p>
        </w:tc>
        <w:tc>
          <w:tcPr>
            <w:tcW w:w="7714" w:type="dxa"/>
          </w:tcPr>
          <w:p>
            <w:pPr>
              <w:pStyle w:val="TableParagraph"/>
              <w:spacing w:before="142"/>
              <w:ind w:left="106"/>
              <w:rPr>
                <w:sz w:val="21"/>
              </w:rPr>
            </w:pPr>
            <w:r>
              <w:rPr>
                <w:sz w:val="21"/>
              </w:rPr>
              <w:t>指下列情形之一：</w:t>
            </w:r>
          </w:p>
          <w:p>
            <w:pPr>
              <w:pStyle w:val="TableParagraph"/>
              <w:spacing w:line="273" w:lineRule="auto" w:before="36"/>
              <w:ind w:left="632" w:right="136" w:hanging="527"/>
              <w:rPr>
                <w:sz w:val="21"/>
              </w:rPr>
            </w:pPr>
            <w:r>
              <w:rPr>
                <w:sz w:val="21"/>
              </w:rPr>
              <w:t>（1）发生保险事故时无公安机关交通管理部门核发的合法有效的行驶证、号牌， 或临时号牌或临时移动号牌；</w:t>
            </w:r>
          </w:p>
          <w:p>
            <w:pPr>
              <w:pStyle w:val="TableParagraph"/>
              <w:spacing w:before="7"/>
              <w:ind w:left="106"/>
              <w:rPr>
                <w:sz w:val="21"/>
              </w:rPr>
            </w:pPr>
            <w:r>
              <w:rPr>
                <w:sz w:val="21"/>
              </w:rPr>
              <w:t>（2）未依法按时进行或通过机动车安全技术检验。</w:t>
            </w:r>
          </w:p>
        </w:tc>
      </w:tr>
      <w:tr>
        <w:trPr>
          <w:trHeight w:val="936" w:hRule="atLeast"/>
        </w:trPr>
        <w:tc>
          <w:tcPr>
            <w:tcW w:w="964" w:type="dxa"/>
          </w:tcPr>
          <w:p>
            <w:pPr>
              <w:pStyle w:val="TableParagraph"/>
              <w:spacing w:before="142"/>
              <w:ind w:left="200"/>
              <w:rPr>
                <w:b/>
                <w:sz w:val="21"/>
              </w:rPr>
            </w:pPr>
            <w:r>
              <w:rPr>
                <w:b/>
                <w:sz w:val="21"/>
              </w:rPr>
              <w:t>9.23</w:t>
            </w:r>
          </w:p>
        </w:tc>
        <w:tc>
          <w:tcPr>
            <w:tcW w:w="1746" w:type="dxa"/>
          </w:tcPr>
          <w:p>
            <w:pPr>
              <w:pStyle w:val="TableParagraph"/>
              <w:spacing w:before="142"/>
              <w:ind w:left="340"/>
              <w:rPr>
                <w:b/>
                <w:sz w:val="21"/>
              </w:rPr>
            </w:pPr>
            <w:r>
              <w:rPr>
                <w:b/>
                <w:sz w:val="21"/>
              </w:rPr>
              <w:t>机动车</w:t>
            </w:r>
          </w:p>
        </w:tc>
        <w:tc>
          <w:tcPr>
            <w:tcW w:w="7714" w:type="dxa"/>
          </w:tcPr>
          <w:p>
            <w:pPr>
              <w:pStyle w:val="TableParagraph"/>
              <w:spacing w:line="273" w:lineRule="auto" w:before="142"/>
              <w:ind w:left="106" w:right="303"/>
              <w:rPr>
                <w:sz w:val="21"/>
              </w:rPr>
            </w:pPr>
            <w:r>
              <w:rPr>
                <w:spacing w:val="-8"/>
                <w:sz w:val="21"/>
              </w:rPr>
              <w:t>指以动力装置驱动或者牵引，上道路行驶的供人员乘用或者用于运送物品以及进</w:t>
            </w:r>
            <w:r>
              <w:rPr>
                <w:spacing w:val="-5"/>
                <w:sz w:val="21"/>
              </w:rPr>
              <w:t>行工程专项作业的轮式车辆。</w:t>
            </w:r>
          </w:p>
        </w:tc>
      </w:tr>
      <w:tr>
        <w:trPr>
          <w:trHeight w:val="2184" w:hRule="atLeast"/>
        </w:trPr>
        <w:tc>
          <w:tcPr>
            <w:tcW w:w="964" w:type="dxa"/>
          </w:tcPr>
          <w:p>
            <w:pPr>
              <w:pStyle w:val="TableParagraph"/>
              <w:spacing w:before="142"/>
              <w:ind w:left="200"/>
              <w:rPr>
                <w:b/>
                <w:sz w:val="21"/>
              </w:rPr>
            </w:pPr>
            <w:r>
              <w:rPr>
                <w:b/>
                <w:sz w:val="21"/>
              </w:rPr>
              <w:t>9.24</w:t>
            </w:r>
          </w:p>
        </w:tc>
        <w:tc>
          <w:tcPr>
            <w:tcW w:w="1746" w:type="dxa"/>
          </w:tcPr>
          <w:p>
            <w:pPr>
              <w:pStyle w:val="TableParagraph"/>
              <w:spacing w:line="280" w:lineRule="auto" w:before="166"/>
              <w:ind w:left="340" w:right="136"/>
              <w:rPr>
                <w:b/>
                <w:sz w:val="21"/>
              </w:rPr>
            </w:pPr>
            <w:r>
              <w:rPr>
                <w:b/>
                <w:sz w:val="21"/>
              </w:rPr>
              <w:t>感染艾滋病病毒或患艾滋病</w:t>
            </w:r>
          </w:p>
        </w:tc>
        <w:tc>
          <w:tcPr>
            <w:tcW w:w="7714" w:type="dxa"/>
          </w:tcPr>
          <w:p>
            <w:pPr>
              <w:pStyle w:val="TableParagraph"/>
              <w:spacing w:line="273" w:lineRule="auto" w:before="142"/>
              <w:ind w:left="106" w:right="305"/>
              <w:jc w:val="both"/>
              <w:rPr>
                <w:sz w:val="21"/>
              </w:rPr>
            </w:pPr>
            <w:r>
              <w:rPr>
                <w:spacing w:val="-5"/>
                <w:sz w:val="21"/>
              </w:rPr>
              <w:t>艾滋病病毒指人类免疫缺陷病毒，英文缩写为 </w:t>
            </w:r>
            <w:r>
              <w:rPr>
                <w:sz w:val="21"/>
              </w:rPr>
              <w:t>HIV</w:t>
            </w:r>
            <w:r>
              <w:rPr>
                <w:spacing w:val="-3"/>
                <w:sz w:val="21"/>
              </w:rPr>
              <w:t>。艾滋病指人类免疫缺陷病毒</w:t>
            </w:r>
            <w:r>
              <w:rPr>
                <w:spacing w:val="-5"/>
                <w:sz w:val="21"/>
              </w:rPr>
              <w:t>引起的获得性免疫缺陷综合症，英文缩写为 </w:t>
            </w:r>
            <w:r>
              <w:rPr>
                <w:sz w:val="21"/>
              </w:rPr>
              <w:t>AIDS。</w:t>
            </w:r>
          </w:p>
          <w:p>
            <w:pPr>
              <w:pStyle w:val="TableParagraph"/>
              <w:spacing w:before="5"/>
              <w:rPr>
                <w:sz w:val="24"/>
              </w:rPr>
            </w:pPr>
          </w:p>
          <w:p>
            <w:pPr>
              <w:pStyle w:val="TableParagraph"/>
              <w:spacing w:line="273" w:lineRule="auto"/>
              <w:ind w:left="106" w:right="303"/>
              <w:jc w:val="both"/>
              <w:rPr>
                <w:sz w:val="21"/>
              </w:rPr>
            </w:pPr>
            <w:r>
              <w:rPr>
                <w:spacing w:val="-5"/>
                <w:sz w:val="21"/>
              </w:rPr>
              <w:t>在人体血液或其它样本中检测到艾滋病病毒或其抗体呈阳性，没有出现临床症状</w:t>
            </w:r>
            <w:r>
              <w:rPr>
                <w:spacing w:val="-9"/>
                <w:sz w:val="21"/>
              </w:rPr>
              <w:t>或体征的，为感染艾滋病病毒；如果同时出现了明显临床症状或体征的，为患艾滋病。</w:t>
            </w:r>
          </w:p>
        </w:tc>
      </w:tr>
      <w:tr>
        <w:trPr>
          <w:trHeight w:val="936" w:hRule="atLeast"/>
        </w:trPr>
        <w:tc>
          <w:tcPr>
            <w:tcW w:w="964" w:type="dxa"/>
          </w:tcPr>
          <w:p>
            <w:pPr>
              <w:pStyle w:val="TableParagraph"/>
              <w:spacing w:before="143"/>
              <w:ind w:left="200"/>
              <w:rPr>
                <w:b/>
                <w:sz w:val="21"/>
              </w:rPr>
            </w:pPr>
            <w:r>
              <w:rPr>
                <w:b/>
                <w:sz w:val="21"/>
              </w:rPr>
              <w:t>9.25</w:t>
            </w:r>
          </w:p>
        </w:tc>
        <w:tc>
          <w:tcPr>
            <w:tcW w:w="1746" w:type="dxa"/>
          </w:tcPr>
          <w:p>
            <w:pPr>
              <w:pStyle w:val="TableParagraph"/>
              <w:spacing w:before="143"/>
              <w:ind w:left="340"/>
              <w:rPr>
                <w:b/>
                <w:sz w:val="21"/>
              </w:rPr>
            </w:pPr>
            <w:r>
              <w:rPr>
                <w:b/>
                <w:sz w:val="21"/>
              </w:rPr>
              <w:t>遗传性疾病</w:t>
            </w:r>
          </w:p>
        </w:tc>
        <w:tc>
          <w:tcPr>
            <w:tcW w:w="7714" w:type="dxa"/>
          </w:tcPr>
          <w:p>
            <w:pPr>
              <w:pStyle w:val="TableParagraph"/>
              <w:spacing w:line="273" w:lineRule="auto" w:before="143"/>
              <w:ind w:left="106" w:right="241"/>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964" w:type="dxa"/>
          </w:tcPr>
          <w:p>
            <w:pPr>
              <w:pStyle w:val="TableParagraph"/>
              <w:spacing w:before="142"/>
              <w:ind w:left="200"/>
              <w:rPr>
                <w:b/>
                <w:sz w:val="21"/>
              </w:rPr>
            </w:pPr>
            <w:r>
              <w:rPr>
                <w:b/>
                <w:sz w:val="21"/>
              </w:rPr>
              <w:t>9.26</w:t>
            </w:r>
          </w:p>
        </w:tc>
        <w:tc>
          <w:tcPr>
            <w:tcW w:w="1746" w:type="dxa"/>
          </w:tcPr>
          <w:p>
            <w:pPr>
              <w:pStyle w:val="TableParagraph"/>
              <w:spacing w:line="273" w:lineRule="auto" w:before="142"/>
              <w:ind w:left="340" w:right="106"/>
              <w:jc w:val="both"/>
              <w:rPr>
                <w:b/>
                <w:sz w:val="21"/>
              </w:rPr>
            </w:pPr>
            <w:r>
              <w:rPr>
                <w:b/>
                <w:sz w:val="21"/>
              </w:rPr>
              <w:t>先天性畸形、变形或染色体异常</w:t>
            </w:r>
          </w:p>
        </w:tc>
        <w:tc>
          <w:tcPr>
            <w:tcW w:w="7714" w:type="dxa"/>
          </w:tcPr>
          <w:p>
            <w:pPr>
              <w:pStyle w:val="TableParagraph"/>
              <w:spacing w:line="273" w:lineRule="auto" w:before="142"/>
              <w:ind w:left="106" w:right="303"/>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z w:val="21"/>
              </w:rPr>
              <w:t>（ICD-10）</w:t>
            </w:r>
            <w:r>
              <w:rPr>
                <w:spacing w:val="-3"/>
                <w:sz w:val="21"/>
              </w:rPr>
              <w:t>确</w:t>
            </w:r>
            <w:r>
              <w:rPr>
                <w:sz w:val="21"/>
              </w:rPr>
              <w:t>定。</w:t>
            </w:r>
          </w:p>
        </w:tc>
      </w:tr>
      <w:tr>
        <w:trPr>
          <w:trHeight w:val="1560" w:hRule="atLeast"/>
        </w:trPr>
        <w:tc>
          <w:tcPr>
            <w:tcW w:w="964" w:type="dxa"/>
          </w:tcPr>
          <w:p>
            <w:pPr>
              <w:pStyle w:val="TableParagraph"/>
              <w:spacing w:before="142"/>
              <w:ind w:left="200"/>
              <w:rPr>
                <w:b/>
                <w:sz w:val="21"/>
              </w:rPr>
            </w:pPr>
            <w:r>
              <w:rPr>
                <w:b/>
                <w:sz w:val="21"/>
              </w:rPr>
              <w:t>9.27</w:t>
            </w:r>
          </w:p>
        </w:tc>
        <w:tc>
          <w:tcPr>
            <w:tcW w:w="1746" w:type="dxa"/>
          </w:tcPr>
          <w:p>
            <w:pPr>
              <w:pStyle w:val="TableParagraph"/>
              <w:spacing w:before="142"/>
              <w:ind w:left="340"/>
              <w:rPr>
                <w:b/>
                <w:sz w:val="21"/>
              </w:rPr>
            </w:pPr>
            <w:r>
              <w:rPr>
                <w:b/>
                <w:sz w:val="21"/>
              </w:rPr>
              <w:t>现金价值</w:t>
            </w:r>
          </w:p>
        </w:tc>
        <w:tc>
          <w:tcPr>
            <w:tcW w:w="7714" w:type="dxa"/>
          </w:tcPr>
          <w:p>
            <w:pPr>
              <w:pStyle w:val="TableParagraph"/>
              <w:spacing w:line="273" w:lineRule="auto" w:before="142"/>
              <w:ind w:left="106" w:right="306"/>
              <w:rPr>
                <w:sz w:val="21"/>
              </w:rPr>
            </w:pPr>
            <w:r>
              <w:rPr>
                <w:spacing w:val="-7"/>
                <w:sz w:val="21"/>
              </w:rPr>
              <w:t>指本合同所具有的价值，通常体现为解除合同时，根据精算原理计算的，由我们</w:t>
            </w:r>
            <w:r>
              <w:rPr>
                <w:spacing w:val="-5"/>
                <w:sz w:val="21"/>
              </w:rPr>
              <w:t>退还的那部分金额。</w:t>
            </w:r>
          </w:p>
          <w:p>
            <w:pPr>
              <w:pStyle w:val="TableParagraph"/>
              <w:spacing w:before="5"/>
              <w:rPr>
                <w:sz w:val="24"/>
              </w:rPr>
            </w:pPr>
          </w:p>
          <w:p>
            <w:pPr>
              <w:pStyle w:val="TableParagraph"/>
              <w:ind w:left="106"/>
              <w:rPr>
                <w:sz w:val="21"/>
              </w:rPr>
            </w:pPr>
            <w:r>
              <w:rPr>
                <w:sz w:val="21"/>
              </w:rPr>
              <w:t>如已发生保险金给付，本合同现金价值为零。</w:t>
            </w:r>
          </w:p>
        </w:tc>
      </w:tr>
      <w:tr>
        <w:trPr>
          <w:trHeight w:val="936" w:hRule="atLeast"/>
        </w:trPr>
        <w:tc>
          <w:tcPr>
            <w:tcW w:w="964" w:type="dxa"/>
          </w:tcPr>
          <w:p>
            <w:pPr>
              <w:pStyle w:val="TableParagraph"/>
              <w:spacing w:before="143"/>
              <w:ind w:left="200"/>
              <w:rPr>
                <w:b/>
                <w:sz w:val="21"/>
              </w:rPr>
            </w:pPr>
            <w:r>
              <w:rPr>
                <w:b/>
                <w:sz w:val="21"/>
              </w:rPr>
              <w:t>9.28</w:t>
            </w:r>
          </w:p>
        </w:tc>
        <w:tc>
          <w:tcPr>
            <w:tcW w:w="1746" w:type="dxa"/>
          </w:tcPr>
          <w:p>
            <w:pPr>
              <w:pStyle w:val="TableParagraph"/>
              <w:spacing w:before="143"/>
              <w:ind w:left="340"/>
              <w:rPr>
                <w:b/>
                <w:sz w:val="21"/>
              </w:rPr>
            </w:pPr>
            <w:r>
              <w:rPr>
                <w:b/>
                <w:sz w:val="21"/>
              </w:rPr>
              <w:t>现金价值净额</w:t>
            </w:r>
          </w:p>
        </w:tc>
        <w:tc>
          <w:tcPr>
            <w:tcW w:w="7714" w:type="dxa"/>
          </w:tcPr>
          <w:p>
            <w:pPr>
              <w:pStyle w:val="TableParagraph"/>
              <w:spacing w:line="273" w:lineRule="auto" w:before="143"/>
              <w:ind w:left="106" w:right="303"/>
              <w:rPr>
                <w:sz w:val="21"/>
              </w:rPr>
            </w:pPr>
            <w:r>
              <w:rPr>
                <w:spacing w:val="-7"/>
                <w:sz w:val="21"/>
              </w:rPr>
              <w:t>是现金价值扣除欠交的保险费、保单贷款和自动垫交保险费及这些款项应付利息</w:t>
            </w:r>
            <w:r>
              <w:rPr>
                <w:spacing w:val="-4"/>
                <w:sz w:val="21"/>
              </w:rPr>
              <w:t>后的余额。</w:t>
            </w:r>
          </w:p>
        </w:tc>
      </w:tr>
      <w:tr>
        <w:trPr>
          <w:trHeight w:val="729" w:hRule="atLeast"/>
        </w:trPr>
        <w:tc>
          <w:tcPr>
            <w:tcW w:w="964" w:type="dxa"/>
          </w:tcPr>
          <w:p>
            <w:pPr>
              <w:pStyle w:val="TableParagraph"/>
              <w:spacing w:before="142"/>
              <w:ind w:left="200"/>
              <w:rPr>
                <w:b/>
                <w:sz w:val="21"/>
              </w:rPr>
            </w:pPr>
            <w:r>
              <w:rPr>
                <w:b/>
                <w:sz w:val="21"/>
              </w:rPr>
              <w:t>9.29</w:t>
            </w:r>
          </w:p>
        </w:tc>
        <w:tc>
          <w:tcPr>
            <w:tcW w:w="1746" w:type="dxa"/>
          </w:tcPr>
          <w:p>
            <w:pPr>
              <w:pStyle w:val="TableParagraph"/>
              <w:spacing w:line="310" w:lineRule="atLeast" w:before="107"/>
              <w:ind w:left="340" w:right="106"/>
              <w:rPr>
                <w:b/>
                <w:sz w:val="21"/>
              </w:rPr>
            </w:pPr>
            <w:r>
              <w:rPr>
                <w:b/>
                <w:sz w:val="21"/>
              </w:rPr>
              <w:t>本条款约定利率</w:t>
            </w:r>
          </w:p>
        </w:tc>
        <w:tc>
          <w:tcPr>
            <w:tcW w:w="7714" w:type="dxa"/>
          </w:tcPr>
          <w:p>
            <w:pPr>
              <w:pStyle w:val="TableParagraph"/>
              <w:spacing w:line="310" w:lineRule="atLeast" w:before="107"/>
              <w:ind w:left="106" w:right="305"/>
              <w:rPr>
                <w:sz w:val="21"/>
              </w:rPr>
            </w:pPr>
            <w:r>
              <w:rPr>
                <w:spacing w:val="-8"/>
                <w:sz w:val="21"/>
              </w:rPr>
              <w:t>垫交保险费、保单贷款均按本约定利率计算，我们于每月第一个营业日根据监管</w:t>
            </w:r>
            <w:r>
              <w:rPr>
                <w:spacing w:val="-5"/>
                <w:sz w:val="21"/>
              </w:rPr>
              <w:t>规定和市场情况确定该利率。</w:t>
            </w:r>
          </w:p>
        </w:tc>
      </w:tr>
    </w:tbl>
    <w:sectPr>
      <w:pgSz w:w="11910" w:h="16840"/>
      <w:pgMar w:top="1160" w:bottom="280" w:left="7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楷体">
    <w:altName w:val="楷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8"/>
      <w:numFmt w:val="decimal"/>
      <w:lvlText w:val="%1"/>
      <w:lvlJc w:val="left"/>
      <w:pPr>
        <w:ind w:left="2836" w:hanging="1105"/>
        <w:jc w:val="left"/>
      </w:pPr>
      <w:rPr>
        <w:rFonts w:hint="default"/>
      </w:rPr>
    </w:lvl>
    <w:lvl w:ilvl="1">
      <w:start w:val="1"/>
      <w:numFmt w:val="decimal"/>
      <w:lvlText w:val="%1.%2"/>
      <w:lvlJc w:val="left"/>
      <w:pPr>
        <w:ind w:left="2836" w:hanging="1105"/>
        <w:jc w:val="left"/>
      </w:pPr>
      <w:rPr>
        <w:rFonts w:hint="default" w:ascii="宋体" w:hAnsi="宋体" w:eastAsia="宋体" w:cs="宋体"/>
        <w:b/>
        <w:bCs/>
        <w:w w:val="99"/>
        <w:sz w:val="21"/>
        <w:szCs w:val="21"/>
      </w:rPr>
    </w:lvl>
    <w:lvl w:ilvl="2">
      <w:start w:val="0"/>
      <w:numFmt w:val="bullet"/>
      <w:lvlText w:val="•"/>
      <w:lvlJc w:val="left"/>
      <w:pPr>
        <w:ind w:left="4341" w:hanging="1105"/>
      </w:pPr>
      <w:rPr>
        <w:rFonts w:hint="default"/>
      </w:rPr>
    </w:lvl>
    <w:lvl w:ilvl="3">
      <w:start w:val="0"/>
      <w:numFmt w:val="bullet"/>
      <w:lvlText w:val="•"/>
      <w:lvlJc w:val="left"/>
      <w:pPr>
        <w:ind w:left="5091" w:hanging="1105"/>
      </w:pPr>
      <w:rPr>
        <w:rFonts w:hint="default"/>
      </w:rPr>
    </w:lvl>
    <w:lvl w:ilvl="4">
      <w:start w:val="0"/>
      <w:numFmt w:val="bullet"/>
      <w:lvlText w:val="•"/>
      <w:lvlJc w:val="left"/>
      <w:pPr>
        <w:ind w:left="5842" w:hanging="1105"/>
      </w:pPr>
      <w:rPr>
        <w:rFonts w:hint="default"/>
      </w:rPr>
    </w:lvl>
    <w:lvl w:ilvl="5">
      <w:start w:val="0"/>
      <w:numFmt w:val="bullet"/>
      <w:lvlText w:val="•"/>
      <w:lvlJc w:val="left"/>
      <w:pPr>
        <w:ind w:left="6593" w:hanging="1105"/>
      </w:pPr>
      <w:rPr>
        <w:rFonts w:hint="default"/>
      </w:rPr>
    </w:lvl>
    <w:lvl w:ilvl="6">
      <w:start w:val="0"/>
      <w:numFmt w:val="bullet"/>
      <w:lvlText w:val="•"/>
      <w:lvlJc w:val="left"/>
      <w:pPr>
        <w:ind w:left="7343" w:hanging="1105"/>
      </w:pPr>
      <w:rPr>
        <w:rFonts w:hint="default"/>
      </w:rPr>
    </w:lvl>
    <w:lvl w:ilvl="7">
      <w:start w:val="0"/>
      <w:numFmt w:val="bullet"/>
      <w:lvlText w:val="•"/>
      <w:lvlJc w:val="left"/>
      <w:pPr>
        <w:ind w:left="8094" w:hanging="1105"/>
      </w:pPr>
      <w:rPr>
        <w:rFonts w:hint="default"/>
      </w:rPr>
    </w:lvl>
    <w:lvl w:ilvl="8">
      <w:start w:val="0"/>
      <w:numFmt w:val="bullet"/>
      <w:lvlText w:val="•"/>
      <w:lvlJc w:val="left"/>
      <w:pPr>
        <w:ind w:left="8845" w:hanging="1105"/>
      </w:pPr>
      <w:rPr>
        <w:rFonts w:hint="default"/>
      </w:rPr>
    </w:lvl>
  </w:abstractNum>
  <w:abstractNum w:abstractNumId="6">
    <w:multiLevelType w:val="hybridMultilevel"/>
    <w:lvl w:ilvl="0">
      <w:start w:val="9"/>
      <w:numFmt w:val="decimal"/>
      <w:lvlText w:val="%1"/>
      <w:lvlJc w:val="left"/>
      <w:pPr>
        <w:ind w:left="934" w:hanging="526"/>
        <w:jc w:val="left"/>
      </w:pPr>
      <w:rPr>
        <w:rFonts w:hint="default"/>
      </w:rPr>
    </w:lvl>
    <w:lvl w:ilvl="1">
      <w:start w:val="18"/>
      <w:numFmt w:val="decimal"/>
      <w:lvlText w:val="%1.%2"/>
      <w:lvlJc w:val="left"/>
      <w:pPr>
        <w:ind w:left="934" w:hanging="526"/>
        <w:jc w:val="left"/>
      </w:pPr>
      <w:rPr>
        <w:rFonts w:hint="default" w:ascii="宋体" w:hAnsi="宋体" w:eastAsia="宋体" w:cs="宋体"/>
        <w:w w:val="100"/>
        <w:sz w:val="21"/>
        <w:szCs w:val="21"/>
      </w:rPr>
    </w:lvl>
    <w:lvl w:ilvl="2">
      <w:start w:val="3"/>
      <w:numFmt w:val="decimal"/>
      <w:lvlText w:val="(%3)"/>
      <w:lvlJc w:val="left"/>
      <w:pPr>
        <w:ind w:left="3257" w:hanging="318"/>
        <w:jc w:val="left"/>
      </w:pPr>
      <w:rPr>
        <w:rFonts w:hint="default" w:ascii="黑体" w:hAnsi="黑体" w:eastAsia="黑体" w:cs="黑体"/>
        <w:w w:val="100"/>
        <w:sz w:val="19"/>
        <w:szCs w:val="19"/>
      </w:rPr>
    </w:lvl>
    <w:lvl w:ilvl="3">
      <w:start w:val="0"/>
      <w:numFmt w:val="bullet"/>
      <w:lvlText w:val="•"/>
      <w:lvlJc w:val="left"/>
      <w:pPr>
        <w:ind w:left="3378" w:hanging="318"/>
      </w:pPr>
      <w:rPr>
        <w:rFonts w:hint="default"/>
      </w:rPr>
    </w:lvl>
    <w:lvl w:ilvl="4">
      <w:start w:val="0"/>
      <w:numFmt w:val="bullet"/>
      <w:lvlText w:val="•"/>
      <w:lvlJc w:val="left"/>
      <w:pPr>
        <w:ind w:left="3438" w:hanging="318"/>
      </w:pPr>
      <w:rPr>
        <w:rFonts w:hint="default"/>
      </w:rPr>
    </w:lvl>
    <w:lvl w:ilvl="5">
      <w:start w:val="0"/>
      <w:numFmt w:val="bullet"/>
      <w:lvlText w:val="•"/>
      <w:lvlJc w:val="left"/>
      <w:pPr>
        <w:ind w:left="3497" w:hanging="318"/>
      </w:pPr>
      <w:rPr>
        <w:rFonts w:hint="default"/>
      </w:rPr>
    </w:lvl>
    <w:lvl w:ilvl="6">
      <w:start w:val="0"/>
      <w:numFmt w:val="bullet"/>
      <w:lvlText w:val="•"/>
      <w:lvlJc w:val="left"/>
      <w:pPr>
        <w:ind w:left="3557" w:hanging="318"/>
      </w:pPr>
      <w:rPr>
        <w:rFonts w:hint="default"/>
      </w:rPr>
    </w:lvl>
    <w:lvl w:ilvl="7">
      <w:start w:val="0"/>
      <w:numFmt w:val="bullet"/>
      <w:lvlText w:val="•"/>
      <w:lvlJc w:val="left"/>
      <w:pPr>
        <w:ind w:left="3616" w:hanging="318"/>
      </w:pPr>
      <w:rPr>
        <w:rFonts w:hint="default"/>
      </w:rPr>
    </w:lvl>
    <w:lvl w:ilvl="8">
      <w:start w:val="0"/>
      <w:numFmt w:val="bullet"/>
      <w:lvlText w:val="•"/>
      <w:lvlJc w:val="left"/>
      <w:pPr>
        <w:ind w:left="3676" w:hanging="318"/>
      </w:pPr>
      <w:rPr>
        <w:rFonts w:hint="default"/>
      </w:rPr>
    </w:lvl>
  </w:abstractNum>
  <w:abstractNum w:abstractNumId="5">
    <w:multiLevelType w:val="hybridMultilevel"/>
    <w:lvl w:ilvl="0">
      <w:start w:val="9"/>
      <w:numFmt w:val="decimal"/>
      <w:lvlText w:val="%1"/>
      <w:lvlJc w:val="left"/>
      <w:pPr>
        <w:ind w:left="807" w:hanging="423"/>
        <w:jc w:val="left"/>
      </w:pPr>
      <w:rPr>
        <w:rFonts w:hint="default"/>
      </w:rPr>
    </w:lvl>
    <w:lvl w:ilvl="1">
      <w:start w:val="1"/>
      <w:numFmt w:val="decimal"/>
      <w:lvlText w:val="%1.%2"/>
      <w:lvlJc w:val="left"/>
      <w:pPr>
        <w:ind w:left="807" w:hanging="423"/>
        <w:jc w:val="left"/>
      </w:pPr>
      <w:rPr>
        <w:rFonts w:hint="default" w:ascii="宋体" w:hAnsi="宋体" w:eastAsia="宋体" w:cs="宋体"/>
        <w:w w:val="100"/>
        <w:sz w:val="21"/>
        <w:szCs w:val="21"/>
      </w:rPr>
    </w:lvl>
    <w:lvl w:ilvl="2">
      <w:start w:val="0"/>
      <w:numFmt w:val="bullet"/>
      <w:lvlText w:val="•"/>
      <w:lvlJc w:val="left"/>
      <w:pPr>
        <w:ind w:left="1221" w:hanging="423"/>
      </w:pPr>
      <w:rPr>
        <w:rFonts w:hint="default"/>
      </w:rPr>
    </w:lvl>
    <w:lvl w:ilvl="3">
      <w:start w:val="0"/>
      <w:numFmt w:val="bullet"/>
      <w:lvlText w:val="•"/>
      <w:lvlJc w:val="left"/>
      <w:pPr>
        <w:ind w:left="1432" w:hanging="423"/>
      </w:pPr>
      <w:rPr>
        <w:rFonts w:hint="default"/>
      </w:rPr>
    </w:lvl>
    <w:lvl w:ilvl="4">
      <w:start w:val="0"/>
      <w:numFmt w:val="bullet"/>
      <w:lvlText w:val="•"/>
      <w:lvlJc w:val="left"/>
      <w:pPr>
        <w:ind w:left="1643" w:hanging="423"/>
      </w:pPr>
      <w:rPr>
        <w:rFonts w:hint="default"/>
      </w:rPr>
    </w:lvl>
    <w:lvl w:ilvl="5">
      <w:start w:val="0"/>
      <w:numFmt w:val="bullet"/>
      <w:lvlText w:val="•"/>
      <w:lvlJc w:val="left"/>
      <w:pPr>
        <w:ind w:left="1853" w:hanging="423"/>
      </w:pPr>
      <w:rPr>
        <w:rFonts w:hint="default"/>
      </w:rPr>
    </w:lvl>
    <w:lvl w:ilvl="6">
      <w:start w:val="0"/>
      <w:numFmt w:val="bullet"/>
      <w:lvlText w:val="•"/>
      <w:lvlJc w:val="left"/>
      <w:pPr>
        <w:ind w:left="2064" w:hanging="423"/>
      </w:pPr>
      <w:rPr>
        <w:rFonts w:hint="default"/>
      </w:rPr>
    </w:lvl>
    <w:lvl w:ilvl="7">
      <w:start w:val="0"/>
      <w:numFmt w:val="bullet"/>
      <w:lvlText w:val="•"/>
      <w:lvlJc w:val="left"/>
      <w:pPr>
        <w:ind w:left="2275" w:hanging="423"/>
      </w:pPr>
      <w:rPr>
        <w:rFonts w:hint="default"/>
      </w:rPr>
    </w:lvl>
    <w:lvl w:ilvl="8">
      <w:start w:val="0"/>
      <w:numFmt w:val="bullet"/>
      <w:lvlText w:val="•"/>
      <w:lvlJc w:val="left"/>
      <w:pPr>
        <w:ind w:left="2486" w:hanging="423"/>
      </w:pPr>
      <w:rPr>
        <w:rFonts w:hint="default"/>
      </w:rPr>
    </w:lvl>
  </w:abstractNum>
  <w:abstractNum w:abstractNumId="4">
    <w:multiLevelType w:val="hybridMultilevel"/>
    <w:lvl w:ilvl="0">
      <w:start w:val="8"/>
      <w:numFmt w:val="decimal"/>
      <w:lvlText w:val="%1"/>
      <w:lvlJc w:val="left"/>
      <w:pPr>
        <w:ind w:left="807" w:hanging="423"/>
        <w:jc w:val="left"/>
      </w:pPr>
      <w:rPr>
        <w:rFonts w:hint="default"/>
      </w:rPr>
    </w:lvl>
    <w:lvl w:ilvl="1">
      <w:start w:val="3"/>
      <w:numFmt w:val="decimal"/>
      <w:lvlText w:val="%1.%2"/>
      <w:lvlJc w:val="left"/>
      <w:pPr>
        <w:ind w:left="807" w:hanging="423"/>
        <w:jc w:val="left"/>
      </w:pPr>
      <w:rPr>
        <w:rFonts w:hint="default" w:ascii="宋体" w:hAnsi="宋体" w:eastAsia="宋体" w:cs="宋体"/>
        <w:w w:val="100"/>
        <w:sz w:val="21"/>
        <w:szCs w:val="21"/>
      </w:rPr>
    </w:lvl>
    <w:lvl w:ilvl="2">
      <w:start w:val="0"/>
      <w:numFmt w:val="bullet"/>
      <w:lvlText w:val="•"/>
      <w:lvlJc w:val="left"/>
      <w:pPr>
        <w:ind w:left="1221" w:hanging="423"/>
      </w:pPr>
      <w:rPr>
        <w:rFonts w:hint="default"/>
      </w:rPr>
    </w:lvl>
    <w:lvl w:ilvl="3">
      <w:start w:val="0"/>
      <w:numFmt w:val="bullet"/>
      <w:lvlText w:val="•"/>
      <w:lvlJc w:val="left"/>
      <w:pPr>
        <w:ind w:left="1432" w:hanging="423"/>
      </w:pPr>
      <w:rPr>
        <w:rFonts w:hint="default"/>
      </w:rPr>
    </w:lvl>
    <w:lvl w:ilvl="4">
      <w:start w:val="0"/>
      <w:numFmt w:val="bullet"/>
      <w:lvlText w:val="•"/>
      <w:lvlJc w:val="left"/>
      <w:pPr>
        <w:ind w:left="1643" w:hanging="423"/>
      </w:pPr>
      <w:rPr>
        <w:rFonts w:hint="default"/>
      </w:rPr>
    </w:lvl>
    <w:lvl w:ilvl="5">
      <w:start w:val="0"/>
      <w:numFmt w:val="bullet"/>
      <w:lvlText w:val="•"/>
      <w:lvlJc w:val="left"/>
      <w:pPr>
        <w:ind w:left="1853" w:hanging="423"/>
      </w:pPr>
      <w:rPr>
        <w:rFonts w:hint="default"/>
      </w:rPr>
    </w:lvl>
    <w:lvl w:ilvl="6">
      <w:start w:val="0"/>
      <w:numFmt w:val="bullet"/>
      <w:lvlText w:val="•"/>
      <w:lvlJc w:val="left"/>
      <w:pPr>
        <w:ind w:left="2064" w:hanging="423"/>
      </w:pPr>
      <w:rPr>
        <w:rFonts w:hint="default"/>
      </w:rPr>
    </w:lvl>
    <w:lvl w:ilvl="7">
      <w:start w:val="0"/>
      <w:numFmt w:val="bullet"/>
      <w:lvlText w:val="•"/>
      <w:lvlJc w:val="left"/>
      <w:pPr>
        <w:ind w:left="2275" w:hanging="423"/>
      </w:pPr>
      <w:rPr>
        <w:rFonts w:hint="default"/>
      </w:rPr>
    </w:lvl>
    <w:lvl w:ilvl="8">
      <w:start w:val="0"/>
      <w:numFmt w:val="bullet"/>
      <w:lvlText w:val="•"/>
      <w:lvlJc w:val="left"/>
      <w:pPr>
        <w:ind w:left="2486" w:hanging="423"/>
      </w:pPr>
      <w:rPr>
        <w:rFonts w:hint="default"/>
      </w:rPr>
    </w:lvl>
  </w:abstractNum>
  <w:abstractNum w:abstractNumId="3">
    <w:multiLevelType w:val="hybridMultilevel"/>
    <w:lvl w:ilvl="0">
      <w:start w:val="5"/>
      <w:numFmt w:val="decimal"/>
      <w:lvlText w:val="%1"/>
      <w:lvlJc w:val="left"/>
      <w:pPr>
        <w:ind w:left="1117" w:hanging="423"/>
        <w:jc w:val="left"/>
      </w:pPr>
      <w:rPr>
        <w:rFonts w:hint="default"/>
      </w:rPr>
    </w:lvl>
    <w:lvl w:ilvl="1">
      <w:start w:val="1"/>
      <w:numFmt w:val="decimal"/>
      <w:lvlText w:val="%1.%2"/>
      <w:lvlJc w:val="left"/>
      <w:pPr>
        <w:ind w:left="1117" w:hanging="423"/>
        <w:jc w:val="left"/>
      </w:pPr>
      <w:rPr>
        <w:rFonts w:hint="default" w:ascii="宋体" w:hAnsi="宋体" w:eastAsia="宋体" w:cs="宋体"/>
        <w:w w:val="100"/>
        <w:sz w:val="21"/>
        <w:szCs w:val="21"/>
      </w:rPr>
    </w:lvl>
    <w:lvl w:ilvl="2">
      <w:start w:val="0"/>
      <w:numFmt w:val="bullet"/>
      <w:lvlText w:val="•"/>
      <w:lvlJc w:val="left"/>
      <w:pPr>
        <w:ind w:left="1548" w:hanging="423"/>
      </w:pPr>
      <w:rPr>
        <w:rFonts w:hint="default"/>
      </w:rPr>
    </w:lvl>
    <w:lvl w:ilvl="3">
      <w:start w:val="0"/>
      <w:numFmt w:val="bullet"/>
      <w:lvlText w:val="•"/>
      <w:lvlJc w:val="left"/>
      <w:pPr>
        <w:ind w:left="1762" w:hanging="423"/>
      </w:pPr>
      <w:rPr>
        <w:rFonts w:hint="default"/>
      </w:rPr>
    </w:lvl>
    <w:lvl w:ilvl="4">
      <w:start w:val="0"/>
      <w:numFmt w:val="bullet"/>
      <w:lvlText w:val="•"/>
      <w:lvlJc w:val="left"/>
      <w:pPr>
        <w:ind w:left="1977" w:hanging="423"/>
      </w:pPr>
      <w:rPr>
        <w:rFonts w:hint="default"/>
      </w:rPr>
    </w:lvl>
    <w:lvl w:ilvl="5">
      <w:start w:val="0"/>
      <w:numFmt w:val="bullet"/>
      <w:lvlText w:val="•"/>
      <w:lvlJc w:val="left"/>
      <w:pPr>
        <w:ind w:left="2191" w:hanging="423"/>
      </w:pPr>
      <w:rPr>
        <w:rFonts w:hint="default"/>
      </w:rPr>
    </w:lvl>
    <w:lvl w:ilvl="6">
      <w:start w:val="0"/>
      <w:numFmt w:val="bullet"/>
      <w:lvlText w:val="•"/>
      <w:lvlJc w:val="left"/>
      <w:pPr>
        <w:ind w:left="2405" w:hanging="423"/>
      </w:pPr>
      <w:rPr>
        <w:rFonts w:hint="default"/>
      </w:rPr>
    </w:lvl>
    <w:lvl w:ilvl="7">
      <w:start w:val="0"/>
      <w:numFmt w:val="bullet"/>
      <w:lvlText w:val="•"/>
      <w:lvlJc w:val="left"/>
      <w:pPr>
        <w:ind w:left="2620" w:hanging="423"/>
      </w:pPr>
      <w:rPr>
        <w:rFonts w:hint="default"/>
      </w:rPr>
    </w:lvl>
    <w:lvl w:ilvl="8">
      <w:start w:val="0"/>
      <w:numFmt w:val="bullet"/>
      <w:lvlText w:val="•"/>
      <w:lvlJc w:val="left"/>
      <w:pPr>
        <w:ind w:left="2834" w:hanging="423"/>
      </w:pPr>
      <w:rPr>
        <w:rFonts w:hint="default"/>
      </w:rPr>
    </w:lvl>
  </w:abstractNum>
  <w:abstractNum w:abstractNumId="2">
    <w:multiLevelType w:val="hybridMultilevel"/>
    <w:lvl w:ilvl="0">
      <w:start w:val="4"/>
      <w:numFmt w:val="decimal"/>
      <w:lvlText w:val="%1"/>
      <w:lvlJc w:val="left"/>
      <w:pPr>
        <w:ind w:left="1117" w:hanging="423"/>
        <w:jc w:val="left"/>
      </w:pPr>
      <w:rPr>
        <w:rFonts w:hint="default"/>
      </w:rPr>
    </w:lvl>
    <w:lvl w:ilvl="1">
      <w:start w:val="1"/>
      <w:numFmt w:val="decimal"/>
      <w:lvlText w:val="%1.%2"/>
      <w:lvlJc w:val="left"/>
      <w:pPr>
        <w:ind w:left="1117" w:hanging="423"/>
        <w:jc w:val="left"/>
      </w:pPr>
      <w:rPr>
        <w:rFonts w:hint="default" w:ascii="宋体" w:hAnsi="宋体" w:eastAsia="宋体" w:cs="宋体"/>
        <w:w w:val="100"/>
        <w:sz w:val="21"/>
        <w:szCs w:val="21"/>
      </w:rPr>
    </w:lvl>
    <w:lvl w:ilvl="2">
      <w:start w:val="0"/>
      <w:numFmt w:val="bullet"/>
      <w:lvlText w:val="•"/>
      <w:lvlJc w:val="left"/>
      <w:pPr>
        <w:ind w:left="1548" w:hanging="423"/>
      </w:pPr>
      <w:rPr>
        <w:rFonts w:hint="default"/>
      </w:rPr>
    </w:lvl>
    <w:lvl w:ilvl="3">
      <w:start w:val="0"/>
      <w:numFmt w:val="bullet"/>
      <w:lvlText w:val="•"/>
      <w:lvlJc w:val="left"/>
      <w:pPr>
        <w:ind w:left="1762" w:hanging="423"/>
      </w:pPr>
      <w:rPr>
        <w:rFonts w:hint="default"/>
      </w:rPr>
    </w:lvl>
    <w:lvl w:ilvl="4">
      <w:start w:val="0"/>
      <w:numFmt w:val="bullet"/>
      <w:lvlText w:val="•"/>
      <w:lvlJc w:val="left"/>
      <w:pPr>
        <w:ind w:left="1977" w:hanging="423"/>
      </w:pPr>
      <w:rPr>
        <w:rFonts w:hint="default"/>
      </w:rPr>
    </w:lvl>
    <w:lvl w:ilvl="5">
      <w:start w:val="0"/>
      <w:numFmt w:val="bullet"/>
      <w:lvlText w:val="•"/>
      <w:lvlJc w:val="left"/>
      <w:pPr>
        <w:ind w:left="2191" w:hanging="423"/>
      </w:pPr>
      <w:rPr>
        <w:rFonts w:hint="default"/>
      </w:rPr>
    </w:lvl>
    <w:lvl w:ilvl="6">
      <w:start w:val="0"/>
      <w:numFmt w:val="bullet"/>
      <w:lvlText w:val="•"/>
      <w:lvlJc w:val="left"/>
      <w:pPr>
        <w:ind w:left="2405" w:hanging="423"/>
      </w:pPr>
      <w:rPr>
        <w:rFonts w:hint="default"/>
      </w:rPr>
    </w:lvl>
    <w:lvl w:ilvl="7">
      <w:start w:val="0"/>
      <w:numFmt w:val="bullet"/>
      <w:lvlText w:val="•"/>
      <w:lvlJc w:val="left"/>
      <w:pPr>
        <w:ind w:left="2620" w:hanging="423"/>
      </w:pPr>
      <w:rPr>
        <w:rFonts w:hint="default"/>
      </w:rPr>
    </w:lvl>
    <w:lvl w:ilvl="8">
      <w:start w:val="0"/>
      <w:numFmt w:val="bullet"/>
      <w:lvlText w:val="•"/>
      <w:lvlJc w:val="left"/>
      <w:pPr>
        <w:ind w:left="2834" w:hanging="423"/>
      </w:pPr>
      <w:rPr>
        <w:rFonts w:hint="default"/>
      </w:rPr>
    </w:lvl>
  </w:abstractNum>
  <w:abstractNum w:abstractNumId="1">
    <w:multiLevelType w:val="hybridMultilevel"/>
    <w:lvl w:ilvl="0">
      <w:start w:val="3"/>
      <w:numFmt w:val="decimal"/>
      <w:lvlText w:val="%1"/>
      <w:lvlJc w:val="left"/>
      <w:pPr>
        <w:ind w:left="1114" w:hanging="420"/>
        <w:jc w:val="left"/>
      </w:pPr>
      <w:rPr>
        <w:rFonts w:hint="default"/>
      </w:rPr>
    </w:lvl>
    <w:lvl w:ilvl="1">
      <w:start w:val="1"/>
      <w:numFmt w:val="decimal"/>
      <w:lvlText w:val="%1.%2"/>
      <w:lvlJc w:val="left"/>
      <w:pPr>
        <w:ind w:left="1114" w:hanging="420"/>
        <w:jc w:val="left"/>
      </w:pPr>
      <w:rPr>
        <w:rFonts w:hint="default" w:ascii="宋体" w:hAnsi="宋体" w:eastAsia="宋体" w:cs="宋体"/>
        <w:w w:val="100"/>
        <w:sz w:val="21"/>
        <w:szCs w:val="21"/>
      </w:rPr>
    </w:lvl>
    <w:lvl w:ilvl="2">
      <w:start w:val="0"/>
      <w:numFmt w:val="bullet"/>
      <w:lvlText w:val="•"/>
      <w:lvlJc w:val="left"/>
      <w:pPr>
        <w:ind w:left="1548" w:hanging="420"/>
      </w:pPr>
      <w:rPr>
        <w:rFonts w:hint="default"/>
      </w:rPr>
    </w:lvl>
    <w:lvl w:ilvl="3">
      <w:start w:val="0"/>
      <w:numFmt w:val="bullet"/>
      <w:lvlText w:val="•"/>
      <w:lvlJc w:val="left"/>
      <w:pPr>
        <w:ind w:left="1762" w:hanging="420"/>
      </w:pPr>
      <w:rPr>
        <w:rFonts w:hint="default"/>
      </w:rPr>
    </w:lvl>
    <w:lvl w:ilvl="4">
      <w:start w:val="0"/>
      <w:numFmt w:val="bullet"/>
      <w:lvlText w:val="•"/>
      <w:lvlJc w:val="left"/>
      <w:pPr>
        <w:ind w:left="1977" w:hanging="420"/>
      </w:pPr>
      <w:rPr>
        <w:rFonts w:hint="default"/>
      </w:rPr>
    </w:lvl>
    <w:lvl w:ilvl="5">
      <w:start w:val="0"/>
      <w:numFmt w:val="bullet"/>
      <w:lvlText w:val="•"/>
      <w:lvlJc w:val="left"/>
      <w:pPr>
        <w:ind w:left="2191" w:hanging="420"/>
      </w:pPr>
      <w:rPr>
        <w:rFonts w:hint="default"/>
      </w:rPr>
    </w:lvl>
    <w:lvl w:ilvl="6">
      <w:start w:val="0"/>
      <w:numFmt w:val="bullet"/>
      <w:lvlText w:val="•"/>
      <w:lvlJc w:val="left"/>
      <w:pPr>
        <w:ind w:left="2405" w:hanging="420"/>
      </w:pPr>
      <w:rPr>
        <w:rFonts w:hint="default"/>
      </w:rPr>
    </w:lvl>
    <w:lvl w:ilvl="7">
      <w:start w:val="0"/>
      <w:numFmt w:val="bullet"/>
      <w:lvlText w:val="•"/>
      <w:lvlJc w:val="left"/>
      <w:pPr>
        <w:ind w:left="2620" w:hanging="420"/>
      </w:pPr>
      <w:rPr>
        <w:rFonts w:hint="default"/>
      </w:rPr>
    </w:lvl>
    <w:lvl w:ilvl="8">
      <w:start w:val="0"/>
      <w:numFmt w:val="bullet"/>
      <w:lvlText w:val="•"/>
      <w:lvlJc w:val="left"/>
      <w:pPr>
        <w:ind w:left="2834" w:hanging="420"/>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480" w:hanging="420"/>
      </w:pPr>
      <w:rPr>
        <w:rFonts w:hint="default"/>
      </w:rPr>
    </w:lvl>
    <w:lvl w:ilvl="2">
      <w:start w:val="0"/>
      <w:numFmt w:val="bullet"/>
      <w:lvlText w:val="•"/>
      <w:lvlJc w:val="left"/>
      <w:pPr>
        <w:ind w:left="3321" w:hanging="420"/>
      </w:pPr>
      <w:rPr>
        <w:rFonts w:hint="default"/>
      </w:rPr>
    </w:lvl>
    <w:lvl w:ilvl="3">
      <w:start w:val="0"/>
      <w:numFmt w:val="bullet"/>
      <w:lvlText w:val="•"/>
      <w:lvlJc w:val="left"/>
      <w:pPr>
        <w:ind w:left="4161" w:hanging="420"/>
      </w:pPr>
      <w:rPr>
        <w:rFonts w:hint="default"/>
      </w:rPr>
    </w:lvl>
    <w:lvl w:ilvl="4">
      <w:start w:val="0"/>
      <w:numFmt w:val="bullet"/>
      <w:lvlText w:val="•"/>
      <w:lvlJc w:val="left"/>
      <w:pPr>
        <w:ind w:left="5002" w:hanging="420"/>
      </w:pPr>
      <w:rPr>
        <w:rFonts w:hint="default"/>
      </w:rPr>
    </w:lvl>
    <w:lvl w:ilvl="5">
      <w:start w:val="0"/>
      <w:numFmt w:val="bullet"/>
      <w:lvlText w:val="•"/>
      <w:lvlJc w:val="left"/>
      <w:pPr>
        <w:ind w:left="5843" w:hanging="420"/>
      </w:pPr>
      <w:rPr>
        <w:rFonts w:hint="default"/>
      </w:rPr>
    </w:lvl>
    <w:lvl w:ilvl="6">
      <w:start w:val="0"/>
      <w:numFmt w:val="bullet"/>
      <w:lvlText w:val="•"/>
      <w:lvlJc w:val="left"/>
      <w:pPr>
        <w:ind w:left="6683" w:hanging="420"/>
      </w:pPr>
      <w:rPr>
        <w:rFonts w:hint="default"/>
      </w:rPr>
    </w:lvl>
    <w:lvl w:ilvl="7">
      <w:start w:val="0"/>
      <w:numFmt w:val="bullet"/>
      <w:lvlText w:val="•"/>
      <w:lvlJc w:val="left"/>
      <w:pPr>
        <w:ind w:left="7524" w:hanging="420"/>
      </w:pPr>
      <w:rPr>
        <w:rFonts w:hint="default"/>
      </w:rPr>
    </w:lvl>
    <w:lvl w:ilvl="8">
      <w:start w:val="0"/>
      <w:numFmt w:val="bullet"/>
      <w:lvlText w:val="•"/>
      <w:lvlJc w:val="left"/>
      <w:pPr>
        <w:ind w:left="836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20"/>
      <w:outlineLvl w:val="1"/>
    </w:pPr>
    <w:rPr>
      <w:rFonts w:ascii="宋体" w:hAnsi="宋体" w:eastAsia="宋体" w:cs="宋体"/>
      <w:b/>
      <w:bCs/>
      <w:sz w:val="24"/>
      <w:szCs w:val="24"/>
    </w:rPr>
  </w:style>
  <w:style w:styleId="Heading2" w:type="paragraph">
    <w:name w:val="Heading 2"/>
    <w:basedOn w:val="Normal"/>
    <w:uiPriority w:val="1"/>
    <w:qFormat/>
    <w:pPr>
      <w:ind w:left="1956"/>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807" w:hanging="423"/>
    </w:pPr>
    <w:rPr>
      <w:rFonts w:ascii="仿宋" w:hAnsi="仿宋" w:eastAsia="仿宋" w:cs="仿宋"/>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2018-10-20T00:10:39Z</dcterms:created>
  <dcterms:modified xsi:type="dcterms:W3CDTF">2018-10-20T00:10:39Z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2010</vt:lpwstr>
  </property>
  <property fmtid="{D5CDD505-2E9C-101B-9397-08002B2CF9AE}" pid="4" name="LastSaved">
    <vt:filetime>2018-10-19T00:00:00Z</vt:filetime>
  </property>
</Properties>
</file>