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5"/>
        <w:ind w:left="5858"/>
      </w:pPr>
      <w:r>
        <w:rPr/>
        <w:drawing>
          <wp:anchor distT="0" distB="0" distL="0" distR="0" allowOverlap="1" layoutInCell="1" locked="0" behindDoc="0" simplePos="0" relativeHeight="0">
            <wp:simplePos x="0" y="0"/>
            <wp:positionH relativeFrom="page">
              <wp:posOffset>5341620</wp:posOffset>
            </wp:positionH>
            <wp:positionV relativeFrom="paragraph">
              <wp:posOffset>235622</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中英人寿</w:t>
      </w:r>
      <w:r>
        <w:rPr>
          <w:rFonts w:ascii="Times New Roman" w:eastAsia="Times New Roman"/>
        </w:rPr>
        <w:t>[2009]</w:t>
      </w:r>
      <w:r>
        <w:rPr/>
        <w:t>疾病保险 </w:t>
      </w:r>
      <w:r>
        <w:rPr>
          <w:rFonts w:ascii="Times New Roman" w:eastAsia="Times New Roman"/>
        </w:rPr>
        <w:t>041 </w:t>
      </w:r>
      <w:r>
        <w:rPr/>
        <w:t>号</w:t>
      </w:r>
    </w:p>
    <w:p>
      <w:pPr>
        <w:pStyle w:val="BodyText"/>
        <w:ind w:left="6148"/>
      </w:pPr>
      <w:r>
        <w:rPr/>
        <w:t>请扫描以查询验证条款</w:t>
      </w:r>
    </w:p>
    <w:p>
      <w:pPr>
        <w:pStyle w:val="BodyText"/>
        <w:rPr>
          <w:sz w:val="20"/>
        </w:rPr>
      </w:pPr>
    </w:p>
    <w:p>
      <w:pPr>
        <w:pStyle w:val="Heading1"/>
      </w:pPr>
      <w:r>
        <w:rPr/>
        <w:t>中英人寿附加提前给付重大疾病保险</w:t>
      </w:r>
    </w:p>
    <w:p>
      <w:pPr>
        <w:pStyle w:val="BodyText"/>
        <w:rPr>
          <w:sz w:val="28"/>
        </w:rPr>
      </w:pPr>
    </w:p>
    <w:p>
      <w:pPr>
        <w:pStyle w:val="BodyText"/>
        <w:spacing w:before="9"/>
        <w:rPr>
          <w:sz w:val="37"/>
        </w:rPr>
      </w:pPr>
    </w:p>
    <w:p>
      <w:pPr>
        <w:pStyle w:val="BodyText"/>
        <w:spacing w:line="408" w:lineRule="auto"/>
        <w:ind w:left="119" w:right="102"/>
      </w:pPr>
      <w:r>
        <w:rPr>
          <w:spacing w:val="-5"/>
        </w:rPr>
        <w:t>阅读指引和条款目录仅供辅助理解保险条款使用，不构成保险合同的组成部分。对保险合同的</w:t>
      </w:r>
      <w:r>
        <w:rPr>
          <w:spacing w:val="-4"/>
        </w:rPr>
        <w:t>解释以保险条款为准。</w:t>
      </w:r>
    </w:p>
    <w:p>
      <w:pPr>
        <w:pStyle w:val="Heading1"/>
        <w:spacing w:before="67"/>
        <w:ind w:left="3845" w:right="3834"/>
        <w:jc w:val="center"/>
      </w:pPr>
      <w:r>
        <w:rPr/>
        <w:t>阅读指引</w:t>
      </w:r>
    </w:p>
    <w:p>
      <w:pPr>
        <w:pStyle w:val="BodyText"/>
        <w:rPr>
          <w:sz w:val="28"/>
        </w:rPr>
      </w:pPr>
    </w:p>
    <w:p>
      <w:pPr>
        <w:pStyle w:val="BodyText"/>
        <w:rPr>
          <w:sz w:val="28"/>
        </w:rPr>
      </w:pPr>
    </w:p>
    <w:p>
      <w:pPr>
        <w:pStyle w:val="BodyText"/>
        <w:rPr>
          <w:sz w:val="28"/>
        </w:rPr>
      </w:pPr>
    </w:p>
    <w:p>
      <w:pPr>
        <w:pStyle w:val="BodyText"/>
        <w:spacing w:before="229"/>
        <w:ind w:left="119"/>
      </w:pPr>
      <w:r>
        <w:rPr/>
        <w:t>您享有的重要权益</w:t>
      </w:r>
    </w:p>
    <w:p>
      <w:pPr>
        <w:pStyle w:val="BodyText"/>
        <w:spacing w:before="7"/>
        <w:rPr>
          <w:sz w:val="14"/>
        </w:rPr>
      </w:pPr>
    </w:p>
    <w:p>
      <w:pPr>
        <w:pStyle w:val="BodyText"/>
        <w:tabs>
          <w:tab w:pos="7163" w:val="left" w:leader="none"/>
          <w:tab w:pos="7792" w:val="left" w:leader="none"/>
        </w:tabs>
        <w:spacing w:line="386" w:lineRule="auto"/>
        <w:ind w:left="328" w:right="414"/>
        <w:jc w:val="both"/>
      </w:pPr>
      <w:r>
        <w:rPr/>
        <w:t>本附</w:t>
      </w:r>
      <w:r>
        <w:rPr>
          <w:spacing w:val="-3"/>
        </w:rPr>
        <w:t>加</w:t>
      </w:r>
      <w:r>
        <w:rPr/>
        <w:t>合</w:t>
      </w:r>
      <w:r>
        <w:rPr>
          <w:spacing w:val="-3"/>
        </w:rPr>
        <w:t>同</w:t>
      </w:r>
      <w:r>
        <w:rPr/>
        <w:t>提</w:t>
      </w:r>
      <w:r>
        <w:rPr>
          <w:spacing w:val="-3"/>
        </w:rPr>
        <w:t>供</w:t>
      </w:r>
      <w:r>
        <w:rPr/>
        <w:t>的</w:t>
      </w:r>
      <w:r>
        <w:rPr>
          <w:spacing w:val="-3"/>
        </w:rPr>
        <w:t>保</w:t>
      </w:r>
      <w:r>
        <w:rPr/>
        <w:t>障</w:t>
      </w:r>
      <w:r>
        <w:rPr>
          <w:u w:val="single"/>
        </w:rPr>
        <w:t> </w:t>
        <w:tab/>
      </w:r>
      <w:r>
        <w:rPr/>
        <w:t>第</w:t>
      </w:r>
      <w:r>
        <w:rPr>
          <w:spacing w:val="-54"/>
        </w:rPr>
        <w:t> </w:t>
      </w:r>
      <w:r>
        <w:rPr>
          <w:rFonts w:ascii="Times New Roman" w:eastAsia="Times New Roman"/>
        </w:rPr>
        <w:t>2</w:t>
      </w:r>
      <w:r>
        <w:rPr>
          <w:rFonts w:ascii="Times New Roman" w:eastAsia="Times New Roman"/>
          <w:spacing w:val="-2"/>
        </w:rPr>
        <w:t> </w:t>
      </w:r>
      <w:r>
        <w:rPr/>
        <w:t>章第</w:t>
      </w:r>
      <w:r>
        <w:rPr>
          <w:spacing w:val="-52"/>
        </w:rPr>
        <w:t> </w:t>
      </w:r>
      <w:r>
        <w:rPr>
          <w:rFonts w:ascii="Times New Roman" w:eastAsia="Times New Roman"/>
        </w:rPr>
        <w:t>1</w:t>
      </w:r>
      <w:r>
        <w:rPr>
          <w:rFonts w:ascii="Times New Roman" w:eastAsia="Times New Roman"/>
          <w:spacing w:val="-2"/>
        </w:rPr>
        <w:t> </w:t>
      </w:r>
      <w:r>
        <w:rPr/>
        <w:t>条您拥</w:t>
      </w:r>
      <w:r>
        <w:rPr>
          <w:spacing w:val="-3"/>
        </w:rPr>
        <w:t>有</w:t>
      </w:r>
      <w:r>
        <w:rPr/>
        <w:t>解</w:t>
      </w:r>
      <w:r>
        <w:rPr>
          <w:spacing w:val="-3"/>
        </w:rPr>
        <w:t>除</w:t>
      </w:r>
      <w:r>
        <w:rPr/>
        <w:t>合</w:t>
      </w:r>
      <w:r>
        <w:rPr>
          <w:spacing w:val="-3"/>
        </w:rPr>
        <w:t>同</w:t>
      </w:r>
      <w:r>
        <w:rPr/>
        <w:t>的</w:t>
      </w:r>
      <w:r>
        <w:rPr>
          <w:spacing w:val="-3"/>
        </w:rPr>
        <w:t>权</w:t>
      </w:r>
      <w:r>
        <w:rPr/>
        <w:t>利</w:t>
      </w:r>
      <w:r>
        <w:rPr>
          <w:u w:val="single"/>
        </w:rPr>
        <w:t> </w:t>
        <w:tab/>
        <w:tab/>
      </w:r>
      <w:r>
        <w:rPr/>
        <w:t>第</w:t>
      </w:r>
      <w:r>
        <w:rPr>
          <w:spacing w:val="-54"/>
        </w:rPr>
        <w:t> </w:t>
      </w:r>
      <w:r>
        <w:rPr>
          <w:rFonts w:ascii="Times New Roman" w:eastAsia="Times New Roman"/>
        </w:rPr>
        <w:t>6 </w:t>
      </w:r>
      <w:r>
        <w:rPr/>
        <w:t>章</w:t>
      </w:r>
    </w:p>
    <w:p>
      <w:pPr>
        <w:pStyle w:val="BodyText"/>
        <w:rPr>
          <w:sz w:val="22"/>
        </w:rPr>
      </w:pPr>
    </w:p>
    <w:p>
      <w:pPr>
        <w:pStyle w:val="BodyText"/>
        <w:spacing w:before="7"/>
        <w:rPr>
          <w:sz w:val="16"/>
        </w:rPr>
      </w:pPr>
    </w:p>
    <w:p>
      <w:pPr>
        <w:pStyle w:val="BodyText"/>
        <w:spacing w:before="1"/>
        <w:ind w:left="119"/>
      </w:pPr>
      <w:r>
        <w:rPr/>
        <w:t>您应当特别注意的事项</w:t>
      </w:r>
    </w:p>
    <w:p>
      <w:pPr>
        <w:pStyle w:val="BodyText"/>
        <w:spacing w:before="7"/>
        <w:rPr>
          <w:sz w:val="14"/>
        </w:rPr>
      </w:pPr>
    </w:p>
    <w:p>
      <w:pPr>
        <w:pStyle w:val="BodyText"/>
        <w:tabs>
          <w:tab w:pos="7159" w:val="left" w:leader="none"/>
          <w:tab w:pos="7792" w:val="left" w:leader="none"/>
        </w:tabs>
        <w:spacing w:line="386" w:lineRule="auto"/>
        <w:ind w:left="328" w:right="411"/>
        <w:jc w:val="both"/>
      </w:pPr>
      <w:r>
        <w:rPr/>
        <w:t>在责</w:t>
      </w:r>
      <w:r>
        <w:rPr>
          <w:spacing w:val="-3"/>
        </w:rPr>
        <w:t>任</w:t>
      </w:r>
      <w:r>
        <w:rPr/>
        <w:t>免</w:t>
      </w:r>
      <w:r>
        <w:rPr>
          <w:spacing w:val="-3"/>
        </w:rPr>
        <w:t>除</w:t>
      </w:r>
      <w:r>
        <w:rPr/>
        <w:t>条</w:t>
      </w:r>
      <w:r>
        <w:rPr>
          <w:spacing w:val="-3"/>
        </w:rPr>
        <w:t>款</w:t>
      </w:r>
      <w:r>
        <w:rPr/>
        <w:t>约</w:t>
      </w:r>
      <w:r>
        <w:rPr>
          <w:spacing w:val="-3"/>
        </w:rPr>
        <w:t>定</w:t>
      </w:r>
      <w:r>
        <w:rPr/>
        <w:t>的</w:t>
      </w:r>
      <w:r>
        <w:rPr>
          <w:spacing w:val="-3"/>
        </w:rPr>
        <w:t>情</w:t>
      </w:r>
      <w:r>
        <w:rPr/>
        <w:t>况下</w:t>
      </w:r>
      <w:r>
        <w:rPr>
          <w:spacing w:val="-3"/>
        </w:rPr>
        <w:t>，</w:t>
      </w:r>
      <w:r>
        <w:rPr/>
        <w:t>我</w:t>
      </w:r>
      <w:r>
        <w:rPr>
          <w:spacing w:val="-3"/>
        </w:rPr>
        <w:t>们</w:t>
      </w:r>
      <w:r>
        <w:rPr/>
        <w:t>不</w:t>
      </w:r>
      <w:r>
        <w:rPr>
          <w:spacing w:val="-3"/>
        </w:rPr>
        <w:t>承</w:t>
      </w:r>
      <w:r>
        <w:rPr/>
        <w:t>担</w:t>
      </w:r>
      <w:r>
        <w:rPr>
          <w:spacing w:val="-3"/>
        </w:rPr>
        <w:t>保</w:t>
      </w:r>
      <w:r>
        <w:rPr/>
        <w:t>险</w:t>
      </w:r>
      <w:r>
        <w:rPr>
          <w:spacing w:val="-3"/>
        </w:rPr>
        <w:t>责</w:t>
      </w:r>
      <w:r>
        <w:rPr/>
        <w:t>任</w:t>
      </w:r>
      <w:r>
        <w:rPr>
          <w:u w:val="single"/>
        </w:rPr>
        <w:t> </w:t>
        <w:tab/>
      </w:r>
      <w:r>
        <w:rPr/>
        <w:t>第</w:t>
      </w:r>
      <w:r>
        <w:rPr>
          <w:spacing w:val="-52"/>
        </w:rPr>
        <w:t> </w:t>
      </w:r>
      <w:r>
        <w:rPr>
          <w:rFonts w:ascii="Times New Roman" w:eastAsia="Times New Roman"/>
        </w:rPr>
        <w:t>2</w:t>
      </w:r>
      <w:r>
        <w:rPr>
          <w:rFonts w:ascii="Times New Roman" w:eastAsia="Times New Roman"/>
          <w:spacing w:val="0"/>
        </w:rPr>
        <w:t> </w:t>
      </w:r>
      <w:r>
        <w:rPr>
          <w:spacing w:val="-3"/>
        </w:rPr>
        <w:t>章</w:t>
      </w:r>
      <w:r>
        <w:rPr/>
        <w:t>第</w:t>
      </w:r>
      <w:r>
        <w:rPr>
          <w:spacing w:val="-52"/>
        </w:rPr>
        <w:t> </w:t>
      </w:r>
      <w:r>
        <w:rPr>
          <w:rFonts w:ascii="Times New Roman" w:eastAsia="Times New Roman"/>
        </w:rPr>
        <w:t>2</w:t>
      </w:r>
      <w:r>
        <w:rPr>
          <w:rFonts w:ascii="Times New Roman" w:eastAsia="Times New Roman"/>
          <w:spacing w:val="-2"/>
        </w:rPr>
        <w:t> </w:t>
      </w:r>
      <w:r>
        <w:rPr/>
        <w:t>条您应</w:t>
      </w:r>
      <w:r>
        <w:rPr>
          <w:spacing w:val="-3"/>
        </w:rPr>
        <w:t>当</w:t>
      </w:r>
      <w:r>
        <w:rPr/>
        <w:t>按</w:t>
      </w:r>
      <w:r>
        <w:rPr>
          <w:spacing w:val="-3"/>
        </w:rPr>
        <w:t>时</w:t>
      </w:r>
      <w:r>
        <w:rPr/>
        <w:t>缴</w:t>
      </w:r>
      <w:r>
        <w:rPr>
          <w:spacing w:val="-3"/>
        </w:rPr>
        <w:t>纳</w:t>
      </w:r>
      <w:r>
        <w:rPr/>
        <w:t>保</w:t>
      </w:r>
      <w:r>
        <w:rPr>
          <w:spacing w:val="-3"/>
        </w:rPr>
        <w:t>险</w:t>
      </w:r>
      <w:r>
        <w:rPr/>
        <w:t>费</w:t>
      </w:r>
      <w:r>
        <w:rPr>
          <w:u w:val="single"/>
        </w:rPr>
        <w:t> </w:t>
        <w:tab/>
        <w:tab/>
      </w:r>
      <w:r>
        <w:rPr/>
        <w:t>第</w:t>
      </w:r>
      <w:r>
        <w:rPr>
          <w:spacing w:val="-52"/>
        </w:rPr>
        <w:t> </w:t>
      </w:r>
      <w:r>
        <w:rPr>
          <w:rFonts w:ascii="Times New Roman" w:eastAsia="Times New Roman"/>
        </w:rPr>
        <w:t>3</w:t>
      </w:r>
      <w:r>
        <w:rPr>
          <w:rFonts w:ascii="Times New Roman" w:eastAsia="Times New Roman"/>
          <w:spacing w:val="-2"/>
        </w:rPr>
        <w:t> </w:t>
      </w:r>
      <w:r>
        <w:rPr/>
        <w:t>章应当</w:t>
      </w:r>
      <w:r>
        <w:rPr>
          <w:spacing w:val="-3"/>
        </w:rPr>
        <w:t>如</w:t>
      </w:r>
      <w:r>
        <w:rPr/>
        <w:t>何</w:t>
      </w:r>
      <w:r>
        <w:rPr>
          <w:spacing w:val="-3"/>
        </w:rPr>
        <w:t>向</w:t>
      </w:r>
      <w:r>
        <w:rPr/>
        <w:t>我</w:t>
      </w:r>
      <w:r>
        <w:rPr>
          <w:spacing w:val="-3"/>
        </w:rPr>
        <w:t>们</w:t>
      </w:r>
      <w:r>
        <w:rPr/>
        <w:t>申</w:t>
      </w:r>
      <w:r>
        <w:rPr>
          <w:spacing w:val="-3"/>
        </w:rPr>
        <w:t>请</w:t>
      </w:r>
      <w:r>
        <w:rPr/>
        <w:t>保</w:t>
      </w:r>
      <w:r>
        <w:rPr>
          <w:spacing w:val="-3"/>
        </w:rPr>
        <w:t>险</w:t>
      </w:r>
      <w:r>
        <w:rPr/>
        <w:t>金</w:t>
      </w:r>
      <w:r>
        <w:rPr>
          <w:u w:val="single"/>
        </w:rPr>
        <w:t> </w:t>
        <w:tab/>
      </w:r>
      <w:r>
        <w:rPr/>
        <w:t>第</w:t>
      </w:r>
      <w:r>
        <w:rPr>
          <w:spacing w:val="-56"/>
        </w:rPr>
        <w:t> </w:t>
      </w:r>
      <w:r>
        <w:rPr>
          <w:rFonts w:ascii="Times New Roman" w:eastAsia="Times New Roman"/>
        </w:rPr>
        <w:t>4</w:t>
      </w:r>
      <w:r>
        <w:rPr>
          <w:rFonts w:ascii="Times New Roman" w:eastAsia="Times New Roman"/>
          <w:spacing w:val="0"/>
        </w:rPr>
        <w:t> </w:t>
      </w:r>
      <w:r>
        <w:rPr/>
        <w:t>章第</w:t>
      </w:r>
      <w:r>
        <w:rPr>
          <w:spacing w:val="-54"/>
        </w:rPr>
        <w:t> </w:t>
      </w:r>
      <w:r>
        <w:rPr>
          <w:rFonts w:ascii="Times New Roman" w:eastAsia="Times New Roman"/>
        </w:rPr>
        <w:t>3</w:t>
      </w:r>
      <w:r>
        <w:rPr>
          <w:rFonts w:ascii="Times New Roman" w:eastAsia="Times New Roman"/>
          <w:spacing w:val="0"/>
        </w:rPr>
        <w:t> </w:t>
      </w:r>
      <w:r>
        <w:rPr/>
        <w:t>条在某</w:t>
      </w:r>
      <w:r>
        <w:rPr>
          <w:spacing w:val="-3"/>
        </w:rPr>
        <w:t>些</w:t>
      </w:r>
      <w:r>
        <w:rPr/>
        <w:t>情</w:t>
      </w:r>
      <w:r>
        <w:rPr>
          <w:spacing w:val="-3"/>
        </w:rPr>
        <w:t>况</w:t>
      </w:r>
      <w:r>
        <w:rPr/>
        <w:t>下</w:t>
      </w:r>
      <w:r>
        <w:rPr>
          <w:spacing w:val="-3"/>
        </w:rPr>
        <w:t>，</w:t>
      </w:r>
      <w:r>
        <w:rPr/>
        <w:t>我</w:t>
      </w:r>
      <w:r>
        <w:rPr>
          <w:spacing w:val="-3"/>
        </w:rPr>
        <w:t>们</w:t>
      </w:r>
      <w:r>
        <w:rPr/>
        <w:t>有</w:t>
      </w:r>
      <w:r>
        <w:rPr>
          <w:spacing w:val="-3"/>
        </w:rPr>
        <w:t>权</w:t>
      </w:r>
      <w:r>
        <w:rPr/>
        <w:t>扣除</w:t>
      </w:r>
      <w:r>
        <w:rPr>
          <w:spacing w:val="-3"/>
        </w:rPr>
        <w:t>相</w:t>
      </w:r>
      <w:r>
        <w:rPr/>
        <w:t>关</w:t>
      </w:r>
      <w:r>
        <w:rPr>
          <w:spacing w:val="-3"/>
        </w:rPr>
        <w:t>欠</w:t>
      </w:r>
      <w:r>
        <w:rPr/>
        <w:t>款</w:t>
      </w:r>
      <w:r>
        <w:rPr>
          <w:u w:val="single"/>
        </w:rPr>
        <w:t> </w:t>
        <w:tab/>
        <w:tab/>
      </w:r>
      <w:r>
        <w:rPr/>
        <w:t>第</w:t>
      </w:r>
      <w:r>
        <w:rPr>
          <w:spacing w:val="-54"/>
        </w:rPr>
        <w:t> </w:t>
      </w:r>
      <w:r>
        <w:rPr>
          <w:rFonts w:ascii="Times New Roman" w:eastAsia="Times New Roman"/>
        </w:rPr>
        <w:t>5 </w:t>
      </w:r>
      <w:r>
        <w:rPr/>
        <w:t>章</w:t>
      </w:r>
    </w:p>
    <w:p>
      <w:pPr>
        <w:pStyle w:val="BodyText"/>
        <w:tabs>
          <w:tab w:pos="7792" w:val="left" w:leader="none"/>
        </w:tabs>
        <w:spacing w:line="324" w:lineRule="auto" w:before="34"/>
        <w:ind w:left="328" w:right="411"/>
        <w:jc w:val="both"/>
      </w:pPr>
      <w:r>
        <w:rPr/>
        <w:t>您可</w:t>
      </w:r>
      <w:r>
        <w:rPr>
          <w:spacing w:val="-3"/>
        </w:rPr>
        <w:t>以</w:t>
      </w:r>
      <w:r>
        <w:rPr/>
        <w:t>解</w:t>
      </w:r>
      <w:r>
        <w:rPr>
          <w:spacing w:val="-3"/>
        </w:rPr>
        <w:t>除</w:t>
      </w:r>
      <w:r>
        <w:rPr/>
        <w:t>合</w:t>
      </w:r>
      <w:r>
        <w:rPr>
          <w:spacing w:val="-3"/>
        </w:rPr>
        <w:t>同</w:t>
      </w:r>
      <w:r>
        <w:rPr/>
        <w:t>，</w:t>
      </w:r>
      <w:r>
        <w:rPr>
          <w:spacing w:val="-3"/>
        </w:rPr>
        <w:t>请</w:t>
      </w:r>
      <w:r>
        <w:rPr/>
        <w:t>您</w:t>
      </w:r>
      <w:r>
        <w:rPr>
          <w:spacing w:val="-3"/>
        </w:rPr>
        <w:t>慎</w:t>
      </w:r>
      <w:r>
        <w:rPr/>
        <w:t>重决定</w:t>
      </w:r>
      <w:r>
        <w:rPr>
          <w:u w:val="single"/>
        </w:rPr>
        <w:t> </w:t>
        <w:tab/>
      </w:r>
      <w:r>
        <w:rPr/>
        <w:t>第</w:t>
      </w:r>
      <w:r>
        <w:rPr>
          <w:spacing w:val="-52"/>
        </w:rPr>
        <w:t> </w:t>
      </w:r>
      <w:r>
        <w:rPr>
          <w:rFonts w:ascii="Times New Roman" w:eastAsia="Times New Roman"/>
        </w:rPr>
        <w:t>6</w:t>
      </w:r>
      <w:r>
        <w:rPr>
          <w:rFonts w:ascii="Times New Roman" w:eastAsia="Times New Roman"/>
          <w:spacing w:val="-2"/>
        </w:rPr>
        <w:t> </w:t>
      </w:r>
      <w:r>
        <w:rPr/>
        <w:t>章我们</w:t>
      </w:r>
      <w:r>
        <w:rPr>
          <w:spacing w:val="-3"/>
        </w:rPr>
        <w:t>对</w:t>
      </w:r>
      <w:r>
        <w:rPr/>
        <w:t>各</w:t>
      </w:r>
      <w:r>
        <w:rPr>
          <w:spacing w:val="-3"/>
        </w:rPr>
        <w:t>项</w:t>
      </w:r>
      <w:r>
        <w:rPr/>
        <w:t>名</w:t>
      </w:r>
      <w:r>
        <w:rPr>
          <w:spacing w:val="-3"/>
        </w:rPr>
        <w:t>词</w:t>
      </w:r>
      <w:r>
        <w:rPr/>
        <w:t>的</w:t>
      </w:r>
      <w:r>
        <w:rPr>
          <w:spacing w:val="-3"/>
        </w:rPr>
        <w:t>解</w:t>
      </w:r>
      <w:r>
        <w:rPr/>
        <w:t>释</w:t>
      </w:r>
      <w:r>
        <w:rPr>
          <w:u w:val="single"/>
        </w:rPr>
        <w:t> </w:t>
        <w:tab/>
      </w:r>
      <w:r>
        <w:rPr/>
        <w:t>第</w:t>
      </w:r>
      <w:r>
        <w:rPr>
          <w:spacing w:val="-54"/>
        </w:rPr>
        <w:t> </w:t>
      </w:r>
      <w:r>
        <w:rPr>
          <w:rFonts w:ascii="Times New Roman" w:eastAsia="Times New Roman"/>
        </w:rPr>
        <w:t>7 </w:t>
      </w:r>
      <w:r>
        <w:rPr/>
        <w:t>章</w:t>
      </w:r>
    </w:p>
    <w:p>
      <w:pPr>
        <w:spacing w:after="0" w:line="324" w:lineRule="auto"/>
        <w:jc w:val="both"/>
        <w:sectPr>
          <w:type w:val="continuous"/>
          <w:pgSz w:w="11900" w:h="16840"/>
          <w:pgMar w:top="1220" w:bottom="280" w:left="1680" w:right="1380"/>
        </w:sectPr>
      </w:pPr>
    </w:p>
    <w:p>
      <w:pPr>
        <w:pStyle w:val="BodyText"/>
        <w:rPr>
          <w:sz w:val="20"/>
        </w:rPr>
      </w:pPr>
    </w:p>
    <w:p>
      <w:pPr>
        <w:pStyle w:val="Heading1"/>
        <w:spacing w:before="149"/>
        <w:ind w:left="3905" w:right="3534"/>
        <w:jc w:val="center"/>
      </w:pPr>
      <w:r>
        <w:rPr/>
        <w:t>条款目录</w:t>
      </w:r>
    </w:p>
    <w:p>
      <w:pPr>
        <w:pStyle w:val="BodyText"/>
        <w:rPr>
          <w:sz w:val="28"/>
        </w:rPr>
      </w:pPr>
    </w:p>
    <w:p>
      <w:pPr>
        <w:pStyle w:val="BodyText"/>
        <w:rPr>
          <w:sz w:val="33"/>
        </w:rPr>
      </w:pPr>
    </w:p>
    <w:p>
      <w:pPr>
        <w:pStyle w:val="Heading2"/>
        <w:numPr>
          <w:ilvl w:val="0"/>
          <w:numId w:val="1"/>
        </w:numPr>
        <w:tabs>
          <w:tab w:pos="348" w:val="left" w:leader="none"/>
          <w:tab w:pos="4523" w:val="left" w:leader="none"/>
        </w:tabs>
        <w:spacing w:line="240" w:lineRule="auto" w:before="0" w:after="0"/>
        <w:ind w:left="348" w:right="0" w:hanging="243"/>
        <w:jc w:val="left"/>
      </w:pPr>
      <w:r>
        <w:rPr/>
        <w:t>您与我们的保险合同</w:t>
        <w:tab/>
      </w:r>
      <w:r>
        <w:rPr>
          <w:rFonts w:ascii="Times New Roman" w:eastAsia="Times New Roman"/>
          <w:b/>
        </w:rPr>
        <w:t>4 </w:t>
      </w:r>
      <w:r>
        <w:rPr>
          <w:rFonts w:ascii="Times New Roman" w:eastAsia="Times New Roman"/>
          <w:b/>
          <w:spacing w:val="2"/>
        </w:rPr>
        <w:t> </w:t>
      </w:r>
      <w:r>
        <w:rPr/>
        <w:t>保险金的给付</w:t>
      </w:r>
    </w:p>
    <w:p>
      <w:pPr>
        <w:pStyle w:val="ListParagraph"/>
        <w:numPr>
          <w:ilvl w:val="1"/>
          <w:numId w:val="1"/>
        </w:numPr>
        <w:tabs>
          <w:tab w:pos="634" w:val="left" w:leader="none"/>
          <w:tab w:pos="4735" w:val="left" w:leader="none"/>
        </w:tabs>
        <w:spacing w:line="240" w:lineRule="auto" w:before="86" w:after="0"/>
        <w:ind w:left="633" w:right="0" w:hanging="317"/>
        <w:jc w:val="left"/>
        <w:rPr>
          <w:rFonts w:ascii="Times New Roman" w:eastAsia="Times New Roman"/>
          <w:sz w:val="21"/>
        </w:rPr>
      </w:pPr>
      <w:r>
        <w:rPr>
          <w:spacing w:val="-3"/>
          <w:sz w:val="21"/>
        </w:rPr>
        <w:t>保</w:t>
      </w:r>
      <w:r>
        <w:rPr>
          <w:sz w:val="21"/>
        </w:rPr>
        <w:t>险</w:t>
      </w:r>
      <w:r>
        <w:rPr>
          <w:spacing w:val="-3"/>
          <w:sz w:val="21"/>
        </w:rPr>
        <w:t>合</w:t>
      </w:r>
      <w:r>
        <w:rPr>
          <w:sz w:val="21"/>
        </w:rPr>
        <w:t>同</w:t>
      </w:r>
      <w:r>
        <w:rPr>
          <w:spacing w:val="-3"/>
          <w:sz w:val="21"/>
        </w:rPr>
        <w:t>的</w:t>
      </w:r>
      <w:r>
        <w:rPr>
          <w:sz w:val="21"/>
        </w:rPr>
        <w:t>构成</w:t>
        <w:tab/>
      </w:r>
      <w:r>
        <w:rPr>
          <w:rFonts w:ascii="Times New Roman" w:eastAsia="Times New Roman"/>
          <w:sz w:val="21"/>
        </w:rPr>
        <w:t>4.1</w:t>
      </w:r>
      <w:r>
        <w:rPr>
          <w:rFonts w:ascii="Times New Roman" w:eastAsia="Times New Roman"/>
          <w:spacing w:val="7"/>
          <w:sz w:val="21"/>
        </w:rPr>
        <w:t> </w:t>
      </w:r>
      <w:r>
        <w:rPr>
          <w:spacing w:val="-3"/>
          <w:sz w:val="21"/>
        </w:rPr>
        <w:t>保</w:t>
      </w:r>
      <w:r>
        <w:rPr>
          <w:sz w:val="21"/>
        </w:rPr>
        <w:t>险</w:t>
      </w:r>
      <w:r>
        <w:rPr>
          <w:spacing w:val="-3"/>
          <w:sz w:val="21"/>
        </w:rPr>
        <w:t>金</w:t>
      </w:r>
      <w:r>
        <w:rPr>
          <w:sz w:val="21"/>
        </w:rPr>
        <w:t>的</w:t>
      </w:r>
      <w:r>
        <w:rPr>
          <w:spacing w:val="-3"/>
          <w:sz w:val="21"/>
        </w:rPr>
        <w:t>请</w:t>
      </w:r>
      <w:r>
        <w:rPr>
          <w:sz w:val="21"/>
        </w:rPr>
        <w:t>求权</w:t>
      </w:r>
    </w:p>
    <w:p>
      <w:pPr>
        <w:pStyle w:val="ListParagraph"/>
        <w:numPr>
          <w:ilvl w:val="1"/>
          <w:numId w:val="1"/>
        </w:numPr>
        <w:tabs>
          <w:tab w:pos="634" w:val="left" w:leader="none"/>
          <w:tab w:pos="4735" w:val="left" w:leader="none"/>
        </w:tabs>
        <w:spacing w:line="240" w:lineRule="auto" w:before="105" w:after="0"/>
        <w:ind w:left="633" w:right="0" w:hanging="317"/>
        <w:jc w:val="left"/>
        <w:rPr>
          <w:rFonts w:ascii="Times New Roman" w:eastAsia="Times New Roman"/>
          <w:sz w:val="21"/>
        </w:rPr>
      </w:pPr>
      <w:r>
        <w:rPr>
          <w:spacing w:val="-3"/>
          <w:sz w:val="21"/>
        </w:rPr>
        <w:t>投</w:t>
      </w:r>
      <w:r>
        <w:rPr>
          <w:sz w:val="21"/>
        </w:rPr>
        <w:t>保</w:t>
      </w:r>
      <w:r>
        <w:rPr>
          <w:spacing w:val="-3"/>
          <w:sz w:val="21"/>
        </w:rPr>
        <w:t>年</w:t>
      </w:r>
      <w:r>
        <w:rPr>
          <w:sz w:val="21"/>
        </w:rPr>
        <w:t>龄</w:t>
        <w:tab/>
      </w:r>
      <w:r>
        <w:rPr>
          <w:rFonts w:ascii="Times New Roman" w:eastAsia="Times New Roman"/>
          <w:sz w:val="21"/>
        </w:rPr>
        <w:t>4.2</w:t>
      </w:r>
      <w:r>
        <w:rPr>
          <w:rFonts w:ascii="Times New Roman" w:eastAsia="Times New Roman"/>
          <w:spacing w:val="10"/>
          <w:sz w:val="21"/>
        </w:rPr>
        <w:t> </w:t>
      </w:r>
      <w:r>
        <w:rPr>
          <w:spacing w:val="-3"/>
          <w:sz w:val="21"/>
        </w:rPr>
        <w:t>保</w:t>
      </w:r>
      <w:r>
        <w:rPr>
          <w:sz w:val="21"/>
        </w:rPr>
        <w:t>险</w:t>
      </w:r>
      <w:r>
        <w:rPr>
          <w:spacing w:val="-3"/>
          <w:sz w:val="21"/>
        </w:rPr>
        <w:t>金</w:t>
      </w:r>
      <w:r>
        <w:rPr>
          <w:sz w:val="21"/>
        </w:rPr>
        <w:t>受</w:t>
      </w:r>
      <w:r>
        <w:rPr>
          <w:spacing w:val="-3"/>
          <w:sz w:val="21"/>
        </w:rPr>
        <w:t>益</w:t>
      </w:r>
      <w:r>
        <w:rPr>
          <w:sz w:val="21"/>
        </w:rPr>
        <w:t>人</w:t>
      </w:r>
      <w:r>
        <w:rPr>
          <w:spacing w:val="-3"/>
          <w:sz w:val="21"/>
        </w:rPr>
        <w:t>的</w:t>
      </w:r>
      <w:r>
        <w:rPr>
          <w:sz w:val="21"/>
        </w:rPr>
        <w:t>指定</w:t>
      </w:r>
    </w:p>
    <w:p>
      <w:pPr>
        <w:pStyle w:val="ListParagraph"/>
        <w:numPr>
          <w:ilvl w:val="1"/>
          <w:numId w:val="1"/>
        </w:numPr>
        <w:tabs>
          <w:tab w:pos="634" w:val="left" w:leader="none"/>
          <w:tab w:pos="4735" w:val="left" w:leader="none"/>
        </w:tabs>
        <w:spacing w:line="240" w:lineRule="auto" w:before="107" w:after="0"/>
        <w:ind w:left="633" w:right="0" w:hanging="317"/>
        <w:jc w:val="left"/>
        <w:rPr>
          <w:rFonts w:ascii="Times New Roman" w:eastAsia="Times New Roman"/>
          <w:sz w:val="21"/>
        </w:rPr>
      </w:pPr>
      <w:r>
        <w:rPr>
          <w:spacing w:val="-3"/>
          <w:sz w:val="21"/>
        </w:rPr>
        <w:t>合</w:t>
      </w:r>
      <w:r>
        <w:rPr>
          <w:sz w:val="21"/>
        </w:rPr>
        <w:t>同</w:t>
      </w:r>
      <w:r>
        <w:rPr>
          <w:spacing w:val="-3"/>
          <w:sz w:val="21"/>
        </w:rPr>
        <w:t>的</w:t>
      </w:r>
      <w:r>
        <w:rPr>
          <w:sz w:val="21"/>
        </w:rPr>
        <w:t>生</w:t>
      </w:r>
      <w:r>
        <w:rPr>
          <w:spacing w:val="-3"/>
          <w:sz w:val="21"/>
        </w:rPr>
        <w:t>效</w:t>
      </w:r>
      <w:r>
        <w:rPr>
          <w:sz w:val="21"/>
        </w:rPr>
        <w:t>日</w:t>
        <w:tab/>
      </w:r>
      <w:r>
        <w:rPr>
          <w:rFonts w:ascii="Times New Roman" w:eastAsia="Times New Roman"/>
          <w:sz w:val="21"/>
        </w:rPr>
        <w:t>4.3</w:t>
      </w:r>
      <w:r>
        <w:rPr>
          <w:rFonts w:ascii="Times New Roman" w:eastAsia="Times New Roman"/>
          <w:spacing w:val="7"/>
          <w:sz w:val="21"/>
        </w:rPr>
        <w:t> </w:t>
      </w:r>
      <w:r>
        <w:rPr>
          <w:spacing w:val="-3"/>
          <w:sz w:val="21"/>
        </w:rPr>
        <w:t>如</w:t>
      </w:r>
      <w:r>
        <w:rPr>
          <w:sz w:val="21"/>
        </w:rPr>
        <w:t>何</w:t>
      </w:r>
      <w:r>
        <w:rPr>
          <w:spacing w:val="-3"/>
          <w:sz w:val="21"/>
        </w:rPr>
        <w:t>申</w:t>
      </w:r>
      <w:r>
        <w:rPr>
          <w:sz w:val="21"/>
        </w:rPr>
        <w:t>请</w:t>
      </w:r>
      <w:r>
        <w:rPr>
          <w:spacing w:val="-3"/>
          <w:sz w:val="21"/>
        </w:rPr>
        <w:t>保</w:t>
      </w:r>
      <w:r>
        <w:rPr>
          <w:sz w:val="21"/>
        </w:rPr>
        <w:t>险金</w:t>
      </w:r>
    </w:p>
    <w:p>
      <w:pPr>
        <w:pStyle w:val="ListParagraph"/>
        <w:numPr>
          <w:ilvl w:val="1"/>
          <w:numId w:val="1"/>
        </w:numPr>
        <w:tabs>
          <w:tab w:pos="634" w:val="left" w:leader="none"/>
        </w:tabs>
        <w:spacing w:line="240" w:lineRule="auto" w:before="104" w:after="0"/>
        <w:ind w:left="633" w:right="0" w:hanging="317"/>
        <w:jc w:val="left"/>
        <w:rPr>
          <w:rFonts w:ascii="Times New Roman" w:eastAsia="Times New Roman"/>
          <w:sz w:val="21"/>
        </w:rPr>
      </w:pPr>
      <w:r>
        <w:rPr>
          <w:spacing w:val="-3"/>
          <w:sz w:val="21"/>
        </w:rPr>
        <w:t>保险期间</w:t>
      </w:r>
    </w:p>
    <w:p>
      <w:pPr>
        <w:pStyle w:val="ListParagraph"/>
        <w:numPr>
          <w:ilvl w:val="1"/>
          <w:numId w:val="1"/>
        </w:numPr>
        <w:tabs>
          <w:tab w:pos="634" w:val="left" w:leader="none"/>
          <w:tab w:pos="4523" w:val="left" w:leader="none"/>
        </w:tabs>
        <w:spacing w:line="240" w:lineRule="auto" w:before="84" w:after="0"/>
        <w:ind w:left="633" w:right="0" w:hanging="317"/>
        <w:jc w:val="left"/>
        <w:rPr>
          <w:rFonts w:ascii="Times New Roman" w:eastAsia="Times New Roman"/>
          <w:sz w:val="21"/>
        </w:rPr>
      </w:pPr>
      <w:r>
        <w:rPr>
          <w:spacing w:val="-3"/>
          <w:position w:val="1"/>
          <w:sz w:val="21"/>
        </w:rPr>
        <w:t>保</w:t>
      </w:r>
      <w:r>
        <w:rPr>
          <w:position w:val="1"/>
          <w:sz w:val="21"/>
        </w:rPr>
        <w:t>险</w:t>
      </w:r>
      <w:r>
        <w:rPr>
          <w:spacing w:val="-3"/>
          <w:position w:val="1"/>
          <w:sz w:val="21"/>
        </w:rPr>
        <w:t>金</w:t>
      </w:r>
      <w:r>
        <w:rPr>
          <w:position w:val="1"/>
          <w:sz w:val="21"/>
        </w:rPr>
        <w:t>额</w:t>
      </w:r>
      <w:r>
        <w:rPr>
          <w:spacing w:val="-3"/>
          <w:position w:val="1"/>
          <w:sz w:val="21"/>
        </w:rPr>
        <w:t>与</w:t>
      </w:r>
      <w:r>
        <w:rPr>
          <w:position w:val="1"/>
          <w:sz w:val="21"/>
        </w:rPr>
        <w:t>申</w:t>
      </w:r>
      <w:r>
        <w:rPr>
          <w:spacing w:val="-3"/>
          <w:position w:val="1"/>
          <w:sz w:val="21"/>
        </w:rPr>
        <w:t>请</w:t>
      </w:r>
      <w:r>
        <w:rPr>
          <w:position w:val="1"/>
          <w:sz w:val="21"/>
        </w:rPr>
        <w:t>减</w:t>
      </w:r>
      <w:r>
        <w:rPr>
          <w:spacing w:val="-3"/>
          <w:position w:val="1"/>
          <w:sz w:val="21"/>
        </w:rPr>
        <w:t>少保</w:t>
      </w:r>
      <w:r>
        <w:rPr>
          <w:position w:val="1"/>
          <w:sz w:val="21"/>
        </w:rPr>
        <w:t>险金额</w:t>
        <w:tab/>
      </w:r>
      <w:r>
        <w:rPr>
          <w:rFonts w:ascii="Times New Roman" w:eastAsia="Times New Roman"/>
          <w:b/>
          <w:sz w:val="24"/>
        </w:rPr>
        <w:t>5 </w:t>
      </w:r>
      <w:r>
        <w:rPr>
          <w:rFonts w:ascii="Times New Roman" w:eastAsia="Times New Roman"/>
          <w:b/>
          <w:spacing w:val="2"/>
          <w:sz w:val="24"/>
        </w:rPr>
        <w:t> </w:t>
      </w:r>
      <w:r>
        <w:rPr>
          <w:sz w:val="24"/>
        </w:rPr>
        <w:t>欠款的扣除</w:t>
      </w:r>
    </w:p>
    <w:p>
      <w:pPr>
        <w:pStyle w:val="BodyText"/>
        <w:spacing w:before="1"/>
        <w:rPr>
          <w:sz w:val="35"/>
        </w:rPr>
      </w:pPr>
    </w:p>
    <w:p>
      <w:pPr>
        <w:pStyle w:val="Heading2"/>
        <w:numPr>
          <w:ilvl w:val="0"/>
          <w:numId w:val="1"/>
        </w:numPr>
        <w:tabs>
          <w:tab w:pos="348" w:val="left" w:leader="none"/>
          <w:tab w:pos="4523" w:val="left" w:leader="none"/>
        </w:tabs>
        <w:spacing w:line="240" w:lineRule="auto" w:before="1" w:after="0"/>
        <w:ind w:left="348" w:right="0" w:hanging="243"/>
        <w:jc w:val="left"/>
      </w:pPr>
      <w:r>
        <w:rPr/>
        <w:t>保障范围</w:t>
        <w:tab/>
      </w:r>
      <w:r>
        <w:rPr>
          <w:rFonts w:ascii="Times New Roman" w:eastAsia="Times New Roman"/>
          <w:b/>
        </w:rPr>
        <w:t>6 </w:t>
      </w:r>
      <w:r>
        <w:rPr>
          <w:rFonts w:ascii="Times New Roman" w:eastAsia="Times New Roman"/>
          <w:b/>
          <w:spacing w:val="1"/>
        </w:rPr>
        <w:t> </w:t>
      </w:r>
      <w:r>
        <w:rPr/>
        <w:t>附加合同效力的终止</w:t>
      </w:r>
    </w:p>
    <w:p>
      <w:pPr>
        <w:pStyle w:val="ListParagraph"/>
        <w:numPr>
          <w:ilvl w:val="1"/>
          <w:numId w:val="1"/>
        </w:numPr>
        <w:tabs>
          <w:tab w:pos="634" w:val="left" w:leader="none"/>
        </w:tabs>
        <w:spacing w:line="240" w:lineRule="auto" w:before="89" w:after="0"/>
        <w:ind w:left="633" w:right="0" w:hanging="317"/>
        <w:jc w:val="left"/>
        <w:rPr>
          <w:rFonts w:ascii="Times New Roman" w:eastAsia="Times New Roman"/>
          <w:sz w:val="21"/>
        </w:rPr>
      </w:pPr>
      <w:r>
        <w:rPr>
          <w:spacing w:val="-3"/>
          <w:sz w:val="21"/>
        </w:rPr>
        <w:t>保险责任</w:t>
      </w:r>
    </w:p>
    <w:p>
      <w:pPr>
        <w:pStyle w:val="ListParagraph"/>
        <w:numPr>
          <w:ilvl w:val="1"/>
          <w:numId w:val="1"/>
        </w:numPr>
        <w:tabs>
          <w:tab w:pos="634" w:val="left" w:leader="none"/>
          <w:tab w:pos="4523" w:val="left" w:leader="none"/>
        </w:tabs>
        <w:spacing w:line="240" w:lineRule="auto" w:before="82" w:after="0"/>
        <w:ind w:left="633" w:right="0" w:hanging="317"/>
        <w:jc w:val="left"/>
        <w:rPr>
          <w:rFonts w:ascii="Times New Roman" w:eastAsia="Times New Roman"/>
          <w:sz w:val="21"/>
        </w:rPr>
      </w:pPr>
      <w:r>
        <w:rPr>
          <w:spacing w:val="-3"/>
          <w:position w:val="1"/>
          <w:sz w:val="21"/>
        </w:rPr>
        <w:t>责</w:t>
      </w:r>
      <w:r>
        <w:rPr>
          <w:position w:val="1"/>
          <w:sz w:val="21"/>
        </w:rPr>
        <w:t>任</w:t>
      </w:r>
      <w:r>
        <w:rPr>
          <w:spacing w:val="-3"/>
          <w:position w:val="1"/>
          <w:sz w:val="21"/>
        </w:rPr>
        <w:t>免</w:t>
      </w:r>
      <w:r>
        <w:rPr>
          <w:position w:val="1"/>
          <w:sz w:val="21"/>
        </w:rPr>
        <w:t>除</w:t>
        <w:tab/>
      </w:r>
      <w:r>
        <w:rPr>
          <w:rFonts w:ascii="Times New Roman" w:eastAsia="Times New Roman"/>
          <w:b/>
          <w:sz w:val="24"/>
        </w:rPr>
        <w:t>7 </w:t>
      </w:r>
      <w:r>
        <w:rPr>
          <w:rFonts w:ascii="Times New Roman" w:eastAsia="Times New Roman"/>
          <w:b/>
          <w:spacing w:val="0"/>
          <w:sz w:val="24"/>
        </w:rPr>
        <w:t> </w:t>
      </w:r>
      <w:r>
        <w:rPr>
          <w:sz w:val="24"/>
        </w:rPr>
        <w:t>名词释义</w:t>
      </w:r>
    </w:p>
    <w:p>
      <w:pPr>
        <w:pStyle w:val="BodyText"/>
        <w:spacing w:before="4"/>
        <w:rPr>
          <w:sz w:val="35"/>
        </w:rPr>
      </w:pPr>
    </w:p>
    <w:p>
      <w:pPr>
        <w:pStyle w:val="ListParagraph"/>
        <w:numPr>
          <w:ilvl w:val="0"/>
          <w:numId w:val="1"/>
        </w:numPr>
        <w:tabs>
          <w:tab w:pos="348" w:val="left" w:leader="none"/>
          <w:tab w:pos="4523" w:val="left" w:leader="none"/>
        </w:tabs>
        <w:spacing w:line="240" w:lineRule="auto" w:before="0" w:after="0"/>
        <w:ind w:left="348" w:right="0" w:hanging="243"/>
        <w:jc w:val="left"/>
        <w:rPr>
          <w:sz w:val="24"/>
        </w:rPr>
      </w:pPr>
      <w:r>
        <w:rPr>
          <w:sz w:val="24"/>
        </w:rPr>
        <w:t>保险费</w:t>
        <w:tab/>
      </w:r>
      <w:r>
        <w:rPr>
          <w:rFonts w:ascii="Times New Roman" w:eastAsia="Times New Roman"/>
          <w:b/>
          <w:sz w:val="24"/>
        </w:rPr>
        <w:t>8 </w:t>
      </w:r>
      <w:r>
        <w:rPr>
          <w:rFonts w:ascii="Times New Roman" w:eastAsia="Times New Roman"/>
          <w:b/>
          <w:spacing w:val="0"/>
          <w:sz w:val="24"/>
        </w:rPr>
        <w:t> </w:t>
      </w:r>
      <w:r>
        <w:rPr>
          <w:sz w:val="24"/>
        </w:rPr>
        <w:t>附表</w:t>
      </w:r>
    </w:p>
    <w:p>
      <w:pPr>
        <w:spacing w:after="0" w:line="240" w:lineRule="auto"/>
        <w:jc w:val="left"/>
        <w:rPr>
          <w:sz w:val="24"/>
        </w:rPr>
        <w:sectPr>
          <w:pgSz w:w="11900" w:h="16840"/>
          <w:pgMar w:top="1600" w:bottom="280" w:left="1620" w:right="1680"/>
        </w:sectPr>
      </w:pPr>
    </w:p>
    <w:p>
      <w:pPr>
        <w:pStyle w:val="BodyText"/>
        <w:spacing w:before="4"/>
        <w:rPr>
          <w:sz w:val="9"/>
        </w:rPr>
      </w:pPr>
    </w:p>
    <w:p>
      <w:pPr>
        <w:pStyle w:val="Heading1"/>
        <w:spacing w:before="15"/>
        <w:ind w:left="2607"/>
      </w:pPr>
      <w:r>
        <w:rPr/>
        <w:t>中英人寿附加提前给付重大疾病保险</w:t>
      </w:r>
    </w:p>
    <w:p>
      <w:pPr>
        <w:pStyle w:val="BodyText"/>
        <w:spacing w:before="11"/>
        <w:rPr>
          <w:sz w:val="32"/>
        </w:rPr>
      </w:pPr>
    </w:p>
    <w:p>
      <w:pPr>
        <w:pStyle w:val="BodyText"/>
        <w:tabs>
          <w:tab w:pos="951" w:val="left" w:leader="none"/>
        </w:tabs>
        <w:spacing w:line="626" w:lineRule="auto"/>
        <w:ind w:left="101" w:right="1528" w:firstLine="1103"/>
      </w:pPr>
      <w:r>
        <w:rPr/>
        <w:t>在本</w:t>
      </w:r>
      <w:r>
        <w:rPr>
          <w:spacing w:val="-3"/>
        </w:rPr>
        <w:t>条</w:t>
      </w:r>
      <w:r>
        <w:rPr/>
        <w:t>款</w:t>
      </w:r>
      <w:r>
        <w:rPr>
          <w:spacing w:val="-3"/>
        </w:rPr>
        <w:t>中</w:t>
      </w:r>
      <w:r>
        <w:rPr/>
        <w:t>，</w:t>
      </w:r>
      <w:r>
        <w:rPr>
          <w:rFonts w:ascii="Times New Roman" w:hAnsi="Times New Roman" w:eastAsia="Times New Roman"/>
        </w:rPr>
        <w:t>“</w:t>
      </w:r>
      <w:r>
        <w:rPr/>
        <w:t>您</w:t>
      </w:r>
      <w:r>
        <w:rPr>
          <w:rFonts w:ascii="Times New Roman" w:hAnsi="Times New Roman" w:eastAsia="Times New Roman"/>
        </w:rPr>
        <w:t>”</w:t>
      </w:r>
      <w:r>
        <w:rPr>
          <w:spacing w:val="-3"/>
        </w:rPr>
        <w:t>指</w:t>
      </w:r>
      <w:r>
        <w:rPr/>
        <w:t>投</w:t>
      </w:r>
      <w:r>
        <w:rPr>
          <w:spacing w:val="-3"/>
        </w:rPr>
        <w:t>保</w:t>
      </w:r>
      <w:r>
        <w:rPr/>
        <w:t>人，</w:t>
      </w:r>
      <w:r>
        <w:rPr>
          <w:rFonts w:ascii="Times New Roman" w:hAnsi="Times New Roman" w:eastAsia="Times New Roman"/>
        </w:rPr>
        <w:t>“</w:t>
      </w:r>
      <w:r>
        <w:rPr/>
        <w:t>我们</w:t>
      </w:r>
      <w:r>
        <w:rPr>
          <w:rFonts w:ascii="Times New Roman" w:hAnsi="Times New Roman" w:eastAsia="Times New Roman"/>
          <w:spacing w:val="-3"/>
        </w:rPr>
        <w:t>”</w:t>
      </w:r>
      <w:r>
        <w:rPr/>
        <w:t>、</w:t>
      </w:r>
      <w:r>
        <w:rPr>
          <w:rFonts w:ascii="Times New Roman" w:hAnsi="Times New Roman" w:eastAsia="Times New Roman"/>
        </w:rPr>
        <w:t>“</w:t>
      </w:r>
      <w:r>
        <w:rPr>
          <w:spacing w:val="-3"/>
        </w:rPr>
        <w:t>本</w:t>
      </w:r>
      <w:r>
        <w:rPr/>
        <w:t>公</w:t>
      </w:r>
      <w:r>
        <w:rPr>
          <w:spacing w:val="-3"/>
        </w:rPr>
        <w:t>司</w:t>
      </w:r>
      <w:r>
        <w:rPr>
          <w:rFonts w:ascii="Times New Roman" w:hAnsi="Times New Roman" w:eastAsia="Times New Roman"/>
        </w:rPr>
        <w:t>”</w:t>
      </w:r>
      <w:r>
        <w:rPr>
          <w:spacing w:val="-3"/>
        </w:rPr>
        <w:t>均</w:t>
      </w:r>
      <w:r>
        <w:rPr/>
        <w:t>指中</w:t>
      </w:r>
      <w:r>
        <w:rPr>
          <w:spacing w:val="-3"/>
        </w:rPr>
        <w:t>英</w:t>
      </w:r>
      <w:r>
        <w:rPr/>
        <w:t>人</w:t>
      </w:r>
      <w:r>
        <w:rPr>
          <w:spacing w:val="-3"/>
        </w:rPr>
        <w:t>寿</w:t>
      </w:r>
      <w:r>
        <w:rPr/>
        <w:t>保</w:t>
      </w:r>
      <w:r>
        <w:rPr>
          <w:spacing w:val="-3"/>
        </w:rPr>
        <w:t>险</w:t>
      </w:r>
      <w:r>
        <w:rPr/>
        <w:t>有</w:t>
      </w:r>
      <w:r>
        <w:rPr>
          <w:spacing w:val="-3"/>
        </w:rPr>
        <w:t>限</w:t>
      </w:r>
      <w:r>
        <w:rPr/>
        <w:t>公司第</w:t>
      </w:r>
      <w:r>
        <w:rPr>
          <w:spacing w:val="-55"/>
        </w:rPr>
        <w:t> </w:t>
      </w:r>
      <w:r>
        <w:rPr>
          <w:rFonts w:ascii="Times New Roman" w:hAnsi="Times New Roman" w:eastAsia="Times New Roman"/>
          <w:b/>
        </w:rPr>
        <w:t>1 </w:t>
      </w:r>
      <w:r>
        <w:rPr/>
        <w:t>章</w:t>
        <w:tab/>
        <w:t>您与</w:t>
      </w:r>
      <w:r>
        <w:rPr>
          <w:spacing w:val="-3"/>
        </w:rPr>
        <w:t>我</w:t>
      </w:r>
      <w:r>
        <w:rPr/>
        <w:t>们的</w:t>
      </w:r>
      <w:r>
        <w:rPr>
          <w:spacing w:val="-3"/>
        </w:rPr>
        <w:t>保</w:t>
      </w:r>
      <w:r>
        <w:rPr/>
        <w:t>险</w:t>
      </w:r>
      <w:r>
        <w:rPr>
          <w:spacing w:val="-3"/>
        </w:rPr>
        <w:t>合</w:t>
      </w:r>
      <w:r>
        <w:rPr/>
        <w:t>同</w:t>
      </w:r>
    </w:p>
    <w:p>
      <w:pPr>
        <w:pStyle w:val="ListParagraph"/>
        <w:numPr>
          <w:ilvl w:val="1"/>
          <w:numId w:val="2"/>
        </w:numPr>
        <w:tabs>
          <w:tab w:pos="951" w:val="left" w:leader="none"/>
          <w:tab w:pos="952" w:val="left" w:leader="none"/>
          <w:tab w:pos="2645" w:val="left" w:leader="none"/>
        </w:tabs>
        <w:spacing w:line="235" w:lineRule="exact" w:before="0" w:after="0"/>
        <w:ind w:left="2645" w:right="0" w:hanging="2174"/>
        <w:jc w:val="left"/>
        <w:rPr>
          <w:sz w:val="21"/>
        </w:rPr>
      </w:pPr>
      <w:r>
        <w:rPr>
          <w:sz w:val="21"/>
        </w:rPr>
        <w:t>保险</w:t>
      </w:r>
      <w:r>
        <w:rPr>
          <w:spacing w:val="-3"/>
          <w:sz w:val="21"/>
        </w:rPr>
        <w:t>合</w:t>
      </w:r>
      <w:r>
        <w:rPr>
          <w:sz w:val="21"/>
        </w:rPr>
        <w:t>同的</w:t>
      </w:r>
      <w:r>
        <w:rPr>
          <w:spacing w:val="-3"/>
          <w:sz w:val="21"/>
        </w:rPr>
        <w:t>构</w:t>
      </w:r>
      <w:r>
        <w:rPr>
          <w:sz w:val="21"/>
        </w:rPr>
        <w:t>成</w:t>
        <w:tab/>
        <w:t>您在投保主保险</w:t>
      </w:r>
      <w:r>
        <w:rPr>
          <w:spacing w:val="-3"/>
          <w:sz w:val="21"/>
        </w:rPr>
        <w:t>合</w:t>
      </w:r>
      <w:r>
        <w:rPr>
          <w:sz w:val="21"/>
        </w:rPr>
        <w:t>同（</w:t>
      </w:r>
      <w:r>
        <w:rPr>
          <w:spacing w:val="-3"/>
          <w:sz w:val="21"/>
        </w:rPr>
        <w:t>以</w:t>
      </w:r>
      <w:r>
        <w:rPr>
          <w:sz w:val="21"/>
        </w:rPr>
        <w:t>下简称主合同）</w:t>
      </w:r>
      <w:r>
        <w:rPr>
          <w:spacing w:val="-3"/>
          <w:sz w:val="21"/>
        </w:rPr>
        <w:t>时</w:t>
      </w:r>
      <w:r>
        <w:rPr>
          <w:sz w:val="21"/>
        </w:rPr>
        <w:t>，有</w:t>
      </w:r>
      <w:r>
        <w:rPr>
          <w:spacing w:val="-3"/>
          <w:sz w:val="21"/>
        </w:rPr>
        <w:t>权</w:t>
      </w:r>
      <w:r>
        <w:rPr>
          <w:sz w:val="21"/>
        </w:rPr>
        <w:t>申请投保《中英</w:t>
      </w:r>
      <w:r>
        <w:rPr>
          <w:spacing w:val="-3"/>
          <w:sz w:val="21"/>
        </w:rPr>
        <w:t>人</w:t>
      </w:r>
      <w:r>
        <w:rPr>
          <w:sz w:val="21"/>
        </w:rPr>
        <w:t>寿附</w:t>
      </w:r>
    </w:p>
    <w:p>
      <w:pPr>
        <w:pStyle w:val="BodyText"/>
        <w:ind w:left="2645" w:right="203"/>
      </w:pPr>
      <w:r>
        <w:rPr>
          <w:spacing w:val="-7"/>
        </w:rPr>
        <w:t>加提前给付重大疾病保险》合同</w:t>
      </w:r>
      <w:r>
        <w:rPr>
          <w:spacing w:val="-3"/>
        </w:rPr>
        <w:t>（以下简称本附加合同</w:t>
      </w:r>
      <w:r>
        <w:rPr>
          <w:spacing w:val="-68"/>
        </w:rPr>
        <w:t>）</w:t>
      </w:r>
      <w:r>
        <w:rPr>
          <w:spacing w:val="-11"/>
        </w:rPr>
        <w:t>，经过我们审核同</w:t>
      </w:r>
      <w:r>
        <w:rPr>
          <w:spacing w:val="-6"/>
        </w:rPr>
        <w:t>意后可以订立本附加合同。</w:t>
      </w:r>
    </w:p>
    <w:p>
      <w:pPr>
        <w:pStyle w:val="BodyText"/>
        <w:spacing w:before="10"/>
        <w:rPr>
          <w:sz w:val="18"/>
        </w:rPr>
      </w:pPr>
    </w:p>
    <w:p>
      <w:pPr>
        <w:pStyle w:val="BodyText"/>
        <w:spacing w:line="237" w:lineRule="auto"/>
        <w:ind w:left="2645" w:right="206"/>
      </w:pPr>
      <w:r>
        <w:rPr/>
        <w:t>本附加合同由保险单、保险条款、投保书及与本附加合同有关的其它投保文件、合法有效的声明、批注、批单及其它书面协议构成。</w:t>
      </w:r>
    </w:p>
    <w:p>
      <w:pPr>
        <w:pStyle w:val="BodyText"/>
        <w:spacing w:before="7"/>
        <w:rPr>
          <w:sz w:val="18"/>
        </w:rPr>
      </w:pPr>
    </w:p>
    <w:p>
      <w:pPr>
        <w:pStyle w:val="BodyText"/>
        <w:spacing w:line="237" w:lineRule="auto"/>
        <w:ind w:left="2645" w:right="100"/>
      </w:pPr>
      <w:r>
        <w:rPr>
          <w:spacing w:val="-9"/>
        </w:rPr>
        <w:t>主合同的条款适用于本附加合同。如果主合同的条款与本附加合同冲突时， </w:t>
      </w:r>
      <w:r>
        <w:rPr>
          <w:spacing w:val="-5"/>
        </w:rPr>
        <w:t>则以本附加合同为准。</w:t>
      </w:r>
    </w:p>
    <w:p>
      <w:pPr>
        <w:pStyle w:val="BodyText"/>
        <w:spacing w:before="7"/>
        <w:rPr>
          <w:sz w:val="18"/>
        </w:rPr>
      </w:pPr>
    </w:p>
    <w:p>
      <w:pPr>
        <w:pStyle w:val="ListParagraph"/>
        <w:numPr>
          <w:ilvl w:val="1"/>
          <w:numId w:val="2"/>
        </w:numPr>
        <w:tabs>
          <w:tab w:pos="951" w:val="left" w:leader="none"/>
          <w:tab w:pos="952" w:val="left" w:leader="none"/>
          <w:tab w:pos="2645" w:val="left" w:leader="none"/>
        </w:tabs>
        <w:spacing w:line="280" w:lineRule="exact" w:before="0" w:after="0"/>
        <w:ind w:left="2645" w:right="0" w:hanging="2174"/>
        <w:jc w:val="left"/>
        <w:rPr>
          <w:sz w:val="21"/>
        </w:rPr>
      </w:pPr>
      <w:r>
        <w:rPr>
          <w:sz w:val="21"/>
        </w:rPr>
        <w:t>投保</w:t>
      </w:r>
      <w:r>
        <w:rPr>
          <w:spacing w:val="-3"/>
          <w:sz w:val="21"/>
        </w:rPr>
        <w:t>年</w:t>
      </w:r>
      <w:r>
        <w:rPr>
          <w:sz w:val="21"/>
        </w:rPr>
        <w:t>龄</w:t>
        <w:tab/>
        <w:t>本附</w:t>
      </w:r>
      <w:r>
        <w:rPr>
          <w:spacing w:val="-3"/>
          <w:sz w:val="21"/>
        </w:rPr>
        <w:t>加</w:t>
      </w:r>
      <w:r>
        <w:rPr>
          <w:sz w:val="21"/>
        </w:rPr>
        <w:t>合</w:t>
      </w:r>
      <w:r>
        <w:rPr>
          <w:spacing w:val="-3"/>
          <w:sz w:val="21"/>
        </w:rPr>
        <w:t>同</w:t>
      </w:r>
      <w:r>
        <w:rPr>
          <w:sz w:val="21"/>
        </w:rPr>
        <w:t>接</w:t>
      </w:r>
      <w:r>
        <w:rPr>
          <w:spacing w:val="-3"/>
          <w:sz w:val="21"/>
        </w:rPr>
        <w:t>受</w:t>
      </w:r>
      <w:r>
        <w:rPr>
          <w:sz w:val="21"/>
        </w:rPr>
        <w:t>的</w:t>
      </w:r>
      <w:r>
        <w:rPr>
          <w:spacing w:val="-3"/>
          <w:sz w:val="21"/>
        </w:rPr>
        <w:t>被</w:t>
      </w:r>
      <w:r>
        <w:rPr>
          <w:sz w:val="21"/>
        </w:rPr>
        <w:t>保</w:t>
      </w:r>
      <w:r>
        <w:rPr>
          <w:spacing w:val="-3"/>
          <w:sz w:val="21"/>
        </w:rPr>
        <w:t>险</w:t>
      </w:r>
      <w:r>
        <w:rPr>
          <w:sz w:val="21"/>
        </w:rPr>
        <w:t>人投</w:t>
      </w:r>
      <w:r>
        <w:rPr>
          <w:spacing w:val="-3"/>
          <w:sz w:val="21"/>
        </w:rPr>
        <w:t>保</w:t>
      </w:r>
      <w:r>
        <w:rPr>
          <w:sz w:val="21"/>
        </w:rPr>
        <w:t>年</w:t>
      </w:r>
      <w:r>
        <w:rPr>
          <w:spacing w:val="-3"/>
          <w:sz w:val="21"/>
        </w:rPr>
        <w:t>龄</w:t>
      </w:r>
      <w:r>
        <w:rPr>
          <w:sz w:val="21"/>
        </w:rPr>
        <w:t>为</w:t>
      </w:r>
      <w:r>
        <w:rPr>
          <w:spacing w:val="-48"/>
          <w:sz w:val="21"/>
        </w:rPr>
        <w:t> </w:t>
      </w:r>
      <w:r>
        <w:rPr>
          <w:rFonts w:ascii="Times New Roman" w:eastAsia="Times New Roman"/>
          <w:sz w:val="21"/>
        </w:rPr>
        <w:t>0</w:t>
      </w:r>
      <w:r>
        <w:rPr>
          <w:rFonts w:ascii="Times New Roman" w:eastAsia="Times New Roman"/>
          <w:spacing w:val="1"/>
          <w:sz w:val="21"/>
        </w:rPr>
        <w:t> </w:t>
      </w:r>
      <w:r>
        <w:rPr>
          <w:spacing w:val="-63"/>
          <w:sz w:val="21"/>
        </w:rPr>
        <w:t>岁</w:t>
      </w:r>
      <w:r>
        <w:rPr>
          <w:spacing w:val="-3"/>
          <w:sz w:val="21"/>
        </w:rPr>
        <w:t>（</w:t>
      </w:r>
      <w:r>
        <w:rPr>
          <w:sz w:val="21"/>
        </w:rPr>
        <w:t>出</w:t>
      </w:r>
      <w:r>
        <w:rPr>
          <w:spacing w:val="-3"/>
          <w:sz w:val="21"/>
        </w:rPr>
        <w:t>生</w:t>
      </w:r>
      <w:r>
        <w:rPr>
          <w:sz w:val="21"/>
        </w:rPr>
        <w:t>满</w:t>
      </w:r>
      <w:r>
        <w:rPr>
          <w:spacing w:val="-48"/>
          <w:sz w:val="21"/>
        </w:rPr>
        <w:t> </w:t>
      </w:r>
      <w:r>
        <w:rPr>
          <w:rFonts w:ascii="Times New Roman" w:eastAsia="Times New Roman"/>
          <w:sz w:val="21"/>
        </w:rPr>
        <w:t>30</w:t>
      </w:r>
      <w:r>
        <w:rPr>
          <w:rFonts w:ascii="Times New Roman" w:eastAsia="Times New Roman"/>
          <w:spacing w:val="1"/>
          <w:sz w:val="21"/>
        </w:rPr>
        <w:t> </w:t>
      </w:r>
      <w:r>
        <w:rPr>
          <w:sz w:val="21"/>
        </w:rPr>
        <w:t>天</w:t>
      </w:r>
      <w:r>
        <w:rPr>
          <w:spacing w:val="-65"/>
          <w:sz w:val="21"/>
        </w:rPr>
        <w:t>）</w:t>
      </w:r>
      <w:r>
        <w:rPr>
          <w:sz w:val="21"/>
        </w:rPr>
        <w:t>至</w:t>
      </w:r>
      <w:r>
        <w:rPr>
          <w:spacing w:val="-48"/>
          <w:sz w:val="21"/>
        </w:rPr>
        <w:t> </w:t>
      </w:r>
      <w:r>
        <w:rPr>
          <w:rFonts w:ascii="Times New Roman" w:eastAsia="Times New Roman"/>
          <w:sz w:val="21"/>
        </w:rPr>
        <w:t>65</w:t>
      </w:r>
      <w:r>
        <w:rPr>
          <w:rFonts w:ascii="Times New Roman" w:eastAsia="Times New Roman"/>
          <w:spacing w:val="1"/>
          <w:sz w:val="21"/>
        </w:rPr>
        <w:t> </w:t>
      </w:r>
      <w:r>
        <w:rPr>
          <w:sz w:val="21"/>
        </w:rPr>
        <w:t>周</w:t>
      </w:r>
      <w:r>
        <w:rPr>
          <w:spacing w:val="-65"/>
          <w:sz w:val="21"/>
        </w:rPr>
        <w:t>岁</w:t>
      </w:r>
      <w:r>
        <w:rPr>
          <w:sz w:val="21"/>
        </w:rPr>
        <w:t>（见</w:t>
      </w:r>
    </w:p>
    <w:p>
      <w:pPr>
        <w:pStyle w:val="BodyText"/>
        <w:spacing w:line="280" w:lineRule="exact"/>
        <w:ind w:left="2645"/>
      </w:pPr>
      <w:r>
        <w:rPr>
          <w:rFonts w:ascii="Times New Roman" w:eastAsia="Times New Roman"/>
          <w:w w:val="100"/>
        </w:rPr>
        <w:t>7.1</w:t>
      </w:r>
      <w:r>
        <w:rPr>
          <w:spacing w:val="-106"/>
          <w:w w:val="100"/>
        </w:rPr>
        <w:t>）</w:t>
      </w:r>
      <w:r>
        <w:rPr>
          <w:w w:val="100"/>
        </w:rPr>
        <w:t>。</w:t>
      </w:r>
    </w:p>
    <w:p>
      <w:pPr>
        <w:pStyle w:val="BodyText"/>
        <w:spacing w:before="10"/>
        <w:rPr>
          <w:sz w:val="26"/>
        </w:rPr>
      </w:pPr>
    </w:p>
    <w:p>
      <w:pPr>
        <w:pStyle w:val="ListParagraph"/>
        <w:numPr>
          <w:ilvl w:val="1"/>
          <w:numId w:val="2"/>
        </w:numPr>
        <w:tabs>
          <w:tab w:pos="952" w:val="left" w:leader="none"/>
        </w:tabs>
        <w:spacing w:line="237" w:lineRule="auto" w:before="1" w:after="0"/>
        <w:ind w:left="2645" w:right="206" w:hanging="2174"/>
        <w:jc w:val="both"/>
        <w:rPr>
          <w:sz w:val="21"/>
        </w:rPr>
      </w:pPr>
      <w:r>
        <w:rPr>
          <w:spacing w:val="-3"/>
          <w:sz w:val="21"/>
        </w:rPr>
        <w:t>合同的生效日   本附加合同的生效日经我们同意承保，自您缴纳首期保险费当日的二十四时开始。本附加合同必须与主合同同时投保，主合同的生效日为本附加合同的生效日。</w:t>
      </w:r>
    </w:p>
    <w:p>
      <w:pPr>
        <w:pStyle w:val="BodyText"/>
        <w:spacing w:before="5"/>
        <w:rPr>
          <w:sz w:val="18"/>
        </w:rPr>
      </w:pPr>
    </w:p>
    <w:p>
      <w:pPr>
        <w:pStyle w:val="ListParagraph"/>
        <w:numPr>
          <w:ilvl w:val="1"/>
          <w:numId w:val="2"/>
        </w:numPr>
        <w:tabs>
          <w:tab w:pos="951" w:val="left" w:leader="none"/>
          <w:tab w:pos="952" w:val="left" w:leader="none"/>
          <w:tab w:pos="2645" w:val="left" w:leader="none"/>
        </w:tabs>
        <w:spacing w:line="240" w:lineRule="auto" w:before="0" w:after="0"/>
        <w:ind w:left="2645" w:right="0" w:hanging="2174"/>
        <w:jc w:val="left"/>
        <w:rPr>
          <w:sz w:val="21"/>
        </w:rPr>
      </w:pPr>
      <w:r>
        <w:rPr>
          <w:sz w:val="21"/>
        </w:rPr>
        <w:t>保险</w:t>
      </w:r>
      <w:r>
        <w:rPr>
          <w:spacing w:val="-3"/>
          <w:sz w:val="21"/>
        </w:rPr>
        <w:t>期</w:t>
      </w:r>
      <w:r>
        <w:rPr>
          <w:sz w:val="21"/>
        </w:rPr>
        <w:t>间</w:t>
        <w:tab/>
        <w:t>本附</w:t>
      </w:r>
      <w:r>
        <w:rPr>
          <w:spacing w:val="-3"/>
          <w:sz w:val="21"/>
        </w:rPr>
        <w:t>加</w:t>
      </w:r>
      <w:r>
        <w:rPr>
          <w:sz w:val="21"/>
        </w:rPr>
        <w:t>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与</w:t>
      </w:r>
      <w:r>
        <w:rPr>
          <w:sz w:val="21"/>
        </w:rPr>
        <w:t>主合</w:t>
      </w:r>
      <w:r>
        <w:rPr>
          <w:spacing w:val="-3"/>
          <w:sz w:val="21"/>
        </w:rPr>
        <w:t>同</w:t>
      </w:r>
      <w:r>
        <w:rPr>
          <w:sz w:val="21"/>
        </w:rPr>
        <w:t>相</w:t>
      </w:r>
      <w:r>
        <w:rPr>
          <w:spacing w:val="-3"/>
          <w:sz w:val="21"/>
        </w:rPr>
        <w:t>同</w:t>
      </w:r>
      <w:r>
        <w:rPr>
          <w:sz w:val="21"/>
        </w:rPr>
        <w:t>。</w:t>
      </w:r>
    </w:p>
    <w:p>
      <w:pPr>
        <w:pStyle w:val="BodyText"/>
        <w:spacing w:before="8"/>
        <w:rPr>
          <w:sz w:val="13"/>
        </w:rPr>
      </w:pPr>
    </w:p>
    <w:p>
      <w:pPr>
        <w:spacing w:after="0"/>
        <w:rPr>
          <w:sz w:val="13"/>
        </w:rPr>
        <w:sectPr>
          <w:pgSz w:w="11900" w:h="16840"/>
          <w:pgMar w:top="1600" w:bottom="280" w:left="1300" w:right="1000"/>
        </w:sectPr>
      </w:pPr>
    </w:p>
    <w:p>
      <w:pPr>
        <w:pStyle w:val="ListParagraph"/>
        <w:numPr>
          <w:ilvl w:val="1"/>
          <w:numId w:val="2"/>
        </w:numPr>
        <w:tabs>
          <w:tab w:pos="951" w:val="left" w:leader="none"/>
          <w:tab w:pos="952" w:val="left" w:leader="none"/>
        </w:tabs>
        <w:spacing w:line="237" w:lineRule="auto" w:before="65" w:after="0"/>
        <w:ind w:left="951" w:right="0" w:hanging="480"/>
        <w:jc w:val="left"/>
        <w:rPr>
          <w:sz w:val="21"/>
        </w:rPr>
      </w:pPr>
      <w:r>
        <w:rPr>
          <w:sz w:val="21"/>
        </w:rPr>
        <w:t>保险金额与申请</w:t>
      </w:r>
      <w:r>
        <w:rPr>
          <w:spacing w:val="-1"/>
          <w:sz w:val="21"/>
        </w:rPr>
        <w:t>减少保险金额</w:t>
      </w:r>
    </w:p>
    <w:p>
      <w:pPr>
        <w:pStyle w:val="BodyText"/>
        <w:spacing w:line="237" w:lineRule="auto" w:before="62"/>
        <w:ind w:left="171" w:right="206"/>
      </w:pPr>
      <w:r>
        <w:rPr/>
        <w:br w:type="column"/>
      </w:r>
      <w:r>
        <w:rPr/>
        <w:t>本附加合同的保险金额为主合同的保险金额，由您和我们约定并在保险单上载明。</w:t>
      </w:r>
    </w:p>
    <w:p>
      <w:pPr>
        <w:pStyle w:val="BodyText"/>
        <w:spacing w:before="7"/>
        <w:rPr>
          <w:sz w:val="18"/>
        </w:rPr>
      </w:pPr>
    </w:p>
    <w:p>
      <w:pPr>
        <w:pStyle w:val="BodyText"/>
        <w:spacing w:line="237" w:lineRule="auto"/>
        <w:ind w:left="171" w:right="100"/>
      </w:pPr>
      <w:r>
        <w:rPr>
          <w:spacing w:val="-7"/>
        </w:rPr>
        <w:t>主合同减少保险金额条款同样适用于本附加合同。主合同减少保险金额时， </w:t>
      </w:r>
      <w:r>
        <w:rPr>
          <w:spacing w:val="-5"/>
        </w:rPr>
        <w:t>本附加合同必须同时申请减少保险金额。</w:t>
      </w:r>
    </w:p>
    <w:p>
      <w:pPr>
        <w:pStyle w:val="BodyText"/>
        <w:spacing w:before="5"/>
        <w:rPr>
          <w:sz w:val="18"/>
        </w:rPr>
      </w:pPr>
    </w:p>
    <w:p>
      <w:pPr>
        <w:pStyle w:val="BodyText"/>
        <w:ind w:left="171"/>
      </w:pPr>
      <w:r>
        <w:rPr/>
        <w:t>本附加合同不能单独申请减少保险金额。</w:t>
      </w:r>
    </w:p>
    <w:p>
      <w:pPr>
        <w:spacing w:after="0"/>
        <w:sectPr>
          <w:type w:val="continuous"/>
          <w:pgSz w:w="11900" w:h="16840"/>
          <w:pgMar w:top="1220" w:bottom="280" w:left="1300" w:right="1000"/>
          <w:cols w:num="2" w:equalWidth="0">
            <w:col w:w="2435" w:space="40"/>
            <w:col w:w="7125"/>
          </w:cols>
        </w:sectPr>
      </w:pPr>
    </w:p>
    <w:p>
      <w:pPr>
        <w:pStyle w:val="BodyText"/>
        <w:rPr>
          <w:sz w:val="20"/>
        </w:rPr>
      </w:pPr>
    </w:p>
    <w:p>
      <w:pPr>
        <w:pStyle w:val="BodyText"/>
        <w:spacing w:before="12"/>
        <w:rPr>
          <w:sz w:val="16"/>
        </w:rPr>
      </w:pPr>
    </w:p>
    <w:p>
      <w:pPr>
        <w:pStyle w:val="BodyText"/>
        <w:tabs>
          <w:tab w:pos="951" w:val="left" w:leader="none"/>
        </w:tabs>
        <w:ind w:left="103"/>
      </w:pPr>
      <w:r>
        <w:rPr/>
        <w:t>第</w:t>
      </w:r>
      <w:r>
        <w:rPr>
          <w:spacing w:val="-55"/>
        </w:rPr>
        <w:t> </w:t>
      </w:r>
      <w:r>
        <w:rPr>
          <w:rFonts w:ascii="Times New Roman" w:eastAsia="Times New Roman"/>
          <w:b/>
        </w:rPr>
        <w:t>2 </w:t>
      </w:r>
      <w:r>
        <w:rPr/>
        <w:t>章</w:t>
        <w:tab/>
        <w:t>保障</w:t>
      </w:r>
      <w:r>
        <w:rPr>
          <w:spacing w:val="-3"/>
        </w:rPr>
        <w:t>范</w:t>
      </w:r>
      <w:r>
        <w:rPr/>
        <w:t>围</w:t>
      </w:r>
    </w:p>
    <w:p>
      <w:pPr>
        <w:pStyle w:val="BodyText"/>
        <w:spacing w:before="13"/>
        <w:rPr>
          <w:sz w:val="16"/>
        </w:rPr>
      </w:pPr>
    </w:p>
    <w:p>
      <w:pPr>
        <w:pStyle w:val="BodyText"/>
        <w:tabs>
          <w:tab w:pos="951" w:val="left" w:leader="none"/>
          <w:tab w:pos="2645" w:val="left" w:leader="none"/>
        </w:tabs>
        <w:ind w:left="471"/>
      </w:pPr>
      <w:r>
        <w:rPr>
          <w:rFonts w:ascii="Times New Roman" w:eastAsia="Times New Roman"/>
          <w:b/>
          <w:position w:val="2"/>
        </w:rPr>
        <w:t>2.1</w:t>
      </w:r>
      <w:r>
        <w:rPr>
          <w:rFonts w:ascii="Times New Roman" w:eastAsia="Times New Roman"/>
          <w:position w:val="2"/>
        </w:rPr>
        <w:tab/>
      </w:r>
      <w:r>
        <w:rPr/>
        <w:t>保险</w:t>
      </w:r>
      <w:r>
        <w:rPr>
          <w:spacing w:val="-3"/>
        </w:rPr>
        <w:t>责</w:t>
      </w:r>
      <w:r>
        <w:rPr/>
        <w:t>任</w:t>
        <w:tab/>
        <w:t>在本</w:t>
      </w:r>
      <w:r>
        <w:rPr>
          <w:spacing w:val="-3"/>
        </w:rPr>
        <w:t>附</w:t>
      </w:r>
      <w:r>
        <w:rPr/>
        <w:t>加</w:t>
      </w:r>
      <w:r>
        <w:rPr>
          <w:spacing w:val="-3"/>
        </w:rPr>
        <w:t>合</w:t>
      </w:r>
      <w:r>
        <w:rPr/>
        <w:t>同</w:t>
      </w:r>
      <w:r>
        <w:rPr>
          <w:spacing w:val="-3"/>
        </w:rPr>
        <w:t>有</w:t>
      </w:r>
      <w:r>
        <w:rPr/>
        <w:t>效</w:t>
      </w:r>
      <w:r>
        <w:rPr>
          <w:spacing w:val="-3"/>
        </w:rPr>
        <w:t>期</w:t>
      </w:r>
      <w:r>
        <w:rPr/>
        <w:t>内</w:t>
      </w:r>
      <w:r>
        <w:rPr>
          <w:spacing w:val="-3"/>
        </w:rPr>
        <w:t>，</w:t>
      </w:r>
      <w:r>
        <w:rPr/>
        <w:t>我们</w:t>
      </w:r>
      <w:r>
        <w:rPr>
          <w:spacing w:val="-3"/>
        </w:rPr>
        <w:t>按</w:t>
      </w:r>
      <w:r>
        <w:rPr/>
        <w:t>照</w:t>
      </w:r>
      <w:r>
        <w:rPr>
          <w:spacing w:val="-3"/>
        </w:rPr>
        <w:t>以</w:t>
      </w:r>
      <w:r>
        <w:rPr/>
        <w:t>下</w:t>
      </w:r>
      <w:r>
        <w:rPr>
          <w:spacing w:val="-3"/>
        </w:rPr>
        <w:t>约</w:t>
      </w:r>
      <w:r>
        <w:rPr/>
        <w:t>定</w:t>
      </w:r>
      <w:r>
        <w:rPr>
          <w:spacing w:val="-3"/>
        </w:rPr>
        <w:t>承</w:t>
      </w:r>
      <w:r>
        <w:rPr/>
        <w:t>担</w:t>
      </w:r>
      <w:r>
        <w:rPr>
          <w:spacing w:val="-3"/>
        </w:rPr>
        <w:t>保</w:t>
      </w:r>
      <w:r>
        <w:rPr/>
        <w:t>险责</w:t>
      </w:r>
      <w:r>
        <w:rPr>
          <w:spacing w:val="-3"/>
        </w:rPr>
        <w:t>任</w:t>
      </w:r>
      <w:r>
        <w:rPr/>
        <w:t>：</w:t>
      </w:r>
    </w:p>
    <w:p>
      <w:pPr>
        <w:pStyle w:val="BodyText"/>
        <w:spacing w:before="5"/>
        <w:rPr>
          <w:sz w:val="19"/>
        </w:rPr>
      </w:pPr>
    </w:p>
    <w:p>
      <w:pPr>
        <w:pStyle w:val="BodyText"/>
        <w:spacing w:line="225" w:lineRule="auto"/>
        <w:ind w:left="2645" w:right="203" w:hanging="1"/>
        <w:jc w:val="both"/>
      </w:pPr>
      <w:r>
        <w:rPr>
          <w:spacing w:val="-3"/>
        </w:rPr>
        <w:t>如果被保险人因意外伤害事故（</w:t>
      </w:r>
      <w:r>
        <w:rPr>
          <w:spacing w:val="-19"/>
        </w:rPr>
        <w:t>见 </w:t>
      </w:r>
      <w:r>
        <w:rPr>
          <w:rFonts w:ascii="Times New Roman" w:eastAsia="Times New Roman"/>
        </w:rPr>
        <w:t>7.2</w:t>
      </w:r>
      <w:r>
        <w:rPr/>
        <w:t>）</w:t>
      </w:r>
      <w:r>
        <w:rPr>
          <w:spacing w:val="-3"/>
        </w:rPr>
        <w:t>或在本附加合同</w:t>
      </w:r>
      <w:r>
        <w:rPr/>
        <w:t>Th</w:t>
      </w:r>
      <w:r>
        <w:rPr>
          <w:spacing w:val="-11"/>
        </w:rPr>
        <w:t>效日起 </w:t>
      </w:r>
      <w:r>
        <w:rPr>
          <w:rFonts w:ascii="Times New Roman" w:eastAsia="Times New Roman"/>
        </w:rPr>
        <w:t>90 </w:t>
      </w:r>
      <w:r>
        <w:rPr/>
        <w:t>天后</w:t>
      </w:r>
      <w:r>
        <w:rPr>
          <w:spacing w:val="-8"/>
        </w:rPr>
        <w:t>或最后复效日起 </w:t>
      </w:r>
      <w:r>
        <w:rPr>
          <w:rFonts w:ascii="Times New Roman" w:eastAsia="Times New Roman"/>
        </w:rPr>
        <w:t>90 </w:t>
      </w:r>
      <w:r>
        <w:rPr>
          <w:spacing w:val="-15"/>
        </w:rPr>
        <w:t>天后</w:t>
      </w:r>
      <w:r>
        <w:rPr>
          <w:spacing w:val="-3"/>
        </w:rPr>
        <w:t>（以较迟者为准</w:t>
      </w:r>
      <w:r>
        <w:rPr>
          <w:spacing w:val="-27"/>
        </w:rPr>
        <w:t>）</w:t>
      </w:r>
      <w:r>
        <w:rPr>
          <w:spacing w:val="-7"/>
        </w:rPr>
        <w:t>因疾病，初次发生并被专科医生</w:t>
      </w:r>
    </w:p>
    <w:p>
      <w:pPr>
        <w:pStyle w:val="BodyText"/>
        <w:spacing w:line="230" w:lineRule="auto"/>
        <w:ind w:left="2645" w:right="203"/>
        <w:jc w:val="both"/>
      </w:pPr>
      <w:r>
        <w:rPr>
          <w:w w:val="100"/>
        </w:rPr>
        <w:t>（见</w:t>
      </w:r>
      <w:r>
        <w:rPr>
          <w:spacing w:val="-53"/>
        </w:rPr>
        <w:t> </w:t>
      </w:r>
      <w:r>
        <w:rPr>
          <w:rFonts w:ascii="Times New Roman" w:eastAsia="Times New Roman"/>
          <w:w w:val="100"/>
        </w:rPr>
        <w:t>7</w:t>
      </w:r>
      <w:r>
        <w:rPr>
          <w:rFonts w:ascii="Times New Roman" w:eastAsia="Times New Roman"/>
          <w:spacing w:val="-3"/>
          <w:w w:val="100"/>
        </w:rPr>
        <w:t>.</w:t>
      </w:r>
      <w:r>
        <w:rPr>
          <w:rFonts w:ascii="Times New Roman" w:eastAsia="Times New Roman"/>
          <w:w w:val="100"/>
        </w:rPr>
        <w:t>3</w:t>
      </w:r>
      <w:r>
        <w:rPr>
          <w:spacing w:val="-29"/>
          <w:w w:val="100"/>
        </w:rPr>
        <w:t>）</w:t>
      </w:r>
      <w:r>
        <w:rPr>
          <w:spacing w:val="-5"/>
          <w:w w:val="100"/>
        </w:rPr>
        <w:t>确诊患本附加合同附表中所列任何一种重大疾病</w:t>
      </w:r>
      <w:r>
        <w:rPr>
          <w:spacing w:val="-3"/>
          <w:w w:val="100"/>
        </w:rPr>
        <w:t>（</w:t>
      </w:r>
      <w:r>
        <w:rPr>
          <w:w w:val="100"/>
        </w:rPr>
        <w:t>见</w:t>
      </w:r>
      <w:r>
        <w:rPr>
          <w:spacing w:val="-53"/>
        </w:rPr>
        <w:t> </w:t>
      </w:r>
      <w:r>
        <w:rPr>
          <w:rFonts w:ascii="Times New Roman" w:eastAsia="Times New Roman"/>
          <w:w w:val="100"/>
        </w:rPr>
        <w:t>7.</w:t>
      </w:r>
      <w:r>
        <w:rPr>
          <w:rFonts w:ascii="Times New Roman" w:eastAsia="Times New Roman"/>
          <w:spacing w:val="-3"/>
          <w:w w:val="100"/>
        </w:rPr>
        <w:t>4</w:t>
      </w:r>
      <w:r>
        <w:rPr>
          <w:spacing w:val="-106"/>
          <w:w w:val="100"/>
        </w:rPr>
        <w:t>）</w:t>
      </w:r>
      <w:r>
        <w:rPr>
          <w:spacing w:val="-10"/>
          <w:w w:val="100"/>
        </w:rPr>
        <w:t>，我们</w:t>
      </w:r>
      <w:r>
        <w:rPr>
          <w:spacing w:val="-9"/>
        </w:rPr>
        <w:t>将按所依附的主合同当时的身故保险金金额给付重大疾病保险金，同时本</w:t>
      </w:r>
      <w:r>
        <w:rPr>
          <w:spacing w:val="-5"/>
        </w:rPr>
        <w:t>附加合同及其所依附的主合同终止。</w:t>
      </w:r>
    </w:p>
    <w:p>
      <w:pPr>
        <w:pStyle w:val="BodyText"/>
        <w:spacing w:before="8"/>
        <w:rPr>
          <w:sz w:val="18"/>
        </w:rPr>
      </w:pPr>
    </w:p>
    <w:p>
      <w:pPr>
        <w:pStyle w:val="BodyText"/>
        <w:spacing w:before="1"/>
        <w:ind w:left="2645" w:right="227"/>
        <w:jc w:val="both"/>
      </w:pPr>
      <w:r>
        <w:rPr/>
        <w:t>若在重大疾病确诊日与本附加合同保险金给付日之间，按所依附的主合同发生并给付任何保险金，则在给付重大疾病保险金时，我们将先行扣除主合同在前述期间已给付的各项保险金。</w:t>
      </w:r>
    </w:p>
    <w:p>
      <w:pPr>
        <w:pStyle w:val="BodyText"/>
        <w:spacing w:before="3"/>
        <w:rPr>
          <w:sz w:val="18"/>
        </w:rPr>
      </w:pPr>
    </w:p>
    <w:p>
      <w:pPr>
        <w:pStyle w:val="BodyText"/>
        <w:ind w:left="2645"/>
        <w:jc w:val="both"/>
      </w:pPr>
      <w:r>
        <w:rPr>
          <w:spacing w:val="-8"/>
        </w:rPr>
        <w:t>自本附加合同生效日起 </w:t>
      </w:r>
      <w:r>
        <w:rPr>
          <w:rFonts w:ascii="Times New Roman" w:eastAsia="Times New Roman"/>
        </w:rPr>
        <w:t>90 </w:t>
      </w:r>
      <w:r>
        <w:rPr>
          <w:spacing w:val="-8"/>
        </w:rPr>
        <w:t>天内或最后复效日起 </w:t>
      </w:r>
      <w:r>
        <w:rPr>
          <w:rFonts w:ascii="Times New Roman" w:eastAsia="Times New Roman"/>
        </w:rPr>
        <w:t>90 </w:t>
      </w:r>
      <w:r>
        <w:rPr>
          <w:spacing w:val="-22"/>
        </w:rPr>
        <w:t>天内</w:t>
      </w:r>
      <w:r>
        <w:rPr/>
        <w:t>（</w:t>
      </w:r>
      <w:r>
        <w:rPr>
          <w:spacing w:val="-25"/>
        </w:rPr>
        <w:t>含 </w:t>
      </w:r>
      <w:r>
        <w:rPr>
          <w:rFonts w:ascii="Times New Roman" w:eastAsia="Times New Roman"/>
        </w:rPr>
        <w:t>90 </w:t>
      </w:r>
      <w:r>
        <w:rPr>
          <w:spacing w:val="-10"/>
        </w:rPr>
        <w:t>天，以较迟</w:t>
      </w:r>
    </w:p>
    <w:p>
      <w:pPr>
        <w:spacing w:after="0"/>
        <w:jc w:val="both"/>
        <w:sectPr>
          <w:type w:val="continuous"/>
          <w:pgSz w:w="11900" w:h="16840"/>
          <w:pgMar w:top="1220" w:bottom="280" w:left="1300" w:right="10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9"/>
        <w:gridCol w:w="1692"/>
        <w:gridCol w:w="7012"/>
      </w:tblGrid>
      <w:tr>
        <w:trPr>
          <w:trHeight w:val="242" w:hRule="atLeast"/>
        </w:trPr>
        <w:tc>
          <w:tcPr>
            <w:tcW w:w="2481" w:type="dxa"/>
            <w:gridSpan w:val="2"/>
            <w:vMerge w:val="restart"/>
          </w:tcPr>
          <w:p>
            <w:pPr>
              <w:pStyle w:val="TableParagraph"/>
              <w:rPr>
                <w:rFonts w:ascii="Times New Roman"/>
                <w:sz w:val="20"/>
              </w:rPr>
            </w:pPr>
          </w:p>
        </w:tc>
        <w:tc>
          <w:tcPr>
            <w:tcW w:w="7012" w:type="dxa"/>
          </w:tcPr>
          <w:p>
            <w:pPr>
              <w:pStyle w:val="TableParagraph"/>
              <w:spacing w:line="211" w:lineRule="exact"/>
              <w:ind w:left="110"/>
              <w:rPr>
                <w:sz w:val="21"/>
              </w:rPr>
            </w:pPr>
            <w:r>
              <w:rPr>
                <w:spacing w:val="1"/>
                <w:w w:val="100"/>
                <w:sz w:val="21"/>
              </w:rPr>
              <w:t>者为准</w:t>
            </w:r>
            <w:r>
              <w:rPr>
                <w:spacing w:val="-104"/>
                <w:w w:val="100"/>
                <w:sz w:val="21"/>
              </w:rPr>
              <w:t>）</w:t>
            </w:r>
            <w:r>
              <w:rPr>
                <w:w w:val="100"/>
                <w:sz w:val="21"/>
              </w:rPr>
              <w:t>，如果被保险人因疾病患本附加合同附表中所列任何一种重大疾</w:t>
            </w:r>
          </w:p>
        </w:tc>
      </w:tr>
      <w:tr>
        <w:trPr>
          <w:trHeight w:val="272" w:hRule="atLeast"/>
        </w:trPr>
        <w:tc>
          <w:tcPr>
            <w:tcW w:w="2481" w:type="dxa"/>
            <w:gridSpan w:val="2"/>
            <w:vMerge/>
            <w:tcBorders>
              <w:top w:val="nil"/>
            </w:tcBorders>
          </w:tcPr>
          <w:p>
            <w:pPr>
              <w:rPr>
                <w:sz w:val="2"/>
                <w:szCs w:val="2"/>
              </w:rPr>
            </w:pPr>
          </w:p>
        </w:tc>
        <w:tc>
          <w:tcPr>
            <w:tcW w:w="7012" w:type="dxa"/>
          </w:tcPr>
          <w:p>
            <w:pPr>
              <w:pStyle w:val="TableParagraph"/>
              <w:spacing w:line="242" w:lineRule="exact"/>
              <w:ind w:left="110"/>
              <w:rPr>
                <w:sz w:val="21"/>
              </w:rPr>
            </w:pPr>
            <w:r>
              <w:rPr>
                <w:sz w:val="21"/>
              </w:rPr>
              <w:t>病，我们将无息退回您已缴纳的本附加合同的保险费，同时本附加合同终</w:t>
            </w:r>
          </w:p>
        </w:tc>
      </w:tr>
      <w:tr>
        <w:trPr>
          <w:trHeight w:val="381" w:hRule="atLeast"/>
        </w:trPr>
        <w:tc>
          <w:tcPr>
            <w:tcW w:w="2481" w:type="dxa"/>
            <w:gridSpan w:val="2"/>
            <w:vMerge/>
            <w:tcBorders>
              <w:top w:val="nil"/>
            </w:tcBorders>
          </w:tcPr>
          <w:p>
            <w:pPr>
              <w:rPr>
                <w:sz w:val="2"/>
                <w:szCs w:val="2"/>
              </w:rPr>
            </w:pPr>
          </w:p>
        </w:tc>
        <w:tc>
          <w:tcPr>
            <w:tcW w:w="7012" w:type="dxa"/>
          </w:tcPr>
          <w:p>
            <w:pPr>
              <w:pStyle w:val="TableParagraph"/>
              <w:spacing w:line="241" w:lineRule="exact"/>
              <w:ind w:left="110"/>
              <w:rPr>
                <w:sz w:val="21"/>
              </w:rPr>
            </w:pPr>
            <w:r>
              <w:rPr>
                <w:sz w:val="21"/>
              </w:rPr>
              <w:t>止。</w:t>
            </w:r>
          </w:p>
        </w:tc>
      </w:tr>
      <w:tr>
        <w:trPr>
          <w:trHeight w:val="406" w:hRule="atLeast"/>
        </w:trPr>
        <w:tc>
          <w:tcPr>
            <w:tcW w:w="789" w:type="dxa"/>
          </w:tcPr>
          <w:p>
            <w:pPr>
              <w:pStyle w:val="TableParagraph"/>
              <w:spacing w:before="132"/>
              <w:ind w:right="105"/>
              <w:jc w:val="right"/>
              <w:rPr>
                <w:rFonts w:ascii="Times New Roman"/>
                <w:b/>
                <w:sz w:val="21"/>
              </w:rPr>
            </w:pPr>
            <w:r>
              <w:rPr>
                <w:rFonts w:ascii="Times New Roman"/>
                <w:b/>
                <w:sz w:val="21"/>
              </w:rPr>
              <w:t>2.2</w:t>
            </w:r>
          </w:p>
        </w:tc>
        <w:tc>
          <w:tcPr>
            <w:tcW w:w="1692" w:type="dxa"/>
          </w:tcPr>
          <w:p>
            <w:pPr>
              <w:pStyle w:val="TableParagraph"/>
              <w:spacing w:before="102"/>
              <w:ind w:left="108"/>
              <w:rPr>
                <w:sz w:val="21"/>
              </w:rPr>
            </w:pPr>
            <w:r>
              <w:rPr>
                <w:sz w:val="21"/>
              </w:rPr>
              <w:t>责任免除</w:t>
            </w:r>
          </w:p>
        </w:tc>
        <w:tc>
          <w:tcPr>
            <w:tcW w:w="7012" w:type="dxa"/>
          </w:tcPr>
          <w:p>
            <w:pPr>
              <w:pStyle w:val="TableParagraph"/>
              <w:spacing w:before="100"/>
              <w:ind w:left="110"/>
              <w:rPr>
                <w:sz w:val="21"/>
              </w:rPr>
            </w:pPr>
            <w:r>
              <w:rPr>
                <w:sz w:val="21"/>
              </w:rPr>
              <w:t>如果由于以下任何一种情形，导致被保险人患本附加合同附表所列任何一</w:t>
            </w:r>
          </w:p>
        </w:tc>
      </w:tr>
      <w:tr>
        <w:trPr>
          <w:trHeight w:val="392" w:hRule="atLeast"/>
        </w:trPr>
        <w:tc>
          <w:tcPr>
            <w:tcW w:w="789" w:type="dxa"/>
          </w:tcPr>
          <w:p>
            <w:pPr>
              <w:pStyle w:val="TableParagraph"/>
              <w:rPr>
                <w:rFonts w:ascii="Times New Roman"/>
                <w:sz w:val="20"/>
              </w:rPr>
            </w:pPr>
          </w:p>
        </w:tc>
        <w:tc>
          <w:tcPr>
            <w:tcW w:w="1692" w:type="dxa"/>
          </w:tcPr>
          <w:p>
            <w:pPr>
              <w:pStyle w:val="TableParagraph"/>
              <w:rPr>
                <w:rFonts w:ascii="Times New Roman"/>
                <w:sz w:val="20"/>
              </w:rPr>
            </w:pPr>
          </w:p>
        </w:tc>
        <w:tc>
          <w:tcPr>
            <w:tcW w:w="7012" w:type="dxa"/>
          </w:tcPr>
          <w:p>
            <w:pPr>
              <w:pStyle w:val="TableParagraph"/>
              <w:spacing w:line="240" w:lineRule="exact"/>
              <w:ind w:left="110"/>
              <w:rPr>
                <w:sz w:val="21"/>
              </w:rPr>
            </w:pPr>
            <w:r>
              <w:rPr>
                <w:sz w:val="21"/>
              </w:rPr>
              <w:t>种重大疾病，我们不承担保险责任，同时本附加合同终止：</w:t>
            </w:r>
          </w:p>
        </w:tc>
      </w:tr>
      <w:tr>
        <w:trPr>
          <w:trHeight w:val="393" w:hRule="atLeast"/>
        </w:trPr>
        <w:tc>
          <w:tcPr>
            <w:tcW w:w="789" w:type="dxa"/>
          </w:tcPr>
          <w:p>
            <w:pPr>
              <w:pStyle w:val="TableParagraph"/>
              <w:rPr>
                <w:rFonts w:ascii="Times New Roman"/>
                <w:sz w:val="20"/>
              </w:rPr>
            </w:pPr>
          </w:p>
        </w:tc>
        <w:tc>
          <w:tcPr>
            <w:tcW w:w="1692" w:type="dxa"/>
          </w:tcPr>
          <w:p>
            <w:pPr>
              <w:pStyle w:val="TableParagraph"/>
              <w:rPr>
                <w:rFonts w:ascii="Times New Roman"/>
                <w:sz w:val="20"/>
              </w:rPr>
            </w:pPr>
          </w:p>
        </w:tc>
        <w:tc>
          <w:tcPr>
            <w:tcW w:w="7012" w:type="dxa"/>
          </w:tcPr>
          <w:p>
            <w:pPr>
              <w:pStyle w:val="TableParagraph"/>
              <w:tabs>
                <w:tab w:pos="530" w:val="left" w:leader="none"/>
              </w:tabs>
              <w:spacing w:before="88"/>
              <w:ind w:left="110"/>
              <w:rPr>
                <w:sz w:val="21"/>
              </w:rPr>
            </w:pPr>
            <w:r>
              <w:rPr>
                <w:sz w:val="21"/>
              </w:rPr>
              <w:t>1.</w:t>
              <w:tab/>
            </w:r>
            <w:r>
              <w:rPr>
                <w:spacing w:val="-3"/>
                <w:sz w:val="21"/>
              </w:rPr>
              <w:t>投保人对被保险人的故意杀害、故意伤害；</w:t>
            </w:r>
          </w:p>
        </w:tc>
      </w:tr>
      <w:tr>
        <w:trPr>
          <w:trHeight w:val="272" w:hRule="atLeast"/>
        </w:trPr>
        <w:tc>
          <w:tcPr>
            <w:tcW w:w="789" w:type="dxa"/>
          </w:tcPr>
          <w:p>
            <w:pPr>
              <w:pStyle w:val="TableParagraph"/>
              <w:rPr>
                <w:rFonts w:ascii="Times New Roman"/>
                <w:sz w:val="20"/>
              </w:rPr>
            </w:pPr>
          </w:p>
        </w:tc>
        <w:tc>
          <w:tcPr>
            <w:tcW w:w="1692" w:type="dxa"/>
          </w:tcPr>
          <w:p>
            <w:pPr>
              <w:pStyle w:val="TableParagraph"/>
              <w:rPr>
                <w:rFonts w:ascii="Times New Roman"/>
                <w:sz w:val="20"/>
              </w:rPr>
            </w:pPr>
          </w:p>
        </w:tc>
        <w:tc>
          <w:tcPr>
            <w:tcW w:w="7012" w:type="dxa"/>
          </w:tcPr>
          <w:p>
            <w:pPr>
              <w:pStyle w:val="TableParagraph"/>
              <w:tabs>
                <w:tab w:pos="530" w:val="left" w:leader="none"/>
              </w:tabs>
              <w:spacing w:line="241" w:lineRule="exact"/>
              <w:ind w:left="110"/>
              <w:rPr>
                <w:sz w:val="21"/>
              </w:rPr>
            </w:pPr>
            <w:r>
              <w:rPr>
                <w:sz w:val="21"/>
              </w:rPr>
              <w:t>2.</w:t>
              <w:tab/>
            </w:r>
            <w:r>
              <w:rPr>
                <w:spacing w:val="-3"/>
                <w:sz w:val="21"/>
              </w:rPr>
              <w:t>被保险人故意犯罪或抗拒依法采取的刑事强制措施；</w:t>
            </w:r>
          </w:p>
        </w:tc>
      </w:tr>
      <w:tr>
        <w:trPr>
          <w:trHeight w:val="270" w:hRule="atLeast"/>
        </w:trPr>
        <w:tc>
          <w:tcPr>
            <w:tcW w:w="789" w:type="dxa"/>
          </w:tcPr>
          <w:p>
            <w:pPr>
              <w:pStyle w:val="TableParagraph"/>
              <w:rPr>
                <w:rFonts w:ascii="Times New Roman"/>
                <w:sz w:val="20"/>
              </w:rPr>
            </w:pPr>
          </w:p>
        </w:tc>
        <w:tc>
          <w:tcPr>
            <w:tcW w:w="1692" w:type="dxa"/>
          </w:tcPr>
          <w:p>
            <w:pPr>
              <w:pStyle w:val="TableParagraph"/>
              <w:rPr>
                <w:rFonts w:ascii="Times New Roman"/>
                <w:sz w:val="20"/>
              </w:rPr>
            </w:pPr>
          </w:p>
        </w:tc>
        <w:tc>
          <w:tcPr>
            <w:tcW w:w="7012" w:type="dxa"/>
          </w:tcPr>
          <w:p>
            <w:pPr>
              <w:pStyle w:val="TableParagraph"/>
              <w:tabs>
                <w:tab w:pos="530" w:val="left" w:leader="none"/>
              </w:tabs>
              <w:spacing w:line="242" w:lineRule="exact"/>
              <w:ind w:left="110"/>
              <w:rPr>
                <w:sz w:val="21"/>
              </w:rPr>
            </w:pPr>
            <w:r>
              <w:rPr>
                <w:sz w:val="21"/>
              </w:rPr>
              <w:t>3.</w:t>
              <w:tab/>
            </w:r>
            <w:r>
              <w:rPr>
                <w:spacing w:val="-2"/>
                <w:sz w:val="21"/>
              </w:rPr>
              <w:t>被保险人自伤；</w:t>
            </w:r>
          </w:p>
        </w:tc>
      </w:tr>
      <w:tr>
        <w:trPr>
          <w:trHeight w:val="829" w:hRule="atLeast"/>
        </w:trPr>
        <w:tc>
          <w:tcPr>
            <w:tcW w:w="789" w:type="dxa"/>
          </w:tcPr>
          <w:p>
            <w:pPr>
              <w:pStyle w:val="TableParagraph"/>
              <w:rPr>
                <w:rFonts w:ascii="Times New Roman"/>
                <w:sz w:val="20"/>
              </w:rPr>
            </w:pPr>
          </w:p>
        </w:tc>
        <w:tc>
          <w:tcPr>
            <w:tcW w:w="1692" w:type="dxa"/>
          </w:tcPr>
          <w:p>
            <w:pPr>
              <w:pStyle w:val="TableParagraph"/>
              <w:rPr>
                <w:rFonts w:ascii="Times New Roman"/>
                <w:sz w:val="20"/>
              </w:rPr>
            </w:pPr>
          </w:p>
        </w:tc>
        <w:tc>
          <w:tcPr>
            <w:tcW w:w="7012" w:type="dxa"/>
          </w:tcPr>
          <w:p>
            <w:pPr>
              <w:pStyle w:val="TableParagraph"/>
              <w:numPr>
                <w:ilvl w:val="0"/>
                <w:numId w:val="3"/>
              </w:numPr>
              <w:tabs>
                <w:tab w:pos="530" w:val="left" w:leader="none"/>
                <w:tab w:pos="531" w:val="left" w:leader="none"/>
              </w:tabs>
              <w:spacing w:line="253" w:lineRule="exact" w:before="0" w:after="0"/>
              <w:ind w:left="530" w:right="0" w:hanging="420"/>
              <w:jc w:val="left"/>
              <w:rPr>
                <w:sz w:val="21"/>
              </w:rPr>
            </w:pPr>
            <w:r>
              <w:rPr>
                <w:spacing w:val="-3"/>
                <w:w w:val="100"/>
                <w:sz w:val="21"/>
              </w:rPr>
              <w:t>被保险人主动吸食或注射毒品（</w:t>
            </w:r>
            <w:r>
              <w:rPr>
                <w:w w:val="100"/>
                <w:sz w:val="21"/>
              </w:rPr>
              <w:t>见</w:t>
            </w:r>
            <w:r>
              <w:rPr>
                <w:spacing w:val="-53"/>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5</w:t>
            </w:r>
            <w:r>
              <w:rPr>
                <w:spacing w:val="-106"/>
                <w:w w:val="100"/>
                <w:sz w:val="21"/>
              </w:rPr>
              <w:t>）</w:t>
            </w:r>
            <w:r>
              <w:rPr>
                <w:w w:val="100"/>
                <w:sz w:val="21"/>
              </w:rPr>
              <w:t>；</w:t>
            </w:r>
          </w:p>
          <w:p>
            <w:pPr>
              <w:pStyle w:val="TableParagraph"/>
              <w:numPr>
                <w:ilvl w:val="0"/>
                <w:numId w:val="3"/>
              </w:numPr>
              <w:tabs>
                <w:tab w:pos="530" w:val="left" w:leader="none"/>
                <w:tab w:pos="531" w:val="left" w:leader="none"/>
              </w:tabs>
              <w:spacing w:line="223" w:lineRule="auto" w:before="11" w:after="0"/>
              <w:ind w:left="530" w:right="153" w:hanging="420"/>
              <w:jc w:val="left"/>
              <w:rPr>
                <w:sz w:val="21"/>
              </w:rPr>
            </w:pPr>
            <w:r>
              <w:rPr>
                <w:spacing w:val="-3"/>
                <w:w w:val="100"/>
                <w:sz w:val="21"/>
              </w:rPr>
              <w:t>被保险人酒后驾驶（</w:t>
            </w:r>
            <w:r>
              <w:rPr>
                <w:w w:val="100"/>
                <w:sz w:val="21"/>
              </w:rPr>
              <w:t>见</w:t>
            </w:r>
            <w:r>
              <w:rPr>
                <w:spacing w:val="-41"/>
                <w:sz w:val="21"/>
              </w:rPr>
              <w:t> </w:t>
            </w:r>
            <w:r>
              <w:rPr>
                <w:rFonts w:ascii="Times New Roman" w:eastAsia="Times New Roman"/>
                <w:w w:val="100"/>
                <w:sz w:val="21"/>
              </w:rPr>
              <w:t>7</w:t>
            </w:r>
            <w:r>
              <w:rPr>
                <w:rFonts w:ascii="Times New Roman" w:eastAsia="Times New Roman"/>
                <w:spacing w:val="-3"/>
                <w:w w:val="100"/>
                <w:sz w:val="21"/>
              </w:rPr>
              <w:t>.6</w:t>
            </w:r>
            <w:r>
              <w:rPr>
                <w:spacing w:val="-106"/>
                <w:w w:val="100"/>
                <w:sz w:val="21"/>
              </w:rPr>
              <w:t>）</w:t>
            </w:r>
            <w:r>
              <w:rPr>
                <w:spacing w:val="-3"/>
                <w:w w:val="100"/>
                <w:sz w:val="21"/>
              </w:rPr>
              <w:t>，无合法有效驾驶证驾驶</w:t>
            </w:r>
            <w:r>
              <w:rPr>
                <w:w w:val="100"/>
                <w:sz w:val="21"/>
              </w:rPr>
              <w:t>（见</w:t>
            </w:r>
            <w:r>
              <w:rPr>
                <w:spacing w:val="-41"/>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7</w:t>
            </w:r>
            <w:r>
              <w:rPr>
                <w:spacing w:val="-106"/>
                <w:w w:val="100"/>
                <w:sz w:val="21"/>
              </w:rPr>
              <w:t>）</w:t>
            </w:r>
            <w:r>
              <w:rPr>
                <w:spacing w:val="-2"/>
                <w:w w:val="100"/>
                <w:sz w:val="21"/>
              </w:rPr>
              <w:t>，或驾</w:t>
            </w:r>
            <w:r>
              <w:rPr>
                <w:spacing w:val="-3"/>
                <w:sz w:val="21"/>
              </w:rPr>
              <w:t>驶无有效行驶证（</w:t>
            </w:r>
            <w:r>
              <w:rPr>
                <w:spacing w:val="-21"/>
                <w:sz w:val="21"/>
              </w:rPr>
              <w:t>见 </w:t>
            </w:r>
            <w:r>
              <w:rPr>
                <w:rFonts w:ascii="Times New Roman" w:eastAsia="Times New Roman"/>
                <w:sz w:val="21"/>
              </w:rPr>
              <w:t>7.8</w:t>
            </w:r>
            <w:r>
              <w:rPr>
                <w:sz w:val="21"/>
              </w:rPr>
              <w:t>）</w:t>
            </w:r>
            <w:r>
              <w:rPr>
                <w:spacing w:val="-1"/>
                <w:sz w:val="21"/>
              </w:rPr>
              <w:t>的机动车；</w:t>
            </w:r>
          </w:p>
        </w:tc>
      </w:tr>
      <w:tr>
        <w:trPr>
          <w:trHeight w:val="265" w:hRule="atLeast"/>
        </w:trPr>
        <w:tc>
          <w:tcPr>
            <w:tcW w:w="789" w:type="dxa"/>
          </w:tcPr>
          <w:p>
            <w:pPr>
              <w:pStyle w:val="TableParagraph"/>
              <w:rPr>
                <w:rFonts w:ascii="Times New Roman"/>
                <w:sz w:val="18"/>
              </w:rPr>
            </w:pPr>
          </w:p>
        </w:tc>
        <w:tc>
          <w:tcPr>
            <w:tcW w:w="1692" w:type="dxa"/>
          </w:tcPr>
          <w:p>
            <w:pPr>
              <w:pStyle w:val="TableParagraph"/>
              <w:rPr>
                <w:rFonts w:ascii="Times New Roman"/>
                <w:sz w:val="18"/>
              </w:rPr>
            </w:pPr>
          </w:p>
        </w:tc>
        <w:tc>
          <w:tcPr>
            <w:tcW w:w="7012" w:type="dxa"/>
          </w:tcPr>
          <w:p>
            <w:pPr>
              <w:pStyle w:val="TableParagraph"/>
              <w:tabs>
                <w:tab w:pos="530" w:val="left" w:leader="none"/>
              </w:tabs>
              <w:spacing w:line="234" w:lineRule="exact"/>
              <w:ind w:left="110"/>
              <w:rPr>
                <w:sz w:val="21"/>
              </w:rPr>
            </w:pPr>
            <w:r>
              <w:rPr>
                <w:sz w:val="21"/>
              </w:rPr>
              <w:t>6.</w:t>
              <w:tab/>
            </w:r>
            <w:r>
              <w:rPr>
                <w:spacing w:val="-3"/>
                <w:sz w:val="21"/>
              </w:rPr>
              <w:t>战争、军事冲突、暴乱或武装叛乱；</w:t>
            </w:r>
          </w:p>
        </w:tc>
      </w:tr>
      <w:tr>
        <w:trPr>
          <w:trHeight w:val="270" w:hRule="atLeast"/>
        </w:trPr>
        <w:tc>
          <w:tcPr>
            <w:tcW w:w="789" w:type="dxa"/>
          </w:tcPr>
          <w:p>
            <w:pPr>
              <w:pStyle w:val="TableParagraph"/>
              <w:rPr>
                <w:rFonts w:ascii="Times New Roman"/>
                <w:sz w:val="20"/>
              </w:rPr>
            </w:pPr>
          </w:p>
        </w:tc>
        <w:tc>
          <w:tcPr>
            <w:tcW w:w="1692" w:type="dxa"/>
          </w:tcPr>
          <w:p>
            <w:pPr>
              <w:pStyle w:val="TableParagraph"/>
              <w:rPr>
                <w:rFonts w:ascii="Times New Roman"/>
                <w:sz w:val="20"/>
              </w:rPr>
            </w:pPr>
          </w:p>
        </w:tc>
        <w:tc>
          <w:tcPr>
            <w:tcW w:w="7012" w:type="dxa"/>
          </w:tcPr>
          <w:p>
            <w:pPr>
              <w:pStyle w:val="TableParagraph"/>
              <w:tabs>
                <w:tab w:pos="530" w:val="left" w:leader="none"/>
              </w:tabs>
              <w:spacing w:line="242" w:lineRule="exact"/>
              <w:ind w:left="110"/>
              <w:rPr>
                <w:sz w:val="21"/>
              </w:rPr>
            </w:pPr>
            <w:r>
              <w:rPr>
                <w:sz w:val="21"/>
              </w:rPr>
              <w:t>7.</w:t>
              <w:tab/>
            </w:r>
            <w:r>
              <w:rPr>
                <w:spacing w:val="-3"/>
                <w:sz w:val="21"/>
              </w:rPr>
              <w:t>核爆炸、核辐射或核污染；</w:t>
            </w:r>
          </w:p>
        </w:tc>
      </w:tr>
      <w:tr>
        <w:trPr>
          <w:trHeight w:val="793" w:hRule="atLeast"/>
        </w:trPr>
        <w:tc>
          <w:tcPr>
            <w:tcW w:w="789" w:type="dxa"/>
          </w:tcPr>
          <w:p>
            <w:pPr>
              <w:pStyle w:val="TableParagraph"/>
              <w:rPr>
                <w:rFonts w:ascii="Times New Roman"/>
                <w:sz w:val="20"/>
              </w:rPr>
            </w:pPr>
          </w:p>
        </w:tc>
        <w:tc>
          <w:tcPr>
            <w:tcW w:w="1692" w:type="dxa"/>
          </w:tcPr>
          <w:p>
            <w:pPr>
              <w:pStyle w:val="TableParagraph"/>
              <w:rPr>
                <w:rFonts w:ascii="Times New Roman"/>
                <w:sz w:val="20"/>
              </w:rPr>
            </w:pPr>
          </w:p>
        </w:tc>
        <w:tc>
          <w:tcPr>
            <w:tcW w:w="7012" w:type="dxa"/>
          </w:tcPr>
          <w:p>
            <w:pPr>
              <w:pStyle w:val="TableParagraph"/>
              <w:numPr>
                <w:ilvl w:val="0"/>
                <w:numId w:val="4"/>
              </w:numPr>
              <w:tabs>
                <w:tab w:pos="530" w:val="left" w:leader="none"/>
                <w:tab w:pos="531" w:val="left" w:leader="none"/>
              </w:tabs>
              <w:spacing w:line="252" w:lineRule="exact" w:before="0" w:after="0"/>
              <w:ind w:left="530" w:right="0" w:hanging="420"/>
              <w:jc w:val="left"/>
              <w:rPr>
                <w:sz w:val="21"/>
              </w:rPr>
            </w:pPr>
            <w:r>
              <w:rPr>
                <w:spacing w:val="-3"/>
                <w:w w:val="100"/>
                <w:sz w:val="21"/>
              </w:rPr>
              <w:t>被保险人感染艾滋病病毒</w:t>
            </w:r>
            <w:r>
              <w:rPr>
                <w:w w:val="100"/>
                <w:sz w:val="21"/>
              </w:rPr>
              <w:t>（</w:t>
            </w:r>
            <w:r>
              <w:rPr>
                <w:rFonts w:ascii="Times New Roman" w:eastAsia="Times New Roman"/>
                <w:spacing w:val="0"/>
                <w:w w:val="100"/>
                <w:sz w:val="21"/>
              </w:rPr>
              <w:t>H</w:t>
            </w:r>
            <w:r>
              <w:rPr>
                <w:rFonts w:ascii="Times New Roman" w:eastAsia="Times New Roman"/>
                <w:spacing w:val="-4"/>
                <w:w w:val="100"/>
                <w:sz w:val="21"/>
              </w:rPr>
              <w:t>I</w:t>
            </w:r>
            <w:r>
              <w:rPr>
                <w:rFonts w:ascii="Times New Roman" w:eastAsia="Times New Roman"/>
                <w:spacing w:val="0"/>
                <w:w w:val="100"/>
                <w:sz w:val="21"/>
              </w:rPr>
              <w:t>V</w:t>
            </w:r>
            <w:r>
              <w:rPr>
                <w:spacing w:val="-3"/>
                <w:w w:val="100"/>
                <w:sz w:val="21"/>
              </w:rPr>
              <w:t>）或患艾滋病（</w:t>
            </w:r>
            <w:r>
              <w:rPr>
                <w:rFonts w:ascii="Times New Roman" w:eastAsia="Times New Roman"/>
                <w:spacing w:val="0"/>
                <w:w w:val="100"/>
                <w:sz w:val="21"/>
              </w:rPr>
              <w:t>A</w:t>
            </w:r>
            <w:r>
              <w:rPr>
                <w:rFonts w:ascii="Times New Roman" w:eastAsia="Times New Roman"/>
                <w:spacing w:val="-4"/>
                <w:w w:val="100"/>
                <w:sz w:val="21"/>
              </w:rPr>
              <w:t>I</w:t>
            </w:r>
            <w:r>
              <w:rPr>
                <w:rFonts w:ascii="Times New Roman" w:eastAsia="Times New Roman"/>
                <w:spacing w:val="-2"/>
                <w:w w:val="100"/>
                <w:sz w:val="21"/>
              </w:rPr>
              <w:t>D</w:t>
            </w:r>
            <w:r>
              <w:rPr>
                <w:rFonts w:ascii="Times New Roman" w:eastAsia="Times New Roman"/>
                <w:w w:val="100"/>
                <w:sz w:val="21"/>
              </w:rPr>
              <w:t>S</w:t>
            </w:r>
            <w:r>
              <w:rPr>
                <w:spacing w:val="-106"/>
                <w:w w:val="100"/>
                <w:sz w:val="21"/>
              </w:rPr>
              <w:t>）</w:t>
            </w:r>
            <w:r>
              <w:rPr>
                <w:spacing w:val="-3"/>
                <w:w w:val="100"/>
                <w:sz w:val="21"/>
              </w:rPr>
              <w:t>（</w:t>
            </w:r>
            <w:r>
              <w:rPr>
                <w:w w:val="100"/>
                <w:sz w:val="21"/>
              </w:rPr>
              <w:t>见</w:t>
            </w:r>
            <w:r>
              <w:rPr>
                <w:spacing w:val="-53"/>
                <w:sz w:val="21"/>
              </w:rPr>
              <w:t> </w:t>
            </w:r>
            <w:r>
              <w:rPr>
                <w:rFonts w:ascii="Times New Roman" w:eastAsia="Times New Roman"/>
                <w:w w:val="100"/>
                <w:sz w:val="21"/>
              </w:rPr>
              <w:t>7.</w:t>
            </w:r>
            <w:r>
              <w:rPr>
                <w:rFonts w:ascii="Times New Roman" w:eastAsia="Times New Roman"/>
                <w:spacing w:val="-3"/>
                <w:w w:val="100"/>
                <w:sz w:val="21"/>
              </w:rPr>
              <w:t>9</w:t>
            </w:r>
            <w:r>
              <w:rPr>
                <w:spacing w:val="-106"/>
                <w:w w:val="100"/>
                <w:sz w:val="21"/>
              </w:rPr>
              <w:t>）</w:t>
            </w:r>
            <w:r>
              <w:rPr>
                <w:w w:val="100"/>
                <w:sz w:val="21"/>
              </w:rPr>
              <w:t>；</w:t>
            </w:r>
          </w:p>
          <w:p>
            <w:pPr>
              <w:pStyle w:val="TableParagraph"/>
              <w:numPr>
                <w:ilvl w:val="0"/>
                <w:numId w:val="4"/>
              </w:numPr>
              <w:tabs>
                <w:tab w:pos="530" w:val="left" w:leader="none"/>
                <w:tab w:pos="531" w:val="left" w:leader="none"/>
              </w:tabs>
              <w:spacing w:line="281" w:lineRule="exact" w:before="0" w:after="0"/>
              <w:ind w:left="530" w:right="0" w:hanging="420"/>
              <w:jc w:val="left"/>
              <w:rPr>
                <w:sz w:val="21"/>
              </w:rPr>
            </w:pPr>
            <w:r>
              <w:rPr>
                <w:spacing w:val="-2"/>
                <w:w w:val="100"/>
                <w:sz w:val="21"/>
              </w:rPr>
              <w:t>遗传性疾病</w:t>
            </w:r>
            <w:r>
              <w:rPr>
                <w:spacing w:val="-3"/>
                <w:w w:val="100"/>
                <w:sz w:val="21"/>
              </w:rPr>
              <w:t>（</w:t>
            </w:r>
            <w:r>
              <w:rPr>
                <w:w w:val="100"/>
                <w:sz w:val="21"/>
              </w:rPr>
              <w:t>见</w:t>
            </w:r>
            <w:r>
              <w:rPr>
                <w:spacing w:val="-53"/>
                <w:sz w:val="21"/>
              </w:rPr>
              <w:t> </w:t>
            </w:r>
            <w:r>
              <w:rPr>
                <w:rFonts w:ascii="Times New Roman" w:eastAsia="Times New Roman"/>
                <w:w w:val="100"/>
                <w:sz w:val="21"/>
              </w:rPr>
              <w:t>7.1</w:t>
            </w:r>
            <w:r>
              <w:rPr>
                <w:rFonts w:ascii="Times New Roman" w:eastAsia="Times New Roman"/>
                <w:spacing w:val="-3"/>
                <w:w w:val="100"/>
                <w:sz w:val="21"/>
              </w:rPr>
              <w:t>0</w:t>
            </w:r>
            <w:r>
              <w:rPr>
                <w:spacing w:val="-106"/>
                <w:w w:val="100"/>
                <w:sz w:val="21"/>
              </w:rPr>
              <w:t>）</w:t>
            </w:r>
            <w:r>
              <w:rPr>
                <w:spacing w:val="-3"/>
                <w:w w:val="100"/>
                <w:sz w:val="21"/>
              </w:rPr>
              <w:t>，先天性畸形、变形或染色体异常（</w:t>
            </w:r>
            <w:r>
              <w:rPr>
                <w:w w:val="100"/>
                <w:sz w:val="21"/>
              </w:rPr>
              <w:t>见</w:t>
            </w:r>
            <w:r>
              <w:rPr>
                <w:spacing w:val="-53"/>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spacing w:val="-8"/>
                <w:w w:val="100"/>
                <w:sz w:val="21"/>
              </w:rPr>
              <w:t>1</w:t>
            </w:r>
            <w:r>
              <w:rPr>
                <w:rFonts w:ascii="Times New Roman" w:eastAsia="Times New Roman"/>
                <w:w w:val="100"/>
                <w:sz w:val="21"/>
              </w:rPr>
              <w:t>1</w:t>
            </w:r>
            <w:r>
              <w:rPr>
                <w:spacing w:val="-108"/>
                <w:w w:val="100"/>
                <w:sz w:val="21"/>
              </w:rPr>
              <w:t>）</w:t>
            </w:r>
            <w:r>
              <w:rPr>
                <w:w w:val="100"/>
                <w:sz w:val="21"/>
              </w:rPr>
              <w:t>。</w:t>
            </w:r>
          </w:p>
        </w:tc>
      </w:tr>
      <w:tr>
        <w:trPr>
          <w:trHeight w:val="639" w:hRule="atLeast"/>
        </w:trPr>
        <w:tc>
          <w:tcPr>
            <w:tcW w:w="789" w:type="dxa"/>
          </w:tcPr>
          <w:p>
            <w:pPr>
              <w:pStyle w:val="TableParagraph"/>
              <w:spacing w:before="10"/>
              <w:rPr>
                <w:sz w:val="15"/>
              </w:rPr>
            </w:pPr>
          </w:p>
          <w:p>
            <w:pPr>
              <w:pStyle w:val="TableParagraph"/>
              <w:ind w:right="105"/>
              <w:jc w:val="right"/>
              <w:rPr>
                <w:sz w:val="21"/>
              </w:rPr>
            </w:pPr>
            <w:r>
              <w:rPr>
                <w:sz w:val="21"/>
              </w:rPr>
              <w:t>第 </w:t>
            </w:r>
            <w:r>
              <w:rPr>
                <w:rFonts w:ascii="Times New Roman" w:eastAsia="Times New Roman"/>
                <w:b/>
                <w:sz w:val="21"/>
              </w:rPr>
              <w:t>3 </w:t>
            </w:r>
            <w:r>
              <w:rPr>
                <w:sz w:val="21"/>
              </w:rPr>
              <w:t>章</w:t>
            </w:r>
          </w:p>
        </w:tc>
        <w:tc>
          <w:tcPr>
            <w:tcW w:w="1692" w:type="dxa"/>
          </w:tcPr>
          <w:p>
            <w:pPr>
              <w:pStyle w:val="TableParagraph"/>
              <w:spacing w:before="10"/>
              <w:rPr>
                <w:sz w:val="15"/>
              </w:rPr>
            </w:pPr>
          </w:p>
          <w:p>
            <w:pPr>
              <w:pStyle w:val="TableParagraph"/>
              <w:ind w:left="108"/>
              <w:rPr>
                <w:sz w:val="21"/>
              </w:rPr>
            </w:pPr>
            <w:r>
              <w:rPr>
                <w:sz w:val="21"/>
              </w:rPr>
              <w:t>保险费</w:t>
            </w:r>
          </w:p>
        </w:tc>
        <w:tc>
          <w:tcPr>
            <w:tcW w:w="7012" w:type="dxa"/>
          </w:tcPr>
          <w:p>
            <w:pPr>
              <w:pStyle w:val="TableParagraph"/>
              <w:spacing w:before="7"/>
              <w:rPr>
                <w:sz w:val="15"/>
              </w:rPr>
            </w:pPr>
          </w:p>
          <w:p>
            <w:pPr>
              <w:pStyle w:val="TableParagraph"/>
              <w:ind w:left="110"/>
              <w:rPr>
                <w:sz w:val="21"/>
              </w:rPr>
            </w:pPr>
            <w:r>
              <w:rPr>
                <w:sz w:val="21"/>
              </w:rPr>
              <w:t>本附加合同的保险费金额、缴费期间和缴费方式将在保险单上载明。</w:t>
            </w:r>
          </w:p>
        </w:tc>
      </w:tr>
      <w:tr>
        <w:trPr>
          <w:trHeight w:val="506" w:hRule="atLeast"/>
        </w:trPr>
        <w:tc>
          <w:tcPr>
            <w:tcW w:w="789" w:type="dxa"/>
          </w:tcPr>
          <w:p>
            <w:pPr>
              <w:pStyle w:val="TableParagraph"/>
              <w:rPr>
                <w:rFonts w:ascii="Times New Roman"/>
                <w:sz w:val="20"/>
              </w:rPr>
            </w:pPr>
          </w:p>
        </w:tc>
        <w:tc>
          <w:tcPr>
            <w:tcW w:w="1692" w:type="dxa"/>
          </w:tcPr>
          <w:p>
            <w:pPr>
              <w:pStyle w:val="TableParagraph"/>
              <w:rPr>
                <w:rFonts w:ascii="Times New Roman"/>
                <w:sz w:val="20"/>
              </w:rPr>
            </w:pPr>
          </w:p>
        </w:tc>
        <w:tc>
          <w:tcPr>
            <w:tcW w:w="7012" w:type="dxa"/>
          </w:tcPr>
          <w:p>
            <w:pPr>
              <w:pStyle w:val="TableParagraph"/>
              <w:spacing w:before="80"/>
              <w:ind w:left="110"/>
              <w:rPr>
                <w:sz w:val="21"/>
              </w:rPr>
            </w:pPr>
            <w:r>
              <w:rPr>
                <w:sz w:val="21"/>
              </w:rPr>
              <w:t>本附加合同的缴费期间和缴费方式与所依附的主合同相同。</w:t>
            </w:r>
          </w:p>
        </w:tc>
      </w:tr>
      <w:tr>
        <w:trPr>
          <w:trHeight w:val="513" w:hRule="atLeast"/>
        </w:trPr>
        <w:tc>
          <w:tcPr>
            <w:tcW w:w="789" w:type="dxa"/>
          </w:tcPr>
          <w:p>
            <w:pPr>
              <w:pStyle w:val="TableParagraph"/>
              <w:rPr>
                <w:rFonts w:ascii="Times New Roman"/>
                <w:sz w:val="20"/>
              </w:rPr>
            </w:pPr>
          </w:p>
        </w:tc>
        <w:tc>
          <w:tcPr>
            <w:tcW w:w="1692" w:type="dxa"/>
          </w:tcPr>
          <w:p>
            <w:pPr>
              <w:pStyle w:val="TableParagraph"/>
              <w:rPr>
                <w:rFonts w:ascii="Times New Roman"/>
                <w:sz w:val="20"/>
              </w:rPr>
            </w:pPr>
          </w:p>
        </w:tc>
        <w:tc>
          <w:tcPr>
            <w:tcW w:w="7012" w:type="dxa"/>
          </w:tcPr>
          <w:p>
            <w:pPr>
              <w:pStyle w:val="TableParagraph"/>
              <w:spacing w:before="87"/>
              <w:ind w:left="110"/>
              <w:rPr>
                <w:sz w:val="21"/>
              </w:rPr>
            </w:pPr>
            <w:r>
              <w:rPr>
                <w:spacing w:val="-8"/>
                <w:sz w:val="21"/>
              </w:rPr>
              <w:t>保险费按照我们核定的保险费率计算，根据您与我们约定的保险金额确定。</w:t>
            </w:r>
          </w:p>
        </w:tc>
      </w:tr>
      <w:tr>
        <w:trPr>
          <w:trHeight w:val="513" w:hRule="atLeast"/>
        </w:trPr>
        <w:tc>
          <w:tcPr>
            <w:tcW w:w="789" w:type="dxa"/>
          </w:tcPr>
          <w:p>
            <w:pPr>
              <w:pStyle w:val="TableParagraph"/>
              <w:rPr>
                <w:rFonts w:ascii="Times New Roman"/>
                <w:sz w:val="20"/>
              </w:rPr>
            </w:pPr>
          </w:p>
        </w:tc>
        <w:tc>
          <w:tcPr>
            <w:tcW w:w="1692" w:type="dxa"/>
          </w:tcPr>
          <w:p>
            <w:pPr>
              <w:pStyle w:val="TableParagraph"/>
              <w:rPr>
                <w:rFonts w:ascii="Times New Roman"/>
                <w:sz w:val="20"/>
              </w:rPr>
            </w:pPr>
          </w:p>
        </w:tc>
        <w:tc>
          <w:tcPr>
            <w:tcW w:w="7012" w:type="dxa"/>
          </w:tcPr>
          <w:p>
            <w:pPr>
              <w:pStyle w:val="TableParagraph"/>
              <w:spacing w:before="87"/>
              <w:ind w:left="110"/>
              <w:rPr>
                <w:sz w:val="21"/>
              </w:rPr>
            </w:pPr>
            <w:r>
              <w:rPr>
                <w:sz w:val="21"/>
              </w:rPr>
              <w:t>您应于保险费到期日或之前向我们缴纳保险费。</w:t>
            </w:r>
          </w:p>
        </w:tc>
      </w:tr>
      <w:tr>
        <w:trPr>
          <w:trHeight w:val="393" w:hRule="atLeast"/>
        </w:trPr>
        <w:tc>
          <w:tcPr>
            <w:tcW w:w="789" w:type="dxa"/>
          </w:tcPr>
          <w:p>
            <w:pPr>
              <w:pStyle w:val="TableParagraph"/>
              <w:rPr>
                <w:rFonts w:ascii="Times New Roman"/>
                <w:sz w:val="20"/>
              </w:rPr>
            </w:pPr>
          </w:p>
        </w:tc>
        <w:tc>
          <w:tcPr>
            <w:tcW w:w="1692" w:type="dxa"/>
          </w:tcPr>
          <w:p>
            <w:pPr>
              <w:pStyle w:val="TableParagraph"/>
              <w:rPr>
                <w:rFonts w:ascii="Times New Roman"/>
                <w:sz w:val="20"/>
              </w:rPr>
            </w:pPr>
          </w:p>
        </w:tc>
        <w:tc>
          <w:tcPr>
            <w:tcW w:w="7012" w:type="dxa"/>
          </w:tcPr>
          <w:p>
            <w:pPr>
              <w:pStyle w:val="TableParagraph"/>
              <w:spacing w:before="87"/>
              <w:ind w:left="110"/>
              <w:rPr>
                <w:sz w:val="21"/>
              </w:rPr>
            </w:pPr>
            <w:r>
              <w:rPr>
                <w:sz w:val="21"/>
              </w:rPr>
              <w:t>我们保留在每个保单周年日调整本附加合同保险费率的权利，我们将根据</w:t>
            </w:r>
          </w:p>
        </w:tc>
      </w:tr>
      <w:tr>
        <w:trPr>
          <w:trHeight w:val="273" w:hRule="atLeast"/>
        </w:trPr>
        <w:tc>
          <w:tcPr>
            <w:tcW w:w="789" w:type="dxa"/>
          </w:tcPr>
          <w:p>
            <w:pPr>
              <w:pStyle w:val="TableParagraph"/>
              <w:rPr>
                <w:rFonts w:ascii="Times New Roman"/>
                <w:sz w:val="20"/>
              </w:rPr>
            </w:pPr>
          </w:p>
        </w:tc>
        <w:tc>
          <w:tcPr>
            <w:tcW w:w="1692" w:type="dxa"/>
          </w:tcPr>
          <w:p>
            <w:pPr>
              <w:pStyle w:val="TableParagraph"/>
              <w:rPr>
                <w:rFonts w:ascii="Times New Roman"/>
                <w:sz w:val="20"/>
              </w:rPr>
            </w:pPr>
          </w:p>
        </w:tc>
        <w:tc>
          <w:tcPr>
            <w:tcW w:w="7012" w:type="dxa"/>
          </w:tcPr>
          <w:p>
            <w:pPr>
              <w:pStyle w:val="TableParagraph"/>
              <w:spacing w:line="242" w:lineRule="exact"/>
              <w:ind w:left="110"/>
              <w:rPr>
                <w:sz w:val="21"/>
              </w:rPr>
            </w:pPr>
            <w:r>
              <w:rPr>
                <w:sz w:val="21"/>
              </w:rPr>
              <w:t>厘定本附加合同保险费率所使用的重大疾病发生率与重大疾病实际发生率</w:t>
            </w:r>
          </w:p>
        </w:tc>
      </w:tr>
      <w:tr>
        <w:trPr>
          <w:trHeight w:val="273" w:hRule="atLeast"/>
        </w:trPr>
        <w:tc>
          <w:tcPr>
            <w:tcW w:w="789" w:type="dxa"/>
          </w:tcPr>
          <w:p>
            <w:pPr>
              <w:pStyle w:val="TableParagraph"/>
              <w:rPr>
                <w:rFonts w:ascii="Times New Roman"/>
                <w:sz w:val="20"/>
              </w:rPr>
            </w:pPr>
          </w:p>
        </w:tc>
        <w:tc>
          <w:tcPr>
            <w:tcW w:w="1692" w:type="dxa"/>
          </w:tcPr>
          <w:p>
            <w:pPr>
              <w:pStyle w:val="TableParagraph"/>
              <w:rPr>
                <w:rFonts w:ascii="Times New Roman"/>
                <w:sz w:val="20"/>
              </w:rPr>
            </w:pPr>
          </w:p>
        </w:tc>
        <w:tc>
          <w:tcPr>
            <w:tcW w:w="7012" w:type="dxa"/>
          </w:tcPr>
          <w:p>
            <w:pPr>
              <w:pStyle w:val="TableParagraph"/>
              <w:spacing w:line="242" w:lineRule="exact"/>
              <w:ind w:left="110"/>
              <w:rPr>
                <w:sz w:val="21"/>
              </w:rPr>
            </w:pPr>
            <w:r>
              <w:rPr>
                <w:sz w:val="21"/>
              </w:rPr>
              <w:t>的差异确定是否对本附加合同保险费率进行调整，调整同时我们也会向国</w:t>
            </w:r>
          </w:p>
        </w:tc>
      </w:tr>
      <w:tr>
        <w:trPr>
          <w:trHeight w:val="272" w:hRule="atLeast"/>
        </w:trPr>
        <w:tc>
          <w:tcPr>
            <w:tcW w:w="789" w:type="dxa"/>
          </w:tcPr>
          <w:p>
            <w:pPr>
              <w:pStyle w:val="TableParagraph"/>
              <w:rPr>
                <w:rFonts w:ascii="Times New Roman"/>
                <w:sz w:val="20"/>
              </w:rPr>
            </w:pPr>
          </w:p>
        </w:tc>
        <w:tc>
          <w:tcPr>
            <w:tcW w:w="1692" w:type="dxa"/>
          </w:tcPr>
          <w:p>
            <w:pPr>
              <w:pStyle w:val="TableParagraph"/>
              <w:rPr>
                <w:rFonts w:ascii="Times New Roman"/>
                <w:sz w:val="20"/>
              </w:rPr>
            </w:pPr>
          </w:p>
        </w:tc>
        <w:tc>
          <w:tcPr>
            <w:tcW w:w="7012" w:type="dxa"/>
          </w:tcPr>
          <w:p>
            <w:pPr>
              <w:pStyle w:val="TableParagraph"/>
              <w:spacing w:line="242" w:lineRule="exact"/>
              <w:ind w:left="110"/>
              <w:rPr>
                <w:sz w:val="21"/>
              </w:rPr>
            </w:pPr>
            <w:r>
              <w:rPr>
                <w:sz w:val="21"/>
              </w:rPr>
              <w:t>务院保险监督管理机构报备。如果调整保险费率，我们将在保单周年日前</w:t>
            </w:r>
          </w:p>
        </w:tc>
      </w:tr>
      <w:tr>
        <w:trPr>
          <w:trHeight w:val="510" w:hRule="atLeast"/>
        </w:trPr>
        <w:tc>
          <w:tcPr>
            <w:tcW w:w="789" w:type="dxa"/>
          </w:tcPr>
          <w:p>
            <w:pPr>
              <w:pStyle w:val="TableParagraph"/>
              <w:rPr>
                <w:rFonts w:ascii="Times New Roman"/>
                <w:sz w:val="20"/>
              </w:rPr>
            </w:pPr>
          </w:p>
        </w:tc>
        <w:tc>
          <w:tcPr>
            <w:tcW w:w="1692" w:type="dxa"/>
          </w:tcPr>
          <w:p>
            <w:pPr>
              <w:pStyle w:val="TableParagraph"/>
              <w:rPr>
                <w:rFonts w:ascii="Times New Roman"/>
                <w:sz w:val="20"/>
              </w:rPr>
            </w:pPr>
          </w:p>
        </w:tc>
        <w:tc>
          <w:tcPr>
            <w:tcW w:w="7012" w:type="dxa"/>
          </w:tcPr>
          <w:p>
            <w:pPr>
              <w:pStyle w:val="TableParagraph"/>
              <w:spacing w:line="241" w:lineRule="exact"/>
              <w:ind w:left="110"/>
              <w:rPr>
                <w:sz w:val="21"/>
              </w:rPr>
            </w:pPr>
            <w:r>
              <w:rPr>
                <w:sz w:val="21"/>
              </w:rPr>
              <w:t>书面通知您。</w:t>
            </w:r>
          </w:p>
        </w:tc>
      </w:tr>
      <w:tr>
        <w:trPr>
          <w:trHeight w:val="634" w:hRule="atLeast"/>
        </w:trPr>
        <w:tc>
          <w:tcPr>
            <w:tcW w:w="789" w:type="dxa"/>
          </w:tcPr>
          <w:p>
            <w:pPr>
              <w:pStyle w:val="TableParagraph"/>
              <w:spacing w:before="5"/>
              <w:rPr>
                <w:sz w:val="16"/>
              </w:rPr>
            </w:pPr>
          </w:p>
          <w:p>
            <w:pPr>
              <w:pStyle w:val="TableParagraph"/>
              <w:ind w:right="105"/>
              <w:jc w:val="right"/>
              <w:rPr>
                <w:sz w:val="21"/>
              </w:rPr>
            </w:pPr>
            <w:r>
              <w:rPr>
                <w:sz w:val="21"/>
              </w:rPr>
              <w:t>第 </w:t>
            </w:r>
            <w:r>
              <w:rPr>
                <w:rFonts w:ascii="Times New Roman" w:eastAsia="Times New Roman"/>
                <w:b/>
                <w:sz w:val="21"/>
              </w:rPr>
              <w:t>4 </w:t>
            </w:r>
            <w:r>
              <w:rPr>
                <w:sz w:val="21"/>
              </w:rPr>
              <w:t>章</w:t>
            </w:r>
          </w:p>
        </w:tc>
        <w:tc>
          <w:tcPr>
            <w:tcW w:w="1692" w:type="dxa"/>
          </w:tcPr>
          <w:p>
            <w:pPr>
              <w:pStyle w:val="TableParagraph"/>
              <w:spacing w:before="5"/>
              <w:rPr>
                <w:sz w:val="16"/>
              </w:rPr>
            </w:pPr>
          </w:p>
          <w:p>
            <w:pPr>
              <w:pStyle w:val="TableParagraph"/>
              <w:ind w:left="108"/>
              <w:rPr>
                <w:sz w:val="21"/>
              </w:rPr>
            </w:pPr>
            <w:r>
              <w:rPr>
                <w:sz w:val="21"/>
              </w:rPr>
              <w:t>保险金的给付</w:t>
            </w:r>
          </w:p>
        </w:tc>
        <w:tc>
          <w:tcPr>
            <w:tcW w:w="7012" w:type="dxa"/>
          </w:tcPr>
          <w:p>
            <w:pPr>
              <w:pStyle w:val="TableParagraph"/>
              <w:rPr>
                <w:rFonts w:ascii="Times New Roman"/>
                <w:sz w:val="20"/>
              </w:rPr>
            </w:pPr>
          </w:p>
        </w:tc>
      </w:tr>
      <w:tr>
        <w:trPr>
          <w:trHeight w:val="398" w:hRule="atLeast"/>
        </w:trPr>
        <w:tc>
          <w:tcPr>
            <w:tcW w:w="789" w:type="dxa"/>
          </w:tcPr>
          <w:p>
            <w:pPr>
              <w:pStyle w:val="TableParagraph"/>
              <w:spacing w:before="123"/>
              <w:ind w:right="105"/>
              <w:jc w:val="right"/>
              <w:rPr>
                <w:rFonts w:ascii="Times New Roman"/>
                <w:b/>
                <w:sz w:val="21"/>
              </w:rPr>
            </w:pPr>
            <w:r>
              <w:rPr>
                <w:rFonts w:ascii="Times New Roman"/>
                <w:b/>
                <w:sz w:val="21"/>
              </w:rPr>
              <w:t>4.1</w:t>
            </w:r>
          </w:p>
        </w:tc>
        <w:tc>
          <w:tcPr>
            <w:tcW w:w="1692" w:type="dxa"/>
          </w:tcPr>
          <w:p>
            <w:pPr>
              <w:pStyle w:val="TableParagraph"/>
              <w:spacing w:before="93"/>
              <w:ind w:left="108"/>
              <w:rPr>
                <w:sz w:val="21"/>
              </w:rPr>
            </w:pPr>
            <w:r>
              <w:rPr>
                <w:sz w:val="21"/>
              </w:rPr>
              <w:t>请求给付保险金</w:t>
            </w:r>
          </w:p>
        </w:tc>
        <w:tc>
          <w:tcPr>
            <w:tcW w:w="7012" w:type="dxa"/>
          </w:tcPr>
          <w:p>
            <w:pPr>
              <w:pStyle w:val="TableParagraph"/>
              <w:spacing w:before="91"/>
              <w:ind w:left="110"/>
              <w:rPr>
                <w:sz w:val="21"/>
              </w:rPr>
            </w:pPr>
            <w:r>
              <w:rPr>
                <w:sz w:val="21"/>
              </w:rPr>
              <w:t>本附加合同受益人向我们请求给付保险金的诉讼时效期间为二年，自其知</w:t>
            </w:r>
          </w:p>
        </w:tc>
      </w:tr>
      <w:tr>
        <w:trPr>
          <w:trHeight w:val="443" w:hRule="atLeast"/>
        </w:trPr>
        <w:tc>
          <w:tcPr>
            <w:tcW w:w="789" w:type="dxa"/>
          </w:tcPr>
          <w:p>
            <w:pPr>
              <w:pStyle w:val="TableParagraph"/>
              <w:rPr>
                <w:rFonts w:ascii="Times New Roman"/>
                <w:sz w:val="20"/>
              </w:rPr>
            </w:pPr>
          </w:p>
        </w:tc>
        <w:tc>
          <w:tcPr>
            <w:tcW w:w="1692" w:type="dxa"/>
          </w:tcPr>
          <w:p>
            <w:pPr>
              <w:pStyle w:val="TableParagraph"/>
              <w:spacing w:line="243" w:lineRule="exact"/>
              <w:ind w:left="108"/>
              <w:rPr>
                <w:sz w:val="21"/>
              </w:rPr>
            </w:pPr>
            <w:r>
              <w:rPr>
                <w:sz w:val="21"/>
              </w:rPr>
              <w:t>的诉讼时效</w:t>
            </w:r>
          </w:p>
        </w:tc>
        <w:tc>
          <w:tcPr>
            <w:tcW w:w="7012" w:type="dxa"/>
          </w:tcPr>
          <w:p>
            <w:pPr>
              <w:pStyle w:val="TableParagraph"/>
              <w:spacing w:line="241" w:lineRule="exact"/>
              <w:ind w:left="110"/>
              <w:rPr>
                <w:sz w:val="21"/>
              </w:rPr>
            </w:pPr>
            <w:r>
              <w:rPr>
                <w:sz w:val="21"/>
              </w:rPr>
              <w:t>道或应当知道保险事故发生之日起计算。</w:t>
            </w:r>
          </w:p>
        </w:tc>
      </w:tr>
      <w:tr>
        <w:trPr>
          <w:trHeight w:val="466" w:hRule="atLeast"/>
        </w:trPr>
        <w:tc>
          <w:tcPr>
            <w:tcW w:w="789" w:type="dxa"/>
          </w:tcPr>
          <w:p>
            <w:pPr>
              <w:pStyle w:val="TableParagraph"/>
              <w:spacing w:before="191"/>
              <w:ind w:right="105"/>
              <w:jc w:val="right"/>
              <w:rPr>
                <w:rFonts w:ascii="Times New Roman"/>
                <w:b/>
                <w:sz w:val="21"/>
              </w:rPr>
            </w:pPr>
            <w:r>
              <w:rPr>
                <w:rFonts w:ascii="Times New Roman"/>
                <w:b/>
                <w:sz w:val="21"/>
              </w:rPr>
              <w:t>4.2</w:t>
            </w:r>
          </w:p>
        </w:tc>
        <w:tc>
          <w:tcPr>
            <w:tcW w:w="1692" w:type="dxa"/>
          </w:tcPr>
          <w:p>
            <w:pPr>
              <w:pStyle w:val="TableParagraph"/>
              <w:spacing w:before="161"/>
              <w:ind w:left="108"/>
              <w:rPr>
                <w:sz w:val="21"/>
              </w:rPr>
            </w:pPr>
            <w:r>
              <w:rPr>
                <w:sz w:val="21"/>
              </w:rPr>
              <w:t>保险金受益人的</w:t>
            </w:r>
          </w:p>
        </w:tc>
        <w:tc>
          <w:tcPr>
            <w:tcW w:w="7012" w:type="dxa"/>
          </w:tcPr>
          <w:p>
            <w:pPr>
              <w:pStyle w:val="TableParagraph"/>
              <w:spacing w:before="159"/>
              <w:ind w:left="110"/>
              <w:rPr>
                <w:sz w:val="21"/>
              </w:rPr>
            </w:pPr>
            <w:r>
              <w:rPr>
                <w:sz w:val="21"/>
              </w:rPr>
              <w:t>本附加合同保险金的受益人为被保险人本人。</w:t>
            </w:r>
          </w:p>
        </w:tc>
      </w:tr>
      <w:tr>
        <w:trPr>
          <w:trHeight w:val="440" w:hRule="atLeast"/>
        </w:trPr>
        <w:tc>
          <w:tcPr>
            <w:tcW w:w="789" w:type="dxa"/>
          </w:tcPr>
          <w:p>
            <w:pPr>
              <w:pStyle w:val="TableParagraph"/>
              <w:rPr>
                <w:rFonts w:ascii="Times New Roman"/>
                <w:sz w:val="20"/>
              </w:rPr>
            </w:pPr>
          </w:p>
        </w:tc>
        <w:tc>
          <w:tcPr>
            <w:tcW w:w="1692" w:type="dxa"/>
          </w:tcPr>
          <w:p>
            <w:pPr>
              <w:pStyle w:val="TableParagraph"/>
              <w:spacing w:line="241" w:lineRule="exact"/>
              <w:ind w:left="108"/>
              <w:rPr>
                <w:sz w:val="21"/>
              </w:rPr>
            </w:pPr>
            <w:r>
              <w:rPr>
                <w:sz w:val="21"/>
              </w:rPr>
              <w:t>指定</w:t>
            </w:r>
          </w:p>
        </w:tc>
        <w:tc>
          <w:tcPr>
            <w:tcW w:w="7012" w:type="dxa"/>
          </w:tcPr>
          <w:p>
            <w:pPr>
              <w:pStyle w:val="TableParagraph"/>
              <w:rPr>
                <w:rFonts w:ascii="Times New Roman"/>
                <w:sz w:val="20"/>
              </w:rPr>
            </w:pPr>
          </w:p>
        </w:tc>
      </w:tr>
      <w:tr>
        <w:trPr>
          <w:trHeight w:val="461" w:hRule="atLeast"/>
        </w:trPr>
        <w:tc>
          <w:tcPr>
            <w:tcW w:w="789" w:type="dxa"/>
          </w:tcPr>
          <w:p>
            <w:pPr>
              <w:pStyle w:val="TableParagraph"/>
              <w:spacing w:before="191"/>
              <w:ind w:right="105"/>
              <w:jc w:val="right"/>
              <w:rPr>
                <w:rFonts w:ascii="Times New Roman"/>
                <w:b/>
                <w:sz w:val="21"/>
              </w:rPr>
            </w:pPr>
            <w:r>
              <w:rPr>
                <w:rFonts w:ascii="Times New Roman"/>
                <w:b/>
                <w:sz w:val="21"/>
              </w:rPr>
              <w:t>4.3</w:t>
            </w:r>
          </w:p>
        </w:tc>
        <w:tc>
          <w:tcPr>
            <w:tcW w:w="1692" w:type="dxa"/>
          </w:tcPr>
          <w:p>
            <w:pPr>
              <w:pStyle w:val="TableParagraph"/>
              <w:spacing w:before="161"/>
              <w:ind w:left="108"/>
              <w:rPr>
                <w:sz w:val="21"/>
              </w:rPr>
            </w:pPr>
            <w:r>
              <w:rPr>
                <w:sz w:val="21"/>
              </w:rPr>
              <w:t>如何申请保险金</w:t>
            </w:r>
          </w:p>
        </w:tc>
        <w:tc>
          <w:tcPr>
            <w:tcW w:w="7012" w:type="dxa"/>
          </w:tcPr>
          <w:p>
            <w:pPr>
              <w:pStyle w:val="TableParagraph"/>
              <w:spacing w:before="159"/>
              <w:ind w:left="110"/>
              <w:rPr>
                <w:sz w:val="21"/>
              </w:rPr>
            </w:pPr>
            <w:r>
              <w:rPr>
                <w:sz w:val="21"/>
              </w:rPr>
              <w:t>申请保险金时，申请人须填写理赔申请书，并提供下列证明和资料原件：</w:t>
            </w:r>
          </w:p>
        </w:tc>
      </w:tr>
      <w:tr>
        <w:trPr>
          <w:trHeight w:val="806" w:hRule="atLeast"/>
        </w:trPr>
        <w:tc>
          <w:tcPr>
            <w:tcW w:w="789" w:type="dxa"/>
          </w:tcPr>
          <w:p>
            <w:pPr>
              <w:pStyle w:val="TableParagraph"/>
              <w:rPr>
                <w:rFonts w:ascii="Times New Roman"/>
                <w:sz w:val="20"/>
              </w:rPr>
            </w:pPr>
          </w:p>
        </w:tc>
        <w:tc>
          <w:tcPr>
            <w:tcW w:w="1692" w:type="dxa"/>
          </w:tcPr>
          <w:p>
            <w:pPr>
              <w:pStyle w:val="TableParagraph"/>
              <w:rPr>
                <w:rFonts w:ascii="Times New Roman"/>
                <w:sz w:val="20"/>
              </w:rPr>
            </w:pPr>
          </w:p>
        </w:tc>
        <w:tc>
          <w:tcPr>
            <w:tcW w:w="7012" w:type="dxa"/>
          </w:tcPr>
          <w:p>
            <w:pPr>
              <w:pStyle w:val="TableParagraph"/>
              <w:spacing w:line="251" w:lineRule="exact"/>
              <w:ind w:left="110"/>
              <w:rPr>
                <w:sz w:val="21"/>
              </w:rPr>
            </w:pPr>
            <w:r>
              <w:rPr>
                <w:rFonts w:ascii="Times New Roman" w:eastAsia="Times New Roman"/>
                <w:sz w:val="21"/>
              </w:rPr>
              <w:t>1</w:t>
            </w:r>
            <w:r>
              <w:rPr>
                <w:sz w:val="21"/>
              </w:rPr>
              <w:t>． 保险合同；</w:t>
            </w:r>
          </w:p>
          <w:p>
            <w:pPr>
              <w:pStyle w:val="TableParagraph"/>
              <w:spacing w:line="274" w:lineRule="exact"/>
              <w:ind w:left="110"/>
              <w:rPr>
                <w:sz w:val="21"/>
              </w:rPr>
            </w:pPr>
            <w:r>
              <w:rPr>
                <w:rFonts w:ascii="Times New Roman" w:eastAsia="Times New Roman"/>
                <w:sz w:val="21"/>
              </w:rPr>
              <w:t>2</w:t>
            </w:r>
            <w:r>
              <w:rPr>
                <w:sz w:val="21"/>
              </w:rPr>
              <w:t>． 被保险人的有效身份证件；</w:t>
            </w:r>
          </w:p>
          <w:p>
            <w:pPr>
              <w:pStyle w:val="TableParagraph"/>
              <w:spacing w:line="262" w:lineRule="exact"/>
              <w:ind w:left="110"/>
              <w:rPr>
                <w:sz w:val="21"/>
              </w:rPr>
            </w:pPr>
            <w:r>
              <w:rPr>
                <w:rFonts w:ascii="Times New Roman" w:eastAsia="Times New Roman"/>
                <w:sz w:val="21"/>
              </w:rPr>
              <w:t>3</w:t>
            </w:r>
            <w:r>
              <w:rPr>
                <w:sz w:val="21"/>
              </w:rPr>
              <w:t>． 医院（见 </w:t>
            </w:r>
            <w:r>
              <w:rPr>
                <w:rFonts w:ascii="Times New Roman" w:eastAsia="Times New Roman"/>
                <w:sz w:val="21"/>
              </w:rPr>
              <w:t>7.12</w:t>
            </w:r>
            <w:r>
              <w:rPr>
                <w:sz w:val="21"/>
              </w:rPr>
              <w:t>）诊断证明（包括完整的门诊病历、出院小结或出院证</w:t>
            </w:r>
          </w:p>
        </w:tc>
      </w:tr>
    </w:tbl>
    <w:p>
      <w:pPr>
        <w:pStyle w:val="BodyText"/>
        <w:spacing w:line="264" w:lineRule="exact"/>
        <w:ind w:left="3065"/>
      </w:pPr>
      <w:r>
        <w:rPr>
          <w:spacing w:val="-3"/>
          <w:w w:val="100"/>
        </w:rPr>
        <w:t>明、相关的检查检验报告等</w:t>
      </w:r>
      <w:r>
        <w:rPr>
          <w:spacing w:val="-106"/>
          <w:w w:val="100"/>
        </w:rPr>
        <w:t>）</w:t>
      </w:r>
      <w:r>
        <w:rPr>
          <w:w w:val="100"/>
        </w:rPr>
        <w:t>；</w:t>
      </w:r>
    </w:p>
    <w:p>
      <w:pPr>
        <w:pStyle w:val="BodyText"/>
        <w:spacing w:line="280" w:lineRule="exact"/>
        <w:ind w:left="2705"/>
      </w:pPr>
      <w:r>
        <w:rPr>
          <w:rFonts w:ascii="Times New Roman" w:eastAsia="Times New Roman"/>
        </w:rPr>
        <w:t>4</w:t>
      </w:r>
      <w:r>
        <w:rPr/>
        <w:t>． 本附加合同附表所列相应重大疾病中明确要求的其它医疗证明；</w:t>
      </w:r>
    </w:p>
    <w:p>
      <w:pPr>
        <w:pStyle w:val="BodyText"/>
        <w:spacing w:line="282" w:lineRule="exact"/>
        <w:ind w:left="2705"/>
      </w:pPr>
      <w:r>
        <w:rPr>
          <w:rFonts w:ascii="Times New Roman" w:eastAsia="Times New Roman"/>
        </w:rPr>
        <w:t>5</w:t>
      </w:r>
      <w:r>
        <w:rPr/>
        <w:t>． 所能提供的与确认保险事故的性质、原因等有关的其它证明和资料。</w:t>
      </w:r>
    </w:p>
    <w:p>
      <w:pPr>
        <w:pStyle w:val="BodyText"/>
        <w:rPr>
          <w:sz w:val="17"/>
        </w:rPr>
      </w:pPr>
    </w:p>
    <w:p>
      <w:pPr>
        <w:pStyle w:val="BodyText"/>
        <w:ind w:left="2705" w:right="266"/>
      </w:pPr>
      <w:r>
        <w:rPr/>
        <w:t>以上证明和资料不完整的，我们将及时一次性通知申请人补充提供有关证明和资料。</w:t>
      </w:r>
    </w:p>
    <w:p>
      <w:pPr>
        <w:spacing w:after="0"/>
        <w:sectPr>
          <w:pgSz w:w="11900" w:h="16840"/>
          <w:pgMar w:top="1320" w:bottom="280" w:left="1240" w:right="940"/>
        </w:sectPr>
      </w:pPr>
    </w:p>
    <w:p>
      <w:pPr>
        <w:pStyle w:val="BodyText"/>
        <w:spacing w:line="230" w:lineRule="auto" w:before="117"/>
        <w:ind w:left="2645" w:right="206" w:hanging="2542"/>
        <w:jc w:val="both"/>
      </w:pPr>
      <w:r>
        <w:rPr>
          <w:spacing w:val="-27"/>
        </w:rPr>
        <w:t>第 </w:t>
      </w:r>
      <w:r>
        <w:rPr>
          <w:rFonts w:ascii="Times New Roman" w:eastAsia="Times New Roman"/>
          <w:b/>
        </w:rPr>
        <w:t>5 </w:t>
      </w:r>
      <w:r>
        <w:rPr>
          <w:spacing w:val="-3"/>
        </w:rPr>
        <w:t>章  欠款的扣除     我们在给付保险金、退还本附加合同现金价值（</w:t>
      </w:r>
      <w:r>
        <w:rPr>
          <w:spacing w:val="-15"/>
        </w:rPr>
        <w:t>见 </w:t>
      </w:r>
      <w:r>
        <w:rPr>
          <w:rFonts w:ascii="Times New Roman" w:eastAsia="Times New Roman"/>
        </w:rPr>
        <w:t>7.13</w:t>
      </w:r>
      <w:r>
        <w:rPr/>
        <w:t>）</w:t>
      </w:r>
      <w:r>
        <w:rPr>
          <w:spacing w:val="-3"/>
        </w:rPr>
        <w:t>或保险费时，如果您有任何尚未偿清的保单借款、自动垫缴的保险费等款项的本金和利息或欠缴的保险费，我们有权先行扣除上述欠款。</w:t>
      </w:r>
    </w:p>
    <w:p>
      <w:pPr>
        <w:pStyle w:val="BodyText"/>
        <w:rPr>
          <w:sz w:val="20"/>
        </w:rPr>
      </w:pPr>
    </w:p>
    <w:p>
      <w:pPr>
        <w:spacing w:after="0"/>
        <w:rPr>
          <w:sz w:val="20"/>
        </w:rPr>
        <w:sectPr>
          <w:pgSz w:w="11900" w:h="16840"/>
          <w:pgMar w:top="1600" w:bottom="280" w:left="1300" w:right="1000"/>
        </w:sectPr>
      </w:pPr>
    </w:p>
    <w:p>
      <w:pPr>
        <w:pStyle w:val="BodyText"/>
        <w:spacing w:before="9"/>
        <w:rPr>
          <w:sz w:val="16"/>
        </w:rPr>
      </w:pPr>
    </w:p>
    <w:p>
      <w:pPr>
        <w:pStyle w:val="BodyText"/>
        <w:tabs>
          <w:tab w:pos="951" w:val="left" w:leader="none"/>
        </w:tabs>
        <w:spacing w:line="282" w:lineRule="exact"/>
        <w:ind w:left="103"/>
      </w:pPr>
      <w:r>
        <w:rPr/>
        <w:t>第</w:t>
      </w:r>
      <w:r>
        <w:rPr>
          <w:spacing w:val="-55"/>
        </w:rPr>
        <w:t> </w:t>
      </w:r>
      <w:r>
        <w:rPr>
          <w:rFonts w:ascii="Times New Roman" w:eastAsia="Times New Roman"/>
          <w:b/>
        </w:rPr>
        <w:t>6 </w:t>
      </w:r>
      <w:r>
        <w:rPr/>
        <w:t>章</w:t>
        <w:tab/>
        <w:t>附加合同效力的</w:t>
      </w:r>
    </w:p>
    <w:p>
      <w:pPr>
        <w:pStyle w:val="BodyText"/>
        <w:spacing w:line="266" w:lineRule="exact"/>
        <w:ind w:left="934" w:right="1041"/>
        <w:jc w:val="center"/>
      </w:pPr>
      <w:r>
        <w:rPr/>
        <w:t>终止</w:t>
      </w:r>
    </w:p>
    <w:p>
      <w:pPr>
        <w:pStyle w:val="BodyText"/>
        <w:spacing w:before="7"/>
        <w:rPr>
          <w:sz w:val="16"/>
        </w:rPr>
      </w:pPr>
      <w:r>
        <w:rPr/>
        <w:br w:type="column"/>
      </w:r>
      <w:r>
        <w:rPr>
          <w:sz w:val="16"/>
        </w:rPr>
      </w:r>
    </w:p>
    <w:p>
      <w:pPr>
        <w:pStyle w:val="BodyText"/>
        <w:ind w:left="103"/>
      </w:pPr>
      <w:r>
        <w:rPr/>
        <w:t>发生下列任何一种情形时，本附加合同终止：</w:t>
      </w:r>
    </w:p>
    <w:p>
      <w:pPr>
        <w:pStyle w:val="BodyText"/>
        <w:spacing w:before="9"/>
        <w:rPr>
          <w:sz w:val="19"/>
        </w:rPr>
      </w:pPr>
    </w:p>
    <w:p>
      <w:pPr>
        <w:pStyle w:val="BodyText"/>
        <w:spacing w:line="225" w:lineRule="auto" w:before="1"/>
        <w:ind w:left="588" w:right="208" w:hanging="430"/>
      </w:pPr>
      <w:r>
        <w:rPr>
          <w:rFonts w:ascii="Times New Roman" w:eastAsia="Times New Roman"/>
        </w:rPr>
        <w:t>1</w:t>
      </w:r>
      <w:r>
        <w:rPr/>
        <w:t>、 投保人解除合同。如果您在犹豫期后申请解除本附加合同，请填写解除合同申请书并向我们提供下列资料：</w:t>
      </w:r>
    </w:p>
    <w:p>
      <w:pPr>
        <w:pStyle w:val="BodyText"/>
        <w:spacing w:line="279" w:lineRule="exact"/>
        <w:ind w:left="579"/>
      </w:pPr>
      <w:r>
        <w:rPr/>
        <w:t>（</w:t>
      </w:r>
      <w:r>
        <w:rPr>
          <w:rFonts w:ascii="Times New Roman" w:eastAsia="Times New Roman"/>
        </w:rPr>
        <w:t>1</w:t>
      </w:r>
      <w:r>
        <w:rPr/>
        <w:t>）保险合同</w:t>
      </w:r>
    </w:p>
    <w:p>
      <w:pPr>
        <w:pStyle w:val="BodyText"/>
        <w:spacing w:line="274" w:lineRule="exact"/>
        <w:ind w:left="579"/>
      </w:pPr>
      <w:r>
        <w:rPr/>
        <w:t>（</w:t>
      </w:r>
      <w:r>
        <w:rPr>
          <w:rFonts w:ascii="Times New Roman" w:eastAsia="Times New Roman"/>
        </w:rPr>
        <w:t>2</w:t>
      </w:r>
      <w:r>
        <w:rPr/>
        <w:t>）投保人的有效身份证件</w:t>
      </w:r>
    </w:p>
    <w:p>
      <w:pPr>
        <w:pStyle w:val="BodyText"/>
        <w:spacing w:line="230" w:lineRule="auto" w:before="2"/>
        <w:ind w:left="528" w:right="203"/>
        <w:jc w:val="both"/>
      </w:pPr>
      <w:r>
        <w:rPr/>
        <w:t>自我们收到解除合同申请书时起，本附加合同终止。我们自收到解除合同申请书之日起</w:t>
      </w:r>
      <w:r>
        <w:rPr>
          <w:rFonts w:ascii="Times New Roman" w:eastAsia="Times New Roman"/>
        </w:rPr>
        <w:t>30 </w:t>
      </w:r>
      <w:r>
        <w:rPr/>
        <w:t>日内按合同约定向您退还本附加合同终止时的现金价值；</w:t>
      </w:r>
    </w:p>
    <w:p>
      <w:pPr>
        <w:pStyle w:val="BodyText"/>
        <w:spacing w:line="281" w:lineRule="exact"/>
        <w:ind w:left="159"/>
      </w:pPr>
      <w:r>
        <w:rPr>
          <w:rFonts w:ascii="Times New Roman" w:eastAsia="Times New Roman"/>
        </w:rPr>
        <w:t>2</w:t>
      </w:r>
      <w:r>
        <w:rPr/>
        <w:t>、 主合同终止或变更为减额缴清保险后；</w:t>
      </w:r>
    </w:p>
    <w:p>
      <w:pPr>
        <w:pStyle w:val="BodyText"/>
        <w:spacing w:line="282" w:lineRule="exact"/>
        <w:ind w:left="159"/>
      </w:pPr>
      <w:r>
        <w:rPr>
          <w:rFonts w:ascii="Times New Roman" w:eastAsia="Times New Roman"/>
        </w:rPr>
        <w:t>3</w:t>
      </w:r>
      <w:r>
        <w:rPr/>
        <w:t>、 因本附加合同其它条款或主合同条款所列情况而终止。</w:t>
      </w:r>
    </w:p>
    <w:p>
      <w:pPr>
        <w:spacing w:after="0" w:line="282" w:lineRule="exact"/>
        <w:sectPr>
          <w:type w:val="continuous"/>
          <w:pgSz w:w="11900" w:h="16840"/>
          <w:pgMar w:top="1220" w:bottom="280" w:left="1300" w:right="1000"/>
          <w:cols w:num="2" w:equalWidth="0">
            <w:col w:w="2435" w:space="54"/>
            <w:col w:w="7111"/>
          </w:cols>
        </w:sectPr>
      </w:pPr>
    </w:p>
    <w:p>
      <w:pPr>
        <w:pStyle w:val="BodyText"/>
        <w:rPr>
          <w:sz w:val="20"/>
        </w:rPr>
      </w:pPr>
    </w:p>
    <w:p>
      <w:pPr>
        <w:pStyle w:val="BodyText"/>
        <w:spacing w:before="9"/>
        <w:rPr>
          <w:sz w:val="15"/>
        </w:rPr>
      </w:pPr>
    </w:p>
    <w:p>
      <w:pPr>
        <w:pStyle w:val="BodyText"/>
        <w:tabs>
          <w:tab w:pos="951" w:val="left" w:leader="none"/>
        </w:tabs>
        <w:ind w:left="103"/>
      </w:pPr>
      <w:r>
        <w:rPr/>
        <w:t>第</w:t>
      </w:r>
      <w:r>
        <w:rPr>
          <w:spacing w:val="-55"/>
        </w:rPr>
        <w:t> </w:t>
      </w:r>
      <w:r>
        <w:rPr>
          <w:rFonts w:ascii="Times New Roman" w:eastAsia="Times New Roman"/>
          <w:b/>
        </w:rPr>
        <w:t>7 </w:t>
      </w:r>
      <w:r>
        <w:rPr/>
        <w:t>章</w:t>
        <w:tab/>
        <w:t>名词</w:t>
      </w:r>
      <w:r>
        <w:rPr>
          <w:spacing w:val="-3"/>
        </w:rPr>
        <w:t>释</w:t>
      </w:r>
      <w:r>
        <w:rPr/>
        <w:t>义</w:t>
      </w:r>
    </w:p>
    <w:p>
      <w:pPr>
        <w:pStyle w:val="BodyText"/>
        <w:spacing w:before="3"/>
        <w:rPr>
          <w:sz w:val="17"/>
        </w:rPr>
      </w:pPr>
    </w:p>
    <w:p>
      <w:pPr>
        <w:pStyle w:val="ListParagraph"/>
        <w:numPr>
          <w:ilvl w:val="1"/>
          <w:numId w:val="5"/>
        </w:numPr>
        <w:tabs>
          <w:tab w:pos="967" w:val="left" w:leader="none"/>
          <w:tab w:pos="968" w:val="left" w:leader="none"/>
          <w:tab w:pos="2645" w:val="left" w:leader="none"/>
        </w:tabs>
        <w:spacing w:line="237" w:lineRule="auto" w:before="0" w:after="0"/>
        <w:ind w:left="2645" w:right="100" w:hanging="2158"/>
        <w:jc w:val="left"/>
        <w:rPr>
          <w:sz w:val="21"/>
        </w:rPr>
      </w:pPr>
      <w:r>
        <w:rPr>
          <w:sz w:val="21"/>
        </w:rPr>
        <w:t>周岁：</w:t>
        <w:tab/>
        <w:t>指按</w:t>
      </w:r>
      <w:r>
        <w:rPr>
          <w:spacing w:val="-3"/>
          <w:sz w:val="21"/>
        </w:rPr>
        <w:t>有</w:t>
      </w:r>
      <w:r>
        <w:rPr>
          <w:sz w:val="21"/>
        </w:rPr>
        <w:t>效</w:t>
      </w:r>
      <w:r>
        <w:rPr>
          <w:spacing w:val="-3"/>
          <w:sz w:val="21"/>
        </w:rPr>
        <w:t>身</w:t>
      </w:r>
      <w:r>
        <w:rPr>
          <w:sz w:val="21"/>
        </w:rPr>
        <w:t>份</w:t>
      </w:r>
      <w:r>
        <w:rPr>
          <w:spacing w:val="-3"/>
          <w:sz w:val="21"/>
        </w:rPr>
        <w:t>证</w:t>
      </w:r>
      <w:r>
        <w:rPr>
          <w:sz w:val="21"/>
        </w:rPr>
        <w:t>件</w:t>
      </w:r>
      <w:r>
        <w:rPr>
          <w:spacing w:val="-3"/>
          <w:sz w:val="21"/>
        </w:rPr>
        <w:t>中</w:t>
      </w:r>
      <w:r>
        <w:rPr>
          <w:sz w:val="21"/>
        </w:rPr>
        <w:t>记</w:t>
      </w:r>
      <w:r>
        <w:rPr>
          <w:spacing w:val="-3"/>
          <w:sz w:val="21"/>
        </w:rPr>
        <w:t>载</w:t>
      </w:r>
      <w:r>
        <w:rPr>
          <w:sz w:val="21"/>
        </w:rPr>
        <w:t>的出</w:t>
      </w:r>
      <w:r>
        <w:rPr>
          <w:spacing w:val="-3"/>
          <w:sz w:val="21"/>
        </w:rPr>
        <w:t>生</w:t>
      </w:r>
      <w:r>
        <w:rPr>
          <w:sz w:val="21"/>
        </w:rPr>
        <w:t>日</w:t>
      </w:r>
      <w:r>
        <w:rPr>
          <w:spacing w:val="-3"/>
          <w:sz w:val="21"/>
        </w:rPr>
        <w:t>期</w:t>
      </w:r>
      <w:r>
        <w:rPr>
          <w:sz w:val="21"/>
        </w:rPr>
        <w:t>计</w:t>
      </w:r>
      <w:r>
        <w:rPr>
          <w:spacing w:val="-3"/>
          <w:sz w:val="21"/>
        </w:rPr>
        <w:t>算</w:t>
      </w:r>
      <w:r>
        <w:rPr>
          <w:sz w:val="21"/>
        </w:rPr>
        <w:t>的</w:t>
      </w:r>
      <w:r>
        <w:rPr>
          <w:spacing w:val="-3"/>
          <w:sz w:val="21"/>
        </w:rPr>
        <w:t>年</w:t>
      </w:r>
      <w:r>
        <w:rPr>
          <w:sz w:val="21"/>
        </w:rPr>
        <w:t>龄</w:t>
      </w:r>
      <w:r>
        <w:rPr>
          <w:spacing w:val="-84"/>
          <w:sz w:val="21"/>
        </w:rPr>
        <w:t>，</w:t>
      </w:r>
      <w:r>
        <w:rPr>
          <w:spacing w:val="-3"/>
          <w:sz w:val="21"/>
        </w:rPr>
        <w:t>自</w:t>
      </w:r>
      <w:r>
        <w:rPr>
          <w:sz w:val="21"/>
        </w:rPr>
        <w:t>出生</w:t>
      </w:r>
      <w:r>
        <w:rPr>
          <w:spacing w:val="-3"/>
          <w:sz w:val="21"/>
        </w:rPr>
        <w:t>之</w:t>
      </w:r>
      <w:r>
        <w:rPr>
          <w:sz w:val="21"/>
        </w:rPr>
        <w:t>日</w:t>
      </w:r>
      <w:r>
        <w:rPr>
          <w:spacing w:val="-3"/>
          <w:sz w:val="21"/>
        </w:rPr>
        <w:t>起</w:t>
      </w:r>
      <w:r>
        <w:rPr>
          <w:sz w:val="21"/>
        </w:rPr>
        <w:t>为</w:t>
      </w:r>
      <w:r>
        <w:rPr>
          <w:spacing w:val="-3"/>
          <w:sz w:val="21"/>
        </w:rPr>
        <w:t>零</w:t>
      </w:r>
      <w:r>
        <w:rPr>
          <w:sz w:val="21"/>
        </w:rPr>
        <w:t>周</w:t>
      </w:r>
      <w:r>
        <w:rPr>
          <w:spacing w:val="-3"/>
          <w:sz w:val="21"/>
        </w:rPr>
        <w:t>岁</w:t>
      </w:r>
      <w:r>
        <w:rPr>
          <w:sz w:val="21"/>
        </w:rPr>
        <w:t>， 每经</w:t>
      </w:r>
      <w:r>
        <w:rPr>
          <w:spacing w:val="-3"/>
          <w:sz w:val="21"/>
        </w:rPr>
        <w:t>过</w:t>
      </w:r>
      <w:r>
        <w:rPr>
          <w:sz w:val="21"/>
        </w:rPr>
        <w:t>一</w:t>
      </w:r>
      <w:r>
        <w:rPr>
          <w:spacing w:val="-3"/>
          <w:sz w:val="21"/>
        </w:rPr>
        <w:t>年</w:t>
      </w:r>
      <w:r>
        <w:rPr>
          <w:sz w:val="21"/>
        </w:rPr>
        <w:t>增</w:t>
      </w:r>
      <w:r>
        <w:rPr>
          <w:spacing w:val="-3"/>
          <w:sz w:val="21"/>
        </w:rPr>
        <w:t>加</w:t>
      </w:r>
      <w:r>
        <w:rPr>
          <w:sz w:val="21"/>
        </w:rPr>
        <w:t>一</w:t>
      </w:r>
      <w:r>
        <w:rPr>
          <w:spacing w:val="-3"/>
          <w:sz w:val="21"/>
        </w:rPr>
        <w:t>岁</w:t>
      </w:r>
      <w:r>
        <w:rPr>
          <w:sz w:val="21"/>
        </w:rPr>
        <w:t>，</w:t>
      </w:r>
      <w:r>
        <w:rPr>
          <w:spacing w:val="-3"/>
          <w:sz w:val="21"/>
        </w:rPr>
        <w:t>不</w:t>
      </w:r>
      <w:r>
        <w:rPr>
          <w:sz w:val="21"/>
        </w:rPr>
        <w:t>足一</w:t>
      </w:r>
      <w:r>
        <w:rPr>
          <w:spacing w:val="-3"/>
          <w:sz w:val="21"/>
        </w:rPr>
        <w:t>年</w:t>
      </w:r>
      <w:r>
        <w:rPr>
          <w:sz w:val="21"/>
        </w:rPr>
        <w:t>的</w:t>
      </w:r>
      <w:r>
        <w:rPr>
          <w:spacing w:val="-3"/>
          <w:sz w:val="21"/>
        </w:rPr>
        <w:t>不</w:t>
      </w:r>
      <w:r>
        <w:rPr>
          <w:sz w:val="21"/>
        </w:rPr>
        <w:t>计。</w:t>
      </w:r>
    </w:p>
    <w:p>
      <w:pPr>
        <w:pStyle w:val="BodyText"/>
        <w:spacing w:before="8"/>
        <w:rPr>
          <w:sz w:val="18"/>
        </w:rPr>
      </w:pPr>
    </w:p>
    <w:p>
      <w:pPr>
        <w:pStyle w:val="ListParagraph"/>
        <w:numPr>
          <w:ilvl w:val="1"/>
          <w:numId w:val="5"/>
        </w:numPr>
        <w:tabs>
          <w:tab w:pos="968" w:val="left" w:leader="none"/>
        </w:tabs>
        <w:spacing w:line="237" w:lineRule="auto" w:before="0" w:after="0"/>
        <w:ind w:left="2645" w:right="206" w:hanging="2157"/>
        <w:jc w:val="both"/>
        <w:rPr>
          <w:sz w:val="21"/>
        </w:rPr>
      </w:pPr>
      <w:r>
        <w:rPr>
          <w:spacing w:val="-3"/>
          <w:sz w:val="21"/>
        </w:rPr>
        <w:t>意外伤害事故： 指外来的、不可预知的、突发的、非本意的、非由疾病引起的使身体受到伤害的客观事件。</w:t>
      </w:r>
    </w:p>
    <w:p>
      <w:pPr>
        <w:pStyle w:val="BodyText"/>
        <w:spacing w:before="9"/>
        <w:rPr>
          <w:sz w:val="19"/>
        </w:rPr>
      </w:pPr>
    </w:p>
    <w:p>
      <w:pPr>
        <w:pStyle w:val="ListParagraph"/>
        <w:numPr>
          <w:ilvl w:val="1"/>
          <w:numId w:val="5"/>
        </w:numPr>
        <w:tabs>
          <w:tab w:pos="968" w:val="left" w:leader="none"/>
        </w:tabs>
        <w:spacing w:line="225" w:lineRule="auto" w:before="0" w:after="0"/>
        <w:ind w:left="2645" w:right="206" w:hanging="2158"/>
        <w:jc w:val="both"/>
        <w:rPr>
          <w:sz w:val="21"/>
        </w:rPr>
      </w:pPr>
      <w:r>
        <w:rPr>
          <w:spacing w:val="-1"/>
          <w:w w:val="100"/>
          <w:sz w:val="21"/>
        </w:rPr>
        <w:t>专科医生：</w:t>
      </w:r>
      <w:r>
        <w:rPr>
          <w:spacing w:val="-1"/>
          <w:sz w:val="21"/>
        </w:rPr>
        <w:t>      </w:t>
      </w:r>
      <w:r>
        <w:rPr>
          <w:spacing w:val="-9"/>
          <w:w w:val="100"/>
          <w:sz w:val="21"/>
        </w:rPr>
        <w:t>专科医生应当同时满足以下四项资格条件：</w:t>
      </w:r>
      <w:r>
        <w:rPr>
          <w:w w:val="100"/>
          <w:sz w:val="21"/>
        </w:rPr>
        <w:t>（</w:t>
      </w:r>
      <w:r>
        <w:rPr>
          <w:rFonts w:ascii="Times New Roman" w:eastAsia="Times New Roman"/>
          <w:w w:val="100"/>
          <w:sz w:val="21"/>
        </w:rPr>
        <w:t>1</w:t>
      </w:r>
      <w:r>
        <w:rPr>
          <w:spacing w:val="-3"/>
          <w:w w:val="100"/>
          <w:sz w:val="21"/>
        </w:rPr>
        <w:t>）具有有效的中华人民共和</w:t>
      </w:r>
      <w:r>
        <w:rPr>
          <w:spacing w:val="-25"/>
          <w:w w:val="100"/>
          <w:sz w:val="21"/>
        </w:rPr>
        <w:t>国《医师资格证书》；</w:t>
      </w:r>
      <w:r>
        <w:rPr>
          <w:w w:val="100"/>
          <w:sz w:val="21"/>
        </w:rPr>
        <w:t>（</w:t>
      </w:r>
      <w:r>
        <w:rPr>
          <w:rFonts w:ascii="Times New Roman" w:eastAsia="Times New Roman"/>
          <w:w w:val="100"/>
          <w:sz w:val="21"/>
        </w:rPr>
        <w:t>2</w:t>
      </w:r>
      <w:r>
        <w:rPr>
          <w:spacing w:val="-3"/>
          <w:w w:val="100"/>
          <w:sz w:val="21"/>
        </w:rPr>
        <w:t>）</w:t>
      </w:r>
      <w:r>
        <w:rPr>
          <w:spacing w:val="-9"/>
          <w:w w:val="100"/>
          <w:sz w:val="21"/>
        </w:rPr>
        <w:t>具有有效的中华人民共和国《医师执业证书》，</w:t>
      </w:r>
      <w:r>
        <w:rPr>
          <w:spacing w:val="-16"/>
          <w:w w:val="100"/>
          <w:sz w:val="21"/>
        </w:rPr>
        <w:t>并按期到相关部门登记注册；</w:t>
      </w:r>
      <w:r>
        <w:rPr>
          <w:w w:val="100"/>
          <w:sz w:val="21"/>
        </w:rPr>
        <w:t>（</w:t>
      </w:r>
      <w:r>
        <w:rPr>
          <w:rFonts w:ascii="Times New Roman" w:eastAsia="Times New Roman"/>
          <w:w w:val="100"/>
          <w:sz w:val="21"/>
        </w:rPr>
        <w:t>3</w:t>
      </w:r>
      <w:r>
        <w:rPr>
          <w:spacing w:val="-3"/>
          <w:w w:val="100"/>
          <w:sz w:val="21"/>
        </w:rPr>
        <w:t>）具有有效的中华人民共和国主治医师或</w:t>
      </w:r>
      <w:r>
        <w:rPr>
          <w:spacing w:val="-20"/>
          <w:w w:val="100"/>
          <w:sz w:val="21"/>
        </w:rPr>
        <w:t>主治医师以上职称的《医师职称证书》；</w:t>
      </w:r>
      <w:r>
        <w:rPr>
          <w:spacing w:val="-3"/>
          <w:w w:val="100"/>
          <w:sz w:val="21"/>
        </w:rPr>
        <w:t>（</w:t>
      </w:r>
      <w:r>
        <w:rPr>
          <w:rFonts w:ascii="Times New Roman" w:eastAsia="Times New Roman"/>
          <w:w w:val="100"/>
          <w:sz w:val="21"/>
        </w:rPr>
        <w:t>4</w:t>
      </w:r>
      <w:r>
        <w:rPr>
          <w:spacing w:val="-44"/>
          <w:w w:val="100"/>
          <w:sz w:val="21"/>
        </w:rPr>
        <w:t>）</w:t>
      </w:r>
      <w:r>
        <w:rPr>
          <w:spacing w:val="-3"/>
          <w:w w:val="100"/>
          <w:sz w:val="21"/>
        </w:rPr>
        <w:t>在二级或二级以上医院的相应</w:t>
      </w:r>
      <w:r>
        <w:rPr>
          <w:spacing w:val="-3"/>
          <w:sz w:val="21"/>
        </w:rPr>
        <w:t>科室从事临床工作三年以上。</w:t>
      </w:r>
    </w:p>
    <w:p>
      <w:pPr>
        <w:pStyle w:val="BodyText"/>
        <w:spacing w:before="9"/>
        <w:rPr>
          <w:sz w:val="19"/>
        </w:rPr>
      </w:pPr>
    </w:p>
    <w:p>
      <w:pPr>
        <w:pStyle w:val="ListParagraph"/>
        <w:numPr>
          <w:ilvl w:val="1"/>
          <w:numId w:val="5"/>
        </w:numPr>
        <w:tabs>
          <w:tab w:pos="968" w:val="left" w:leader="none"/>
        </w:tabs>
        <w:spacing w:line="225" w:lineRule="auto" w:before="0" w:after="0"/>
        <w:ind w:left="2645" w:right="206" w:hanging="2158"/>
        <w:jc w:val="both"/>
        <w:rPr>
          <w:sz w:val="21"/>
        </w:rPr>
      </w:pPr>
      <w:r>
        <w:rPr>
          <w:spacing w:val="-2"/>
          <w:sz w:val="21"/>
        </w:rPr>
        <w:t>重大疾病：     指被保险人因意外伤害事故或自本附加合同</w:t>
      </w:r>
      <w:r>
        <w:rPr>
          <w:sz w:val="21"/>
        </w:rPr>
        <w:t>Th</w:t>
      </w:r>
      <w:r>
        <w:rPr>
          <w:spacing w:val="-1"/>
          <w:sz w:val="21"/>
        </w:rPr>
        <w:t>效日起 </w:t>
      </w:r>
      <w:r>
        <w:rPr>
          <w:rFonts w:ascii="Times New Roman" w:eastAsia="Times New Roman"/>
          <w:sz w:val="21"/>
        </w:rPr>
        <w:t>90</w:t>
      </w:r>
      <w:r>
        <w:rPr>
          <w:rFonts w:ascii="Times New Roman" w:eastAsia="Times New Roman"/>
          <w:spacing w:val="0"/>
          <w:sz w:val="21"/>
        </w:rPr>
        <w:t>  </w:t>
      </w:r>
      <w:r>
        <w:rPr>
          <w:spacing w:val="-1"/>
          <w:sz w:val="21"/>
        </w:rPr>
        <w:t>天后或最后复效</w:t>
      </w:r>
      <w:r>
        <w:rPr>
          <w:spacing w:val="-15"/>
          <w:sz w:val="21"/>
        </w:rPr>
        <w:t>日起 </w:t>
      </w:r>
      <w:r>
        <w:rPr>
          <w:rFonts w:ascii="Times New Roman" w:eastAsia="Times New Roman"/>
          <w:sz w:val="21"/>
        </w:rPr>
        <w:t>90</w:t>
      </w:r>
      <w:r>
        <w:rPr>
          <w:rFonts w:ascii="Times New Roman" w:eastAsia="Times New Roman"/>
          <w:spacing w:val="10"/>
          <w:sz w:val="21"/>
        </w:rPr>
        <w:t> </w:t>
      </w:r>
      <w:r>
        <w:rPr>
          <w:spacing w:val="-15"/>
          <w:sz w:val="21"/>
        </w:rPr>
        <w:t>天后</w:t>
      </w:r>
      <w:r>
        <w:rPr>
          <w:spacing w:val="-3"/>
          <w:sz w:val="21"/>
        </w:rPr>
        <w:t>（以较迟者为准</w:t>
      </w:r>
      <w:r>
        <w:rPr>
          <w:spacing w:val="-29"/>
          <w:sz w:val="21"/>
        </w:rPr>
        <w:t>）</w:t>
      </w:r>
      <w:r>
        <w:rPr>
          <w:spacing w:val="-7"/>
          <w:sz w:val="21"/>
        </w:rPr>
        <w:t>因疾病，初次发</w:t>
      </w:r>
      <w:r>
        <w:rPr>
          <w:sz w:val="21"/>
        </w:rPr>
        <w:t>Th</w:t>
      </w:r>
      <w:r>
        <w:rPr>
          <w:spacing w:val="-3"/>
          <w:sz w:val="21"/>
        </w:rPr>
        <w:t>并被专科医</w:t>
      </w:r>
      <w:r>
        <w:rPr>
          <w:sz w:val="21"/>
        </w:rPr>
        <w:t>Th</w:t>
      </w:r>
      <w:r>
        <w:rPr>
          <w:spacing w:val="-3"/>
          <w:sz w:val="21"/>
        </w:rPr>
        <w:t>确诊的符合</w:t>
      </w:r>
      <w:r>
        <w:rPr>
          <w:spacing w:val="-22"/>
          <w:sz w:val="21"/>
        </w:rPr>
        <w:t>第 </w:t>
      </w:r>
      <w:r>
        <w:rPr>
          <w:rFonts w:ascii="Times New Roman" w:eastAsia="Times New Roman"/>
          <w:sz w:val="21"/>
        </w:rPr>
        <w:t>8</w:t>
      </w:r>
      <w:r>
        <w:rPr>
          <w:rFonts w:ascii="Times New Roman" w:eastAsia="Times New Roman"/>
          <w:spacing w:val="12"/>
          <w:sz w:val="21"/>
        </w:rPr>
        <w:t> </w:t>
      </w:r>
      <w:r>
        <w:rPr>
          <w:spacing w:val="-3"/>
          <w:sz w:val="21"/>
        </w:rPr>
        <w:t>章附表中所列的任何一种疾病定义所述条件的疾病。</w:t>
      </w:r>
    </w:p>
    <w:p>
      <w:pPr>
        <w:pStyle w:val="BodyText"/>
        <w:spacing w:before="5"/>
        <w:rPr>
          <w:sz w:val="17"/>
        </w:rPr>
      </w:pPr>
    </w:p>
    <w:p>
      <w:pPr>
        <w:pStyle w:val="ListParagraph"/>
        <w:numPr>
          <w:ilvl w:val="1"/>
          <w:numId w:val="5"/>
        </w:numPr>
        <w:tabs>
          <w:tab w:pos="968" w:val="left" w:leader="none"/>
        </w:tabs>
        <w:spacing w:line="237" w:lineRule="auto" w:before="0" w:after="0"/>
        <w:ind w:left="2645" w:right="203" w:hanging="2158"/>
        <w:jc w:val="both"/>
        <w:rPr>
          <w:sz w:val="21"/>
        </w:rPr>
      </w:pPr>
      <w:r>
        <w:rPr>
          <w:spacing w:val="-7"/>
          <w:sz w:val="21"/>
        </w:rPr>
        <w:t>毒品：         指《中华人民共和国刑法》规定的鸦片、海洛因、甲基苯丙胺</w:t>
      </w:r>
      <w:r>
        <w:rPr>
          <w:sz w:val="21"/>
        </w:rPr>
        <w:t>（</w:t>
      </w:r>
      <w:r>
        <w:rPr>
          <w:spacing w:val="-2"/>
          <w:sz w:val="21"/>
        </w:rPr>
        <w:t>冰毒</w:t>
      </w:r>
      <w:r>
        <w:rPr>
          <w:spacing w:val="-106"/>
          <w:sz w:val="21"/>
        </w:rPr>
        <w:t>）</w:t>
      </w:r>
      <w:r>
        <w:rPr>
          <w:spacing w:val="-8"/>
          <w:sz w:val="21"/>
        </w:rPr>
        <w:t>、吗啡、大麻、可卡因以及国家规定管制的其它能够使人形成瘾癖的麻醉药品和精神药品，但不包括由医生开具并遵医嘱使用的用于治疗疾病但含有毒</w:t>
      </w:r>
      <w:r>
        <w:rPr>
          <w:spacing w:val="-5"/>
          <w:sz w:val="21"/>
        </w:rPr>
        <w:t>品成分的处方药品。</w:t>
      </w:r>
    </w:p>
    <w:p>
      <w:pPr>
        <w:pStyle w:val="BodyText"/>
        <w:spacing w:before="10"/>
        <w:rPr>
          <w:sz w:val="18"/>
        </w:rPr>
      </w:pPr>
    </w:p>
    <w:p>
      <w:pPr>
        <w:pStyle w:val="ListParagraph"/>
        <w:numPr>
          <w:ilvl w:val="1"/>
          <w:numId w:val="5"/>
        </w:numPr>
        <w:tabs>
          <w:tab w:pos="968" w:val="left" w:leader="none"/>
        </w:tabs>
        <w:spacing w:line="237" w:lineRule="auto" w:before="0" w:after="0"/>
        <w:ind w:left="2645" w:right="206" w:hanging="2158"/>
        <w:jc w:val="both"/>
        <w:rPr>
          <w:sz w:val="21"/>
        </w:rPr>
      </w:pPr>
      <w:r>
        <w:rPr>
          <w:spacing w:val="-3"/>
          <w:sz w:val="21"/>
        </w:rPr>
        <w:t>酒后驾驶：     指经检测或鉴定，发生事故时车辆驾驶人员每百毫升血液中的酒精含量达到或超过一定的标准，公安机关交通管理部门依据《中华人民共和国道路交通安全法》的规定认定为饮酒后驾驶或醉酒后驾驶。</w:t>
      </w:r>
    </w:p>
    <w:p>
      <w:pPr>
        <w:pStyle w:val="BodyText"/>
        <w:spacing w:before="8"/>
        <w:rPr>
          <w:sz w:val="13"/>
        </w:rPr>
      </w:pPr>
    </w:p>
    <w:p>
      <w:pPr>
        <w:spacing w:after="0"/>
        <w:rPr>
          <w:sz w:val="13"/>
        </w:rPr>
        <w:sectPr>
          <w:type w:val="continuous"/>
          <w:pgSz w:w="11900" w:h="16840"/>
          <w:pgMar w:top="1220" w:bottom="280" w:left="1300" w:right="1000"/>
        </w:sectPr>
      </w:pPr>
    </w:p>
    <w:p>
      <w:pPr>
        <w:pStyle w:val="ListParagraph"/>
        <w:numPr>
          <w:ilvl w:val="1"/>
          <w:numId w:val="5"/>
        </w:numPr>
        <w:tabs>
          <w:tab w:pos="967" w:val="left" w:leader="none"/>
          <w:tab w:pos="968" w:val="left" w:leader="none"/>
        </w:tabs>
        <w:spacing w:line="240" w:lineRule="auto" w:before="62" w:after="0"/>
        <w:ind w:left="968" w:right="0" w:hanging="481"/>
        <w:jc w:val="left"/>
        <w:rPr>
          <w:sz w:val="21"/>
        </w:rPr>
      </w:pPr>
      <w:r>
        <w:rPr>
          <w:spacing w:val="-1"/>
          <w:sz w:val="21"/>
        </w:rPr>
        <w:t>无合法有效驾</w:t>
      </w:r>
      <w:r>
        <w:rPr>
          <w:spacing w:val="-2"/>
          <w:sz w:val="21"/>
        </w:rPr>
        <w:t>驶证驾驶：</w:t>
      </w:r>
    </w:p>
    <w:p>
      <w:pPr>
        <w:pStyle w:val="BodyText"/>
        <w:spacing w:line="274" w:lineRule="exact" w:before="60"/>
        <w:ind w:left="372"/>
      </w:pPr>
      <w:r>
        <w:rPr/>
        <w:br w:type="column"/>
      </w:r>
      <w:r>
        <w:rPr/>
        <w:t>指下列情形之一：</w:t>
      </w:r>
    </w:p>
    <w:p>
      <w:pPr>
        <w:pStyle w:val="BodyText"/>
        <w:spacing w:line="282" w:lineRule="exact"/>
        <w:ind w:left="372"/>
      </w:pPr>
      <w:r>
        <w:rPr>
          <w:rFonts w:ascii="Times New Roman" w:eastAsia="Times New Roman"/>
        </w:rPr>
        <w:t>1</w:t>
      </w:r>
      <w:r>
        <w:rPr/>
        <w:t>、没有取得驾驶资格；</w:t>
      </w:r>
    </w:p>
    <w:p>
      <w:pPr>
        <w:pStyle w:val="BodyText"/>
        <w:spacing w:line="274" w:lineRule="exact"/>
        <w:ind w:left="372"/>
      </w:pPr>
      <w:r>
        <w:rPr>
          <w:rFonts w:ascii="Times New Roman" w:eastAsia="Times New Roman"/>
        </w:rPr>
        <w:t>2</w:t>
      </w:r>
      <w:r>
        <w:rPr/>
        <w:t>、驾驶与驾驶证准驾车型不相符合的车辆；</w:t>
      </w:r>
    </w:p>
    <w:p>
      <w:pPr>
        <w:pStyle w:val="BodyText"/>
        <w:spacing w:line="272" w:lineRule="exact"/>
        <w:ind w:left="372"/>
      </w:pPr>
      <w:r>
        <w:rPr>
          <w:rFonts w:ascii="Times New Roman" w:eastAsia="Times New Roman"/>
        </w:rPr>
        <w:t>3</w:t>
      </w:r>
      <w:r>
        <w:rPr/>
        <w:t>、持审验不合格的驾驶证驾驶；</w:t>
      </w:r>
    </w:p>
    <w:p>
      <w:pPr>
        <w:pStyle w:val="BodyText"/>
        <w:spacing w:line="225" w:lineRule="auto" w:before="8"/>
        <w:ind w:left="687" w:right="206" w:hanging="315"/>
      </w:pPr>
      <w:r>
        <w:rPr>
          <w:rFonts w:ascii="Times New Roman" w:eastAsia="Times New Roman"/>
        </w:rPr>
        <w:t>4</w:t>
      </w:r>
      <w:r>
        <w:rPr>
          <w:spacing w:val="-10"/>
        </w:rPr>
        <w:t>、持学习驾驶证学习驾车时，无教练员随车指导，或不按指定时间、路线</w:t>
      </w:r>
      <w:r>
        <w:rPr>
          <w:spacing w:val="-5"/>
        </w:rPr>
        <w:t>学习驾车。</w:t>
      </w:r>
    </w:p>
    <w:p>
      <w:pPr>
        <w:spacing w:after="0" w:line="225" w:lineRule="auto"/>
        <w:sectPr>
          <w:type w:val="continuous"/>
          <w:pgSz w:w="11900" w:h="16840"/>
          <w:pgMar w:top="1220" w:bottom="280" w:left="1300" w:right="1000"/>
          <w:cols w:num="2" w:equalWidth="0">
            <w:col w:w="2233" w:space="40"/>
            <w:col w:w="7327"/>
          </w:cols>
        </w:sectPr>
      </w:pPr>
    </w:p>
    <w:p>
      <w:pPr>
        <w:pStyle w:val="ListParagraph"/>
        <w:numPr>
          <w:ilvl w:val="1"/>
          <w:numId w:val="5"/>
        </w:numPr>
        <w:tabs>
          <w:tab w:pos="967" w:val="left" w:leader="none"/>
          <w:tab w:pos="968" w:val="left" w:leader="none"/>
          <w:tab w:pos="2645" w:val="left" w:leader="none"/>
        </w:tabs>
        <w:spacing w:line="273" w:lineRule="exact" w:before="46" w:after="0"/>
        <w:ind w:left="2645" w:right="0" w:hanging="2158"/>
        <w:jc w:val="left"/>
        <w:rPr>
          <w:sz w:val="21"/>
        </w:rPr>
      </w:pPr>
      <w:r>
        <w:rPr>
          <w:sz w:val="21"/>
        </w:rPr>
        <w:t>无有</w:t>
      </w:r>
      <w:r>
        <w:rPr>
          <w:spacing w:val="-3"/>
          <w:sz w:val="21"/>
        </w:rPr>
        <w:t>效</w:t>
      </w:r>
      <w:r>
        <w:rPr>
          <w:sz w:val="21"/>
        </w:rPr>
        <w:t>行驶</w:t>
      </w:r>
      <w:r>
        <w:rPr>
          <w:spacing w:val="-3"/>
          <w:sz w:val="21"/>
        </w:rPr>
        <w:t>证</w:t>
      </w:r>
      <w:r>
        <w:rPr>
          <w:sz w:val="21"/>
        </w:rPr>
        <w:t>：</w:t>
        <w:tab/>
        <w:t>指下</w:t>
      </w:r>
      <w:r>
        <w:rPr>
          <w:spacing w:val="-3"/>
          <w:sz w:val="21"/>
        </w:rPr>
        <w:t>列</w:t>
      </w:r>
      <w:r>
        <w:rPr>
          <w:sz w:val="21"/>
        </w:rPr>
        <w:t>情</w:t>
      </w:r>
      <w:r>
        <w:rPr>
          <w:spacing w:val="-3"/>
          <w:sz w:val="21"/>
        </w:rPr>
        <w:t>形</w:t>
      </w:r>
      <w:r>
        <w:rPr>
          <w:sz w:val="21"/>
        </w:rPr>
        <w:t>之</w:t>
      </w:r>
      <w:r>
        <w:rPr>
          <w:spacing w:val="-3"/>
          <w:sz w:val="21"/>
        </w:rPr>
        <w:t>一</w:t>
      </w:r>
      <w:r>
        <w:rPr>
          <w:sz w:val="21"/>
        </w:rPr>
        <w:t>：</w:t>
      </w:r>
    </w:p>
    <w:p>
      <w:pPr>
        <w:pStyle w:val="BodyText"/>
        <w:spacing w:line="279" w:lineRule="exact"/>
        <w:ind w:left="2645"/>
      </w:pPr>
      <w:r>
        <w:rPr>
          <w:rFonts w:ascii="Times New Roman" w:eastAsia="Times New Roman"/>
        </w:rPr>
        <w:t>1</w:t>
      </w:r>
      <w:r>
        <w:rPr/>
        <w:t>、机动车被依法注销登记的；</w:t>
      </w:r>
    </w:p>
    <w:p>
      <w:pPr>
        <w:pStyle w:val="BodyText"/>
        <w:spacing w:line="281" w:lineRule="exact"/>
        <w:ind w:left="2645"/>
      </w:pPr>
      <w:r>
        <w:rPr>
          <w:rFonts w:ascii="Times New Roman" w:eastAsia="Times New Roman"/>
        </w:rPr>
        <w:t>2</w:t>
      </w:r>
      <w:r>
        <w:rPr/>
        <w:t>、未依法按时进行或通过机动车安全技术检验。</w:t>
      </w:r>
    </w:p>
    <w:p>
      <w:pPr>
        <w:pStyle w:val="BodyText"/>
        <w:spacing w:before="7"/>
        <w:rPr>
          <w:sz w:val="12"/>
        </w:rPr>
      </w:pPr>
    </w:p>
    <w:p>
      <w:pPr>
        <w:spacing w:after="0"/>
        <w:rPr>
          <w:sz w:val="12"/>
        </w:rPr>
        <w:sectPr>
          <w:pgSz w:w="11900" w:h="16840"/>
          <w:pgMar w:top="1220" w:bottom="280" w:left="1300" w:right="1000"/>
        </w:sectPr>
      </w:pPr>
    </w:p>
    <w:p>
      <w:pPr>
        <w:pStyle w:val="ListParagraph"/>
        <w:numPr>
          <w:ilvl w:val="1"/>
          <w:numId w:val="5"/>
        </w:numPr>
        <w:tabs>
          <w:tab w:pos="967" w:val="left" w:leader="none"/>
          <w:tab w:pos="968" w:val="left" w:leader="none"/>
        </w:tabs>
        <w:spacing w:line="237" w:lineRule="auto" w:before="66" w:after="0"/>
        <w:ind w:left="968" w:right="0" w:hanging="481"/>
        <w:jc w:val="left"/>
        <w:rPr>
          <w:sz w:val="21"/>
        </w:rPr>
      </w:pPr>
      <w:r>
        <w:rPr>
          <w:spacing w:val="-33"/>
          <w:sz w:val="21"/>
        </w:rPr>
        <w:t>感 染 艾 滋 病 病毒（</w:t>
      </w:r>
      <w:r>
        <w:rPr>
          <w:rFonts w:ascii="Times New Roman" w:eastAsia="Times New Roman"/>
          <w:b/>
          <w:spacing w:val="-33"/>
          <w:sz w:val="21"/>
        </w:rPr>
        <w:t>HIV</w:t>
      </w:r>
      <w:r>
        <w:rPr>
          <w:spacing w:val="-33"/>
          <w:sz w:val="21"/>
        </w:rPr>
        <w:t>）或患</w:t>
      </w:r>
    </w:p>
    <w:p>
      <w:pPr>
        <w:pStyle w:val="BodyText"/>
        <w:spacing w:line="223" w:lineRule="auto" w:before="81"/>
        <w:ind w:left="118" w:right="203"/>
      </w:pPr>
      <w:r>
        <w:rPr/>
        <w:br w:type="column"/>
      </w:r>
      <w:r>
        <w:rPr>
          <w:spacing w:val="-2"/>
        </w:rPr>
        <w:t>艾滋病病毒指人类免疫缺陷病毒，英文缩写为 </w:t>
      </w:r>
      <w:r>
        <w:rPr>
          <w:rFonts w:ascii="Times New Roman" w:eastAsia="Times New Roman"/>
          <w:spacing w:val="-2"/>
        </w:rPr>
        <w:t>HIV</w:t>
      </w:r>
      <w:r>
        <w:rPr>
          <w:spacing w:val="-2"/>
        </w:rPr>
        <w:t>。艾滋病指人类免疫缺</w:t>
      </w:r>
      <w:r>
        <w:rPr>
          <w:spacing w:val="-6"/>
        </w:rPr>
        <w:t>陷病毒引起的获得性免疫缺陷综合征，英文缩写为 </w:t>
      </w:r>
      <w:r>
        <w:rPr>
          <w:rFonts w:ascii="Times New Roman" w:eastAsia="Times New Roman"/>
        </w:rPr>
        <w:t>AIDS</w:t>
      </w:r>
      <w:r>
        <w:rPr>
          <w:spacing w:val="-6"/>
        </w:rPr>
        <w:t>。在人体血液或其</w:t>
      </w:r>
    </w:p>
    <w:p>
      <w:pPr>
        <w:spacing w:after="0" w:line="223" w:lineRule="auto"/>
        <w:sectPr>
          <w:type w:val="continuous"/>
          <w:pgSz w:w="11900" w:h="16840"/>
          <w:pgMar w:top="1220" w:bottom="280" w:left="1300" w:right="1000"/>
          <w:cols w:num="2" w:equalWidth="0">
            <w:col w:w="2435" w:space="40"/>
            <w:col w:w="7125"/>
          </w:cols>
        </w:sectPr>
      </w:pPr>
    </w:p>
    <w:p>
      <w:pPr>
        <w:pStyle w:val="BodyText"/>
        <w:spacing w:line="223" w:lineRule="auto" w:before="3"/>
        <w:ind w:left="2592" w:right="98" w:hanging="1625"/>
      </w:pPr>
      <w:r>
        <w:rPr>
          <w:spacing w:val="-31"/>
          <w:w w:val="100"/>
        </w:rPr>
        <w:t>艾滋病</w:t>
      </w:r>
      <w:r>
        <w:rPr>
          <w:spacing w:val="-3"/>
          <w:w w:val="100"/>
        </w:rPr>
        <w:t>（</w:t>
      </w:r>
      <w:r>
        <w:rPr>
          <w:rFonts w:ascii="Times New Roman" w:eastAsia="Times New Roman"/>
          <w:b/>
          <w:spacing w:val="0"/>
          <w:w w:val="100"/>
        </w:rPr>
        <w:t>A</w:t>
      </w:r>
      <w:r>
        <w:rPr>
          <w:rFonts w:ascii="Times New Roman" w:eastAsia="Times New Roman"/>
          <w:b/>
          <w:spacing w:val="-3"/>
          <w:w w:val="100"/>
        </w:rPr>
        <w:t>I</w:t>
      </w:r>
      <w:r>
        <w:rPr>
          <w:rFonts w:ascii="Times New Roman" w:eastAsia="Times New Roman"/>
          <w:b/>
          <w:spacing w:val="-2"/>
          <w:w w:val="100"/>
        </w:rPr>
        <w:t>D</w:t>
      </w:r>
      <w:r>
        <w:rPr>
          <w:rFonts w:ascii="Times New Roman" w:eastAsia="Times New Roman"/>
          <w:b/>
          <w:w w:val="100"/>
        </w:rPr>
        <w:t>S</w:t>
      </w:r>
      <w:r>
        <w:rPr>
          <w:spacing w:val="-106"/>
          <w:w w:val="100"/>
        </w:rPr>
        <w:t>）</w:t>
      </w:r>
      <w:r>
        <w:rPr>
          <w:w w:val="100"/>
        </w:rPr>
        <w:t>：</w:t>
      </w:r>
      <w:r>
        <w:rPr/>
        <w:t> </w:t>
      </w:r>
      <w:r>
        <w:rPr>
          <w:spacing w:val="-5"/>
          <w:w w:val="100"/>
        </w:rPr>
        <w:t>它样本中检测到艾滋病病毒或其抗体呈阳性，没有出现临床症状或体征的，</w:t>
      </w:r>
      <w:r>
        <w:rPr>
          <w:spacing w:val="-7"/>
        </w:rPr>
        <w:t>为感染艾滋病病毒；如果同时出现了明显临床症状或体征的，为患艾滋病。</w:t>
      </w:r>
    </w:p>
    <w:p>
      <w:pPr>
        <w:pStyle w:val="BodyText"/>
        <w:spacing w:before="8"/>
        <w:rPr>
          <w:sz w:val="18"/>
        </w:rPr>
      </w:pPr>
    </w:p>
    <w:p>
      <w:pPr>
        <w:pStyle w:val="ListParagraph"/>
        <w:numPr>
          <w:ilvl w:val="1"/>
          <w:numId w:val="5"/>
        </w:numPr>
        <w:tabs>
          <w:tab w:pos="967" w:val="left" w:leader="none"/>
          <w:tab w:pos="968" w:val="left" w:leader="none"/>
          <w:tab w:pos="2592" w:val="left" w:leader="none"/>
        </w:tabs>
        <w:spacing w:line="237" w:lineRule="auto" w:before="0" w:after="0"/>
        <w:ind w:left="2592" w:right="206" w:hanging="2210"/>
        <w:jc w:val="left"/>
        <w:rPr>
          <w:sz w:val="21"/>
        </w:rPr>
      </w:pPr>
      <w:r>
        <w:rPr>
          <w:sz w:val="21"/>
        </w:rPr>
        <w:t>遗传</w:t>
      </w:r>
      <w:r>
        <w:rPr>
          <w:spacing w:val="-3"/>
          <w:sz w:val="21"/>
        </w:rPr>
        <w:t>性</w:t>
      </w:r>
      <w:r>
        <w:rPr>
          <w:sz w:val="21"/>
        </w:rPr>
        <w:t>疾病：</w:t>
        <w:tab/>
        <w:t>指生殖细胞或受精卵的遗传物质（染色体和基因）发生突变或畸变所引起 的疾</w:t>
      </w:r>
      <w:r>
        <w:rPr>
          <w:spacing w:val="-3"/>
          <w:sz w:val="21"/>
        </w:rPr>
        <w:t>病</w:t>
      </w:r>
      <w:r>
        <w:rPr>
          <w:sz w:val="21"/>
        </w:rPr>
        <w:t>，</w:t>
      </w:r>
      <w:r>
        <w:rPr>
          <w:spacing w:val="-3"/>
          <w:sz w:val="21"/>
        </w:rPr>
        <w:t>通</w:t>
      </w:r>
      <w:r>
        <w:rPr>
          <w:sz w:val="21"/>
        </w:rPr>
        <w:t>常</w:t>
      </w:r>
      <w:r>
        <w:rPr>
          <w:spacing w:val="-3"/>
          <w:sz w:val="21"/>
        </w:rPr>
        <w:t>具</w:t>
      </w:r>
      <w:r>
        <w:rPr>
          <w:sz w:val="21"/>
        </w:rPr>
        <w:t>有</w:t>
      </w:r>
      <w:r>
        <w:rPr>
          <w:spacing w:val="-3"/>
          <w:sz w:val="21"/>
        </w:rPr>
        <w:t>由</w:t>
      </w:r>
      <w:r>
        <w:rPr>
          <w:sz w:val="21"/>
        </w:rPr>
        <w:t>亲</w:t>
      </w:r>
      <w:r>
        <w:rPr>
          <w:spacing w:val="-3"/>
          <w:sz w:val="21"/>
        </w:rPr>
        <w:t>代</w:t>
      </w:r>
      <w:r>
        <w:rPr>
          <w:sz w:val="21"/>
        </w:rPr>
        <w:t>传至</w:t>
      </w:r>
      <w:r>
        <w:rPr>
          <w:spacing w:val="-3"/>
          <w:sz w:val="21"/>
        </w:rPr>
        <w:t>后</w:t>
      </w:r>
      <w:r>
        <w:rPr>
          <w:sz w:val="21"/>
        </w:rPr>
        <w:t>代</w:t>
      </w:r>
      <w:r>
        <w:rPr>
          <w:spacing w:val="-3"/>
          <w:sz w:val="21"/>
        </w:rPr>
        <w:t>的</w:t>
      </w:r>
      <w:r>
        <w:rPr>
          <w:sz w:val="21"/>
        </w:rPr>
        <w:t>垂</w:t>
      </w:r>
      <w:r>
        <w:rPr>
          <w:spacing w:val="-3"/>
          <w:sz w:val="21"/>
        </w:rPr>
        <w:t>直</w:t>
      </w:r>
      <w:r>
        <w:rPr>
          <w:sz w:val="21"/>
        </w:rPr>
        <w:t>传</w:t>
      </w:r>
      <w:r>
        <w:rPr>
          <w:spacing w:val="-3"/>
          <w:sz w:val="21"/>
        </w:rPr>
        <w:t>递</w:t>
      </w:r>
      <w:r>
        <w:rPr>
          <w:sz w:val="21"/>
        </w:rPr>
        <w:t>的</w:t>
      </w:r>
      <w:r>
        <w:rPr>
          <w:spacing w:val="-3"/>
          <w:sz w:val="21"/>
        </w:rPr>
        <w:t>特</w:t>
      </w:r>
      <w:r>
        <w:rPr>
          <w:sz w:val="21"/>
        </w:rPr>
        <w:t>征。</w:t>
      </w:r>
    </w:p>
    <w:p>
      <w:pPr>
        <w:pStyle w:val="BodyText"/>
        <w:spacing w:before="8"/>
        <w:rPr>
          <w:sz w:val="13"/>
        </w:rPr>
      </w:pPr>
    </w:p>
    <w:p>
      <w:pPr>
        <w:spacing w:after="0"/>
        <w:rPr>
          <w:sz w:val="13"/>
        </w:rPr>
        <w:sectPr>
          <w:type w:val="continuous"/>
          <w:pgSz w:w="11900" w:h="16840"/>
          <w:pgMar w:top="1220" w:bottom="280" w:left="1300" w:right="1000"/>
        </w:sectPr>
      </w:pPr>
    </w:p>
    <w:p>
      <w:pPr>
        <w:pStyle w:val="ListParagraph"/>
        <w:numPr>
          <w:ilvl w:val="1"/>
          <w:numId w:val="5"/>
        </w:numPr>
        <w:tabs>
          <w:tab w:pos="968" w:val="left" w:leader="none"/>
        </w:tabs>
        <w:spacing w:line="240" w:lineRule="auto" w:before="62" w:after="0"/>
        <w:ind w:left="968" w:right="0" w:hanging="574"/>
        <w:jc w:val="both"/>
        <w:rPr>
          <w:sz w:val="21"/>
        </w:rPr>
      </w:pPr>
      <w:r>
        <w:rPr>
          <w:spacing w:val="-3"/>
          <w:sz w:val="21"/>
        </w:rPr>
        <w:t>先天性畸形、变</w:t>
      </w:r>
      <w:r>
        <w:rPr>
          <w:spacing w:val="-33"/>
          <w:sz w:val="21"/>
        </w:rPr>
        <w:t>形 或 染 色 体 异常：</w:t>
      </w:r>
    </w:p>
    <w:p>
      <w:pPr>
        <w:pStyle w:val="BodyText"/>
        <w:spacing w:before="60"/>
        <w:ind w:left="118" w:right="102"/>
      </w:pPr>
      <w:r>
        <w:rPr/>
        <w:br w:type="column"/>
      </w:r>
      <w:r>
        <w:rPr/>
        <w:t>指被保险人出生时就具有的畸形、变形或染色体异常。先天性畸形、变形和染色体异常依照世界卫生组织《疾病和有关健康问题的国际统计分类》</w:t>
      </w:r>
    </w:p>
    <w:p>
      <w:pPr>
        <w:pStyle w:val="BodyText"/>
        <w:spacing w:line="289" w:lineRule="exact"/>
        <w:ind w:left="118"/>
      </w:pPr>
      <w:r>
        <w:rPr/>
        <w:t>（</w:t>
      </w:r>
      <w:r>
        <w:rPr>
          <w:rFonts w:ascii="Times New Roman" w:eastAsia="Times New Roman"/>
        </w:rPr>
        <w:t>ICD-10</w:t>
      </w:r>
      <w:r>
        <w:rPr/>
        <w:t>）确定。</w:t>
      </w:r>
    </w:p>
    <w:p>
      <w:pPr>
        <w:spacing w:after="0" w:line="289" w:lineRule="exact"/>
        <w:sectPr>
          <w:type w:val="continuous"/>
          <w:pgSz w:w="11900" w:h="16840"/>
          <w:pgMar w:top="1220" w:bottom="280" w:left="1300" w:right="1000"/>
          <w:cols w:num="2" w:equalWidth="0">
            <w:col w:w="2435" w:space="40"/>
            <w:col w:w="7125"/>
          </w:cols>
        </w:sectPr>
      </w:pPr>
    </w:p>
    <w:p>
      <w:pPr>
        <w:pStyle w:val="BodyText"/>
        <w:spacing w:before="6"/>
        <w:rPr>
          <w:sz w:val="12"/>
        </w:rPr>
      </w:pPr>
    </w:p>
    <w:p>
      <w:pPr>
        <w:pStyle w:val="ListParagraph"/>
        <w:numPr>
          <w:ilvl w:val="1"/>
          <w:numId w:val="5"/>
        </w:numPr>
        <w:tabs>
          <w:tab w:pos="968" w:val="left" w:leader="none"/>
        </w:tabs>
        <w:spacing w:line="237" w:lineRule="auto" w:before="65" w:after="0"/>
        <w:ind w:left="2592" w:right="206" w:hanging="2210"/>
        <w:jc w:val="both"/>
        <w:rPr>
          <w:sz w:val="21"/>
        </w:rPr>
      </w:pPr>
      <w:r>
        <w:rPr>
          <w:sz w:val="21"/>
        </w:rPr>
        <w:t>医院：         指我们指定的医院或经中华人民共和国卫生部门评审确定的二级或以上的公立医院，但不包括精神病院及专供康复、护理、疗养、戒酒、戒毒、养老等非以直接诊治病人为目的之医疗机构。该医院必须具有符合国家有关医院管理规则设置标准的医疗设备，且全天二十四小时有合格的医生和护士驻院提供医疗和护理服务。当被保险人因遭遇意外伤害事故须急救时不受此限，但经急救处理伤情稳定后，必须及时转入本附加合同所指医院治疗。</w:t>
      </w:r>
    </w:p>
    <w:p>
      <w:pPr>
        <w:pStyle w:val="BodyText"/>
        <w:spacing w:before="5"/>
        <w:rPr>
          <w:sz w:val="18"/>
        </w:rPr>
      </w:pPr>
    </w:p>
    <w:p>
      <w:pPr>
        <w:pStyle w:val="BodyText"/>
        <w:ind w:left="2645" w:right="206"/>
      </w:pPr>
      <w:r>
        <w:rPr/>
        <w:t>医生是指领有执业医师执照、在医院内行医并拥有处方权的医生、且非您或被保险人以及您或被保险人的配偶、父母、子女。</w:t>
      </w:r>
    </w:p>
    <w:p>
      <w:pPr>
        <w:pStyle w:val="BodyText"/>
        <w:spacing w:before="8"/>
        <w:rPr>
          <w:sz w:val="18"/>
        </w:rPr>
      </w:pPr>
    </w:p>
    <w:p>
      <w:pPr>
        <w:pStyle w:val="ListParagraph"/>
        <w:numPr>
          <w:ilvl w:val="1"/>
          <w:numId w:val="5"/>
        </w:numPr>
        <w:tabs>
          <w:tab w:pos="968" w:val="left" w:leader="none"/>
        </w:tabs>
        <w:spacing w:line="237" w:lineRule="auto" w:before="0" w:after="0"/>
        <w:ind w:left="2645" w:right="206" w:hanging="2263"/>
        <w:jc w:val="both"/>
        <w:rPr>
          <w:sz w:val="21"/>
        </w:rPr>
      </w:pPr>
      <w:r>
        <w:rPr>
          <w:spacing w:val="-3"/>
          <w:sz w:val="21"/>
        </w:rPr>
        <w:t>现金价值：     指本附加合同所具有的价值，通常体现为解除合同时，根据精算原理计算的，由我们退还的那部分金额。本附加合同的现金价值为零。</w:t>
      </w:r>
    </w:p>
    <w:p>
      <w:pPr>
        <w:pStyle w:val="BodyText"/>
        <w:spacing w:before="8"/>
        <w:rPr>
          <w:sz w:val="13"/>
        </w:rPr>
      </w:pPr>
    </w:p>
    <w:p>
      <w:pPr>
        <w:spacing w:after="0"/>
        <w:rPr>
          <w:sz w:val="13"/>
        </w:rPr>
        <w:sectPr>
          <w:type w:val="continuous"/>
          <w:pgSz w:w="11900" w:h="16840"/>
          <w:pgMar w:top="1220" w:bottom="280" w:left="1300" w:right="1000"/>
        </w:sectPr>
      </w:pPr>
    </w:p>
    <w:p>
      <w:pPr>
        <w:pStyle w:val="ListParagraph"/>
        <w:numPr>
          <w:ilvl w:val="1"/>
          <w:numId w:val="5"/>
        </w:numPr>
        <w:tabs>
          <w:tab w:pos="967" w:val="left" w:leader="none"/>
          <w:tab w:pos="968" w:val="left" w:leader="none"/>
        </w:tabs>
        <w:spacing w:line="240" w:lineRule="auto" w:before="62" w:after="0"/>
        <w:ind w:left="968" w:right="0" w:hanging="586"/>
        <w:jc w:val="left"/>
        <w:rPr>
          <w:sz w:val="21"/>
        </w:rPr>
      </w:pPr>
      <w:r>
        <w:rPr>
          <w:spacing w:val="-33"/>
          <w:sz w:val="21"/>
        </w:rPr>
        <w:t>肢 体 机 能 完 全丧失：</w:t>
      </w:r>
    </w:p>
    <w:p>
      <w:pPr>
        <w:pStyle w:val="BodyText"/>
        <w:spacing w:before="60"/>
        <w:ind w:left="171" w:right="206"/>
      </w:pPr>
      <w:r>
        <w:rPr/>
        <w:br w:type="column"/>
      </w:r>
      <w:r>
        <w:rPr/>
        <w:t>指肢体的三大关节中的两大关节僵硬，或不能随意识活动。肢体是指包括肩关节的整个上肢或包括髋关节的整个下肢。</w:t>
      </w:r>
    </w:p>
    <w:p>
      <w:pPr>
        <w:spacing w:after="0"/>
        <w:sectPr>
          <w:type w:val="continuous"/>
          <w:pgSz w:w="11900" w:h="16840"/>
          <w:pgMar w:top="1220" w:bottom="280" w:left="1300" w:right="1000"/>
          <w:cols w:num="2" w:equalWidth="0">
            <w:col w:w="2435" w:space="40"/>
            <w:col w:w="7125"/>
          </w:cols>
        </w:sectPr>
      </w:pPr>
    </w:p>
    <w:p>
      <w:pPr>
        <w:pStyle w:val="BodyText"/>
        <w:spacing w:before="6"/>
        <w:rPr>
          <w:sz w:val="13"/>
        </w:rPr>
      </w:pPr>
    </w:p>
    <w:p>
      <w:pPr>
        <w:spacing w:after="0"/>
        <w:rPr>
          <w:sz w:val="13"/>
        </w:rPr>
        <w:sectPr>
          <w:type w:val="continuous"/>
          <w:pgSz w:w="11900" w:h="16840"/>
          <w:pgMar w:top="1220" w:bottom="280" w:left="1300" w:right="1000"/>
        </w:sectPr>
      </w:pPr>
    </w:p>
    <w:p>
      <w:pPr>
        <w:pStyle w:val="ListParagraph"/>
        <w:numPr>
          <w:ilvl w:val="1"/>
          <w:numId w:val="5"/>
        </w:numPr>
        <w:tabs>
          <w:tab w:pos="967" w:val="left" w:leader="none"/>
          <w:tab w:pos="968" w:val="left" w:leader="none"/>
        </w:tabs>
        <w:spacing w:line="240" w:lineRule="auto" w:before="62" w:after="0"/>
        <w:ind w:left="968" w:right="0" w:hanging="586"/>
        <w:jc w:val="left"/>
        <w:rPr>
          <w:sz w:val="21"/>
        </w:rPr>
      </w:pPr>
      <w:r>
        <w:rPr>
          <w:spacing w:val="-33"/>
          <w:sz w:val="21"/>
        </w:rPr>
        <w:t>语 言 能 力 完 全丧失：</w:t>
      </w:r>
    </w:p>
    <w:p>
      <w:pPr>
        <w:pStyle w:val="BodyText"/>
        <w:spacing w:before="60"/>
        <w:ind w:left="171" w:right="206"/>
      </w:pPr>
      <w:r>
        <w:rPr/>
        <w:br w:type="column"/>
      </w:r>
      <w:r>
        <w:rPr/>
        <w:t>指无法发出四种语音（包括口唇音、齿舌音、口盖音和喉头音）中的任何三种、或声带全部切除，或因大脑语言中枢受伤害而患失语症。</w:t>
      </w:r>
    </w:p>
    <w:p>
      <w:pPr>
        <w:spacing w:after="0"/>
        <w:sectPr>
          <w:type w:val="continuous"/>
          <w:pgSz w:w="11900" w:h="16840"/>
          <w:pgMar w:top="1220" w:bottom="280" w:left="1300" w:right="1000"/>
          <w:cols w:num="2" w:equalWidth="0">
            <w:col w:w="2435" w:space="40"/>
            <w:col w:w="7125"/>
          </w:cols>
        </w:sectPr>
      </w:pPr>
    </w:p>
    <w:p>
      <w:pPr>
        <w:pStyle w:val="BodyText"/>
        <w:spacing w:before="6"/>
        <w:rPr>
          <w:sz w:val="13"/>
        </w:rPr>
      </w:pPr>
    </w:p>
    <w:p>
      <w:pPr>
        <w:spacing w:after="0"/>
        <w:rPr>
          <w:sz w:val="13"/>
        </w:rPr>
        <w:sectPr>
          <w:type w:val="continuous"/>
          <w:pgSz w:w="11900" w:h="16840"/>
          <w:pgMar w:top="1220" w:bottom="280" w:left="1300" w:right="1000"/>
        </w:sectPr>
      </w:pPr>
    </w:p>
    <w:p>
      <w:pPr>
        <w:pStyle w:val="ListParagraph"/>
        <w:numPr>
          <w:ilvl w:val="1"/>
          <w:numId w:val="5"/>
        </w:numPr>
        <w:tabs>
          <w:tab w:pos="967" w:val="left" w:leader="none"/>
          <w:tab w:pos="968" w:val="left" w:leader="none"/>
        </w:tabs>
        <w:spacing w:line="240" w:lineRule="auto" w:before="62" w:after="0"/>
        <w:ind w:left="968" w:right="0" w:hanging="586"/>
        <w:jc w:val="left"/>
        <w:rPr>
          <w:sz w:val="21"/>
        </w:rPr>
      </w:pPr>
      <w:r>
        <w:rPr>
          <w:spacing w:val="-33"/>
          <w:sz w:val="21"/>
        </w:rPr>
        <w:t>咀 嚼 吞 咽 能 力</w:t>
      </w:r>
      <w:r>
        <w:rPr>
          <w:spacing w:val="-15"/>
          <w:sz w:val="21"/>
        </w:rPr>
        <w:t>完全丧失：</w:t>
      </w:r>
    </w:p>
    <w:p>
      <w:pPr>
        <w:pStyle w:val="BodyText"/>
        <w:spacing w:before="60"/>
        <w:ind w:left="171" w:right="100"/>
      </w:pPr>
      <w:r>
        <w:rPr/>
        <w:br w:type="column"/>
      </w:r>
      <w:r>
        <w:rPr>
          <w:spacing w:val="-7"/>
        </w:rPr>
        <w:t>指因牙齿以外的原因导致器质障碍或机能障碍，以致不能作咀嚼吞咽运动， </w:t>
      </w:r>
      <w:r>
        <w:rPr>
          <w:spacing w:val="-5"/>
        </w:rPr>
        <w:t>除流质食物外不能摄取或吞咽的状态。</w:t>
      </w:r>
    </w:p>
    <w:p>
      <w:pPr>
        <w:spacing w:after="0"/>
        <w:sectPr>
          <w:type w:val="continuous"/>
          <w:pgSz w:w="11900" w:h="16840"/>
          <w:pgMar w:top="1220" w:bottom="280" w:left="1300" w:right="1000"/>
          <w:cols w:num="2" w:equalWidth="0">
            <w:col w:w="2435" w:space="40"/>
            <w:col w:w="7125"/>
          </w:cols>
        </w:sectPr>
      </w:pPr>
    </w:p>
    <w:p>
      <w:pPr>
        <w:pStyle w:val="BodyText"/>
        <w:spacing w:before="6"/>
        <w:rPr>
          <w:sz w:val="13"/>
        </w:rPr>
      </w:pPr>
    </w:p>
    <w:p>
      <w:pPr>
        <w:spacing w:after="0"/>
        <w:rPr>
          <w:sz w:val="13"/>
        </w:rPr>
        <w:sectPr>
          <w:type w:val="continuous"/>
          <w:pgSz w:w="11900" w:h="16840"/>
          <w:pgMar w:top="1220" w:bottom="280" w:left="1300" w:right="1000"/>
        </w:sectPr>
      </w:pPr>
    </w:p>
    <w:p>
      <w:pPr>
        <w:pStyle w:val="ListParagraph"/>
        <w:numPr>
          <w:ilvl w:val="1"/>
          <w:numId w:val="5"/>
        </w:numPr>
        <w:tabs>
          <w:tab w:pos="967" w:val="left" w:leader="none"/>
          <w:tab w:pos="968" w:val="left" w:leader="none"/>
        </w:tabs>
        <w:spacing w:line="240" w:lineRule="auto" w:before="62" w:after="0"/>
        <w:ind w:left="968" w:right="0" w:hanging="586"/>
        <w:jc w:val="left"/>
        <w:rPr>
          <w:sz w:val="21"/>
        </w:rPr>
      </w:pPr>
      <w:r>
        <w:rPr>
          <w:spacing w:val="-33"/>
          <w:sz w:val="21"/>
        </w:rPr>
        <w:t>六 项 基 本 日 常</w:t>
      </w:r>
      <w:r>
        <w:rPr>
          <w:spacing w:val="-15"/>
          <w:sz w:val="21"/>
        </w:rPr>
        <w:t>生活活动：</w:t>
      </w:r>
    </w:p>
    <w:p>
      <w:pPr>
        <w:pStyle w:val="BodyText"/>
        <w:spacing w:line="225" w:lineRule="auto" w:before="77"/>
        <w:ind w:left="171" w:right="98"/>
      </w:pPr>
      <w:r>
        <w:rPr/>
        <w:br w:type="column"/>
      </w:r>
      <w:r>
        <w:rPr>
          <w:spacing w:val="-11"/>
          <w:w w:val="100"/>
        </w:rPr>
        <w:t>六项基本日常生活活动是指：</w:t>
      </w:r>
      <w:r>
        <w:rPr>
          <w:w w:val="100"/>
        </w:rPr>
        <w:t>（</w:t>
      </w:r>
      <w:r>
        <w:rPr>
          <w:rFonts w:ascii="Times New Roman" w:eastAsia="Times New Roman"/>
          <w:spacing w:val="-3"/>
          <w:w w:val="100"/>
        </w:rPr>
        <w:t>1</w:t>
      </w:r>
      <w:r>
        <w:rPr>
          <w:spacing w:val="-29"/>
          <w:w w:val="100"/>
        </w:rPr>
        <w:t>）</w:t>
      </w:r>
      <w:r>
        <w:rPr>
          <w:spacing w:val="-15"/>
          <w:w w:val="100"/>
        </w:rPr>
        <w:t>穿衣：自己能够穿衣及脱衣；</w:t>
      </w:r>
      <w:r>
        <w:rPr>
          <w:w w:val="100"/>
        </w:rPr>
        <w:t>（</w:t>
      </w:r>
      <w:r>
        <w:rPr>
          <w:rFonts w:ascii="Times New Roman" w:eastAsia="Times New Roman"/>
          <w:spacing w:val="-3"/>
          <w:w w:val="100"/>
        </w:rPr>
        <w:t>2</w:t>
      </w:r>
      <w:r>
        <w:rPr>
          <w:spacing w:val="-29"/>
          <w:w w:val="100"/>
        </w:rPr>
        <w:t>）</w:t>
      </w:r>
      <w:r>
        <w:rPr>
          <w:w w:val="100"/>
        </w:rPr>
        <w:t>移动：</w:t>
      </w:r>
      <w:r>
        <w:rPr>
          <w:spacing w:val="-10"/>
          <w:w w:val="100"/>
        </w:rPr>
        <w:t>自己从一个房间到另一个房间；</w:t>
      </w:r>
      <w:r>
        <w:rPr>
          <w:w w:val="100"/>
        </w:rPr>
        <w:t>（</w:t>
      </w:r>
      <w:r>
        <w:rPr>
          <w:rFonts w:ascii="Times New Roman" w:eastAsia="Times New Roman"/>
          <w:w w:val="100"/>
        </w:rPr>
        <w:t>3</w:t>
      </w:r>
      <w:r>
        <w:rPr>
          <w:w w:val="100"/>
        </w:rPr>
        <w:t>）</w:t>
      </w:r>
      <w:r>
        <w:rPr>
          <w:spacing w:val="-11"/>
          <w:w w:val="100"/>
        </w:rPr>
        <w:t>行动：自己上下床或上下轮椅；</w:t>
      </w:r>
      <w:r>
        <w:rPr>
          <w:w w:val="100"/>
        </w:rPr>
        <w:t>（</w:t>
      </w:r>
      <w:r>
        <w:rPr>
          <w:rFonts w:ascii="Times New Roman" w:eastAsia="Times New Roman"/>
          <w:spacing w:val="-3"/>
          <w:w w:val="100"/>
        </w:rPr>
        <w:t>4</w:t>
      </w:r>
      <w:r>
        <w:rPr>
          <w:w w:val="100"/>
        </w:rPr>
        <w:t>）</w:t>
      </w:r>
      <w:r>
        <w:rPr>
          <w:spacing w:val="-10"/>
          <w:w w:val="100"/>
        </w:rPr>
        <w:t>如厕：自己控制进行大小便；</w:t>
      </w:r>
      <w:r>
        <w:rPr>
          <w:w w:val="100"/>
        </w:rPr>
        <w:t>（</w:t>
      </w:r>
      <w:r>
        <w:rPr>
          <w:rFonts w:ascii="Times New Roman" w:eastAsia="Times New Roman"/>
          <w:w w:val="100"/>
        </w:rPr>
        <w:t>5</w:t>
      </w:r>
      <w:r>
        <w:rPr>
          <w:spacing w:val="-3"/>
          <w:w w:val="100"/>
        </w:rPr>
        <w:t>）进食：自己从已准备好的碗或碟中取食</w:t>
      </w:r>
      <w:r>
        <w:rPr>
          <w:spacing w:val="-21"/>
          <w:w w:val="100"/>
        </w:rPr>
        <w:t>物放入口中；</w:t>
      </w:r>
      <w:r>
        <w:rPr>
          <w:w w:val="100"/>
        </w:rPr>
        <w:t>（</w:t>
      </w:r>
      <w:r>
        <w:rPr>
          <w:rFonts w:ascii="Times New Roman" w:eastAsia="Times New Roman"/>
          <w:spacing w:val="-3"/>
          <w:w w:val="100"/>
        </w:rPr>
        <w:t>6</w:t>
      </w:r>
      <w:r>
        <w:rPr>
          <w:w w:val="100"/>
        </w:rPr>
        <w:t>）</w:t>
      </w:r>
      <w:r>
        <w:rPr>
          <w:spacing w:val="-3"/>
          <w:w w:val="100"/>
        </w:rPr>
        <w:t>洗澡：自己进行淋浴或盆浴。</w:t>
      </w:r>
    </w:p>
    <w:p>
      <w:pPr>
        <w:spacing w:after="0" w:line="225" w:lineRule="auto"/>
        <w:sectPr>
          <w:type w:val="continuous"/>
          <w:pgSz w:w="11900" w:h="16840"/>
          <w:pgMar w:top="1220" w:bottom="280" w:left="1300" w:right="1000"/>
          <w:cols w:num="2" w:equalWidth="0">
            <w:col w:w="2435" w:space="40"/>
            <w:col w:w="7125"/>
          </w:cols>
        </w:sectPr>
      </w:pPr>
    </w:p>
    <w:p>
      <w:pPr>
        <w:pStyle w:val="BodyText"/>
        <w:spacing w:before="5"/>
        <w:rPr>
          <w:sz w:val="12"/>
        </w:rPr>
      </w:pPr>
    </w:p>
    <w:p>
      <w:pPr>
        <w:pStyle w:val="ListParagraph"/>
        <w:numPr>
          <w:ilvl w:val="1"/>
          <w:numId w:val="5"/>
        </w:numPr>
        <w:tabs>
          <w:tab w:pos="967" w:val="left" w:leader="none"/>
          <w:tab w:pos="968" w:val="left" w:leader="none"/>
          <w:tab w:pos="2645" w:val="left" w:leader="none"/>
        </w:tabs>
        <w:spacing w:line="223" w:lineRule="auto" w:before="83" w:after="0"/>
        <w:ind w:left="2645" w:right="203" w:hanging="2263"/>
        <w:jc w:val="left"/>
        <w:rPr>
          <w:sz w:val="21"/>
        </w:rPr>
      </w:pPr>
      <w:r>
        <w:rPr>
          <w:sz w:val="21"/>
        </w:rPr>
        <w:t>永久</w:t>
      </w:r>
      <w:r>
        <w:rPr>
          <w:spacing w:val="-3"/>
          <w:sz w:val="21"/>
        </w:rPr>
        <w:t>不</w:t>
      </w:r>
      <w:r>
        <w:rPr>
          <w:sz w:val="21"/>
        </w:rPr>
        <w:t>可逆：</w:t>
        <w:tab/>
        <w:t>指自</w:t>
      </w:r>
      <w:r>
        <w:rPr>
          <w:spacing w:val="-3"/>
          <w:sz w:val="21"/>
        </w:rPr>
        <w:t>疾</w:t>
      </w:r>
      <w:r>
        <w:rPr>
          <w:sz w:val="21"/>
        </w:rPr>
        <w:t>病</w:t>
      </w:r>
      <w:r>
        <w:rPr>
          <w:spacing w:val="-3"/>
          <w:sz w:val="21"/>
        </w:rPr>
        <w:t>确</w:t>
      </w:r>
      <w:r>
        <w:rPr>
          <w:sz w:val="21"/>
        </w:rPr>
        <w:t>诊</w:t>
      </w:r>
      <w:r>
        <w:rPr>
          <w:spacing w:val="-3"/>
          <w:sz w:val="21"/>
        </w:rPr>
        <w:t>或</w:t>
      </w:r>
      <w:r>
        <w:rPr>
          <w:sz w:val="21"/>
        </w:rPr>
        <w:t>意</w:t>
      </w:r>
      <w:r>
        <w:rPr>
          <w:spacing w:val="-3"/>
          <w:sz w:val="21"/>
        </w:rPr>
        <w:t>外</w:t>
      </w:r>
      <w:r>
        <w:rPr>
          <w:sz w:val="21"/>
        </w:rPr>
        <w:t>伤</w:t>
      </w:r>
      <w:r>
        <w:rPr>
          <w:spacing w:val="-3"/>
          <w:sz w:val="21"/>
        </w:rPr>
        <w:t>害</w:t>
      </w:r>
      <w:r>
        <w:rPr>
          <w:sz w:val="21"/>
        </w:rPr>
        <w:t>事故</w:t>
      </w:r>
      <w:r>
        <w:rPr>
          <w:spacing w:val="-3"/>
          <w:sz w:val="21"/>
        </w:rPr>
        <w:t>发</w:t>
      </w:r>
      <w:r>
        <w:rPr>
          <w:sz w:val="21"/>
        </w:rPr>
        <w:t>生</w:t>
      </w:r>
      <w:r>
        <w:rPr>
          <w:spacing w:val="-3"/>
          <w:sz w:val="21"/>
        </w:rPr>
        <w:t>之</w:t>
      </w:r>
      <w:r>
        <w:rPr>
          <w:sz w:val="21"/>
        </w:rPr>
        <w:t>日</w:t>
      </w:r>
      <w:r>
        <w:rPr>
          <w:spacing w:val="-3"/>
          <w:sz w:val="21"/>
        </w:rPr>
        <w:t>起</w:t>
      </w:r>
      <w:r>
        <w:rPr>
          <w:sz w:val="21"/>
        </w:rPr>
        <w:t>，</w:t>
      </w:r>
      <w:r>
        <w:rPr>
          <w:spacing w:val="-3"/>
          <w:sz w:val="21"/>
        </w:rPr>
        <w:t>经</w:t>
      </w:r>
      <w:r>
        <w:rPr>
          <w:sz w:val="21"/>
        </w:rPr>
        <w:t>过</w:t>
      </w:r>
      <w:r>
        <w:rPr>
          <w:spacing w:val="-3"/>
          <w:sz w:val="21"/>
        </w:rPr>
        <w:t>积</w:t>
      </w:r>
      <w:r>
        <w:rPr>
          <w:sz w:val="21"/>
        </w:rPr>
        <w:t>极</w:t>
      </w:r>
      <w:r>
        <w:rPr>
          <w:spacing w:val="-3"/>
          <w:sz w:val="21"/>
        </w:rPr>
        <w:t>治</w:t>
      </w:r>
      <w:r>
        <w:rPr>
          <w:sz w:val="21"/>
        </w:rPr>
        <w:t>疗</w:t>
      </w:r>
      <w:r>
        <w:rPr>
          <w:spacing w:val="-24"/>
          <w:sz w:val="21"/>
        </w:rPr>
        <w:t> </w:t>
      </w:r>
      <w:r>
        <w:rPr>
          <w:rFonts w:ascii="Times New Roman" w:eastAsia="Times New Roman"/>
          <w:sz w:val="21"/>
        </w:rPr>
        <w:t>180</w:t>
      </w:r>
      <w:r>
        <w:rPr>
          <w:rFonts w:ascii="Times New Roman" w:eastAsia="Times New Roman"/>
          <w:spacing w:val="25"/>
          <w:sz w:val="21"/>
        </w:rPr>
        <w:t> </w:t>
      </w:r>
      <w:r>
        <w:rPr>
          <w:sz w:val="21"/>
        </w:rPr>
        <w:t>天</w:t>
      </w:r>
      <w:r>
        <w:rPr>
          <w:spacing w:val="-3"/>
          <w:sz w:val="21"/>
        </w:rPr>
        <w:t>后</w:t>
      </w:r>
      <w:r>
        <w:rPr>
          <w:sz w:val="21"/>
        </w:rPr>
        <w:t>，</w:t>
      </w:r>
      <w:r>
        <w:rPr>
          <w:spacing w:val="-3"/>
          <w:sz w:val="21"/>
        </w:rPr>
        <w:t>仍</w:t>
      </w:r>
      <w:r>
        <w:rPr>
          <w:sz w:val="21"/>
        </w:rPr>
        <w:t>无法通</w:t>
      </w:r>
      <w:r>
        <w:rPr>
          <w:spacing w:val="-3"/>
          <w:sz w:val="21"/>
        </w:rPr>
        <w:t>过</w:t>
      </w:r>
      <w:r>
        <w:rPr>
          <w:sz w:val="21"/>
        </w:rPr>
        <w:t>现</w:t>
      </w:r>
      <w:r>
        <w:rPr>
          <w:spacing w:val="-3"/>
          <w:sz w:val="21"/>
        </w:rPr>
        <w:t>有</w:t>
      </w:r>
      <w:r>
        <w:rPr>
          <w:sz w:val="21"/>
        </w:rPr>
        <w:t>医</w:t>
      </w:r>
      <w:r>
        <w:rPr>
          <w:spacing w:val="-3"/>
          <w:sz w:val="21"/>
        </w:rPr>
        <w:t>疗</w:t>
      </w:r>
      <w:r>
        <w:rPr>
          <w:sz w:val="21"/>
        </w:rPr>
        <w:t>手</w:t>
      </w:r>
      <w:r>
        <w:rPr>
          <w:spacing w:val="-3"/>
          <w:sz w:val="21"/>
        </w:rPr>
        <w:t>段</w:t>
      </w:r>
      <w:r>
        <w:rPr>
          <w:sz w:val="21"/>
        </w:rPr>
        <w:t>恢</w:t>
      </w:r>
      <w:r>
        <w:rPr>
          <w:spacing w:val="-3"/>
          <w:sz w:val="21"/>
        </w:rPr>
        <w:t>复</w:t>
      </w:r>
      <w:r>
        <w:rPr>
          <w:sz w:val="21"/>
        </w:rPr>
        <w:t>。</w:t>
      </w:r>
    </w:p>
    <w:p>
      <w:pPr>
        <w:pStyle w:val="BodyText"/>
        <w:rPr>
          <w:sz w:val="20"/>
        </w:rPr>
      </w:pPr>
    </w:p>
    <w:p>
      <w:pPr>
        <w:pStyle w:val="BodyText"/>
        <w:spacing w:before="3"/>
        <w:rPr>
          <w:sz w:val="18"/>
        </w:rPr>
      </w:pPr>
    </w:p>
    <w:p>
      <w:pPr>
        <w:pStyle w:val="BodyText"/>
        <w:tabs>
          <w:tab w:pos="2645" w:val="left" w:leader="none"/>
        </w:tabs>
        <w:spacing w:line="225" w:lineRule="auto"/>
        <w:ind w:left="2645" w:right="203" w:hanging="2542"/>
        <w:jc w:val="both"/>
      </w:pPr>
      <w:r>
        <w:rPr/>
        <w:t>第 </w:t>
      </w:r>
      <w:r>
        <w:rPr>
          <w:rFonts w:ascii="Times New Roman" w:eastAsia="Times New Roman"/>
          <w:b/>
        </w:rPr>
        <w:t>8 </w:t>
      </w:r>
      <w:r>
        <w:rPr/>
        <w:t>章</w:t>
      </w:r>
      <w:r>
        <w:rPr>
          <w:spacing w:val="58"/>
        </w:rPr>
        <w:t> </w:t>
      </w:r>
      <w:r>
        <w:rPr/>
        <w:t>附表</w:t>
        <w:tab/>
        <w:t>本附</w:t>
      </w:r>
      <w:r>
        <w:rPr>
          <w:spacing w:val="-3"/>
        </w:rPr>
        <w:t>加</w:t>
      </w:r>
      <w:r>
        <w:rPr/>
        <w:t>合</w:t>
      </w:r>
      <w:r>
        <w:rPr>
          <w:spacing w:val="-3"/>
        </w:rPr>
        <w:t>同</w:t>
      </w:r>
      <w:r>
        <w:rPr/>
        <w:t>所</w:t>
      </w:r>
      <w:r>
        <w:rPr>
          <w:spacing w:val="-3"/>
        </w:rPr>
        <w:t>指</w:t>
      </w:r>
      <w:r>
        <w:rPr/>
        <w:t>重</w:t>
      </w:r>
      <w:r>
        <w:rPr>
          <w:spacing w:val="-3"/>
        </w:rPr>
        <w:t>大</w:t>
      </w:r>
      <w:r>
        <w:rPr/>
        <w:t>疾</w:t>
      </w:r>
      <w:r>
        <w:rPr>
          <w:spacing w:val="-3"/>
        </w:rPr>
        <w:t>病</w:t>
      </w:r>
      <w:r>
        <w:rPr/>
        <w:t>包括</w:t>
      </w:r>
      <w:r>
        <w:rPr>
          <w:spacing w:val="-3"/>
        </w:rPr>
        <w:t>以</w:t>
      </w:r>
      <w:r>
        <w:rPr/>
        <w:t>下</w:t>
      </w:r>
      <w:r>
        <w:rPr>
          <w:spacing w:val="-3"/>
        </w:rPr>
        <w:t>疾</w:t>
      </w:r>
      <w:r>
        <w:rPr/>
        <w:t>病</w:t>
      </w:r>
      <w:r>
        <w:rPr>
          <w:spacing w:val="-27"/>
        </w:rPr>
        <w:t>、</w:t>
      </w:r>
      <w:r>
        <w:rPr/>
        <w:t>疾</w:t>
      </w:r>
      <w:r>
        <w:rPr>
          <w:spacing w:val="-3"/>
        </w:rPr>
        <w:t>病</w:t>
      </w:r>
      <w:r>
        <w:rPr/>
        <w:t>状</w:t>
      </w:r>
      <w:r>
        <w:rPr>
          <w:spacing w:val="-3"/>
        </w:rPr>
        <w:t>态</w:t>
      </w:r>
      <w:r>
        <w:rPr/>
        <w:t>或手</w:t>
      </w:r>
      <w:r>
        <w:rPr>
          <w:spacing w:val="-3"/>
        </w:rPr>
        <w:t>术</w:t>
      </w:r>
      <w:r>
        <w:rPr>
          <w:spacing w:val="-24"/>
        </w:rPr>
        <w:t>。</w:t>
      </w:r>
      <w:r>
        <w:rPr>
          <w:spacing w:val="-3"/>
        </w:rPr>
        <w:t>其</w:t>
      </w:r>
      <w:r>
        <w:rPr/>
        <w:t>中第</w:t>
      </w:r>
      <w:r>
        <w:rPr>
          <w:spacing w:val="-38"/>
        </w:rPr>
        <w:t> </w:t>
      </w:r>
      <w:r>
        <w:rPr>
          <w:rFonts w:ascii="Times New Roman" w:eastAsia="Times New Roman"/>
        </w:rPr>
        <w:t>1-22</w:t>
      </w:r>
      <w:r>
        <w:rPr>
          <w:rFonts w:ascii="Times New Roman" w:eastAsia="Times New Roman"/>
          <w:spacing w:val="15"/>
        </w:rPr>
        <w:t> </w:t>
      </w:r>
      <w:r>
        <w:rPr/>
        <w:t>项为中</w:t>
      </w:r>
      <w:r>
        <w:rPr>
          <w:spacing w:val="-3"/>
        </w:rPr>
        <w:t>国</w:t>
      </w:r>
      <w:r>
        <w:rPr/>
        <w:t>保</w:t>
      </w:r>
      <w:r>
        <w:rPr>
          <w:spacing w:val="-3"/>
        </w:rPr>
        <w:t>险</w:t>
      </w:r>
      <w:r>
        <w:rPr/>
        <w:t>行</w:t>
      </w:r>
      <w:r>
        <w:rPr>
          <w:spacing w:val="-3"/>
        </w:rPr>
        <w:t>业</w:t>
      </w:r>
      <w:r>
        <w:rPr/>
        <w:t>协</w:t>
      </w:r>
      <w:r>
        <w:rPr>
          <w:spacing w:val="-3"/>
        </w:rPr>
        <w:t>会</w:t>
      </w:r>
      <w:r>
        <w:rPr/>
        <w:t>与</w:t>
      </w:r>
      <w:r>
        <w:rPr>
          <w:spacing w:val="-3"/>
        </w:rPr>
        <w:t>中</w:t>
      </w:r>
      <w:r>
        <w:rPr/>
        <w:t>国医</w:t>
      </w:r>
      <w:r>
        <w:rPr>
          <w:spacing w:val="-3"/>
        </w:rPr>
        <w:t>师</w:t>
      </w:r>
      <w:r>
        <w:rPr/>
        <w:t>协</w:t>
      </w:r>
      <w:r>
        <w:rPr>
          <w:spacing w:val="-3"/>
        </w:rPr>
        <w:t>会</w:t>
      </w:r>
      <w:r>
        <w:rPr/>
        <w:t>共</w:t>
      </w:r>
      <w:r>
        <w:rPr>
          <w:spacing w:val="-3"/>
        </w:rPr>
        <w:t>同</w:t>
      </w:r>
      <w:r>
        <w:rPr/>
        <w:t>制</w:t>
      </w:r>
      <w:r>
        <w:rPr>
          <w:spacing w:val="-3"/>
        </w:rPr>
        <w:t>定</w:t>
      </w:r>
      <w:r>
        <w:rPr/>
        <w:t>的</w:t>
      </w:r>
      <w:r>
        <w:rPr>
          <w:spacing w:val="-3"/>
        </w:rPr>
        <w:t>疾</w:t>
      </w:r>
      <w:r>
        <w:rPr/>
        <w:t>病定</w:t>
      </w:r>
      <w:r>
        <w:rPr>
          <w:spacing w:val="-3"/>
        </w:rPr>
        <w:t>义</w:t>
      </w:r>
      <w:r>
        <w:rPr/>
        <w:t>，第</w:t>
      </w:r>
      <w:r>
        <w:rPr>
          <w:spacing w:val="-13"/>
        </w:rPr>
        <w:t> </w:t>
      </w:r>
      <w:r>
        <w:rPr>
          <w:rFonts w:ascii="Times New Roman" w:eastAsia="Times New Roman"/>
        </w:rPr>
        <w:t>23-26</w:t>
      </w:r>
      <w:r>
        <w:rPr>
          <w:rFonts w:ascii="Times New Roman" w:eastAsia="Times New Roman"/>
          <w:spacing w:val="41"/>
        </w:rPr>
        <w:t> </w:t>
      </w:r>
      <w:r>
        <w:rPr/>
        <w:t>项为我们</w:t>
      </w:r>
      <w:r>
        <w:rPr>
          <w:spacing w:val="-3"/>
        </w:rPr>
        <w:t>增</w:t>
      </w:r>
      <w:r>
        <w:rPr/>
        <w:t>加</w:t>
      </w:r>
      <w:r>
        <w:rPr>
          <w:spacing w:val="-3"/>
        </w:rPr>
        <w:t>的</w:t>
      </w:r>
      <w:r>
        <w:rPr/>
        <w:t>疾</w:t>
      </w:r>
      <w:r>
        <w:rPr>
          <w:spacing w:val="-3"/>
        </w:rPr>
        <w:t>病</w:t>
      </w:r>
      <w:r>
        <w:rPr/>
        <w:t>种</w:t>
      </w:r>
      <w:r>
        <w:rPr>
          <w:spacing w:val="-3"/>
        </w:rPr>
        <w:t>类</w:t>
      </w:r>
      <w:r>
        <w:rPr/>
        <w:t>并</w:t>
      </w:r>
      <w:r>
        <w:rPr>
          <w:spacing w:val="-3"/>
        </w:rPr>
        <w:t>自</w:t>
      </w:r>
      <w:r>
        <w:rPr/>
        <w:t>行制</w:t>
      </w:r>
      <w:r>
        <w:rPr>
          <w:spacing w:val="-3"/>
        </w:rPr>
        <w:t>定</w:t>
      </w:r>
      <w:r>
        <w:rPr/>
        <w:t>的</w:t>
      </w:r>
      <w:r>
        <w:rPr>
          <w:spacing w:val="-3"/>
        </w:rPr>
        <w:t>疾</w:t>
      </w:r>
      <w:r>
        <w:rPr/>
        <w:t>病</w:t>
      </w:r>
      <w:r>
        <w:rPr>
          <w:spacing w:val="-3"/>
        </w:rPr>
        <w:t>定</w:t>
      </w:r>
      <w:r>
        <w:rPr/>
        <w:t>义。</w:t>
      </w:r>
    </w:p>
    <w:p>
      <w:pPr>
        <w:pStyle w:val="BodyText"/>
        <w:spacing w:before="5"/>
        <w:rPr>
          <w:sz w:val="18"/>
        </w:rPr>
      </w:pPr>
    </w:p>
    <w:p>
      <w:pPr>
        <w:pStyle w:val="BodyText"/>
        <w:tabs>
          <w:tab w:pos="2645" w:val="left" w:leader="none"/>
        </w:tabs>
        <w:ind w:left="948"/>
      </w:pPr>
      <w:r>
        <w:rPr>
          <w:rFonts w:ascii="Times New Roman" w:eastAsia="Times New Roman"/>
          <w:b/>
        </w:rPr>
        <w:t>1.</w:t>
      </w:r>
      <w:r>
        <w:rPr/>
        <w:t>恶性肿瘤</w:t>
        <w:tab/>
        <w:t>指恶性细胞不受</w:t>
      </w:r>
      <w:r>
        <w:rPr>
          <w:spacing w:val="-3"/>
        </w:rPr>
        <w:t>控</w:t>
      </w:r>
      <w:r>
        <w:rPr/>
        <w:t>制的</w:t>
      </w:r>
      <w:r>
        <w:rPr>
          <w:spacing w:val="-3"/>
        </w:rPr>
        <w:t>进</w:t>
      </w:r>
      <w:r>
        <w:rPr/>
        <w:t>行性增长和扩散</w:t>
      </w:r>
      <w:r>
        <w:rPr>
          <w:spacing w:val="-3"/>
        </w:rPr>
        <w:t>，</w:t>
      </w:r>
      <w:r>
        <w:rPr/>
        <w:t>浸润</w:t>
      </w:r>
      <w:r>
        <w:rPr>
          <w:spacing w:val="-3"/>
        </w:rPr>
        <w:t>和</w:t>
      </w:r>
      <w:r>
        <w:rPr/>
        <w:t>破坏周围正常组</w:t>
      </w:r>
      <w:r>
        <w:rPr>
          <w:spacing w:val="-3"/>
        </w:rPr>
        <w:t>织</w:t>
      </w:r>
      <w:r>
        <w:rPr/>
        <w:t>，可</w:t>
      </w:r>
    </w:p>
    <w:p>
      <w:pPr>
        <w:spacing w:after="0"/>
        <w:sectPr>
          <w:type w:val="continuous"/>
          <w:pgSz w:w="11900" w:h="16840"/>
          <w:pgMar w:top="1220" w:bottom="280" w:left="1300" w:right="1000"/>
        </w:sectPr>
      </w:pPr>
    </w:p>
    <w:p>
      <w:pPr>
        <w:pStyle w:val="BodyText"/>
        <w:spacing w:line="237" w:lineRule="auto" w:before="27"/>
        <w:ind w:left="2265" w:right="206"/>
        <w:jc w:val="both"/>
      </w:pPr>
      <w:r>
        <w:rPr/>
        <w:t>以经血管、淋巴管和体腔扩散转移到身体其它部位的疾病。经病理学检查结果确诊，临床诊断属于世界卫生组织《疾病和有关健康问题的国际统计分类》（</w:t>
      </w:r>
      <w:r>
        <w:rPr>
          <w:rFonts w:ascii="Times New Roman" w:eastAsia="Times New Roman"/>
        </w:rPr>
        <w:t>ICD-10</w:t>
      </w:r>
      <w:r>
        <w:rPr/>
        <w:t>）的恶性肿瘤范畴。</w:t>
      </w:r>
    </w:p>
    <w:p>
      <w:pPr>
        <w:pStyle w:val="BodyText"/>
        <w:spacing w:before="2"/>
        <w:rPr>
          <w:sz w:val="17"/>
        </w:rPr>
      </w:pPr>
    </w:p>
    <w:p>
      <w:pPr>
        <w:pStyle w:val="BodyText"/>
        <w:spacing w:line="273" w:lineRule="exact"/>
        <w:ind w:left="2265"/>
      </w:pPr>
      <w:r>
        <w:rPr/>
        <w:t>下列疾病不在保障范围内：</w:t>
      </w:r>
    </w:p>
    <w:p>
      <w:pPr>
        <w:pStyle w:val="BodyText"/>
        <w:spacing w:line="280" w:lineRule="exact"/>
        <w:ind w:left="2265"/>
      </w:pPr>
      <w:r>
        <w:rPr/>
        <w:t>（</w:t>
      </w:r>
      <w:r>
        <w:rPr>
          <w:rFonts w:ascii="Times New Roman" w:eastAsia="Times New Roman"/>
        </w:rPr>
        <w:t>1</w:t>
      </w:r>
      <w:r>
        <w:rPr/>
        <w:t>）原位癌；</w:t>
      </w:r>
    </w:p>
    <w:p>
      <w:pPr>
        <w:pStyle w:val="BodyText"/>
        <w:spacing w:line="274" w:lineRule="exact"/>
        <w:ind w:left="2265"/>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74" w:lineRule="exact"/>
        <w:ind w:left="2265"/>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line="272" w:lineRule="exact"/>
        <w:ind w:left="2265"/>
      </w:pPr>
      <w:r>
        <w:rPr/>
        <w:t>（</w:t>
      </w:r>
      <w:r>
        <w:rPr>
          <w:rFonts w:ascii="Times New Roman" w:eastAsia="Times New Roman"/>
        </w:rPr>
        <w:t>4</w:t>
      </w:r>
      <w:r>
        <w:rPr/>
        <w:t>）皮肤癌（不包括恶性黑色素瘤及已发Th转移的皮肤癌）；</w:t>
      </w:r>
    </w:p>
    <w:p>
      <w:pPr>
        <w:pStyle w:val="BodyText"/>
        <w:spacing w:line="272" w:lineRule="exact"/>
        <w:ind w:left="2265"/>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line="282" w:lineRule="exact"/>
        <w:ind w:left="2265"/>
      </w:pPr>
      <w:r>
        <w:rPr/>
        <w:t>（</w:t>
      </w:r>
      <w:r>
        <w:rPr>
          <w:rFonts w:ascii="Times New Roman" w:eastAsia="Times New Roman"/>
        </w:rPr>
        <w:t>6</w:t>
      </w:r>
      <w:r>
        <w:rPr/>
        <w:t>）感染艾滋病病毒或患艾滋病期间所患恶性肿瘤。</w:t>
      </w:r>
    </w:p>
    <w:p>
      <w:pPr>
        <w:pStyle w:val="BodyText"/>
        <w:spacing w:before="9"/>
        <w:rPr>
          <w:sz w:val="18"/>
        </w:rPr>
      </w:pPr>
    </w:p>
    <w:p>
      <w:pPr>
        <w:pStyle w:val="BodyText"/>
        <w:spacing w:line="223" w:lineRule="auto"/>
        <w:ind w:left="2265" w:right="206" w:hanging="1697"/>
        <w:jc w:val="both"/>
      </w:pPr>
      <w:r>
        <w:rPr>
          <w:rFonts w:ascii="Times New Roman" w:eastAsia="Times New Roman"/>
          <w:b/>
        </w:rPr>
        <w:t>2.</w:t>
      </w:r>
      <w:r>
        <w:rPr>
          <w:spacing w:val="-3"/>
        </w:rPr>
        <w:t>急性心肌梗塞 指因冠状动脉阻塞导致的相应区域供血不足造成部分心肌坏死。须满足下列至少三项条件：</w:t>
      </w:r>
    </w:p>
    <w:p>
      <w:pPr>
        <w:pStyle w:val="BodyText"/>
        <w:spacing w:line="281" w:lineRule="exact"/>
        <w:ind w:left="2265"/>
      </w:pPr>
      <w:r>
        <w:rPr/>
        <w:t>（</w:t>
      </w:r>
      <w:r>
        <w:rPr>
          <w:rFonts w:ascii="Times New Roman" w:eastAsia="Times New Roman"/>
        </w:rPr>
        <w:t>1</w:t>
      </w:r>
      <w:r>
        <w:rPr/>
        <w:t>）典型临床表现，例如急性胸痛等；</w:t>
      </w:r>
    </w:p>
    <w:p>
      <w:pPr>
        <w:pStyle w:val="BodyText"/>
        <w:spacing w:line="272" w:lineRule="exact"/>
        <w:ind w:left="2265"/>
      </w:pPr>
      <w:r>
        <w:rPr/>
        <w:t>（</w:t>
      </w:r>
      <w:r>
        <w:rPr>
          <w:rFonts w:ascii="Times New Roman" w:eastAsia="Times New Roman"/>
        </w:rPr>
        <w:t>2</w:t>
      </w:r>
      <w:r>
        <w:rPr/>
        <w:t>）新近的心电图改变提示急性心肌梗塞；</w:t>
      </w:r>
    </w:p>
    <w:p>
      <w:pPr>
        <w:pStyle w:val="BodyText"/>
        <w:spacing w:line="225" w:lineRule="auto" w:before="7"/>
        <w:ind w:left="2265" w:right="206"/>
      </w:pPr>
      <w:r>
        <w:rPr>
          <w:spacing w:val="-15"/>
        </w:rPr>
        <w:t>（</w:t>
      </w:r>
      <w:r>
        <w:rPr>
          <w:rFonts w:ascii="Times New Roman" w:eastAsia="Times New Roman"/>
          <w:spacing w:val="-15"/>
        </w:rPr>
        <w:t>3</w:t>
      </w:r>
      <w:r>
        <w:rPr>
          <w:spacing w:val="-15"/>
        </w:rPr>
        <w:t>）</w:t>
      </w:r>
      <w:r>
        <w:rPr>
          <w:spacing w:val="-6"/>
        </w:rPr>
        <w:t>心肌酶或肌钙蛋白有诊断意义的升高，或呈符合急性心肌梗塞的动态</w:t>
      </w:r>
      <w:r>
        <w:rPr>
          <w:spacing w:val="-4"/>
        </w:rPr>
        <w:t>性变化；</w:t>
      </w:r>
    </w:p>
    <w:p>
      <w:pPr>
        <w:pStyle w:val="BodyText"/>
        <w:spacing w:line="281" w:lineRule="exact"/>
        <w:ind w:left="2265"/>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w:t>
      </w:r>
    </w:p>
    <w:p>
      <w:pPr>
        <w:pStyle w:val="BodyText"/>
        <w:spacing w:line="282" w:lineRule="exact"/>
        <w:ind w:left="2265"/>
      </w:pPr>
      <w:r>
        <w:rPr>
          <w:rFonts w:ascii="Times New Roman" w:eastAsia="Times New Roman"/>
        </w:rPr>
        <w:t>50%</w:t>
      </w:r>
      <w:r>
        <w:rPr/>
        <w:t>。</w:t>
      </w:r>
    </w:p>
    <w:p>
      <w:pPr>
        <w:pStyle w:val="BodyText"/>
        <w:spacing w:before="9"/>
        <w:rPr>
          <w:sz w:val="18"/>
        </w:rPr>
      </w:pPr>
    </w:p>
    <w:p>
      <w:pPr>
        <w:pStyle w:val="BodyText"/>
        <w:spacing w:line="223" w:lineRule="auto"/>
        <w:ind w:left="2265" w:right="203" w:hanging="1697"/>
        <w:jc w:val="both"/>
      </w:pPr>
      <w:r>
        <w:rPr>
          <w:rFonts w:ascii="Times New Roman" w:eastAsia="Times New Roman"/>
          <w:b/>
        </w:rPr>
        <w:t>3.</w:t>
      </w:r>
      <w:r>
        <w:rPr>
          <w:spacing w:val="-3"/>
        </w:rPr>
        <w:t>脑中风后遗症 指因脑血管的突发病变引起脑血管出血、栓塞或梗塞，并导致神经系统永</w:t>
      </w:r>
      <w:r>
        <w:rPr>
          <w:spacing w:val="-4"/>
        </w:rPr>
        <w:t>久性的功能障碍。神经系统永久性的功能障碍，指疾病确诊 </w:t>
      </w:r>
      <w:r>
        <w:rPr>
          <w:rFonts w:ascii="Times New Roman" w:eastAsia="Times New Roman"/>
        </w:rPr>
        <w:t>180 </w:t>
      </w:r>
      <w:r>
        <w:rPr>
          <w:spacing w:val="-3"/>
        </w:rPr>
        <w:t>天后，仍遗留下列一种或一种以上障碍：</w:t>
      </w:r>
    </w:p>
    <w:p>
      <w:pPr>
        <w:pStyle w:val="BodyText"/>
        <w:spacing w:line="281" w:lineRule="exact"/>
        <w:ind w:left="2265"/>
      </w:pPr>
      <w:r>
        <w:rPr/>
        <w:t>（</w:t>
      </w:r>
      <w:r>
        <w:rPr>
          <w:rFonts w:ascii="Times New Roman" w:eastAsia="Times New Roman"/>
        </w:rPr>
        <w:t>1</w:t>
      </w:r>
      <w:r>
        <w:rPr/>
        <w:t>）一肢或一肢以上肢体机能完全丧失（见 </w:t>
      </w:r>
      <w:r>
        <w:rPr>
          <w:rFonts w:ascii="Times New Roman" w:eastAsia="Times New Roman"/>
        </w:rPr>
        <w:t>7.13</w:t>
      </w:r>
      <w:r>
        <w:rPr/>
        <w:t>）；</w:t>
      </w:r>
    </w:p>
    <w:p>
      <w:pPr>
        <w:pStyle w:val="BodyText"/>
        <w:spacing w:line="274" w:lineRule="exact"/>
        <w:ind w:left="2265"/>
      </w:pPr>
      <w:r>
        <w:rPr/>
        <w:t>（</w:t>
      </w:r>
      <w:r>
        <w:rPr>
          <w:rFonts w:ascii="Times New Roman" w:eastAsia="Times New Roman"/>
        </w:rPr>
        <w:t>2</w:t>
      </w:r>
      <w:r>
        <w:rPr/>
        <w:t>）语言能力完全丧失（见 </w:t>
      </w:r>
      <w:r>
        <w:rPr>
          <w:rFonts w:ascii="Times New Roman" w:eastAsia="Times New Roman"/>
        </w:rPr>
        <w:t>7.14</w:t>
      </w:r>
      <w:r>
        <w:rPr/>
        <w:t>）或咀嚼吞咽能力完全丧失（见 </w:t>
      </w:r>
      <w:r>
        <w:rPr>
          <w:rFonts w:ascii="Times New Roman" w:eastAsia="Times New Roman"/>
        </w:rPr>
        <w:t>7.15</w:t>
      </w:r>
      <w:r>
        <w:rPr/>
        <w:t>）；</w:t>
      </w:r>
    </w:p>
    <w:p>
      <w:pPr>
        <w:pStyle w:val="BodyText"/>
        <w:spacing w:line="272" w:lineRule="exact"/>
        <w:ind w:left="2265"/>
      </w:pPr>
      <w:r>
        <w:rPr/>
        <w:t>（</w:t>
      </w:r>
      <w:r>
        <w:rPr>
          <w:rFonts w:ascii="Times New Roman" w:eastAsia="Times New Roman"/>
        </w:rPr>
        <w:t>3</w:t>
      </w:r>
      <w:r>
        <w:rPr/>
        <w:t>）自主生活能力完全丧失，无法独立完成六项基本日常生活活动（见</w:t>
      </w:r>
    </w:p>
    <w:p>
      <w:pPr>
        <w:pStyle w:val="BodyText"/>
        <w:spacing w:line="281" w:lineRule="exact"/>
        <w:ind w:left="2265"/>
      </w:pPr>
      <w:r>
        <w:rPr>
          <w:rFonts w:ascii="Times New Roman" w:eastAsia="Times New Roman"/>
        </w:rPr>
        <w:t>7.16</w:t>
      </w:r>
      <w:r>
        <w:rPr/>
        <w:t>）中的三项或三项以上。</w:t>
      </w:r>
    </w:p>
    <w:p>
      <w:pPr>
        <w:pStyle w:val="BodyText"/>
        <w:spacing w:before="11"/>
        <w:rPr>
          <w:sz w:val="13"/>
        </w:rPr>
      </w:pPr>
    </w:p>
    <w:p>
      <w:pPr>
        <w:spacing w:after="0"/>
        <w:rPr>
          <w:sz w:val="13"/>
        </w:rPr>
        <w:sectPr>
          <w:pgSz w:w="11900" w:h="16840"/>
          <w:pgMar w:top="1240" w:bottom="280" w:left="1680" w:right="1000"/>
        </w:sectPr>
      </w:pPr>
    </w:p>
    <w:p>
      <w:pPr>
        <w:pStyle w:val="BodyText"/>
        <w:spacing w:line="230" w:lineRule="auto" w:before="57"/>
        <w:ind w:left="571" w:hanging="3"/>
        <w:jc w:val="both"/>
      </w:pPr>
      <w:r>
        <w:rPr>
          <w:rFonts w:ascii="Times New Roman" w:eastAsia="Times New Roman"/>
          <w:b/>
        </w:rPr>
        <w:t>4.</w:t>
      </w:r>
      <w:r>
        <w:rPr/>
        <w:t>重大器官移植术或造血干细胞移植术</w:t>
      </w:r>
    </w:p>
    <w:p>
      <w:pPr>
        <w:pStyle w:val="BodyText"/>
        <w:spacing w:line="237" w:lineRule="auto" w:before="46"/>
        <w:ind w:left="171" w:right="206"/>
      </w:pPr>
      <w:r>
        <w:rPr/>
        <w:br w:type="column"/>
      </w:r>
      <w:r>
        <w:rPr/>
        <w:t>重大器官移植术，指因相应器官功能衰竭，已经实施了肾脏、肝脏、心脏或肺脏的异体移植手术。</w:t>
      </w:r>
    </w:p>
    <w:p>
      <w:pPr>
        <w:pStyle w:val="BodyText"/>
        <w:spacing w:before="8"/>
        <w:rPr>
          <w:sz w:val="18"/>
        </w:rPr>
      </w:pPr>
    </w:p>
    <w:p>
      <w:pPr>
        <w:pStyle w:val="BodyText"/>
        <w:spacing w:line="237" w:lineRule="auto"/>
        <w:ind w:left="171" w:right="98"/>
      </w:pPr>
      <w:r>
        <w:rPr>
          <w:spacing w:val="-3"/>
        </w:rPr>
        <w:t>造血干细胞移植术，指因造血功能损害或造血系统恶性肿瘤，已经实施了</w:t>
      </w:r>
      <w:r>
        <w:rPr>
          <w:spacing w:val="-12"/>
        </w:rPr>
        <w:t>造血干细胞</w:t>
      </w:r>
      <w:r>
        <w:rPr/>
        <w:t>（</w:t>
      </w:r>
      <w:r>
        <w:rPr>
          <w:spacing w:val="-8"/>
        </w:rPr>
        <w:t>包括骨髓造血干细胞、外周血造血干细胞和脐血造血干细胞</w:t>
      </w:r>
      <w:r>
        <w:rPr/>
        <w:t>） </w:t>
      </w:r>
      <w:r>
        <w:rPr>
          <w:spacing w:val="-3"/>
        </w:rPr>
        <w:t>的异体移植手术。</w:t>
      </w:r>
    </w:p>
    <w:p>
      <w:pPr>
        <w:spacing w:after="0" w:line="237" w:lineRule="auto"/>
        <w:sectPr>
          <w:type w:val="continuous"/>
          <w:pgSz w:w="11900" w:h="16840"/>
          <w:pgMar w:top="1220" w:bottom="280" w:left="1680" w:right="1000"/>
          <w:cols w:num="2" w:equalWidth="0">
            <w:col w:w="2055" w:space="40"/>
            <w:col w:w="7125"/>
          </w:cols>
        </w:sectPr>
      </w:pPr>
    </w:p>
    <w:p>
      <w:pPr>
        <w:pStyle w:val="BodyText"/>
        <w:spacing w:before="1"/>
        <w:rPr>
          <w:sz w:val="15"/>
        </w:rPr>
      </w:pPr>
    </w:p>
    <w:p>
      <w:pPr>
        <w:spacing w:after="0"/>
        <w:rPr>
          <w:sz w:val="15"/>
        </w:rPr>
        <w:sectPr>
          <w:type w:val="continuous"/>
          <w:pgSz w:w="11900" w:h="16840"/>
          <w:pgMar w:top="1220" w:bottom="280" w:left="1680" w:right="1000"/>
        </w:sectPr>
      </w:pPr>
    </w:p>
    <w:p>
      <w:pPr>
        <w:pStyle w:val="BodyText"/>
        <w:spacing w:line="230" w:lineRule="auto" w:before="57"/>
        <w:ind w:left="571" w:hanging="3"/>
        <w:jc w:val="both"/>
      </w:pPr>
      <w:r>
        <w:rPr>
          <w:rFonts w:ascii="Times New Roman" w:eastAsia="Times New Roman"/>
          <w:b/>
        </w:rPr>
        <w:t>5.</w:t>
      </w:r>
      <w:r>
        <w:rPr/>
        <w:t>冠状动脉搭桥术（或称冠状动脉旁路移植术）</w:t>
      </w:r>
    </w:p>
    <w:p>
      <w:pPr>
        <w:pStyle w:val="BodyText"/>
        <w:spacing w:line="237" w:lineRule="auto" w:before="46"/>
        <w:ind w:left="171" w:right="206"/>
      </w:pPr>
      <w:r>
        <w:rPr/>
        <w:br w:type="column"/>
      </w:r>
      <w:r>
        <w:rPr/>
        <w:t>指为治疗严重的冠心病，实际实施了开胸进行的冠状动脉血管旁路移植的手术。</w:t>
      </w:r>
    </w:p>
    <w:p>
      <w:pPr>
        <w:pStyle w:val="BodyText"/>
        <w:spacing w:before="7"/>
        <w:rPr>
          <w:sz w:val="18"/>
        </w:rPr>
      </w:pPr>
    </w:p>
    <w:p>
      <w:pPr>
        <w:pStyle w:val="BodyText"/>
        <w:spacing w:line="237" w:lineRule="auto" w:before="1"/>
        <w:ind w:left="171" w:right="206"/>
      </w:pPr>
      <w:r>
        <w:rPr/>
        <w:t>冠状动脉支架植入术、心导管球囊扩张术、激光射频技术及其他非开胸的介入手术、腔镜手术不在保障范围内。</w:t>
      </w:r>
    </w:p>
    <w:p>
      <w:pPr>
        <w:spacing w:after="0" w:line="237" w:lineRule="auto"/>
        <w:sectPr>
          <w:type w:val="continuous"/>
          <w:pgSz w:w="11900" w:h="16840"/>
          <w:pgMar w:top="1220" w:bottom="280" w:left="1680" w:right="1000"/>
          <w:cols w:num="2" w:equalWidth="0">
            <w:col w:w="2055" w:space="40"/>
            <w:col w:w="7125"/>
          </w:cols>
        </w:sectPr>
      </w:pPr>
    </w:p>
    <w:p>
      <w:pPr>
        <w:pStyle w:val="BodyText"/>
        <w:spacing w:before="2"/>
        <w:rPr>
          <w:sz w:val="15"/>
        </w:rPr>
      </w:pPr>
    </w:p>
    <w:p>
      <w:pPr>
        <w:spacing w:after="0"/>
        <w:rPr>
          <w:sz w:val="15"/>
        </w:rPr>
        <w:sectPr>
          <w:type w:val="continuous"/>
          <w:pgSz w:w="11900" w:h="16840"/>
          <w:pgMar w:top="1220" w:bottom="280" w:left="1680" w:right="1000"/>
        </w:sectPr>
      </w:pPr>
    </w:p>
    <w:p>
      <w:pPr>
        <w:spacing w:line="281" w:lineRule="exact" w:before="45"/>
        <w:ind w:left="568" w:right="0" w:firstLine="0"/>
        <w:jc w:val="left"/>
        <w:rPr>
          <w:sz w:val="21"/>
        </w:rPr>
      </w:pPr>
      <w:r>
        <w:rPr>
          <w:rFonts w:ascii="Times New Roman" w:eastAsia="Times New Roman"/>
          <w:b/>
          <w:sz w:val="21"/>
        </w:rPr>
        <w:t>6. </w:t>
      </w:r>
      <w:r>
        <w:rPr>
          <w:spacing w:val="-24"/>
          <w:sz w:val="21"/>
        </w:rPr>
        <w:t>终 末 期 肾 病</w:t>
      </w:r>
    </w:p>
    <w:p>
      <w:pPr>
        <w:pStyle w:val="BodyText"/>
        <w:ind w:left="571"/>
        <w:jc w:val="both"/>
      </w:pPr>
      <w:r>
        <w:rPr/>
        <w:t>（或称慢性肾功</w:t>
      </w:r>
      <w:r>
        <w:rPr>
          <w:spacing w:val="-30"/>
        </w:rPr>
        <w:t>能 衰 竭 尿 毒 症期）</w:t>
      </w:r>
    </w:p>
    <w:p>
      <w:pPr>
        <w:pStyle w:val="BodyText"/>
        <w:spacing w:line="273" w:lineRule="exact" w:before="43"/>
        <w:ind w:left="171"/>
      </w:pPr>
      <w:r>
        <w:rPr/>
        <w:br w:type="column"/>
      </w:r>
      <w:r>
        <w:rPr/>
        <w:t>指双肾功能慢性不可逆性衰竭，达到尿毒症期，经诊断后已经进行了至少</w:t>
      </w:r>
    </w:p>
    <w:p>
      <w:pPr>
        <w:pStyle w:val="BodyText"/>
        <w:spacing w:line="289" w:lineRule="exact"/>
        <w:ind w:left="171"/>
      </w:pPr>
      <w:r>
        <w:rPr>
          <w:rFonts w:ascii="Times New Roman" w:eastAsia="Times New Roman"/>
        </w:rPr>
        <w:t>90 </w:t>
      </w:r>
      <w:r>
        <w:rPr/>
        <w:t>天的规律性透析治疗或实施了肾脏移植手术。</w:t>
      </w:r>
    </w:p>
    <w:p>
      <w:pPr>
        <w:spacing w:after="0" w:line="289" w:lineRule="exact"/>
        <w:sectPr>
          <w:type w:val="continuous"/>
          <w:pgSz w:w="11900" w:h="16840"/>
          <w:pgMar w:top="1220" w:bottom="280" w:left="1680" w:right="1000"/>
          <w:cols w:num="2" w:equalWidth="0">
            <w:col w:w="2055" w:space="40"/>
            <w:col w:w="7125"/>
          </w:cols>
        </w:sectPr>
      </w:pPr>
    </w:p>
    <w:p>
      <w:pPr>
        <w:pStyle w:val="BodyText"/>
        <w:spacing w:before="7"/>
        <w:rPr>
          <w:sz w:val="15"/>
        </w:rPr>
      </w:pPr>
    </w:p>
    <w:p>
      <w:pPr>
        <w:pStyle w:val="BodyText"/>
        <w:tabs>
          <w:tab w:pos="2265" w:val="left" w:leader="none"/>
        </w:tabs>
        <w:spacing w:line="223" w:lineRule="auto" w:before="66"/>
        <w:ind w:left="2265" w:right="206" w:hanging="1697"/>
      </w:pPr>
      <w:r>
        <w:rPr>
          <w:rFonts w:ascii="Times New Roman" w:eastAsia="Times New Roman"/>
          <w:b/>
        </w:rPr>
        <w:t>7.</w:t>
      </w:r>
      <w:r>
        <w:rPr/>
        <w:t>多个肢体</w:t>
      </w:r>
      <w:r>
        <w:rPr>
          <w:spacing w:val="-3"/>
        </w:rPr>
        <w:t>缺</w:t>
      </w:r>
      <w:r>
        <w:rPr/>
        <w:t>失</w:t>
        <w:tab/>
        <w:t>指因疾病或意外</w:t>
      </w:r>
      <w:r>
        <w:rPr>
          <w:spacing w:val="-3"/>
        </w:rPr>
        <w:t>伤</w:t>
      </w:r>
      <w:r>
        <w:rPr/>
        <w:t>害导</w:t>
      </w:r>
      <w:r>
        <w:rPr>
          <w:spacing w:val="-3"/>
        </w:rPr>
        <w:t>致</w:t>
      </w:r>
      <w:r>
        <w:rPr/>
        <w:t>两个或两个以上</w:t>
      </w:r>
      <w:r>
        <w:rPr>
          <w:spacing w:val="-3"/>
        </w:rPr>
        <w:t>肢</w:t>
      </w:r>
      <w:r>
        <w:rPr/>
        <w:t>体自</w:t>
      </w:r>
      <w:r>
        <w:rPr>
          <w:spacing w:val="-3"/>
        </w:rPr>
        <w:t>腕</w:t>
      </w:r>
      <w:r>
        <w:rPr/>
        <w:t>关节或踝关节近</w:t>
      </w:r>
      <w:r>
        <w:rPr>
          <w:spacing w:val="-3"/>
        </w:rPr>
        <w:t>端</w:t>
      </w:r>
      <w:r>
        <w:rPr/>
        <w:t>（靠 近躯</w:t>
      </w:r>
      <w:r>
        <w:rPr>
          <w:spacing w:val="-3"/>
        </w:rPr>
        <w:t>干</w:t>
      </w:r>
      <w:r>
        <w:rPr/>
        <w:t>端</w:t>
      </w:r>
      <w:r>
        <w:rPr>
          <w:spacing w:val="-3"/>
        </w:rPr>
        <w:t>）</w:t>
      </w:r>
      <w:r>
        <w:rPr/>
        <w:t>以</w:t>
      </w:r>
      <w:r>
        <w:rPr>
          <w:spacing w:val="-3"/>
        </w:rPr>
        <w:t>上</w:t>
      </w:r>
      <w:r>
        <w:rPr/>
        <w:t>完</w:t>
      </w:r>
      <w:r>
        <w:rPr>
          <w:spacing w:val="-3"/>
        </w:rPr>
        <w:t>全</w:t>
      </w:r>
      <w:r>
        <w:rPr/>
        <w:t>性</w:t>
      </w:r>
      <w:r>
        <w:rPr>
          <w:spacing w:val="-3"/>
        </w:rPr>
        <w:t>断</w:t>
      </w:r>
      <w:r>
        <w:rPr/>
        <w:t>离。</w:t>
      </w:r>
    </w:p>
    <w:p>
      <w:pPr>
        <w:pStyle w:val="BodyText"/>
        <w:spacing w:before="12"/>
        <w:rPr>
          <w:sz w:val="14"/>
        </w:rPr>
      </w:pPr>
    </w:p>
    <w:p>
      <w:pPr>
        <w:spacing w:after="0"/>
        <w:rPr>
          <w:sz w:val="14"/>
        </w:rPr>
        <w:sectPr>
          <w:type w:val="continuous"/>
          <w:pgSz w:w="11900" w:h="16840"/>
          <w:pgMar w:top="1220" w:bottom="280" w:left="1680" w:right="1000"/>
        </w:sectPr>
      </w:pPr>
    </w:p>
    <w:p>
      <w:pPr>
        <w:pStyle w:val="BodyText"/>
        <w:spacing w:line="225" w:lineRule="auto" w:before="63"/>
        <w:ind w:left="571" w:hanging="3"/>
      </w:pPr>
      <w:r>
        <w:rPr>
          <w:rFonts w:ascii="Times New Roman" w:eastAsia="Times New Roman"/>
          <w:b/>
        </w:rPr>
        <w:t>8.</w:t>
      </w:r>
      <w:r>
        <w:rPr/>
        <w:t>急性或亚急性重症肝炎</w:t>
      </w:r>
    </w:p>
    <w:p>
      <w:pPr>
        <w:pStyle w:val="BodyText"/>
        <w:spacing w:before="43"/>
        <w:ind w:left="171" w:right="206"/>
      </w:pPr>
      <w:r>
        <w:rPr/>
        <w:br w:type="column"/>
      </w:r>
      <w:r>
        <w:rPr/>
        <w:t>指因肝炎病毒感染引起肝脏组织弥漫性坏死，导致急性肝功能衰竭，且经血清学或病毒学检查证实，并须满足下列全部条件：</w:t>
      </w:r>
    </w:p>
    <w:p>
      <w:pPr>
        <w:pStyle w:val="BodyText"/>
        <w:spacing w:line="289" w:lineRule="exact"/>
        <w:ind w:left="171"/>
      </w:pPr>
      <w:r>
        <w:rPr/>
        <w:t>（</w:t>
      </w:r>
      <w:r>
        <w:rPr>
          <w:rFonts w:ascii="Times New Roman" w:eastAsia="Times New Roman"/>
        </w:rPr>
        <w:t>1</w:t>
      </w:r>
      <w:r>
        <w:rPr/>
        <w:t>）重度黄疸或黄疸迅速加重；</w:t>
      </w:r>
    </w:p>
    <w:p>
      <w:pPr>
        <w:spacing w:after="0" w:line="289" w:lineRule="exact"/>
        <w:sectPr>
          <w:type w:val="continuous"/>
          <w:pgSz w:w="11900" w:h="16840"/>
          <w:pgMar w:top="1220" w:bottom="280" w:left="1680" w:right="1000"/>
          <w:cols w:num="2" w:equalWidth="0">
            <w:col w:w="2055" w:space="40"/>
            <w:col w:w="7125"/>
          </w:cols>
        </w:sectPr>
      </w:pPr>
    </w:p>
    <w:p>
      <w:pPr>
        <w:pStyle w:val="BodyText"/>
        <w:spacing w:line="282" w:lineRule="exact" w:before="24"/>
        <w:ind w:left="2265"/>
      </w:pPr>
      <w:r>
        <w:rPr/>
        <w:t>（</w:t>
      </w:r>
      <w:r>
        <w:rPr>
          <w:rFonts w:ascii="Times New Roman" w:eastAsia="Times New Roman"/>
        </w:rPr>
        <w:t>2</w:t>
      </w:r>
      <w:r>
        <w:rPr/>
        <w:t>）肝性脑病；</w:t>
      </w:r>
    </w:p>
    <w:p>
      <w:pPr>
        <w:pStyle w:val="BodyText"/>
        <w:spacing w:line="272" w:lineRule="exact"/>
        <w:ind w:left="2265"/>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spacing w:line="281" w:lineRule="exact"/>
        <w:ind w:left="2265"/>
      </w:pPr>
      <w:r>
        <w:rPr/>
        <w:t>（</w:t>
      </w:r>
      <w:r>
        <w:rPr>
          <w:rFonts w:ascii="Times New Roman" w:eastAsia="Times New Roman"/>
        </w:rPr>
        <w:t>4</w:t>
      </w:r>
      <w:r>
        <w:rPr/>
        <w:t>）肝功能指标进行性恶化。</w:t>
      </w:r>
    </w:p>
    <w:p>
      <w:pPr>
        <w:pStyle w:val="BodyText"/>
        <w:spacing w:before="9"/>
        <w:rPr>
          <w:sz w:val="18"/>
        </w:rPr>
      </w:pPr>
    </w:p>
    <w:p>
      <w:pPr>
        <w:pStyle w:val="BodyText"/>
        <w:tabs>
          <w:tab w:pos="2265" w:val="left" w:leader="none"/>
        </w:tabs>
        <w:spacing w:line="225" w:lineRule="auto"/>
        <w:ind w:left="2265" w:right="98" w:hanging="1697"/>
      </w:pPr>
      <w:r>
        <w:rPr>
          <w:rFonts w:ascii="Times New Roman" w:eastAsia="Times New Roman"/>
          <w:b/>
        </w:rPr>
        <w:t>9.</w:t>
      </w:r>
      <w:r>
        <w:rPr/>
        <w:t>良性脑肿瘤</w:t>
        <w:tab/>
        <w:t>指脑的良性肿瘤</w:t>
      </w:r>
      <w:r>
        <w:rPr>
          <w:spacing w:val="-3"/>
        </w:rPr>
        <w:t>，</w:t>
      </w:r>
      <w:r>
        <w:rPr/>
        <w:t>已经</w:t>
      </w:r>
      <w:r>
        <w:rPr>
          <w:spacing w:val="-3"/>
        </w:rPr>
        <w:t>引</w:t>
      </w:r>
      <w:r>
        <w:rPr/>
        <w:t>起颅内压增高，</w:t>
      </w:r>
      <w:r>
        <w:rPr>
          <w:spacing w:val="-3"/>
        </w:rPr>
        <w:t>临</w:t>
      </w:r>
      <w:r>
        <w:rPr/>
        <w:t>床表</w:t>
      </w:r>
      <w:r>
        <w:rPr>
          <w:spacing w:val="-3"/>
        </w:rPr>
        <w:t>现</w:t>
      </w:r>
      <w:r>
        <w:rPr/>
        <w:t>为视神经乳头水</w:t>
      </w:r>
      <w:r>
        <w:rPr>
          <w:spacing w:val="-3"/>
        </w:rPr>
        <w:t>肿</w:t>
      </w:r>
      <w:r>
        <w:rPr/>
        <w:t>、精 神症</w:t>
      </w:r>
      <w:r>
        <w:rPr>
          <w:spacing w:val="-3"/>
        </w:rPr>
        <w:t>状</w:t>
      </w:r>
      <w:r>
        <w:rPr>
          <w:spacing w:val="-29"/>
        </w:rPr>
        <w:t>、</w:t>
      </w:r>
      <w:r>
        <w:rPr>
          <w:spacing w:val="-3"/>
        </w:rPr>
        <w:t>癫</w:t>
      </w:r>
      <w:r>
        <w:rPr/>
        <w:t>痫</w:t>
      </w:r>
      <w:r>
        <w:rPr>
          <w:spacing w:val="-3"/>
        </w:rPr>
        <w:t>及</w:t>
      </w:r>
      <w:r>
        <w:rPr/>
        <w:t>运</w:t>
      </w:r>
      <w:r>
        <w:rPr>
          <w:spacing w:val="-3"/>
        </w:rPr>
        <w:t>动</w:t>
      </w:r>
      <w:r>
        <w:rPr/>
        <w:t>感</w:t>
      </w:r>
      <w:r>
        <w:rPr>
          <w:spacing w:val="-3"/>
        </w:rPr>
        <w:t>觉</w:t>
      </w:r>
      <w:r>
        <w:rPr/>
        <w:t>障碍</w:t>
      </w:r>
      <w:r>
        <w:rPr>
          <w:spacing w:val="-3"/>
        </w:rPr>
        <w:t>等</w:t>
      </w:r>
      <w:r>
        <w:rPr>
          <w:spacing w:val="-29"/>
        </w:rPr>
        <w:t>，</w:t>
      </w:r>
      <w:r>
        <w:rPr>
          <w:spacing w:val="-3"/>
        </w:rPr>
        <w:t>并</w:t>
      </w:r>
      <w:r>
        <w:rPr/>
        <w:t>危</w:t>
      </w:r>
      <w:r>
        <w:rPr>
          <w:spacing w:val="-3"/>
        </w:rPr>
        <w:t>及</w:t>
      </w:r>
      <w:r>
        <w:rPr/>
        <w:t>生命</w:t>
      </w:r>
      <w:r>
        <w:rPr>
          <w:spacing w:val="-32"/>
        </w:rPr>
        <w:t>。</w:t>
      </w:r>
      <w:r>
        <w:rPr>
          <w:spacing w:val="-3"/>
        </w:rPr>
        <w:t>须</w:t>
      </w:r>
      <w:r>
        <w:rPr/>
        <w:t>由头</w:t>
      </w:r>
      <w:r>
        <w:rPr>
          <w:spacing w:val="-3"/>
        </w:rPr>
        <w:t>颅</w:t>
      </w:r>
      <w:r>
        <w:rPr/>
        <w:t>断</w:t>
      </w:r>
      <w:r>
        <w:rPr>
          <w:spacing w:val="-3"/>
        </w:rPr>
        <w:t>层</w:t>
      </w:r>
      <w:r>
        <w:rPr/>
        <w:t>扫</w:t>
      </w:r>
      <w:r>
        <w:rPr>
          <w:spacing w:val="-32"/>
        </w:rPr>
        <w:t>描</w:t>
      </w:r>
      <w:r>
        <w:rPr>
          <w:spacing w:val="-8"/>
        </w:rPr>
        <w:t>（</w:t>
      </w:r>
      <w:r>
        <w:rPr>
          <w:rFonts w:ascii="Times New Roman" w:eastAsia="Times New Roman"/>
          <w:spacing w:val="-8"/>
        </w:rPr>
        <w:t>CT</w:t>
      </w:r>
      <w:r>
        <w:rPr>
          <w:spacing w:val="-8"/>
        </w:rPr>
        <w:t>）</w:t>
      </w:r>
      <w:r>
        <w:rPr/>
        <w:t>、</w:t>
      </w:r>
      <w:r>
        <w:rPr>
          <w:spacing w:val="-1"/>
        </w:rPr>
        <w:t>核磁</w:t>
      </w:r>
      <w:r>
        <w:rPr>
          <w:spacing w:val="-3"/>
        </w:rPr>
        <w:t>共</w:t>
      </w:r>
      <w:r>
        <w:rPr>
          <w:spacing w:val="-1"/>
        </w:rPr>
        <w:t>振</w:t>
      </w:r>
      <w:r>
        <w:rPr>
          <w:spacing w:val="-3"/>
        </w:rPr>
        <w:t>检</w:t>
      </w:r>
      <w:r>
        <w:rPr>
          <w:spacing w:val="-5"/>
        </w:rPr>
        <w:t>查</w:t>
      </w:r>
      <w:r>
        <w:rPr>
          <w:spacing w:val="-1"/>
        </w:rPr>
        <w:t>（</w:t>
      </w:r>
      <w:r>
        <w:rPr>
          <w:rFonts w:ascii="Times New Roman" w:eastAsia="Times New Roman"/>
          <w:spacing w:val="-1"/>
        </w:rPr>
        <w:t>MRI</w:t>
      </w:r>
      <w:r>
        <w:rPr>
          <w:spacing w:val="-1"/>
        </w:rPr>
        <w:t>）</w:t>
      </w:r>
      <w:r>
        <w:rPr>
          <w:spacing w:val="-3"/>
        </w:rPr>
        <w:t>或</w:t>
      </w:r>
      <w:r>
        <w:rPr/>
        <w:t>正电</w:t>
      </w:r>
      <w:r>
        <w:rPr>
          <w:spacing w:val="-3"/>
        </w:rPr>
        <w:t>子</w:t>
      </w:r>
      <w:r>
        <w:rPr/>
        <w:t>发</w:t>
      </w:r>
      <w:r>
        <w:rPr>
          <w:spacing w:val="-3"/>
        </w:rPr>
        <w:t>射</w:t>
      </w:r>
      <w:r>
        <w:rPr/>
        <w:t>断</w:t>
      </w:r>
      <w:r>
        <w:rPr>
          <w:spacing w:val="-3"/>
        </w:rPr>
        <w:t>层</w:t>
      </w:r>
      <w:r>
        <w:rPr/>
        <w:t>扫</w:t>
      </w:r>
      <w:r>
        <w:rPr>
          <w:spacing w:val="-5"/>
        </w:rPr>
        <w:t>描</w:t>
      </w:r>
      <w:r>
        <w:rPr/>
        <w:t>（</w:t>
      </w:r>
      <w:r>
        <w:rPr>
          <w:rFonts w:ascii="Times New Roman" w:eastAsia="Times New Roman"/>
        </w:rPr>
        <w:t>PET</w:t>
      </w:r>
      <w:r>
        <w:rPr/>
        <w:t>）等</w:t>
      </w:r>
      <w:r>
        <w:rPr>
          <w:spacing w:val="-3"/>
        </w:rPr>
        <w:t>影</w:t>
      </w:r>
      <w:r>
        <w:rPr/>
        <w:t>像</w:t>
      </w:r>
      <w:r>
        <w:rPr>
          <w:spacing w:val="-3"/>
        </w:rPr>
        <w:t>学</w:t>
      </w:r>
      <w:r>
        <w:rPr/>
        <w:t>检</w:t>
      </w:r>
      <w:r>
        <w:rPr>
          <w:spacing w:val="-3"/>
        </w:rPr>
        <w:t>查</w:t>
      </w:r>
      <w:r>
        <w:rPr/>
        <w:t>证实， 并须</w:t>
      </w:r>
      <w:r>
        <w:rPr>
          <w:spacing w:val="-3"/>
        </w:rPr>
        <w:t>满</w:t>
      </w:r>
      <w:r>
        <w:rPr/>
        <w:t>足</w:t>
      </w:r>
      <w:r>
        <w:rPr>
          <w:spacing w:val="-3"/>
        </w:rPr>
        <w:t>下</w:t>
      </w:r>
      <w:r>
        <w:rPr/>
        <w:t>列</w:t>
      </w:r>
      <w:r>
        <w:rPr>
          <w:spacing w:val="-3"/>
        </w:rPr>
        <w:t>至</w:t>
      </w:r>
      <w:r>
        <w:rPr/>
        <w:t>少</w:t>
      </w:r>
      <w:r>
        <w:rPr>
          <w:spacing w:val="-3"/>
        </w:rPr>
        <w:t>一</w:t>
      </w:r>
      <w:r>
        <w:rPr/>
        <w:t>项</w:t>
      </w:r>
      <w:r>
        <w:rPr>
          <w:spacing w:val="-3"/>
        </w:rPr>
        <w:t>条</w:t>
      </w:r>
      <w:r>
        <w:rPr/>
        <w:t>件：</w:t>
      </w:r>
    </w:p>
    <w:p>
      <w:pPr>
        <w:pStyle w:val="BodyText"/>
        <w:spacing w:line="280" w:lineRule="exact"/>
        <w:ind w:left="2265"/>
      </w:pPr>
      <w:r>
        <w:rPr/>
        <w:t>（</w:t>
      </w:r>
      <w:r>
        <w:rPr>
          <w:rFonts w:ascii="Times New Roman" w:eastAsia="Times New Roman"/>
        </w:rPr>
        <w:t>1</w:t>
      </w:r>
      <w:r>
        <w:rPr/>
        <w:t>）实际实施了开颅进行的脑肿瘤完全切除或部分切除的手术；</w:t>
      </w:r>
    </w:p>
    <w:p>
      <w:pPr>
        <w:pStyle w:val="BodyText"/>
        <w:spacing w:line="281" w:lineRule="exact"/>
        <w:ind w:left="2265"/>
      </w:pPr>
      <w:r>
        <w:rPr/>
        <w:t>（</w:t>
      </w:r>
      <w:r>
        <w:rPr>
          <w:rFonts w:ascii="Times New Roman" w:eastAsia="Times New Roman"/>
        </w:rPr>
        <w:t>2</w:t>
      </w:r>
      <w:r>
        <w:rPr/>
        <w:t>）实际实施了对脑肿瘤进行的放射治疗。</w:t>
      </w:r>
    </w:p>
    <w:p>
      <w:pPr>
        <w:pStyle w:val="BodyText"/>
        <w:spacing w:before="2"/>
        <w:rPr>
          <w:sz w:val="17"/>
        </w:rPr>
      </w:pPr>
    </w:p>
    <w:p>
      <w:pPr>
        <w:pStyle w:val="BodyText"/>
        <w:ind w:left="2265"/>
      </w:pPr>
      <w:r>
        <w:rPr/>
        <w:t>脑垂体瘤、脑囊肿、脑血管性疾病不在保障范围内。</w:t>
      </w:r>
    </w:p>
    <w:p>
      <w:pPr>
        <w:pStyle w:val="BodyText"/>
        <w:spacing w:before="12"/>
        <w:rPr>
          <w:sz w:val="14"/>
        </w:rPr>
      </w:pPr>
    </w:p>
    <w:p>
      <w:pPr>
        <w:spacing w:after="0"/>
        <w:rPr>
          <w:sz w:val="14"/>
        </w:rPr>
        <w:sectPr>
          <w:pgSz w:w="11900" w:h="16840"/>
          <w:pgMar w:top="1240" w:bottom="280" w:left="1680" w:right="1000"/>
        </w:sectPr>
      </w:pPr>
    </w:p>
    <w:p>
      <w:pPr>
        <w:pStyle w:val="ListParagraph"/>
        <w:numPr>
          <w:ilvl w:val="0"/>
          <w:numId w:val="6"/>
        </w:numPr>
        <w:tabs>
          <w:tab w:pos="867" w:val="left" w:leader="none"/>
        </w:tabs>
        <w:spacing w:line="225" w:lineRule="auto" w:before="63" w:after="0"/>
        <w:ind w:left="571" w:right="0" w:hanging="3"/>
        <w:jc w:val="left"/>
        <w:rPr>
          <w:sz w:val="21"/>
        </w:rPr>
      </w:pPr>
      <w:r>
        <w:rPr>
          <w:spacing w:val="23"/>
          <w:sz w:val="21"/>
        </w:rPr>
        <w:t>慢性肝功能</w:t>
      </w:r>
      <w:r>
        <w:rPr>
          <w:spacing w:val="5"/>
          <w:sz w:val="21"/>
        </w:rPr>
        <w:t>衰竭失代偿期</w:t>
      </w:r>
    </w:p>
    <w:p>
      <w:pPr>
        <w:pStyle w:val="BodyText"/>
        <w:spacing w:line="274" w:lineRule="exact" w:before="43"/>
        <w:ind w:left="171"/>
      </w:pPr>
      <w:r>
        <w:rPr/>
        <w:br w:type="column"/>
      </w:r>
      <w:r>
        <w:rPr/>
        <w:t>指因慢性肝脏疾病导致肝功能衰竭，须满足下列全部条件：</w:t>
      </w:r>
    </w:p>
    <w:p>
      <w:pPr>
        <w:pStyle w:val="BodyText"/>
        <w:spacing w:line="280" w:lineRule="exact"/>
        <w:ind w:left="171"/>
      </w:pPr>
      <w:r>
        <w:rPr/>
        <w:t>（</w:t>
      </w:r>
      <w:r>
        <w:rPr>
          <w:rFonts w:ascii="Times New Roman" w:eastAsia="Times New Roman"/>
        </w:rPr>
        <w:t>1</w:t>
      </w:r>
      <w:r>
        <w:rPr/>
        <w:t>）持续性黄疸；</w:t>
      </w:r>
    </w:p>
    <w:p>
      <w:pPr>
        <w:pStyle w:val="BodyText"/>
        <w:spacing w:line="272" w:lineRule="exact"/>
        <w:ind w:left="171"/>
      </w:pPr>
      <w:r>
        <w:rPr/>
        <w:t>（</w:t>
      </w:r>
      <w:r>
        <w:rPr>
          <w:rFonts w:ascii="Times New Roman" w:eastAsia="Times New Roman"/>
        </w:rPr>
        <w:t>2</w:t>
      </w:r>
      <w:r>
        <w:rPr/>
        <w:t>）腹水；</w:t>
      </w:r>
    </w:p>
    <w:p>
      <w:pPr>
        <w:pStyle w:val="BodyText"/>
        <w:spacing w:line="274" w:lineRule="exact"/>
        <w:ind w:left="171"/>
      </w:pPr>
      <w:r>
        <w:rPr/>
        <w:t>（</w:t>
      </w:r>
      <w:r>
        <w:rPr>
          <w:rFonts w:ascii="Times New Roman" w:eastAsia="Times New Roman"/>
        </w:rPr>
        <w:t>3</w:t>
      </w:r>
      <w:r>
        <w:rPr/>
        <w:t>）肝性脑病；</w:t>
      </w:r>
    </w:p>
    <w:p>
      <w:pPr>
        <w:pStyle w:val="BodyText"/>
        <w:spacing w:line="282" w:lineRule="exact"/>
        <w:ind w:left="171"/>
      </w:pPr>
      <w:r>
        <w:rPr/>
        <w:t>（</w:t>
      </w:r>
      <w:r>
        <w:rPr>
          <w:rFonts w:ascii="Times New Roman" w:eastAsia="Times New Roman"/>
        </w:rPr>
        <w:t>4</w:t>
      </w:r>
      <w:r>
        <w:rPr/>
        <w:t>）充血性脾大伴脾功能亢进或食管胃底静脉曲张。</w:t>
      </w:r>
    </w:p>
    <w:p>
      <w:pPr>
        <w:pStyle w:val="BodyText"/>
        <w:rPr>
          <w:sz w:val="17"/>
        </w:rPr>
      </w:pPr>
    </w:p>
    <w:p>
      <w:pPr>
        <w:pStyle w:val="BodyText"/>
        <w:ind w:left="171"/>
      </w:pPr>
      <w:r>
        <w:rPr/>
        <w:t>因酗酒或药物滥用导致的肝功能衰竭不在保障范围内。</w:t>
      </w:r>
    </w:p>
    <w:p>
      <w:pPr>
        <w:spacing w:after="0"/>
        <w:sectPr>
          <w:type w:val="continuous"/>
          <w:pgSz w:w="11900" w:h="16840"/>
          <w:pgMar w:top="1220" w:bottom="280" w:left="1680" w:right="1000"/>
          <w:cols w:num="2" w:equalWidth="0">
            <w:col w:w="2055" w:space="40"/>
            <w:col w:w="7125"/>
          </w:cols>
        </w:sectPr>
      </w:pPr>
    </w:p>
    <w:p>
      <w:pPr>
        <w:pStyle w:val="BodyText"/>
        <w:spacing w:before="1"/>
        <w:rPr>
          <w:sz w:val="15"/>
        </w:rPr>
      </w:pPr>
    </w:p>
    <w:p>
      <w:pPr>
        <w:spacing w:after="0"/>
        <w:rPr>
          <w:sz w:val="15"/>
        </w:rPr>
        <w:sectPr>
          <w:type w:val="continuous"/>
          <w:pgSz w:w="11900" w:h="16840"/>
          <w:pgMar w:top="1220" w:bottom="280" w:left="1680" w:right="1000"/>
        </w:sectPr>
      </w:pPr>
    </w:p>
    <w:p>
      <w:pPr>
        <w:pStyle w:val="ListParagraph"/>
        <w:numPr>
          <w:ilvl w:val="0"/>
          <w:numId w:val="6"/>
        </w:numPr>
        <w:tabs>
          <w:tab w:pos="857" w:val="left" w:leader="none"/>
        </w:tabs>
        <w:spacing w:line="223" w:lineRule="auto" w:before="66" w:after="0"/>
        <w:ind w:left="571" w:right="0" w:hanging="3"/>
        <w:jc w:val="left"/>
        <w:rPr>
          <w:sz w:val="21"/>
        </w:rPr>
      </w:pPr>
      <w:r>
        <w:rPr>
          <w:spacing w:val="26"/>
          <w:sz w:val="21"/>
        </w:rPr>
        <w:t>脑炎后遗症</w:t>
      </w:r>
      <w:r>
        <w:rPr>
          <w:spacing w:val="5"/>
          <w:sz w:val="21"/>
        </w:rPr>
        <w:t>或脑膜炎后遗症</w:t>
      </w:r>
    </w:p>
    <w:p>
      <w:pPr>
        <w:pStyle w:val="BodyText"/>
        <w:spacing w:line="237" w:lineRule="auto" w:before="46"/>
        <w:ind w:left="171" w:right="206"/>
      </w:pPr>
      <w:r>
        <w:rPr/>
        <w:br w:type="column"/>
      </w: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65" w:lineRule="exact"/>
        <w:ind w:left="171"/>
      </w:pPr>
      <w:r>
        <w:rPr/>
        <w:t>（</w:t>
      </w:r>
      <w:r>
        <w:rPr>
          <w:rFonts w:ascii="Times New Roman" w:eastAsia="Times New Roman"/>
        </w:rPr>
        <w:t>1</w:t>
      </w:r>
      <w:r>
        <w:rPr/>
        <w:t>）一肢或一肢以上肢体机能完全丧失；</w:t>
      </w:r>
    </w:p>
    <w:p>
      <w:pPr>
        <w:pStyle w:val="BodyText"/>
        <w:spacing w:line="274" w:lineRule="exact"/>
        <w:ind w:left="171"/>
      </w:pPr>
      <w:r>
        <w:rPr/>
        <w:t>（</w:t>
      </w:r>
      <w:r>
        <w:rPr>
          <w:rFonts w:ascii="Times New Roman" w:eastAsia="Times New Roman"/>
        </w:rPr>
        <w:t>2</w:t>
      </w:r>
      <w:r>
        <w:rPr/>
        <w:t>）语言能力或咀嚼吞咽能力完全丧失；</w:t>
      </w:r>
    </w:p>
    <w:p>
      <w:pPr>
        <w:pStyle w:val="BodyText"/>
        <w:spacing w:line="223" w:lineRule="auto" w:before="11"/>
        <w:ind w:left="171" w:right="206"/>
      </w:pPr>
      <w:r>
        <w:rPr>
          <w:spacing w:val="-15"/>
        </w:rPr>
        <w:t>（</w:t>
      </w:r>
      <w:r>
        <w:rPr>
          <w:rFonts w:ascii="Times New Roman" w:eastAsia="Times New Roman"/>
          <w:spacing w:val="-15"/>
        </w:rPr>
        <w:t>3</w:t>
      </w:r>
      <w:r>
        <w:rPr>
          <w:spacing w:val="-15"/>
        </w:rPr>
        <w:t>）</w:t>
      </w:r>
      <w:r>
        <w:rPr>
          <w:spacing w:val="-7"/>
        </w:rPr>
        <w:t>自主生活能力完全丧失，无法独立完成六项基本日常生活活动中的三</w:t>
      </w:r>
      <w:r>
        <w:rPr>
          <w:spacing w:val="-5"/>
        </w:rPr>
        <w:t>项或三项以上。</w:t>
      </w:r>
    </w:p>
    <w:p>
      <w:pPr>
        <w:spacing w:after="0" w:line="223" w:lineRule="auto"/>
        <w:sectPr>
          <w:type w:val="continuous"/>
          <w:pgSz w:w="11900" w:h="16840"/>
          <w:pgMar w:top="1220" w:bottom="280" w:left="1680" w:right="1000"/>
          <w:cols w:num="2" w:equalWidth="0">
            <w:col w:w="2055" w:space="40"/>
            <w:col w:w="7125"/>
          </w:cols>
        </w:sectPr>
      </w:pPr>
    </w:p>
    <w:p>
      <w:pPr>
        <w:pStyle w:val="BodyText"/>
        <w:spacing w:before="1"/>
        <w:rPr>
          <w:sz w:val="15"/>
        </w:rPr>
      </w:pPr>
    </w:p>
    <w:p>
      <w:pPr>
        <w:pStyle w:val="BodyText"/>
        <w:spacing w:line="223" w:lineRule="auto" w:before="66"/>
        <w:ind w:left="2265" w:right="206" w:hanging="1697"/>
        <w:jc w:val="both"/>
      </w:pPr>
      <w:r>
        <w:rPr>
          <w:rFonts w:ascii="Times New Roman" w:eastAsia="Times New Roman"/>
          <w:b/>
        </w:rPr>
        <w:t>12.</w:t>
      </w:r>
      <w:r>
        <w:rPr>
          <w:spacing w:val="-3"/>
        </w:rPr>
        <w:t>深度昏迷    指因疾病或意外伤害导致意识丧失，对外界刺激和体内需求均无反应，昏</w:t>
      </w:r>
      <w:r>
        <w:rPr>
          <w:spacing w:val="-4"/>
        </w:rPr>
        <w:t>迷程度按照格拉斯哥昏迷分级</w:t>
      </w:r>
      <w:r>
        <w:rPr/>
        <w:t>（</w:t>
      </w:r>
      <w:r>
        <w:rPr>
          <w:rFonts w:ascii="Times New Roman" w:eastAsia="Times New Roman"/>
        </w:rPr>
        <w:t>Glasgow coma </w:t>
      </w:r>
      <w:r>
        <w:rPr>
          <w:rFonts w:ascii="Times New Roman" w:eastAsia="Times New Roman"/>
          <w:spacing w:val="-3"/>
        </w:rPr>
        <w:t>scale</w:t>
      </w:r>
      <w:r>
        <w:rPr>
          <w:spacing w:val="-3"/>
        </w:rPr>
        <w:t>）</w:t>
      </w:r>
      <w:r>
        <w:rPr>
          <w:spacing w:val="-14"/>
        </w:rPr>
        <w:t>结果为 </w:t>
      </w:r>
      <w:r>
        <w:rPr>
          <w:rFonts w:ascii="Times New Roman" w:eastAsia="Times New Roman"/>
        </w:rPr>
        <w:t>5 </w:t>
      </w:r>
      <w:r>
        <w:rPr>
          <w:spacing w:val="-18"/>
        </w:rPr>
        <w:t>分或 </w:t>
      </w:r>
      <w:r>
        <w:rPr>
          <w:rFonts w:ascii="Times New Roman" w:eastAsia="Times New Roman"/>
        </w:rPr>
        <w:t>5 </w:t>
      </w:r>
      <w:r>
        <w:rPr>
          <w:spacing w:val="-2"/>
        </w:rPr>
        <w:t>分以</w:t>
      </w:r>
      <w:r>
        <w:rPr>
          <w:spacing w:val="-5"/>
        </w:rPr>
        <w:t>下，且已经持续使用呼吸机及其它生命维持系统 </w:t>
      </w:r>
      <w:r>
        <w:rPr>
          <w:rFonts w:ascii="Times New Roman" w:eastAsia="Times New Roman"/>
        </w:rPr>
        <w:t>96 </w:t>
      </w:r>
      <w:r>
        <w:rPr>
          <w:spacing w:val="-1"/>
        </w:rPr>
        <w:t>小时以上。</w:t>
      </w:r>
    </w:p>
    <w:p>
      <w:pPr>
        <w:pStyle w:val="BodyText"/>
        <w:rPr>
          <w:sz w:val="17"/>
        </w:rPr>
      </w:pPr>
    </w:p>
    <w:p>
      <w:pPr>
        <w:pStyle w:val="BodyText"/>
        <w:ind w:left="2265"/>
      </w:pPr>
      <w:r>
        <w:rPr/>
        <w:t>因酗酒或药物滥用导致的深度昏迷不在保障范围内。</w:t>
      </w:r>
    </w:p>
    <w:p>
      <w:pPr>
        <w:pStyle w:val="BodyText"/>
        <w:spacing w:before="1"/>
        <w:rPr>
          <w:sz w:val="20"/>
        </w:rPr>
      </w:pPr>
    </w:p>
    <w:p>
      <w:pPr>
        <w:pStyle w:val="BodyText"/>
        <w:spacing w:line="223" w:lineRule="auto" w:before="1"/>
        <w:ind w:left="2265" w:right="203" w:hanging="1697"/>
        <w:jc w:val="both"/>
      </w:pPr>
      <w:r>
        <w:rPr>
          <w:rFonts w:ascii="Times New Roman" w:eastAsia="Times New Roman"/>
          <w:b/>
        </w:rPr>
        <w:t>13.</w:t>
      </w:r>
      <w:r>
        <w:rPr>
          <w:spacing w:val="-3"/>
        </w:rPr>
        <w:t>双耳失聪    指因疾病或意外伤害导致双耳听力永久不可逆（</w:t>
      </w:r>
      <w:r>
        <w:rPr>
          <w:spacing w:val="-7"/>
        </w:rPr>
        <w:t>见 </w:t>
      </w:r>
      <w:r>
        <w:rPr>
          <w:rFonts w:ascii="Times New Roman" w:eastAsia="Times New Roman"/>
        </w:rPr>
        <w:t>7.17</w:t>
      </w:r>
      <w:r>
        <w:rPr/>
        <w:t>）</w:t>
      </w:r>
      <w:r>
        <w:rPr>
          <w:spacing w:val="-5"/>
        </w:rPr>
        <w:t>性丧失，在 </w:t>
      </w:r>
      <w:r>
        <w:rPr>
          <w:rFonts w:ascii="Times New Roman" w:eastAsia="Times New Roman"/>
        </w:rPr>
        <w:t>500 </w:t>
      </w:r>
      <w:r>
        <w:rPr>
          <w:spacing w:val="-4"/>
        </w:rPr>
        <w:t>赫兹、</w:t>
      </w:r>
      <w:r>
        <w:rPr>
          <w:rFonts w:ascii="Times New Roman" w:eastAsia="Times New Roman"/>
        </w:rPr>
        <w:t>1000 </w:t>
      </w:r>
      <w:r>
        <w:rPr>
          <w:spacing w:val="-14"/>
        </w:rPr>
        <w:t>赫兹和 </w:t>
      </w:r>
      <w:r>
        <w:rPr>
          <w:rFonts w:ascii="Times New Roman" w:eastAsia="Times New Roman"/>
        </w:rPr>
        <w:t>2000 </w:t>
      </w:r>
      <w:r>
        <w:rPr>
          <w:spacing w:val="-7"/>
        </w:rPr>
        <w:t>赫兹语音频率下，平均听阈大于 </w:t>
      </w:r>
      <w:r>
        <w:rPr>
          <w:rFonts w:ascii="Times New Roman" w:eastAsia="Times New Roman"/>
        </w:rPr>
        <w:t>90 </w:t>
      </w:r>
      <w:r>
        <w:rPr>
          <w:spacing w:val="-4"/>
        </w:rPr>
        <w:t>分贝，且经纯</w:t>
      </w:r>
      <w:r>
        <w:rPr>
          <w:spacing w:val="-3"/>
        </w:rPr>
        <w:t>音听力测试、声导抗检测或听觉诱发电位检测等证实。</w:t>
      </w:r>
    </w:p>
    <w:p>
      <w:pPr>
        <w:pStyle w:val="BodyText"/>
        <w:spacing w:before="13"/>
        <w:rPr>
          <w:sz w:val="19"/>
        </w:rPr>
      </w:pPr>
    </w:p>
    <w:p>
      <w:pPr>
        <w:pStyle w:val="BodyText"/>
        <w:spacing w:line="223" w:lineRule="auto"/>
        <w:ind w:left="2265" w:right="206" w:hanging="1697"/>
        <w:jc w:val="both"/>
      </w:pPr>
      <w:r>
        <w:rPr>
          <w:rFonts w:ascii="Times New Roman" w:eastAsia="Times New Roman"/>
          <w:b/>
        </w:rPr>
        <w:t>14.</w:t>
      </w:r>
      <w:r>
        <w:rPr>
          <w:spacing w:val="-3"/>
        </w:rPr>
        <w:t>双目失明    指因疾病或意外伤害导致双目视力永久不可逆性丧失，双眼中较好眼须满足下列至少一项条件：</w:t>
      </w:r>
    </w:p>
    <w:p>
      <w:pPr>
        <w:pStyle w:val="BodyText"/>
        <w:spacing w:line="281" w:lineRule="exact"/>
        <w:ind w:left="2265"/>
      </w:pPr>
      <w:r>
        <w:rPr/>
        <w:t>（</w:t>
      </w:r>
      <w:r>
        <w:rPr>
          <w:rFonts w:ascii="Times New Roman" w:eastAsia="Times New Roman"/>
        </w:rPr>
        <w:t>1</w:t>
      </w:r>
      <w:r>
        <w:rPr/>
        <w:t>）眼球缺失或摘除；</w:t>
      </w:r>
    </w:p>
    <w:p>
      <w:pPr>
        <w:pStyle w:val="BodyText"/>
        <w:spacing w:line="223" w:lineRule="auto" w:before="12"/>
        <w:ind w:left="2265" w:right="206" w:hanging="1"/>
      </w:pPr>
      <w:r>
        <w:rPr>
          <w:spacing w:val="-10"/>
        </w:rPr>
        <w:t>（</w:t>
      </w:r>
      <w:r>
        <w:rPr>
          <w:rFonts w:ascii="Times New Roman" w:eastAsia="Times New Roman"/>
          <w:spacing w:val="-10"/>
        </w:rPr>
        <w:t>2</w:t>
      </w:r>
      <w:r>
        <w:rPr>
          <w:spacing w:val="-10"/>
        </w:rPr>
        <w:t>）</w:t>
      </w:r>
      <w:r>
        <w:rPr>
          <w:spacing w:val="-6"/>
        </w:rPr>
        <w:t>矫正视力低于 </w:t>
      </w:r>
      <w:r>
        <w:rPr>
          <w:rFonts w:ascii="Times New Roman" w:eastAsia="Times New Roman"/>
          <w:spacing w:val="-7"/>
        </w:rPr>
        <w:t>0.02</w:t>
      </w:r>
      <w:r>
        <w:rPr>
          <w:spacing w:val="-7"/>
        </w:rPr>
        <w:t>（</w:t>
      </w:r>
      <w:r>
        <w:rPr>
          <w:spacing w:val="-6"/>
        </w:rPr>
        <w:t>采用国际标准视力表，如果使用其他视力表应进</w:t>
      </w:r>
      <w:r>
        <w:rPr>
          <w:spacing w:val="-5"/>
        </w:rPr>
        <w:t>行换算</w:t>
      </w:r>
      <w:r>
        <w:rPr/>
        <w:t>）；</w:t>
      </w:r>
    </w:p>
    <w:p>
      <w:pPr>
        <w:pStyle w:val="BodyText"/>
        <w:spacing w:line="289" w:lineRule="exact"/>
        <w:ind w:left="2265"/>
      </w:pPr>
      <w:r>
        <w:rPr/>
        <w:t>（</w:t>
      </w:r>
      <w:r>
        <w:rPr>
          <w:rFonts w:ascii="Times New Roman" w:eastAsia="Times New Roman"/>
        </w:rPr>
        <w:t>3</w:t>
      </w:r>
      <w:r>
        <w:rPr/>
        <w:t>）视野半径小于 </w:t>
      </w:r>
      <w:r>
        <w:rPr>
          <w:rFonts w:ascii="Times New Roman" w:eastAsia="Times New Roman"/>
        </w:rPr>
        <w:t>5 </w:t>
      </w:r>
      <w:r>
        <w:rPr/>
        <w:t>度。</w:t>
      </w:r>
    </w:p>
    <w:p>
      <w:pPr>
        <w:pStyle w:val="BodyText"/>
        <w:spacing w:before="7"/>
        <w:rPr>
          <w:sz w:val="18"/>
        </w:rPr>
      </w:pPr>
    </w:p>
    <w:p>
      <w:pPr>
        <w:pStyle w:val="BodyText"/>
        <w:spacing w:line="225" w:lineRule="auto"/>
        <w:ind w:left="2265" w:right="203" w:hanging="1697"/>
        <w:jc w:val="both"/>
      </w:pPr>
      <w:r>
        <w:rPr>
          <w:rFonts w:ascii="Times New Roman" w:eastAsia="Times New Roman"/>
          <w:b/>
        </w:rPr>
        <w:t>15.</w:t>
      </w:r>
      <w:r>
        <w:rPr>
          <w:spacing w:val="-3"/>
        </w:rPr>
        <w:t>瘫痪        指因疾病或意外伤害事故导致两肢或两肢以上的肢体机能永久完全丧失。</w:t>
      </w:r>
      <w:r>
        <w:rPr>
          <w:spacing w:val="-6"/>
        </w:rPr>
        <w:t>肢体机能永久完全丧失，指疾病确诊 </w:t>
      </w:r>
      <w:r>
        <w:rPr>
          <w:rFonts w:ascii="Times New Roman" w:eastAsia="Times New Roman"/>
        </w:rPr>
        <w:t>180</w:t>
      </w:r>
      <w:r>
        <w:rPr>
          <w:rFonts w:ascii="Times New Roman" w:eastAsia="Times New Roman"/>
          <w:spacing w:val="10"/>
        </w:rPr>
        <w:t> </w:t>
      </w:r>
      <w:r>
        <w:rPr>
          <w:spacing w:val="-7"/>
        </w:rPr>
        <w:t>天后或意外伤害发生 </w:t>
      </w:r>
      <w:r>
        <w:rPr>
          <w:rFonts w:ascii="Times New Roman" w:eastAsia="Times New Roman"/>
        </w:rPr>
        <w:t>180</w:t>
      </w:r>
      <w:r>
        <w:rPr>
          <w:rFonts w:ascii="Times New Roman" w:eastAsia="Times New Roman"/>
          <w:spacing w:val="10"/>
        </w:rPr>
        <w:t> </w:t>
      </w:r>
      <w:r>
        <w:rPr>
          <w:spacing w:val="-2"/>
        </w:rPr>
        <w:t>天后， </w:t>
      </w:r>
      <w:r>
        <w:rPr>
          <w:spacing w:val="-3"/>
        </w:rPr>
        <w:t>每肢三大关节中的两大关节仍然完全僵硬，或不能随意识活动。</w:t>
      </w:r>
    </w:p>
    <w:p>
      <w:pPr>
        <w:pStyle w:val="BodyText"/>
        <w:spacing w:before="12"/>
        <w:rPr>
          <w:sz w:val="14"/>
        </w:rPr>
      </w:pPr>
    </w:p>
    <w:p>
      <w:pPr>
        <w:spacing w:after="0"/>
        <w:rPr>
          <w:sz w:val="14"/>
        </w:rPr>
        <w:sectPr>
          <w:type w:val="continuous"/>
          <w:pgSz w:w="11900" w:h="16840"/>
          <w:pgMar w:top="1220" w:bottom="280" w:left="1680" w:right="1000"/>
        </w:sectPr>
      </w:pPr>
    </w:p>
    <w:p>
      <w:pPr>
        <w:pStyle w:val="ListParagraph"/>
        <w:numPr>
          <w:ilvl w:val="0"/>
          <w:numId w:val="7"/>
        </w:numPr>
        <w:tabs>
          <w:tab w:pos="867" w:val="left" w:leader="none"/>
        </w:tabs>
        <w:spacing w:line="225" w:lineRule="auto" w:before="63" w:after="0"/>
        <w:ind w:left="571" w:right="0" w:hanging="3"/>
        <w:jc w:val="left"/>
        <w:rPr>
          <w:sz w:val="21"/>
        </w:rPr>
      </w:pPr>
      <w:r>
        <w:rPr>
          <w:spacing w:val="23"/>
          <w:sz w:val="21"/>
        </w:rPr>
        <w:t>严重阿尔茨海默病</w:t>
      </w:r>
    </w:p>
    <w:p>
      <w:pPr>
        <w:pStyle w:val="BodyText"/>
        <w:spacing w:line="232" w:lineRule="auto" w:before="51"/>
        <w:ind w:left="171" w:right="203"/>
        <w:jc w:val="both"/>
      </w:pPr>
      <w:r>
        <w:rPr/>
        <w:br w:type="column"/>
      </w:r>
      <w:r>
        <w:rPr>
          <w:spacing w:val="-3"/>
        </w:rPr>
        <w:t>指因大脑进行性、不可逆性改变导致智能严重衰退或丧失，临床表现为明显的认知能力障碍、行为异常和社交能力减退，其日常生活必须持续受到他人监护。须由头颅断层扫描</w:t>
      </w:r>
      <w:r>
        <w:rPr/>
        <w:t>（</w:t>
      </w:r>
      <w:r>
        <w:rPr>
          <w:rFonts w:ascii="Times New Roman" w:eastAsia="Times New Roman"/>
        </w:rPr>
        <w:t>CT</w:t>
      </w:r>
      <w:r>
        <w:rPr/>
        <w:t>）</w:t>
      </w:r>
      <w:r>
        <w:rPr>
          <w:spacing w:val="-3"/>
        </w:rPr>
        <w:t>、核磁共振检查</w:t>
      </w:r>
      <w:r>
        <w:rPr/>
        <w:t>（</w:t>
      </w:r>
      <w:r>
        <w:rPr>
          <w:rFonts w:ascii="Times New Roman" w:eastAsia="Times New Roman"/>
        </w:rPr>
        <w:t>MRI</w:t>
      </w:r>
      <w:r>
        <w:rPr/>
        <w:t>）</w:t>
      </w:r>
      <w:r>
        <w:rPr>
          <w:spacing w:val="-1"/>
        </w:rPr>
        <w:t>或正电子发射断层扫描（</w:t>
      </w:r>
      <w:r>
        <w:rPr>
          <w:rFonts w:ascii="Times New Roman" w:eastAsia="Times New Roman"/>
          <w:spacing w:val="-1"/>
        </w:rPr>
        <w:t>PET</w:t>
      </w:r>
      <w:r>
        <w:rPr>
          <w:spacing w:val="-1"/>
        </w:rPr>
        <w:t>）等影像学检查证实，且自主生活能力完全丧失，无法</w:t>
      </w:r>
    </w:p>
    <w:p>
      <w:pPr>
        <w:spacing w:after="0" w:line="232" w:lineRule="auto"/>
        <w:jc w:val="both"/>
        <w:sectPr>
          <w:type w:val="continuous"/>
          <w:pgSz w:w="11900" w:h="16840"/>
          <w:pgMar w:top="1220" w:bottom="280" w:left="1680" w:right="1000"/>
          <w:cols w:num="2" w:equalWidth="0">
            <w:col w:w="2055" w:space="40"/>
            <w:col w:w="7125"/>
          </w:cols>
        </w:sectPr>
      </w:pPr>
    </w:p>
    <w:p>
      <w:pPr>
        <w:pStyle w:val="BodyText"/>
        <w:spacing w:before="24"/>
        <w:ind w:left="2265"/>
      </w:pPr>
      <w:r>
        <w:rPr/>
        <w:t>独立完成六项基本日常生活活动中的三项或三项以上。</w:t>
      </w:r>
    </w:p>
    <w:p>
      <w:pPr>
        <w:pStyle w:val="BodyText"/>
        <w:spacing w:before="2"/>
        <w:rPr>
          <w:sz w:val="18"/>
        </w:rPr>
      </w:pPr>
    </w:p>
    <w:p>
      <w:pPr>
        <w:pStyle w:val="BodyText"/>
        <w:spacing w:before="1"/>
        <w:ind w:left="2265"/>
      </w:pPr>
      <w:r>
        <w:rPr/>
        <w:t>神经官能症和精神病不在保障范围内。</w:t>
      </w:r>
    </w:p>
    <w:p>
      <w:pPr>
        <w:pStyle w:val="BodyText"/>
        <w:spacing w:before="12"/>
        <w:rPr>
          <w:sz w:val="14"/>
        </w:rPr>
      </w:pPr>
    </w:p>
    <w:p>
      <w:pPr>
        <w:spacing w:after="0"/>
        <w:rPr>
          <w:sz w:val="14"/>
        </w:rPr>
        <w:sectPr>
          <w:pgSz w:w="11900" w:h="16840"/>
          <w:pgMar w:top="1240" w:bottom="280" w:left="1680" w:right="1100"/>
        </w:sectPr>
      </w:pPr>
    </w:p>
    <w:p>
      <w:pPr>
        <w:pStyle w:val="ListParagraph"/>
        <w:numPr>
          <w:ilvl w:val="0"/>
          <w:numId w:val="7"/>
        </w:numPr>
        <w:tabs>
          <w:tab w:pos="867" w:val="left" w:leader="none"/>
        </w:tabs>
        <w:spacing w:line="225" w:lineRule="auto" w:before="63" w:after="0"/>
        <w:ind w:left="571" w:right="0" w:hanging="3"/>
        <w:jc w:val="left"/>
        <w:rPr>
          <w:sz w:val="21"/>
        </w:rPr>
      </w:pPr>
      <w:r>
        <w:rPr>
          <w:spacing w:val="23"/>
          <w:sz w:val="21"/>
        </w:rPr>
        <w:t>严重帕金森病</w:t>
      </w:r>
    </w:p>
    <w:p>
      <w:pPr>
        <w:pStyle w:val="BodyText"/>
        <w:spacing w:before="43"/>
        <w:ind w:left="171" w:right="106"/>
      </w:pPr>
      <w:r>
        <w:rPr/>
        <w:br w:type="column"/>
      </w:r>
      <w:r>
        <w:rPr/>
        <w:t>是一种中枢神经系统的退行性疾病，临床表现为震颤麻痹、共济失调等。须满足下列全部条件：</w:t>
      </w:r>
    </w:p>
    <w:p>
      <w:pPr>
        <w:pStyle w:val="BodyText"/>
        <w:spacing w:line="281" w:lineRule="exact"/>
        <w:ind w:left="171"/>
      </w:pPr>
      <w:r>
        <w:rPr/>
        <w:t>（</w:t>
      </w:r>
      <w:r>
        <w:rPr>
          <w:rFonts w:ascii="Times New Roman" w:eastAsia="Times New Roman"/>
        </w:rPr>
        <w:t>1</w:t>
      </w:r>
      <w:r>
        <w:rPr/>
        <w:t>）药物治疗无法控制病情；</w:t>
      </w:r>
    </w:p>
    <w:p>
      <w:pPr>
        <w:pStyle w:val="BodyText"/>
        <w:spacing w:line="223" w:lineRule="auto" w:before="12"/>
        <w:ind w:left="171" w:right="106"/>
      </w:pPr>
      <w:r>
        <w:rPr>
          <w:spacing w:val="-15"/>
        </w:rPr>
        <w:t>（</w:t>
      </w:r>
      <w:r>
        <w:rPr>
          <w:rFonts w:ascii="Times New Roman" w:eastAsia="Times New Roman"/>
          <w:spacing w:val="-15"/>
        </w:rPr>
        <w:t>2</w:t>
      </w:r>
      <w:r>
        <w:rPr>
          <w:spacing w:val="-15"/>
        </w:rPr>
        <w:t>）</w:t>
      </w:r>
      <w:r>
        <w:rPr>
          <w:spacing w:val="-7"/>
        </w:rPr>
        <w:t>自主生活能力完全丧失，无法独立完成六项基本日常生活活动中的三</w:t>
      </w:r>
      <w:r>
        <w:rPr>
          <w:spacing w:val="-5"/>
        </w:rPr>
        <w:t>项或三项以上。</w:t>
      </w:r>
    </w:p>
    <w:p>
      <w:pPr>
        <w:pStyle w:val="BodyText"/>
        <w:spacing w:before="5"/>
        <w:rPr>
          <w:sz w:val="18"/>
        </w:rPr>
      </w:pPr>
    </w:p>
    <w:p>
      <w:pPr>
        <w:pStyle w:val="BodyText"/>
        <w:ind w:left="171"/>
      </w:pPr>
      <w:r>
        <w:rPr/>
        <w:t>继发性帕金森综合症不在保障范围内。</w:t>
      </w:r>
    </w:p>
    <w:p>
      <w:pPr>
        <w:spacing w:after="0"/>
        <w:sectPr>
          <w:type w:val="continuous"/>
          <w:pgSz w:w="11900" w:h="16840"/>
          <w:pgMar w:top="1220" w:bottom="280" w:left="1680" w:right="1100"/>
          <w:cols w:num="2" w:equalWidth="0">
            <w:col w:w="2055" w:space="40"/>
            <w:col w:w="7025"/>
          </w:cols>
        </w:sectPr>
      </w:pPr>
    </w:p>
    <w:p>
      <w:pPr>
        <w:pStyle w:val="BodyText"/>
        <w:spacing w:before="12"/>
        <w:rPr>
          <w:sz w:val="14"/>
        </w:rPr>
      </w:pPr>
    </w:p>
    <w:p>
      <w:pPr>
        <w:spacing w:after="0"/>
        <w:rPr>
          <w:sz w:val="14"/>
        </w:rPr>
        <w:sectPr>
          <w:type w:val="continuous"/>
          <w:pgSz w:w="11900" w:h="16840"/>
          <w:pgMar w:top="1220" w:bottom="280" w:left="1680" w:right="1100"/>
        </w:sectPr>
      </w:pPr>
    </w:p>
    <w:p>
      <w:pPr>
        <w:pStyle w:val="ListParagraph"/>
        <w:numPr>
          <w:ilvl w:val="0"/>
          <w:numId w:val="7"/>
        </w:numPr>
        <w:tabs>
          <w:tab w:pos="867" w:val="left" w:leader="none"/>
        </w:tabs>
        <w:spacing w:line="225" w:lineRule="auto" w:before="63" w:after="0"/>
        <w:ind w:left="571" w:right="0" w:hanging="3"/>
        <w:jc w:val="left"/>
        <w:rPr>
          <w:sz w:val="21"/>
        </w:rPr>
      </w:pPr>
      <w:r>
        <w:rPr>
          <w:spacing w:val="3"/>
          <w:sz w:val="21"/>
        </w:rPr>
        <w:t>严重Ⅲ 度烧伤</w:t>
      </w:r>
    </w:p>
    <w:p>
      <w:pPr>
        <w:pStyle w:val="BodyText"/>
        <w:spacing w:line="225" w:lineRule="auto" w:before="61"/>
        <w:ind w:left="171" w:right="106" w:hanging="1"/>
      </w:pPr>
      <w:r>
        <w:rPr/>
        <w:br w:type="column"/>
      </w:r>
      <w:r>
        <w:rPr>
          <w:spacing w:val="-13"/>
        </w:rPr>
        <w:t>指烧伤程度为Ⅲ度，且Ⅲ度烧伤的面积达到全身体表面积的 </w:t>
      </w:r>
      <w:r>
        <w:rPr>
          <w:rFonts w:ascii="Times New Roman" w:hAnsi="Times New Roman" w:eastAsia="Times New Roman"/>
        </w:rPr>
        <w:t>20</w:t>
      </w:r>
      <w:r>
        <w:rPr>
          <w:spacing w:val="-14"/>
        </w:rPr>
        <w:t>％或 </w:t>
      </w:r>
      <w:r>
        <w:rPr>
          <w:rFonts w:ascii="Times New Roman" w:hAnsi="Times New Roman" w:eastAsia="Times New Roman"/>
        </w:rPr>
        <w:t>20</w:t>
      </w:r>
      <w:r>
        <w:rPr/>
        <w:t>％以</w:t>
      </w:r>
      <w:r>
        <w:rPr>
          <w:spacing w:val="-3"/>
        </w:rPr>
        <w:t>上。体表面积根据 《中国新九分法》计算。</w:t>
      </w:r>
    </w:p>
    <w:p>
      <w:pPr>
        <w:spacing w:after="0" w:line="225" w:lineRule="auto"/>
        <w:sectPr>
          <w:type w:val="continuous"/>
          <w:pgSz w:w="11900" w:h="16840"/>
          <w:pgMar w:top="1220" w:bottom="280" w:left="1680" w:right="1100"/>
          <w:cols w:num="2" w:equalWidth="0">
            <w:col w:w="2055" w:space="40"/>
            <w:col w:w="7025"/>
          </w:cols>
        </w:sectPr>
      </w:pPr>
    </w:p>
    <w:p>
      <w:pPr>
        <w:pStyle w:val="BodyText"/>
        <w:spacing w:before="10"/>
        <w:rPr>
          <w:sz w:val="14"/>
        </w:rPr>
      </w:pPr>
    </w:p>
    <w:p>
      <w:pPr>
        <w:spacing w:after="0"/>
        <w:rPr>
          <w:sz w:val="14"/>
        </w:rPr>
        <w:sectPr>
          <w:type w:val="continuous"/>
          <w:pgSz w:w="11900" w:h="16840"/>
          <w:pgMar w:top="1220" w:bottom="280" w:left="1680" w:right="1100"/>
        </w:sectPr>
      </w:pPr>
    </w:p>
    <w:p>
      <w:pPr>
        <w:pStyle w:val="ListParagraph"/>
        <w:numPr>
          <w:ilvl w:val="0"/>
          <w:numId w:val="7"/>
        </w:numPr>
        <w:tabs>
          <w:tab w:pos="867" w:val="left" w:leader="none"/>
        </w:tabs>
        <w:spacing w:line="225" w:lineRule="auto" w:before="62" w:after="0"/>
        <w:ind w:left="571" w:right="0" w:hanging="3"/>
        <w:jc w:val="left"/>
        <w:rPr>
          <w:sz w:val="21"/>
        </w:rPr>
      </w:pPr>
      <w:r>
        <w:rPr>
          <w:spacing w:val="23"/>
          <w:sz w:val="21"/>
        </w:rPr>
        <w:t>严重原发性</w:t>
      </w:r>
      <w:r>
        <w:rPr>
          <w:spacing w:val="7"/>
          <w:sz w:val="21"/>
        </w:rPr>
        <w:t>肺动脉高压</w:t>
      </w:r>
    </w:p>
    <w:p>
      <w:pPr>
        <w:pStyle w:val="BodyText"/>
        <w:spacing w:before="43"/>
        <w:ind w:left="171" w:right="106"/>
        <w:jc w:val="both"/>
      </w:pPr>
      <w:r>
        <w:rPr/>
        <w:br w:type="column"/>
      </w:r>
      <w:r>
        <w:rPr/>
        <w:t>指不明原因的肺动脉压力持续性增高，进行性发展而导致的慢性疾病，已经造成永久不可逆性的体力活动能力受限，达到美国纽约心脏病学会心功能状态分级 </w:t>
      </w:r>
      <w:r>
        <w:rPr>
          <w:rFonts w:ascii="Times New Roman" w:eastAsia="Times New Roman"/>
        </w:rPr>
        <w:t>IV </w:t>
      </w:r>
      <w:r>
        <w:rPr/>
        <w:t>级，且静息状态下肺动脉平均压超过 </w:t>
      </w:r>
      <w:r>
        <w:rPr>
          <w:rFonts w:ascii="Times New Roman" w:eastAsia="Times New Roman"/>
        </w:rPr>
        <w:t>30mmHg</w:t>
      </w:r>
      <w:r>
        <w:rPr/>
        <w:t>。</w:t>
      </w:r>
    </w:p>
    <w:p>
      <w:pPr>
        <w:spacing w:after="0"/>
        <w:jc w:val="both"/>
        <w:sectPr>
          <w:type w:val="continuous"/>
          <w:pgSz w:w="11900" w:h="16840"/>
          <w:pgMar w:top="1220" w:bottom="280" w:left="1680" w:right="1100"/>
          <w:cols w:num="2" w:equalWidth="0">
            <w:col w:w="2055" w:space="40"/>
            <w:col w:w="7025"/>
          </w:cols>
        </w:sectPr>
      </w:pPr>
    </w:p>
    <w:p>
      <w:pPr>
        <w:pStyle w:val="BodyText"/>
        <w:spacing w:before="9"/>
        <w:rPr>
          <w:sz w:val="13"/>
        </w:rPr>
      </w:pPr>
    </w:p>
    <w:p>
      <w:pPr>
        <w:spacing w:after="0"/>
        <w:rPr>
          <w:sz w:val="13"/>
        </w:rPr>
        <w:sectPr>
          <w:type w:val="continuous"/>
          <w:pgSz w:w="11900" w:h="16840"/>
          <w:pgMar w:top="1220" w:bottom="280" w:left="1680" w:right="1100"/>
        </w:sectPr>
      </w:pPr>
    </w:p>
    <w:p>
      <w:pPr>
        <w:pStyle w:val="ListParagraph"/>
        <w:numPr>
          <w:ilvl w:val="0"/>
          <w:numId w:val="7"/>
        </w:numPr>
        <w:tabs>
          <w:tab w:pos="867" w:val="left" w:leader="none"/>
        </w:tabs>
        <w:spacing w:line="225" w:lineRule="auto" w:before="63" w:after="0"/>
        <w:ind w:left="571" w:right="0" w:hanging="3"/>
        <w:jc w:val="left"/>
        <w:rPr>
          <w:sz w:val="21"/>
        </w:rPr>
      </w:pPr>
      <w:r>
        <w:rPr>
          <w:spacing w:val="23"/>
          <w:sz w:val="21"/>
        </w:rPr>
        <w:t>严重运动神经元病</w:t>
      </w:r>
    </w:p>
    <w:p>
      <w:pPr>
        <w:pStyle w:val="BodyText"/>
        <w:spacing w:line="237" w:lineRule="auto" w:before="46"/>
        <w:ind w:left="171" w:right="106"/>
        <w:jc w:val="both"/>
      </w:pPr>
      <w:r>
        <w:rPr/>
        <w:br w:type="column"/>
      </w:r>
      <w:r>
        <w:rPr/>
        <w:t>指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37" w:lineRule="auto"/>
        <w:jc w:val="both"/>
        <w:sectPr>
          <w:type w:val="continuous"/>
          <w:pgSz w:w="11900" w:h="16840"/>
          <w:pgMar w:top="1220" w:bottom="280" w:left="1680" w:right="1100"/>
          <w:cols w:num="2" w:equalWidth="0">
            <w:col w:w="2055" w:space="40"/>
            <w:col w:w="7025"/>
          </w:cols>
        </w:sectPr>
      </w:pPr>
    </w:p>
    <w:p>
      <w:pPr>
        <w:pStyle w:val="BodyText"/>
        <w:spacing w:before="12"/>
        <w:rPr>
          <w:sz w:val="14"/>
        </w:rPr>
      </w:pPr>
    </w:p>
    <w:p>
      <w:pPr>
        <w:spacing w:after="0"/>
        <w:rPr>
          <w:sz w:val="14"/>
        </w:rPr>
        <w:sectPr>
          <w:type w:val="continuous"/>
          <w:pgSz w:w="11900" w:h="16840"/>
          <w:pgMar w:top="1220" w:bottom="280" w:left="1680" w:right="1100"/>
        </w:sectPr>
      </w:pPr>
    </w:p>
    <w:p>
      <w:pPr>
        <w:pStyle w:val="ListParagraph"/>
        <w:numPr>
          <w:ilvl w:val="0"/>
          <w:numId w:val="7"/>
        </w:numPr>
        <w:tabs>
          <w:tab w:pos="867" w:val="left" w:leader="none"/>
        </w:tabs>
        <w:spacing w:line="225" w:lineRule="auto" w:before="63" w:after="0"/>
        <w:ind w:left="571" w:right="0" w:hanging="3"/>
        <w:jc w:val="left"/>
        <w:rPr>
          <w:sz w:val="21"/>
        </w:rPr>
      </w:pPr>
      <w:r>
        <w:rPr>
          <w:spacing w:val="23"/>
          <w:sz w:val="21"/>
        </w:rPr>
        <w:t>重型再生障</w:t>
      </w:r>
      <w:r>
        <w:rPr>
          <w:spacing w:val="10"/>
          <w:sz w:val="21"/>
        </w:rPr>
        <w:t>碍性贫血</w:t>
      </w:r>
    </w:p>
    <w:p>
      <w:pPr>
        <w:pStyle w:val="BodyText"/>
        <w:spacing w:before="43"/>
        <w:ind w:left="171" w:right="106"/>
      </w:pPr>
      <w:r>
        <w:rPr/>
        <w:br w:type="column"/>
      </w:r>
      <w:r>
        <w:rPr/>
        <w:t>指因骨髓造血功能慢性持续性衰竭导致的贫血、中性粒细胞减少及血小板减少。须满足以下全部条件：</w:t>
      </w:r>
    </w:p>
    <w:p>
      <w:pPr>
        <w:pStyle w:val="BodyText"/>
        <w:spacing w:line="281" w:lineRule="exact"/>
        <w:ind w:left="171"/>
      </w:pPr>
      <w:r>
        <w:rPr/>
        <w:t>（</w:t>
      </w:r>
      <w:r>
        <w:rPr>
          <w:rFonts w:ascii="Times New Roman" w:eastAsia="Times New Roman"/>
        </w:rPr>
        <w:t>1</w:t>
      </w:r>
      <w:r>
        <w:rPr/>
        <w:t>）骨髓穿刺检查或骨髓活检结果支持诊断；</w:t>
      </w:r>
    </w:p>
    <w:p>
      <w:pPr>
        <w:pStyle w:val="BodyText"/>
        <w:spacing w:line="272" w:lineRule="exact"/>
        <w:ind w:left="171"/>
      </w:pPr>
      <w:r>
        <w:rPr/>
        <w:t>（</w:t>
      </w:r>
      <w:r>
        <w:rPr>
          <w:rFonts w:ascii="Times New Roman" w:eastAsia="Times New Roman"/>
        </w:rPr>
        <w:t>2</w:t>
      </w:r>
      <w:r>
        <w:rPr/>
        <w:t>）外周血象必须具备以下三项条件：</w:t>
      </w:r>
    </w:p>
    <w:p>
      <w:pPr>
        <w:pStyle w:val="BodyText"/>
        <w:spacing w:line="272" w:lineRule="exact"/>
        <w:ind w:left="696"/>
      </w:pPr>
      <w:r>
        <w:rPr>
          <w:spacing w:val="-3"/>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rFonts w:ascii="Times New Roman" w:hAnsi="Times New Roman" w:eastAsia="Times New Roman"/>
          <w:spacing w:val="51"/>
          <w:vertAlign w:val="baseline"/>
        </w:rPr>
        <w:t> </w:t>
      </w:r>
      <w:r>
        <w:rPr>
          <w:vertAlign w:val="baseline"/>
        </w:rPr>
        <w:t>；</w:t>
      </w:r>
    </w:p>
    <w:p>
      <w:pPr>
        <w:pStyle w:val="BodyText"/>
        <w:spacing w:line="274" w:lineRule="exact"/>
        <w:ind w:left="696"/>
      </w:pPr>
      <w:r>
        <w:rPr/>
        <w:t>② 网织红细胞＜</w:t>
      </w:r>
      <w:r>
        <w:rPr>
          <w:rFonts w:ascii="Times New Roman" w:hAnsi="Times New Roman" w:eastAsia="Times New Roman"/>
        </w:rPr>
        <w:t>1%</w:t>
      </w:r>
      <w:r>
        <w:rPr/>
        <w:t>；</w:t>
      </w:r>
    </w:p>
    <w:p>
      <w:pPr>
        <w:pStyle w:val="BodyText"/>
        <w:spacing w:line="282" w:lineRule="exact"/>
        <w:ind w:left="696"/>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line="282" w:lineRule="exact"/>
        <w:sectPr>
          <w:type w:val="continuous"/>
          <w:pgSz w:w="11900" w:h="16840"/>
          <w:pgMar w:top="1220" w:bottom="280" w:left="1680" w:right="1100"/>
          <w:cols w:num="2" w:equalWidth="0">
            <w:col w:w="2055" w:space="40"/>
            <w:col w:w="7025"/>
          </w:cols>
        </w:sectPr>
      </w:pPr>
    </w:p>
    <w:p>
      <w:pPr>
        <w:pStyle w:val="BodyText"/>
        <w:spacing w:before="9"/>
        <w:rPr>
          <w:sz w:val="13"/>
        </w:rPr>
      </w:pPr>
    </w:p>
    <w:p>
      <w:pPr>
        <w:pStyle w:val="BodyText"/>
        <w:spacing w:line="230" w:lineRule="auto" w:before="58"/>
        <w:ind w:left="2265" w:right="106" w:hanging="1697"/>
        <w:jc w:val="both"/>
      </w:pPr>
      <w:r>
        <w:rPr>
          <w:rFonts w:ascii="Times New Roman" w:eastAsia="Times New Roman"/>
          <w:b/>
        </w:rPr>
        <w:t>22.</w:t>
      </w:r>
      <w:r>
        <w:rPr>
          <w:spacing w:val="-3"/>
        </w:rPr>
        <w:t>主动脉手术  指为治疗主动脉疾病，实际实施了开胸或开腹进行的切除、置换、修补病损主动脉血管的手术。主动脉指胸主动脉和腹主动脉，不包括胸主动脉和腹主动脉的分支血管。</w:t>
      </w:r>
    </w:p>
    <w:p>
      <w:pPr>
        <w:pStyle w:val="BodyText"/>
        <w:spacing w:before="3"/>
        <w:rPr>
          <w:sz w:val="18"/>
        </w:rPr>
      </w:pPr>
    </w:p>
    <w:p>
      <w:pPr>
        <w:pStyle w:val="BodyText"/>
        <w:ind w:left="2265"/>
      </w:pPr>
      <w:r>
        <w:rPr/>
        <w:t>动脉内血管成形术不在保障范围内。</w:t>
      </w:r>
    </w:p>
    <w:p>
      <w:pPr>
        <w:pStyle w:val="BodyText"/>
        <w:spacing w:before="12"/>
        <w:rPr>
          <w:sz w:val="14"/>
        </w:rPr>
      </w:pPr>
    </w:p>
    <w:p>
      <w:pPr>
        <w:spacing w:after="0"/>
        <w:rPr>
          <w:sz w:val="14"/>
        </w:rPr>
        <w:sectPr>
          <w:type w:val="continuous"/>
          <w:pgSz w:w="11900" w:h="16840"/>
          <w:pgMar w:top="1220" w:bottom="280" w:left="1680" w:right="1100"/>
        </w:sectPr>
      </w:pPr>
    </w:p>
    <w:p>
      <w:pPr>
        <w:pStyle w:val="ListParagraph"/>
        <w:numPr>
          <w:ilvl w:val="0"/>
          <w:numId w:val="8"/>
        </w:numPr>
        <w:tabs>
          <w:tab w:pos="867" w:val="left" w:leader="none"/>
        </w:tabs>
        <w:spacing w:line="225" w:lineRule="auto" w:before="63" w:after="0"/>
        <w:ind w:left="571" w:right="0" w:hanging="3"/>
        <w:jc w:val="left"/>
        <w:rPr>
          <w:sz w:val="21"/>
        </w:rPr>
      </w:pPr>
      <w:r>
        <w:rPr>
          <w:spacing w:val="23"/>
          <w:sz w:val="21"/>
        </w:rPr>
        <w:t>多发性硬化症</w:t>
      </w:r>
    </w:p>
    <w:p>
      <w:pPr>
        <w:pStyle w:val="BodyText"/>
        <w:spacing w:line="232" w:lineRule="auto" w:before="51"/>
        <w:ind w:left="171" w:right="106"/>
        <w:jc w:val="both"/>
      </w:pPr>
      <w:r>
        <w:rPr/>
        <w:br w:type="column"/>
      </w:r>
      <w:r>
        <w:rPr>
          <w:spacing w:val="-3"/>
        </w:rPr>
        <w:t>指因中枢神经系统脱髓鞘而导致的不可逆的身体部位的功能障碍，需由神经专科医生提供确诊，并有计算机断层扫描（</w:t>
      </w:r>
      <w:r>
        <w:rPr>
          <w:rFonts w:ascii="Times New Roman" w:eastAsia="Times New Roman"/>
          <w:spacing w:val="-3"/>
        </w:rPr>
        <w:t>CT</w:t>
      </w:r>
      <w:r>
        <w:rPr>
          <w:spacing w:val="-3"/>
        </w:rPr>
        <w:t>）</w:t>
      </w:r>
      <w:r>
        <w:rPr>
          <w:spacing w:val="-2"/>
        </w:rPr>
        <w:t>或核磁共振</w:t>
      </w:r>
      <w:r>
        <w:rPr/>
        <w:t>（</w:t>
      </w:r>
      <w:r>
        <w:rPr>
          <w:rFonts w:ascii="Times New Roman" w:eastAsia="Times New Roman"/>
        </w:rPr>
        <w:t>MRI</w:t>
      </w:r>
      <w:r>
        <w:rPr/>
        <w:t>）结</w:t>
      </w:r>
      <w:r>
        <w:rPr>
          <w:spacing w:val="-5"/>
        </w:rPr>
        <w:t>果报告支持本诊断。此不可逆的身体部位功能障碍需持续 </w:t>
      </w:r>
      <w:r>
        <w:rPr>
          <w:rFonts w:ascii="Times New Roman" w:eastAsia="Times New Roman"/>
        </w:rPr>
        <w:t>180 </w:t>
      </w:r>
      <w:r>
        <w:rPr>
          <w:spacing w:val="-2"/>
        </w:rPr>
        <w:t>天以上。</w:t>
      </w:r>
    </w:p>
    <w:p>
      <w:pPr>
        <w:pStyle w:val="BodyText"/>
        <w:rPr>
          <w:sz w:val="17"/>
        </w:rPr>
      </w:pPr>
    </w:p>
    <w:p>
      <w:pPr>
        <w:pStyle w:val="BodyText"/>
        <w:spacing w:line="274" w:lineRule="exact"/>
        <w:ind w:left="171"/>
        <w:jc w:val="both"/>
      </w:pPr>
      <w:r>
        <w:rPr/>
        <w:t>由神经科专家提供确诊必须包含下列内容：</w:t>
      </w:r>
    </w:p>
    <w:p>
      <w:pPr>
        <w:pStyle w:val="BodyText"/>
        <w:spacing w:line="280" w:lineRule="exact"/>
        <w:ind w:left="171"/>
        <w:jc w:val="both"/>
      </w:pPr>
      <w:r>
        <w:rPr/>
        <w:t>（</w:t>
      </w:r>
      <w:r>
        <w:rPr>
          <w:rFonts w:ascii="Times New Roman" w:eastAsia="Times New Roman"/>
        </w:rPr>
        <w:t>1</w:t>
      </w:r>
      <w:r>
        <w:rPr/>
        <w:t>）明确出现因视神经、脑干或脊髓损伤而导致的临床表现；</w:t>
      </w:r>
    </w:p>
    <w:p>
      <w:pPr>
        <w:pStyle w:val="BodyText"/>
        <w:spacing w:line="272" w:lineRule="exact"/>
        <w:ind w:left="171"/>
        <w:jc w:val="both"/>
      </w:pPr>
      <w:r>
        <w:rPr/>
        <w:t>（</w:t>
      </w:r>
      <w:r>
        <w:rPr>
          <w:rFonts w:ascii="Times New Roman" w:eastAsia="Times New Roman"/>
        </w:rPr>
        <w:t>2</w:t>
      </w:r>
      <w:r>
        <w:rPr/>
        <w:t>）散在的身体损伤的多样性；</w:t>
      </w:r>
    </w:p>
    <w:p>
      <w:pPr>
        <w:pStyle w:val="BodyText"/>
        <w:spacing w:line="282" w:lineRule="exact"/>
        <w:ind w:left="171"/>
        <w:jc w:val="both"/>
      </w:pPr>
      <w:r>
        <w:rPr/>
        <w:t>（</w:t>
      </w:r>
      <w:r>
        <w:rPr>
          <w:rFonts w:ascii="Times New Roman" w:eastAsia="Times New Roman"/>
        </w:rPr>
        <w:t>3</w:t>
      </w:r>
      <w:r>
        <w:rPr/>
        <w:t>）有明确的上述症状及神经损伤反复恶化与减轻的病史记录。</w:t>
      </w:r>
    </w:p>
    <w:p>
      <w:pPr>
        <w:spacing w:after="0" w:line="282" w:lineRule="exact"/>
        <w:jc w:val="both"/>
        <w:sectPr>
          <w:type w:val="continuous"/>
          <w:pgSz w:w="11900" w:h="16840"/>
          <w:pgMar w:top="1220" w:bottom="280" w:left="1680" w:right="1100"/>
          <w:cols w:num="2" w:equalWidth="0">
            <w:col w:w="2055" w:space="40"/>
            <w:col w:w="7025"/>
          </w:cols>
        </w:sectPr>
      </w:pPr>
    </w:p>
    <w:p>
      <w:pPr>
        <w:pStyle w:val="BodyText"/>
        <w:spacing w:before="9"/>
        <w:rPr>
          <w:sz w:val="13"/>
        </w:rPr>
      </w:pPr>
    </w:p>
    <w:p>
      <w:pPr>
        <w:spacing w:after="0"/>
        <w:rPr>
          <w:sz w:val="13"/>
        </w:rPr>
        <w:sectPr>
          <w:type w:val="continuous"/>
          <w:pgSz w:w="11900" w:h="16840"/>
          <w:pgMar w:top="1220" w:bottom="280" w:left="1680" w:right="1100"/>
        </w:sectPr>
      </w:pPr>
    </w:p>
    <w:p>
      <w:pPr>
        <w:pStyle w:val="ListParagraph"/>
        <w:numPr>
          <w:ilvl w:val="0"/>
          <w:numId w:val="8"/>
        </w:numPr>
        <w:tabs>
          <w:tab w:pos="951" w:val="left" w:leader="none"/>
        </w:tabs>
        <w:spacing w:line="232" w:lineRule="auto" w:before="55" w:after="0"/>
        <w:ind w:left="571" w:right="0" w:hanging="3"/>
        <w:jc w:val="both"/>
        <w:rPr>
          <w:sz w:val="21"/>
        </w:rPr>
      </w:pPr>
      <w:r>
        <w:rPr>
          <w:spacing w:val="7"/>
          <w:sz w:val="21"/>
        </w:rPr>
        <w:t>胰岛素依赖型糖尿病（Ⅰ型</w:t>
      </w:r>
      <w:r>
        <w:rPr>
          <w:spacing w:val="3"/>
          <w:sz w:val="21"/>
        </w:rPr>
        <w:t>糖尿病</w:t>
      </w:r>
      <w:r>
        <w:rPr>
          <w:sz w:val="21"/>
        </w:rPr>
        <w:t>）</w:t>
      </w:r>
    </w:p>
    <w:p>
      <w:pPr>
        <w:pStyle w:val="BodyText"/>
        <w:spacing w:line="235" w:lineRule="auto" w:before="49"/>
        <w:ind w:left="171" w:right="137"/>
        <w:jc w:val="both"/>
      </w:pPr>
      <w:r>
        <w:rPr/>
        <w:br w:type="column"/>
      </w:r>
      <w:r>
        <w:rPr>
          <w:spacing w:val="-4"/>
        </w:rPr>
        <w:t>是由于胰岛素分泌绝对不足引起的慢性血糖升高，并需持续性地依赖外源</w:t>
      </w:r>
      <w:r>
        <w:rPr>
          <w:spacing w:val="-9"/>
        </w:rPr>
        <w:t>性胰岛素维持 </w:t>
      </w:r>
      <w:r>
        <w:rPr>
          <w:rFonts w:ascii="Times New Roman" w:eastAsia="Times New Roman"/>
        </w:rPr>
        <w:t>180 </w:t>
      </w:r>
      <w:r>
        <w:rPr>
          <w:spacing w:val="-3"/>
        </w:rPr>
        <w:t>天以上，须经血胰岛素测定和血</w:t>
      </w:r>
      <w:r>
        <w:rPr/>
        <w:t>（尿）</w:t>
      </w:r>
      <w:r>
        <w:rPr>
          <w:rFonts w:ascii="Times New Roman" w:eastAsia="Times New Roman"/>
        </w:rPr>
        <w:t>C </w:t>
      </w:r>
      <w:r>
        <w:rPr>
          <w:spacing w:val="-3"/>
        </w:rPr>
        <w:t>肽测定，结果</w:t>
      </w:r>
      <w:r>
        <w:rPr>
          <w:spacing w:val="-4"/>
        </w:rPr>
        <w:t>异常，由内分泌科医生确诊，并在本附加合同有效期内，满足下述至少一</w:t>
      </w:r>
      <w:r>
        <w:rPr>
          <w:spacing w:val="-3"/>
        </w:rPr>
        <w:t>个条件：</w:t>
      </w:r>
    </w:p>
    <w:p>
      <w:pPr>
        <w:pStyle w:val="BodyText"/>
        <w:spacing w:line="279" w:lineRule="exact"/>
        <w:ind w:left="171"/>
        <w:jc w:val="both"/>
      </w:pPr>
      <w:r>
        <w:rPr/>
        <w:t>（</w:t>
      </w:r>
      <w:r>
        <w:rPr>
          <w:rFonts w:ascii="Times New Roman" w:eastAsia="Times New Roman"/>
        </w:rPr>
        <w:t>1</w:t>
      </w:r>
      <w:r>
        <w:rPr/>
        <w:t>）已出现增殖性视网膜病变；</w:t>
      </w:r>
    </w:p>
    <w:p>
      <w:pPr>
        <w:pStyle w:val="BodyText"/>
        <w:spacing w:line="282" w:lineRule="exact"/>
        <w:ind w:left="171"/>
        <w:jc w:val="both"/>
      </w:pPr>
      <w:r>
        <w:rPr/>
        <w:t>（</w:t>
      </w:r>
      <w:r>
        <w:rPr>
          <w:rFonts w:ascii="Times New Roman" w:eastAsia="Times New Roman"/>
        </w:rPr>
        <w:t>2</w:t>
      </w:r>
      <w:r>
        <w:rPr/>
        <w:t>）须植入心脏起搏器治疗心脏病；</w:t>
      </w:r>
    </w:p>
    <w:p>
      <w:pPr>
        <w:spacing w:after="0" w:line="282" w:lineRule="exact"/>
        <w:jc w:val="both"/>
        <w:sectPr>
          <w:type w:val="continuous"/>
          <w:pgSz w:w="11900" w:h="16840"/>
          <w:pgMar w:top="1220" w:bottom="280" w:left="1680" w:right="1100"/>
          <w:cols w:num="2" w:equalWidth="0">
            <w:col w:w="2055" w:space="40"/>
            <w:col w:w="7025"/>
          </w:cols>
        </w:sectPr>
      </w:pPr>
    </w:p>
    <w:p>
      <w:pPr>
        <w:pStyle w:val="BodyText"/>
        <w:spacing w:before="24"/>
        <w:ind w:left="2265"/>
      </w:pPr>
      <w:r>
        <w:rPr/>
        <w:t>（</w:t>
      </w:r>
      <w:r>
        <w:rPr>
          <w:rFonts w:ascii="Times New Roman" w:eastAsia="Times New Roman"/>
        </w:rPr>
        <w:t>3</w:t>
      </w:r>
      <w:r>
        <w:rPr/>
        <w:t>）因坏疽需切除一只或以上脚趾。</w:t>
      </w:r>
    </w:p>
    <w:p>
      <w:pPr>
        <w:pStyle w:val="BodyText"/>
        <w:spacing w:before="9"/>
        <w:rPr>
          <w:sz w:val="13"/>
        </w:rPr>
      </w:pPr>
    </w:p>
    <w:p>
      <w:pPr>
        <w:spacing w:after="0"/>
        <w:rPr>
          <w:sz w:val="13"/>
        </w:rPr>
        <w:sectPr>
          <w:pgSz w:w="11900" w:h="16840"/>
          <w:pgMar w:top="1240" w:bottom="280" w:left="1680" w:right="1100"/>
        </w:sectPr>
      </w:pPr>
    </w:p>
    <w:p>
      <w:pPr>
        <w:pStyle w:val="ListParagraph"/>
        <w:numPr>
          <w:ilvl w:val="0"/>
          <w:numId w:val="8"/>
        </w:numPr>
        <w:tabs>
          <w:tab w:pos="867" w:val="left" w:leader="none"/>
        </w:tabs>
        <w:spacing w:line="225" w:lineRule="auto" w:before="63" w:after="0"/>
        <w:ind w:left="571" w:right="0" w:hanging="3"/>
        <w:jc w:val="left"/>
        <w:rPr>
          <w:sz w:val="21"/>
        </w:rPr>
      </w:pPr>
      <w:r>
        <w:rPr>
          <w:spacing w:val="23"/>
          <w:sz w:val="21"/>
        </w:rPr>
        <w:t>肺源性心脏病</w:t>
      </w:r>
    </w:p>
    <w:p>
      <w:pPr>
        <w:pStyle w:val="BodyText"/>
        <w:spacing w:line="274" w:lineRule="exact" w:before="43"/>
        <w:ind w:left="171"/>
      </w:pPr>
      <w:r>
        <w:rPr/>
        <w:br w:type="column"/>
      </w:r>
      <w:r>
        <w:rPr/>
        <w:t>由呼吸科医生确诊为肺源性心脏病，必须同时满足如下诊断标准：</w:t>
      </w:r>
    </w:p>
    <w:p>
      <w:pPr>
        <w:pStyle w:val="BodyText"/>
        <w:spacing w:line="282" w:lineRule="exact"/>
        <w:ind w:left="171"/>
      </w:pPr>
      <w:r>
        <w:rPr/>
        <w:t>（</w:t>
      </w:r>
      <w:r>
        <w:rPr>
          <w:rFonts w:ascii="Times New Roman" w:eastAsia="Times New Roman"/>
        </w:rPr>
        <w:t>1</w:t>
      </w:r>
      <w:r>
        <w:rPr/>
        <w:t>）左心房压力增高（不低于 </w:t>
      </w:r>
      <w:r>
        <w:rPr>
          <w:rFonts w:ascii="Times New Roman" w:eastAsia="Times New Roman"/>
        </w:rPr>
        <w:t>20 </w:t>
      </w:r>
      <w:r>
        <w:rPr/>
        <w:t>个单位）；</w:t>
      </w:r>
    </w:p>
    <w:p>
      <w:pPr>
        <w:pStyle w:val="BodyText"/>
        <w:spacing w:line="272" w:lineRule="exact"/>
        <w:ind w:left="171"/>
      </w:pPr>
      <w:r>
        <w:rPr/>
        <w:t>（</w:t>
      </w:r>
      <w:r>
        <w:rPr>
          <w:rFonts w:ascii="Times New Roman" w:eastAsia="Times New Roman"/>
        </w:rPr>
        <w:t>2</w:t>
      </w:r>
      <w:r>
        <w:rPr/>
        <w:t>）肺血管阻力高于正常值 </w:t>
      </w:r>
      <w:r>
        <w:rPr>
          <w:rFonts w:ascii="Times New Roman" w:eastAsia="Times New Roman"/>
        </w:rPr>
        <w:t>3 </w:t>
      </w:r>
      <w:r>
        <w:rPr/>
        <w:t>个单位（</w:t>
      </w:r>
      <w:r>
        <w:rPr>
          <w:rFonts w:ascii="Times New Roman" w:eastAsia="Times New Roman"/>
        </w:rPr>
        <w:t>Pulmonary Resistance</w:t>
      </w:r>
      <w:r>
        <w:rPr/>
        <w:t>）；</w:t>
      </w:r>
    </w:p>
    <w:p>
      <w:pPr>
        <w:pStyle w:val="BodyText"/>
        <w:spacing w:line="272" w:lineRule="exact"/>
        <w:ind w:left="171"/>
      </w:pPr>
      <w:r>
        <w:rPr/>
        <w:t>（</w:t>
      </w:r>
      <w:r>
        <w:rPr>
          <w:rFonts w:ascii="Times New Roman" w:eastAsia="Times New Roman"/>
        </w:rPr>
        <w:t>3</w:t>
      </w:r>
      <w:r>
        <w:rPr/>
        <w:t>）肺动脉血压不低于 </w:t>
      </w:r>
      <w:r>
        <w:rPr>
          <w:rFonts w:ascii="Times New Roman" w:eastAsia="Times New Roman"/>
        </w:rPr>
        <w:t>40 </w:t>
      </w:r>
      <w:r>
        <w:rPr/>
        <w:t>毫米汞柱；</w:t>
      </w:r>
    </w:p>
    <w:p>
      <w:pPr>
        <w:pStyle w:val="BodyText"/>
        <w:spacing w:line="274" w:lineRule="exact"/>
        <w:ind w:left="171"/>
      </w:pPr>
      <w:r>
        <w:rPr/>
        <w:t>（</w:t>
      </w:r>
      <w:r>
        <w:rPr>
          <w:rFonts w:ascii="Times New Roman" w:eastAsia="Times New Roman"/>
        </w:rPr>
        <w:t>4</w:t>
      </w:r>
      <w:r>
        <w:rPr/>
        <w:t>）肺动脉楔压不低于 </w:t>
      </w:r>
      <w:r>
        <w:rPr>
          <w:rFonts w:ascii="Times New Roman" w:eastAsia="Times New Roman"/>
        </w:rPr>
        <w:t>6 </w:t>
      </w:r>
      <w:r>
        <w:rPr/>
        <w:t>毫米汞柱；</w:t>
      </w:r>
    </w:p>
    <w:p>
      <w:pPr>
        <w:pStyle w:val="BodyText"/>
        <w:spacing w:line="274" w:lineRule="exact"/>
        <w:ind w:left="171"/>
      </w:pPr>
      <w:r>
        <w:rPr/>
        <w:t>（</w:t>
      </w:r>
      <w:r>
        <w:rPr>
          <w:rFonts w:ascii="Times New Roman" w:eastAsia="Times New Roman"/>
        </w:rPr>
        <w:t>5</w:t>
      </w:r>
      <w:r>
        <w:rPr/>
        <w:t>）右心室心脏舒张期末压力不低于 </w:t>
      </w:r>
      <w:r>
        <w:rPr>
          <w:rFonts w:ascii="Times New Roman" w:eastAsia="Times New Roman"/>
        </w:rPr>
        <w:t>8 </w:t>
      </w:r>
      <w:r>
        <w:rPr/>
        <w:t>毫米汞柱；</w:t>
      </w:r>
    </w:p>
    <w:p>
      <w:pPr>
        <w:pStyle w:val="BodyText"/>
        <w:spacing w:line="282" w:lineRule="exact"/>
        <w:ind w:left="171"/>
      </w:pPr>
      <w:r>
        <w:rPr/>
        <w:t>（</w:t>
      </w:r>
      <w:r>
        <w:rPr>
          <w:rFonts w:ascii="Times New Roman" w:eastAsia="Times New Roman"/>
        </w:rPr>
        <w:t>6</w:t>
      </w:r>
      <w:r>
        <w:rPr/>
        <w:t>）右心室过度肥大、扩张，出现右心衰竭和呼吸困难。</w:t>
      </w:r>
    </w:p>
    <w:p>
      <w:pPr>
        <w:spacing w:after="0" w:line="282" w:lineRule="exact"/>
        <w:sectPr>
          <w:type w:val="continuous"/>
          <w:pgSz w:w="11900" w:h="16840"/>
          <w:pgMar w:top="1220" w:bottom="280" w:left="1680" w:right="1100"/>
          <w:cols w:num="2" w:equalWidth="0">
            <w:col w:w="2055" w:space="40"/>
            <w:col w:w="7025"/>
          </w:cols>
        </w:sectPr>
      </w:pPr>
    </w:p>
    <w:p>
      <w:pPr>
        <w:pStyle w:val="BodyText"/>
        <w:spacing w:before="9"/>
        <w:rPr>
          <w:sz w:val="13"/>
        </w:rPr>
      </w:pPr>
    </w:p>
    <w:p>
      <w:pPr>
        <w:pStyle w:val="BodyText"/>
        <w:spacing w:line="230" w:lineRule="auto" w:before="57"/>
        <w:ind w:left="2265" w:right="106" w:hanging="1697"/>
        <w:jc w:val="both"/>
      </w:pPr>
      <w:r>
        <w:rPr>
          <w:rFonts w:ascii="Times New Roman" w:eastAsia="Times New Roman"/>
          <w:b/>
        </w:rPr>
        <w:t>26.</w:t>
      </w:r>
      <w:r>
        <w:rPr>
          <w:spacing w:val="-3"/>
        </w:rPr>
        <w:t>疾病末期    被保险人经医生诊断确定为严重疾病末期，并经专科医生认定其所患疾病依现有医疗技术无法治愈且根据医学及临床经验其平均存活期间在六个月以下。</w:t>
      </w:r>
    </w:p>
    <w:sectPr>
      <w:type w:val="continuous"/>
      <w:pgSz w:w="11900" w:h="16840"/>
      <w:pgMar w:top="1220" w:bottom="280" w:left="168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23"/>
      <w:numFmt w:val="decimal"/>
      <w:lvlText w:val="%1."/>
      <w:lvlJc w:val="left"/>
      <w:pPr>
        <w:ind w:left="571"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727" w:hanging="298"/>
      </w:pPr>
      <w:rPr>
        <w:rFonts w:hint="default"/>
      </w:rPr>
    </w:lvl>
    <w:lvl w:ilvl="2">
      <w:start w:val="0"/>
      <w:numFmt w:val="bullet"/>
      <w:lvlText w:val="•"/>
      <w:lvlJc w:val="left"/>
      <w:pPr>
        <w:ind w:left="874" w:hanging="298"/>
      </w:pPr>
      <w:rPr>
        <w:rFonts w:hint="default"/>
      </w:rPr>
    </w:lvl>
    <w:lvl w:ilvl="3">
      <w:start w:val="0"/>
      <w:numFmt w:val="bullet"/>
      <w:lvlText w:val="•"/>
      <w:lvlJc w:val="left"/>
      <w:pPr>
        <w:ind w:left="1022" w:hanging="298"/>
      </w:pPr>
      <w:rPr>
        <w:rFonts w:hint="default"/>
      </w:rPr>
    </w:lvl>
    <w:lvl w:ilvl="4">
      <w:start w:val="0"/>
      <w:numFmt w:val="bullet"/>
      <w:lvlText w:val="•"/>
      <w:lvlJc w:val="left"/>
      <w:pPr>
        <w:ind w:left="1169" w:hanging="298"/>
      </w:pPr>
      <w:rPr>
        <w:rFonts w:hint="default"/>
      </w:rPr>
    </w:lvl>
    <w:lvl w:ilvl="5">
      <w:start w:val="0"/>
      <w:numFmt w:val="bullet"/>
      <w:lvlText w:val="•"/>
      <w:lvlJc w:val="left"/>
      <w:pPr>
        <w:ind w:left="1317" w:hanging="298"/>
      </w:pPr>
      <w:rPr>
        <w:rFonts w:hint="default"/>
      </w:rPr>
    </w:lvl>
    <w:lvl w:ilvl="6">
      <w:start w:val="0"/>
      <w:numFmt w:val="bullet"/>
      <w:lvlText w:val="•"/>
      <w:lvlJc w:val="left"/>
      <w:pPr>
        <w:ind w:left="1464" w:hanging="298"/>
      </w:pPr>
      <w:rPr>
        <w:rFonts w:hint="default"/>
      </w:rPr>
    </w:lvl>
    <w:lvl w:ilvl="7">
      <w:start w:val="0"/>
      <w:numFmt w:val="bullet"/>
      <w:lvlText w:val="•"/>
      <w:lvlJc w:val="left"/>
      <w:pPr>
        <w:ind w:left="1611" w:hanging="298"/>
      </w:pPr>
      <w:rPr>
        <w:rFonts w:hint="default"/>
      </w:rPr>
    </w:lvl>
    <w:lvl w:ilvl="8">
      <w:start w:val="0"/>
      <w:numFmt w:val="bullet"/>
      <w:lvlText w:val="•"/>
      <w:lvlJc w:val="left"/>
      <w:pPr>
        <w:ind w:left="1759" w:hanging="298"/>
      </w:pPr>
      <w:rPr>
        <w:rFonts w:hint="default"/>
      </w:rPr>
    </w:lvl>
  </w:abstractNum>
  <w:abstractNum w:abstractNumId="6">
    <w:multiLevelType w:val="hybridMultilevel"/>
    <w:lvl w:ilvl="0">
      <w:start w:val="16"/>
      <w:numFmt w:val="decimal"/>
      <w:lvlText w:val="%1."/>
      <w:lvlJc w:val="left"/>
      <w:pPr>
        <w:ind w:left="571"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727" w:hanging="298"/>
      </w:pPr>
      <w:rPr>
        <w:rFonts w:hint="default"/>
      </w:rPr>
    </w:lvl>
    <w:lvl w:ilvl="2">
      <w:start w:val="0"/>
      <w:numFmt w:val="bullet"/>
      <w:lvlText w:val="•"/>
      <w:lvlJc w:val="left"/>
      <w:pPr>
        <w:ind w:left="874" w:hanging="298"/>
      </w:pPr>
      <w:rPr>
        <w:rFonts w:hint="default"/>
      </w:rPr>
    </w:lvl>
    <w:lvl w:ilvl="3">
      <w:start w:val="0"/>
      <w:numFmt w:val="bullet"/>
      <w:lvlText w:val="•"/>
      <w:lvlJc w:val="left"/>
      <w:pPr>
        <w:ind w:left="1022" w:hanging="298"/>
      </w:pPr>
      <w:rPr>
        <w:rFonts w:hint="default"/>
      </w:rPr>
    </w:lvl>
    <w:lvl w:ilvl="4">
      <w:start w:val="0"/>
      <w:numFmt w:val="bullet"/>
      <w:lvlText w:val="•"/>
      <w:lvlJc w:val="left"/>
      <w:pPr>
        <w:ind w:left="1169" w:hanging="298"/>
      </w:pPr>
      <w:rPr>
        <w:rFonts w:hint="default"/>
      </w:rPr>
    </w:lvl>
    <w:lvl w:ilvl="5">
      <w:start w:val="0"/>
      <w:numFmt w:val="bullet"/>
      <w:lvlText w:val="•"/>
      <w:lvlJc w:val="left"/>
      <w:pPr>
        <w:ind w:left="1317" w:hanging="298"/>
      </w:pPr>
      <w:rPr>
        <w:rFonts w:hint="default"/>
      </w:rPr>
    </w:lvl>
    <w:lvl w:ilvl="6">
      <w:start w:val="0"/>
      <w:numFmt w:val="bullet"/>
      <w:lvlText w:val="•"/>
      <w:lvlJc w:val="left"/>
      <w:pPr>
        <w:ind w:left="1464" w:hanging="298"/>
      </w:pPr>
      <w:rPr>
        <w:rFonts w:hint="default"/>
      </w:rPr>
    </w:lvl>
    <w:lvl w:ilvl="7">
      <w:start w:val="0"/>
      <w:numFmt w:val="bullet"/>
      <w:lvlText w:val="•"/>
      <w:lvlJc w:val="left"/>
      <w:pPr>
        <w:ind w:left="1611" w:hanging="298"/>
      </w:pPr>
      <w:rPr>
        <w:rFonts w:hint="default"/>
      </w:rPr>
    </w:lvl>
    <w:lvl w:ilvl="8">
      <w:start w:val="0"/>
      <w:numFmt w:val="bullet"/>
      <w:lvlText w:val="•"/>
      <w:lvlJc w:val="left"/>
      <w:pPr>
        <w:ind w:left="1759" w:hanging="298"/>
      </w:pPr>
      <w:rPr>
        <w:rFonts w:hint="default"/>
      </w:rPr>
    </w:lvl>
  </w:abstractNum>
  <w:abstractNum w:abstractNumId="5">
    <w:multiLevelType w:val="hybridMultilevel"/>
    <w:lvl w:ilvl="0">
      <w:start w:val="10"/>
      <w:numFmt w:val="decimal"/>
      <w:lvlText w:val="%1."/>
      <w:lvlJc w:val="left"/>
      <w:pPr>
        <w:ind w:left="571"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727" w:hanging="298"/>
      </w:pPr>
      <w:rPr>
        <w:rFonts w:hint="default"/>
      </w:rPr>
    </w:lvl>
    <w:lvl w:ilvl="2">
      <w:start w:val="0"/>
      <w:numFmt w:val="bullet"/>
      <w:lvlText w:val="•"/>
      <w:lvlJc w:val="left"/>
      <w:pPr>
        <w:ind w:left="874" w:hanging="298"/>
      </w:pPr>
      <w:rPr>
        <w:rFonts w:hint="default"/>
      </w:rPr>
    </w:lvl>
    <w:lvl w:ilvl="3">
      <w:start w:val="0"/>
      <w:numFmt w:val="bullet"/>
      <w:lvlText w:val="•"/>
      <w:lvlJc w:val="left"/>
      <w:pPr>
        <w:ind w:left="1022" w:hanging="298"/>
      </w:pPr>
      <w:rPr>
        <w:rFonts w:hint="default"/>
      </w:rPr>
    </w:lvl>
    <w:lvl w:ilvl="4">
      <w:start w:val="0"/>
      <w:numFmt w:val="bullet"/>
      <w:lvlText w:val="•"/>
      <w:lvlJc w:val="left"/>
      <w:pPr>
        <w:ind w:left="1169" w:hanging="298"/>
      </w:pPr>
      <w:rPr>
        <w:rFonts w:hint="default"/>
      </w:rPr>
    </w:lvl>
    <w:lvl w:ilvl="5">
      <w:start w:val="0"/>
      <w:numFmt w:val="bullet"/>
      <w:lvlText w:val="•"/>
      <w:lvlJc w:val="left"/>
      <w:pPr>
        <w:ind w:left="1317" w:hanging="298"/>
      </w:pPr>
      <w:rPr>
        <w:rFonts w:hint="default"/>
      </w:rPr>
    </w:lvl>
    <w:lvl w:ilvl="6">
      <w:start w:val="0"/>
      <w:numFmt w:val="bullet"/>
      <w:lvlText w:val="•"/>
      <w:lvlJc w:val="left"/>
      <w:pPr>
        <w:ind w:left="1464" w:hanging="298"/>
      </w:pPr>
      <w:rPr>
        <w:rFonts w:hint="default"/>
      </w:rPr>
    </w:lvl>
    <w:lvl w:ilvl="7">
      <w:start w:val="0"/>
      <w:numFmt w:val="bullet"/>
      <w:lvlText w:val="•"/>
      <w:lvlJc w:val="left"/>
      <w:pPr>
        <w:ind w:left="1611" w:hanging="298"/>
      </w:pPr>
      <w:rPr>
        <w:rFonts w:hint="default"/>
      </w:rPr>
    </w:lvl>
    <w:lvl w:ilvl="8">
      <w:start w:val="0"/>
      <w:numFmt w:val="bullet"/>
      <w:lvlText w:val="•"/>
      <w:lvlJc w:val="left"/>
      <w:pPr>
        <w:ind w:left="1759" w:hanging="298"/>
      </w:pPr>
      <w:rPr>
        <w:rFonts w:hint="default"/>
      </w:rPr>
    </w:lvl>
  </w:abstractNum>
  <w:abstractNum w:abstractNumId="4">
    <w:multiLevelType w:val="hybridMultilevel"/>
    <w:lvl w:ilvl="0">
      <w:start w:val="7"/>
      <w:numFmt w:val="decimal"/>
      <w:lvlText w:val="%1"/>
      <w:lvlJc w:val="left"/>
      <w:pPr>
        <w:ind w:left="2645" w:hanging="481"/>
        <w:jc w:val="left"/>
      </w:pPr>
      <w:rPr>
        <w:rFonts w:hint="default"/>
      </w:rPr>
    </w:lvl>
    <w:lvl w:ilvl="1">
      <w:start w:val="1"/>
      <w:numFmt w:val="decimal"/>
      <w:lvlText w:val="%1.%2"/>
      <w:lvlJc w:val="left"/>
      <w:pPr>
        <w:ind w:left="2645" w:hanging="481"/>
        <w:jc w:val="right"/>
      </w:pPr>
      <w:rPr>
        <w:rFonts w:hint="default" w:ascii="Times New Roman" w:hAnsi="Times New Roman" w:eastAsia="Times New Roman" w:cs="Times New Roman"/>
        <w:b/>
        <w:bCs/>
        <w:w w:val="100"/>
        <w:position w:val="2"/>
        <w:sz w:val="21"/>
        <w:szCs w:val="21"/>
      </w:rPr>
    </w:lvl>
    <w:lvl w:ilvl="2">
      <w:start w:val="0"/>
      <w:numFmt w:val="bullet"/>
      <w:lvlText w:val="•"/>
      <w:lvlJc w:val="left"/>
      <w:pPr>
        <w:ind w:left="3513" w:hanging="481"/>
      </w:pPr>
      <w:rPr>
        <w:rFonts w:hint="default"/>
      </w:rPr>
    </w:lvl>
    <w:lvl w:ilvl="3">
      <w:start w:val="0"/>
      <w:numFmt w:val="bullet"/>
      <w:lvlText w:val="•"/>
      <w:lvlJc w:val="left"/>
      <w:pPr>
        <w:ind w:left="4226" w:hanging="481"/>
      </w:pPr>
      <w:rPr>
        <w:rFonts w:hint="default"/>
      </w:rPr>
    </w:lvl>
    <w:lvl w:ilvl="4">
      <w:start w:val="0"/>
      <w:numFmt w:val="bullet"/>
      <w:lvlText w:val="•"/>
      <w:lvlJc w:val="left"/>
      <w:pPr>
        <w:ind w:left="4940" w:hanging="481"/>
      </w:pPr>
      <w:rPr>
        <w:rFonts w:hint="default"/>
      </w:rPr>
    </w:lvl>
    <w:lvl w:ilvl="5">
      <w:start w:val="0"/>
      <w:numFmt w:val="bullet"/>
      <w:lvlText w:val="•"/>
      <w:lvlJc w:val="left"/>
      <w:pPr>
        <w:ind w:left="5653" w:hanging="481"/>
      </w:pPr>
      <w:rPr>
        <w:rFonts w:hint="default"/>
      </w:rPr>
    </w:lvl>
    <w:lvl w:ilvl="6">
      <w:start w:val="0"/>
      <w:numFmt w:val="bullet"/>
      <w:lvlText w:val="•"/>
      <w:lvlJc w:val="left"/>
      <w:pPr>
        <w:ind w:left="6366" w:hanging="481"/>
      </w:pPr>
      <w:rPr>
        <w:rFonts w:hint="default"/>
      </w:rPr>
    </w:lvl>
    <w:lvl w:ilvl="7">
      <w:start w:val="0"/>
      <w:numFmt w:val="bullet"/>
      <w:lvlText w:val="•"/>
      <w:lvlJc w:val="left"/>
      <w:pPr>
        <w:ind w:left="7080" w:hanging="481"/>
      </w:pPr>
      <w:rPr>
        <w:rFonts w:hint="default"/>
      </w:rPr>
    </w:lvl>
    <w:lvl w:ilvl="8">
      <w:start w:val="0"/>
      <w:numFmt w:val="bullet"/>
      <w:lvlText w:val="•"/>
      <w:lvlJc w:val="left"/>
      <w:pPr>
        <w:ind w:left="7793" w:hanging="481"/>
      </w:pPr>
      <w:rPr>
        <w:rFonts w:hint="default"/>
      </w:rPr>
    </w:lvl>
  </w:abstractNum>
  <w:abstractNum w:abstractNumId="3">
    <w:multiLevelType w:val="hybridMultilevel"/>
    <w:lvl w:ilvl="0">
      <w:start w:val="8"/>
      <w:numFmt w:val="decimal"/>
      <w:lvlText w:val="%1."/>
      <w:lvlJc w:val="left"/>
      <w:pPr>
        <w:ind w:left="530" w:hanging="420"/>
        <w:jc w:val="left"/>
      </w:pPr>
      <w:rPr>
        <w:rFonts w:hint="default" w:ascii="宋体" w:hAnsi="宋体" w:eastAsia="宋体" w:cs="宋体"/>
        <w:w w:val="100"/>
        <w:sz w:val="21"/>
        <w:szCs w:val="21"/>
      </w:rPr>
    </w:lvl>
    <w:lvl w:ilvl="1">
      <w:start w:val="0"/>
      <w:numFmt w:val="bullet"/>
      <w:lvlText w:val="•"/>
      <w:lvlJc w:val="left"/>
      <w:pPr>
        <w:ind w:left="1187" w:hanging="420"/>
      </w:pPr>
      <w:rPr>
        <w:rFonts w:hint="default"/>
      </w:rPr>
    </w:lvl>
    <w:lvl w:ilvl="2">
      <w:start w:val="0"/>
      <w:numFmt w:val="bullet"/>
      <w:lvlText w:val="•"/>
      <w:lvlJc w:val="left"/>
      <w:pPr>
        <w:ind w:left="1834" w:hanging="420"/>
      </w:pPr>
      <w:rPr>
        <w:rFonts w:hint="default"/>
      </w:rPr>
    </w:lvl>
    <w:lvl w:ilvl="3">
      <w:start w:val="0"/>
      <w:numFmt w:val="bullet"/>
      <w:lvlText w:val="•"/>
      <w:lvlJc w:val="left"/>
      <w:pPr>
        <w:ind w:left="2481" w:hanging="420"/>
      </w:pPr>
      <w:rPr>
        <w:rFonts w:hint="default"/>
      </w:rPr>
    </w:lvl>
    <w:lvl w:ilvl="4">
      <w:start w:val="0"/>
      <w:numFmt w:val="bullet"/>
      <w:lvlText w:val="•"/>
      <w:lvlJc w:val="left"/>
      <w:pPr>
        <w:ind w:left="3128" w:hanging="420"/>
      </w:pPr>
      <w:rPr>
        <w:rFonts w:hint="default"/>
      </w:rPr>
    </w:lvl>
    <w:lvl w:ilvl="5">
      <w:start w:val="0"/>
      <w:numFmt w:val="bullet"/>
      <w:lvlText w:val="•"/>
      <w:lvlJc w:val="left"/>
      <w:pPr>
        <w:ind w:left="3776" w:hanging="420"/>
      </w:pPr>
      <w:rPr>
        <w:rFonts w:hint="default"/>
      </w:rPr>
    </w:lvl>
    <w:lvl w:ilvl="6">
      <w:start w:val="0"/>
      <w:numFmt w:val="bullet"/>
      <w:lvlText w:val="•"/>
      <w:lvlJc w:val="left"/>
      <w:pPr>
        <w:ind w:left="4423" w:hanging="420"/>
      </w:pPr>
      <w:rPr>
        <w:rFonts w:hint="default"/>
      </w:rPr>
    </w:lvl>
    <w:lvl w:ilvl="7">
      <w:start w:val="0"/>
      <w:numFmt w:val="bullet"/>
      <w:lvlText w:val="•"/>
      <w:lvlJc w:val="left"/>
      <w:pPr>
        <w:ind w:left="5070" w:hanging="420"/>
      </w:pPr>
      <w:rPr>
        <w:rFonts w:hint="default"/>
      </w:rPr>
    </w:lvl>
    <w:lvl w:ilvl="8">
      <w:start w:val="0"/>
      <w:numFmt w:val="bullet"/>
      <w:lvlText w:val="•"/>
      <w:lvlJc w:val="left"/>
      <w:pPr>
        <w:ind w:left="5717" w:hanging="420"/>
      </w:pPr>
      <w:rPr>
        <w:rFonts w:hint="default"/>
      </w:rPr>
    </w:lvl>
  </w:abstractNum>
  <w:abstractNum w:abstractNumId="2">
    <w:multiLevelType w:val="hybridMultilevel"/>
    <w:lvl w:ilvl="0">
      <w:start w:val="4"/>
      <w:numFmt w:val="decimal"/>
      <w:lvlText w:val="%1."/>
      <w:lvlJc w:val="left"/>
      <w:pPr>
        <w:ind w:left="530" w:hanging="420"/>
        <w:jc w:val="left"/>
      </w:pPr>
      <w:rPr>
        <w:rFonts w:hint="default" w:ascii="宋体" w:hAnsi="宋体" w:eastAsia="宋体" w:cs="宋体"/>
        <w:w w:val="100"/>
        <w:sz w:val="21"/>
        <w:szCs w:val="21"/>
      </w:rPr>
    </w:lvl>
    <w:lvl w:ilvl="1">
      <w:start w:val="0"/>
      <w:numFmt w:val="bullet"/>
      <w:lvlText w:val="•"/>
      <w:lvlJc w:val="left"/>
      <w:pPr>
        <w:ind w:left="1187" w:hanging="420"/>
      </w:pPr>
      <w:rPr>
        <w:rFonts w:hint="default"/>
      </w:rPr>
    </w:lvl>
    <w:lvl w:ilvl="2">
      <w:start w:val="0"/>
      <w:numFmt w:val="bullet"/>
      <w:lvlText w:val="•"/>
      <w:lvlJc w:val="left"/>
      <w:pPr>
        <w:ind w:left="1834" w:hanging="420"/>
      </w:pPr>
      <w:rPr>
        <w:rFonts w:hint="default"/>
      </w:rPr>
    </w:lvl>
    <w:lvl w:ilvl="3">
      <w:start w:val="0"/>
      <w:numFmt w:val="bullet"/>
      <w:lvlText w:val="•"/>
      <w:lvlJc w:val="left"/>
      <w:pPr>
        <w:ind w:left="2481" w:hanging="420"/>
      </w:pPr>
      <w:rPr>
        <w:rFonts w:hint="default"/>
      </w:rPr>
    </w:lvl>
    <w:lvl w:ilvl="4">
      <w:start w:val="0"/>
      <w:numFmt w:val="bullet"/>
      <w:lvlText w:val="•"/>
      <w:lvlJc w:val="left"/>
      <w:pPr>
        <w:ind w:left="3128" w:hanging="420"/>
      </w:pPr>
      <w:rPr>
        <w:rFonts w:hint="default"/>
      </w:rPr>
    </w:lvl>
    <w:lvl w:ilvl="5">
      <w:start w:val="0"/>
      <w:numFmt w:val="bullet"/>
      <w:lvlText w:val="•"/>
      <w:lvlJc w:val="left"/>
      <w:pPr>
        <w:ind w:left="3776" w:hanging="420"/>
      </w:pPr>
      <w:rPr>
        <w:rFonts w:hint="default"/>
      </w:rPr>
    </w:lvl>
    <w:lvl w:ilvl="6">
      <w:start w:val="0"/>
      <w:numFmt w:val="bullet"/>
      <w:lvlText w:val="•"/>
      <w:lvlJc w:val="left"/>
      <w:pPr>
        <w:ind w:left="4423" w:hanging="420"/>
      </w:pPr>
      <w:rPr>
        <w:rFonts w:hint="default"/>
      </w:rPr>
    </w:lvl>
    <w:lvl w:ilvl="7">
      <w:start w:val="0"/>
      <w:numFmt w:val="bullet"/>
      <w:lvlText w:val="•"/>
      <w:lvlJc w:val="left"/>
      <w:pPr>
        <w:ind w:left="5070" w:hanging="420"/>
      </w:pPr>
      <w:rPr>
        <w:rFonts w:hint="default"/>
      </w:rPr>
    </w:lvl>
    <w:lvl w:ilvl="8">
      <w:start w:val="0"/>
      <w:numFmt w:val="bullet"/>
      <w:lvlText w:val="•"/>
      <w:lvlJc w:val="left"/>
      <w:pPr>
        <w:ind w:left="5717" w:hanging="420"/>
      </w:pPr>
      <w:rPr>
        <w:rFonts w:hint="default"/>
      </w:rPr>
    </w:lvl>
  </w:abstractNum>
  <w:abstractNum w:abstractNumId="1">
    <w:multiLevelType w:val="hybridMultilevel"/>
    <w:lvl w:ilvl="0">
      <w:start w:val="1"/>
      <w:numFmt w:val="decimal"/>
      <w:lvlText w:val="%1"/>
      <w:lvlJc w:val="left"/>
      <w:pPr>
        <w:ind w:left="951" w:hanging="481"/>
        <w:jc w:val="left"/>
      </w:pPr>
      <w:rPr>
        <w:rFonts w:hint="default"/>
      </w:rPr>
    </w:lvl>
    <w:lvl w:ilvl="1">
      <w:start w:val="1"/>
      <w:numFmt w:val="decimal"/>
      <w:lvlText w:val="%1.%2"/>
      <w:lvlJc w:val="left"/>
      <w:pPr>
        <w:ind w:left="2645" w:hanging="481"/>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3413" w:hanging="481"/>
      </w:pPr>
      <w:rPr>
        <w:rFonts w:hint="default"/>
      </w:rPr>
    </w:lvl>
    <w:lvl w:ilvl="3">
      <w:start w:val="0"/>
      <w:numFmt w:val="bullet"/>
      <w:lvlText w:val="•"/>
      <w:lvlJc w:val="left"/>
      <w:pPr>
        <w:ind w:left="4186" w:hanging="481"/>
      </w:pPr>
      <w:rPr>
        <w:rFonts w:hint="default"/>
      </w:rPr>
    </w:lvl>
    <w:lvl w:ilvl="4">
      <w:start w:val="0"/>
      <w:numFmt w:val="bullet"/>
      <w:lvlText w:val="•"/>
      <w:lvlJc w:val="left"/>
      <w:pPr>
        <w:ind w:left="4960" w:hanging="481"/>
      </w:pPr>
      <w:rPr>
        <w:rFonts w:hint="default"/>
      </w:rPr>
    </w:lvl>
    <w:lvl w:ilvl="5">
      <w:start w:val="0"/>
      <w:numFmt w:val="bullet"/>
      <w:lvlText w:val="•"/>
      <w:lvlJc w:val="left"/>
      <w:pPr>
        <w:ind w:left="5733" w:hanging="481"/>
      </w:pPr>
      <w:rPr>
        <w:rFonts w:hint="default"/>
      </w:rPr>
    </w:lvl>
    <w:lvl w:ilvl="6">
      <w:start w:val="0"/>
      <w:numFmt w:val="bullet"/>
      <w:lvlText w:val="•"/>
      <w:lvlJc w:val="left"/>
      <w:pPr>
        <w:ind w:left="6506" w:hanging="481"/>
      </w:pPr>
      <w:rPr>
        <w:rFonts w:hint="default"/>
      </w:rPr>
    </w:lvl>
    <w:lvl w:ilvl="7">
      <w:start w:val="0"/>
      <w:numFmt w:val="bullet"/>
      <w:lvlText w:val="•"/>
      <w:lvlJc w:val="left"/>
      <w:pPr>
        <w:ind w:left="7280" w:hanging="481"/>
      </w:pPr>
      <w:rPr>
        <w:rFonts w:hint="default"/>
      </w:rPr>
    </w:lvl>
    <w:lvl w:ilvl="8">
      <w:start w:val="0"/>
      <w:numFmt w:val="bullet"/>
      <w:lvlText w:val="•"/>
      <w:lvlJc w:val="left"/>
      <w:pPr>
        <w:ind w:left="8053" w:hanging="481"/>
      </w:pPr>
      <w:rPr>
        <w:rFonts w:hint="default"/>
      </w:rPr>
    </w:lvl>
  </w:abstractNum>
  <w:abstractNum w:abstractNumId="0">
    <w:multiLevelType w:val="hybridMultilevel"/>
    <w:lvl w:ilvl="0">
      <w:start w:val="1"/>
      <w:numFmt w:val="decimal"/>
      <w:lvlText w:val="%1"/>
      <w:lvlJc w:val="left"/>
      <w:pPr>
        <w:ind w:left="348" w:hanging="243"/>
        <w:jc w:val="left"/>
      </w:pPr>
      <w:rPr>
        <w:rFonts w:hint="default" w:ascii="Times New Roman" w:hAnsi="Times New Roman" w:eastAsia="Times New Roman" w:cs="Times New Roman"/>
        <w:b/>
        <w:bCs/>
        <w:w w:val="99"/>
        <w:sz w:val="24"/>
        <w:szCs w:val="24"/>
      </w:rPr>
    </w:lvl>
    <w:lvl w:ilvl="1">
      <w:start w:val="1"/>
      <w:numFmt w:val="decimal"/>
      <w:lvlText w:val="%1.%2"/>
      <w:lvlJc w:val="left"/>
      <w:pPr>
        <w:ind w:left="633" w:hanging="317"/>
        <w:jc w:val="left"/>
      </w:pPr>
      <w:rPr>
        <w:rFonts w:hint="default"/>
        <w:w w:val="100"/>
      </w:rPr>
    </w:lvl>
    <w:lvl w:ilvl="2">
      <w:start w:val="0"/>
      <w:numFmt w:val="bullet"/>
      <w:lvlText w:val="•"/>
      <w:lvlJc w:val="left"/>
      <w:pPr>
        <w:ind w:left="1524" w:hanging="317"/>
      </w:pPr>
      <w:rPr>
        <w:rFonts w:hint="default"/>
      </w:rPr>
    </w:lvl>
    <w:lvl w:ilvl="3">
      <w:start w:val="0"/>
      <w:numFmt w:val="bullet"/>
      <w:lvlText w:val="•"/>
      <w:lvlJc w:val="left"/>
      <w:pPr>
        <w:ind w:left="2408" w:hanging="317"/>
      </w:pPr>
      <w:rPr>
        <w:rFonts w:hint="default"/>
      </w:rPr>
    </w:lvl>
    <w:lvl w:ilvl="4">
      <w:start w:val="0"/>
      <w:numFmt w:val="bullet"/>
      <w:lvlText w:val="•"/>
      <w:lvlJc w:val="left"/>
      <w:pPr>
        <w:ind w:left="3293" w:hanging="317"/>
      </w:pPr>
      <w:rPr>
        <w:rFonts w:hint="default"/>
      </w:rPr>
    </w:lvl>
    <w:lvl w:ilvl="5">
      <w:start w:val="0"/>
      <w:numFmt w:val="bullet"/>
      <w:lvlText w:val="•"/>
      <w:lvlJc w:val="left"/>
      <w:pPr>
        <w:ind w:left="4177" w:hanging="317"/>
      </w:pPr>
      <w:rPr>
        <w:rFonts w:hint="default"/>
      </w:rPr>
    </w:lvl>
    <w:lvl w:ilvl="6">
      <w:start w:val="0"/>
      <w:numFmt w:val="bullet"/>
      <w:lvlText w:val="•"/>
      <w:lvlJc w:val="left"/>
      <w:pPr>
        <w:ind w:left="5062" w:hanging="317"/>
      </w:pPr>
      <w:rPr>
        <w:rFonts w:hint="default"/>
      </w:rPr>
    </w:lvl>
    <w:lvl w:ilvl="7">
      <w:start w:val="0"/>
      <w:numFmt w:val="bullet"/>
      <w:lvlText w:val="•"/>
      <w:lvlJc w:val="left"/>
      <w:pPr>
        <w:ind w:left="5946" w:hanging="317"/>
      </w:pPr>
      <w:rPr>
        <w:rFonts w:hint="default"/>
      </w:rPr>
    </w:lvl>
    <w:lvl w:ilvl="8">
      <w:start w:val="0"/>
      <w:numFmt w:val="bullet"/>
      <w:lvlText w:val="•"/>
      <w:lvlJc w:val="left"/>
      <w:pPr>
        <w:ind w:left="6831" w:hanging="317"/>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
      <w:ind w:left="2392"/>
      <w:outlineLvl w:val="1"/>
    </w:pPr>
    <w:rPr>
      <w:rFonts w:ascii="宋体" w:hAnsi="宋体" w:eastAsia="宋体" w:cs="宋体"/>
      <w:sz w:val="28"/>
      <w:szCs w:val="28"/>
    </w:rPr>
  </w:style>
  <w:style w:styleId="Heading2" w:type="paragraph">
    <w:name w:val="Heading 2"/>
    <w:basedOn w:val="Normal"/>
    <w:uiPriority w:val="1"/>
    <w:qFormat/>
    <w:pPr>
      <w:ind w:left="348" w:hanging="243"/>
      <w:outlineLvl w:val="2"/>
    </w:pPr>
    <w:rPr>
      <w:rFonts w:ascii="宋体" w:hAnsi="宋体" w:eastAsia="宋体" w:cs="宋体"/>
      <w:sz w:val="24"/>
      <w:szCs w:val="24"/>
    </w:rPr>
  </w:style>
  <w:style w:styleId="ListParagraph" w:type="paragraph">
    <w:name w:val="List Paragraph"/>
    <w:basedOn w:val="Normal"/>
    <w:uiPriority w:val="1"/>
    <w:qFormat/>
    <w:pPr>
      <w:ind w:left="2645" w:hanging="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lucia_cai</dc:creator>
  <dc:title>CIRA20091001</dc:title>
  <dcterms:created xsi:type="dcterms:W3CDTF">2018-10-20T02:22:14Z</dcterms:created>
  <dcterms:modified xsi:type="dcterms:W3CDTF">2018-10-20T02:22:14Z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2014-05-13T00:00:00Z</vt:filetime>
  </property>
  <property fmtid="{D5CDD505-2E9C-101B-9397-08002B2CF9AE}" pid="3" name="Creator">
    <vt:lpwstr>PDFCreator 1.9.1.0</vt:lpwstr>
  </property>
  <property fmtid="{D5CDD505-2E9C-101B-9397-08002B2CF9AE}" pid="4" name="LastSaved">
    <vt:filetime>2018-10-19T00:00:00Z</vt:filetime>
  </property>
</Properties>
</file>