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15" w:firstLine="0"/>
        <w:jc w:val="right"/>
        <w:rPr>
          <w:rFonts w:ascii="仿宋" w:eastAsia="仿宋" w:hint="eastAsia"/>
          <w:sz w:val="12"/>
        </w:rPr>
      </w:pPr>
      <w:r>
        <w:rPr/>
        <w:drawing>
          <wp:anchor distT="0" distB="0" distL="0" distR="0" allowOverlap="1" layoutInCell="1" locked="0" behindDoc="0" simplePos="0" relativeHeight="0">
            <wp:simplePos x="0" y="0"/>
            <wp:positionH relativeFrom="page">
              <wp:posOffset>6461759</wp:posOffset>
            </wp:positionH>
            <wp:positionV relativeFrom="paragraph">
              <wp:posOffset>178534</wp:posOffset>
            </wp:positionV>
            <wp:extent cx="722376"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5424"/>
                    </a:xfrm>
                    <a:prstGeom prst="rect">
                      <a:avLst/>
                    </a:prstGeom>
                  </pic:spPr>
                </pic:pic>
              </a:graphicData>
            </a:graphic>
          </wp:anchor>
        </w:drawing>
      </w:r>
      <w:r>
        <w:rPr>
          <w:rFonts w:ascii="仿宋" w:eastAsia="仿宋" w:hint="eastAsia"/>
          <w:sz w:val="12"/>
        </w:rPr>
        <w:t>利安人寿[2014]疾病保险 025 号</w:t>
      </w:r>
    </w:p>
    <w:p>
      <w:pPr>
        <w:pStyle w:val="BodyText"/>
        <w:spacing w:before="0"/>
        <w:ind w:left="0"/>
        <w:rPr>
          <w:rFonts w:ascii="仿宋"/>
          <w:sz w:val="20"/>
        </w:rPr>
      </w:pPr>
    </w:p>
    <w:p>
      <w:pPr>
        <w:pStyle w:val="BodyText"/>
        <w:spacing w:before="0"/>
        <w:ind w:left="0"/>
        <w:rPr>
          <w:rFonts w:ascii="仿宋"/>
          <w:sz w:val="20"/>
        </w:rPr>
      </w:pPr>
    </w:p>
    <w:p>
      <w:pPr>
        <w:pStyle w:val="BodyText"/>
        <w:spacing w:before="0"/>
        <w:ind w:left="0"/>
        <w:rPr>
          <w:rFonts w:ascii="仿宋"/>
          <w:sz w:val="20"/>
        </w:rPr>
      </w:pPr>
    </w:p>
    <w:p>
      <w:pPr>
        <w:pStyle w:val="BodyText"/>
        <w:spacing w:before="2"/>
        <w:ind w:left="0"/>
        <w:rPr>
          <w:rFonts w:ascii="仿宋"/>
          <w:sz w:val="15"/>
        </w:rPr>
      </w:pPr>
    </w:p>
    <w:p>
      <w:pPr>
        <w:spacing w:after="0"/>
        <w:rPr>
          <w:rFonts w:ascii="仿宋"/>
          <w:sz w:val="15"/>
        </w:rPr>
        <w:sectPr>
          <w:type w:val="continuous"/>
          <w:pgSz w:w="11910" w:h="16840"/>
          <w:pgMar w:top="140" w:bottom="280" w:left="1020" w:right="220"/>
        </w:sectPr>
      </w:pPr>
    </w:p>
    <w:p>
      <w:pPr>
        <w:spacing w:line="206" w:lineRule="auto" w:before="59"/>
        <w:ind w:left="2683" w:right="357" w:firstLine="321"/>
        <w:jc w:val="left"/>
        <w:rPr>
          <w:rFonts w:ascii="黑体" w:eastAsia="黑体" w:hint="eastAsia"/>
          <w:b/>
          <w:sz w:val="32"/>
        </w:rPr>
      </w:pPr>
      <w:r>
        <w:rPr>
          <w:rFonts w:ascii="黑体" w:eastAsia="黑体" w:hint="eastAsia"/>
          <w:b/>
          <w:sz w:val="32"/>
        </w:rPr>
        <w:t>利安人寿保险股份有限公司 </w:t>
      </w:r>
      <w:r>
        <w:rPr>
          <w:rFonts w:ascii="黑体" w:eastAsia="黑体" w:hint="eastAsia"/>
          <w:b/>
          <w:w w:val="95"/>
          <w:sz w:val="32"/>
        </w:rPr>
        <w:t>安康相伴终身重大疾病保险条款</w:t>
      </w:r>
    </w:p>
    <w:p>
      <w:pPr>
        <w:spacing w:before="147"/>
        <w:ind w:left="2323" w:right="0" w:firstLine="0"/>
        <w:jc w:val="center"/>
        <w:rPr>
          <w:rFonts w:ascii="黑体" w:eastAsia="黑体" w:hint="eastAsia"/>
          <w:sz w:val="24"/>
        </w:rPr>
      </w:pPr>
      <w:r>
        <w:rPr>
          <w:rFonts w:ascii="黑体" w:eastAsia="黑体" w:hint="eastAsia"/>
          <w:sz w:val="24"/>
        </w:rPr>
        <w:t>阅 读 指 引</w:t>
      </w:r>
    </w:p>
    <w:p>
      <w:pPr>
        <w:spacing w:before="15"/>
        <w:ind w:left="2320" w:right="0" w:firstLine="0"/>
        <w:jc w:val="center"/>
        <w:rPr>
          <w:sz w:val="18"/>
        </w:rPr>
      </w:pPr>
      <w:r>
        <w:rPr>
          <w:spacing w:val="-128"/>
          <w:sz w:val="18"/>
        </w:rPr>
        <w:t>本</w:t>
      </w:r>
      <w:r>
        <w:rPr>
          <w:rFonts w:ascii="宋体" w:eastAsia="宋体" w:hint="eastAsia"/>
          <w:spacing w:val="-53"/>
          <w:position w:val="-6"/>
          <w:sz w:val="18"/>
        </w:rPr>
        <w:t>．</w:t>
      </w:r>
      <w:r>
        <w:rPr>
          <w:spacing w:val="-128"/>
          <w:sz w:val="18"/>
        </w:rPr>
        <w:t>阅</w:t>
      </w:r>
      <w:r>
        <w:rPr>
          <w:rFonts w:ascii="宋体" w:eastAsia="宋体" w:hint="eastAsia"/>
          <w:spacing w:val="-53"/>
          <w:position w:val="-6"/>
          <w:sz w:val="18"/>
        </w:rPr>
        <w:t>．</w:t>
      </w:r>
      <w:r>
        <w:rPr>
          <w:spacing w:val="-128"/>
          <w:sz w:val="18"/>
        </w:rPr>
        <w:t>读</w:t>
      </w:r>
      <w:r>
        <w:rPr>
          <w:rFonts w:ascii="宋体" w:eastAsia="宋体" w:hint="eastAsia"/>
          <w:spacing w:val="-53"/>
          <w:position w:val="-6"/>
          <w:sz w:val="18"/>
        </w:rPr>
        <w:t>．</w:t>
      </w:r>
      <w:r>
        <w:rPr>
          <w:spacing w:val="-128"/>
          <w:sz w:val="18"/>
        </w:rPr>
        <w:t>指</w:t>
      </w:r>
      <w:r>
        <w:rPr>
          <w:rFonts w:ascii="宋体" w:eastAsia="宋体" w:hint="eastAsia"/>
          <w:spacing w:val="-53"/>
          <w:position w:val="-6"/>
          <w:sz w:val="18"/>
        </w:rPr>
        <w:t>．</w:t>
      </w:r>
      <w:r>
        <w:rPr>
          <w:spacing w:val="-128"/>
          <w:sz w:val="18"/>
        </w:rPr>
        <w:t>引</w:t>
      </w:r>
      <w:r>
        <w:rPr>
          <w:rFonts w:ascii="宋体" w:eastAsia="宋体" w:hint="eastAsia"/>
          <w:spacing w:val="-53"/>
          <w:position w:val="-6"/>
          <w:sz w:val="18"/>
        </w:rPr>
        <w:t>．</w:t>
      </w:r>
      <w:r>
        <w:rPr>
          <w:spacing w:val="-128"/>
          <w:sz w:val="18"/>
        </w:rPr>
        <w:t>有</w:t>
      </w:r>
      <w:r>
        <w:rPr>
          <w:rFonts w:ascii="宋体" w:eastAsia="宋体" w:hint="eastAsia"/>
          <w:spacing w:val="-53"/>
          <w:position w:val="-6"/>
          <w:sz w:val="18"/>
        </w:rPr>
        <w:t>．</w:t>
      </w:r>
      <w:r>
        <w:rPr>
          <w:spacing w:val="-128"/>
          <w:sz w:val="18"/>
        </w:rPr>
        <w:t>助</w:t>
      </w:r>
      <w:r>
        <w:rPr>
          <w:rFonts w:ascii="宋体" w:eastAsia="宋体" w:hint="eastAsia"/>
          <w:spacing w:val="-53"/>
          <w:position w:val="-6"/>
          <w:sz w:val="18"/>
        </w:rPr>
        <w:t>．</w:t>
      </w:r>
      <w:r>
        <w:rPr>
          <w:spacing w:val="-128"/>
          <w:sz w:val="18"/>
        </w:rPr>
        <w:t>于</w:t>
      </w:r>
      <w:r>
        <w:rPr>
          <w:rFonts w:ascii="宋体" w:eastAsia="宋体" w:hint="eastAsia"/>
          <w:spacing w:val="-53"/>
          <w:position w:val="-6"/>
          <w:sz w:val="18"/>
        </w:rPr>
        <w:t>．</w:t>
      </w:r>
      <w:r>
        <w:rPr>
          <w:spacing w:val="-128"/>
          <w:sz w:val="18"/>
        </w:rPr>
        <w:t>您</w:t>
      </w:r>
      <w:r>
        <w:rPr>
          <w:rFonts w:ascii="宋体" w:eastAsia="宋体" w:hint="eastAsia"/>
          <w:spacing w:val="-53"/>
          <w:position w:val="-6"/>
          <w:sz w:val="18"/>
        </w:rPr>
        <w:t>．</w:t>
      </w:r>
      <w:r>
        <w:rPr>
          <w:spacing w:val="-128"/>
          <w:sz w:val="18"/>
        </w:rPr>
        <w:t>理</w:t>
      </w:r>
      <w:r>
        <w:rPr>
          <w:rFonts w:ascii="宋体" w:eastAsia="宋体" w:hint="eastAsia"/>
          <w:spacing w:val="-53"/>
          <w:position w:val="-6"/>
          <w:sz w:val="18"/>
        </w:rPr>
        <w:t>．</w:t>
      </w:r>
      <w:r>
        <w:rPr>
          <w:spacing w:val="-128"/>
          <w:sz w:val="18"/>
        </w:rPr>
        <w:t>解</w:t>
      </w:r>
      <w:r>
        <w:rPr>
          <w:rFonts w:ascii="宋体" w:eastAsia="宋体" w:hint="eastAsia"/>
          <w:spacing w:val="-53"/>
          <w:position w:val="-6"/>
          <w:sz w:val="18"/>
        </w:rPr>
        <w:t>．</w:t>
      </w:r>
      <w:r>
        <w:rPr>
          <w:spacing w:val="-128"/>
          <w:sz w:val="18"/>
        </w:rPr>
        <w:t>条</w:t>
      </w:r>
      <w:r>
        <w:rPr>
          <w:rFonts w:ascii="宋体" w:eastAsia="宋体" w:hint="eastAsia"/>
          <w:spacing w:val="-53"/>
          <w:position w:val="-6"/>
          <w:sz w:val="18"/>
        </w:rPr>
        <w:t>．</w:t>
      </w:r>
      <w:r>
        <w:rPr>
          <w:spacing w:val="-128"/>
          <w:sz w:val="18"/>
        </w:rPr>
        <w:t>款</w:t>
      </w:r>
      <w:r>
        <w:rPr>
          <w:rFonts w:ascii="宋体" w:eastAsia="宋体" w:hint="eastAsia"/>
          <w:spacing w:val="-53"/>
          <w:position w:val="-6"/>
          <w:sz w:val="18"/>
        </w:rPr>
        <w:t>．</w:t>
      </w:r>
      <w:r>
        <w:rPr>
          <w:spacing w:val="-128"/>
          <w:sz w:val="18"/>
        </w:rPr>
        <w:t>，</w:t>
      </w:r>
      <w:r>
        <w:rPr>
          <w:rFonts w:ascii="宋体" w:eastAsia="宋体" w:hint="eastAsia"/>
          <w:spacing w:val="-53"/>
          <w:position w:val="-6"/>
          <w:sz w:val="18"/>
        </w:rPr>
        <w:t>．</w:t>
      </w:r>
      <w:r>
        <w:rPr>
          <w:spacing w:val="-128"/>
          <w:sz w:val="18"/>
        </w:rPr>
        <w:t>对</w:t>
      </w:r>
      <w:r>
        <w:rPr>
          <w:rFonts w:ascii="宋体" w:eastAsia="宋体" w:hint="eastAsia"/>
          <w:spacing w:val="-53"/>
          <w:position w:val="-6"/>
          <w:sz w:val="18"/>
        </w:rPr>
        <w:t>．</w:t>
      </w:r>
      <w:r>
        <w:rPr>
          <w:spacing w:val="-128"/>
          <w:sz w:val="18"/>
        </w:rPr>
        <w:t>本</w:t>
      </w:r>
      <w:r>
        <w:rPr>
          <w:rFonts w:ascii="宋体" w:eastAsia="宋体" w:hint="eastAsia"/>
          <w:spacing w:val="-53"/>
          <w:position w:val="-6"/>
          <w:sz w:val="18"/>
        </w:rPr>
        <w:t>．</w:t>
      </w:r>
      <w:r>
        <w:rPr>
          <w:spacing w:val="-128"/>
          <w:sz w:val="18"/>
        </w:rPr>
        <w:t>合</w:t>
      </w:r>
      <w:r>
        <w:rPr>
          <w:rFonts w:ascii="宋体" w:eastAsia="宋体" w:hint="eastAsia"/>
          <w:spacing w:val="-53"/>
          <w:position w:val="-6"/>
          <w:sz w:val="18"/>
        </w:rPr>
        <w:t>．</w:t>
      </w:r>
      <w:r>
        <w:rPr>
          <w:spacing w:val="-128"/>
          <w:sz w:val="18"/>
        </w:rPr>
        <w:t>同</w:t>
      </w:r>
      <w:r>
        <w:rPr>
          <w:rFonts w:ascii="宋体" w:eastAsia="宋体" w:hint="eastAsia"/>
          <w:spacing w:val="-53"/>
          <w:position w:val="-6"/>
          <w:sz w:val="18"/>
        </w:rPr>
        <w:t>．</w:t>
      </w:r>
      <w:r>
        <w:rPr>
          <w:spacing w:val="-128"/>
          <w:sz w:val="18"/>
        </w:rPr>
        <w:t>内</w:t>
      </w:r>
      <w:r>
        <w:rPr>
          <w:rFonts w:ascii="宋体" w:eastAsia="宋体" w:hint="eastAsia"/>
          <w:spacing w:val="-53"/>
          <w:position w:val="-6"/>
          <w:sz w:val="18"/>
        </w:rPr>
        <w:t>．</w:t>
      </w:r>
      <w:r>
        <w:rPr>
          <w:spacing w:val="-128"/>
          <w:sz w:val="18"/>
        </w:rPr>
        <w:t>容</w:t>
      </w:r>
      <w:r>
        <w:rPr>
          <w:rFonts w:ascii="宋体" w:eastAsia="宋体" w:hint="eastAsia"/>
          <w:spacing w:val="-53"/>
          <w:position w:val="-6"/>
          <w:sz w:val="18"/>
        </w:rPr>
        <w:t>．</w:t>
      </w:r>
      <w:r>
        <w:rPr>
          <w:spacing w:val="-128"/>
          <w:sz w:val="18"/>
        </w:rPr>
        <w:t>的</w:t>
      </w:r>
      <w:r>
        <w:rPr>
          <w:rFonts w:ascii="宋体" w:eastAsia="宋体" w:hint="eastAsia"/>
          <w:spacing w:val="-53"/>
          <w:position w:val="-6"/>
          <w:sz w:val="18"/>
        </w:rPr>
        <w:t>．</w:t>
      </w:r>
      <w:r>
        <w:rPr>
          <w:spacing w:val="-128"/>
          <w:sz w:val="18"/>
        </w:rPr>
        <w:t>解</w:t>
      </w:r>
      <w:r>
        <w:rPr>
          <w:rFonts w:ascii="宋体" w:eastAsia="宋体" w:hint="eastAsia"/>
          <w:spacing w:val="-53"/>
          <w:position w:val="-6"/>
          <w:sz w:val="18"/>
        </w:rPr>
        <w:t>．</w:t>
      </w:r>
      <w:r>
        <w:rPr>
          <w:spacing w:val="-128"/>
          <w:sz w:val="18"/>
        </w:rPr>
        <w:t>释</w:t>
      </w:r>
      <w:r>
        <w:rPr>
          <w:rFonts w:ascii="宋体" w:eastAsia="宋体" w:hint="eastAsia"/>
          <w:spacing w:val="-53"/>
          <w:position w:val="-6"/>
          <w:sz w:val="18"/>
        </w:rPr>
        <w:t>．</w:t>
      </w:r>
      <w:r>
        <w:rPr>
          <w:spacing w:val="-128"/>
          <w:sz w:val="18"/>
        </w:rPr>
        <w:t>以</w:t>
      </w:r>
      <w:r>
        <w:rPr>
          <w:rFonts w:ascii="宋体" w:eastAsia="宋体" w:hint="eastAsia"/>
          <w:spacing w:val="-53"/>
          <w:position w:val="-6"/>
          <w:sz w:val="18"/>
        </w:rPr>
        <w:t>．</w:t>
      </w:r>
      <w:r>
        <w:rPr>
          <w:spacing w:val="-128"/>
          <w:sz w:val="18"/>
        </w:rPr>
        <w:t>条</w:t>
      </w:r>
      <w:r>
        <w:rPr>
          <w:rFonts w:ascii="宋体" w:eastAsia="宋体" w:hint="eastAsia"/>
          <w:spacing w:val="-53"/>
          <w:position w:val="-6"/>
          <w:sz w:val="18"/>
        </w:rPr>
        <w:t>．</w:t>
      </w:r>
      <w:r>
        <w:rPr>
          <w:spacing w:val="-128"/>
          <w:sz w:val="18"/>
        </w:rPr>
        <w:t>款</w:t>
      </w:r>
      <w:r>
        <w:rPr>
          <w:rFonts w:ascii="宋体" w:eastAsia="宋体" w:hint="eastAsia"/>
          <w:spacing w:val="-53"/>
          <w:position w:val="-6"/>
          <w:sz w:val="18"/>
        </w:rPr>
        <w:t>．</w:t>
      </w:r>
      <w:r>
        <w:rPr>
          <w:spacing w:val="-128"/>
          <w:sz w:val="18"/>
        </w:rPr>
        <w:t>为</w:t>
      </w:r>
      <w:r>
        <w:rPr>
          <w:rFonts w:ascii="宋体" w:eastAsia="宋体" w:hint="eastAsia"/>
          <w:spacing w:val="-53"/>
          <w:position w:val="-6"/>
          <w:sz w:val="18"/>
        </w:rPr>
        <w:t>．</w:t>
      </w:r>
      <w:r>
        <w:rPr>
          <w:spacing w:val="-128"/>
          <w:sz w:val="18"/>
        </w:rPr>
        <w:t>准</w:t>
      </w:r>
      <w:r>
        <w:rPr>
          <w:rFonts w:ascii="宋体" w:eastAsia="宋体" w:hint="eastAsia"/>
          <w:spacing w:val="-53"/>
          <w:position w:val="-6"/>
          <w:sz w:val="18"/>
        </w:rPr>
        <w:t>．</w:t>
      </w:r>
      <w:r>
        <w:rPr>
          <w:sz w:val="18"/>
        </w:rPr>
        <w:t>。</w:t>
      </w:r>
    </w:p>
    <w:p>
      <w:pPr>
        <w:pStyle w:val="Heading1"/>
        <w:tabs>
          <w:tab w:pos="775" w:val="left" w:leader="none"/>
        </w:tabs>
        <w:spacing w:line="467" w:lineRule="exact" w:before="145"/>
        <w:ind w:left="115"/>
      </w:pPr>
      <w:r>
        <w:rPr>
          <w:rFonts w:ascii="Wingdings" w:hAnsi="Wingdings" w:eastAsia="Wingdings"/>
          <w:w w:val="120"/>
          <w:position w:val="-11"/>
          <w:sz w:val="48"/>
        </w:rPr>
        <w:t></w:t>
      </w:r>
      <w:r>
        <w:rPr>
          <w:rFonts w:ascii="Times New Roman" w:hAnsi="Times New Roman" w:eastAsia="Times New Roman"/>
          <w:b w:val="0"/>
          <w:w w:val="120"/>
          <w:position w:val="-11"/>
          <w:sz w:val="48"/>
        </w:rPr>
        <w:tab/>
      </w:r>
      <w:r>
        <w:rPr/>
        <w:t>您拥有的重要权益</w:t>
      </w:r>
    </w:p>
    <w:p>
      <w:pPr>
        <w:pStyle w:val="BodyText"/>
        <w:spacing w:before="0"/>
        <w:ind w:left="0"/>
        <w:rPr>
          <w:rFonts w:ascii="黑体"/>
          <w:b/>
          <w:sz w:val="12"/>
        </w:rPr>
      </w:pPr>
      <w:r>
        <w:rPr/>
        <w:br w:type="column"/>
      </w:r>
      <w:r>
        <w:rPr>
          <w:rFonts w:ascii="黑体"/>
          <w:b/>
          <w:sz w:val="12"/>
        </w:rPr>
      </w:r>
    </w:p>
    <w:p>
      <w:pPr>
        <w:pStyle w:val="BodyText"/>
        <w:spacing w:before="5"/>
        <w:ind w:left="0"/>
        <w:rPr>
          <w:rFonts w:ascii="黑体"/>
          <w:b/>
          <w:sz w:val="9"/>
        </w:rPr>
      </w:pPr>
    </w:p>
    <w:p>
      <w:pPr>
        <w:spacing w:before="0"/>
        <w:ind w:left="115" w:right="0" w:firstLine="0"/>
        <w:jc w:val="left"/>
        <w:rPr>
          <w:rFonts w:ascii="仿宋" w:eastAsia="仿宋" w:hint="eastAsia"/>
          <w:sz w:val="12"/>
        </w:rPr>
      </w:pPr>
      <w:r>
        <w:rPr>
          <w:rFonts w:ascii="仿宋" w:eastAsia="仿宋" w:hint="eastAsia"/>
          <w:sz w:val="12"/>
        </w:rPr>
        <w:t>请扫描以查询验证条款</w:t>
      </w:r>
    </w:p>
    <w:p>
      <w:pPr>
        <w:spacing w:after="0"/>
        <w:jc w:val="left"/>
        <w:rPr>
          <w:rFonts w:ascii="仿宋" w:eastAsia="仿宋" w:hint="eastAsia"/>
          <w:sz w:val="12"/>
        </w:rPr>
        <w:sectPr>
          <w:type w:val="continuous"/>
          <w:pgSz w:w="11910" w:h="16840"/>
          <w:pgMar w:top="140" w:bottom="280" w:left="1020" w:right="220"/>
          <w:cols w:num="2" w:equalWidth="0">
            <w:col w:w="7541" w:space="1449"/>
            <w:col w:w="1680"/>
          </w:cols>
        </w:sectPr>
      </w:pPr>
    </w:p>
    <w:p>
      <w:pPr>
        <w:pStyle w:val="ListParagraph"/>
        <w:numPr>
          <w:ilvl w:val="0"/>
          <w:numId w:val="1"/>
        </w:numPr>
        <w:tabs>
          <w:tab w:pos="821" w:val="left" w:leader="none"/>
          <w:tab w:pos="9610" w:val="right" w:leader="dot"/>
        </w:tabs>
        <w:spacing w:line="200" w:lineRule="exact" w:before="0" w:after="0"/>
        <w:ind w:left="820" w:right="0" w:hanging="280"/>
        <w:jc w:val="left"/>
        <w:rPr>
          <w:sz w:val="18"/>
        </w:rPr>
      </w:pPr>
      <w:r>
        <w:rPr>
          <w:spacing w:val="7"/>
          <w:sz w:val="18"/>
        </w:rPr>
        <w:t>签收本合</w:t>
      </w:r>
      <w:r>
        <w:rPr>
          <w:spacing w:val="5"/>
          <w:sz w:val="18"/>
        </w:rPr>
        <w:t>同</w:t>
      </w:r>
      <w:r>
        <w:rPr>
          <w:spacing w:val="7"/>
          <w:sz w:val="18"/>
        </w:rPr>
        <w:t>次日</w:t>
      </w:r>
      <w:r>
        <w:rPr>
          <w:sz w:val="18"/>
        </w:rPr>
        <w:t>起</w:t>
      </w:r>
      <w:r>
        <w:rPr>
          <w:spacing w:val="8"/>
          <w:sz w:val="18"/>
        </w:rPr>
        <w:t> </w:t>
      </w:r>
      <w:r>
        <w:rPr>
          <w:spacing w:val="2"/>
          <w:sz w:val="18"/>
        </w:rPr>
        <w:t>10</w:t>
      </w:r>
      <w:r>
        <w:rPr>
          <w:spacing w:val="7"/>
          <w:sz w:val="18"/>
        </w:rPr>
        <w:t> 日（</w:t>
      </w:r>
      <w:r>
        <w:rPr>
          <w:spacing w:val="5"/>
          <w:sz w:val="18"/>
        </w:rPr>
        <w:t>即</w:t>
      </w:r>
      <w:r>
        <w:rPr>
          <w:spacing w:val="7"/>
          <w:sz w:val="18"/>
        </w:rPr>
        <w:t>犹豫期）</w:t>
      </w:r>
      <w:r>
        <w:rPr>
          <w:spacing w:val="5"/>
          <w:sz w:val="18"/>
        </w:rPr>
        <w:t>内</w:t>
      </w:r>
      <w:r>
        <w:rPr>
          <w:spacing w:val="7"/>
          <w:sz w:val="18"/>
        </w:rPr>
        <w:t>您若要</w:t>
      </w:r>
      <w:r>
        <w:rPr>
          <w:spacing w:val="5"/>
          <w:sz w:val="18"/>
        </w:rPr>
        <w:t>求</w:t>
      </w:r>
      <w:r>
        <w:rPr>
          <w:spacing w:val="7"/>
          <w:sz w:val="18"/>
        </w:rPr>
        <w:t>退保</w:t>
      </w:r>
      <w:r>
        <w:rPr>
          <w:spacing w:val="5"/>
          <w:sz w:val="18"/>
        </w:rPr>
        <w:t>，我</w:t>
      </w:r>
      <w:r>
        <w:rPr>
          <w:spacing w:val="7"/>
          <w:sz w:val="18"/>
        </w:rPr>
        <w:t>们全额退</w:t>
      </w:r>
      <w:r>
        <w:rPr>
          <w:spacing w:val="5"/>
          <w:sz w:val="18"/>
        </w:rPr>
        <w:t>还</w:t>
      </w:r>
      <w:r>
        <w:rPr>
          <w:spacing w:val="7"/>
          <w:sz w:val="18"/>
        </w:rPr>
        <w:t>保险</w:t>
      </w:r>
      <w:r>
        <w:rPr>
          <w:sz w:val="18"/>
        </w:rPr>
        <w:t>费</w:t>
        <w:tab/>
      </w:r>
      <w:r>
        <w:rPr>
          <w:spacing w:val="5"/>
          <w:sz w:val="18"/>
        </w:rPr>
        <w:t>1.4</w:t>
      </w:r>
    </w:p>
    <w:p>
      <w:pPr>
        <w:pStyle w:val="ListParagraph"/>
        <w:numPr>
          <w:ilvl w:val="0"/>
          <w:numId w:val="1"/>
        </w:numPr>
        <w:tabs>
          <w:tab w:pos="821" w:val="left" w:leader="none"/>
          <w:tab w:pos="9610" w:val="right" w:leader="dot"/>
        </w:tabs>
        <w:spacing w:line="240" w:lineRule="auto" w:before="63" w:after="0"/>
        <w:ind w:left="820" w:right="0" w:hanging="280"/>
        <w:jc w:val="left"/>
        <w:rPr>
          <w:sz w:val="18"/>
        </w:rPr>
      </w:pPr>
      <w:r>
        <w:rPr>
          <w:spacing w:val="10"/>
          <w:sz w:val="18"/>
        </w:rPr>
        <w:t>本合</w:t>
      </w:r>
      <w:r>
        <w:rPr>
          <w:spacing w:val="7"/>
          <w:sz w:val="18"/>
        </w:rPr>
        <w:t>同</w:t>
      </w:r>
      <w:r>
        <w:rPr>
          <w:spacing w:val="10"/>
          <w:sz w:val="18"/>
        </w:rPr>
        <w:t>提</w:t>
      </w:r>
      <w:r>
        <w:rPr>
          <w:spacing w:val="7"/>
          <w:sz w:val="18"/>
        </w:rPr>
        <w:t>供</w:t>
      </w:r>
      <w:r>
        <w:rPr>
          <w:spacing w:val="10"/>
          <w:sz w:val="18"/>
        </w:rPr>
        <w:t>的</w:t>
      </w:r>
      <w:r>
        <w:rPr>
          <w:spacing w:val="7"/>
          <w:sz w:val="18"/>
        </w:rPr>
        <w:t>保</w:t>
      </w:r>
      <w:r>
        <w:rPr>
          <w:spacing w:val="10"/>
          <w:sz w:val="18"/>
        </w:rPr>
        <w:t>障</w:t>
      </w:r>
      <w:r>
        <w:rPr>
          <w:spacing w:val="7"/>
          <w:sz w:val="18"/>
        </w:rPr>
        <w:t>在</w:t>
      </w:r>
      <w:r>
        <w:rPr>
          <w:spacing w:val="10"/>
          <w:sz w:val="18"/>
        </w:rPr>
        <w:t>保</w:t>
      </w:r>
      <w:r>
        <w:rPr>
          <w:spacing w:val="7"/>
          <w:sz w:val="18"/>
        </w:rPr>
        <w:t>险责</w:t>
      </w:r>
      <w:r>
        <w:rPr>
          <w:spacing w:val="10"/>
          <w:sz w:val="18"/>
        </w:rPr>
        <w:t>任条</w:t>
      </w:r>
      <w:r>
        <w:rPr>
          <w:spacing w:val="7"/>
          <w:sz w:val="18"/>
        </w:rPr>
        <w:t>款</w:t>
      </w:r>
      <w:r>
        <w:rPr>
          <w:spacing w:val="10"/>
          <w:sz w:val="18"/>
        </w:rPr>
        <w:t>中</w:t>
      </w:r>
      <w:r>
        <w:rPr>
          <w:spacing w:val="7"/>
          <w:sz w:val="18"/>
        </w:rPr>
        <w:t>列</w:t>
      </w:r>
      <w:r>
        <w:rPr>
          <w:sz w:val="18"/>
        </w:rPr>
        <w:t>明</w:t>
        <w:tab/>
      </w:r>
      <w:r>
        <w:rPr>
          <w:spacing w:val="5"/>
          <w:sz w:val="18"/>
        </w:rPr>
        <w:t>2.4</w:t>
      </w:r>
    </w:p>
    <w:p>
      <w:pPr>
        <w:pStyle w:val="ListParagraph"/>
        <w:numPr>
          <w:ilvl w:val="0"/>
          <w:numId w:val="1"/>
        </w:numPr>
        <w:tabs>
          <w:tab w:pos="821" w:val="left" w:leader="none"/>
          <w:tab w:pos="9610" w:val="right" w:leader="dot"/>
        </w:tabs>
        <w:spacing w:line="240" w:lineRule="auto" w:before="63" w:after="0"/>
        <w:ind w:left="820" w:right="0" w:hanging="280"/>
        <w:jc w:val="left"/>
        <w:rPr>
          <w:sz w:val="18"/>
        </w:rPr>
      </w:pPr>
      <w:r>
        <w:rPr>
          <w:spacing w:val="10"/>
          <w:sz w:val="18"/>
        </w:rPr>
        <w:t>您有</w:t>
      </w:r>
      <w:r>
        <w:rPr>
          <w:spacing w:val="7"/>
          <w:sz w:val="18"/>
        </w:rPr>
        <w:t>按</w:t>
      </w:r>
      <w:r>
        <w:rPr>
          <w:spacing w:val="10"/>
          <w:sz w:val="18"/>
        </w:rPr>
        <w:t>本</w:t>
      </w:r>
      <w:r>
        <w:rPr>
          <w:spacing w:val="7"/>
          <w:sz w:val="18"/>
        </w:rPr>
        <w:t>合</w:t>
      </w:r>
      <w:r>
        <w:rPr>
          <w:spacing w:val="10"/>
          <w:sz w:val="18"/>
        </w:rPr>
        <w:t>同</w:t>
      </w:r>
      <w:r>
        <w:rPr>
          <w:spacing w:val="7"/>
          <w:sz w:val="18"/>
        </w:rPr>
        <w:t>约</w:t>
      </w:r>
      <w:r>
        <w:rPr>
          <w:spacing w:val="10"/>
          <w:sz w:val="18"/>
        </w:rPr>
        <w:t>定</w:t>
      </w:r>
      <w:r>
        <w:rPr>
          <w:spacing w:val="7"/>
          <w:sz w:val="18"/>
        </w:rPr>
        <w:t>申</w:t>
      </w:r>
      <w:r>
        <w:rPr>
          <w:spacing w:val="10"/>
          <w:sz w:val="18"/>
        </w:rPr>
        <w:t>请</w:t>
      </w:r>
      <w:r>
        <w:rPr>
          <w:spacing w:val="7"/>
          <w:sz w:val="18"/>
        </w:rPr>
        <w:t>保单</w:t>
      </w:r>
      <w:r>
        <w:rPr>
          <w:spacing w:val="10"/>
          <w:sz w:val="18"/>
        </w:rPr>
        <w:t>质押</w:t>
      </w:r>
      <w:r>
        <w:rPr>
          <w:spacing w:val="7"/>
          <w:sz w:val="18"/>
        </w:rPr>
        <w:t>贷</w:t>
      </w:r>
      <w:r>
        <w:rPr>
          <w:spacing w:val="10"/>
          <w:sz w:val="18"/>
        </w:rPr>
        <w:t>款</w:t>
      </w:r>
      <w:r>
        <w:rPr>
          <w:spacing w:val="7"/>
          <w:sz w:val="18"/>
        </w:rPr>
        <w:t>的</w:t>
      </w:r>
      <w:r>
        <w:rPr>
          <w:spacing w:val="10"/>
          <w:sz w:val="18"/>
        </w:rPr>
        <w:t>权</w:t>
      </w:r>
      <w:r>
        <w:rPr>
          <w:sz w:val="18"/>
        </w:rPr>
        <w:t>利</w:t>
        <w:tab/>
      </w:r>
      <w:r>
        <w:rPr>
          <w:spacing w:val="5"/>
          <w:sz w:val="18"/>
        </w:rPr>
        <w:t>6.2</w:t>
      </w:r>
    </w:p>
    <w:p>
      <w:pPr>
        <w:pStyle w:val="ListParagraph"/>
        <w:numPr>
          <w:ilvl w:val="0"/>
          <w:numId w:val="1"/>
        </w:numPr>
        <w:tabs>
          <w:tab w:pos="821" w:val="left" w:leader="none"/>
          <w:tab w:pos="9610" w:val="right" w:leader="dot"/>
        </w:tabs>
        <w:spacing w:line="240" w:lineRule="auto" w:before="63" w:after="0"/>
        <w:ind w:left="820" w:right="0" w:hanging="280"/>
        <w:jc w:val="left"/>
        <w:rPr>
          <w:sz w:val="18"/>
        </w:rPr>
      </w:pPr>
      <w:r>
        <w:rPr/>
        <w:pict>
          <v:shapetype id="_x0000_t202" o:spt="202" coordsize="21600,21600" path="m,l,21600r21600,l21600,xe">
            <v:stroke joinstyle="miter"/>
            <v:path gradientshapeok="t" o:connecttype="rect"/>
          </v:shapetype>
          <v:shape style="position:absolute;margin-left:56.759998pt;margin-top:15.257418pt;width:22.6pt;height:25.35pt;mso-position-horizontal-relative:page;mso-position-vertical-relative:paragraph;z-index:-50272" type="#_x0000_t202" filled="false" stroked="false">
            <v:textbox inset="0,0,0,0">
              <w:txbxContent>
                <w:p>
                  <w:pPr>
                    <w:spacing w:line="506" w:lineRule="exact" w:before="0"/>
                    <w:ind w:left="0" w:right="0" w:firstLine="0"/>
                    <w:jc w:val="left"/>
                    <w:rPr>
                      <w:rFonts w:ascii="Wingdings" w:hAnsi="Wingdings"/>
                      <w:b/>
                      <w:sz w:val="48"/>
                    </w:rPr>
                  </w:pPr>
                  <w:r>
                    <w:rPr>
                      <w:rFonts w:ascii="Wingdings" w:hAnsi="Wingdings"/>
                      <w:b/>
                      <w:w w:val="139"/>
                      <w:sz w:val="48"/>
                    </w:rPr>
                    <w:t></w:t>
                  </w:r>
                </w:p>
              </w:txbxContent>
            </v:textbox>
            <w10:wrap type="none"/>
          </v:shape>
        </w:pict>
      </w:r>
      <w:r>
        <w:rPr>
          <w:spacing w:val="10"/>
          <w:sz w:val="18"/>
        </w:rPr>
        <w:t>您有</w:t>
      </w:r>
      <w:r>
        <w:rPr>
          <w:spacing w:val="7"/>
          <w:sz w:val="18"/>
        </w:rPr>
        <w:t>退</w:t>
      </w:r>
      <w:r>
        <w:rPr>
          <w:spacing w:val="10"/>
          <w:sz w:val="18"/>
        </w:rPr>
        <w:t>保</w:t>
      </w:r>
      <w:r>
        <w:rPr>
          <w:spacing w:val="7"/>
          <w:sz w:val="18"/>
        </w:rPr>
        <w:t>的</w:t>
      </w:r>
      <w:r>
        <w:rPr>
          <w:spacing w:val="10"/>
          <w:sz w:val="18"/>
        </w:rPr>
        <w:t>权</w:t>
      </w:r>
      <w:r>
        <w:rPr>
          <w:sz w:val="18"/>
        </w:rPr>
        <w:t>利</w:t>
        <w:tab/>
      </w:r>
      <w:r>
        <w:rPr>
          <w:spacing w:val="5"/>
          <w:sz w:val="18"/>
        </w:rPr>
        <w:t>7.1</w:t>
      </w:r>
    </w:p>
    <w:p>
      <w:pPr>
        <w:pStyle w:val="Heading1"/>
        <w:spacing w:line="240" w:lineRule="auto" w:before="33"/>
        <w:ind w:left="775"/>
      </w:pPr>
      <w:r>
        <w:rPr/>
        <w:t>您应当特别注意的事项</w:t>
      </w:r>
    </w:p>
    <w:p>
      <w:pPr>
        <w:pStyle w:val="ListParagraph"/>
        <w:numPr>
          <w:ilvl w:val="0"/>
          <w:numId w:val="1"/>
        </w:numPr>
        <w:tabs>
          <w:tab w:pos="821" w:val="left" w:leader="none"/>
          <w:tab w:pos="9610" w:val="right" w:leader="dot"/>
        </w:tabs>
        <w:spacing w:line="240" w:lineRule="auto" w:before="36" w:after="0"/>
        <w:ind w:left="820" w:right="0" w:hanging="280"/>
        <w:jc w:val="left"/>
        <w:rPr>
          <w:sz w:val="18"/>
        </w:rPr>
      </w:pPr>
      <w:r>
        <w:rPr>
          <w:spacing w:val="10"/>
          <w:sz w:val="18"/>
        </w:rPr>
        <w:t>本合</w:t>
      </w:r>
      <w:r>
        <w:rPr>
          <w:spacing w:val="7"/>
          <w:sz w:val="18"/>
        </w:rPr>
        <w:t>同</w:t>
      </w:r>
      <w:r>
        <w:rPr>
          <w:spacing w:val="10"/>
          <w:sz w:val="18"/>
        </w:rPr>
        <w:t>有</w:t>
      </w:r>
      <w:r>
        <w:rPr>
          <w:spacing w:val="7"/>
          <w:sz w:val="18"/>
        </w:rPr>
        <w:t>责</w:t>
      </w:r>
      <w:r>
        <w:rPr>
          <w:spacing w:val="10"/>
          <w:sz w:val="18"/>
        </w:rPr>
        <w:t>任</w:t>
      </w:r>
      <w:r>
        <w:rPr>
          <w:spacing w:val="7"/>
          <w:sz w:val="18"/>
        </w:rPr>
        <w:t>免</w:t>
      </w:r>
      <w:r>
        <w:rPr>
          <w:spacing w:val="10"/>
          <w:sz w:val="18"/>
        </w:rPr>
        <w:t>除</w:t>
      </w:r>
      <w:r>
        <w:rPr>
          <w:spacing w:val="7"/>
          <w:sz w:val="18"/>
        </w:rPr>
        <w:t>条</w:t>
      </w:r>
      <w:r>
        <w:rPr>
          <w:spacing w:val="10"/>
          <w:sz w:val="18"/>
        </w:rPr>
        <w:t>款</w:t>
      </w:r>
      <w:r>
        <w:rPr>
          <w:spacing w:val="7"/>
          <w:sz w:val="18"/>
        </w:rPr>
        <w:t>，请</w:t>
      </w:r>
      <w:r>
        <w:rPr>
          <w:spacing w:val="10"/>
          <w:sz w:val="18"/>
        </w:rPr>
        <w:t>您注</w:t>
      </w:r>
      <w:r>
        <w:rPr>
          <w:sz w:val="18"/>
        </w:rPr>
        <w:t>意</w:t>
        <w:tab/>
      </w:r>
      <w:r>
        <w:rPr>
          <w:spacing w:val="5"/>
          <w:sz w:val="18"/>
        </w:rPr>
        <w:t>2.5</w:t>
      </w:r>
    </w:p>
    <w:p>
      <w:pPr>
        <w:pStyle w:val="ListParagraph"/>
        <w:numPr>
          <w:ilvl w:val="0"/>
          <w:numId w:val="1"/>
        </w:numPr>
        <w:tabs>
          <w:tab w:pos="821" w:val="left" w:leader="none"/>
          <w:tab w:pos="9610" w:val="right" w:leader="dot"/>
        </w:tabs>
        <w:spacing w:line="240" w:lineRule="auto" w:before="63" w:after="0"/>
        <w:ind w:left="820" w:right="0" w:hanging="280"/>
        <w:jc w:val="left"/>
        <w:rPr>
          <w:sz w:val="18"/>
        </w:rPr>
      </w:pPr>
      <w:r>
        <w:rPr>
          <w:spacing w:val="10"/>
          <w:sz w:val="18"/>
        </w:rPr>
        <w:t>保险</w:t>
      </w:r>
      <w:r>
        <w:rPr>
          <w:spacing w:val="7"/>
          <w:sz w:val="18"/>
        </w:rPr>
        <w:t>事</w:t>
      </w:r>
      <w:r>
        <w:rPr>
          <w:spacing w:val="10"/>
          <w:sz w:val="18"/>
        </w:rPr>
        <w:t>故</w:t>
      </w:r>
      <w:r>
        <w:rPr>
          <w:spacing w:val="7"/>
          <w:sz w:val="18"/>
        </w:rPr>
        <w:t>发</w:t>
      </w:r>
      <w:r>
        <w:rPr>
          <w:spacing w:val="10"/>
          <w:sz w:val="18"/>
        </w:rPr>
        <w:t>生</w:t>
      </w:r>
      <w:r>
        <w:rPr>
          <w:spacing w:val="7"/>
          <w:sz w:val="18"/>
        </w:rPr>
        <w:t>后</w:t>
      </w:r>
      <w:r>
        <w:rPr>
          <w:spacing w:val="10"/>
          <w:sz w:val="18"/>
        </w:rPr>
        <w:t>，</w:t>
      </w:r>
      <w:r>
        <w:rPr>
          <w:spacing w:val="7"/>
          <w:sz w:val="18"/>
        </w:rPr>
        <w:t>请</w:t>
      </w:r>
      <w:r>
        <w:rPr>
          <w:spacing w:val="10"/>
          <w:sz w:val="18"/>
        </w:rPr>
        <w:t>您</w:t>
      </w:r>
      <w:r>
        <w:rPr>
          <w:spacing w:val="7"/>
          <w:sz w:val="18"/>
        </w:rPr>
        <w:t>及时</w:t>
      </w:r>
      <w:r>
        <w:rPr>
          <w:spacing w:val="10"/>
          <w:sz w:val="18"/>
        </w:rPr>
        <w:t>通知</w:t>
      </w:r>
      <w:r>
        <w:rPr>
          <w:spacing w:val="7"/>
          <w:sz w:val="18"/>
        </w:rPr>
        <w:t>我</w:t>
      </w:r>
      <w:r>
        <w:rPr>
          <w:sz w:val="18"/>
        </w:rPr>
        <w:t>们</w:t>
        <w:tab/>
      </w:r>
      <w:r>
        <w:rPr>
          <w:spacing w:val="5"/>
          <w:sz w:val="18"/>
        </w:rPr>
        <w:t>3.2</w:t>
      </w:r>
    </w:p>
    <w:p>
      <w:pPr>
        <w:pStyle w:val="ListParagraph"/>
        <w:numPr>
          <w:ilvl w:val="0"/>
          <w:numId w:val="1"/>
        </w:numPr>
        <w:tabs>
          <w:tab w:pos="821" w:val="left" w:leader="none"/>
          <w:tab w:pos="9610" w:val="right" w:leader="dot"/>
        </w:tabs>
        <w:spacing w:line="240" w:lineRule="auto" w:before="63" w:after="0"/>
        <w:ind w:left="820" w:right="0" w:hanging="280"/>
        <w:jc w:val="left"/>
        <w:rPr>
          <w:sz w:val="18"/>
        </w:rPr>
      </w:pPr>
      <w:r>
        <w:rPr>
          <w:spacing w:val="10"/>
          <w:sz w:val="18"/>
        </w:rPr>
        <w:t>您应</w:t>
      </w:r>
      <w:r>
        <w:rPr>
          <w:spacing w:val="7"/>
          <w:sz w:val="18"/>
        </w:rPr>
        <w:t>当</w:t>
      </w:r>
      <w:r>
        <w:rPr>
          <w:spacing w:val="10"/>
          <w:sz w:val="18"/>
        </w:rPr>
        <w:t>按</w:t>
      </w:r>
      <w:r>
        <w:rPr>
          <w:spacing w:val="7"/>
          <w:sz w:val="18"/>
        </w:rPr>
        <w:t>时</w:t>
      </w:r>
      <w:r>
        <w:rPr>
          <w:spacing w:val="10"/>
          <w:sz w:val="18"/>
        </w:rPr>
        <w:t>支</w:t>
      </w:r>
      <w:r>
        <w:rPr>
          <w:spacing w:val="7"/>
          <w:sz w:val="18"/>
        </w:rPr>
        <w:t>付</w:t>
      </w:r>
      <w:r>
        <w:rPr>
          <w:spacing w:val="10"/>
          <w:sz w:val="18"/>
        </w:rPr>
        <w:t>保</w:t>
      </w:r>
      <w:r>
        <w:rPr>
          <w:spacing w:val="7"/>
          <w:sz w:val="18"/>
        </w:rPr>
        <w:t>险</w:t>
      </w:r>
      <w:r>
        <w:rPr>
          <w:sz w:val="18"/>
        </w:rPr>
        <w:t>费</w:t>
        <w:tab/>
      </w:r>
      <w:r>
        <w:rPr>
          <w:spacing w:val="5"/>
          <w:sz w:val="18"/>
        </w:rPr>
        <w:t>4.1</w:t>
      </w:r>
    </w:p>
    <w:p>
      <w:pPr>
        <w:pStyle w:val="ListParagraph"/>
        <w:numPr>
          <w:ilvl w:val="0"/>
          <w:numId w:val="1"/>
        </w:numPr>
        <w:tabs>
          <w:tab w:pos="821" w:val="left" w:leader="none"/>
          <w:tab w:pos="9610" w:val="right" w:leader="dot"/>
        </w:tabs>
        <w:spacing w:line="240" w:lineRule="auto" w:before="63" w:after="0"/>
        <w:ind w:left="820" w:right="0" w:hanging="280"/>
        <w:jc w:val="left"/>
        <w:rPr>
          <w:sz w:val="18"/>
        </w:rPr>
      </w:pPr>
      <w:r>
        <w:rPr>
          <w:spacing w:val="10"/>
          <w:sz w:val="18"/>
        </w:rPr>
        <w:t>退保</w:t>
      </w:r>
      <w:r>
        <w:rPr>
          <w:spacing w:val="7"/>
          <w:sz w:val="18"/>
        </w:rPr>
        <w:t>会</w:t>
      </w:r>
      <w:r>
        <w:rPr>
          <w:spacing w:val="10"/>
          <w:sz w:val="18"/>
        </w:rPr>
        <w:t>给</w:t>
      </w:r>
      <w:r>
        <w:rPr>
          <w:spacing w:val="7"/>
          <w:sz w:val="18"/>
        </w:rPr>
        <w:t>您</w:t>
      </w:r>
      <w:r>
        <w:rPr>
          <w:spacing w:val="10"/>
          <w:sz w:val="18"/>
        </w:rPr>
        <w:t>造</w:t>
      </w:r>
      <w:r>
        <w:rPr>
          <w:spacing w:val="7"/>
          <w:sz w:val="18"/>
        </w:rPr>
        <w:t>成</w:t>
      </w:r>
      <w:r>
        <w:rPr>
          <w:spacing w:val="10"/>
          <w:sz w:val="18"/>
        </w:rPr>
        <w:t>一</w:t>
      </w:r>
      <w:r>
        <w:rPr>
          <w:spacing w:val="7"/>
          <w:sz w:val="18"/>
        </w:rPr>
        <w:t>定</w:t>
      </w:r>
      <w:r>
        <w:rPr>
          <w:spacing w:val="10"/>
          <w:sz w:val="18"/>
        </w:rPr>
        <w:t>的</w:t>
      </w:r>
      <w:r>
        <w:rPr>
          <w:spacing w:val="7"/>
          <w:sz w:val="18"/>
        </w:rPr>
        <w:t>损失</w:t>
      </w:r>
      <w:r>
        <w:rPr>
          <w:spacing w:val="10"/>
          <w:sz w:val="18"/>
        </w:rPr>
        <w:t>，</w:t>
      </w:r>
      <w:r>
        <w:rPr>
          <w:spacing w:val="10"/>
          <w:sz w:val="18"/>
        </w:rPr>
        <w:t>请</w:t>
      </w:r>
      <w:r>
        <w:rPr>
          <w:spacing w:val="7"/>
          <w:sz w:val="18"/>
        </w:rPr>
        <w:t>您</w:t>
      </w:r>
      <w:r>
        <w:rPr>
          <w:spacing w:val="10"/>
          <w:sz w:val="18"/>
        </w:rPr>
        <w:t>慎</w:t>
      </w:r>
      <w:r>
        <w:rPr>
          <w:spacing w:val="7"/>
          <w:sz w:val="18"/>
        </w:rPr>
        <w:t>重</w:t>
      </w:r>
      <w:r>
        <w:rPr>
          <w:spacing w:val="10"/>
          <w:sz w:val="18"/>
        </w:rPr>
        <w:t>决</w:t>
      </w:r>
      <w:r>
        <w:rPr>
          <w:sz w:val="18"/>
        </w:rPr>
        <w:t>策</w:t>
        <w:tab/>
      </w:r>
      <w:r>
        <w:rPr>
          <w:spacing w:val="5"/>
          <w:sz w:val="18"/>
        </w:rPr>
        <w:t>7.1</w:t>
      </w:r>
    </w:p>
    <w:p>
      <w:pPr>
        <w:pStyle w:val="ListParagraph"/>
        <w:numPr>
          <w:ilvl w:val="0"/>
          <w:numId w:val="1"/>
        </w:numPr>
        <w:tabs>
          <w:tab w:pos="821" w:val="left" w:leader="none"/>
          <w:tab w:pos="9610" w:val="right" w:leader="dot"/>
        </w:tabs>
        <w:spacing w:line="240" w:lineRule="auto" w:before="63" w:after="0"/>
        <w:ind w:left="820" w:right="0" w:hanging="280"/>
        <w:jc w:val="left"/>
        <w:rPr>
          <w:sz w:val="18"/>
        </w:rPr>
      </w:pPr>
      <w:r>
        <w:rPr>
          <w:spacing w:val="10"/>
          <w:sz w:val="18"/>
        </w:rPr>
        <w:t>您</w:t>
      </w:r>
      <w:r>
        <w:rPr>
          <w:spacing w:val="10"/>
          <w:sz w:val="18"/>
        </w:rPr>
        <w:t>有</w:t>
      </w:r>
      <w:r>
        <w:rPr>
          <w:spacing w:val="7"/>
          <w:sz w:val="18"/>
        </w:rPr>
        <w:t>如</w:t>
      </w:r>
      <w:r>
        <w:rPr>
          <w:spacing w:val="10"/>
          <w:sz w:val="18"/>
        </w:rPr>
        <w:t>实</w:t>
      </w:r>
      <w:r>
        <w:rPr>
          <w:spacing w:val="7"/>
          <w:sz w:val="18"/>
        </w:rPr>
        <w:t>告</w:t>
      </w:r>
      <w:r>
        <w:rPr>
          <w:spacing w:val="10"/>
          <w:sz w:val="18"/>
        </w:rPr>
        <w:t>知</w:t>
      </w:r>
      <w:r>
        <w:rPr>
          <w:spacing w:val="7"/>
          <w:sz w:val="18"/>
        </w:rPr>
        <w:t>的</w:t>
      </w:r>
      <w:r>
        <w:rPr>
          <w:spacing w:val="10"/>
          <w:sz w:val="18"/>
        </w:rPr>
        <w:t>义</w:t>
      </w:r>
      <w:r>
        <w:rPr>
          <w:sz w:val="18"/>
        </w:rPr>
        <w:t>务</w:t>
        <w:tab/>
      </w:r>
      <w:r>
        <w:rPr>
          <w:spacing w:val="5"/>
          <w:sz w:val="18"/>
        </w:rPr>
        <w:t>8.1</w:t>
      </w:r>
    </w:p>
    <w:p>
      <w:pPr>
        <w:pStyle w:val="ListParagraph"/>
        <w:numPr>
          <w:ilvl w:val="0"/>
          <w:numId w:val="1"/>
        </w:numPr>
        <w:tabs>
          <w:tab w:pos="821" w:val="left" w:leader="none"/>
          <w:tab w:pos="9613" w:val="right" w:leader="dot"/>
        </w:tabs>
        <w:spacing w:line="240" w:lineRule="auto" w:before="63" w:after="0"/>
        <w:ind w:left="820" w:right="0" w:hanging="280"/>
        <w:jc w:val="left"/>
        <w:rPr>
          <w:sz w:val="18"/>
        </w:rPr>
      </w:pPr>
      <w:r>
        <w:rPr>
          <w:spacing w:val="15"/>
          <w:sz w:val="18"/>
        </w:rPr>
        <w:t>我</w:t>
      </w:r>
      <w:r>
        <w:rPr>
          <w:spacing w:val="12"/>
          <w:sz w:val="18"/>
        </w:rPr>
        <w:t>们</w:t>
      </w:r>
      <w:r>
        <w:rPr>
          <w:spacing w:val="15"/>
          <w:sz w:val="18"/>
        </w:rPr>
        <w:t>对</w:t>
      </w:r>
      <w:r>
        <w:rPr>
          <w:spacing w:val="12"/>
          <w:sz w:val="18"/>
        </w:rPr>
        <w:t>一些</w:t>
      </w:r>
      <w:r>
        <w:rPr>
          <w:spacing w:val="15"/>
          <w:sz w:val="18"/>
        </w:rPr>
        <w:t>重</w:t>
      </w:r>
      <w:r>
        <w:rPr>
          <w:spacing w:val="12"/>
          <w:sz w:val="18"/>
        </w:rPr>
        <w:t>要</w:t>
      </w:r>
      <w:r>
        <w:rPr>
          <w:spacing w:val="15"/>
          <w:sz w:val="18"/>
        </w:rPr>
        <w:t>术</w:t>
      </w:r>
      <w:r>
        <w:rPr>
          <w:spacing w:val="12"/>
          <w:sz w:val="18"/>
        </w:rPr>
        <w:t>语进</w:t>
      </w:r>
      <w:r>
        <w:rPr>
          <w:spacing w:val="15"/>
          <w:sz w:val="18"/>
        </w:rPr>
        <w:t>行</w:t>
      </w:r>
      <w:r>
        <w:rPr>
          <w:spacing w:val="12"/>
          <w:sz w:val="18"/>
        </w:rPr>
        <w:t>了</w:t>
      </w:r>
      <w:r>
        <w:rPr>
          <w:spacing w:val="15"/>
          <w:sz w:val="18"/>
        </w:rPr>
        <w:t>解</w:t>
      </w:r>
      <w:r>
        <w:rPr>
          <w:spacing w:val="12"/>
          <w:sz w:val="18"/>
        </w:rPr>
        <w:t>释</w:t>
      </w:r>
      <w:r>
        <w:rPr>
          <w:sz w:val="18"/>
        </w:rPr>
        <w:t>，</w:t>
      </w:r>
      <w:r>
        <w:rPr>
          <w:spacing w:val="-74"/>
          <w:sz w:val="18"/>
        </w:rPr>
        <w:t> </w:t>
      </w:r>
      <w:r>
        <w:rPr>
          <w:spacing w:val="12"/>
          <w:sz w:val="18"/>
        </w:rPr>
        <w:t>并作</w:t>
      </w:r>
      <w:r>
        <w:rPr>
          <w:spacing w:val="15"/>
          <w:sz w:val="18"/>
        </w:rPr>
        <w:t>了</w:t>
      </w:r>
      <w:r>
        <w:rPr>
          <w:spacing w:val="12"/>
          <w:sz w:val="18"/>
        </w:rPr>
        <w:t>显</w:t>
      </w:r>
      <w:r>
        <w:rPr>
          <w:spacing w:val="15"/>
          <w:sz w:val="18"/>
        </w:rPr>
        <w:t>著</w:t>
      </w:r>
      <w:r>
        <w:rPr>
          <w:spacing w:val="12"/>
          <w:sz w:val="18"/>
        </w:rPr>
        <w:t>标识</w:t>
      </w:r>
      <w:r>
        <w:rPr>
          <w:sz w:val="18"/>
        </w:rPr>
        <w:t>，</w:t>
      </w:r>
      <w:r>
        <w:rPr>
          <w:spacing w:val="-74"/>
          <w:sz w:val="18"/>
        </w:rPr>
        <w:t> </w:t>
      </w:r>
      <w:r>
        <w:rPr>
          <w:spacing w:val="12"/>
          <w:sz w:val="18"/>
        </w:rPr>
        <w:t>请</w:t>
      </w:r>
      <w:r>
        <w:rPr>
          <w:spacing w:val="15"/>
          <w:sz w:val="18"/>
        </w:rPr>
        <w:t>您</w:t>
      </w:r>
      <w:r>
        <w:rPr>
          <w:spacing w:val="12"/>
          <w:sz w:val="18"/>
        </w:rPr>
        <w:t>注</w:t>
      </w:r>
      <w:r>
        <w:rPr>
          <w:sz w:val="18"/>
        </w:rPr>
        <w:t>意</w:t>
        <w:tab/>
        <w:t>9</w:t>
      </w:r>
    </w:p>
    <w:p>
      <w:pPr>
        <w:pStyle w:val="Heading1"/>
        <w:tabs>
          <w:tab w:pos="772" w:val="left" w:leader="none"/>
        </w:tabs>
        <w:spacing w:line="437" w:lineRule="exact" w:before="14"/>
        <w:ind w:left="112"/>
      </w:pPr>
      <w:r>
        <w:rPr>
          <w:rFonts w:ascii="Wingdings" w:hAnsi="Wingdings" w:eastAsia="Wingdings"/>
          <w:w w:val="120"/>
          <w:position w:val="-11"/>
          <w:sz w:val="48"/>
        </w:rPr>
        <w:t></w:t>
      </w:r>
      <w:r>
        <w:rPr>
          <w:rFonts w:ascii="Times New Roman" w:hAnsi="Times New Roman" w:eastAsia="Times New Roman"/>
          <w:b w:val="0"/>
          <w:w w:val="120"/>
          <w:position w:val="-11"/>
          <w:sz w:val="48"/>
        </w:rPr>
        <w:tab/>
      </w:r>
      <w:r>
        <w:rPr>
          <w:spacing w:val="-3"/>
        </w:rPr>
        <w:t>保险条款是保险合同的重要内容，为充分保障您的权益，请您仔细阅读本保险条款。</w:t>
      </w:r>
    </w:p>
    <w:p>
      <w:pPr>
        <w:tabs>
          <w:tab w:pos="772" w:val="left" w:leader="none"/>
        </w:tabs>
        <w:spacing w:line="437" w:lineRule="exact" w:before="0"/>
        <w:ind w:left="112" w:right="0" w:firstLine="0"/>
        <w:jc w:val="left"/>
        <w:rPr>
          <w:rFonts w:ascii="黑体" w:hAnsi="黑体" w:eastAsia="黑体" w:hint="eastAsia"/>
          <w:b/>
          <w:sz w:val="21"/>
        </w:rPr>
      </w:pPr>
      <w:r>
        <w:rPr/>
        <w:pict>
          <v:shape style="position:absolute;margin-left:77.639999pt;margin-top:16.058973pt;width:463.35pt;height:307.4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1"/>
                    <w:gridCol w:w="3423"/>
                    <w:gridCol w:w="3051"/>
                  </w:tblGrid>
                  <w:tr>
                    <w:trPr>
                      <w:trHeight w:val="232" w:hRule="atLeast"/>
                    </w:trPr>
                    <w:tc>
                      <w:tcPr>
                        <w:tcW w:w="2791" w:type="dxa"/>
                        <w:shd w:val="clear" w:color="auto" w:fill="A6A6A6"/>
                      </w:tcPr>
                      <w:p>
                        <w:pPr>
                          <w:pStyle w:val="TableParagraph"/>
                          <w:spacing w:line="205" w:lineRule="exact"/>
                          <w:rPr>
                            <w:rFonts w:ascii="黑体" w:eastAsia="黑体" w:hint="eastAsia"/>
                            <w:sz w:val="18"/>
                          </w:rPr>
                        </w:pPr>
                        <w:r>
                          <w:rPr>
                            <w:rFonts w:ascii="黑体" w:eastAsia="黑体" w:hint="eastAsia"/>
                            <w:sz w:val="18"/>
                          </w:rPr>
                          <w:t>1 您与我们订立的合同</w:t>
                        </w:r>
                      </w:p>
                    </w:tc>
                    <w:tc>
                      <w:tcPr>
                        <w:tcW w:w="3423" w:type="dxa"/>
                      </w:tcPr>
                      <w:p>
                        <w:pPr>
                          <w:pStyle w:val="TableParagraph"/>
                          <w:spacing w:line="201" w:lineRule="exact"/>
                          <w:ind w:left="422"/>
                          <w:rPr>
                            <w:rFonts w:ascii="宋体" w:eastAsia="宋体" w:hint="eastAsia"/>
                            <w:sz w:val="18"/>
                          </w:rPr>
                        </w:pPr>
                        <w:r>
                          <w:rPr>
                            <w:rFonts w:ascii="宋体" w:eastAsia="宋体" w:hint="eastAsia"/>
                            <w:sz w:val="18"/>
                          </w:rPr>
                          <w:t>4.2 宽限期</w:t>
                        </w:r>
                      </w:p>
                    </w:tc>
                    <w:tc>
                      <w:tcPr>
                        <w:tcW w:w="3051" w:type="dxa"/>
                      </w:tcPr>
                      <w:p>
                        <w:pPr>
                          <w:pStyle w:val="TableParagraph"/>
                          <w:spacing w:line="201" w:lineRule="exact"/>
                          <w:ind w:left="210"/>
                          <w:rPr>
                            <w:rFonts w:ascii="宋体" w:eastAsia="宋体" w:hint="eastAsia"/>
                            <w:sz w:val="18"/>
                          </w:rPr>
                        </w:pPr>
                        <w:r>
                          <w:rPr>
                            <w:rFonts w:ascii="宋体" w:eastAsia="宋体" w:hint="eastAsia"/>
                            <w:sz w:val="18"/>
                          </w:rPr>
                          <w:t>9.3 周岁</w:t>
                        </w:r>
                      </w:p>
                    </w:tc>
                  </w:tr>
                  <w:tr>
                    <w:trPr>
                      <w:trHeight w:val="352" w:hRule="atLeast"/>
                    </w:trPr>
                    <w:tc>
                      <w:tcPr>
                        <w:tcW w:w="2791" w:type="dxa"/>
                      </w:tcPr>
                      <w:p>
                        <w:pPr>
                          <w:pStyle w:val="TableParagraph"/>
                          <w:spacing w:before="44"/>
                          <w:rPr>
                            <w:rFonts w:ascii="宋体" w:eastAsia="宋体" w:hint="eastAsia"/>
                            <w:sz w:val="18"/>
                          </w:rPr>
                        </w:pPr>
                        <w:r>
                          <w:rPr>
                            <w:rFonts w:ascii="宋体" w:eastAsia="宋体" w:hint="eastAsia"/>
                            <w:sz w:val="18"/>
                          </w:rPr>
                          <w:t>1.1 合同构成</w:t>
                        </w:r>
                      </w:p>
                    </w:tc>
                    <w:tc>
                      <w:tcPr>
                        <w:tcW w:w="3423" w:type="dxa"/>
                      </w:tcPr>
                      <w:p>
                        <w:pPr>
                          <w:pStyle w:val="TableParagraph"/>
                          <w:tabs>
                            <w:tab w:pos="3213" w:val="left" w:leader="none"/>
                          </w:tabs>
                          <w:spacing w:before="49"/>
                          <w:ind w:left="422"/>
                          <w:rPr>
                            <w:rFonts w:ascii="黑体" w:eastAsia="黑体" w:hint="eastAsia"/>
                            <w:sz w:val="18"/>
                          </w:rPr>
                        </w:pPr>
                        <w:r>
                          <w:rPr>
                            <w:rFonts w:ascii="黑体" w:eastAsia="黑体" w:hint="eastAsia"/>
                            <w:sz w:val="18"/>
                            <w:shd w:fill="A6A6A6" w:color="auto" w:val="clear"/>
                          </w:rPr>
                          <w:t>5 如何恢复合同效力</w:t>
                          <w:tab/>
                        </w:r>
                      </w:p>
                    </w:tc>
                    <w:tc>
                      <w:tcPr>
                        <w:tcW w:w="3051" w:type="dxa"/>
                      </w:tcPr>
                      <w:p>
                        <w:pPr>
                          <w:pStyle w:val="TableParagraph"/>
                          <w:spacing w:before="44"/>
                          <w:ind w:left="210"/>
                          <w:rPr>
                            <w:rFonts w:ascii="宋体" w:eastAsia="宋体" w:hint="eastAsia"/>
                            <w:sz w:val="18"/>
                          </w:rPr>
                        </w:pPr>
                        <w:r>
                          <w:rPr>
                            <w:rFonts w:ascii="宋体" w:eastAsia="宋体" w:hint="eastAsia"/>
                            <w:sz w:val="18"/>
                          </w:rPr>
                          <w:t>9.4 有效身份证件</w:t>
                        </w:r>
                      </w:p>
                    </w:tc>
                  </w:tr>
                  <w:tr>
                    <w:trPr>
                      <w:trHeight w:val="312" w:hRule="atLeast"/>
                    </w:trPr>
                    <w:tc>
                      <w:tcPr>
                        <w:tcW w:w="2791" w:type="dxa"/>
                      </w:tcPr>
                      <w:p>
                        <w:pPr>
                          <w:pStyle w:val="TableParagraph"/>
                          <w:spacing w:before="3"/>
                          <w:rPr>
                            <w:rFonts w:ascii="宋体" w:eastAsia="宋体" w:hint="eastAsia"/>
                            <w:sz w:val="18"/>
                          </w:rPr>
                        </w:pPr>
                        <w:r>
                          <w:rPr>
                            <w:rFonts w:ascii="宋体" w:eastAsia="宋体" w:hint="eastAsia"/>
                            <w:sz w:val="18"/>
                          </w:rPr>
                          <w:t>1.2 合同成立与生效</w:t>
                        </w:r>
                      </w:p>
                    </w:tc>
                    <w:tc>
                      <w:tcPr>
                        <w:tcW w:w="3423" w:type="dxa"/>
                      </w:tcPr>
                      <w:p>
                        <w:pPr>
                          <w:pStyle w:val="TableParagraph"/>
                          <w:spacing w:before="3"/>
                          <w:ind w:left="422"/>
                          <w:rPr>
                            <w:rFonts w:ascii="宋体" w:eastAsia="宋体" w:hint="eastAsia"/>
                            <w:sz w:val="18"/>
                          </w:rPr>
                        </w:pPr>
                        <w:r>
                          <w:rPr>
                            <w:rFonts w:ascii="宋体" w:eastAsia="宋体" w:hint="eastAsia"/>
                            <w:sz w:val="18"/>
                          </w:rPr>
                          <w:t>5.1 效力中止</w:t>
                        </w:r>
                      </w:p>
                    </w:tc>
                    <w:tc>
                      <w:tcPr>
                        <w:tcW w:w="3051" w:type="dxa"/>
                      </w:tcPr>
                      <w:p>
                        <w:pPr>
                          <w:pStyle w:val="TableParagraph"/>
                          <w:spacing w:before="3"/>
                          <w:ind w:left="210"/>
                          <w:rPr>
                            <w:rFonts w:ascii="宋体" w:eastAsia="宋体" w:hint="eastAsia"/>
                            <w:sz w:val="18"/>
                          </w:rPr>
                        </w:pPr>
                        <w:r>
                          <w:rPr>
                            <w:rFonts w:ascii="宋体" w:eastAsia="宋体" w:hint="eastAsia"/>
                            <w:sz w:val="18"/>
                          </w:rPr>
                          <w:t>9.5 意外伤害</w:t>
                        </w:r>
                      </w:p>
                    </w:tc>
                  </w:tr>
                  <w:tr>
                    <w:trPr>
                      <w:trHeight w:val="311" w:hRule="atLeast"/>
                    </w:trPr>
                    <w:tc>
                      <w:tcPr>
                        <w:tcW w:w="2791" w:type="dxa"/>
                      </w:tcPr>
                      <w:p>
                        <w:pPr>
                          <w:pStyle w:val="TableParagraph"/>
                          <w:spacing w:before="3"/>
                          <w:rPr>
                            <w:rFonts w:ascii="宋体" w:eastAsia="宋体" w:hint="eastAsia"/>
                            <w:sz w:val="18"/>
                          </w:rPr>
                        </w:pPr>
                        <w:r>
                          <w:rPr>
                            <w:rFonts w:ascii="宋体" w:eastAsia="宋体" w:hint="eastAsia"/>
                            <w:sz w:val="18"/>
                          </w:rPr>
                          <w:t>1.3 投保年龄</w:t>
                        </w:r>
                      </w:p>
                    </w:tc>
                    <w:tc>
                      <w:tcPr>
                        <w:tcW w:w="3423" w:type="dxa"/>
                      </w:tcPr>
                      <w:p>
                        <w:pPr>
                          <w:pStyle w:val="TableParagraph"/>
                          <w:spacing w:before="3"/>
                          <w:ind w:left="422"/>
                          <w:rPr>
                            <w:rFonts w:ascii="宋体" w:eastAsia="宋体" w:hint="eastAsia"/>
                            <w:sz w:val="18"/>
                          </w:rPr>
                        </w:pPr>
                        <w:r>
                          <w:rPr>
                            <w:rFonts w:ascii="宋体" w:eastAsia="宋体" w:hint="eastAsia"/>
                            <w:sz w:val="18"/>
                          </w:rPr>
                          <w:t>5.2 效力恢复</w:t>
                        </w:r>
                      </w:p>
                    </w:tc>
                    <w:tc>
                      <w:tcPr>
                        <w:tcW w:w="3051" w:type="dxa"/>
                      </w:tcPr>
                      <w:p>
                        <w:pPr>
                          <w:pStyle w:val="TableParagraph"/>
                          <w:spacing w:before="3"/>
                          <w:ind w:left="210"/>
                          <w:rPr>
                            <w:rFonts w:ascii="宋体" w:eastAsia="宋体" w:hint="eastAsia"/>
                            <w:sz w:val="18"/>
                          </w:rPr>
                        </w:pPr>
                        <w:r>
                          <w:rPr>
                            <w:rFonts w:ascii="宋体" w:eastAsia="宋体" w:hint="eastAsia"/>
                            <w:sz w:val="18"/>
                          </w:rPr>
                          <w:t>9.6 全残</w:t>
                        </w:r>
                      </w:p>
                    </w:tc>
                  </w:tr>
                  <w:tr>
                    <w:trPr>
                      <w:trHeight w:val="312" w:hRule="atLeast"/>
                    </w:trPr>
                    <w:tc>
                      <w:tcPr>
                        <w:tcW w:w="2791" w:type="dxa"/>
                      </w:tcPr>
                      <w:p>
                        <w:pPr>
                          <w:pStyle w:val="TableParagraph"/>
                          <w:spacing w:before="3"/>
                          <w:rPr>
                            <w:rFonts w:ascii="宋体" w:eastAsia="宋体" w:hint="eastAsia"/>
                            <w:sz w:val="18"/>
                          </w:rPr>
                        </w:pPr>
                        <w:r>
                          <w:rPr>
                            <w:rFonts w:ascii="宋体" w:eastAsia="宋体" w:hint="eastAsia"/>
                            <w:sz w:val="18"/>
                          </w:rPr>
                          <w:t>1.4 犹豫期</w:t>
                        </w:r>
                      </w:p>
                    </w:tc>
                    <w:tc>
                      <w:tcPr>
                        <w:tcW w:w="3423" w:type="dxa"/>
                      </w:tcPr>
                      <w:p>
                        <w:pPr>
                          <w:pStyle w:val="TableParagraph"/>
                          <w:tabs>
                            <w:tab w:pos="3213" w:val="left" w:leader="none"/>
                          </w:tabs>
                          <w:spacing w:before="8"/>
                          <w:ind w:left="422"/>
                          <w:rPr>
                            <w:rFonts w:ascii="黑体" w:eastAsia="黑体" w:hint="eastAsia"/>
                            <w:sz w:val="18"/>
                          </w:rPr>
                        </w:pPr>
                        <w:r>
                          <w:rPr>
                            <w:rFonts w:ascii="黑体" w:eastAsia="黑体" w:hint="eastAsia"/>
                            <w:sz w:val="18"/>
                            <w:shd w:fill="A6A6A6" w:color="auto" w:val="clear"/>
                          </w:rPr>
                          <w:t>6 现金价值权益</w:t>
                          <w:tab/>
                        </w:r>
                      </w:p>
                    </w:tc>
                    <w:tc>
                      <w:tcPr>
                        <w:tcW w:w="3051" w:type="dxa"/>
                      </w:tcPr>
                      <w:p>
                        <w:pPr>
                          <w:pStyle w:val="TableParagraph"/>
                          <w:spacing w:before="3"/>
                          <w:ind w:left="210"/>
                          <w:rPr>
                            <w:rFonts w:ascii="宋体" w:eastAsia="宋体" w:hint="eastAsia"/>
                            <w:sz w:val="18"/>
                          </w:rPr>
                        </w:pPr>
                        <w:r>
                          <w:rPr>
                            <w:rFonts w:ascii="宋体" w:eastAsia="宋体" w:hint="eastAsia"/>
                            <w:sz w:val="18"/>
                          </w:rPr>
                          <w:t>9.7 疾病终末期阶段</w:t>
                        </w:r>
                      </w:p>
                    </w:tc>
                  </w:tr>
                  <w:tr>
                    <w:trPr>
                      <w:trHeight w:val="312" w:hRule="atLeast"/>
                    </w:trPr>
                    <w:tc>
                      <w:tcPr>
                        <w:tcW w:w="2791" w:type="dxa"/>
                      </w:tcPr>
                      <w:p>
                        <w:pPr>
                          <w:pStyle w:val="TableParagraph"/>
                          <w:tabs>
                            <w:tab w:pos="2791" w:val="left" w:leader="none"/>
                          </w:tabs>
                          <w:spacing w:before="8"/>
                          <w:ind w:right="-15"/>
                          <w:rPr>
                            <w:rFonts w:ascii="黑体" w:eastAsia="黑体" w:hint="eastAsia"/>
                            <w:sz w:val="18"/>
                          </w:rPr>
                        </w:pPr>
                        <w:r>
                          <w:rPr>
                            <w:rFonts w:ascii="黑体" w:eastAsia="黑体" w:hint="eastAsia"/>
                            <w:sz w:val="18"/>
                            <w:shd w:fill="A6A6A6" w:color="auto" w:val="clear"/>
                          </w:rPr>
                          <w:t>2 我们提供的保障</w:t>
                          <w:tab/>
                        </w:r>
                      </w:p>
                    </w:tc>
                    <w:tc>
                      <w:tcPr>
                        <w:tcW w:w="3423" w:type="dxa"/>
                      </w:tcPr>
                      <w:p>
                        <w:pPr>
                          <w:pStyle w:val="TableParagraph"/>
                          <w:spacing w:before="3"/>
                          <w:ind w:left="422"/>
                          <w:rPr>
                            <w:rFonts w:ascii="宋体" w:eastAsia="宋体" w:hint="eastAsia"/>
                            <w:sz w:val="18"/>
                          </w:rPr>
                        </w:pPr>
                        <w:r>
                          <w:rPr>
                            <w:rFonts w:ascii="宋体" w:eastAsia="宋体" w:hint="eastAsia"/>
                            <w:sz w:val="18"/>
                          </w:rPr>
                          <w:t>6.1 现金价值</w:t>
                        </w:r>
                      </w:p>
                    </w:tc>
                    <w:tc>
                      <w:tcPr>
                        <w:tcW w:w="3051" w:type="dxa"/>
                      </w:tcPr>
                      <w:p>
                        <w:pPr>
                          <w:pStyle w:val="TableParagraph"/>
                          <w:spacing w:before="3"/>
                          <w:ind w:left="210"/>
                          <w:rPr>
                            <w:rFonts w:ascii="宋体" w:eastAsia="宋体" w:hint="eastAsia"/>
                            <w:sz w:val="18"/>
                          </w:rPr>
                        </w:pPr>
                        <w:r>
                          <w:rPr>
                            <w:rFonts w:ascii="宋体" w:eastAsia="宋体" w:hint="eastAsia"/>
                            <w:sz w:val="18"/>
                          </w:rPr>
                          <w:t>9.8 男性特定癌症</w:t>
                        </w:r>
                      </w:p>
                    </w:tc>
                  </w:tr>
                  <w:tr>
                    <w:trPr>
                      <w:trHeight w:val="311" w:hRule="atLeast"/>
                    </w:trPr>
                    <w:tc>
                      <w:tcPr>
                        <w:tcW w:w="2791" w:type="dxa"/>
                      </w:tcPr>
                      <w:p>
                        <w:pPr>
                          <w:pStyle w:val="TableParagraph"/>
                          <w:spacing w:before="3"/>
                          <w:rPr>
                            <w:rFonts w:ascii="宋体" w:eastAsia="宋体" w:hint="eastAsia"/>
                            <w:sz w:val="18"/>
                          </w:rPr>
                        </w:pPr>
                        <w:r>
                          <w:rPr>
                            <w:rFonts w:ascii="宋体" w:eastAsia="宋体" w:hint="eastAsia"/>
                            <w:sz w:val="18"/>
                          </w:rPr>
                          <w:t>2.1 保险金额</w:t>
                        </w:r>
                      </w:p>
                    </w:tc>
                    <w:tc>
                      <w:tcPr>
                        <w:tcW w:w="3423" w:type="dxa"/>
                      </w:tcPr>
                      <w:p>
                        <w:pPr>
                          <w:pStyle w:val="TableParagraph"/>
                          <w:spacing w:before="3"/>
                          <w:ind w:left="422"/>
                          <w:rPr>
                            <w:rFonts w:ascii="宋体" w:eastAsia="宋体" w:hint="eastAsia"/>
                            <w:sz w:val="18"/>
                          </w:rPr>
                        </w:pPr>
                        <w:r>
                          <w:rPr>
                            <w:rFonts w:ascii="宋体" w:eastAsia="宋体" w:hint="eastAsia"/>
                            <w:sz w:val="18"/>
                          </w:rPr>
                          <w:t>6.2 保单质押贷款</w:t>
                        </w:r>
                      </w:p>
                    </w:tc>
                    <w:tc>
                      <w:tcPr>
                        <w:tcW w:w="3051" w:type="dxa"/>
                      </w:tcPr>
                      <w:p>
                        <w:pPr>
                          <w:pStyle w:val="TableParagraph"/>
                          <w:spacing w:before="3"/>
                          <w:ind w:left="210"/>
                          <w:rPr>
                            <w:rFonts w:ascii="宋体" w:eastAsia="宋体" w:hint="eastAsia"/>
                            <w:sz w:val="18"/>
                          </w:rPr>
                        </w:pPr>
                        <w:r>
                          <w:rPr>
                            <w:rFonts w:ascii="宋体" w:eastAsia="宋体" w:hint="eastAsia"/>
                            <w:sz w:val="18"/>
                          </w:rPr>
                          <w:t>9.9 女性特定癌症</w:t>
                        </w:r>
                      </w:p>
                    </w:tc>
                  </w:tr>
                  <w:tr>
                    <w:trPr>
                      <w:trHeight w:val="312" w:hRule="atLeast"/>
                    </w:trPr>
                    <w:tc>
                      <w:tcPr>
                        <w:tcW w:w="2791" w:type="dxa"/>
                      </w:tcPr>
                      <w:p>
                        <w:pPr>
                          <w:pStyle w:val="TableParagraph"/>
                          <w:spacing w:before="3"/>
                          <w:rPr>
                            <w:rFonts w:ascii="宋体" w:eastAsia="宋体" w:hint="eastAsia"/>
                            <w:sz w:val="18"/>
                          </w:rPr>
                        </w:pPr>
                        <w:r>
                          <w:rPr>
                            <w:rFonts w:ascii="宋体" w:eastAsia="宋体" w:hint="eastAsia"/>
                            <w:sz w:val="18"/>
                          </w:rPr>
                          <w:t>2.2 未成年人身故保险金限制</w:t>
                        </w:r>
                      </w:p>
                    </w:tc>
                    <w:tc>
                      <w:tcPr>
                        <w:tcW w:w="3423" w:type="dxa"/>
                      </w:tcPr>
                      <w:p>
                        <w:pPr>
                          <w:pStyle w:val="TableParagraph"/>
                          <w:tabs>
                            <w:tab w:pos="3213" w:val="left" w:leader="none"/>
                          </w:tabs>
                          <w:spacing w:before="8"/>
                          <w:ind w:left="422"/>
                          <w:rPr>
                            <w:rFonts w:ascii="黑体" w:eastAsia="黑体" w:hint="eastAsia"/>
                            <w:sz w:val="18"/>
                          </w:rPr>
                        </w:pPr>
                        <w:r>
                          <w:rPr>
                            <w:rFonts w:ascii="黑体" w:eastAsia="黑体" w:hint="eastAsia"/>
                            <w:sz w:val="18"/>
                            <w:shd w:fill="A6A6A6" w:color="auto" w:val="clear"/>
                          </w:rPr>
                          <w:t>7 如何解除保险合同</w:t>
                          <w:tab/>
                        </w:r>
                      </w:p>
                    </w:tc>
                    <w:tc>
                      <w:tcPr>
                        <w:tcW w:w="3051" w:type="dxa"/>
                      </w:tcPr>
                      <w:p>
                        <w:pPr>
                          <w:pStyle w:val="TableParagraph"/>
                          <w:spacing w:before="3"/>
                          <w:ind w:left="210"/>
                          <w:rPr>
                            <w:rFonts w:ascii="宋体" w:eastAsia="宋体" w:hint="eastAsia"/>
                            <w:sz w:val="18"/>
                          </w:rPr>
                        </w:pPr>
                        <w:r>
                          <w:rPr>
                            <w:rFonts w:ascii="宋体" w:eastAsia="宋体" w:hint="eastAsia"/>
                            <w:sz w:val="18"/>
                          </w:rPr>
                          <w:t>9.10 专科医生</w:t>
                        </w:r>
                      </w:p>
                    </w:tc>
                  </w:tr>
                  <w:tr>
                    <w:trPr>
                      <w:trHeight w:val="312" w:hRule="atLeast"/>
                    </w:trPr>
                    <w:tc>
                      <w:tcPr>
                        <w:tcW w:w="2791" w:type="dxa"/>
                      </w:tcPr>
                      <w:p>
                        <w:pPr>
                          <w:pStyle w:val="TableParagraph"/>
                          <w:spacing w:before="3"/>
                          <w:rPr>
                            <w:rFonts w:ascii="宋体" w:eastAsia="宋体" w:hint="eastAsia"/>
                            <w:sz w:val="18"/>
                          </w:rPr>
                        </w:pPr>
                        <w:r>
                          <w:rPr>
                            <w:rFonts w:ascii="宋体" w:eastAsia="宋体" w:hint="eastAsia"/>
                            <w:sz w:val="18"/>
                          </w:rPr>
                          <w:t>2.3 保险期间</w:t>
                        </w:r>
                      </w:p>
                    </w:tc>
                    <w:tc>
                      <w:tcPr>
                        <w:tcW w:w="3423" w:type="dxa"/>
                      </w:tcPr>
                      <w:p>
                        <w:pPr>
                          <w:pStyle w:val="TableParagraph"/>
                          <w:spacing w:before="3"/>
                          <w:ind w:left="422"/>
                          <w:rPr>
                            <w:rFonts w:ascii="宋体" w:eastAsia="宋体" w:hint="eastAsia"/>
                            <w:sz w:val="18"/>
                          </w:rPr>
                        </w:pPr>
                        <w:r>
                          <w:rPr>
                            <w:rFonts w:ascii="宋体" w:eastAsia="宋体" w:hint="eastAsia"/>
                            <w:sz w:val="18"/>
                          </w:rPr>
                          <w:t>7.1 您解除合同的手续及风险</w:t>
                        </w:r>
                      </w:p>
                    </w:tc>
                    <w:tc>
                      <w:tcPr>
                        <w:tcW w:w="3051" w:type="dxa"/>
                      </w:tcPr>
                      <w:p>
                        <w:pPr>
                          <w:pStyle w:val="TableParagraph"/>
                          <w:spacing w:before="3"/>
                          <w:ind w:left="210"/>
                          <w:rPr>
                            <w:rFonts w:ascii="宋体" w:eastAsia="宋体" w:hint="eastAsia"/>
                            <w:sz w:val="18"/>
                          </w:rPr>
                        </w:pPr>
                        <w:r>
                          <w:rPr>
                            <w:rFonts w:ascii="宋体" w:eastAsia="宋体" w:hint="eastAsia"/>
                            <w:sz w:val="18"/>
                          </w:rPr>
                          <w:t>9.11 毒品</w:t>
                        </w:r>
                      </w:p>
                    </w:tc>
                  </w:tr>
                  <w:tr>
                    <w:trPr>
                      <w:trHeight w:val="311" w:hRule="atLeast"/>
                    </w:trPr>
                    <w:tc>
                      <w:tcPr>
                        <w:tcW w:w="2791" w:type="dxa"/>
                      </w:tcPr>
                      <w:p>
                        <w:pPr>
                          <w:pStyle w:val="TableParagraph"/>
                          <w:spacing w:before="3"/>
                          <w:rPr>
                            <w:rFonts w:ascii="宋体" w:eastAsia="宋体" w:hint="eastAsia"/>
                            <w:sz w:val="18"/>
                          </w:rPr>
                        </w:pPr>
                        <w:r>
                          <w:rPr>
                            <w:rFonts w:ascii="宋体" w:eastAsia="宋体" w:hint="eastAsia"/>
                            <w:sz w:val="18"/>
                          </w:rPr>
                          <w:t>2.4 保险责任</w:t>
                        </w:r>
                      </w:p>
                    </w:tc>
                    <w:tc>
                      <w:tcPr>
                        <w:tcW w:w="3423" w:type="dxa"/>
                      </w:tcPr>
                      <w:p>
                        <w:pPr>
                          <w:pStyle w:val="TableParagraph"/>
                          <w:tabs>
                            <w:tab w:pos="3213" w:val="left" w:leader="none"/>
                          </w:tabs>
                          <w:spacing w:before="8"/>
                          <w:ind w:left="422"/>
                          <w:rPr>
                            <w:rFonts w:ascii="黑体" w:eastAsia="黑体" w:hint="eastAsia"/>
                            <w:sz w:val="18"/>
                          </w:rPr>
                        </w:pPr>
                        <w:r>
                          <w:rPr>
                            <w:rFonts w:ascii="黑体" w:eastAsia="黑体" w:hint="eastAsia"/>
                            <w:sz w:val="18"/>
                            <w:shd w:fill="A6A6A6" w:color="auto" w:val="clear"/>
                          </w:rPr>
                          <w:t>8 其他需要关注的事项</w:t>
                          <w:tab/>
                        </w:r>
                      </w:p>
                    </w:tc>
                    <w:tc>
                      <w:tcPr>
                        <w:tcW w:w="3051" w:type="dxa"/>
                      </w:tcPr>
                      <w:p>
                        <w:pPr>
                          <w:pStyle w:val="TableParagraph"/>
                          <w:spacing w:before="3"/>
                          <w:ind w:left="210"/>
                          <w:rPr>
                            <w:rFonts w:ascii="宋体" w:eastAsia="宋体" w:hint="eastAsia"/>
                            <w:sz w:val="18"/>
                          </w:rPr>
                        </w:pPr>
                        <w:r>
                          <w:rPr>
                            <w:rFonts w:ascii="宋体" w:eastAsia="宋体" w:hint="eastAsia"/>
                            <w:sz w:val="18"/>
                          </w:rPr>
                          <w:t>9.12 酒后驾驶</w:t>
                        </w:r>
                      </w:p>
                    </w:tc>
                  </w:tr>
                  <w:tr>
                    <w:trPr>
                      <w:trHeight w:val="312" w:hRule="atLeast"/>
                    </w:trPr>
                    <w:tc>
                      <w:tcPr>
                        <w:tcW w:w="2791" w:type="dxa"/>
                      </w:tcPr>
                      <w:p>
                        <w:pPr>
                          <w:pStyle w:val="TableParagraph"/>
                          <w:spacing w:before="3"/>
                          <w:rPr>
                            <w:rFonts w:ascii="宋体" w:eastAsia="宋体" w:hint="eastAsia"/>
                            <w:sz w:val="18"/>
                          </w:rPr>
                        </w:pPr>
                        <w:r>
                          <w:rPr>
                            <w:rFonts w:ascii="宋体" w:eastAsia="宋体" w:hint="eastAsia"/>
                            <w:sz w:val="18"/>
                          </w:rPr>
                          <w:t>2.5 责任免除</w:t>
                        </w:r>
                      </w:p>
                    </w:tc>
                    <w:tc>
                      <w:tcPr>
                        <w:tcW w:w="3423" w:type="dxa"/>
                      </w:tcPr>
                      <w:p>
                        <w:pPr>
                          <w:pStyle w:val="TableParagraph"/>
                          <w:spacing w:before="3"/>
                          <w:ind w:left="422"/>
                          <w:rPr>
                            <w:rFonts w:ascii="宋体" w:eastAsia="宋体" w:hint="eastAsia"/>
                            <w:sz w:val="18"/>
                          </w:rPr>
                        </w:pPr>
                        <w:r>
                          <w:rPr>
                            <w:rFonts w:ascii="宋体" w:eastAsia="宋体" w:hint="eastAsia"/>
                            <w:sz w:val="18"/>
                          </w:rPr>
                          <w:t>8.1 明确说明与如实告知</w:t>
                        </w:r>
                      </w:p>
                    </w:tc>
                    <w:tc>
                      <w:tcPr>
                        <w:tcW w:w="3051" w:type="dxa"/>
                      </w:tcPr>
                      <w:p>
                        <w:pPr>
                          <w:pStyle w:val="TableParagraph"/>
                          <w:spacing w:before="3"/>
                          <w:ind w:left="210"/>
                          <w:rPr>
                            <w:rFonts w:ascii="宋体" w:eastAsia="宋体" w:hint="eastAsia"/>
                            <w:sz w:val="18"/>
                          </w:rPr>
                        </w:pPr>
                        <w:r>
                          <w:rPr>
                            <w:rFonts w:ascii="宋体" w:eastAsia="宋体" w:hint="eastAsia"/>
                            <w:sz w:val="18"/>
                          </w:rPr>
                          <w:t>9.13 无合法有效驾驶证驾驶</w:t>
                        </w:r>
                      </w:p>
                    </w:tc>
                  </w:tr>
                  <w:tr>
                    <w:trPr>
                      <w:trHeight w:val="312" w:hRule="atLeast"/>
                    </w:trPr>
                    <w:tc>
                      <w:tcPr>
                        <w:tcW w:w="2791" w:type="dxa"/>
                      </w:tcPr>
                      <w:p>
                        <w:pPr>
                          <w:pStyle w:val="TableParagraph"/>
                          <w:tabs>
                            <w:tab w:pos="2791" w:val="left" w:leader="none"/>
                          </w:tabs>
                          <w:spacing w:before="8"/>
                          <w:ind w:right="-15"/>
                          <w:rPr>
                            <w:rFonts w:ascii="黑体" w:eastAsia="黑体" w:hint="eastAsia"/>
                            <w:sz w:val="18"/>
                          </w:rPr>
                        </w:pPr>
                        <w:r>
                          <w:rPr>
                            <w:rFonts w:ascii="黑体" w:eastAsia="黑体" w:hint="eastAsia"/>
                            <w:sz w:val="18"/>
                            <w:shd w:fill="A6A6A6" w:color="auto" w:val="clear"/>
                          </w:rPr>
                          <w:t>3 如何申请领取保险金</w:t>
                          <w:tab/>
                        </w:r>
                      </w:p>
                    </w:tc>
                    <w:tc>
                      <w:tcPr>
                        <w:tcW w:w="3423" w:type="dxa"/>
                      </w:tcPr>
                      <w:p>
                        <w:pPr>
                          <w:pStyle w:val="TableParagraph"/>
                          <w:spacing w:before="3"/>
                          <w:ind w:left="422"/>
                          <w:rPr>
                            <w:rFonts w:ascii="宋体" w:eastAsia="宋体" w:hint="eastAsia"/>
                            <w:sz w:val="18"/>
                          </w:rPr>
                        </w:pPr>
                        <w:r>
                          <w:rPr>
                            <w:rFonts w:ascii="宋体" w:eastAsia="宋体" w:hint="eastAsia"/>
                            <w:sz w:val="18"/>
                          </w:rPr>
                          <w:t>8.2 我们合同解除权的限制</w:t>
                        </w:r>
                      </w:p>
                    </w:tc>
                    <w:tc>
                      <w:tcPr>
                        <w:tcW w:w="3051" w:type="dxa"/>
                      </w:tcPr>
                      <w:p>
                        <w:pPr>
                          <w:pStyle w:val="TableParagraph"/>
                          <w:spacing w:before="3"/>
                          <w:ind w:left="210"/>
                          <w:rPr>
                            <w:rFonts w:ascii="宋体" w:eastAsia="宋体" w:hint="eastAsia"/>
                            <w:sz w:val="18"/>
                          </w:rPr>
                        </w:pPr>
                        <w:r>
                          <w:rPr>
                            <w:rFonts w:ascii="宋体" w:eastAsia="宋体" w:hint="eastAsia"/>
                            <w:sz w:val="18"/>
                          </w:rPr>
                          <w:t>9.14 无有效行驶证</w:t>
                        </w:r>
                      </w:p>
                    </w:tc>
                  </w:tr>
                  <w:tr>
                    <w:trPr>
                      <w:trHeight w:val="311" w:hRule="atLeast"/>
                    </w:trPr>
                    <w:tc>
                      <w:tcPr>
                        <w:tcW w:w="2791" w:type="dxa"/>
                      </w:tcPr>
                      <w:p>
                        <w:pPr>
                          <w:pStyle w:val="TableParagraph"/>
                          <w:spacing w:before="3"/>
                          <w:rPr>
                            <w:rFonts w:ascii="宋体" w:eastAsia="宋体" w:hint="eastAsia"/>
                            <w:sz w:val="18"/>
                          </w:rPr>
                        </w:pPr>
                        <w:r>
                          <w:rPr>
                            <w:rFonts w:ascii="宋体" w:eastAsia="宋体" w:hint="eastAsia"/>
                            <w:sz w:val="18"/>
                          </w:rPr>
                          <w:t>3.1 受益人</w:t>
                        </w:r>
                      </w:p>
                    </w:tc>
                    <w:tc>
                      <w:tcPr>
                        <w:tcW w:w="3423" w:type="dxa"/>
                      </w:tcPr>
                      <w:p>
                        <w:pPr>
                          <w:pStyle w:val="TableParagraph"/>
                          <w:spacing w:before="3"/>
                          <w:ind w:left="422"/>
                          <w:rPr>
                            <w:rFonts w:ascii="宋体" w:eastAsia="宋体" w:hint="eastAsia"/>
                            <w:sz w:val="18"/>
                          </w:rPr>
                        </w:pPr>
                        <w:r>
                          <w:rPr>
                            <w:rFonts w:ascii="宋体" w:eastAsia="宋体" w:hint="eastAsia"/>
                            <w:sz w:val="18"/>
                          </w:rPr>
                          <w:t>8.3 年龄和性别确定与错误处理</w:t>
                        </w:r>
                      </w:p>
                    </w:tc>
                    <w:tc>
                      <w:tcPr>
                        <w:tcW w:w="3051" w:type="dxa"/>
                      </w:tcPr>
                      <w:p>
                        <w:pPr>
                          <w:pStyle w:val="TableParagraph"/>
                          <w:spacing w:before="3"/>
                          <w:ind w:left="210"/>
                          <w:rPr>
                            <w:rFonts w:ascii="宋体" w:eastAsia="宋体" w:hint="eastAsia"/>
                            <w:sz w:val="18"/>
                          </w:rPr>
                        </w:pPr>
                        <w:r>
                          <w:rPr>
                            <w:rFonts w:ascii="宋体" w:eastAsia="宋体" w:hint="eastAsia"/>
                            <w:sz w:val="18"/>
                          </w:rPr>
                          <w:t>9.15 机动车</w:t>
                        </w:r>
                      </w:p>
                    </w:tc>
                  </w:tr>
                  <w:tr>
                    <w:trPr>
                      <w:trHeight w:val="312" w:hRule="atLeast"/>
                    </w:trPr>
                    <w:tc>
                      <w:tcPr>
                        <w:tcW w:w="2791" w:type="dxa"/>
                      </w:tcPr>
                      <w:p>
                        <w:pPr>
                          <w:pStyle w:val="TableParagraph"/>
                          <w:spacing w:before="3"/>
                          <w:rPr>
                            <w:rFonts w:ascii="宋体" w:eastAsia="宋体" w:hint="eastAsia"/>
                            <w:sz w:val="18"/>
                          </w:rPr>
                        </w:pPr>
                        <w:r>
                          <w:rPr>
                            <w:rFonts w:ascii="宋体" w:eastAsia="宋体" w:hint="eastAsia"/>
                            <w:sz w:val="18"/>
                          </w:rPr>
                          <w:t>3.2 保险事故通知</w:t>
                        </w:r>
                      </w:p>
                    </w:tc>
                    <w:tc>
                      <w:tcPr>
                        <w:tcW w:w="3423" w:type="dxa"/>
                      </w:tcPr>
                      <w:p>
                        <w:pPr>
                          <w:pStyle w:val="TableParagraph"/>
                          <w:spacing w:before="3"/>
                          <w:ind w:left="422"/>
                          <w:rPr>
                            <w:rFonts w:ascii="宋体" w:eastAsia="宋体" w:hint="eastAsia"/>
                            <w:sz w:val="18"/>
                          </w:rPr>
                        </w:pPr>
                        <w:r>
                          <w:rPr>
                            <w:rFonts w:ascii="宋体" w:eastAsia="宋体" w:hint="eastAsia"/>
                            <w:sz w:val="18"/>
                          </w:rPr>
                          <w:t>8.4 未还款项</w:t>
                        </w:r>
                      </w:p>
                    </w:tc>
                    <w:tc>
                      <w:tcPr>
                        <w:tcW w:w="3051" w:type="dxa"/>
                      </w:tcPr>
                      <w:p>
                        <w:pPr>
                          <w:pStyle w:val="TableParagraph"/>
                          <w:spacing w:before="3"/>
                          <w:ind w:left="210"/>
                          <w:rPr>
                            <w:rFonts w:ascii="宋体" w:eastAsia="宋体" w:hint="eastAsia"/>
                            <w:sz w:val="18"/>
                          </w:rPr>
                        </w:pPr>
                        <w:r>
                          <w:rPr>
                            <w:rFonts w:ascii="宋体" w:eastAsia="宋体" w:hint="eastAsia"/>
                            <w:sz w:val="18"/>
                          </w:rPr>
                          <w:t>9.16 遗传性疾病</w:t>
                        </w:r>
                      </w:p>
                    </w:tc>
                  </w:tr>
                  <w:tr>
                    <w:trPr>
                      <w:trHeight w:val="312" w:hRule="atLeast"/>
                    </w:trPr>
                    <w:tc>
                      <w:tcPr>
                        <w:tcW w:w="2791" w:type="dxa"/>
                      </w:tcPr>
                      <w:p>
                        <w:pPr>
                          <w:pStyle w:val="TableParagraph"/>
                          <w:spacing w:before="3"/>
                          <w:rPr>
                            <w:rFonts w:ascii="宋体" w:eastAsia="宋体" w:hint="eastAsia"/>
                            <w:sz w:val="18"/>
                          </w:rPr>
                        </w:pPr>
                        <w:r>
                          <w:rPr>
                            <w:rFonts w:ascii="宋体" w:eastAsia="宋体" w:hint="eastAsia"/>
                            <w:sz w:val="18"/>
                          </w:rPr>
                          <w:t>3.3 保险金及豁免保险费申请</w:t>
                        </w:r>
                      </w:p>
                    </w:tc>
                    <w:tc>
                      <w:tcPr>
                        <w:tcW w:w="3423" w:type="dxa"/>
                      </w:tcPr>
                      <w:p>
                        <w:pPr>
                          <w:pStyle w:val="TableParagraph"/>
                          <w:spacing w:before="3"/>
                          <w:ind w:left="422"/>
                          <w:rPr>
                            <w:rFonts w:ascii="宋体" w:eastAsia="宋体" w:hint="eastAsia"/>
                            <w:sz w:val="18"/>
                          </w:rPr>
                        </w:pPr>
                        <w:r>
                          <w:rPr>
                            <w:rFonts w:ascii="宋体" w:eastAsia="宋体" w:hint="eastAsia"/>
                            <w:sz w:val="18"/>
                          </w:rPr>
                          <w:t>8.5 合同内容变更</w:t>
                        </w:r>
                      </w:p>
                    </w:tc>
                    <w:tc>
                      <w:tcPr>
                        <w:tcW w:w="3051" w:type="dxa"/>
                      </w:tcPr>
                      <w:p>
                        <w:pPr>
                          <w:pStyle w:val="TableParagraph"/>
                          <w:spacing w:before="3"/>
                          <w:ind w:left="210"/>
                          <w:rPr>
                            <w:rFonts w:ascii="宋体" w:eastAsia="宋体" w:hint="eastAsia"/>
                            <w:sz w:val="18"/>
                          </w:rPr>
                        </w:pPr>
                        <w:r>
                          <w:rPr>
                            <w:rFonts w:ascii="宋体" w:eastAsia="宋体" w:hint="eastAsia"/>
                            <w:sz w:val="18"/>
                          </w:rPr>
                          <w:t>9.17 先天性畸形、变形或染色体异</w:t>
                        </w:r>
                      </w:p>
                    </w:tc>
                  </w:tr>
                  <w:tr>
                    <w:trPr>
                      <w:trHeight w:val="311" w:hRule="atLeast"/>
                    </w:trPr>
                    <w:tc>
                      <w:tcPr>
                        <w:tcW w:w="2791" w:type="dxa"/>
                      </w:tcPr>
                      <w:p>
                        <w:pPr>
                          <w:pStyle w:val="TableParagraph"/>
                          <w:spacing w:before="3"/>
                          <w:rPr>
                            <w:rFonts w:ascii="宋体" w:eastAsia="宋体" w:hint="eastAsia"/>
                            <w:sz w:val="18"/>
                          </w:rPr>
                        </w:pPr>
                        <w:r>
                          <w:rPr>
                            <w:rFonts w:ascii="宋体" w:eastAsia="宋体" w:hint="eastAsia"/>
                            <w:sz w:val="18"/>
                          </w:rPr>
                          <w:t>3.4 保险金给付及豁免保险费核定</w:t>
                        </w:r>
                      </w:p>
                    </w:tc>
                    <w:tc>
                      <w:tcPr>
                        <w:tcW w:w="3423" w:type="dxa"/>
                      </w:tcPr>
                      <w:p>
                        <w:pPr>
                          <w:pStyle w:val="TableParagraph"/>
                          <w:spacing w:before="3"/>
                          <w:ind w:left="422"/>
                          <w:rPr>
                            <w:rFonts w:ascii="宋体" w:eastAsia="宋体" w:hint="eastAsia"/>
                            <w:sz w:val="18"/>
                          </w:rPr>
                        </w:pPr>
                        <w:r>
                          <w:rPr>
                            <w:rFonts w:ascii="宋体" w:eastAsia="宋体" w:hint="eastAsia"/>
                            <w:sz w:val="18"/>
                          </w:rPr>
                          <w:t>8.6 联系方式变更</w:t>
                        </w:r>
                      </w:p>
                    </w:tc>
                    <w:tc>
                      <w:tcPr>
                        <w:tcW w:w="3051" w:type="dxa"/>
                      </w:tcPr>
                      <w:p>
                        <w:pPr>
                          <w:pStyle w:val="TableParagraph"/>
                          <w:spacing w:before="3"/>
                          <w:ind w:left="210"/>
                          <w:rPr>
                            <w:rFonts w:ascii="宋体" w:eastAsia="宋体" w:hint="eastAsia"/>
                            <w:sz w:val="18"/>
                          </w:rPr>
                        </w:pPr>
                        <w:r>
                          <w:rPr>
                            <w:rFonts w:ascii="宋体" w:eastAsia="宋体" w:hint="eastAsia"/>
                            <w:sz w:val="18"/>
                          </w:rPr>
                          <w:t>常</w:t>
                        </w:r>
                      </w:p>
                    </w:tc>
                  </w:tr>
                  <w:tr>
                    <w:trPr>
                      <w:trHeight w:val="312" w:hRule="atLeast"/>
                    </w:trPr>
                    <w:tc>
                      <w:tcPr>
                        <w:tcW w:w="2791" w:type="dxa"/>
                      </w:tcPr>
                      <w:p>
                        <w:pPr>
                          <w:pStyle w:val="TableParagraph"/>
                          <w:spacing w:before="3"/>
                          <w:rPr>
                            <w:rFonts w:ascii="宋体" w:eastAsia="宋体" w:hint="eastAsia"/>
                            <w:sz w:val="18"/>
                          </w:rPr>
                        </w:pPr>
                        <w:r>
                          <w:rPr>
                            <w:rFonts w:ascii="宋体" w:eastAsia="宋体" w:hint="eastAsia"/>
                            <w:sz w:val="18"/>
                          </w:rPr>
                          <w:t>3.5 宣告死亡处理</w:t>
                        </w:r>
                      </w:p>
                    </w:tc>
                    <w:tc>
                      <w:tcPr>
                        <w:tcW w:w="3423" w:type="dxa"/>
                      </w:tcPr>
                      <w:p>
                        <w:pPr>
                          <w:pStyle w:val="TableParagraph"/>
                          <w:spacing w:before="3"/>
                          <w:ind w:left="422"/>
                          <w:rPr>
                            <w:rFonts w:ascii="宋体" w:eastAsia="宋体" w:hint="eastAsia"/>
                            <w:sz w:val="18"/>
                          </w:rPr>
                        </w:pPr>
                        <w:r>
                          <w:rPr>
                            <w:rFonts w:ascii="宋体" w:eastAsia="宋体" w:hint="eastAsia"/>
                            <w:sz w:val="18"/>
                          </w:rPr>
                          <w:t>8.7 争议处理</w:t>
                        </w:r>
                      </w:p>
                    </w:tc>
                    <w:tc>
                      <w:tcPr>
                        <w:tcW w:w="3051" w:type="dxa"/>
                      </w:tcPr>
                      <w:p>
                        <w:pPr>
                          <w:pStyle w:val="TableParagraph"/>
                          <w:spacing w:before="3"/>
                          <w:ind w:left="210"/>
                          <w:rPr>
                            <w:rFonts w:ascii="宋体" w:eastAsia="宋体" w:hint="eastAsia"/>
                            <w:sz w:val="18"/>
                          </w:rPr>
                        </w:pPr>
                        <w:r>
                          <w:rPr>
                            <w:rFonts w:ascii="宋体" w:eastAsia="宋体" w:hint="eastAsia"/>
                            <w:sz w:val="18"/>
                          </w:rPr>
                          <w:t>9.18 感染艾滋病病毒或患艾滋病</w:t>
                        </w:r>
                      </w:p>
                    </w:tc>
                  </w:tr>
                  <w:tr>
                    <w:trPr>
                      <w:trHeight w:val="312" w:hRule="atLeast"/>
                    </w:trPr>
                    <w:tc>
                      <w:tcPr>
                        <w:tcW w:w="2791" w:type="dxa"/>
                      </w:tcPr>
                      <w:p>
                        <w:pPr>
                          <w:pStyle w:val="TableParagraph"/>
                          <w:spacing w:before="3"/>
                          <w:rPr>
                            <w:rFonts w:ascii="宋体" w:eastAsia="宋体" w:hint="eastAsia"/>
                            <w:sz w:val="18"/>
                          </w:rPr>
                        </w:pPr>
                        <w:r>
                          <w:rPr>
                            <w:rFonts w:ascii="宋体" w:eastAsia="宋体" w:hint="eastAsia"/>
                            <w:sz w:val="18"/>
                          </w:rPr>
                          <w:t>3.6 诉讼时效</w:t>
                        </w:r>
                      </w:p>
                    </w:tc>
                    <w:tc>
                      <w:tcPr>
                        <w:tcW w:w="3423" w:type="dxa"/>
                      </w:tcPr>
                      <w:p>
                        <w:pPr>
                          <w:pStyle w:val="TableParagraph"/>
                          <w:tabs>
                            <w:tab w:pos="3213" w:val="left" w:leader="none"/>
                          </w:tabs>
                          <w:spacing w:before="8"/>
                          <w:ind w:left="422"/>
                          <w:rPr>
                            <w:rFonts w:ascii="黑体" w:eastAsia="黑体" w:hint="eastAsia"/>
                            <w:sz w:val="18"/>
                          </w:rPr>
                        </w:pPr>
                        <w:r>
                          <w:rPr>
                            <w:rFonts w:ascii="黑体" w:eastAsia="黑体" w:hint="eastAsia"/>
                            <w:sz w:val="18"/>
                            <w:shd w:fill="A6A6A6" w:color="auto" w:val="clear"/>
                          </w:rPr>
                          <w:t>9 释义</w:t>
                          <w:tab/>
                        </w:r>
                      </w:p>
                    </w:tc>
                    <w:tc>
                      <w:tcPr>
                        <w:tcW w:w="3051" w:type="dxa"/>
                      </w:tcPr>
                      <w:p>
                        <w:pPr>
                          <w:pStyle w:val="TableParagraph"/>
                          <w:spacing w:before="3"/>
                          <w:ind w:left="210"/>
                          <w:rPr>
                            <w:rFonts w:ascii="宋体" w:eastAsia="宋体" w:hint="eastAsia"/>
                            <w:sz w:val="18"/>
                          </w:rPr>
                        </w:pPr>
                        <w:r>
                          <w:rPr>
                            <w:rFonts w:ascii="宋体" w:eastAsia="宋体" w:hint="eastAsia"/>
                            <w:spacing w:val="-12"/>
                            <w:sz w:val="18"/>
                          </w:rPr>
                          <w:t>附件 </w:t>
                        </w:r>
                        <w:r>
                          <w:rPr>
                            <w:rFonts w:ascii="宋体" w:eastAsia="宋体" w:hint="eastAsia"/>
                            <w:spacing w:val="-15"/>
                            <w:sz w:val="18"/>
                          </w:rPr>
                          <w:t>1</w:t>
                        </w:r>
                        <w:r>
                          <w:rPr>
                            <w:rFonts w:ascii="宋体" w:eastAsia="宋体" w:hint="eastAsia"/>
                            <w:spacing w:val="-7"/>
                            <w:sz w:val="18"/>
                          </w:rPr>
                          <w:t>：重大疾病、特定疾病的范围</w:t>
                        </w:r>
                      </w:p>
                    </w:tc>
                  </w:tr>
                  <w:tr>
                    <w:trPr>
                      <w:trHeight w:val="311" w:hRule="atLeast"/>
                    </w:trPr>
                    <w:tc>
                      <w:tcPr>
                        <w:tcW w:w="2791" w:type="dxa"/>
                      </w:tcPr>
                      <w:p>
                        <w:pPr>
                          <w:pStyle w:val="TableParagraph"/>
                          <w:tabs>
                            <w:tab w:pos="2791" w:val="left" w:leader="none"/>
                          </w:tabs>
                          <w:spacing w:before="8"/>
                          <w:ind w:right="-15"/>
                          <w:rPr>
                            <w:rFonts w:ascii="黑体" w:eastAsia="黑体" w:hint="eastAsia"/>
                            <w:sz w:val="18"/>
                          </w:rPr>
                        </w:pPr>
                        <w:r>
                          <w:rPr>
                            <w:rFonts w:ascii="黑体" w:eastAsia="黑体" w:hint="eastAsia"/>
                            <w:sz w:val="18"/>
                            <w:shd w:fill="A6A6A6" w:color="auto" w:val="clear"/>
                          </w:rPr>
                          <w:t>4 如何支付保险费</w:t>
                          <w:tab/>
                        </w:r>
                      </w:p>
                    </w:tc>
                    <w:tc>
                      <w:tcPr>
                        <w:tcW w:w="3423" w:type="dxa"/>
                      </w:tcPr>
                      <w:p>
                        <w:pPr>
                          <w:pStyle w:val="TableParagraph"/>
                          <w:spacing w:before="3"/>
                          <w:ind w:left="422"/>
                          <w:rPr>
                            <w:rFonts w:ascii="宋体" w:eastAsia="宋体" w:hint="eastAsia"/>
                            <w:sz w:val="18"/>
                          </w:rPr>
                        </w:pPr>
                        <w:r>
                          <w:rPr>
                            <w:rFonts w:ascii="宋体" w:eastAsia="宋体" w:hint="eastAsia"/>
                            <w:sz w:val="18"/>
                          </w:rPr>
                          <w:t>9.1 合同生效日对应日</w:t>
                        </w:r>
                      </w:p>
                    </w:tc>
                    <w:tc>
                      <w:tcPr>
                        <w:tcW w:w="3051" w:type="dxa"/>
                      </w:tcPr>
                      <w:p>
                        <w:pPr>
                          <w:pStyle w:val="TableParagraph"/>
                          <w:spacing w:before="3"/>
                          <w:ind w:left="210"/>
                          <w:rPr>
                            <w:rFonts w:ascii="宋体" w:eastAsia="宋体" w:hint="eastAsia"/>
                            <w:sz w:val="18"/>
                          </w:rPr>
                        </w:pPr>
                        <w:r>
                          <w:rPr>
                            <w:rFonts w:ascii="宋体" w:eastAsia="宋体" w:hint="eastAsia"/>
                            <w:sz w:val="18"/>
                          </w:rPr>
                          <w:t>及定义</w:t>
                        </w:r>
                      </w:p>
                    </w:tc>
                  </w:tr>
                  <w:tr>
                    <w:trPr>
                      <w:trHeight w:val="257" w:hRule="atLeast"/>
                    </w:trPr>
                    <w:tc>
                      <w:tcPr>
                        <w:tcW w:w="2791" w:type="dxa"/>
                      </w:tcPr>
                      <w:p>
                        <w:pPr>
                          <w:pStyle w:val="TableParagraph"/>
                          <w:spacing w:line="235" w:lineRule="exact" w:before="3"/>
                          <w:rPr>
                            <w:rFonts w:ascii="宋体" w:eastAsia="宋体" w:hint="eastAsia"/>
                            <w:sz w:val="18"/>
                          </w:rPr>
                        </w:pPr>
                        <w:r>
                          <w:rPr>
                            <w:rFonts w:ascii="宋体" w:eastAsia="宋体" w:hint="eastAsia"/>
                            <w:sz w:val="18"/>
                          </w:rPr>
                          <w:t>4.1 保险费的支付</w:t>
                        </w:r>
                      </w:p>
                    </w:tc>
                    <w:tc>
                      <w:tcPr>
                        <w:tcW w:w="3423" w:type="dxa"/>
                      </w:tcPr>
                      <w:p>
                        <w:pPr>
                          <w:pStyle w:val="TableParagraph"/>
                          <w:spacing w:line="235" w:lineRule="exact" w:before="3"/>
                          <w:ind w:left="422"/>
                          <w:rPr>
                            <w:rFonts w:ascii="宋体" w:eastAsia="宋体" w:hint="eastAsia"/>
                            <w:sz w:val="18"/>
                          </w:rPr>
                        </w:pPr>
                        <w:r>
                          <w:rPr>
                            <w:rFonts w:ascii="宋体" w:eastAsia="宋体" w:hint="eastAsia"/>
                            <w:sz w:val="18"/>
                          </w:rPr>
                          <w:t>9.2 保险费约定支付日</w:t>
                        </w:r>
                      </w:p>
                    </w:tc>
                    <w:tc>
                      <w:tcPr>
                        <w:tcW w:w="3051" w:type="dxa"/>
                      </w:tcPr>
                      <w:p>
                        <w:pPr>
                          <w:pStyle w:val="TableParagraph"/>
                          <w:rPr>
                            <w:rFonts w:ascii="Times New Roman"/>
                            <w:sz w:val="18"/>
                          </w:rPr>
                        </w:pPr>
                      </w:p>
                    </w:tc>
                  </w:tr>
                </w:tbl>
                <w:p>
                  <w:pPr>
                    <w:pStyle w:val="BodyText"/>
                    <w:spacing w:before="0"/>
                    <w:ind w:left="0"/>
                  </w:pPr>
                </w:p>
              </w:txbxContent>
            </v:textbox>
            <w10:wrap type="none"/>
          </v:shape>
        </w:pict>
      </w:r>
      <w:r>
        <w:rPr>
          <w:rFonts w:ascii="Wingdings" w:hAnsi="Wingdings" w:eastAsia="Wingdings"/>
          <w:b/>
          <w:w w:val="120"/>
          <w:position w:val="-11"/>
          <w:sz w:val="48"/>
        </w:rPr>
        <w:t></w:t>
      </w:r>
      <w:r>
        <w:rPr>
          <w:rFonts w:ascii="Times New Roman" w:hAnsi="Times New Roman" w:eastAsia="Times New Roman"/>
          <w:w w:val="120"/>
          <w:position w:val="-11"/>
          <w:sz w:val="48"/>
        </w:rPr>
        <w:tab/>
      </w:r>
      <w:r>
        <w:rPr>
          <w:rFonts w:ascii="黑体" w:hAnsi="黑体" w:eastAsia="黑体" w:hint="eastAsia"/>
          <w:b/>
          <w:sz w:val="21"/>
        </w:rPr>
        <w:t>条款目录</w:t>
      </w:r>
    </w:p>
    <w:p>
      <w:pPr>
        <w:spacing w:after="0" w:line="437" w:lineRule="exact"/>
        <w:jc w:val="left"/>
        <w:rPr>
          <w:rFonts w:ascii="黑体" w:hAnsi="黑体" w:eastAsia="黑体" w:hint="eastAsia"/>
          <w:sz w:val="21"/>
        </w:rPr>
        <w:sectPr>
          <w:type w:val="continuous"/>
          <w:pgSz w:w="11910" w:h="16840"/>
          <w:pgMar w:top="140" w:bottom="280" w:left="1020" w:right="220"/>
        </w:sectPr>
      </w:pPr>
    </w:p>
    <w:p>
      <w:pPr>
        <w:spacing w:line="206" w:lineRule="auto" w:before="33"/>
        <w:ind w:left="2683" w:right="2682" w:firstLine="321"/>
        <w:jc w:val="left"/>
        <w:rPr>
          <w:rFonts w:ascii="黑体" w:eastAsia="黑体" w:hint="eastAsia"/>
          <w:b/>
          <w:sz w:val="32"/>
        </w:rPr>
      </w:pPr>
      <w:r>
        <w:rPr>
          <w:rFonts w:ascii="黑体" w:eastAsia="黑体" w:hint="eastAsia"/>
          <w:b/>
          <w:sz w:val="32"/>
        </w:rPr>
        <w:t>利安人寿保险股份有限公司 </w:t>
      </w:r>
      <w:r>
        <w:rPr>
          <w:rFonts w:ascii="黑体" w:eastAsia="黑体" w:hint="eastAsia"/>
          <w:b/>
          <w:w w:val="95"/>
          <w:sz w:val="32"/>
        </w:rPr>
        <w:t>安康相伴终身重大疾病保险条款</w:t>
      </w:r>
    </w:p>
    <w:p>
      <w:pPr>
        <w:pStyle w:val="BodyText"/>
        <w:spacing w:before="0"/>
        <w:ind w:left="0"/>
        <w:rPr>
          <w:rFonts w:ascii="黑体"/>
          <w:b/>
          <w:sz w:val="32"/>
        </w:rPr>
      </w:pPr>
    </w:p>
    <w:p>
      <w:pPr>
        <w:pStyle w:val="BodyText"/>
        <w:spacing w:line="280" w:lineRule="auto" w:before="257"/>
        <w:ind w:left="112" w:right="205" w:firstLine="419"/>
      </w:pPr>
      <w:r>
        <w:rPr>
          <w:spacing w:val="-17"/>
          <w:w w:val="100"/>
        </w:rPr>
        <w:t>“安康相伴终身重大疾病保险”简称“安康相伴”。在本保险条款中，“您”指投保人，“我们”指利安人寿保险股份有限公司，“本合同”指您与我们之间订立的“安康相伴终身重大疾病保险合同”。</w:t>
      </w:r>
    </w:p>
    <w:p>
      <w:pPr>
        <w:pStyle w:val="BodyText"/>
        <w:spacing w:before="10"/>
        <w:ind w:left="0"/>
        <w:rPr>
          <w:sz w:val="9"/>
        </w:rPr>
      </w:pPr>
      <w:r>
        <w:rPr/>
        <w:pict>
          <v:shape style="position:absolute;margin-left:56.639999pt;margin-top:7.632039pt;width:482.05pt;height:15.6pt;mso-position-horizontal-relative:page;mso-position-vertical-relative:paragraph;z-index:1096;mso-wrap-distance-left:0;mso-wrap-distance-right:0" type="#_x0000_t202" filled="true" fillcolor="#a6a6a6" stroked="false">
            <v:textbox inset="0,0,0,0">
              <w:txbxContent>
                <w:p>
                  <w:pPr>
                    <w:tabs>
                      <w:tab w:pos="806" w:val="left" w:leader="none"/>
                    </w:tabs>
                    <w:spacing w:line="262" w:lineRule="exact" w:before="0"/>
                    <w:ind w:left="108" w:right="0" w:firstLine="0"/>
                    <w:jc w:val="left"/>
                    <w:rPr>
                      <w:rFonts w:ascii="黑体" w:eastAsia="黑体" w:hint="eastAsia"/>
                      <w:b/>
                      <w:sz w:val="21"/>
                    </w:rPr>
                  </w:pPr>
                  <w:r>
                    <w:rPr>
                      <w:rFonts w:ascii="黑体" w:eastAsia="黑体" w:hint="eastAsia"/>
                      <w:b/>
                      <w:sz w:val="21"/>
                    </w:rPr>
                    <w:t>1</w:t>
                    <w:tab/>
                    <w:t>您与我们订立的合同</w:t>
                  </w:r>
                </w:p>
              </w:txbxContent>
            </v:textbox>
            <v:fill type="solid"/>
            <w10:wrap type="topAndBottom"/>
          </v:shape>
        </w:pict>
      </w:r>
    </w:p>
    <w:p>
      <w:pPr>
        <w:pStyle w:val="BodyText"/>
        <w:spacing w:before="12"/>
        <w:ind w:left="0"/>
        <w:rPr>
          <w:sz w:val="5"/>
        </w:rPr>
      </w:pPr>
    </w:p>
    <w:p>
      <w:pPr>
        <w:pStyle w:val="ListParagraph"/>
        <w:numPr>
          <w:ilvl w:val="1"/>
          <w:numId w:val="2"/>
        </w:numPr>
        <w:tabs>
          <w:tab w:pos="919" w:val="left" w:leader="none"/>
          <w:tab w:pos="920" w:val="left" w:leader="none"/>
          <w:tab w:pos="2692" w:val="left" w:leader="none"/>
        </w:tabs>
        <w:spacing w:line="273" w:lineRule="auto" w:before="36" w:after="0"/>
        <w:ind w:left="2692" w:right="109" w:hanging="2472"/>
        <w:jc w:val="left"/>
        <w:rPr>
          <w:sz w:val="21"/>
        </w:rPr>
      </w:pPr>
      <w:r>
        <w:rPr>
          <w:rFonts w:ascii="黑体" w:eastAsia="黑体" w:hint="eastAsia"/>
          <w:sz w:val="21"/>
        </w:rPr>
        <w:t>合同</w:t>
      </w:r>
      <w:r>
        <w:rPr>
          <w:rFonts w:ascii="黑体" w:eastAsia="黑体" w:hint="eastAsia"/>
          <w:spacing w:val="-3"/>
          <w:sz w:val="21"/>
        </w:rPr>
        <w:t>构</w:t>
      </w:r>
      <w:r>
        <w:rPr>
          <w:rFonts w:ascii="黑体" w:eastAsia="黑体" w:hint="eastAsia"/>
          <w:sz w:val="21"/>
        </w:rPr>
        <w:t>成</w:t>
        <w:tab/>
      </w:r>
      <w:r>
        <w:rPr>
          <w:spacing w:val="-1"/>
          <w:sz w:val="21"/>
        </w:rPr>
        <w:t>本</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pacing w:val="-4"/>
          <w:sz w:val="21"/>
        </w:rPr>
        <w:t>议</w:t>
      </w:r>
      <w:r>
        <w:rPr>
          <w:spacing w:val="-44"/>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pacing w:val="-44"/>
          <w:sz w:val="21"/>
        </w:rPr>
        <w:t>、</w:t>
      </w:r>
      <w:r>
        <w:rPr>
          <w:sz w:val="21"/>
        </w:rPr>
        <w:t>保</w:t>
      </w:r>
      <w:r>
        <w:rPr>
          <w:spacing w:val="-3"/>
          <w:sz w:val="21"/>
        </w:rPr>
        <w:t>险</w:t>
      </w:r>
      <w:r>
        <w:rPr>
          <w:sz w:val="21"/>
        </w:rPr>
        <w:t>单、 投保</w:t>
      </w:r>
      <w:r>
        <w:rPr>
          <w:spacing w:val="-3"/>
          <w:sz w:val="21"/>
        </w:rPr>
        <w:t>单</w:t>
      </w:r>
      <w:r>
        <w:rPr>
          <w:sz w:val="21"/>
        </w:rPr>
        <w:t>或</w:t>
      </w:r>
      <w:r>
        <w:rPr>
          <w:spacing w:val="-3"/>
          <w:sz w:val="21"/>
        </w:rPr>
        <w:t>投</w:t>
      </w:r>
      <w:r>
        <w:rPr>
          <w:sz w:val="21"/>
        </w:rPr>
        <w:t>保</w:t>
      </w:r>
      <w:r>
        <w:rPr>
          <w:spacing w:val="-3"/>
          <w:sz w:val="21"/>
        </w:rPr>
        <w:t>确</w:t>
      </w:r>
      <w:r>
        <w:rPr>
          <w:sz w:val="21"/>
        </w:rPr>
        <w:t>认</w:t>
      </w:r>
      <w:r>
        <w:rPr>
          <w:spacing w:val="-3"/>
          <w:sz w:val="21"/>
        </w:rPr>
        <w:t>书</w:t>
      </w:r>
      <w:r>
        <w:rPr>
          <w:sz w:val="21"/>
        </w:rPr>
        <w:t>及</w:t>
      </w:r>
      <w:r>
        <w:rPr>
          <w:spacing w:val="-3"/>
          <w:sz w:val="21"/>
        </w:rPr>
        <w:t>其</w:t>
      </w:r>
      <w:r>
        <w:rPr>
          <w:sz w:val="21"/>
        </w:rPr>
        <w:t>他投</w:t>
      </w:r>
      <w:r>
        <w:rPr>
          <w:spacing w:val="-3"/>
          <w:sz w:val="21"/>
        </w:rPr>
        <w:t>保</w:t>
      </w:r>
      <w:r>
        <w:rPr>
          <w:sz w:val="21"/>
        </w:rPr>
        <w:t>文</w:t>
      </w:r>
      <w:r>
        <w:rPr>
          <w:spacing w:val="-3"/>
          <w:sz w:val="21"/>
        </w:rPr>
        <w:t>件</w:t>
      </w:r>
      <w:r>
        <w:rPr>
          <w:sz w:val="21"/>
        </w:rPr>
        <w:t>（</w:t>
      </w:r>
      <w:r>
        <w:rPr>
          <w:spacing w:val="-3"/>
          <w:sz w:val="21"/>
        </w:rPr>
        <w:t>含</w:t>
      </w:r>
      <w:r>
        <w:rPr>
          <w:sz w:val="21"/>
        </w:rPr>
        <w:t>视</w:t>
      </w:r>
      <w:r>
        <w:rPr>
          <w:spacing w:val="-3"/>
          <w:sz w:val="21"/>
        </w:rPr>
        <w:t>听</w:t>
      </w:r>
      <w:r>
        <w:rPr>
          <w:sz w:val="21"/>
        </w:rPr>
        <w:t>资</w:t>
      </w:r>
      <w:r>
        <w:rPr>
          <w:spacing w:val="-3"/>
          <w:sz w:val="21"/>
        </w:rPr>
        <w:t>料</w:t>
      </w:r>
      <w:r>
        <w:rPr>
          <w:sz w:val="21"/>
        </w:rPr>
        <w:t>）、</w:t>
      </w:r>
      <w:r>
        <w:rPr>
          <w:spacing w:val="-3"/>
          <w:sz w:val="21"/>
        </w:rPr>
        <w:t>合</w:t>
      </w:r>
      <w:r>
        <w:rPr>
          <w:sz w:val="21"/>
        </w:rPr>
        <w:t>法</w:t>
      </w:r>
      <w:r>
        <w:rPr>
          <w:spacing w:val="-3"/>
          <w:sz w:val="21"/>
        </w:rPr>
        <w:t>有</w:t>
      </w:r>
      <w:r>
        <w:rPr>
          <w:sz w:val="21"/>
        </w:rPr>
        <w:t>效</w:t>
      </w:r>
      <w:r>
        <w:rPr>
          <w:spacing w:val="-3"/>
          <w:sz w:val="21"/>
        </w:rPr>
        <w:t>的</w:t>
      </w:r>
      <w:r>
        <w:rPr>
          <w:sz w:val="21"/>
        </w:rPr>
        <w:t>声</w:t>
      </w:r>
      <w:r>
        <w:rPr>
          <w:spacing w:val="-3"/>
          <w:sz w:val="21"/>
        </w:rPr>
        <w:t>明</w:t>
      </w:r>
      <w:r>
        <w:rPr>
          <w:sz w:val="21"/>
        </w:rPr>
        <w:t>、批注、</w:t>
      </w:r>
      <w:r>
        <w:rPr>
          <w:spacing w:val="-3"/>
          <w:sz w:val="21"/>
        </w:rPr>
        <w:t>批</w:t>
      </w:r>
      <w:r>
        <w:rPr>
          <w:sz w:val="21"/>
        </w:rPr>
        <w:t>单</w:t>
      </w:r>
      <w:r>
        <w:rPr>
          <w:spacing w:val="-3"/>
          <w:sz w:val="21"/>
        </w:rPr>
        <w:t>及</w:t>
      </w:r>
      <w:r>
        <w:rPr>
          <w:sz w:val="21"/>
        </w:rPr>
        <w:t>其</w:t>
      </w:r>
      <w:r>
        <w:rPr>
          <w:spacing w:val="-3"/>
          <w:sz w:val="21"/>
        </w:rPr>
        <w:t>他</w:t>
      </w:r>
      <w:r>
        <w:rPr>
          <w:sz w:val="21"/>
        </w:rPr>
        <w:t>您</w:t>
      </w:r>
      <w:r>
        <w:rPr>
          <w:spacing w:val="-3"/>
          <w:sz w:val="21"/>
        </w:rPr>
        <w:t>与</w:t>
      </w:r>
      <w:r>
        <w:rPr>
          <w:sz w:val="21"/>
        </w:rPr>
        <w:t>我</w:t>
      </w:r>
      <w:r>
        <w:rPr>
          <w:spacing w:val="-3"/>
          <w:sz w:val="21"/>
        </w:rPr>
        <w:t>们</w:t>
      </w:r>
      <w:r>
        <w:rPr>
          <w:sz w:val="21"/>
        </w:rPr>
        <w:t>共同</w:t>
      </w:r>
      <w:r>
        <w:rPr>
          <w:spacing w:val="-3"/>
          <w:sz w:val="21"/>
        </w:rPr>
        <w:t>签</w:t>
      </w:r>
      <w:r>
        <w:rPr>
          <w:sz w:val="21"/>
        </w:rPr>
        <w:t>订</w:t>
      </w:r>
      <w:r>
        <w:rPr>
          <w:spacing w:val="-3"/>
          <w:sz w:val="21"/>
        </w:rPr>
        <w:t>的</w:t>
      </w:r>
      <w:r>
        <w:rPr>
          <w:sz w:val="21"/>
        </w:rPr>
        <w:t>书</w:t>
      </w:r>
      <w:r>
        <w:rPr>
          <w:spacing w:val="-3"/>
          <w:sz w:val="21"/>
        </w:rPr>
        <w:t>面</w:t>
      </w:r>
      <w:r>
        <w:rPr>
          <w:sz w:val="21"/>
        </w:rPr>
        <w:t>协</w:t>
      </w:r>
      <w:r>
        <w:rPr>
          <w:spacing w:val="-4"/>
          <w:sz w:val="21"/>
        </w:rPr>
        <w:t>议</w:t>
      </w:r>
      <w:r>
        <w:rPr>
          <w:sz w:val="21"/>
        </w:rPr>
        <w:t>。</w:t>
      </w:r>
    </w:p>
    <w:p>
      <w:pPr>
        <w:pStyle w:val="ListParagraph"/>
        <w:numPr>
          <w:ilvl w:val="1"/>
          <w:numId w:val="2"/>
        </w:numPr>
        <w:tabs>
          <w:tab w:pos="919" w:val="left" w:leader="none"/>
          <w:tab w:pos="920" w:val="left" w:leader="none"/>
          <w:tab w:pos="2692" w:val="left" w:leader="none"/>
        </w:tabs>
        <w:spacing w:line="240" w:lineRule="auto" w:before="152" w:after="0"/>
        <w:ind w:left="2692" w:right="0" w:hanging="2472"/>
        <w:jc w:val="left"/>
        <w:rPr>
          <w:sz w:val="21"/>
        </w:rPr>
      </w:pPr>
      <w:r>
        <w:rPr>
          <w:rFonts w:ascii="黑体" w:eastAsia="黑体" w:hint="eastAsia"/>
          <w:position w:val="2"/>
          <w:sz w:val="21"/>
        </w:rPr>
        <w:t>合同</w:t>
      </w:r>
      <w:r>
        <w:rPr>
          <w:rFonts w:ascii="黑体" w:eastAsia="黑体" w:hint="eastAsia"/>
          <w:spacing w:val="-3"/>
          <w:position w:val="2"/>
          <w:sz w:val="21"/>
        </w:rPr>
        <w:t>成</w:t>
      </w:r>
      <w:r>
        <w:rPr>
          <w:rFonts w:ascii="黑体" w:eastAsia="黑体" w:hint="eastAsia"/>
          <w:position w:val="2"/>
          <w:sz w:val="21"/>
        </w:rPr>
        <w:t>立</w:t>
      </w:r>
      <w:r>
        <w:rPr>
          <w:rFonts w:ascii="黑体" w:eastAsia="黑体" w:hint="eastAsia"/>
          <w:spacing w:val="-3"/>
          <w:position w:val="2"/>
          <w:sz w:val="21"/>
        </w:rPr>
        <w:t>与</w:t>
      </w:r>
      <w:r>
        <w:rPr>
          <w:rFonts w:ascii="黑体" w:eastAsia="黑体" w:hint="eastAsia"/>
          <w:position w:val="2"/>
          <w:sz w:val="21"/>
        </w:rPr>
        <w:t>Th效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合</w:t>
      </w:r>
      <w:r>
        <w:rPr>
          <w:spacing w:val="-3"/>
          <w:sz w:val="21"/>
        </w:rPr>
        <w:t>同</w:t>
      </w:r>
      <w:r>
        <w:rPr>
          <w:sz w:val="21"/>
        </w:rPr>
        <w:t>成</w:t>
      </w:r>
      <w:r>
        <w:rPr>
          <w:spacing w:val="-3"/>
          <w:sz w:val="21"/>
        </w:rPr>
        <w:t>立</w:t>
      </w:r>
      <w:r>
        <w:rPr>
          <w:sz w:val="21"/>
        </w:rPr>
        <w:t>。</w:t>
      </w:r>
    </w:p>
    <w:p>
      <w:pPr>
        <w:pStyle w:val="BodyText"/>
        <w:spacing w:line="278" w:lineRule="auto" w:before="46"/>
        <w:ind w:left="2692" w:right="107"/>
      </w:pPr>
      <w:r>
        <w:rPr>
          <w:spacing w:val="-3"/>
        </w:rPr>
        <w:t>本合同自我们同意承保、收取首期保险费并签发保险单开始生效，具体生效日以保险单所载的日期为准，</w:t>
      </w:r>
      <w:r>
        <w:rPr>
          <w:b/>
        </w:rPr>
        <w:t>合同生效日对应日</w:t>
      </w:r>
      <w:r>
        <w:rPr>
          <w:spacing w:val="-3"/>
        </w:rPr>
        <w:t>、</w:t>
      </w:r>
      <w:r>
        <w:rPr>
          <w:b/>
        </w:rPr>
        <w:t>保险费约定支付日</w:t>
      </w:r>
      <w:r>
        <w:rPr/>
        <w:t>以该日</w:t>
      </w:r>
      <w:r>
        <w:rPr>
          <w:spacing w:val="-11"/>
        </w:rPr>
        <w:t>期计算。若因您或第三人的原因导致我们未能在约定时间内收到首期保险费， </w:t>
      </w:r>
      <w:r>
        <w:rPr>
          <w:spacing w:val="-9"/>
        </w:rPr>
        <w:t>即使我们已经签发保险单，本合同自始不生效，我们也自始不承担保险责任。</w:t>
      </w:r>
    </w:p>
    <w:p>
      <w:pPr>
        <w:pStyle w:val="ListParagraph"/>
        <w:numPr>
          <w:ilvl w:val="1"/>
          <w:numId w:val="2"/>
        </w:numPr>
        <w:tabs>
          <w:tab w:pos="919" w:val="left" w:leader="none"/>
          <w:tab w:pos="920" w:val="left" w:leader="none"/>
          <w:tab w:pos="2692" w:val="left" w:leader="none"/>
        </w:tabs>
        <w:spacing w:line="273" w:lineRule="auto" w:before="128" w:after="0"/>
        <w:ind w:left="2692" w:right="234" w:hanging="2472"/>
        <w:jc w:val="left"/>
        <w:rPr>
          <w:sz w:val="21"/>
        </w:rPr>
      </w:pPr>
      <w:r>
        <w:rPr>
          <w:rFonts w:ascii="黑体" w:eastAsia="黑体" w:hint="eastAsia"/>
          <w:sz w:val="21"/>
        </w:rPr>
        <w:t>投保</w:t>
      </w:r>
      <w:r>
        <w:rPr>
          <w:rFonts w:ascii="黑体" w:eastAsia="黑体" w:hint="eastAsia"/>
          <w:spacing w:val="-3"/>
          <w:sz w:val="21"/>
        </w:rPr>
        <w:t>年</w:t>
      </w:r>
      <w:r>
        <w:rPr>
          <w:rFonts w:ascii="黑体" w:eastAsia="黑体" w:hint="eastAsia"/>
          <w:sz w:val="21"/>
        </w:rPr>
        <w:t>龄</w:t>
        <w:tab/>
      </w:r>
      <w:r>
        <w:rPr>
          <w:spacing w:val="-1"/>
          <w:sz w:val="21"/>
        </w:rPr>
        <w:t>指</w:t>
      </w:r>
      <w:r>
        <w:rPr>
          <w:sz w:val="21"/>
        </w:rPr>
        <w:t>您</w:t>
      </w:r>
      <w:r>
        <w:rPr>
          <w:spacing w:val="-3"/>
          <w:sz w:val="21"/>
        </w:rPr>
        <w:t>投</w:t>
      </w:r>
      <w:r>
        <w:rPr>
          <w:sz w:val="21"/>
        </w:rPr>
        <w:t>保</w:t>
      </w:r>
      <w:r>
        <w:rPr>
          <w:spacing w:val="-3"/>
          <w:sz w:val="21"/>
        </w:rPr>
        <w:t>时</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本</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人的</w:t>
      </w:r>
      <w:r>
        <w:rPr>
          <w:spacing w:val="-3"/>
          <w:sz w:val="21"/>
        </w:rPr>
        <w:t>投</w:t>
      </w:r>
      <w:r>
        <w:rPr>
          <w:sz w:val="21"/>
        </w:rPr>
        <w:t>保</w:t>
      </w:r>
      <w:r>
        <w:rPr>
          <w:spacing w:val="-3"/>
          <w:sz w:val="21"/>
        </w:rPr>
        <w:t>年</w:t>
      </w:r>
      <w:r>
        <w:rPr>
          <w:sz w:val="21"/>
        </w:rPr>
        <w:t>龄</w:t>
      </w:r>
      <w:r>
        <w:rPr>
          <w:spacing w:val="-3"/>
          <w:sz w:val="21"/>
        </w:rPr>
        <w:t>范</w:t>
      </w:r>
      <w:r>
        <w:rPr>
          <w:sz w:val="21"/>
        </w:rPr>
        <w:t>围</w:t>
      </w:r>
      <w:r>
        <w:rPr>
          <w:spacing w:val="-3"/>
          <w:sz w:val="21"/>
        </w:rPr>
        <w:t>为</w:t>
      </w:r>
      <w:r>
        <w:rPr>
          <w:sz w:val="21"/>
        </w:rPr>
        <w:t>出生 满</w:t>
      </w:r>
      <w:r>
        <w:rPr>
          <w:spacing w:val="-51"/>
          <w:sz w:val="21"/>
        </w:rPr>
        <w:t> </w:t>
      </w:r>
      <w:r>
        <w:rPr>
          <w:sz w:val="21"/>
        </w:rPr>
        <w:t>28</w:t>
      </w:r>
      <w:r>
        <w:rPr>
          <w:spacing w:val="-54"/>
          <w:sz w:val="21"/>
        </w:rPr>
        <w:t> </w:t>
      </w:r>
      <w:r>
        <w:rPr>
          <w:sz w:val="21"/>
        </w:rPr>
        <w:t>天至</w:t>
      </w:r>
      <w:r>
        <w:rPr>
          <w:spacing w:val="-54"/>
          <w:sz w:val="21"/>
        </w:rPr>
        <w:t> </w:t>
      </w:r>
      <w:r>
        <w:rPr>
          <w:sz w:val="21"/>
        </w:rPr>
        <w:t>60</w:t>
      </w:r>
      <w:r>
        <w:rPr>
          <w:spacing w:val="-54"/>
          <w:sz w:val="21"/>
        </w:rPr>
        <w:t> </w:t>
      </w:r>
      <w:r>
        <w:rPr>
          <w:b/>
          <w:sz w:val="21"/>
        </w:rPr>
        <w:t>周岁</w:t>
      </w:r>
      <w:r>
        <w:rPr>
          <w:sz w:val="21"/>
        </w:rPr>
        <w:t>。</w:t>
      </w:r>
    </w:p>
    <w:p>
      <w:pPr>
        <w:pStyle w:val="ListParagraph"/>
        <w:numPr>
          <w:ilvl w:val="1"/>
          <w:numId w:val="2"/>
        </w:numPr>
        <w:tabs>
          <w:tab w:pos="919" w:val="left" w:leader="none"/>
          <w:tab w:pos="920" w:val="left" w:leader="none"/>
          <w:tab w:pos="2692" w:val="left" w:leader="none"/>
        </w:tabs>
        <w:spacing w:line="280" w:lineRule="auto" w:before="153" w:after="0"/>
        <w:ind w:left="2692" w:right="109" w:hanging="2472"/>
        <w:jc w:val="left"/>
        <w:rPr>
          <w:sz w:val="21"/>
        </w:rPr>
      </w:pPr>
      <w:r>
        <w:rPr>
          <w:rFonts w:ascii="黑体" w:eastAsia="黑体" w:hint="eastAsia"/>
          <w:position w:val="2"/>
          <w:sz w:val="21"/>
        </w:rPr>
        <w:t>犹豫期</w:t>
        <w:tab/>
      </w:r>
      <w:r>
        <w:rPr>
          <w:sz w:val="21"/>
        </w:rPr>
        <w:t>自您</w:t>
      </w:r>
      <w:r>
        <w:rPr>
          <w:spacing w:val="-3"/>
          <w:sz w:val="21"/>
        </w:rPr>
        <w:t>签</w:t>
      </w:r>
      <w:r>
        <w:rPr>
          <w:sz w:val="21"/>
        </w:rPr>
        <w:t>收</w:t>
      </w:r>
      <w:r>
        <w:rPr>
          <w:spacing w:val="-3"/>
          <w:sz w:val="21"/>
        </w:rPr>
        <w:t>本</w:t>
      </w:r>
      <w:r>
        <w:rPr>
          <w:sz w:val="21"/>
        </w:rPr>
        <w:t>合</w:t>
      </w:r>
      <w:r>
        <w:rPr>
          <w:spacing w:val="-3"/>
          <w:sz w:val="21"/>
        </w:rPr>
        <w:t>同</w:t>
      </w:r>
      <w:r>
        <w:rPr>
          <w:sz w:val="21"/>
        </w:rPr>
        <w:t>次</w:t>
      </w:r>
      <w:r>
        <w:rPr>
          <w:spacing w:val="-3"/>
          <w:sz w:val="21"/>
        </w:rPr>
        <w:t>日</w:t>
      </w:r>
      <w:r>
        <w:rPr>
          <w:sz w:val="21"/>
        </w:rPr>
        <w:t>起</w:t>
      </w:r>
      <w:r>
        <w:rPr>
          <w:spacing w:val="-65"/>
          <w:sz w:val="21"/>
        </w:rPr>
        <w:t>，</w:t>
      </w:r>
      <w:r>
        <w:rPr>
          <w:sz w:val="21"/>
        </w:rPr>
        <w:t>有</w:t>
      </w:r>
      <w:r>
        <w:rPr>
          <w:spacing w:val="-33"/>
          <w:sz w:val="21"/>
        </w:rPr>
        <w:t> </w:t>
      </w:r>
      <w:r>
        <w:rPr>
          <w:sz w:val="21"/>
        </w:rPr>
        <w:t>10</w:t>
      </w:r>
      <w:r>
        <w:rPr>
          <w:spacing w:val="-36"/>
          <w:sz w:val="21"/>
        </w:rPr>
        <w:t> </w:t>
      </w:r>
      <w:r>
        <w:rPr>
          <w:sz w:val="21"/>
        </w:rPr>
        <w:t>日</w:t>
      </w:r>
      <w:r>
        <w:rPr>
          <w:spacing w:val="-3"/>
          <w:sz w:val="21"/>
        </w:rPr>
        <w:t>的</w:t>
      </w:r>
      <w:r>
        <w:rPr>
          <w:sz w:val="21"/>
        </w:rPr>
        <w:t>犹</w:t>
      </w:r>
      <w:r>
        <w:rPr>
          <w:spacing w:val="-3"/>
          <w:sz w:val="21"/>
        </w:rPr>
        <w:t>豫</w:t>
      </w:r>
      <w:r>
        <w:rPr>
          <w:sz w:val="21"/>
        </w:rPr>
        <w:t>期</w:t>
      </w:r>
      <w:r>
        <w:rPr>
          <w:spacing w:val="-65"/>
          <w:sz w:val="21"/>
        </w:rPr>
        <w:t>。</w:t>
      </w:r>
      <w:r>
        <w:rPr>
          <w:sz w:val="21"/>
        </w:rPr>
        <w:t>在</w:t>
      </w:r>
      <w:r>
        <w:rPr>
          <w:spacing w:val="-3"/>
          <w:sz w:val="21"/>
        </w:rPr>
        <w:t>此期</w:t>
      </w:r>
      <w:r>
        <w:rPr>
          <w:sz w:val="21"/>
        </w:rPr>
        <w:t>间</w:t>
      </w:r>
      <w:r>
        <w:rPr>
          <w:spacing w:val="-63"/>
          <w:sz w:val="21"/>
        </w:rPr>
        <w:t>，</w:t>
      </w:r>
      <w:r>
        <w:rPr>
          <w:spacing w:val="-3"/>
          <w:sz w:val="21"/>
        </w:rPr>
        <w:t>请</w:t>
      </w:r>
      <w:r>
        <w:rPr>
          <w:sz w:val="21"/>
        </w:rPr>
        <w:t>您</w:t>
      </w:r>
      <w:r>
        <w:rPr>
          <w:spacing w:val="-3"/>
          <w:sz w:val="21"/>
        </w:rPr>
        <w:t>认</w:t>
      </w:r>
      <w:r>
        <w:rPr>
          <w:sz w:val="21"/>
        </w:rPr>
        <w:t>真</w:t>
      </w:r>
      <w:r>
        <w:rPr>
          <w:spacing w:val="-3"/>
          <w:sz w:val="21"/>
        </w:rPr>
        <w:t>审</w:t>
      </w:r>
      <w:r>
        <w:rPr>
          <w:sz w:val="21"/>
        </w:rPr>
        <w:t>视</w:t>
      </w:r>
      <w:r>
        <w:rPr>
          <w:spacing w:val="-3"/>
          <w:sz w:val="21"/>
        </w:rPr>
        <w:t>本</w:t>
      </w:r>
      <w:r>
        <w:rPr>
          <w:sz w:val="21"/>
        </w:rPr>
        <w:t>合</w:t>
      </w:r>
      <w:r>
        <w:rPr>
          <w:spacing w:val="-3"/>
          <w:sz w:val="21"/>
        </w:rPr>
        <w:t>同</w:t>
      </w:r>
      <w:r>
        <w:rPr>
          <w:sz w:val="21"/>
        </w:rPr>
        <w:t>，如果您认为本</w:t>
      </w:r>
      <w:r>
        <w:rPr>
          <w:spacing w:val="-3"/>
          <w:sz w:val="21"/>
        </w:rPr>
        <w:t>合</w:t>
      </w:r>
      <w:r>
        <w:rPr>
          <w:sz w:val="21"/>
        </w:rPr>
        <w:t>同与您</w:t>
      </w:r>
      <w:r>
        <w:rPr>
          <w:spacing w:val="-3"/>
          <w:sz w:val="21"/>
        </w:rPr>
        <w:t>的</w:t>
      </w:r>
      <w:r>
        <w:rPr>
          <w:sz w:val="21"/>
        </w:rPr>
        <w:t>需求不相符，</w:t>
      </w:r>
      <w:r>
        <w:rPr>
          <w:spacing w:val="-3"/>
          <w:sz w:val="21"/>
        </w:rPr>
        <w:t>且</w:t>
      </w:r>
      <w:r>
        <w:rPr>
          <w:sz w:val="21"/>
        </w:rPr>
        <w:t>我们已</w:t>
      </w:r>
      <w:r>
        <w:rPr>
          <w:spacing w:val="-3"/>
          <w:sz w:val="21"/>
        </w:rPr>
        <w:t>经</w:t>
      </w:r>
      <w:r>
        <w:rPr>
          <w:sz w:val="21"/>
        </w:rPr>
        <w:t>收取保险费的</w:t>
      </w:r>
      <w:r>
        <w:rPr>
          <w:spacing w:val="-3"/>
          <w:sz w:val="21"/>
        </w:rPr>
        <w:t>，</w:t>
      </w:r>
      <w:r>
        <w:rPr>
          <w:sz w:val="21"/>
        </w:rPr>
        <w:t>您可以在</w:t>
      </w:r>
      <w:r>
        <w:rPr>
          <w:spacing w:val="-1"/>
          <w:sz w:val="21"/>
        </w:rPr>
        <w:t>此期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合</w:t>
      </w:r>
      <w:r>
        <w:rPr>
          <w:sz w:val="21"/>
        </w:rPr>
        <w:t>同</w:t>
      </w:r>
      <w:r>
        <w:rPr>
          <w:spacing w:val="-3"/>
          <w:sz w:val="21"/>
        </w:rPr>
        <w:t>，</w:t>
      </w:r>
      <w:r>
        <w:rPr>
          <w:sz w:val="21"/>
        </w:rPr>
        <w:t>我们</w:t>
      </w:r>
      <w:r>
        <w:rPr>
          <w:spacing w:val="-3"/>
          <w:sz w:val="21"/>
        </w:rPr>
        <w:t>将</w:t>
      </w:r>
      <w:r>
        <w:rPr>
          <w:sz w:val="21"/>
        </w:rPr>
        <w:t>退</w:t>
      </w:r>
      <w:r>
        <w:rPr>
          <w:spacing w:val="-3"/>
          <w:sz w:val="21"/>
        </w:rPr>
        <w:t>还</w:t>
      </w:r>
      <w:r>
        <w:rPr>
          <w:sz w:val="21"/>
        </w:rPr>
        <w:t>您</w:t>
      </w:r>
      <w:r>
        <w:rPr>
          <w:spacing w:val="-3"/>
          <w:sz w:val="21"/>
        </w:rPr>
        <w:t>所</w:t>
      </w:r>
      <w:r>
        <w:rPr>
          <w:sz w:val="21"/>
        </w:rPr>
        <w:t>支</w:t>
      </w:r>
      <w:r>
        <w:rPr>
          <w:spacing w:val="-3"/>
          <w:sz w:val="21"/>
        </w:rPr>
        <w:t>付</w:t>
      </w:r>
      <w:r>
        <w:rPr>
          <w:sz w:val="21"/>
        </w:rPr>
        <w:t>的</w:t>
      </w:r>
      <w:r>
        <w:rPr>
          <w:spacing w:val="-3"/>
          <w:sz w:val="21"/>
        </w:rPr>
        <w:t>保</w:t>
      </w:r>
      <w:r>
        <w:rPr>
          <w:sz w:val="21"/>
        </w:rPr>
        <w:t>险费。</w:t>
      </w:r>
    </w:p>
    <w:p>
      <w:pPr>
        <w:pStyle w:val="BodyText"/>
        <w:spacing w:line="280" w:lineRule="auto" w:before="8"/>
        <w:ind w:left="2692" w:right="213"/>
        <w:jc w:val="both"/>
      </w:pPr>
      <w:r>
        <w:rPr>
          <w:spacing w:val="-3"/>
        </w:rPr>
        <w:t>解除合同时，您需要填写申请书，并提供您的保险合同及</w:t>
      </w:r>
      <w:r>
        <w:rPr>
          <w:b/>
        </w:rPr>
        <w:t>有效身份证件</w:t>
      </w:r>
      <w:r>
        <w:rPr/>
        <w:t>。</w:t>
      </w:r>
      <w:r>
        <w:rPr>
          <w:shd w:fill="D9D9D9" w:color="auto" w:val="clear"/>
        </w:rPr>
        <w:t>自</w:t>
      </w:r>
      <w:r>
        <w:rPr>
          <w:spacing w:val="-211"/>
          <w:shd w:fill="D9D9D9" w:color="auto" w:val="clear"/>
        </w:rPr>
        <w:t>我</w:t>
      </w:r>
      <w:r>
        <w:rPr>
          <w:spacing w:val="-3"/>
          <w:shd w:fill="D9D9D9" w:color="auto" w:val="clear"/>
        </w:rPr>
        <w:t>们收到您解除合同的书面申请时起，本合同即被解除，对于合同解除前发 生的保险事故，我们不承担保险责任。</w:t>
      </w:r>
    </w:p>
    <w:p>
      <w:pPr>
        <w:pStyle w:val="BodyText"/>
        <w:spacing w:before="12"/>
        <w:ind w:left="0"/>
        <w:rPr>
          <w:sz w:val="8"/>
        </w:rPr>
      </w:pPr>
      <w:r>
        <w:rPr/>
        <w:pict>
          <v:shape style="position:absolute;margin-left:56.639999pt;margin-top:7.041953pt;width:482.05pt;height:15.6pt;mso-position-horizontal-relative:page;mso-position-vertical-relative:paragraph;z-index:1120;mso-wrap-distance-left:0;mso-wrap-distance-right:0" type="#_x0000_t202" filled="true" fillcolor="#a6a6a6" stroked="false">
            <v:textbox inset="0,0,0,0">
              <w:txbxContent>
                <w:p>
                  <w:pPr>
                    <w:tabs>
                      <w:tab w:pos="806" w:val="left" w:leader="none"/>
                    </w:tabs>
                    <w:spacing w:line="262" w:lineRule="exact" w:before="0"/>
                    <w:ind w:left="108" w:right="0" w:firstLine="0"/>
                    <w:jc w:val="left"/>
                    <w:rPr>
                      <w:rFonts w:ascii="黑体" w:eastAsia="黑体" w:hint="eastAsia"/>
                      <w:b/>
                      <w:sz w:val="21"/>
                    </w:rPr>
                  </w:pPr>
                  <w:r>
                    <w:rPr>
                      <w:rFonts w:ascii="黑体" w:eastAsia="黑体" w:hint="eastAsia"/>
                      <w:b/>
                      <w:sz w:val="21"/>
                    </w:rPr>
                    <w:t>2</w:t>
                    <w:tab/>
                    <w:t>我们提供的保障</w:t>
                  </w:r>
                </w:p>
              </w:txbxContent>
            </v:textbox>
            <v:fill type="solid"/>
            <w10:wrap type="topAndBottom"/>
          </v:shape>
        </w:pict>
      </w:r>
    </w:p>
    <w:p>
      <w:pPr>
        <w:pStyle w:val="BodyText"/>
        <w:spacing w:before="12"/>
        <w:ind w:left="0"/>
        <w:rPr>
          <w:sz w:val="5"/>
        </w:rPr>
      </w:pPr>
    </w:p>
    <w:p>
      <w:pPr>
        <w:pStyle w:val="ListParagraph"/>
        <w:numPr>
          <w:ilvl w:val="1"/>
          <w:numId w:val="3"/>
        </w:numPr>
        <w:tabs>
          <w:tab w:pos="919" w:val="left" w:leader="none"/>
          <w:tab w:pos="920" w:val="left" w:leader="none"/>
          <w:tab w:pos="2692" w:val="left" w:leader="none"/>
        </w:tabs>
        <w:spacing w:line="273" w:lineRule="auto" w:before="36" w:after="0"/>
        <w:ind w:left="2692" w:right="234" w:hanging="2472"/>
        <w:jc w:val="left"/>
        <w:rPr>
          <w:sz w:val="21"/>
        </w:rPr>
      </w:pPr>
      <w:r>
        <w:rPr>
          <w:rFonts w:ascii="黑体" w:eastAsia="黑体" w:hint="eastAsia"/>
          <w:sz w:val="21"/>
        </w:rPr>
        <w:t>保险</w:t>
      </w:r>
      <w:r>
        <w:rPr>
          <w:rFonts w:ascii="黑体" w:eastAsia="黑体" w:hint="eastAsia"/>
          <w:spacing w:val="-3"/>
          <w:sz w:val="21"/>
        </w:rPr>
        <w:t>金</w:t>
      </w:r>
      <w:r>
        <w:rPr>
          <w:rFonts w:ascii="黑体" w:eastAsia="黑体" w:hint="eastAsia"/>
          <w:sz w:val="21"/>
        </w:rPr>
        <w:t>额</w:t>
        <w:tab/>
      </w:r>
      <w:r>
        <w:rPr>
          <w:spacing w:val="-1"/>
          <w:sz w:val="21"/>
        </w:rPr>
        <w:t>本合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在保</w:t>
      </w:r>
      <w:r>
        <w:rPr>
          <w:spacing w:val="-3"/>
          <w:sz w:val="21"/>
        </w:rPr>
        <w:t>险</w:t>
      </w:r>
      <w:r>
        <w:rPr>
          <w:sz w:val="21"/>
        </w:rPr>
        <w:t>单</w:t>
      </w:r>
      <w:r>
        <w:rPr>
          <w:spacing w:val="-3"/>
          <w:sz w:val="21"/>
        </w:rPr>
        <w:t>上</w:t>
      </w:r>
      <w:r>
        <w:rPr>
          <w:sz w:val="21"/>
        </w:rPr>
        <w:t>载</w:t>
      </w:r>
      <w:r>
        <w:rPr>
          <w:spacing w:val="-3"/>
          <w:sz w:val="21"/>
        </w:rPr>
        <w:t>明</w:t>
      </w:r>
      <w:r>
        <w:rPr>
          <w:sz w:val="21"/>
        </w:rPr>
        <w:t>，</w:t>
      </w:r>
      <w:r>
        <w:rPr>
          <w:spacing w:val="-3"/>
          <w:sz w:val="21"/>
        </w:rPr>
        <w:t>在</w:t>
      </w:r>
      <w:r>
        <w:rPr>
          <w:sz w:val="21"/>
        </w:rPr>
        <w:t>本合 同履</w:t>
      </w:r>
      <w:r>
        <w:rPr>
          <w:spacing w:val="-3"/>
          <w:sz w:val="21"/>
        </w:rPr>
        <w:t>行</w:t>
      </w:r>
      <w:r>
        <w:rPr>
          <w:sz w:val="21"/>
        </w:rPr>
        <w:t>过</w:t>
      </w:r>
      <w:r>
        <w:rPr>
          <w:spacing w:val="-3"/>
          <w:sz w:val="21"/>
        </w:rPr>
        <w:t>程</w:t>
      </w:r>
      <w:r>
        <w:rPr>
          <w:sz w:val="21"/>
        </w:rPr>
        <w:t>中</w:t>
      </w:r>
      <w:r>
        <w:rPr>
          <w:spacing w:val="-3"/>
          <w:sz w:val="21"/>
        </w:rPr>
        <w:t>发</w:t>
      </w:r>
      <w:r>
        <w:rPr>
          <w:sz w:val="21"/>
        </w:rPr>
        <w:t>生</w:t>
      </w:r>
      <w:r>
        <w:rPr>
          <w:spacing w:val="-3"/>
          <w:sz w:val="21"/>
        </w:rPr>
        <w:t>变</w:t>
      </w:r>
      <w:r>
        <w:rPr>
          <w:sz w:val="21"/>
        </w:rPr>
        <w:t>更</w:t>
      </w:r>
      <w:r>
        <w:rPr>
          <w:spacing w:val="-3"/>
          <w:sz w:val="21"/>
        </w:rPr>
        <w:t>的</w:t>
      </w:r>
      <w:r>
        <w:rPr>
          <w:sz w:val="21"/>
        </w:rPr>
        <w:t>，则</w:t>
      </w:r>
      <w:r>
        <w:rPr>
          <w:spacing w:val="-3"/>
          <w:sz w:val="21"/>
        </w:rPr>
        <w:t>以</w:t>
      </w:r>
      <w:r>
        <w:rPr>
          <w:sz w:val="21"/>
        </w:rPr>
        <w:t>变</w:t>
      </w:r>
      <w:r>
        <w:rPr>
          <w:spacing w:val="-3"/>
          <w:sz w:val="21"/>
        </w:rPr>
        <w:t>更</w:t>
      </w:r>
      <w:r>
        <w:rPr>
          <w:sz w:val="21"/>
        </w:rPr>
        <w:t>后</w:t>
      </w:r>
      <w:r>
        <w:rPr>
          <w:spacing w:val="-3"/>
          <w:sz w:val="21"/>
        </w:rPr>
        <w:t>的</w:t>
      </w:r>
      <w:r>
        <w:rPr>
          <w:sz w:val="21"/>
        </w:rPr>
        <w:t>金</w:t>
      </w:r>
      <w:r>
        <w:rPr>
          <w:spacing w:val="-3"/>
          <w:sz w:val="21"/>
        </w:rPr>
        <w:t>额</w:t>
      </w:r>
      <w:r>
        <w:rPr>
          <w:sz w:val="21"/>
        </w:rPr>
        <w:t>为</w:t>
      </w:r>
      <w:r>
        <w:rPr>
          <w:spacing w:val="-3"/>
          <w:sz w:val="21"/>
        </w:rPr>
        <w:t>准</w:t>
      </w:r>
      <w:r>
        <w:rPr>
          <w:sz w:val="21"/>
        </w:rPr>
        <w:t>。</w:t>
      </w:r>
    </w:p>
    <w:p>
      <w:pPr>
        <w:pStyle w:val="BodyText"/>
        <w:spacing w:before="7"/>
        <w:ind w:left="0"/>
        <w:rPr>
          <w:sz w:val="8"/>
        </w:rPr>
      </w:pPr>
    </w:p>
    <w:p>
      <w:pPr>
        <w:spacing w:after="0"/>
        <w:rPr>
          <w:sz w:val="8"/>
        </w:rPr>
        <w:sectPr>
          <w:pgSz w:w="11910" w:h="16840"/>
          <w:pgMar w:top="1340" w:bottom="280" w:left="1020" w:right="1020"/>
        </w:sectPr>
      </w:pPr>
    </w:p>
    <w:p>
      <w:pPr>
        <w:pStyle w:val="ListParagraph"/>
        <w:numPr>
          <w:ilvl w:val="1"/>
          <w:numId w:val="3"/>
        </w:numPr>
        <w:tabs>
          <w:tab w:pos="919" w:val="left" w:leader="none"/>
          <w:tab w:pos="920" w:val="left" w:leader="none"/>
        </w:tabs>
        <w:spacing w:line="273" w:lineRule="auto" w:before="37" w:after="0"/>
        <w:ind w:left="919" w:right="0" w:hanging="699"/>
        <w:jc w:val="left"/>
        <w:rPr>
          <w:rFonts w:ascii="黑体" w:eastAsia="黑体" w:hint="eastAsia"/>
          <w:sz w:val="21"/>
        </w:rPr>
      </w:pPr>
      <w:r>
        <w:rPr>
          <w:rFonts w:ascii="黑体" w:eastAsia="黑体" w:hint="eastAsia"/>
          <w:spacing w:val="-2"/>
          <w:sz w:val="21"/>
        </w:rPr>
        <w:t>未成年人身故保</w:t>
      </w:r>
      <w:r>
        <w:rPr>
          <w:rFonts w:ascii="黑体" w:eastAsia="黑体" w:hint="eastAsia"/>
          <w:spacing w:val="-3"/>
          <w:sz w:val="21"/>
        </w:rPr>
        <w:t>险金限制</w:t>
      </w:r>
    </w:p>
    <w:p>
      <w:pPr>
        <w:pStyle w:val="BodyText"/>
        <w:spacing w:line="273" w:lineRule="auto" w:before="37"/>
        <w:ind w:left="220" w:right="234"/>
        <w:jc w:val="both"/>
      </w:pPr>
      <w:r>
        <w:rPr/>
        <w:br w:type="column"/>
      </w:r>
      <w:r>
        <w:rPr/>
        <w:t>为未成年子女投保的人身保险，因被保险人身故给付的保险金总和不得超过国务院保险监督管理机构规定的限额，身故给付的保险金额总和约定也不得超过前述限额。</w:t>
      </w:r>
    </w:p>
    <w:p>
      <w:pPr>
        <w:spacing w:after="0" w:line="273" w:lineRule="auto"/>
        <w:jc w:val="both"/>
        <w:sectPr>
          <w:type w:val="continuous"/>
          <w:pgSz w:w="11910" w:h="16840"/>
          <w:pgMar w:top="140" w:bottom="280" w:left="1020" w:right="1020"/>
          <w:cols w:num="2" w:equalWidth="0">
            <w:col w:w="2393" w:space="79"/>
            <w:col w:w="7398"/>
          </w:cols>
        </w:sectPr>
      </w:pPr>
    </w:p>
    <w:p>
      <w:pPr>
        <w:pStyle w:val="BodyText"/>
        <w:spacing w:before="8"/>
        <w:ind w:left="0"/>
        <w:rPr>
          <w:sz w:val="8"/>
        </w:rPr>
      </w:pPr>
    </w:p>
    <w:p>
      <w:pPr>
        <w:pStyle w:val="ListParagraph"/>
        <w:numPr>
          <w:ilvl w:val="1"/>
          <w:numId w:val="3"/>
        </w:numPr>
        <w:tabs>
          <w:tab w:pos="919" w:val="left" w:leader="none"/>
          <w:tab w:pos="920" w:val="left" w:leader="none"/>
          <w:tab w:pos="2692" w:val="left" w:leader="none"/>
        </w:tabs>
        <w:spacing w:line="240" w:lineRule="auto" w:before="36" w:after="0"/>
        <w:ind w:left="2692" w:right="0" w:hanging="2472"/>
        <w:jc w:val="left"/>
        <w:rPr>
          <w:sz w:val="21"/>
        </w:rPr>
      </w:pPr>
      <w:r>
        <w:rPr>
          <w:rFonts w:ascii="黑体" w:eastAsia="黑体" w:hint="eastAsia"/>
          <w:sz w:val="21"/>
        </w:rPr>
        <w:t>保险</w:t>
      </w:r>
      <w:r>
        <w:rPr>
          <w:rFonts w:ascii="黑体" w:eastAsia="黑体" w:hint="eastAsia"/>
          <w:spacing w:val="-3"/>
          <w:sz w:val="21"/>
        </w:rPr>
        <w:t>期</w:t>
      </w:r>
      <w:r>
        <w:rPr>
          <w:rFonts w:ascii="黑体" w:eastAsia="黑体" w:hint="eastAsia"/>
          <w:sz w:val="21"/>
        </w:rPr>
        <w:t>间</w:t>
        <w:tab/>
      </w:r>
      <w:r>
        <w:rPr>
          <w:spacing w:val="-1"/>
          <w:sz w:val="21"/>
        </w:rPr>
        <w:t>本合</w:t>
      </w:r>
      <w:r>
        <w:rPr>
          <w:spacing w:val="-3"/>
          <w:sz w:val="21"/>
        </w:rPr>
        <w:t>同</w:t>
      </w:r>
      <w:r>
        <w:rPr>
          <w:spacing w:val="-1"/>
          <w:sz w:val="21"/>
        </w:rPr>
        <w:t>的</w:t>
      </w:r>
      <w:r>
        <w:rPr>
          <w:spacing w:val="-3"/>
          <w:sz w:val="21"/>
        </w:rPr>
        <w:t>保</w:t>
      </w:r>
      <w:r>
        <w:rPr>
          <w:spacing w:val="-1"/>
          <w:sz w:val="21"/>
        </w:rPr>
        <w:t>险</w:t>
      </w:r>
      <w:r>
        <w:rPr>
          <w:spacing w:val="-3"/>
          <w:sz w:val="21"/>
        </w:rPr>
        <w:t>期</w:t>
      </w:r>
      <w:r>
        <w:rPr>
          <w:sz w:val="21"/>
        </w:rPr>
        <w:t>间</w:t>
      </w:r>
      <w:r>
        <w:rPr>
          <w:spacing w:val="-3"/>
          <w:sz w:val="21"/>
        </w:rPr>
        <w:t>为</w:t>
      </w:r>
      <w:r>
        <w:rPr>
          <w:sz w:val="21"/>
        </w:rPr>
        <w:t>终</w:t>
      </w:r>
      <w:r>
        <w:rPr>
          <w:spacing w:val="-3"/>
          <w:sz w:val="21"/>
        </w:rPr>
        <w:t>身</w:t>
      </w:r>
      <w:r>
        <w:rPr>
          <w:spacing w:val="-41"/>
          <w:sz w:val="21"/>
        </w:rPr>
        <w:t>，</w:t>
      </w:r>
      <w:r>
        <w:rPr>
          <w:spacing w:val="-3"/>
          <w:sz w:val="21"/>
        </w:rPr>
        <w:t>自</w:t>
      </w:r>
      <w:r>
        <w:rPr>
          <w:sz w:val="21"/>
        </w:rPr>
        <w:t>本</w:t>
      </w:r>
      <w:r>
        <w:rPr>
          <w:spacing w:val="-3"/>
          <w:sz w:val="21"/>
        </w:rPr>
        <w:t>合</w:t>
      </w:r>
      <w:r>
        <w:rPr>
          <w:sz w:val="21"/>
        </w:rPr>
        <w:t>同</w:t>
      </w:r>
      <w:r>
        <w:rPr>
          <w:spacing w:val="-3"/>
          <w:sz w:val="21"/>
        </w:rPr>
        <w:t>生</w:t>
      </w:r>
      <w:r>
        <w:rPr>
          <w:sz w:val="21"/>
        </w:rPr>
        <w:t>效</w:t>
      </w:r>
      <w:r>
        <w:rPr>
          <w:spacing w:val="-3"/>
          <w:sz w:val="21"/>
        </w:rPr>
        <w:t>日</w:t>
      </w:r>
      <w:r>
        <w:rPr>
          <w:sz w:val="21"/>
        </w:rPr>
        <w:t>的</w:t>
      </w:r>
      <w:r>
        <w:rPr>
          <w:spacing w:val="-3"/>
          <w:sz w:val="21"/>
        </w:rPr>
        <w:t>零时</w:t>
      </w:r>
      <w:r>
        <w:rPr>
          <w:sz w:val="21"/>
        </w:rPr>
        <w:t>起</w:t>
      </w:r>
      <w:r>
        <w:rPr>
          <w:spacing w:val="-44"/>
          <w:sz w:val="21"/>
        </w:rPr>
        <w:t>，</w:t>
      </w:r>
      <w:r>
        <w:rPr>
          <w:sz w:val="21"/>
        </w:rPr>
        <w:t>至</w:t>
      </w:r>
      <w:r>
        <w:rPr>
          <w:spacing w:val="-3"/>
          <w:sz w:val="21"/>
        </w:rPr>
        <w:t>被</w:t>
      </w:r>
      <w:r>
        <w:rPr>
          <w:sz w:val="21"/>
        </w:rPr>
        <w:t>保</w:t>
      </w:r>
      <w:r>
        <w:rPr>
          <w:spacing w:val="-3"/>
          <w:sz w:val="21"/>
        </w:rPr>
        <w:t>险</w:t>
      </w:r>
      <w:r>
        <w:rPr>
          <w:sz w:val="21"/>
        </w:rPr>
        <w:t>人</w:t>
      </w:r>
      <w:r>
        <w:rPr>
          <w:spacing w:val="-3"/>
          <w:sz w:val="21"/>
        </w:rPr>
        <w:t>身</w:t>
      </w:r>
      <w:r>
        <w:rPr>
          <w:sz w:val="21"/>
        </w:rPr>
        <w:t>故</w:t>
      </w:r>
      <w:r>
        <w:rPr>
          <w:spacing w:val="-3"/>
          <w:sz w:val="21"/>
        </w:rPr>
        <w:t>时</w:t>
      </w:r>
      <w:r>
        <w:rPr>
          <w:sz w:val="21"/>
        </w:rPr>
        <w:t>止。</w:t>
      </w:r>
    </w:p>
    <w:p>
      <w:pPr>
        <w:pStyle w:val="ListParagraph"/>
        <w:numPr>
          <w:ilvl w:val="1"/>
          <w:numId w:val="3"/>
        </w:numPr>
        <w:tabs>
          <w:tab w:pos="919" w:val="left" w:leader="none"/>
          <w:tab w:pos="920" w:val="left" w:leader="none"/>
          <w:tab w:pos="2692" w:val="left" w:leader="none"/>
        </w:tabs>
        <w:spacing w:line="273" w:lineRule="auto" w:before="178" w:after="0"/>
        <w:ind w:left="2692" w:right="234" w:hanging="2472"/>
        <w:jc w:val="left"/>
        <w:rPr>
          <w:sz w:val="21"/>
        </w:rPr>
      </w:pPr>
      <w:r>
        <w:rPr>
          <w:rFonts w:ascii="黑体" w:eastAsia="黑体" w:hint="eastAsia"/>
          <w:sz w:val="21"/>
        </w:rPr>
        <w:t>保险</w:t>
      </w:r>
      <w:r>
        <w:rPr>
          <w:rFonts w:ascii="黑体" w:eastAsia="黑体" w:hint="eastAsia"/>
          <w:spacing w:val="-3"/>
          <w:sz w:val="21"/>
        </w:rPr>
        <w:t>责</w:t>
      </w:r>
      <w:r>
        <w:rPr>
          <w:rFonts w:ascii="黑体" w:eastAsia="黑体" w:hint="eastAsia"/>
          <w:sz w:val="21"/>
        </w:rPr>
        <w:t>任</w:t>
        <w:tab/>
      </w:r>
      <w:r>
        <w:rPr>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且</w:t>
      </w:r>
      <w:r>
        <w:rPr>
          <w:sz w:val="21"/>
        </w:rPr>
        <w:t>本合</w:t>
      </w:r>
      <w:r>
        <w:rPr>
          <w:spacing w:val="-3"/>
          <w:sz w:val="21"/>
        </w:rPr>
        <w:t>同</w:t>
      </w:r>
      <w:r>
        <w:rPr>
          <w:sz w:val="21"/>
        </w:rPr>
        <w:t>有</w:t>
      </w:r>
      <w:r>
        <w:rPr>
          <w:spacing w:val="-3"/>
          <w:sz w:val="21"/>
        </w:rPr>
        <w:t>效</w:t>
      </w:r>
      <w:r>
        <w:rPr>
          <w:sz w:val="21"/>
        </w:rPr>
        <w:t>的</w:t>
      </w:r>
      <w:r>
        <w:rPr>
          <w:spacing w:val="-3"/>
          <w:sz w:val="21"/>
        </w:rPr>
        <w:t>前</w:t>
      </w:r>
      <w:r>
        <w:rPr>
          <w:sz w:val="21"/>
        </w:rPr>
        <w:t>提</w:t>
      </w:r>
      <w:r>
        <w:rPr>
          <w:spacing w:val="-3"/>
          <w:sz w:val="21"/>
        </w:rPr>
        <w:t>下</w:t>
      </w:r>
      <w:r>
        <w:rPr>
          <w:sz w:val="21"/>
        </w:rPr>
        <w:t>，</w:t>
      </w:r>
      <w:r>
        <w:rPr>
          <w:spacing w:val="-3"/>
          <w:sz w:val="21"/>
        </w:rPr>
        <w:t>我</w:t>
      </w:r>
      <w:r>
        <w:rPr>
          <w:sz w:val="21"/>
        </w:rPr>
        <w:t>们按</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 任：</w:t>
      </w:r>
    </w:p>
    <w:p>
      <w:pPr>
        <w:pStyle w:val="BodyText"/>
        <w:tabs>
          <w:tab w:pos="2692" w:val="left" w:leader="none"/>
        </w:tabs>
        <w:spacing w:line="280" w:lineRule="auto" w:before="173"/>
        <w:ind w:left="2692" w:right="213" w:hanging="1774"/>
        <w:jc w:val="both"/>
      </w:pPr>
      <w:r>
        <w:rPr>
          <w:rFonts w:ascii="宋体" w:hAnsi="宋体" w:eastAsia="宋体" w:hint="eastAsia"/>
        </w:rPr>
        <w:t>等待期</w:t>
        <w:tab/>
      </w:r>
      <w:r>
        <w:rPr>
          <w:shd w:fill="D9D9D9" w:color="auto" w:val="clear"/>
        </w:rPr>
        <w:t>若被</w:t>
      </w:r>
      <w:r>
        <w:rPr>
          <w:spacing w:val="-3"/>
          <w:shd w:fill="D9D9D9" w:color="auto" w:val="clear"/>
        </w:rPr>
        <w:t>保</w:t>
      </w:r>
      <w:r>
        <w:rPr>
          <w:shd w:fill="D9D9D9" w:color="auto" w:val="clear"/>
        </w:rPr>
        <w:t>险</w:t>
      </w:r>
      <w:r>
        <w:rPr>
          <w:spacing w:val="-3"/>
          <w:shd w:fill="D9D9D9" w:color="auto" w:val="clear"/>
        </w:rPr>
        <w:t>人</w:t>
      </w:r>
      <w:r>
        <w:rPr>
          <w:shd w:fill="D9D9D9" w:color="auto" w:val="clear"/>
        </w:rPr>
        <w:t>在</w:t>
      </w:r>
      <w:r>
        <w:rPr>
          <w:spacing w:val="-3"/>
          <w:shd w:fill="D9D9D9" w:color="auto" w:val="clear"/>
        </w:rPr>
        <w:t>本</w:t>
      </w:r>
      <w:r>
        <w:rPr>
          <w:shd w:fill="D9D9D9" w:color="auto" w:val="clear"/>
        </w:rPr>
        <w:t>合</w:t>
      </w:r>
      <w:r>
        <w:rPr>
          <w:spacing w:val="-3"/>
          <w:shd w:fill="D9D9D9" w:color="auto" w:val="clear"/>
        </w:rPr>
        <w:t>同</w:t>
      </w:r>
      <w:r>
        <w:rPr>
          <w:shd w:fill="D9D9D9" w:color="auto" w:val="clear"/>
        </w:rPr>
        <w:t>生</w:t>
      </w:r>
      <w:r>
        <w:rPr>
          <w:spacing w:val="-3"/>
          <w:shd w:fill="D9D9D9" w:color="auto" w:val="clear"/>
        </w:rPr>
        <w:t>效</w:t>
      </w:r>
      <w:r>
        <w:rPr>
          <w:shd w:fill="D9D9D9" w:color="auto" w:val="clear"/>
        </w:rPr>
        <w:t>或最</w:t>
      </w:r>
      <w:r>
        <w:rPr>
          <w:spacing w:val="-3"/>
          <w:shd w:fill="D9D9D9" w:color="auto" w:val="clear"/>
        </w:rPr>
        <w:t>后</w:t>
      </w:r>
      <w:r>
        <w:rPr>
          <w:shd w:fill="D9D9D9" w:color="auto" w:val="clear"/>
        </w:rPr>
        <w:t>一</w:t>
      </w:r>
      <w:r>
        <w:rPr>
          <w:spacing w:val="-3"/>
          <w:shd w:fill="D9D9D9" w:color="auto" w:val="clear"/>
        </w:rPr>
        <w:t>次</w:t>
      </w:r>
      <w:r>
        <w:rPr>
          <w:shd w:fill="D9D9D9" w:color="auto" w:val="clear"/>
        </w:rPr>
        <w:t>复</w:t>
      </w:r>
      <w:r>
        <w:rPr>
          <w:spacing w:val="-66"/>
          <w:shd w:fill="D9D9D9" w:color="auto" w:val="clear"/>
        </w:rPr>
        <w:t>效</w:t>
      </w:r>
      <w:r>
        <w:rPr>
          <w:shd w:fill="D9D9D9" w:color="auto" w:val="clear"/>
        </w:rPr>
        <w:t>（</w:t>
      </w:r>
      <w:r>
        <w:rPr>
          <w:spacing w:val="-3"/>
          <w:shd w:fill="D9D9D9" w:color="auto" w:val="clear"/>
        </w:rPr>
        <w:t>以</w:t>
      </w:r>
      <w:r>
        <w:rPr>
          <w:shd w:fill="D9D9D9" w:color="auto" w:val="clear"/>
        </w:rPr>
        <w:t>较</w:t>
      </w:r>
      <w:r>
        <w:rPr>
          <w:spacing w:val="-3"/>
          <w:shd w:fill="D9D9D9" w:color="auto" w:val="clear"/>
        </w:rPr>
        <w:t>迟</w:t>
      </w:r>
      <w:r>
        <w:rPr>
          <w:shd w:fill="D9D9D9" w:color="auto" w:val="clear"/>
        </w:rPr>
        <w:t>者为</w:t>
      </w:r>
      <w:r>
        <w:rPr>
          <w:spacing w:val="-3"/>
          <w:shd w:fill="D9D9D9" w:color="auto" w:val="clear"/>
        </w:rPr>
        <w:t>准</w:t>
      </w:r>
      <w:r>
        <w:rPr>
          <w:spacing w:val="-63"/>
          <w:shd w:fill="D9D9D9" w:color="auto" w:val="clear"/>
        </w:rPr>
        <w:t>）</w:t>
      </w:r>
      <w:r>
        <w:rPr>
          <w:spacing w:val="-3"/>
          <w:shd w:fill="D9D9D9" w:color="auto" w:val="clear"/>
        </w:rPr>
        <w:t>之日</w:t>
      </w:r>
      <w:r>
        <w:rPr>
          <w:shd w:fill="D9D9D9" w:color="auto" w:val="clear"/>
        </w:rPr>
        <w:t>起</w:t>
      </w:r>
      <w:r>
        <w:rPr>
          <w:spacing w:val="-33"/>
          <w:shd w:fill="D9D9D9" w:color="auto" w:val="clear"/>
        </w:rPr>
        <w:t> </w:t>
      </w:r>
      <w:r>
        <w:rPr>
          <w:shd w:fill="D9D9D9" w:color="auto" w:val="clear"/>
        </w:rPr>
        <w:t>180</w:t>
      </w:r>
      <w:r>
        <w:rPr>
          <w:spacing w:val="-36"/>
          <w:shd w:fill="D9D9D9" w:color="auto" w:val="clear"/>
        </w:rPr>
        <w:t> </w:t>
      </w:r>
      <w:r>
        <w:rPr>
          <w:spacing w:val="-63"/>
          <w:shd w:fill="D9D9D9" w:color="auto" w:val="clear"/>
        </w:rPr>
        <w:t>日</w:t>
      </w:r>
      <w:r>
        <w:rPr>
          <w:spacing w:val="-3"/>
          <w:shd w:fill="D9D9D9" w:color="auto" w:val="clear"/>
        </w:rPr>
        <w:t>（</w:t>
      </w:r>
      <w:r>
        <w:rPr>
          <w:shd w:fill="D9D9D9" w:color="auto" w:val="clear"/>
        </w:rPr>
        <w:t>这</w:t>
      </w:r>
      <w:r>
        <w:rPr>
          <w:w w:val="100"/>
        </w:rPr>
        <w:t> </w:t>
      </w:r>
      <w:r>
        <w:rPr>
          <w:w w:val="100"/>
          <w:shd w:fill="D9D9D9" w:color="auto" w:val="clear"/>
        </w:rPr>
        <w:t>180</w:t>
      </w:r>
      <w:r>
        <w:rPr>
          <w:spacing w:val="-53"/>
          <w:shd w:fill="D9D9D9" w:color="auto" w:val="clear"/>
        </w:rPr>
        <w:t> </w:t>
      </w:r>
      <w:r>
        <w:rPr>
          <w:spacing w:val="-3"/>
          <w:w w:val="100"/>
          <w:shd w:fill="D9D9D9" w:color="auto" w:val="clear"/>
        </w:rPr>
        <w:t>日</w:t>
      </w:r>
      <w:r>
        <w:rPr>
          <w:w w:val="100"/>
          <w:shd w:fill="D9D9D9" w:color="auto" w:val="clear"/>
        </w:rPr>
        <w:t>的</w:t>
      </w:r>
      <w:r>
        <w:rPr>
          <w:spacing w:val="-3"/>
          <w:w w:val="100"/>
          <w:shd w:fill="D9D9D9" w:color="auto" w:val="clear"/>
        </w:rPr>
        <w:t>时</w:t>
      </w:r>
      <w:r>
        <w:rPr>
          <w:spacing w:val="-1"/>
          <w:w w:val="100"/>
          <w:shd w:fill="D9D9D9" w:color="auto" w:val="clear"/>
        </w:rPr>
        <w:t>间</w:t>
      </w:r>
      <w:r>
        <w:rPr>
          <w:spacing w:val="-3"/>
          <w:w w:val="100"/>
          <w:shd w:fill="D9D9D9" w:color="auto" w:val="clear"/>
        </w:rPr>
        <w:t>段</w:t>
      </w:r>
      <w:r>
        <w:rPr>
          <w:w w:val="100"/>
          <w:shd w:fill="D9D9D9" w:color="auto" w:val="clear"/>
        </w:rPr>
        <w:t>称</w:t>
      </w:r>
      <w:r>
        <w:rPr>
          <w:spacing w:val="-20"/>
          <w:w w:val="100"/>
          <w:shd w:fill="D9D9D9" w:color="auto" w:val="clear"/>
        </w:rPr>
        <w:t>为</w:t>
      </w:r>
      <w:r>
        <w:rPr>
          <w:w w:val="100"/>
          <w:shd w:fill="D9D9D9" w:color="auto" w:val="clear"/>
        </w:rPr>
        <w:t>“</w:t>
      </w:r>
      <w:r>
        <w:rPr>
          <w:spacing w:val="-3"/>
          <w:w w:val="100"/>
          <w:shd w:fill="D9D9D9" w:color="auto" w:val="clear"/>
        </w:rPr>
        <w:t>等待</w:t>
      </w:r>
      <w:r>
        <w:rPr>
          <w:spacing w:val="-1"/>
          <w:w w:val="100"/>
          <w:shd w:fill="D9D9D9" w:color="auto" w:val="clear"/>
        </w:rPr>
        <w:t>期</w:t>
      </w:r>
      <w:r>
        <w:rPr>
          <w:spacing w:val="-106"/>
          <w:w w:val="100"/>
          <w:shd w:fill="D9D9D9" w:color="auto" w:val="clear"/>
        </w:rPr>
        <w:t>”</w:t>
      </w:r>
      <w:r>
        <w:rPr>
          <w:spacing w:val="-20"/>
          <w:w w:val="100"/>
          <w:shd w:fill="D9D9D9" w:color="auto" w:val="clear"/>
        </w:rPr>
        <w:t>）</w:t>
      </w:r>
      <w:r>
        <w:rPr>
          <w:w w:val="100"/>
          <w:shd w:fill="D9D9D9" w:color="auto" w:val="clear"/>
        </w:rPr>
        <w:t>内</w:t>
      </w:r>
      <w:r>
        <w:rPr>
          <w:spacing w:val="-3"/>
          <w:w w:val="100"/>
          <w:shd w:fill="D9D9D9" w:color="auto" w:val="clear"/>
        </w:rPr>
        <w:t>因</w:t>
      </w:r>
      <w:r>
        <w:rPr>
          <w:b/>
          <w:w w:val="100"/>
          <w:shd w:fill="D9D9D9" w:color="auto" w:val="clear"/>
        </w:rPr>
        <w:t>意外伤害</w:t>
      </w:r>
      <w:r>
        <w:rPr>
          <w:spacing w:val="-3"/>
          <w:w w:val="100"/>
          <w:shd w:fill="D9D9D9" w:color="auto" w:val="clear"/>
        </w:rPr>
        <w:t>以</w:t>
      </w:r>
      <w:r>
        <w:rPr>
          <w:w w:val="100"/>
          <w:shd w:fill="D9D9D9" w:color="auto" w:val="clear"/>
        </w:rPr>
        <w:t>外</w:t>
      </w:r>
      <w:r>
        <w:rPr>
          <w:spacing w:val="-3"/>
          <w:w w:val="100"/>
          <w:shd w:fill="D9D9D9" w:color="auto" w:val="clear"/>
        </w:rPr>
        <w:t>的</w:t>
      </w:r>
      <w:r>
        <w:rPr>
          <w:w w:val="100"/>
          <w:shd w:fill="D9D9D9" w:color="auto" w:val="clear"/>
        </w:rPr>
        <w:t>原因</w:t>
      </w:r>
      <w:r>
        <w:rPr>
          <w:spacing w:val="-3"/>
          <w:w w:val="100"/>
          <w:shd w:fill="D9D9D9" w:color="auto" w:val="clear"/>
        </w:rPr>
        <w:t>被</w:t>
      </w:r>
      <w:r>
        <w:rPr>
          <w:w w:val="100"/>
          <w:shd w:fill="D9D9D9" w:color="auto" w:val="clear"/>
        </w:rPr>
        <w:t>确</w:t>
      </w:r>
      <w:r>
        <w:rPr>
          <w:spacing w:val="-3"/>
          <w:w w:val="100"/>
          <w:shd w:fill="D9D9D9" w:color="auto" w:val="clear"/>
        </w:rPr>
        <w:t>诊</w:t>
      </w:r>
      <w:r>
        <w:rPr>
          <w:w w:val="100"/>
          <w:shd w:fill="D9D9D9" w:color="auto" w:val="clear"/>
        </w:rPr>
        <w:t>初</w:t>
      </w:r>
      <w:r>
        <w:rPr>
          <w:spacing w:val="-3"/>
          <w:w w:val="100"/>
          <w:shd w:fill="D9D9D9" w:color="auto" w:val="clear"/>
        </w:rPr>
        <w:t>次</w:t>
      </w:r>
      <w:r>
        <w:rPr>
          <w:w w:val="100"/>
          <w:shd w:fill="D9D9D9" w:color="auto" w:val="clear"/>
        </w:rPr>
        <w:t>发</w:t>
      </w:r>
      <w:r>
        <w:rPr>
          <w:spacing w:val="-3"/>
          <w:w w:val="100"/>
          <w:shd w:fill="D9D9D9" w:color="auto" w:val="clear"/>
        </w:rPr>
        <w:t>生</w:t>
      </w:r>
      <w:r>
        <w:rPr>
          <w:w w:val="100"/>
          <w:shd w:fill="D9D9D9" w:color="auto" w:val="clear"/>
        </w:rPr>
        <w:t>本</w:t>
      </w:r>
      <w:r>
        <w:rPr>
          <w:spacing w:val="-205"/>
          <w:w w:val="100"/>
          <w:shd w:fill="D9D9D9" w:color="auto" w:val="clear"/>
        </w:rPr>
        <w:t>合</w:t>
      </w:r>
      <w:r>
        <w:rPr>
          <w:shd w:fill="D9D9D9" w:color="auto" w:val="clear"/>
        </w:rPr>
        <w:t>同约定的</w:t>
      </w:r>
      <w:r>
        <w:rPr>
          <w:spacing w:val="-3"/>
          <w:shd w:fill="D9D9D9" w:color="auto" w:val="clear"/>
        </w:rPr>
        <w:t>重</w:t>
      </w:r>
      <w:r>
        <w:rPr>
          <w:shd w:fill="D9D9D9" w:color="auto" w:val="clear"/>
        </w:rPr>
        <w:t>大疾病</w:t>
      </w:r>
      <w:r>
        <w:rPr>
          <w:spacing w:val="-3"/>
          <w:shd w:fill="D9D9D9" w:color="auto" w:val="clear"/>
        </w:rPr>
        <w:t>、特</w:t>
      </w:r>
      <w:r>
        <w:rPr>
          <w:shd w:fill="D9D9D9" w:color="auto" w:val="clear"/>
        </w:rPr>
        <w:t>定癌症、特</w:t>
      </w:r>
      <w:r>
        <w:rPr>
          <w:spacing w:val="-3"/>
          <w:shd w:fill="D9D9D9" w:color="auto" w:val="clear"/>
        </w:rPr>
        <w:t>定</w:t>
      </w:r>
      <w:r>
        <w:rPr>
          <w:shd w:fill="D9D9D9" w:color="auto" w:val="clear"/>
        </w:rPr>
        <w:t>疾病或</w:t>
      </w:r>
      <w:r>
        <w:rPr>
          <w:spacing w:val="-3"/>
          <w:shd w:fill="D9D9D9" w:color="auto" w:val="clear"/>
        </w:rPr>
        <w:t>导致</w:t>
      </w:r>
      <w:r>
        <w:rPr>
          <w:shd w:fill="D9D9D9" w:color="auto" w:val="clear"/>
        </w:rPr>
        <w:t>身故</w:t>
      </w:r>
      <w:r>
        <w:rPr>
          <w:spacing w:val="-3"/>
          <w:shd w:fill="D9D9D9" w:color="auto" w:val="clear"/>
        </w:rPr>
        <w:t>、</w:t>
      </w:r>
      <w:r>
        <w:rPr>
          <w:b/>
          <w:shd w:fill="D9D9D9" w:color="auto" w:val="clear"/>
        </w:rPr>
        <w:t>全残</w:t>
      </w:r>
      <w:r>
        <w:rPr>
          <w:shd w:fill="D9D9D9" w:color="auto" w:val="clear"/>
        </w:rPr>
        <w:t>、达</w:t>
      </w:r>
      <w:r>
        <w:rPr>
          <w:spacing w:val="-3"/>
          <w:shd w:fill="D9D9D9" w:color="auto" w:val="clear"/>
        </w:rPr>
        <w:t>到</w:t>
      </w:r>
      <w:r>
        <w:rPr>
          <w:b/>
          <w:shd w:fill="D9D9D9" w:color="auto" w:val="clear"/>
        </w:rPr>
        <w:t>疾病终末期阶段</w:t>
      </w:r>
      <w:r>
        <w:rPr>
          <w:shd w:fill="D9D9D9" w:color="auto" w:val="clear"/>
        </w:rPr>
        <w:t>的，</w:t>
      </w:r>
      <w:r>
        <w:rPr>
          <w:spacing w:val="-3"/>
          <w:shd w:fill="D9D9D9" w:color="auto" w:val="clear"/>
        </w:rPr>
        <w:t>我</w:t>
      </w:r>
      <w:r>
        <w:rPr>
          <w:shd w:fill="D9D9D9" w:color="auto" w:val="clear"/>
        </w:rPr>
        <w:t>们无息</w:t>
      </w:r>
      <w:r>
        <w:rPr>
          <w:spacing w:val="-3"/>
          <w:shd w:fill="D9D9D9" w:color="auto" w:val="clear"/>
        </w:rPr>
        <w:t>退</w:t>
      </w:r>
      <w:r>
        <w:rPr>
          <w:shd w:fill="D9D9D9" w:color="auto" w:val="clear"/>
        </w:rPr>
        <w:t>还您根据本</w:t>
      </w:r>
      <w:r>
        <w:rPr>
          <w:spacing w:val="-3"/>
          <w:shd w:fill="D9D9D9" w:color="auto" w:val="clear"/>
        </w:rPr>
        <w:t>合</w:t>
      </w:r>
      <w:r>
        <w:rPr>
          <w:shd w:fill="D9D9D9" w:color="auto" w:val="clear"/>
        </w:rPr>
        <w:t>同的约</w:t>
      </w:r>
      <w:r>
        <w:rPr>
          <w:spacing w:val="-3"/>
          <w:shd w:fill="D9D9D9" w:color="auto" w:val="clear"/>
        </w:rPr>
        <w:t>定已</w:t>
      </w:r>
      <w:r>
        <w:rPr>
          <w:shd w:fill="D9D9D9" w:color="auto" w:val="clear"/>
        </w:rPr>
        <w:t>支付的保险</w:t>
      </w:r>
      <w:r>
        <w:rPr>
          <w:spacing w:val="-3"/>
          <w:shd w:fill="D9D9D9" w:color="auto" w:val="clear"/>
        </w:rPr>
        <w:t>费</w:t>
      </w:r>
      <w:r>
        <w:rPr>
          <w:shd w:fill="D9D9D9" w:color="auto" w:val="clear"/>
        </w:rPr>
        <w:t>，本合</w:t>
      </w:r>
      <w:r>
        <w:rPr>
          <w:spacing w:val="-3"/>
          <w:shd w:fill="D9D9D9" w:color="auto" w:val="clear"/>
        </w:rPr>
        <w:t>同</w:t>
      </w:r>
      <w:r>
        <w:rPr>
          <w:shd w:fill="D9D9D9" w:color="auto" w:val="clear"/>
        </w:rPr>
        <w:t>终 止。</w:t>
      </w:r>
    </w:p>
    <w:p>
      <w:pPr>
        <w:pStyle w:val="BodyText"/>
        <w:spacing w:before="126"/>
        <w:ind w:left="2692"/>
      </w:pPr>
      <w:r>
        <w:rPr/>
        <w:t>在本合同保险期间内，且本合同有效的前提下，若被保险人因遭受意外伤害</w:t>
      </w:r>
    </w:p>
    <w:p>
      <w:pPr>
        <w:spacing w:after="0"/>
        <w:sectPr>
          <w:type w:val="continuous"/>
          <w:pgSz w:w="11910" w:h="16840"/>
          <w:pgMar w:top="140" w:bottom="280" w:left="1020" w:right="1020"/>
        </w:sectPr>
      </w:pPr>
    </w:p>
    <w:p>
      <w:pPr>
        <w:pStyle w:val="BodyText"/>
        <w:spacing w:before="0"/>
        <w:ind w:left="0"/>
        <w:rPr>
          <w:sz w:val="24"/>
        </w:rPr>
      </w:pPr>
    </w:p>
    <w:p>
      <w:pPr>
        <w:pStyle w:val="BodyText"/>
        <w:spacing w:before="2"/>
        <w:ind w:left="0"/>
        <w:rPr>
          <w:sz w:val="34"/>
        </w:rPr>
      </w:pPr>
    </w:p>
    <w:p>
      <w:pPr>
        <w:pStyle w:val="BodyText"/>
        <w:spacing w:line="273" w:lineRule="auto" w:before="0"/>
        <w:ind w:left="259"/>
        <w:rPr>
          <w:rFonts w:ascii="宋体" w:eastAsia="宋体" w:hint="eastAsia"/>
        </w:rPr>
      </w:pPr>
      <w:r>
        <w:rPr>
          <w:rFonts w:ascii="宋体" w:eastAsia="宋体" w:hint="eastAsia"/>
        </w:rPr>
        <w:t>身故保险金或全残保险金</w:t>
      </w:r>
    </w:p>
    <w:p>
      <w:pPr>
        <w:pStyle w:val="BodyText"/>
        <w:spacing w:line="273" w:lineRule="auto" w:before="8"/>
        <w:ind w:left="259" w:right="234"/>
      </w:pPr>
      <w:r>
        <w:rPr/>
        <w:br w:type="column"/>
      </w:r>
      <w:r>
        <w:rPr/>
        <w:t>或在等待期后因意外伤害以外的原因发生以下保险事故，我们按以下约定承担保险责任：</w:t>
      </w:r>
    </w:p>
    <w:p>
      <w:pPr>
        <w:pStyle w:val="BodyText"/>
        <w:spacing w:line="273" w:lineRule="auto" w:before="149"/>
        <w:ind w:left="259" w:right="215"/>
      </w:pPr>
      <w:r>
        <w:rPr>
          <w:spacing w:val="-7"/>
        </w:rPr>
        <w:t>若被保险人于年满 </w:t>
      </w:r>
      <w:r>
        <w:rPr/>
        <w:t>18</w:t>
      </w:r>
      <w:r>
        <w:rPr>
          <w:spacing w:val="-12"/>
        </w:rPr>
        <w:t> 周岁后的首个合同生效日对应日前身故或全残，我们按</w:t>
      </w:r>
      <w:r>
        <w:rPr>
          <w:spacing w:val="-11"/>
          <w:w w:val="100"/>
        </w:rPr>
        <w:t>您已支付的保险费给付“身故保险金”或“全残保险金”，本合同终止。</w:t>
      </w:r>
    </w:p>
    <w:p>
      <w:pPr>
        <w:pStyle w:val="BodyText"/>
        <w:spacing w:before="7"/>
        <w:ind w:left="259"/>
      </w:pPr>
      <w:r>
        <w:rPr/>
        <w:t>若被保险人于年满 18 周岁后的首个合同生效日对应日后（若投保时被保险人</w:t>
      </w:r>
    </w:p>
    <w:p>
      <w:pPr>
        <w:pStyle w:val="BodyText"/>
        <w:spacing w:line="273" w:lineRule="auto" w:before="37"/>
        <w:ind w:left="259" w:right="234"/>
      </w:pPr>
      <w:r>
        <w:rPr>
          <w:spacing w:val="-13"/>
        </w:rPr>
        <w:t>年满 </w:t>
      </w:r>
      <w:r>
        <w:rPr/>
        <w:t>18</w:t>
      </w:r>
      <w:r>
        <w:rPr>
          <w:spacing w:val="-8"/>
        </w:rPr>
        <w:t> 周岁的,自合同生效日后</w:t>
      </w:r>
      <w:r>
        <w:rPr/>
        <w:t>）</w:t>
      </w:r>
      <w:r>
        <w:rPr>
          <w:spacing w:val="-3"/>
        </w:rPr>
        <w:t>身故或全残，我们按本合同的基本保险金</w:t>
      </w:r>
      <w:r>
        <w:rPr>
          <w:spacing w:val="-9"/>
          <w:w w:val="100"/>
        </w:rPr>
        <w:t>额给付“身故保险金”或“全残保险金”，本合同终止。</w:t>
      </w:r>
    </w:p>
    <w:p>
      <w:pPr>
        <w:pStyle w:val="BodyText"/>
        <w:spacing w:line="273" w:lineRule="auto" w:before="8"/>
        <w:ind w:left="259" w:right="234"/>
      </w:pPr>
      <w:r>
        <w:rPr/>
        <w:t>若已给付过特定疾病保险金，我们在给付身故保险金或全残保险金时，将扣除累计已给付的金额。</w:t>
      </w:r>
    </w:p>
    <w:p>
      <w:pPr>
        <w:spacing w:after="0" w:line="273" w:lineRule="auto"/>
        <w:sectPr>
          <w:pgSz w:w="11910" w:h="16840"/>
          <w:pgMar w:top="1380" w:bottom="280" w:left="1680" w:right="1020"/>
          <w:cols w:num="2" w:equalWidth="0">
            <w:col w:w="1522" w:space="251"/>
            <w:col w:w="7437"/>
          </w:cols>
        </w:sectPr>
      </w:pPr>
    </w:p>
    <w:p>
      <w:pPr>
        <w:pStyle w:val="BodyText"/>
        <w:spacing w:before="8"/>
        <w:ind w:left="0"/>
        <w:rPr>
          <w:sz w:val="8"/>
        </w:rPr>
      </w:pPr>
    </w:p>
    <w:p>
      <w:pPr>
        <w:pStyle w:val="BodyText"/>
        <w:tabs>
          <w:tab w:pos="2032" w:val="left" w:leader="none"/>
        </w:tabs>
        <w:spacing w:line="264" w:lineRule="auto" w:before="37"/>
        <w:ind w:left="2032" w:right="215" w:hanging="1774"/>
      </w:pPr>
      <w:r>
        <w:rPr>
          <w:rFonts w:ascii="宋体" w:hAnsi="宋体" w:eastAsia="宋体" w:hint="eastAsia"/>
          <w:position w:val="-1"/>
        </w:rPr>
        <w:t>重大</w:t>
      </w:r>
      <w:r>
        <w:rPr>
          <w:rFonts w:ascii="宋体" w:hAnsi="宋体" w:eastAsia="宋体" w:hint="eastAsia"/>
          <w:spacing w:val="-3"/>
          <w:position w:val="-1"/>
        </w:rPr>
        <w:t>疾</w:t>
      </w:r>
      <w:r>
        <w:rPr>
          <w:rFonts w:ascii="宋体" w:hAnsi="宋体" w:eastAsia="宋体" w:hint="eastAsia"/>
          <w:position w:val="-1"/>
        </w:rPr>
        <w:t>病</w:t>
      </w:r>
      <w:r>
        <w:rPr>
          <w:rFonts w:ascii="宋体" w:hAnsi="宋体" w:eastAsia="宋体" w:hint="eastAsia"/>
          <w:spacing w:val="-3"/>
          <w:position w:val="-1"/>
        </w:rPr>
        <w:t>保</w:t>
      </w:r>
      <w:r>
        <w:rPr>
          <w:rFonts w:ascii="宋体" w:hAnsi="宋体" w:eastAsia="宋体" w:hint="eastAsia"/>
          <w:position w:val="-1"/>
        </w:rPr>
        <w:t>险金</w:t>
        <w:tab/>
      </w:r>
      <w:r>
        <w:rPr/>
        <w:t>若被</w:t>
      </w:r>
      <w:r>
        <w:rPr>
          <w:spacing w:val="-3"/>
        </w:rPr>
        <w:t>保</w:t>
      </w:r>
      <w:r>
        <w:rPr/>
        <w:t>险</w:t>
      </w:r>
      <w:r>
        <w:rPr>
          <w:spacing w:val="-3"/>
        </w:rPr>
        <w:t>人</w:t>
      </w:r>
      <w:r>
        <w:rPr/>
        <w:t>于</w:t>
      </w:r>
      <w:r>
        <w:rPr>
          <w:spacing w:val="-3"/>
        </w:rPr>
        <w:t>年</w:t>
      </w:r>
      <w:r>
        <w:rPr/>
        <w:t>满</w:t>
      </w:r>
      <w:r>
        <w:rPr>
          <w:spacing w:val="-36"/>
        </w:rPr>
        <w:t> </w:t>
      </w:r>
      <w:r>
        <w:rPr/>
        <w:t>18</w:t>
      </w:r>
      <w:r>
        <w:rPr>
          <w:spacing w:val="-36"/>
        </w:rPr>
        <w:t> </w:t>
      </w:r>
      <w:r>
        <w:rPr>
          <w:spacing w:val="-3"/>
        </w:rPr>
        <w:t>周岁</w:t>
      </w:r>
      <w:r>
        <w:rPr/>
        <w:t>后的</w:t>
      </w:r>
      <w:r>
        <w:rPr>
          <w:spacing w:val="-3"/>
        </w:rPr>
        <w:t>首</w:t>
      </w:r>
      <w:r>
        <w:rPr/>
        <w:t>个</w:t>
      </w:r>
      <w:r>
        <w:rPr>
          <w:spacing w:val="-3"/>
        </w:rPr>
        <w:t>合</w:t>
      </w:r>
      <w:r>
        <w:rPr/>
        <w:t>同</w:t>
      </w:r>
      <w:r>
        <w:rPr>
          <w:spacing w:val="-3"/>
        </w:rPr>
        <w:t>生</w:t>
      </w:r>
      <w:r>
        <w:rPr/>
        <w:t>效</w:t>
      </w:r>
      <w:r>
        <w:rPr>
          <w:spacing w:val="-3"/>
        </w:rPr>
        <w:t>日</w:t>
      </w:r>
      <w:r>
        <w:rPr/>
        <w:t>对</w:t>
      </w:r>
      <w:r>
        <w:rPr>
          <w:spacing w:val="-3"/>
        </w:rPr>
        <w:t>应</w:t>
      </w:r>
      <w:r>
        <w:rPr/>
        <w:t>日前</w:t>
      </w:r>
      <w:r>
        <w:rPr>
          <w:spacing w:val="-3"/>
        </w:rPr>
        <w:t>被</w:t>
      </w:r>
      <w:r>
        <w:rPr/>
        <w:t>确</w:t>
      </w:r>
      <w:r>
        <w:rPr>
          <w:spacing w:val="-3"/>
        </w:rPr>
        <w:t>诊</w:t>
      </w:r>
      <w:r>
        <w:rPr/>
        <w:t>初</w:t>
      </w:r>
      <w:r>
        <w:rPr>
          <w:spacing w:val="-3"/>
        </w:rPr>
        <w:t>次</w:t>
      </w:r>
      <w:r>
        <w:rPr/>
        <w:t>发</w:t>
      </w:r>
      <w:r>
        <w:rPr>
          <w:spacing w:val="-3"/>
        </w:rPr>
        <w:t>生</w:t>
      </w:r>
      <w:r>
        <w:rPr/>
        <w:t>本</w:t>
      </w:r>
      <w:r>
        <w:rPr>
          <w:w w:val="100"/>
        </w:rPr>
        <w:t>合同</w:t>
      </w:r>
      <w:r>
        <w:rPr>
          <w:spacing w:val="-3"/>
          <w:w w:val="100"/>
        </w:rPr>
        <w:t>约</w:t>
      </w:r>
      <w:r>
        <w:rPr>
          <w:w w:val="100"/>
        </w:rPr>
        <w:t>定</w:t>
      </w:r>
      <w:r>
        <w:rPr>
          <w:spacing w:val="-3"/>
          <w:w w:val="100"/>
        </w:rPr>
        <w:t>的</w:t>
      </w:r>
      <w:r>
        <w:rPr>
          <w:w w:val="100"/>
        </w:rPr>
        <w:t>少</w:t>
      </w:r>
      <w:r>
        <w:rPr>
          <w:spacing w:val="-3"/>
          <w:w w:val="100"/>
        </w:rPr>
        <w:t>儿</w:t>
      </w:r>
      <w:r>
        <w:rPr>
          <w:w w:val="100"/>
        </w:rPr>
        <w:t>重</w:t>
      </w:r>
      <w:r>
        <w:rPr>
          <w:spacing w:val="-3"/>
          <w:w w:val="100"/>
        </w:rPr>
        <w:t>大</w:t>
      </w:r>
      <w:r>
        <w:rPr>
          <w:w w:val="100"/>
        </w:rPr>
        <w:t>疾</w:t>
      </w:r>
      <w:r>
        <w:rPr>
          <w:spacing w:val="-13"/>
          <w:w w:val="100"/>
        </w:rPr>
        <w:t>病</w:t>
      </w:r>
      <w:r>
        <w:rPr>
          <w:w w:val="100"/>
        </w:rPr>
        <w:t>（</w:t>
      </w:r>
      <w:r>
        <w:rPr>
          <w:spacing w:val="-3"/>
          <w:w w:val="100"/>
        </w:rPr>
        <w:t>无</w:t>
      </w:r>
      <w:r>
        <w:rPr>
          <w:w w:val="100"/>
        </w:rPr>
        <w:t>论</w:t>
      </w:r>
      <w:r>
        <w:rPr>
          <w:spacing w:val="-3"/>
          <w:w w:val="100"/>
        </w:rPr>
        <w:t>一</w:t>
      </w:r>
      <w:r>
        <w:rPr>
          <w:w w:val="100"/>
        </w:rPr>
        <w:t>种</w:t>
      </w:r>
      <w:r>
        <w:rPr>
          <w:spacing w:val="-3"/>
          <w:w w:val="100"/>
        </w:rPr>
        <w:t>或</w:t>
      </w:r>
      <w:r>
        <w:rPr>
          <w:w w:val="100"/>
        </w:rPr>
        <w:t>多</w:t>
      </w:r>
      <w:r>
        <w:rPr>
          <w:spacing w:val="-3"/>
          <w:w w:val="100"/>
        </w:rPr>
        <w:t>种</w:t>
      </w:r>
      <w:r>
        <w:rPr>
          <w:spacing w:val="-10"/>
          <w:w w:val="100"/>
        </w:rPr>
        <w:t>，</w:t>
      </w:r>
      <w:r>
        <w:rPr>
          <w:spacing w:val="-3"/>
          <w:w w:val="100"/>
        </w:rPr>
        <w:t>详见</w:t>
      </w:r>
      <w:r>
        <w:rPr>
          <w:w w:val="100"/>
        </w:rPr>
        <w:t>附件</w:t>
      </w:r>
      <w:r>
        <w:rPr>
          <w:spacing w:val="-53"/>
        </w:rPr>
        <w:t> </w:t>
      </w:r>
      <w:r>
        <w:rPr>
          <w:spacing w:val="-3"/>
          <w:w w:val="100"/>
        </w:rPr>
        <w:t>1</w:t>
      </w:r>
      <w:r>
        <w:rPr>
          <w:spacing w:val="-106"/>
          <w:w w:val="100"/>
        </w:rPr>
        <w:t>）</w:t>
      </w:r>
      <w:r>
        <w:rPr>
          <w:spacing w:val="-13"/>
          <w:w w:val="100"/>
        </w:rPr>
        <w:t>，</w:t>
      </w:r>
      <w:r>
        <w:rPr>
          <w:w w:val="100"/>
        </w:rPr>
        <w:t>我</w:t>
      </w:r>
      <w:r>
        <w:rPr>
          <w:spacing w:val="-3"/>
          <w:w w:val="100"/>
        </w:rPr>
        <w:t>们</w:t>
      </w:r>
      <w:r>
        <w:rPr>
          <w:w w:val="100"/>
        </w:rPr>
        <w:t>按</w:t>
      </w:r>
      <w:r>
        <w:rPr>
          <w:spacing w:val="-3"/>
          <w:w w:val="100"/>
        </w:rPr>
        <w:t>本</w:t>
      </w:r>
      <w:r>
        <w:rPr>
          <w:w w:val="100"/>
        </w:rPr>
        <w:t>合</w:t>
      </w:r>
      <w:r>
        <w:rPr>
          <w:spacing w:val="-3"/>
          <w:w w:val="100"/>
        </w:rPr>
        <w:t>同</w:t>
      </w:r>
      <w:r>
        <w:rPr>
          <w:w w:val="100"/>
        </w:rPr>
        <w:t>的基本</w:t>
      </w:r>
      <w:r>
        <w:rPr>
          <w:spacing w:val="-3"/>
          <w:w w:val="100"/>
        </w:rPr>
        <w:t>保</w:t>
      </w:r>
      <w:r>
        <w:rPr>
          <w:w w:val="100"/>
        </w:rPr>
        <w:t>险</w:t>
      </w:r>
      <w:r>
        <w:rPr>
          <w:spacing w:val="-3"/>
          <w:w w:val="100"/>
        </w:rPr>
        <w:t>金</w:t>
      </w:r>
      <w:r>
        <w:rPr>
          <w:w w:val="100"/>
        </w:rPr>
        <w:t>额</w:t>
      </w:r>
      <w:r>
        <w:rPr>
          <w:spacing w:val="-3"/>
          <w:w w:val="100"/>
        </w:rPr>
        <w:t>给</w:t>
      </w:r>
      <w:r>
        <w:rPr>
          <w:spacing w:val="-1"/>
          <w:w w:val="100"/>
        </w:rPr>
        <w:t>付</w:t>
      </w:r>
      <w:r>
        <w:rPr>
          <w:spacing w:val="-3"/>
          <w:w w:val="100"/>
        </w:rPr>
        <w:t>“</w:t>
      </w:r>
      <w:r>
        <w:rPr>
          <w:w w:val="100"/>
        </w:rPr>
        <w:t>重</w:t>
      </w:r>
      <w:r>
        <w:rPr>
          <w:spacing w:val="-3"/>
          <w:w w:val="100"/>
        </w:rPr>
        <w:t>大</w:t>
      </w:r>
      <w:r>
        <w:rPr>
          <w:w w:val="100"/>
        </w:rPr>
        <w:t>疾病</w:t>
      </w:r>
      <w:r>
        <w:rPr>
          <w:spacing w:val="-3"/>
          <w:w w:val="100"/>
        </w:rPr>
        <w:t>保</w:t>
      </w:r>
      <w:r>
        <w:rPr>
          <w:w w:val="100"/>
        </w:rPr>
        <w:t>险</w:t>
      </w:r>
      <w:r>
        <w:rPr>
          <w:spacing w:val="-3"/>
          <w:w w:val="100"/>
        </w:rPr>
        <w:t>金</w:t>
      </w:r>
      <w:r>
        <w:rPr>
          <w:spacing w:val="-106"/>
          <w:w w:val="100"/>
        </w:rPr>
        <w:t>”</w:t>
      </w:r>
      <w:r>
        <w:rPr>
          <w:spacing w:val="-3"/>
          <w:w w:val="100"/>
        </w:rPr>
        <w:t>，</w:t>
      </w:r>
      <w:r>
        <w:rPr>
          <w:w w:val="100"/>
        </w:rPr>
        <w:t>本</w:t>
      </w:r>
      <w:r>
        <w:rPr>
          <w:spacing w:val="-3"/>
          <w:w w:val="100"/>
        </w:rPr>
        <w:t>合</w:t>
      </w:r>
      <w:r>
        <w:rPr>
          <w:w w:val="100"/>
        </w:rPr>
        <w:t>同</w:t>
      </w:r>
      <w:r>
        <w:rPr>
          <w:spacing w:val="-3"/>
          <w:w w:val="100"/>
        </w:rPr>
        <w:t>终止</w:t>
      </w:r>
      <w:r>
        <w:rPr>
          <w:w w:val="100"/>
        </w:rPr>
        <w:t>。</w:t>
      </w:r>
    </w:p>
    <w:p>
      <w:pPr>
        <w:pStyle w:val="BodyText"/>
        <w:spacing w:before="40"/>
        <w:ind w:left="2032"/>
      </w:pPr>
      <w:r>
        <w:rPr/>
        <w:t>若被保险人于年满 18 周岁后的首个合同生效日对应日后（若投保时被保险人</w:t>
      </w:r>
    </w:p>
    <w:p>
      <w:pPr>
        <w:pStyle w:val="BodyText"/>
        <w:spacing w:line="280" w:lineRule="auto"/>
        <w:ind w:left="2051" w:right="213"/>
        <w:jc w:val="both"/>
      </w:pPr>
      <w:r>
        <w:rPr>
          <w:spacing w:val="-13"/>
        </w:rPr>
        <w:t>年满 </w:t>
      </w:r>
      <w:r>
        <w:rPr/>
        <w:t>18</w:t>
      </w:r>
      <w:r>
        <w:rPr>
          <w:spacing w:val="-7"/>
        </w:rPr>
        <w:t> 周岁的,自合同生效日后</w:t>
      </w:r>
      <w:r>
        <w:rPr/>
        <w:t>）</w:t>
      </w:r>
      <w:r>
        <w:rPr>
          <w:spacing w:val="-3"/>
        </w:rPr>
        <w:t>被确诊初次发生本合同约定的成人重大疾</w:t>
      </w:r>
      <w:r>
        <w:rPr>
          <w:spacing w:val="-12"/>
          <w:w w:val="100"/>
        </w:rPr>
        <w:t>病</w:t>
      </w:r>
      <w:r>
        <w:rPr>
          <w:spacing w:val="-3"/>
          <w:w w:val="100"/>
        </w:rPr>
        <w:t>（</w:t>
      </w:r>
      <w:r>
        <w:rPr>
          <w:spacing w:val="-5"/>
          <w:w w:val="100"/>
        </w:rPr>
        <w:t>无论一种或多种，详见附件</w:t>
      </w:r>
      <w:r>
        <w:rPr>
          <w:spacing w:val="-5"/>
        </w:rPr>
        <w:t> </w:t>
      </w:r>
      <w:r>
        <w:rPr>
          <w:w w:val="100"/>
        </w:rPr>
        <w:t>1</w:t>
      </w:r>
      <w:r>
        <w:rPr>
          <w:spacing w:val="-108"/>
          <w:w w:val="100"/>
        </w:rPr>
        <w:t>）</w:t>
      </w:r>
      <w:r>
        <w:rPr>
          <w:spacing w:val="-6"/>
          <w:w w:val="100"/>
        </w:rPr>
        <w:t>，我们按本合同的基本保险金额给付“重</w:t>
      </w:r>
      <w:r>
        <w:rPr>
          <w:spacing w:val="-13"/>
          <w:w w:val="100"/>
        </w:rPr>
        <w:t>大疾病保险金”，本合同终止。</w:t>
      </w:r>
    </w:p>
    <w:p>
      <w:pPr>
        <w:pStyle w:val="BodyText"/>
        <w:spacing w:line="280" w:lineRule="auto" w:before="8"/>
        <w:ind w:left="2051" w:right="213" w:hanging="20"/>
        <w:jc w:val="both"/>
      </w:pPr>
      <w:r>
        <w:rPr/>
        <w:t>若已给付过特定疾病保险金，我们在给付重大疾病保险金时，将扣除累计已给付的金额。</w:t>
      </w:r>
    </w:p>
    <w:p>
      <w:pPr>
        <w:pStyle w:val="BodyText"/>
        <w:spacing w:line="280" w:lineRule="auto" w:before="149"/>
        <w:ind w:left="2051" w:right="167" w:hanging="1793"/>
        <w:jc w:val="both"/>
      </w:pPr>
      <w:r>
        <w:rPr>
          <w:rFonts w:ascii="宋体" w:hAnsi="宋体" w:eastAsia="宋体" w:hint="eastAsia"/>
          <w:spacing w:val="-2"/>
        </w:rPr>
        <w:t>特定癌症关爱金  </w:t>
      </w:r>
      <w:r>
        <w:rPr>
          <w:spacing w:val="-1"/>
        </w:rPr>
        <w:t>若被保险人为男性且于 </w:t>
      </w:r>
      <w:r>
        <w:rPr/>
        <w:t>85</w:t>
      </w:r>
      <w:r>
        <w:rPr>
          <w:spacing w:val="-3"/>
        </w:rPr>
        <w:t> 周岁后首个合同生效日对应日前被确诊初次发生本合同约定的</w:t>
      </w:r>
      <w:r>
        <w:rPr>
          <w:b/>
          <w:spacing w:val="-7"/>
        </w:rPr>
        <w:t>男性特定癌症</w:t>
      </w:r>
      <w:r>
        <w:rPr>
          <w:spacing w:val="-3"/>
        </w:rPr>
        <w:t>（无论一种或多种</w:t>
      </w:r>
      <w:r>
        <w:rPr>
          <w:spacing w:val="-73"/>
        </w:rPr>
        <w:t>）</w:t>
      </w:r>
      <w:r>
        <w:rPr>
          <w:spacing w:val="-12"/>
        </w:rPr>
        <w:t>，我们在按上述约定给付“重</w:t>
      </w:r>
      <w:r>
        <w:rPr>
          <w:spacing w:val="-1"/>
        </w:rPr>
        <w:t>大</w:t>
      </w:r>
      <w:r>
        <w:rPr/>
        <w:t>疾</w:t>
      </w:r>
      <w:r>
        <w:rPr>
          <w:spacing w:val="-3"/>
        </w:rPr>
        <w:t>病</w:t>
      </w:r>
      <w:r>
        <w:rPr/>
        <w:t>保</w:t>
      </w:r>
      <w:r>
        <w:rPr>
          <w:spacing w:val="-3"/>
        </w:rPr>
        <w:t>险</w:t>
      </w:r>
      <w:r>
        <w:rPr/>
        <w:t>金</w:t>
      </w:r>
      <w:r>
        <w:rPr>
          <w:spacing w:val="-3"/>
        </w:rPr>
        <w:t>”</w:t>
      </w:r>
      <w:r>
        <w:rPr/>
        <w:t>后</w:t>
      </w:r>
      <w:r>
        <w:rPr>
          <w:spacing w:val="-3"/>
        </w:rPr>
        <w:t>，</w:t>
      </w:r>
      <w:r>
        <w:rPr/>
        <w:t>按</w:t>
      </w:r>
      <w:r>
        <w:rPr>
          <w:spacing w:val="-3"/>
        </w:rPr>
        <w:t>本</w:t>
      </w:r>
      <w:r>
        <w:rPr/>
        <w:t>合同</w:t>
      </w:r>
      <w:r>
        <w:rPr>
          <w:spacing w:val="-3"/>
        </w:rPr>
        <w:t>基</w:t>
      </w:r>
      <w:r>
        <w:rPr/>
        <w:t>本</w:t>
      </w:r>
      <w:r>
        <w:rPr>
          <w:spacing w:val="-3"/>
        </w:rPr>
        <w:t>保</w:t>
      </w:r>
      <w:r>
        <w:rPr/>
        <w:t>险</w:t>
      </w:r>
      <w:r>
        <w:rPr>
          <w:spacing w:val="-3"/>
        </w:rPr>
        <w:t>金额</w:t>
      </w:r>
      <w:r>
        <w:rPr/>
        <w:t>的</w:t>
      </w:r>
      <w:r>
        <w:rPr>
          <w:spacing w:val="-29"/>
        </w:rPr>
        <w:t> </w:t>
      </w:r>
      <w:r>
        <w:rPr>
          <w:spacing w:val="5"/>
          <w:w w:val="100"/>
        </w:rPr>
        <w:drawing>
          <wp:inline distT="0" distB="0" distL="0" distR="0">
            <wp:extent cx="60324" cy="10477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4" cy="104774"/>
                    </a:xfrm>
                    <a:prstGeom prst="rect">
                      <a:avLst/>
                    </a:prstGeom>
                  </pic:spPr>
                </pic:pic>
              </a:graphicData>
            </a:graphic>
          </wp:inline>
        </w:drawing>
      </w:r>
      <w:r>
        <w:rPr>
          <w:spacing w:val="5"/>
          <w:w w:val="100"/>
        </w:rPr>
      </w:r>
      <w:r>
        <w:rPr/>
        <w:t>给付</w:t>
      </w:r>
      <w:r>
        <w:rPr>
          <w:spacing w:val="-3"/>
        </w:rPr>
        <w:t>“</w:t>
      </w:r>
      <w:r>
        <w:rPr/>
        <w:t>特</w:t>
      </w:r>
      <w:r>
        <w:rPr>
          <w:spacing w:val="-3"/>
        </w:rPr>
        <w:t>定</w:t>
      </w:r>
      <w:r>
        <w:rPr/>
        <w:t>癌</w:t>
      </w:r>
      <w:r>
        <w:rPr>
          <w:spacing w:val="-3"/>
        </w:rPr>
        <w:t>症</w:t>
      </w:r>
      <w:r>
        <w:rPr/>
        <w:t>关</w:t>
      </w:r>
      <w:r>
        <w:rPr>
          <w:spacing w:val="-3"/>
        </w:rPr>
        <w:t>爱金</w:t>
      </w:r>
      <w:r>
        <w:rPr>
          <w:spacing w:val="-108"/>
        </w:rPr>
        <w:t>”</w:t>
      </w:r>
      <w:r>
        <w:rPr/>
        <w:t>。</w:t>
      </w:r>
    </w:p>
    <w:p>
      <w:pPr>
        <w:pStyle w:val="BodyText"/>
        <w:spacing w:line="280" w:lineRule="auto" w:before="3"/>
        <w:ind w:left="2051" w:right="167" w:hanging="20"/>
        <w:jc w:val="both"/>
      </w:pPr>
      <w:r>
        <w:rPr/>
        <w:t>若被保险人为女性且于 85</w:t>
      </w:r>
      <w:r>
        <w:rPr>
          <w:spacing w:val="-3"/>
        </w:rPr>
        <w:t> 周岁后首个合同生效日对应日前被确诊初次发生本合同约定的</w:t>
      </w:r>
      <w:r>
        <w:rPr>
          <w:b/>
          <w:spacing w:val="-7"/>
        </w:rPr>
        <w:t>女性特定癌症</w:t>
      </w:r>
      <w:r>
        <w:rPr>
          <w:spacing w:val="-3"/>
        </w:rPr>
        <w:t>（无论一种或多种</w:t>
      </w:r>
      <w:r>
        <w:rPr>
          <w:spacing w:val="-73"/>
        </w:rPr>
        <w:t>）</w:t>
      </w:r>
      <w:r>
        <w:rPr>
          <w:spacing w:val="-12"/>
        </w:rPr>
        <w:t>，我们在按上述约定给付“重</w:t>
      </w:r>
      <w:r>
        <w:rPr>
          <w:spacing w:val="-1"/>
        </w:rPr>
        <w:t>大</w:t>
      </w:r>
      <w:r>
        <w:rPr/>
        <w:t>疾</w:t>
      </w:r>
      <w:r>
        <w:rPr>
          <w:spacing w:val="-3"/>
        </w:rPr>
        <w:t>病</w:t>
      </w:r>
      <w:r>
        <w:rPr/>
        <w:t>保</w:t>
      </w:r>
      <w:r>
        <w:rPr>
          <w:spacing w:val="-3"/>
        </w:rPr>
        <w:t>险</w:t>
      </w:r>
      <w:r>
        <w:rPr/>
        <w:t>金</w:t>
      </w:r>
      <w:r>
        <w:rPr>
          <w:spacing w:val="-3"/>
        </w:rPr>
        <w:t>”</w:t>
      </w:r>
      <w:r>
        <w:rPr/>
        <w:t>后</w:t>
      </w:r>
      <w:r>
        <w:rPr>
          <w:spacing w:val="-3"/>
        </w:rPr>
        <w:t>，</w:t>
      </w:r>
      <w:r>
        <w:rPr/>
        <w:t>按</w:t>
      </w:r>
      <w:r>
        <w:rPr>
          <w:spacing w:val="-3"/>
        </w:rPr>
        <w:t>本</w:t>
      </w:r>
      <w:r>
        <w:rPr/>
        <w:t>合同</w:t>
      </w:r>
      <w:r>
        <w:rPr>
          <w:spacing w:val="-3"/>
        </w:rPr>
        <w:t>基</w:t>
      </w:r>
      <w:r>
        <w:rPr/>
        <w:t>本</w:t>
      </w:r>
      <w:r>
        <w:rPr>
          <w:spacing w:val="-3"/>
        </w:rPr>
        <w:t>保</w:t>
      </w:r>
      <w:r>
        <w:rPr/>
        <w:t>险</w:t>
      </w:r>
      <w:r>
        <w:rPr>
          <w:spacing w:val="-3"/>
        </w:rPr>
        <w:t>金额</w:t>
      </w:r>
      <w:r>
        <w:rPr/>
        <w:t>的</w:t>
      </w:r>
      <w:r>
        <w:rPr>
          <w:spacing w:val="-29"/>
        </w:rPr>
        <w:t> </w:t>
      </w:r>
      <w:r>
        <w:rPr>
          <w:spacing w:val="5"/>
          <w:w w:val="100"/>
        </w:rPr>
        <w:drawing>
          <wp:inline distT="0" distB="0" distL="0" distR="0">
            <wp:extent cx="60324" cy="104774"/>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4" cy="104774"/>
                    </a:xfrm>
                    <a:prstGeom prst="rect">
                      <a:avLst/>
                    </a:prstGeom>
                  </pic:spPr>
                </pic:pic>
              </a:graphicData>
            </a:graphic>
          </wp:inline>
        </w:drawing>
      </w:r>
      <w:r>
        <w:rPr>
          <w:spacing w:val="5"/>
          <w:w w:val="100"/>
        </w:rPr>
      </w:r>
      <w:r>
        <w:rPr/>
        <w:t>给付</w:t>
      </w:r>
      <w:r>
        <w:rPr>
          <w:spacing w:val="-3"/>
        </w:rPr>
        <w:t>“</w:t>
      </w:r>
      <w:r>
        <w:rPr/>
        <w:t>特</w:t>
      </w:r>
      <w:r>
        <w:rPr>
          <w:spacing w:val="-3"/>
        </w:rPr>
        <w:t>定</w:t>
      </w:r>
      <w:r>
        <w:rPr/>
        <w:t>癌</w:t>
      </w:r>
      <w:r>
        <w:rPr>
          <w:spacing w:val="-3"/>
        </w:rPr>
        <w:t>症</w:t>
      </w:r>
      <w:r>
        <w:rPr/>
        <w:t>关</w:t>
      </w:r>
      <w:r>
        <w:rPr>
          <w:spacing w:val="-3"/>
        </w:rPr>
        <w:t>爱金</w:t>
      </w:r>
      <w:r>
        <w:rPr>
          <w:spacing w:val="-108"/>
        </w:rPr>
        <w:t>”</w:t>
      </w:r>
      <w:r>
        <w:rPr/>
        <w:t>。</w:t>
      </w:r>
    </w:p>
    <w:p>
      <w:pPr>
        <w:pStyle w:val="BodyText"/>
        <w:tabs>
          <w:tab w:pos="2032" w:val="left" w:leader="none"/>
        </w:tabs>
        <w:spacing w:line="264" w:lineRule="auto" w:before="121"/>
        <w:ind w:left="2032" w:right="234" w:hanging="1774"/>
      </w:pPr>
      <w:r>
        <w:rPr>
          <w:rFonts w:ascii="宋体" w:hAnsi="宋体" w:eastAsia="宋体" w:hint="eastAsia"/>
          <w:position w:val="-1"/>
        </w:rPr>
        <w:t>生命</w:t>
      </w:r>
      <w:r>
        <w:rPr>
          <w:rFonts w:ascii="宋体" w:hAnsi="宋体" w:eastAsia="宋体" w:hint="eastAsia"/>
          <w:spacing w:val="-3"/>
          <w:position w:val="-1"/>
        </w:rPr>
        <w:t>关</w:t>
      </w:r>
      <w:r>
        <w:rPr>
          <w:rFonts w:ascii="宋体" w:hAnsi="宋体" w:eastAsia="宋体" w:hint="eastAsia"/>
          <w:position w:val="-1"/>
        </w:rPr>
        <w:t>爱</w:t>
      </w:r>
      <w:r>
        <w:rPr>
          <w:rFonts w:ascii="宋体" w:hAnsi="宋体" w:eastAsia="宋体" w:hint="eastAsia"/>
          <w:spacing w:val="-3"/>
          <w:position w:val="-1"/>
        </w:rPr>
        <w:t>保</w:t>
      </w:r>
      <w:r>
        <w:rPr>
          <w:rFonts w:ascii="宋体" w:hAnsi="宋体" w:eastAsia="宋体" w:hint="eastAsia"/>
          <w:position w:val="-1"/>
        </w:rPr>
        <w:t>险金</w:t>
        <w:tab/>
      </w:r>
      <w:r>
        <w:rPr/>
        <w:t>若被</w:t>
      </w:r>
      <w:r>
        <w:rPr>
          <w:spacing w:val="-3"/>
        </w:rPr>
        <w:t>保</w:t>
      </w:r>
      <w:r>
        <w:rPr/>
        <w:t>险</w:t>
      </w:r>
      <w:r>
        <w:rPr>
          <w:spacing w:val="-3"/>
        </w:rPr>
        <w:t>人</w:t>
      </w:r>
      <w:r>
        <w:rPr/>
        <w:t>于</w:t>
      </w:r>
      <w:r>
        <w:rPr>
          <w:spacing w:val="-3"/>
        </w:rPr>
        <w:t>年</w:t>
      </w:r>
      <w:r>
        <w:rPr/>
        <w:t>满</w:t>
      </w:r>
      <w:r>
        <w:rPr>
          <w:spacing w:val="-37"/>
        </w:rPr>
        <w:t> </w:t>
      </w:r>
      <w:r>
        <w:rPr/>
        <w:t>18</w:t>
      </w:r>
      <w:r>
        <w:rPr>
          <w:spacing w:val="-37"/>
        </w:rPr>
        <w:t> </w:t>
      </w:r>
      <w:r>
        <w:rPr>
          <w:spacing w:val="-3"/>
        </w:rPr>
        <w:t>周岁</w:t>
      </w:r>
      <w:r>
        <w:rPr/>
        <w:t>后的</w:t>
      </w:r>
      <w:r>
        <w:rPr>
          <w:spacing w:val="-3"/>
        </w:rPr>
        <w:t>首</w:t>
      </w:r>
      <w:r>
        <w:rPr/>
        <w:t>个</w:t>
      </w:r>
      <w:r>
        <w:rPr>
          <w:spacing w:val="-3"/>
        </w:rPr>
        <w:t>合</w:t>
      </w:r>
      <w:r>
        <w:rPr/>
        <w:t>同</w:t>
      </w:r>
      <w:r>
        <w:rPr>
          <w:spacing w:val="-3"/>
        </w:rPr>
        <w:t>生</w:t>
      </w:r>
      <w:r>
        <w:rPr/>
        <w:t>效</w:t>
      </w:r>
      <w:r>
        <w:rPr>
          <w:spacing w:val="-3"/>
        </w:rPr>
        <w:t>日</w:t>
      </w:r>
      <w:r>
        <w:rPr/>
        <w:t>对</w:t>
      </w:r>
      <w:r>
        <w:rPr>
          <w:spacing w:val="-3"/>
        </w:rPr>
        <w:t>应</w:t>
      </w:r>
      <w:r>
        <w:rPr/>
        <w:t>日前</w:t>
      </w:r>
      <w:r>
        <w:rPr>
          <w:spacing w:val="-3"/>
        </w:rPr>
        <w:t>初</w:t>
      </w:r>
      <w:r>
        <w:rPr/>
        <w:t>次</w:t>
      </w:r>
      <w:r>
        <w:rPr>
          <w:spacing w:val="-3"/>
        </w:rPr>
        <w:t>发</w:t>
      </w:r>
      <w:r>
        <w:rPr/>
        <w:t>生</w:t>
      </w:r>
      <w:r>
        <w:rPr>
          <w:spacing w:val="-3"/>
        </w:rPr>
        <w:t>并被</w:t>
      </w:r>
      <w:r>
        <w:rPr>
          <w:b/>
        </w:rPr>
        <w:t>专科医生</w:t>
      </w:r>
      <w:r>
        <w:rPr/>
        <w:t>确</w:t>
      </w:r>
      <w:r>
        <w:rPr>
          <w:spacing w:val="-3"/>
        </w:rPr>
        <w:t>诊</w:t>
      </w:r>
      <w:r>
        <w:rPr/>
        <w:t>达</w:t>
      </w:r>
      <w:r>
        <w:rPr>
          <w:spacing w:val="-3"/>
        </w:rPr>
        <w:t>到</w:t>
      </w:r>
      <w:r>
        <w:rPr/>
        <w:t>疾</w:t>
      </w:r>
      <w:r>
        <w:rPr>
          <w:spacing w:val="-3"/>
        </w:rPr>
        <w:t>病</w:t>
      </w:r>
      <w:r>
        <w:rPr/>
        <w:t>终</w:t>
      </w:r>
      <w:r>
        <w:rPr>
          <w:spacing w:val="-3"/>
        </w:rPr>
        <w:t>末期</w:t>
      </w:r>
      <w:r>
        <w:rPr/>
        <w:t>阶段</w:t>
      </w:r>
      <w:r>
        <w:rPr>
          <w:spacing w:val="-3"/>
        </w:rPr>
        <w:t>，</w:t>
      </w:r>
      <w:r>
        <w:rPr/>
        <w:t>我</w:t>
      </w:r>
      <w:r>
        <w:rPr>
          <w:spacing w:val="-3"/>
        </w:rPr>
        <w:t>们</w:t>
      </w:r>
      <w:r>
        <w:rPr/>
        <w:t>按</w:t>
      </w:r>
      <w:r>
        <w:rPr>
          <w:spacing w:val="-3"/>
        </w:rPr>
        <w:t>您</w:t>
      </w:r>
      <w:r>
        <w:rPr/>
        <w:t>已</w:t>
      </w:r>
      <w:r>
        <w:rPr>
          <w:spacing w:val="-3"/>
        </w:rPr>
        <w:t>支</w:t>
      </w:r>
      <w:r>
        <w:rPr/>
        <w:t>付</w:t>
      </w:r>
      <w:r>
        <w:rPr>
          <w:spacing w:val="-3"/>
        </w:rPr>
        <w:t>的</w:t>
      </w:r>
      <w:r>
        <w:rPr/>
        <w:t>保险</w:t>
      </w:r>
      <w:r>
        <w:rPr>
          <w:spacing w:val="-3"/>
        </w:rPr>
        <w:t>费</w:t>
      </w:r>
      <w:r>
        <w:rPr/>
        <w:t>给</w:t>
      </w:r>
      <w:r>
        <w:rPr>
          <w:spacing w:val="-3"/>
        </w:rPr>
        <w:t>付</w:t>
      </w:r>
      <w:r>
        <w:rPr/>
        <w:t>“</w:t>
      </w:r>
      <w:r>
        <w:rPr>
          <w:spacing w:val="-3"/>
        </w:rPr>
        <w:t>生</w:t>
      </w:r>
      <w:r>
        <w:rPr/>
        <w:t>命</w:t>
      </w:r>
      <w:r>
        <w:rPr>
          <w:spacing w:val="-3"/>
        </w:rPr>
        <w:t>关</w:t>
      </w:r>
      <w:r>
        <w:rPr/>
        <w:t>爱保</w:t>
      </w:r>
      <w:r>
        <w:rPr>
          <w:w w:val="100"/>
        </w:rPr>
        <w:t>险金</w:t>
      </w:r>
      <w:r>
        <w:rPr>
          <w:spacing w:val="-109"/>
          <w:w w:val="100"/>
        </w:rPr>
        <w:t>”</w:t>
      </w:r>
      <w:r>
        <w:rPr>
          <w:w w:val="100"/>
        </w:rPr>
        <w:t>，</w:t>
      </w:r>
      <w:r>
        <w:rPr>
          <w:spacing w:val="-3"/>
          <w:w w:val="100"/>
        </w:rPr>
        <w:t>本</w:t>
      </w:r>
      <w:r>
        <w:rPr>
          <w:w w:val="100"/>
        </w:rPr>
        <w:t>合</w:t>
      </w:r>
      <w:r>
        <w:rPr>
          <w:spacing w:val="-3"/>
          <w:w w:val="100"/>
        </w:rPr>
        <w:t>同</w:t>
      </w:r>
      <w:r>
        <w:rPr>
          <w:w w:val="100"/>
        </w:rPr>
        <w:t>终</w:t>
      </w:r>
      <w:r>
        <w:rPr>
          <w:spacing w:val="-3"/>
          <w:w w:val="100"/>
        </w:rPr>
        <w:t>止</w:t>
      </w:r>
      <w:r>
        <w:rPr>
          <w:w w:val="100"/>
        </w:rPr>
        <w:t>。</w:t>
      </w:r>
    </w:p>
    <w:p>
      <w:pPr>
        <w:pStyle w:val="BodyText"/>
        <w:spacing w:before="15"/>
        <w:ind w:left="2032"/>
      </w:pPr>
      <w:r>
        <w:rPr/>
        <w:t>若被保险人于年满 18 周岁后的首个合同生效日对应日后（若投保时被保险人</w:t>
      </w:r>
    </w:p>
    <w:p>
      <w:pPr>
        <w:pStyle w:val="BodyText"/>
        <w:spacing w:line="283" w:lineRule="auto" w:before="36"/>
        <w:ind w:left="2032" w:right="109"/>
      </w:pPr>
      <w:r>
        <w:rPr>
          <w:spacing w:val="-16"/>
        </w:rPr>
        <w:t>年满 </w:t>
      </w:r>
      <w:r>
        <w:rPr/>
        <w:t>18</w:t>
      </w:r>
      <w:r>
        <w:rPr>
          <w:spacing w:val="-8"/>
        </w:rPr>
        <w:t> 周岁的,自合同生效日后</w:t>
      </w:r>
      <w:r>
        <w:rPr/>
        <w:t>）</w:t>
      </w:r>
      <w:r>
        <w:rPr>
          <w:spacing w:val="-3"/>
        </w:rPr>
        <w:t>初次发生并被专科医生确诊达到疾病终末</w:t>
      </w:r>
      <w:r>
        <w:rPr>
          <w:spacing w:val="-19"/>
        </w:rPr>
        <w:t>期阶段，我们按本合同的基本保险金额给付“生命关爱保险金”，本合同终止。</w:t>
      </w:r>
      <w:r>
        <w:rPr>
          <w:spacing w:val="-12"/>
        </w:rPr>
        <w:t>若已给付过特定疾病保险金，我们在给付生命关爱保险金时，将扣除累计已</w:t>
      </w:r>
      <w:r>
        <w:rPr>
          <w:spacing w:val="-6"/>
        </w:rPr>
        <w:t>给付的金额。</w:t>
      </w:r>
    </w:p>
    <w:p>
      <w:pPr>
        <w:pStyle w:val="BodyText"/>
        <w:spacing w:line="266" w:lineRule="auto" w:before="123"/>
        <w:ind w:left="2032" w:right="287" w:hanging="1774"/>
        <w:jc w:val="both"/>
      </w:pPr>
      <w:r>
        <w:rPr>
          <w:rFonts w:ascii="宋体" w:hAnsi="宋体" w:eastAsia="宋体" w:hint="eastAsia"/>
          <w:spacing w:val="-1"/>
          <w:position w:val="-1"/>
        </w:rPr>
        <w:t>特定疾病保险金  </w:t>
      </w:r>
      <w:r>
        <w:rPr>
          <w:spacing w:val="-9"/>
        </w:rPr>
        <w:t>若被保险人于年满 </w:t>
      </w:r>
      <w:r>
        <w:rPr/>
        <w:t>18</w:t>
      </w:r>
      <w:r>
        <w:rPr>
          <w:spacing w:val="-9"/>
        </w:rPr>
        <w:t> 周岁后的首个合同生效日对应日前被确诊初次发生本</w:t>
      </w:r>
      <w:r>
        <w:rPr>
          <w:spacing w:val="-5"/>
        </w:rPr>
        <w:t>合同约定的十种少儿特定疾病</w:t>
      </w:r>
      <w:r>
        <w:rPr>
          <w:spacing w:val="-3"/>
        </w:rPr>
        <w:t>（</w:t>
      </w:r>
      <w:r>
        <w:rPr>
          <w:spacing w:val="-8"/>
        </w:rPr>
        <w:t>详见附件 </w:t>
      </w:r>
      <w:r>
        <w:rPr/>
        <w:t>1）</w:t>
      </w:r>
      <w:r>
        <w:rPr>
          <w:spacing w:val="-3"/>
        </w:rPr>
        <w:t>之一，我们按本合同基本保险金额</w:t>
      </w:r>
      <w:r>
        <w:rPr/>
        <w:t>的</w:t>
      </w:r>
      <w:r>
        <w:rPr>
          <w:spacing w:val="-50"/>
        </w:rPr>
        <w:t> </w:t>
      </w:r>
      <w:r>
        <w:rPr>
          <w:spacing w:val="5"/>
          <w:w w:val="100"/>
        </w:rPr>
        <w:drawing>
          <wp:inline distT="0" distB="0" distL="0" distR="0">
            <wp:extent cx="60324" cy="104774"/>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4" cy="104774"/>
                    </a:xfrm>
                    <a:prstGeom prst="rect">
                      <a:avLst/>
                    </a:prstGeom>
                  </pic:spPr>
                </pic:pic>
              </a:graphicData>
            </a:graphic>
          </wp:inline>
        </w:drawing>
      </w:r>
      <w:r>
        <w:rPr>
          <w:spacing w:val="5"/>
          <w:w w:val="100"/>
        </w:rPr>
      </w:r>
      <w:r>
        <w:rPr>
          <w:spacing w:val="-1"/>
        </w:rPr>
        <w:t>给</w:t>
      </w:r>
      <w:r>
        <w:rPr>
          <w:spacing w:val="-3"/>
        </w:rPr>
        <w:t>付</w:t>
      </w:r>
      <w:r>
        <w:rPr/>
        <w:t>“</w:t>
      </w:r>
      <w:r>
        <w:rPr>
          <w:spacing w:val="-3"/>
        </w:rPr>
        <w:t>特</w:t>
      </w:r>
      <w:r>
        <w:rPr/>
        <w:t>定</w:t>
      </w:r>
      <w:r>
        <w:rPr>
          <w:spacing w:val="-3"/>
        </w:rPr>
        <w:t>疾</w:t>
      </w:r>
      <w:r>
        <w:rPr/>
        <w:t>病保</w:t>
      </w:r>
      <w:r>
        <w:rPr>
          <w:spacing w:val="-3"/>
        </w:rPr>
        <w:t>险</w:t>
      </w:r>
      <w:r>
        <w:rPr/>
        <w:t>金</w:t>
      </w:r>
      <w:r>
        <w:rPr>
          <w:spacing w:val="-108"/>
        </w:rPr>
        <w:t>”</w:t>
      </w:r>
      <w:r>
        <w:rPr/>
        <w:t>。</w:t>
      </w:r>
    </w:p>
    <w:p>
      <w:pPr>
        <w:pStyle w:val="BodyText"/>
        <w:spacing w:before="32"/>
        <w:ind w:left="2032"/>
      </w:pPr>
      <w:r>
        <w:rPr/>
        <w:t>若被保险人于年满 18 周岁后的首个合同生效日对应日后（若投保时被保险人</w:t>
      </w:r>
    </w:p>
    <w:p>
      <w:pPr>
        <w:pStyle w:val="BodyText"/>
        <w:spacing w:line="280" w:lineRule="auto" w:before="46"/>
        <w:ind w:left="2051" w:right="212"/>
        <w:jc w:val="both"/>
      </w:pPr>
      <w:r>
        <w:rPr>
          <w:spacing w:val="-15"/>
        </w:rPr>
        <w:t>年满 </w:t>
      </w:r>
      <w:r>
        <w:rPr/>
        <w:t>18</w:t>
      </w:r>
      <w:r>
        <w:rPr>
          <w:spacing w:val="-8"/>
        </w:rPr>
        <w:t> 周岁的,自合同生效日后</w:t>
      </w:r>
      <w:r>
        <w:rPr>
          <w:spacing w:val="-104"/>
        </w:rPr>
        <w:t>）</w:t>
      </w:r>
      <w:r>
        <w:rPr>
          <w:spacing w:val="-10"/>
        </w:rPr>
        <w:t>至被保险人 </w:t>
      </w:r>
      <w:r>
        <w:rPr/>
        <w:t>85</w:t>
      </w:r>
      <w:r>
        <w:rPr>
          <w:spacing w:val="-8"/>
        </w:rPr>
        <w:t> 周岁后首个合同生效日对应</w:t>
      </w:r>
      <w:r>
        <w:rPr>
          <w:spacing w:val="-5"/>
        </w:rPr>
        <w:t>日前被确诊初次发生本合同约定的十种成人特定疾病</w:t>
      </w:r>
      <w:r>
        <w:rPr/>
        <w:t>（</w:t>
      </w:r>
      <w:r>
        <w:rPr>
          <w:spacing w:val="2"/>
        </w:rPr>
        <w:t>详见附件 </w:t>
      </w:r>
      <w:r>
        <w:rPr/>
        <w:t>1）</w:t>
      </w:r>
      <w:r>
        <w:rPr>
          <w:spacing w:val="-2"/>
        </w:rPr>
        <w:t>之一， </w:t>
      </w:r>
      <w:r>
        <w:rPr>
          <w:spacing w:val="-1"/>
        </w:rPr>
        <w:t>我</w:t>
      </w:r>
      <w:r>
        <w:rPr/>
        <w:t>们</w:t>
      </w:r>
      <w:r>
        <w:rPr>
          <w:spacing w:val="-3"/>
        </w:rPr>
        <w:t>按</w:t>
      </w:r>
      <w:r>
        <w:rPr/>
        <w:t>本</w:t>
      </w:r>
      <w:r>
        <w:rPr>
          <w:spacing w:val="-3"/>
        </w:rPr>
        <w:t>合</w:t>
      </w:r>
      <w:r>
        <w:rPr/>
        <w:t>同</w:t>
      </w:r>
      <w:r>
        <w:rPr>
          <w:spacing w:val="-3"/>
        </w:rPr>
        <w:t>基</w:t>
      </w:r>
      <w:r>
        <w:rPr/>
        <w:t>本</w:t>
      </w:r>
      <w:r>
        <w:rPr>
          <w:spacing w:val="-3"/>
        </w:rPr>
        <w:t>保</w:t>
      </w:r>
      <w:r>
        <w:rPr/>
        <w:t>险</w:t>
      </w:r>
      <w:r>
        <w:rPr>
          <w:spacing w:val="-3"/>
        </w:rPr>
        <w:t>金</w:t>
      </w:r>
      <w:r>
        <w:rPr/>
        <w:t>额的</w:t>
      </w:r>
      <w:r>
        <w:rPr>
          <w:spacing w:val="-38"/>
        </w:rPr>
        <w:t> </w:t>
      </w:r>
      <w:r>
        <w:rPr>
          <w:spacing w:val="5"/>
          <w:w w:val="100"/>
        </w:rPr>
        <w:drawing>
          <wp:inline distT="0" distB="0" distL="0" distR="0">
            <wp:extent cx="60324" cy="104774"/>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4" cy="104774"/>
                    </a:xfrm>
                    <a:prstGeom prst="rect">
                      <a:avLst/>
                    </a:prstGeom>
                  </pic:spPr>
                </pic:pic>
              </a:graphicData>
            </a:graphic>
          </wp:inline>
        </w:drawing>
      </w:r>
      <w:r>
        <w:rPr>
          <w:spacing w:val="5"/>
          <w:w w:val="100"/>
        </w:rPr>
      </w:r>
      <w:r>
        <w:rPr>
          <w:spacing w:val="-3"/>
        </w:rPr>
        <w:t>给</w:t>
      </w:r>
      <w:r>
        <w:rPr/>
        <w:t>付</w:t>
      </w:r>
      <w:r>
        <w:rPr>
          <w:spacing w:val="-3"/>
        </w:rPr>
        <w:t>“</w:t>
      </w:r>
      <w:r>
        <w:rPr/>
        <w:t>特</w:t>
      </w:r>
      <w:r>
        <w:rPr>
          <w:spacing w:val="-3"/>
        </w:rPr>
        <w:t>定</w:t>
      </w:r>
      <w:r>
        <w:rPr/>
        <w:t>疾</w:t>
      </w:r>
      <w:r>
        <w:rPr>
          <w:spacing w:val="-3"/>
        </w:rPr>
        <w:t>病</w:t>
      </w:r>
      <w:r>
        <w:rPr/>
        <w:t>保险</w:t>
      </w:r>
      <w:r>
        <w:rPr>
          <w:spacing w:val="-3"/>
        </w:rPr>
        <w:t>金</w:t>
      </w:r>
      <w:r>
        <w:rPr>
          <w:spacing w:val="-106"/>
        </w:rPr>
        <w:t>”</w:t>
      </w:r>
      <w:r>
        <w:rPr/>
        <w:t>。</w:t>
      </w:r>
    </w:p>
    <w:p>
      <w:pPr>
        <w:pStyle w:val="BodyText"/>
        <w:spacing w:before="6"/>
        <w:ind w:left="2032"/>
        <w:jc w:val="both"/>
      </w:pPr>
      <w:r>
        <w:rPr/>
        <w:t>同一种特定疾病的该项给付仅限一次，且每次给付金额以人民币 100,000 元</w:t>
      </w:r>
    </w:p>
    <w:p>
      <w:pPr>
        <w:pStyle w:val="BodyText"/>
        <w:ind w:left="2051"/>
        <w:jc w:val="both"/>
      </w:pPr>
      <w:r>
        <w:rPr/>
        <w:t>为限。特定疾病保险金最多给付 3 次，给付满 3 次后，本项保险责任终止。</w:t>
      </w:r>
    </w:p>
    <w:p>
      <w:pPr>
        <w:spacing w:after="0"/>
        <w:jc w:val="both"/>
        <w:sectPr>
          <w:type w:val="continuous"/>
          <w:pgSz w:w="11910" w:h="16840"/>
          <w:pgMar w:top="140" w:bottom="280" w:left="1680" w:right="1020"/>
        </w:sectPr>
      </w:pPr>
    </w:p>
    <w:p>
      <w:pPr>
        <w:pStyle w:val="BodyText"/>
        <w:spacing w:line="278" w:lineRule="auto" w:before="12"/>
        <w:ind w:left="919"/>
        <w:rPr>
          <w:rFonts w:ascii="宋体" w:eastAsia="宋体" w:hint="eastAsia"/>
        </w:rPr>
      </w:pPr>
      <w:r>
        <w:rPr>
          <w:rFonts w:ascii="宋体" w:eastAsia="宋体" w:hint="eastAsia"/>
        </w:rPr>
        <w:t>特定疾病豁免保险费</w:t>
      </w:r>
    </w:p>
    <w:p>
      <w:pPr>
        <w:pStyle w:val="BodyText"/>
        <w:spacing w:line="278" w:lineRule="auto" w:before="12"/>
        <w:ind w:left="278" w:right="213" w:hanging="20"/>
        <w:jc w:val="both"/>
      </w:pPr>
      <w:r>
        <w:rPr/>
        <w:br w:type="column"/>
      </w:r>
      <w:r>
        <w:rPr/>
        <w:t>若被保险人被确诊初次发生本合同约定的特定疾病之一且我们按上述约定给付特定疾病保险金的，我们将豁免以后的续期保险费。已获豁免的保险费视为已支付，本合同继续有效。</w:t>
      </w:r>
    </w:p>
    <w:p>
      <w:pPr>
        <w:spacing w:after="0" w:line="278" w:lineRule="auto"/>
        <w:jc w:val="both"/>
        <w:sectPr>
          <w:pgSz w:w="11910" w:h="16840"/>
          <w:pgMar w:top="1400" w:bottom="280" w:left="1020" w:right="1020"/>
          <w:cols w:num="2" w:equalWidth="0">
            <w:col w:w="2393" w:space="40"/>
            <w:col w:w="7437"/>
          </w:cols>
        </w:sectPr>
      </w:pPr>
    </w:p>
    <w:p>
      <w:pPr>
        <w:pStyle w:val="BodyText"/>
        <w:spacing w:before="0"/>
        <w:ind w:left="0"/>
        <w:rPr>
          <w:sz w:val="9"/>
        </w:rPr>
      </w:pPr>
    </w:p>
    <w:p>
      <w:pPr>
        <w:pStyle w:val="BodyText"/>
        <w:spacing w:line="278" w:lineRule="auto" w:before="37"/>
        <w:ind w:left="2692" w:right="213"/>
      </w:pPr>
      <w:r>
        <w:rPr/>
        <w:t>“已支付的保险费”的含义：本条所述“已支付的保险费”指您根据本合同的约定已支付的保险费。</w:t>
      </w:r>
    </w:p>
    <w:p>
      <w:pPr>
        <w:pStyle w:val="ListParagraph"/>
        <w:numPr>
          <w:ilvl w:val="1"/>
          <w:numId w:val="3"/>
        </w:numPr>
        <w:tabs>
          <w:tab w:pos="920" w:val="left" w:leader="none"/>
        </w:tabs>
        <w:spacing w:line="280" w:lineRule="auto" w:before="135" w:after="0"/>
        <w:ind w:left="2692" w:right="213" w:hanging="2472"/>
        <w:jc w:val="both"/>
        <w:rPr>
          <w:sz w:val="21"/>
        </w:rPr>
      </w:pPr>
      <w:r>
        <w:rPr>
          <w:rFonts w:ascii="黑体" w:eastAsia="黑体" w:hint="eastAsia"/>
          <w:spacing w:val="-1"/>
          <w:position w:val="2"/>
          <w:sz w:val="21"/>
        </w:rPr>
        <w:t>责任免除       </w:t>
      </w:r>
      <w:r>
        <w:rPr>
          <w:rFonts w:ascii="黑体" w:eastAsia="黑体" w:hint="eastAsia"/>
          <w:spacing w:val="21"/>
          <w:sz w:val="21"/>
        </w:rPr>
        <w:t> </w:t>
      </w:r>
      <w:r>
        <w:rPr>
          <w:sz w:val="21"/>
          <w:shd w:fill="D9D9D9" w:color="auto" w:val="clear"/>
        </w:rPr>
        <w:t>因下列第(1</w:t>
      </w:r>
      <w:r>
        <w:rPr>
          <w:spacing w:val="-2"/>
          <w:sz w:val="21"/>
          <w:shd w:fill="D9D9D9" w:color="auto" w:val="clear"/>
        </w:rPr>
        <w:t>)至(</w:t>
      </w:r>
      <w:r>
        <w:rPr>
          <w:sz w:val="21"/>
          <w:shd w:fill="D9D9D9" w:color="auto" w:val="clear"/>
        </w:rPr>
        <w:t>8</w:t>
      </w:r>
      <w:r>
        <w:rPr>
          <w:spacing w:val="-3"/>
          <w:sz w:val="21"/>
          <w:shd w:fill="D9D9D9" w:color="auto" w:val="clear"/>
        </w:rPr>
        <w:t>)项情形之一导致被保险人身故的，或因下列第(</w:t>
      </w:r>
      <w:r>
        <w:rPr>
          <w:sz w:val="21"/>
          <w:shd w:fill="D9D9D9" w:color="auto" w:val="clear"/>
        </w:rPr>
        <w:t>2)至(9)项</w:t>
      </w:r>
      <w:r>
        <w:rPr>
          <w:spacing w:val="-3"/>
          <w:sz w:val="21"/>
          <w:shd w:fill="D9D9D9" w:color="auto" w:val="clear"/>
        </w:rPr>
        <w:t>情形之一导致被保险人全残、发生疾病、达到疾病状态或进行手术的，我们不承担给付保险金的责任：</w:t>
      </w:r>
    </w:p>
    <w:p>
      <w:pPr>
        <w:pStyle w:val="BodyText"/>
        <w:spacing w:line="278" w:lineRule="auto" w:before="9"/>
        <w:ind w:left="2692" w:right="215"/>
      </w:pPr>
      <w:r>
        <w:rPr>
          <w:shd w:fill="D9D9D9" w:color="auto" w:val="clear"/>
        </w:rPr>
        <w:t>(1)</w:t>
      </w:r>
      <w:r>
        <w:rPr>
          <w:spacing w:val="-5"/>
          <w:shd w:fill="D9D9D9" w:color="auto" w:val="clear"/>
        </w:rPr>
        <w:t>被保险人自本合同成立或合同效力恢复之日起 </w:t>
      </w:r>
      <w:r>
        <w:rPr>
          <w:shd w:fill="D9D9D9" w:color="auto" w:val="clear"/>
        </w:rPr>
        <w:t>2</w:t>
      </w:r>
      <w:r>
        <w:rPr>
          <w:spacing w:val="-14"/>
          <w:shd w:fill="D9D9D9" w:color="auto" w:val="clear"/>
        </w:rPr>
        <w:t> 年内自杀，但被保险人自</w:t>
      </w:r>
      <w:r>
        <w:rPr>
          <w:spacing w:val="-207"/>
          <w:shd w:fill="D9D9D9" w:color="auto" w:val="clear"/>
        </w:rPr>
        <w:t>杀</w:t>
      </w:r>
      <w:r>
        <w:rPr>
          <w:spacing w:val="-3"/>
          <w:shd w:fill="D9D9D9" w:color="auto" w:val="clear"/>
        </w:rPr>
        <w:t>时为无民事行为能力人的除外；</w:t>
      </w:r>
    </w:p>
    <w:p>
      <w:pPr>
        <w:pStyle w:val="BodyText"/>
        <w:spacing w:before="13"/>
        <w:ind w:left="2692"/>
      </w:pPr>
      <w:r>
        <w:rPr>
          <w:shd w:fill="D9D9D9" w:color="auto" w:val="clear"/>
        </w:rPr>
        <w:t>(2)投保人对被保险人的故意杀害、故意伤害；</w:t>
      </w:r>
    </w:p>
    <w:p>
      <w:pPr>
        <w:pStyle w:val="BodyText"/>
        <w:ind w:left="2692"/>
      </w:pPr>
      <w:r>
        <w:rPr>
          <w:shd w:fill="D9D9D9" w:color="auto" w:val="clear"/>
        </w:rPr>
        <w:t>(3)被保险人故意自伤、故意犯罪或者抗拒依法采取的刑事强制措施；</w:t>
      </w:r>
    </w:p>
    <w:p>
      <w:pPr>
        <w:pStyle w:val="BodyText"/>
        <w:ind w:left="2692"/>
      </w:pPr>
      <w:r>
        <w:rPr>
          <w:shd w:fill="D9D9D9" w:color="auto" w:val="clear"/>
        </w:rPr>
        <w:t>(4)被保险人服用、吸食或注射</w:t>
      </w:r>
      <w:r>
        <w:rPr>
          <w:b/>
          <w:shd w:fill="D9D9D9" w:color="auto" w:val="clear"/>
        </w:rPr>
        <w:t>毒品</w:t>
      </w:r>
      <w:r>
        <w:rPr>
          <w:shd w:fill="D9D9D9" w:color="auto" w:val="clear"/>
        </w:rPr>
        <w:t>；</w:t>
      </w:r>
    </w:p>
    <w:p>
      <w:pPr>
        <w:spacing w:line="278" w:lineRule="auto" w:before="47"/>
        <w:ind w:left="2692" w:right="215" w:firstLine="0"/>
        <w:jc w:val="left"/>
        <w:rPr>
          <w:sz w:val="21"/>
        </w:rPr>
      </w:pPr>
      <w:r>
        <w:rPr>
          <w:sz w:val="21"/>
          <w:shd w:fill="D9D9D9" w:color="auto" w:val="clear"/>
        </w:rPr>
        <w:t>(5)</w:t>
      </w:r>
      <w:r>
        <w:rPr>
          <w:spacing w:val="-3"/>
          <w:sz w:val="21"/>
          <w:shd w:fill="D9D9D9" w:color="auto" w:val="clear"/>
        </w:rPr>
        <w:t>被保险人</w:t>
      </w:r>
      <w:r>
        <w:rPr>
          <w:b/>
          <w:sz w:val="21"/>
          <w:shd w:fill="D9D9D9" w:color="auto" w:val="clear"/>
        </w:rPr>
        <w:t>酒后驾驶</w:t>
      </w:r>
      <w:r>
        <w:rPr>
          <w:spacing w:val="-53"/>
          <w:sz w:val="21"/>
          <w:shd w:fill="D9D9D9" w:color="auto" w:val="clear"/>
        </w:rPr>
        <w:t>，</w:t>
      </w:r>
      <w:r>
        <w:rPr>
          <w:b/>
          <w:sz w:val="21"/>
          <w:shd w:fill="D9D9D9" w:color="auto" w:val="clear"/>
        </w:rPr>
        <w:t>无合法有效驾驶证驾驶</w:t>
      </w:r>
      <w:r>
        <w:rPr>
          <w:spacing w:val="-15"/>
          <w:sz w:val="21"/>
          <w:shd w:fill="D9D9D9" w:color="auto" w:val="clear"/>
        </w:rPr>
        <w:t>，或驾驶</w:t>
      </w:r>
      <w:r>
        <w:rPr>
          <w:b/>
          <w:sz w:val="21"/>
          <w:shd w:fill="D9D9D9" w:color="auto" w:val="clear"/>
        </w:rPr>
        <w:t>无有效行驶证</w:t>
      </w:r>
      <w:r>
        <w:rPr>
          <w:spacing w:val="-3"/>
          <w:sz w:val="21"/>
          <w:shd w:fill="D9D9D9" w:color="auto" w:val="clear"/>
        </w:rPr>
        <w:t>的</w:t>
      </w:r>
      <w:r>
        <w:rPr>
          <w:b/>
          <w:sz w:val="21"/>
          <w:shd w:fill="D9D9D9" w:color="auto" w:val="clear"/>
        </w:rPr>
        <w:t>机动车</w:t>
      </w:r>
      <w:r>
        <w:rPr>
          <w:sz w:val="21"/>
          <w:shd w:fill="D9D9D9" w:color="auto" w:val="clear"/>
        </w:rPr>
        <w:t>；</w:t>
      </w:r>
    </w:p>
    <w:p>
      <w:pPr>
        <w:spacing w:before="11"/>
        <w:ind w:left="2692" w:right="0" w:firstLine="0"/>
        <w:jc w:val="left"/>
        <w:rPr>
          <w:sz w:val="21"/>
        </w:rPr>
      </w:pPr>
      <w:r>
        <w:rPr>
          <w:sz w:val="21"/>
          <w:shd w:fill="D9D9D9" w:color="auto" w:val="clear"/>
        </w:rPr>
        <w:t>(6)被保险人所患</w:t>
      </w:r>
      <w:r>
        <w:rPr>
          <w:b/>
          <w:sz w:val="21"/>
          <w:shd w:fill="D9D9D9" w:color="auto" w:val="clear"/>
        </w:rPr>
        <w:t>遗传性疾病</w:t>
      </w:r>
      <w:r>
        <w:rPr>
          <w:sz w:val="21"/>
          <w:shd w:fill="D9D9D9" w:color="auto" w:val="clear"/>
        </w:rPr>
        <w:t>，</w:t>
      </w:r>
      <w:r>
        <w:rPr>
          <w:b/>
          <w:sz w:val="21"/>
          <w:shd w:fill="D9D9D9" w:color="auto" w:val="clear"/>
        </w:rPr>
        <w:t>先天性畸形、变形或染色体异常</w:t>
      </w:r>
      <w:r>
        <w:rPr>
          <w:sz w:val="21"/>
          <w:shd w:fill="D9D9D9" w:color="auto" w:val="clear"/>
        </w:rPr>
        <w:t>；</w:t>
      </w:r>
    </w:p>
    <w:p>
      <w:pPr>
        <w:pStyle w:val="BodyText"/>
        <w:spacing w:before="46"/>
        <w:ind w:left="2692"/>
      </w:pPr>
      <w:r>
        <w:rPr>
          <w:shd w:fill="D9D9D9" w:color="auto" w:val="clear"/>
        </w:rPr>
        <w:t>(7)战争、军事冲突、暴乱或武装叛乱；</w:t>
      </w:r>
    </w:p>
    <w:p>
      <w:pPr>
        <w:pStyle w:val="BodyText"/>
        <w:spacing w:before="20"/>
        <w:ind w:left="2692"/>
      </w:pPr>
      <w:r>
        <w:rPr>
          <w:shd w:fill="D9D9D9" w:color="auto" w:val="clear"/>
        </w:rPr>
        <w:t>(8)核爆炸、核辐射或核污染；</w:t>
      </w:r>
    </w:p>
    <w:p>
      <w:pPr>
        <w:spacing w:line="278" w:lineRule="auto" w:before="61"/>
        <w:ind w:left="2692" w:right="215" w:firstLine="0"/>
        <w:jc w:val="left"/>
        <w:rPr>
          <w:sz w:val="21"/>
        </w:rPr>
      </w:pPr>
      <w:r>
        <w:rPr>
          <w:sz w:val="21"/>
          <w:shd w:fill="D9D9D9" w:color="auto" w:val="clear"/>
        </w:rPr>
        <w:t>(9)</w:t>
      </w:r>
      <w:r>
        <w:rPr>
          <w:spacing w:val="-3"/>
          <w:sz w:val="21"/>
          <w:shd w:fill="D9D9D9" w:color="auto" w:val="clear"/>
        </w:rPr>
        <w:t>被保险人</w:t>
      </w:r>
      <w:r>
        <w:rPr>
          <w:b/>
          <w:sz w:val="21"/>
          <w:shd w:fill="D9D9D9" w:color="auto" w:val="clear"/>
        </w:rPr>
        <w:t>感染艾滋病病毒或患艾滋病</w:t>
      </w:r>
      <w:r>
        <w:rPr>
          <w:spacing w:val="-3"/>
          <w:sz w:val="21"/>
          <w:shd w:fill="D9D9D9" w:color="auto" w:val="clear"/>
        </w:rPr>
        <w:t>期间(不包括本合同所保障的“经输</w:t>
      </w:r>
      <w:r>
        <w:rPr>
          <w:spacing w:val="-212"/>
          <w:sz w:val="21"/>
          <w:shd w:fill="D9D9D9" w:color="auto" w:val="clear"/>
        </w:rPr>
        <w:t>血</w:t>
      </w:r>
      <w:r>
        <w:rPr>
          <w:spacing w:val="-3"/>
          <w:sz w:val="21"/>
          <w:shd w:fill="D9D9D9" w:color="auto" w:val="clear"/>
        </w:rPr>
        <w:t>导致的人类免疫缺陷病毒</w:t>
      </w:r>
      <w:r>
        <w:rPr>
          <w:spacing w:val="-1"/>
          <w:sz w:val="21"/>
          <w:shd w:fill="D9D9D9" w:color="auto" w:val="clear"/>
        </w:rPr>
        <w:t>（HIV）感染”)。</w:t>
      </w:r>
    </w:p>
    <w:p>
      <w:pPr>
        <w:pStyle w:val="BodyText"/>
        <w:spacing w:line="262" w:lineRule="exact" w:before="0"/>
        <w:ind w:left="3119"/>
      </w:pPr>
      <w:r>
        <w:rPr/>
        <w:t>发生上述第(2)项情形导致被保险人身故、全残或发生本合同约定的重大</w:t>
      </w:r>
    </w:p>
    <w:p>
      <w:pPr>
        <w:pStyle w:val="BodyText"/>
        <w:spacing w:line="273" w:lineRule="auto" w:before="37"/>
        <w:ind w:left="2692" w:right="234"/>
      </w:pPr>
      <w:r>
        <w:rPr/>
        <w:t>疾病、达到疾病终末期阶段的，本合同终止，我们向受益人退还本合同的现金价值；</w:t>
      </w:r>
    </w:p>
    <w:p>
      <w:pPr>
        <w:pStyle w:val="BodyText"/>
        <w:spacing w:line="273" w:lineRule="auto" w:before="7"/>
        <w:ind w:left="2692" w:right="29" w:firstLine="427"/>
      </w:pPr>
      <w:r>
        <w:rPr/>
        <w:t>发生上述其他情形导致被保险人身故、全残或发生本合同约定的重大疾病、达到疾病终末期阶段的，本合同终止，我们向您退还本合同的现金价值。</w:t>
      </w:r>
    </w:p>
    <w:p>
      <w:pPr>
        <w:pStyle w:val="BodyText"/>
        <w:spacing w:before="9"/>
        <w:ind w:left="0"/>
        <w:rPr>
          <w:sz w:val="10"/>
        </w:rPr>
      </w:pPr>
      <w:r>
        <w:rPr/>
        <w:pict>
          <v:shape style="position:absolute;margin-left:56.639999pt;margin-top:8.199542pt;width:482.05pt;height:15.6pt;mso-position-horizontal-relative:page;mso-position-vertical-relative:paragraph;z-index:1144;mso-wrap-distance-left:0;mso-wrap-distance-right:0" type="#_x0000_t202" filled="true" fillcolor="#a6a6a6" stroked="false">
            <v:textbox inset="0,0,0,0">
              <w:txbxContent>
                <w:p>
                  <w:pPr>
                    <w:tabs>
                      <w:tab w:pos="806" w:val="left" w:leader="none"/>
                    </w:tabs>
                    <w:spacing w:line="262" w:lineRule="exact" w:before="0"/>
                    <w:ind w:left="108" w:right="0" w:firstLine="0"/>
                    <w:jc w:val="left"/>
                    <w:rPr>
                      <w:rFonts w:ascii="黑体" w:eastAsia="黑体" w:hint="eastAsia"/>
                      <w:b/>
                      <w:sz w:val="21"/>
                    </w:rPr>
                  </w:pPr>
                  <w:r>
                    <w:rPr>
                      <w:rFonts w:ascii="黑体" w:eastAsia="黑体" w:hint="eastAsia"/>
                      <w:b/>
                      <w:sz w:val="21"/>
                    </w:rPr>
                    <w:t>3</w:t>
                    <w:tab/>
                    <w:t>如何申请领取保险金</w:t>
                  </w:r>
                </w:p>
              </w:txbxContent>
            </v:textbox>
            <v:fill type="solid"/>
            <w10:wrap type="topAndBottom"/>
          </v:shape>
        </w:pict>
      </w:r>
    </w:p>
    <w:p>
      <w:pPr>
        <w:pStyle w:val="BodyText"/>
        <w:spacing w:before="12"/>
        <w:ind w:left="0"/>
        <w:rPr>
          <w:sz w:val="5"/>
        </w:rPr>
      </w:pPr>
    </w:p>
    <w:p>
      <w:pPr>
        <w:pStyle w:val="ListParagraph"/>
        <w:numPr>
          <w:ilvl w:val="1"/>
          <w:numId w:val="4"/>
        </w:numPr>
        <w:tabs>
          <w:tab w:pos="919" w:val="left" w:leader="none"/>
          <w:tab w:pos="920" w:val="left" w:leader="none"/>
          <w:tab w:pos="2692" w:val="left" w:leader="none"/>
        </w:tabs>
        <w:spacing w:line="240" w:lineRule="auto" w:before="36" w:after="0"/>
        <w:ind w:left="919" w:right="0" w:hanging="699"/>
        <w:jc w:val="left"/>
        <w:rPr>
          <w:sz w:val="21"/>
        </w:rPr>
      </w:pPr>
      <w:r>
        <w:rPr>
          <w:rFonts w:ascii="黑体" w:eastAsia="黑体" w:hint="eastAsia"/>
          <w:sz w:val="21"/>
        </w:rPr>
        <w:t>受益人</w:t>
        <w:tab/>
      </w:r>
      <w:r>
        <w:rPr>
          <w:sz w:val="21"/>
        </w:rPr>
        <w:t>您或</w:t>
      </w:r>
      <w:r>
        <w:rPr>
          <w:spacing w:val="-3"/>
          <w:sz w:val="21"/>
        </w:rPr>
        <w:t>者</w:t>
      </w: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指</w:t>
      </w:r>
      <w:r>
        <w:rPr>
          <w:spacing w:val="-3"/>
          <w:sz w:val="21"/>
        </w:rPr>
        <w:t>定</w:t>
      </w:r>
      <w:r>
        <w:rPr>
          <w:sz w:val="21"/>
        </w:rPr>
        <w:t>一人</w:t>
      </w:r>
      <w:r>
        <w:rPr>
          <w:spacing w:val="-3"/>
          <w:sz w:val="21"/>
        </w:rPr>
        <w:t>或</w:t>
      </w:r>
      <w:r>
        <w:rPr>
          <w:sz w:val="21"/>
        </w:rPr>
        <w:t>多</w:t>
      </w:r>
      <w:r>
        <w:rPr>
          <w:spacing w:val="-3"/>
          <w:sz w:val="21"/>
        </w:rPr>
        <w:t>人</w:t>
      </w:r>
      <w:r>
        <w:rPr>
          <w:sz w:val="21"/>
        </w:rPr>
        <w:t>为</w:t>
      </w:r>
      <w:r>
        <w:rPr>
          <w:spacing w:val="-3"/>
          <w:sz w:val="21"/>
        </w:rPr>
        <w:t>身</w:t>
      </w:r>
      <w:r>
        <w:rPr>
          <w:sz w:val="21"/>
        </w:rPr>
        <w:t>故</w:t>
      </w:r>
      <w:r>
        <w:rPr>
          <w:spacing w:val="-3"/>
          <w:sz w:val="21"/>
        </w:rPr>
        <w:t>保</w:t>
      </w:r>
      <w:r>
        <w:rPr>
          <w:sz w:val="21"/>
        </w:rPr>
        <w:t>险</w:t>
      </w:r>
      <w:r>
        <w:rPr>
          <w:spacing w:val="-3"/>
          <w:sz w:val="21"/>
        </w:rPr>
        <w:t>金</w:t>
      </w:r>
      <w:r>
        <w:rPr>
          <w:sz w:val="21"/>
        </w:rPr>
        <w:t>受益</w:t>
      </w:r>
      <w:r>
        <w:rPr>
          <w:spacing w:val="-4"/>
          <w:sz w:val="21"/>
        </w:rPr>
        <w:t>人</w:t>
      </w:r>
      <w:r>
        <w:rPr>
          <w:sz w:val="21"/>
        </w:rPr>
        <w:t>。</w:t>
      </w:r>
    </w:p>
    <w:p>
      <w:pPr>
        <w:pStyle w:val="BodyText"/>
        <w:spacing w:line="273" w:lineRule="auto" w:before="36"/>
        <w:ind w:left="2692" w:right="234"/>
      </w:pPr>
      <w:r>
        <w:rPr/>
        <w:t>身故保险金受益人为多人时，可以确定受益顺序和受益份额；如果没有确定份额，各受益人按照相等份额享有受益权。</w:t>
      </w:r>
    </w:p>
    <w:p>
      <w:pPr>
        <w:pStyle w:val="BodyText"/>
        <w:spacing w:line="273" w:lineRule="auto" w:before="7"/>
        <w:ind w:left="2692" w:right="234"/>
      </w:pPr>
      <w:r>
        <w:rPr/>
        <w:t>被保险人为无民事行为能力人或限制民事行为能力人的，可以由其监护人指定受益人。</w:t>
      </w:r>
    </w:p>
    <w:p>
      <w:pPr>
        <w:pStyle w:val="BodyText"/>
        <w:spacing w:line="273" w:lineRule="auto" w:before="7"/>
        <w:ind w:left="2692" w:right="234"/>
      </w:pPr>
      <w:r>
        <w:rPr/>
        <w:t>您或者被保险人可以变更身故保险金受益人并书面通知我们。我们收到变更受益人的书面通知后，在保险单或其他保险凭证上批注或附贴批单。</w:t>
      </w:r>
    </w:p>
    <w:p>
      <w:pPr>
        <w:pStyle w:val="BodyText"/>
        <w:spacing w:before="7"/>
        <w:ind w:left="2692"/>
      </w:pPr>
      <w:r>
        <w:rPr/>
        <w:t>您在指定和变更身故保险金受益人时，必须经过被保险人同意。</w:t>
      </w:r>
    </w:p>
    <w:p>
      <w:pPr>
        <w:pStyle w:val="BodyText"/>
        <w:spacing w:line="273" w:lineRule="auto" w:before="36"/>
        <w:ind w:left="2692" w:right="234"/>
      </w:pPr>
      <w:r>
        <w:rPr/>
        <w:t>被保险人身故后，有下列情形之一的，保险金作为被保险人的遗产，由我们依照《中华人民共和国继承法》的规定履行给付保险金的义务：</w:t>
      </w:r>
    </w:p>
    <w:p>
      <w:pPr>
        <w:pStyle w:val="BodyText"/>
        <w:spacing w:before="7"/>
        <w:ind w:left="2692"/>
      </w:pPr>
      <w:r>
        <w:rPr/>
        <w:t>(1)没有指定受益人，或者受益人指定不明无法确定的；</w:t>
      </w:r>
    </w:p>
    <w:p>
      <w:pPr>
        <w:pStyle w:val="BodyText"/>
        <w:spacing w:before="37"/>
        <w:ind w:left="2692"/>
      </w:pPr>
      <w:r>
        <w:rPr/>
        <w:t>(2)受益人先于被保险人身故，没有其他受益人的；</w:t>
      </w:r>
    </w:p>
    <w:p>
      <w:pPr>
        <w:pStyle w:val="BodyText"/>
        <w:spacing w:before="37"/>
        <w:ind w:left="2692"/>
      </w:pPr>
      <w:r>
        <w:rPr/>
        <w:t>(3)受益人依法丧失受益权或者放弃受益权，没有其他受益人的。</w:t>
      </w:r>
    </w:p>
    <w:p>
      <w:pPr>
        <w:pStyle w:val="BodyText"/>
        <w:spacing w:line="273" w:lineRule="auto" w:before="37"/>
        <w:ind w:left="2692" w:right="234"/>
      </w:pPr>
      <w:r>
        <w:rPr/>
        <w:t>受益人与被保险人在同一事件中身故，且不能确定身故先后顺序的，推定受益人身故在先。</w:t>
      </w:r>
    </w:p>
    <w:p>
      <w:pPr>
        <w:pStyle w:val="BodyText"/>
        <w:spacing w:before="8"/>
        <w:ind w:left="2692"/>
      </w:pPr>
      <w:r>
        <w:rPr/>
        <w:t>受益人故意造成被保险人身故、伤残的，或者故意杀害被保险人未遂的，该</w:t>
      </w:r>
    </w:p>
    <w:p>
      <w:pPr>
        <w:spacing w:after="0"/>
        <w:sectPr>
          <w:type w:val="continuous"/>
          <w:pgSz w:w="11910" w:h="16840"/>
          <w:pgMar w:top="140" w:bottom="280" w:left="1020" w:right="1020"/>
        </w:sectPr>
      </w:pPr>
    </w:p>
    <w:p>
      <w:pPr>
        <w:pStyle w:val="BodyText"/>
        <w:spacing w:before="8"/>
        <w:ind w:left="2572"/>
      </w:pPr>
      <w:r>
        <w:rPr/>
        <w:t>受益人丧失受益权。</w:t>
      </w:r>
    </w:p>
    <w:p>
      <w:pPr>
        <w:pStyle w:val="BodyText"/>
        <w:spacing w:line="273" w:lineRule="auto" w:before="37"/>
        <w:ind w:left="2572" w:right="234"/>
      </w:pPr>
      <w:r>
        <w:rPr/>
        <w:t>除另有指定外，全残保险金、重大疾病保险金、特定癌症关爱金、生命关爱保险金、特定疾病保险金的受益人为被保险人本人。</w:t>
      </w:r>
    </w:p>
    <w:p>
      <w:pPr>
        <w:pStyle w:val="ListParagraph"/>
        <w:numPr>
          <w:ilvl w:val="1"/>
          <w:numId w:val="4"/>
        </w:numPr>
        <w:tabs>
          <w:tab w:pos="799" w:val="left" w:leader="none"/>
          <w:tab w:pos="800" w:val="left" w:leader="none"/>
          <w:tab w:pos="2572" w:val="left" w:leader="none"/>
        </w:tabs>
        <w:spacing w:line="240" w:lineRule="auto" w:before="149" w:after="0"/>
        <w:ind w:left="799" w:right="0" w:hanging="699"/>
        <w:jc w:val="left"/>
        <w:rPr>
          <w:sz w:val="21"/>
        </w:rPr>
      </w:pPr>
      <w:r>
        <w:rPr>
          <w:rFonts w:ascii="黑体" w:eastAsia="黑体" w:hint="eastAsia"/>
          <w:sz w:val="21"/>
        </w:rPr>
        <w:t>保险</w:t>
      </w:r>
      <w:r>
        <w:rPr>
          <w:rFonts w:ascii="黑体" w:eastAsia="黑体" w:hint="eastAsia"/>
          <w:spacing w:val="-3"/>
          <w:sz w:val="21"/>
        </w:rPr>
        <w:t>事</w:t>
      </w:r>
      <w:r>
        <w:rPr>
          <w:rFonts w:ascii="黑体" w:eastAsia="黑体" w:hint="eastAsia"/>
          <w:sz w:val="21"/>
        </w:rPr>
        <w:t>故</w:t>
      </w:r>
      <w:r>
        <w:rPr>
          <w:rFonts w:ascii="黑体" w:eastAsia="黑体" w:hint="eastAsia"/>
          <w:spacing w:val="-3"/>
          <w:sz w:val="21"/>
        </w:rPr>
        <w:t>通</w:t>
      </w:r>
      <w:r>
        <w:rPr>
          <w:rFonts w:ascii="黑体" w:eastAsia="黑体" w:hint="eastAsia"/>
          <w:sz w:val="21"/>
        </w:rPr>
        <w:t>知</w:t>
        <w:tab/>
      </w:r>
      <w:r>
        <w:rPr>
          <w:sz w:val="21"/>
        </w:rPr>
        <w:t>您或</w:t>
      </w:r>
      <w:r>
        <w:rPr>
          <w:spacing w:val="-3"/>
          <w:sz w:val="21"/>
        </w:rPr>
        <w:t>受</w:t>
      </w:r>
      <w:r>
        <w:rPr>
          <w:sz w:val="21"/>
        </w:rPr>
        <w:t>益</w:t>
      </w:r>
      <w:r>
        <w:rPr>
          <w:spacing w:val="-3"/>
          <w:sz w:val="21"/>
        </w:rPr>
        <w:t>人</w:t>
      </w:r>
      <w:r>
        <w:rPr>
          <w:sz w:val="21"/>
        </w:rPr>
        <w:t>知</w:t>
      </w:r>
      <w:r>
        <w:rPr>
          <w:spacing w:val="-3"/>
          <w:sz w:val="21"/>
        </w:rPr>
        <w:t>道</w:t>
      </w:r>
      <w:r>
        <w:rPr>
          <w:sz w:val="21"/>
        </w:rPr>
        <w:t>保</w:t>
      </w:r>
      <w:r>
        <w:rPr>
          <w:spacing w:val="-3"/>
          <w:sz w:val="21"/>
        </w:rPr>
        <w:t>险</w:t>
      </w:r>
      <w:r>
        <w:rPr>
          <w:sz w:val="21"/>
        </w:rPr>
        <w:t>事</w:t>
      </w:r>
      <w:r>
        <w:rPr>
          <w:spacing w:val="-3"/>
          <w:sz w:val="21"/>
        </w:rPr>
        <w:t>故</w:t>
      </w:r>
      <w:r>
        <w:rPr>
          <w:sz w:val="21"/>
        </w:rPr>
        <w:t>后应</w:t>
      </w:r>
      <w:r>
        <w:rPr>
          <w:spacing w:val="-3"/>
          <w:sz w:val="21"/>
        </w:rPr>
        <w:t>当</w:t>
      </w:r>
      <w:r>
        <w:rPr>
          <w:sz w:val="21"/>
        </w:rPr>
        <w:t>在</w:t>
      </w:r>
      <w:r>
        <w:rPr>
          <w:spacing w:val="-41"/>
          <w:sz w:val="21"/>
        </w:rPr>
        <w:t> </w:t>
      </w:r>
      <w:r>
        <w:rPr>
          <w:sz w:val="21"/>
        </w:rPr>
        <w:t>10</w:t>
      </w:r>
      <w:r>
        <w:rPr>
          <w:spacing w:val="-41"/>
          <w:sz w:val="21"/>
        </w:rPr>
        <w:t> </w:t>
      </w:r>
      <w:r>
        <w:rPr>
          <w:spacing w:val="-3"/>
          <w:sz w:val="21"/>
        </w:rPr>
        <w:t>日</w:t>
      </w:r>
      <w:r>
        <w:rPr>
          <w:sz w:val="21"/>
        </w:rPr>
        <w:t>内</w:t>
      </w:r>
      <w:r>
        <w:rPr>
          <w:spacing w:val="-3"/>
          <w:sz w:val="21"/>
        </w:rPr>
        <w:t>通</w:t>
      </w:r>
      <w:r>
        <w:rPr>
          <w:sz w:val="21"/>
        </w:rPr>
        <w:t>知</w:t>
      </w:r>
      <w:r>
        <w:rPr>
          <w:spacing w:val="-3"/>
          <w:sz w:val="21"/>
        </w:rPr>
        <w:t>我们</w:t>
      </w:r>
      <w:r>
        <w:rPr>
          <w:sz w:val="21"/>
        </w:rPr>
        <w:t>。</w:t>
      </w:r>
    </w:p>
    <w:p>
      <w:pPr>
        <w:pStyle w:val="BodyText"/>
        <w:spacing w:line="273" w:lineRule="auto" w:before="36"/>
        <w:ind w:left="2572" w:right="109"/>
        <w:jc w:val="both"/>
      </w:pPr>
      <w:r>
        <w:rPr>
          <w:spacing w:val="-3"/>
          <w:shd w:fill="D9D9D9" w:color="auto" w:val="clear"/>
        </w:rPr>
        <w:t>如果您或受益人故意或者因重大过失未及时通知，致使保险事故的性质、原因、损失程度等难以确定的，我们对无法确定的部分，不承担给付保险金的责任，</w:t>
      </w:r>
      <w:r>
        <w:rPr>
          <w:spacing w:val="-11"/>
        </w:rPr>
        <w:t>但我们通过其他途径已经及时知道或者应当及时知道保险事故发生或者</w:t>
      </w:r>
      <w:r>
        <w:rPr>
          <w:spacing w:val="-8"/>
        </w:rPr>
        <w:t>虽未及时通知但不影响我们确定保险事故的性质、原因、损失程度的除外。</w:t>
      </w:r>
    </w:p>
    <w:p>
      <w:pPr>
        <w:pStyle w:val="BodyText"/>
        <w:spacing w:before="7"/>
        <w:ind w:left="0"/>
        <w:rPr>
          <w:sz w:val="8"/>
        </w:rPr>
      </w:pPr>
    </w:p>
    <w:p>
      <w:pPr>
        <w:spacing w:after="0"/>
        <w:rPr>
          <w:sz w:val="8"/>
        </w:rPr>
        <w:sectPr>
          <w:pgSz w:w="11910" w:h="16840"/>
          <w:pgMar w:top="1380" w:bottom="280" w:left="1140" w:right="1020"/>
        </w:sectPr>
      </w:pPr>
    </w:p>
    <w:p>
      <w:pPr>
        <w:pStyle w:val="ListParagraph"/>
        <w:numPr>
          <w:ilvl w:val="1"/>
          <w:numId w:val="4"/>
        </w:numPr>
        <w:tabs>
          <w:tab w:pos="799" w:val="left" w:leader="none"/>
          <w:tab w:pos="800" w:val="left" w:leader="none"/>
        </w:tabs>
        <w:spacing w:line="240" w:lineRule="auto" w:before="37" w:after="0"/>
        <w:ind w:left="799" w:right="0" w:hanging="699"/>
        <w:jc w:val="left"/>
        <w:rPr>
          <w:rFonts w:ascii="黑体" w:eastAsia="黑体" w:hint="eastAsia"/>
          <w:sz w:val="21"/>
        </w:rPr>
      </w:pPr>
      <w:r>
        <w:rPr>
          <w:rFonts w:ascii="黑体" w:eastAsia="黑体" w:hint="eastAsia"/>
          <w:spacing w:val="-2"/>
          <w:sz w:val="21"/>
        </w:rPr>
        <w:t>保险金申请及豁</w:t>
      </w:r>
    </w:p>
    <w:p>
      <w:pPr>
        <w:pStyle w:val="BodyText"/>
        <w:spacing w:before="37"/>
        <w:ind w:left="799"/>
        <w:rPr>
          <w:rFonts w:ascii="黑体" w:eastAsia="黑体" w:hint="eastAsia"/>
        </w:rPr>
      </w:pPr>
      <w:r>
        <w:rPr>
          <w:rFonts w:ascii="黑体" w:eastAsia="黑体" w:hint="eastAsia"/>
        </w:rPr>
        <w:t>免保险费申请</w:t>
      </w:r>
    </w:p>
    <w:p>
      <w:pPr>
        <w:pStyle w:val="BodyText"/>
        <w:spacing w:before="37"/>
        <w:ind w:left="100"/>
      </w:pPr>
      <w:r>
        <w:rPr/>
        <w:br w:type="column"/>
      </w:r>
      <w:r>
        <w:rPr/>
        <w:t>在申请保险金及豁免保险费时，请按照下列方式办理：</w:t>
      </w:r>
    </w:p>
    <w:p>
      <w:pPr>
        <w:spacing w:after="0"/>
        <w:sectPr>
          <w:type w:val="continuous"/>
          <w:pgSz w:w="11910" w:h="16840"/>
          <w:pgMar w:top="140" w:bottom="280" w:left="1140" w:right="1020"/>
          <w:cols w:num="2" w:equalWidth="0">
            <w:col w:w="2273" w:space="199"/>
            <w:col w:w="7278"/>
          </w:cols>
        </w:sectPr>
      </w:pPr>
    </w:p>
    <w:p>
      <w:pPr>
        <w:pStyle w:val="BodyText"/>
        <w:spacing w:before="7"/>
        <w:ind w:left="0"/>
        <w:rPr>
          <w:sz w:val="9"/>
        </w:rPr>
      </w:pPr>
    </w:p>
    <w:p>
      <w:pPr>
        <w:pStyle w:val="BodyText"/>
        <w:tabs>
          <w:tab w:pos="2572" w:val="left" w:leader="none"/>
        </w:tabs>
        <w:ind w:left="799"/>
      </w:pPr>
      <w:r>
        <w:rPr>
          <w:rFonts w:ascii="宋体" w:eastAsia="宋体" w:hint="eastAsia"/>
          <w:position w:val="1"/>
        </w:rPr>
        <w:t>身故</w:t>
      </w:r>
      <w:r>
        <w:rPr>
          <w:rFonts w:ascii="宋体" w:eastAsia="宋体" w:hint="eastAsia"/>
          <w:spacing w:val="-3"/>
          <w:position w:val="1"/>
        </w:rPr>
        <w:t>保</w:t>
      </w:r>
      <w:r>
        <w:rPr>
          <w:rFonts w:ascii="宋体" w:eastAsia="宋体" w:hint="eastAsia"/>
          <w:position w:val="1"/>
        </w:rPr>
        <w:t>险</w:t>
      </w:r>
      <w:r>
        <w:rPr>
          <w:rFonts w:ascii="宋体" w:eastAsia="宋体" w:hint="eastAsia"/>
          <w:spacing w:val="-3"/>
          <w:position w:val="1"/>
        </w:rPr>
        <w:t>金</w:t>
      </w:r>
      <w:r>
        <w:rPr>
          <w:rFonts w:ascii="宋体" w:eastAsia="宋体" w:hint="eastAsia"/>
          <w:position w:val="1"/>
        </w:rPr>
        <w:t>申请</w:t>
        <w:tab/>
      </w:r>
      <w:r>
        <w:rPr/>
        <w:t>受益</w:t>
      </w:r>
      <w:r>
        <w:rPr>
          <w:spacing w:val="-3"/>
        </w:rPr>
        <w:t>人</w:t>
      </w:r>
      <w:r>
        <w:rPr/>
        <w:t>须</w:t>
      </w:r>
      <w:r>
        <w:rPr>
          <w:spacing w:val="-3"/>
        </w:rPr>
        <w:t>填</w:t>
      </w:r>
      <w:r>
        <w:rPr/>
        <w:t>写</w:t>
      </w:r>
      <w:r>
        <w:rPr>
          <w:spacing w:val="-3"/>
        </w:rPr>
        <w:t>保</w:t>
      </w:r>
      <w:r>
        <w:rPr/>
        <w:t>险</w:t>
      </w:r>
      <w:r>
        <w:rPr>
          <w:spacing w:val="-3"/>
        </w:rPr>
        <w:t>金</w:t>
      </w:r>
      <w:r>
        <w:rPr/>
        <w:t>给</w:t>
      </w:r>
      <w:r>
        <w:rPr>
          <w:spacing w:val="-3"/>
        </w:rPr>
        <w:t>付</w:t>
      </w:r>
      <w:r>
        <w:rPr/>
        <w:t>申请</w:t>
      </w:r>
      <w:r>
        <w:rPr>
          <w:spacing w:val="-3"/>
        </w:rPr>
        <w:t>书</w:t>
      </w:r>
      <w:r>
        <w:rPr/>
        <w:t>，</w:t>
      </w:r>
      <w:r>
        <w:rPr>
          <w:spacing w:val="-3"/>
        </w:rPr>
        <w:t>并</w:t>
      </w:r>
      <w:r>
        <w:rPr/>
        <w:t>提</w:t>
      </w:r>
      <w:r>
        <w:rPr>
          <w:spacing w:val="-3"/>
        </w:rPr>
        <w:t>供</w:t>
      </w:r>
      <w:r>
        <w:rPr/>
        <w:t>下</w:t>
      </w:r>
      <w:r>
        <w:rPr>
          <w:spacing w:val="-3"/>
        </w:rPr>
        <w:t>列</w:t>
      </w:r>
      <w:r>
        <w:rPr/>
        <w:t>证</w:t>
      </w:r>
      <w:r>
        <w:rPr>
          <w:spacing w:val="-3"/>
        </w:rPr>
        <w:t>明</w:t>
      </w:r>
      <w:r>
        <w:rPr/>
        <w:t>和资</w:t>
      </w:r>
      <w:r>
        <w:rPr>
          <w:spacing w:val="-3"/>
        </w:rPr>
        <w:t>料</w:t>
      </w:r>
      <w:r>
        <w:rPr/>
        <w:t>：</w:t>
      </w:r>
    </w:p>
    <w:p>
      <w:pPr>
        <w:pStyle w:val="BodyText"/>
        <w:spacing w:before="37"/>
        <w:ind w:left="2572"/>
      </w:pPr>
      <w:r>
        <w:rPr/>
        <w:t>(1)保险合同；</w:t>
      </w:r>
    </w:p>
    <w:p>
      <w:pPr>
        <w:pStyle w:val="BodyText"/>
        <w:spacing w:before="37"/>
        <w:ind w:left="2572"/>
      </w:pPr>
      <w:r>
        <w:rPr/>
        <w:t>(2)受益人的有效身份证件；</w:t>
      </w:r>
    </w:p>
    <w:p>
      <w:pPr>
        <w:pStyle w:val="BodyText"/>
        <w:spacing w:line="273" w:lineRule="auto" w:before="37"/>
        <w:ind w:left="2572" w:right="214"/>
      </w:pPr>
      <w:r>
        <w:rPr/>
        <w:t>(3)</w:t>
      </w:r>
      <w:r>
        <w:rPr>
          <w:spacing w:val="-9"/>
        </w:rPr>
        <w:t>卫生行政部门认定的医疗机构、公安部门或其他相关机构出具的被保险人</w:t>
      </w:r>
      <w:r>
        <w:rPr>
          <w:spacing w:val="-5"/>
        </w:rPr>
        <w:t>的死亡证明；</w:t>
      </w:r>
    </w:p>
    <w:p>
      <w:pPr>
        <w:pStyle w:val="BodyText"/>
        <w:spacing w:before="7"/>
        <w:ind w:left="2572"/>
      </w:pPr>
      <w:r>
        <w:rPr/>
        <w:t>(4)被保险人的户籍注销证明；</w:t>
      </w:r>
    </w:p>
    <w:p>
      <w:pPr>
        <w:pStyle w:val="BodyText"/>
        <w:spacing w:line="273" w:lineRule="auto" w:before="36"/>
        <w:ind w:left="2572" w:right="234"/>
      </w:pPr>
      <w:r>
        <w:rPr/>
        <w:t>(5)</w:t>
      </w:r>
      <w:r>
        <w:rPr>
          <w:spacing w:val="-3"/>
        </w:rPr>
        <w:t>所能够提供的与确认保险事故的性质、原因等有关的其他证明和资料。保险金作为被保险人遗产时，必须提供可证明合法继承权的相关权利文件。若受益人与我们对被保险人的死因有争议，双方均有权提请司法鉴定机构对被保险人进行死因鉴定，另一方应当予以配合。</w:t>
      </w:r>
    </w:p>
    <w:p>
      <w:pPr>
        <w:pStyle w:val="BodyText"/>
        <w:tabs>
          <w:tab w:pos="2572" w:val="left" w:leader="none"/>
        </w:tabs>
        <w:spacing w:before="138"/>
        <w:ind w:left="799"/>
      </w:pPr>
      <w:r>
        <w:rPr>
          <w:rFonts w:ascii="宋体" w:eastAsia="宋体" w:hint="eastAsia"/>
          <w:position w:val="1"/>
        </w:rPr>
        <w:t>全残</w:t>
      </w:r>
      <w:r>
        <w:rPr>
          <w:rFonts w:ascii="宋体" w:eastAsia="宋体" w:hint="eastAsia"/>
          <w:spacing w:val="-3"/>
          <w:position w:val="1"/>
        </w:rPr>
        <w:t>保</w:t>
      </w:r>
      <w:r>
        <w:rPr>
          <w:rFonts w:ascii="宋体" w:eastAsia="宋体" w:hint="eastAsia"/>
          <w:position w:val="1"/>
        </w:rPr>
        <w:t>险</w:t>
      </w:r>
      <w:r>
        <w:rPr>
          <w:rFonts w:ascii="宋体" w:eastAsia="宋体" w:hint="eastAsia"/>
          <w:spacing w:val="-3"/>
          <w:position w:val="1"/>
        </w:rPr>
        <w:t>金</w:t>
      </w:r>
      <w:r>
        <w:rPr>
          <w:rFonts w:ascii="宋体" w:eastAsia="宋体" w:hint="eastAsia"/>
          <w:position w:val="1"/>
        </w:rPr>
        <w:t>申请</w:t>
        <w:tab/>
      </w:r>
      <w:r>
        <w:rPr/>
        <w:t>受益</w:t>
      </w:r>
      <w:r>
        <w:rPr>
          <w:spacing w:val="-3"/>
        </w:rPr>
        <w:t>人</w:t>
      </w:r>
      <w:r>
        <w:rPr/>
        <w:t>须</w:t>
      </w:r>
      <w:r>
        <w:rPr>
          <w:spacing w:val="-3"/>
        </w:rPr>
        <w:t>填</w:t>
      </w:r>
      <w:r>
        <w:rPr/>
        <w:t>写</w:t>
      </w:r>
      <w:r>
        <w:rPr>
          <w:spacing w:val="-3"/>
        </w:rPr>
        <w:t>保</w:t>
      </w:r>
      <w:r>
        <w:rPr/>
        <w:t>险</w:t>
      </w:r>
      <w:r>
        <w:rPr>
          <w:spacing w:val="-3"/>
        </w:rPr>
        <w:t>金</w:t>
      </w:r>
      <w:r>
        <w:rPr/>
        <w:t>给</w:t>
      </w:r>
      <w:r>
        <w:rPr>
          <w:spacing w:val="-3"/>
        </w:rPr>
        <w:t>付</w:t>
      </w:r>
      <w:r>
        <w:rPr/>
        <w:t>申请</w:t>
      </w:r>
      <w:r>
        <w:rPr>
          <w:spacing w:val="-3"/>
        </w:rPr>
        <w:t>书</w:t>
      </w:r>
      <w:r>
        <w:rPr/>
        <w:t>，</w:t>
      </w:r>
      <w:r>
        <w:rPr>
          <w:spacing w:val="-3"/>
        </w:rPr>
        <w:t>并</w:t>
      </w:r>
      <w:r>
        <w:rPr/>
        <w:t>提</w:t>
      </w:r>
      <w:r>
        <w:rPr>
          <w:spacing w:val="-3"/>
        </w:rPr>
        <w:t>供</w:t>
      </w:r>
      <w:r>
        <w:rPr/>
        <w:t>下</w:t>
      </w:r>
      <w:r>
        <w:rPr>
          <w:spacing w:val="-3"/>
        </w:rPr>
        <w:t>列</w:t>
      </w:r>
      <w:r>
        <w:rPr/>
        <w:t>证</w:t>
      </w:r>
      <w:r>
        <w:rPr>
          <w:spacing w:val="-3"/>
        </w:rPr>
        <w:t>明</w:t>
      </w:r>
      <w:r>
        <w:rPr/>
        <w:t>和资</w:t>
      </w:r>
      <w:r>
        <w:rPr>
          <w:spacing w:val="-3"/>
        </w:rPr>
        <w:t>料</w:t>
      </w:r>
      <w:r>
        <w:rPr/>
        <w:t>：</w:t>
      </w:r>
    </w:p>
    <w:p>
      <w:pPr>
        <w:pStyle w:val="BodyText"/>
        <w:spacing w:before="36"/>
        <w:ind w:left="2572"/>
      </w:pPr>
      <w:r>
        <w:rPr/>
        <w:t>(1)保险合同；</w:t>
      </w:r>
    </w:p>
    <w:p>
      <w:pPr>
        <w:pStyle w:val="BodyText"/>
        <w:spacing w:before="37"/>
        <w:ind w:left="2572"/>
      </w:pPr>
      <w:r>
        <w:rPr/>
        <w:t>(2)受益人的有效身份证件；</w:t>
      </w:r>
    </w:p>
    <w:p>
      <w:pPr>
        <w:pStyle w:val="BodyText"/>
        <w:spacing w:line="273" w:lineRule="auto" w:before="37"/>
        <w:ind w:left="2572" w:right="138"/>
      </w:pPr>
      <w:r>
        <w:rPr/>
        <w:t>(3)卫生行政部门认定的二级以上医院或者由双方认可的医疗机构（或鉴定机构）出具的被保险人残疾程度鉴定证明文件；</w:t>
      </w:r>
    </w:p>
    <w:p>
      <w:pPr>
        <w:pStyle w:val="BodyText"/>
        <w:spacing w:line="273" w:lineRule="auto" w:before="7"/>
        <w:ind w:left="2572" w:right="215"/>
      </w:pPr>
      <w:r>
        <w:rPr/>
        <w:t>(4)</w:t>
      </w:r>
      <w:r>
        <w:rPr>
          <w:spacing w:val="-9"/>
        </w:rPr>
        <w:t>所能够提供的与确认保险事故的性质、原因、伤害程度等有关的其他证明</w:t>
      </w:r>
      <w:r>
        <w:rPr>
          <w:spacing w:val="-6"/>
        </w:rPr>
        <w:t>和资料。</w:t>
      </w:r>
    </w:p>
    <w:p>
      <w:pPr>
        <w:pStyle w:val="BodyText"/>
        <w:spacing w:before="2"/>
        <w:ind w:left="0"/>
        <w:rPr>
          <w:sz w:val="10"/>
        </w:rPr>
      </w:pPr>
    </w:p>
    <w:p>
      <w:pPr>
        <w:spacing w:after="0"/>
        <w:rPr>
          <w:sz w:val="10"/>
        </w:rPr>
        <w:sectPr>
          <w:type w:val="continuous"/>
          <w:pgSz w:w="11910" w:h="16840"/>
          <w:pgMar w:top="140" w:bottom="280" w:left="1140" w:right="1020"/>
        </w:sectPr>
      </w:pPr>
    </w:p>
    <w:p>
      <w:pPr>
        <w:pStyle w:val="BodyText"/>
        <w:spacing w:line="278" w:lineRule="auto" w:before="42"/>
        <w:ind w:left="799"/>
        <w:rPr>
          <w:rFonts w:ascii="宋体" w:eastAsia="宋体" w:hint="eastAsia"/>
        </w:rPr>
      </w:pPr>
      <w:r>
        <w:rPr>
          <w:rFonts w:ascii="宋体" w:eastAsia="宋体" w:hint="eastAsia"/>
          <w:spacing w:val="-2"/>
        </w:rPr>
        <w:t>重大疾病保险 </w:t>
      </w:r>
      <w:r>
        <w:rPr>
          <w:rFonts w:ascii="宋体" w:eastAsia="宋体" w:hint="eastAsia"/>
          <w:spacing w:val="-3"/>
        </w:rPr>
        <w:t>金、特定癌症关爱金、生命关爱保险金、特定疾病保险金、特定疾病豁免保险费申请</w:t>
      </w:r>
    </w:p>
    <w:p>
      <w:pPr>
        <w:pStyle w:val="BodyText"/>
        <w:spacing w:line="278" w:lineRule="auto" w:before="42"/>
        <w:ind w:left="259" w:right="131"/>
      </w:pPr>
      <w:r>
        <w:rPr/>
        <w:br w:type="column"/>
      </w:r>
      <w:r>
        <w:rPr>
          <w:spacing w:val="-3"/>
          <w:w w:val="100"/>
        </w:rPr>
        <w:t>受益人须填写保险金给付申请书</w:t>
      </w:r>
      <w:r>
        <w:rPr>
          <w:w w:val="100"/>
        </w:rPr>
        <w:t>（</w:t>
      </w:r>
      <w:r>
        <w:rPr>
          <w:spacing w:val="-3"/>
          <w:w w:val="100"/>
        </w:rPr>
        <w:t>特定疾病豁免保险费的受益人为投保人</w:t>
      </w:r>
      <w:r>
        <w:rPr>
          <w:spacing w:val="-108"/>
          <w:w w:val="100"/>
        </w:rPr>
        <w:t>）</w:t>
      </w:r>
      <w:r>
        <w:rPr>
          <w:w w:val="100"/>
        </w:rPr>
        <w:t>，</w:t>
      </w:r>
      <w:r>
        <w:rPr>
          <w:spacing w:val="-3"/>
        </w:rPr>
        <w:t>并提供下列证明和资料：</w:t>
      </w:r>
    </w:p>
    <w:p>
      <w:pPr>
        <w:pStyle w:val="BodyText"/>
        <w:spacing w:before="10"/>
        <w:ind w:left="259"/>
      </w:pPr>
      <w:r>
        <w:rPr/>
        <w:t>(1)保险合同；</w:t>
      </w:r>
    </w:p>
    <w:p>
      <w:pPr>
        <w:pStyle w:val="BodyText"/>
        <w:spacing w:before="46"/>
        <w:ind w:left="259"/>
      </w:pPr>
      <w:r>
        <w:rPr/>
        <w:t>(2)受益人的有效身份证件；</w:t>
      </w:r>
    </w:p>
    <w:p>
      <w:pPr>
        <w:pStyle w:val="BodyText"/>
        <w:spacing w:line="278" w:lineRule="auto"/>
        <w:ind w:left="259" w:right="215"/>
      </w:pPr>
      <w:r>
        <w:rPr/>
        <w:t>(3)</w:t>
      </w:r>
      <w:r>
        <w:rPr>
          <w:spacing w:val="-7"/>
        </w:rPr>
        <w:t>卫生行政部门认定的二级以上医院出具的附有病理显微镜检查、血液检验</w:t>
      </w:r>
      <w:r>
        <w:rPr>
          <w:spacing w:val="-3"/>
        </w:rPr>
        <w:t>及其它科学方法检验报告的疾病诊断证明书；</w:t>
      </w:r>
    </w:p>
    <w:p>
      <w:pPr>
        <w:pStyle w:val="BodyText"/>
        <w:spacing w:before="13"/>
        <w:ind w:left="259"/>
      </w:pPr>
      <w:r>
        <w:rPr/>
        <w:t>(4)所能提供的与确认保险事故的性质、原因等有关的其他证明和资料。</w:t>
      </w:r>
    </w:p>
    <w:p>
      <w:pPr>
        <w:pStyle w:val="BodyText"/>
        <w:spacing w:line="273" w:lineRule="auto" w:before="162"/>
        <w:ind w:left="259" w:right="234"/>
      </w:pPr>
      <w:r>
        <w:rPr/>
        <w:t>以上各项保险金申请的证明和资料不完整的，我们将及时一次性通知受益人补充提供有关证明和资料。</w:t>
      </w:r>
    </w:p>
    <w:p>
      <w:pPr>
        <w:spacing w:after="0" w:line="273" w:lineRule="auto"/>
        <w:sectPr>
          <w:type w:val="continuous"/>
          <w:pgSz w:w="11910" w:h="16840"/>
          <w:pgMar w:top="140" w:bottom="280" w:left="1140" w:right="1020"/>
          <w:cols w:num="2" w:equalWidth="0">
            <w:col w:w="2273" w:space="40"/>
            <w:col w:w="7437"/>
          </w:cols>
        </w:sectPr>
      </w:pPr>
    </w:p>
    <w:p>
      <w:pPr>
        <w:pStyle w:val="BodyText"/>
        <w:spacing w:before="8"/>
        <w:ind w:left="0"/>
        <w:rPr>
          <w:sz w:val="8"/>
        </w:rPr>
      </w:pPr>
    </w:p>
    <w:p>
      <w:pPr>
        <w:spacing w:after="0"/>
        <w:rPr>
          <w:sz w:val="8"/>
        </w:rPr>
        <w:sectPr>
          <w:type w:val="continuous"/>
          <w:pgSz w:w="11910" w:h="16840"/>
          <w:pgMar w:top="140" w:bottom="280" w:left="1140" w:right="1020"/>
        </w:sectPr>
      </w:pPr>
    </w:p>
    <w:p>
      <w:pPr>
        <w:pStyle w:val="ListParagraph"/>
        <w:numPr>
          <w:ilvl w:val="1"/>
          <w:numId w:val="4"/>
        </w:numPr>
        <w:tabs>
          <w:tab w:pos="799" w:val="left" w:leader="none"/>
          <w:tab w:pos="800" w:val="left" w:leader="none"/>
        </w:tabs>
        <w:spacing w:line="240" w:lineRule="auto" w:before="36" w:after="0"/>
        <w:ind w:left="799" w:right="0" w:hanging="699"/>
        <w:jc w:val="left"/>
        <w:rPr>
          <w:rFonts w:ascii="黑体" w:eastAsia="黑体" w:hint="eastAsia"/>
          <w:sz w:val="21"/>
        </w:rPr>
      </w:pPr>
      <w:r>
        <w:rPr>
          <w:rFonts w:ascii="黑体" w:eastAsia="黑体" w:hint="eastAsia"/>
          <w:spacing w:val="-2"/>
          <w:sz w:val="21"/>
        </w:rPr>
        <w:t>保险金给付及豁</w:t>
      </w:r>
    </w:p>
    <w:p>
      <w:pPr>
        <w:pStyle w:val="BodyText"/>
        <w:spacing w:before="36"/>
        <w:ind w:left="799"/>
        <w:rPr>
          <w:rFonts w:ascii="黑体" w:eastAsia="黑体" w:hint="eastAsia"/>
        </w:rPr>
      </w:pPr>
      <w:r>
        <w:rPr>
          <w:rFonts w:ascii="黑体" w:eastAsia="黑体" w:hint="eastAsia"/>
        </w:rPr>
        <w:t>免保险费核定</w:t>
      </w:r>
    </w:p>
    <w:p>
      <w:pPr>
        <w:pStyle w:val="BodyText"/>
        <w:spacing w:line="273" w:lineRule="auto" w:before="36"/>
        <w:ind w:left="100" w:right="133"/>
      </w:pPr>
      <w:r>
        <w:rPr/>
        <w:br w:type="column"/>
      </w:r>
      <w:r>
        <w:rPr>
          <w:spacing w:val="-3"/>
        </w:rPr>
        <w:t>我们在收到保险金给付或豁免保险费申请书及合同约定的证明和资料后，将</w:t>
      </w:r>
      <w:r>
        <w:rPr>
          <w:spacing w:val="-24"/>
        </w:rPr>
        <w:t>在 </w:t>
      </w:r>
      <w:r>
        <w:rPr/>
        <w:t>5</w:t>
      </w:r>
      <w:r>
        <w:rPr>
          <w:spacing w:val="-11"/>
        </w:rPr>
        <w:t> 日内作出核定；情形复杂的，在 </w:t>
      </w:r>
      <w:r>
        <w:rPr/>
        <w:t>30</w:t>
      </w:r>
      <w:r>
        <w:rPr>
          <w:spacing w:val="-8"/>
        </w:rPr>
        <w:t> 日内作出核定。对属于保险责任的，</w:t>
      </w:r>
    </w:p>
    <w:p>
      <w:pPr>
        <w:pStyle w:val="BodyText"/>
        <w:spacing w:line="273" w:lineRule="auto" w:before="7"/>
        <w:ind w:left="100" w:right="233"/>
      </w:pPr>
      <w:r>
        <w:rPr>
          <w:spacing w:val="-6"/>
        </w:rPr>
        <w:t>我们在与受益人达成给付保险金的协议后 </w:t>
      </w:r>
      <w:r>
        <w:rPr/>
        <w:t>10</w:t>
      </w:r>
      <w:r>
        <w:rPr>
          <w:spacing w:val="-8"/>
        </w:rPr>
        <w:t> 日内，履行给付保险金义务。</w:t>
      </w:r>
      <w:r>
        <w:rPr>
          <w:spacing w:val="-5"/>
        </w:rPr>
        <w:t>我们未及时履行前款规定义务的，除支付保险金外，应当赔偿受益人因此受</w:t>
      </w:r>
      <w:r>
        <w:rPr>
          <w:spacing w:val="-3"/>
        </w:rPr>
        <w:t>到的损失。前述“损失”是指根据中国人民银行公布的同时期的人民币活期</w:t>
      </w:r>
    </w:p>
    <w:p>
      <w:pPr>
        <w:spacing w:after="0" w:line="273" w:lineRule="auto"/>
        <w:sectPr>
          <w:type w:val="continuous"/>
          <w:pgSz w:w="11910" w:h="16840"/>
          <w:pgMar w:top="140" w:bottom="280" w:left="1140" w:right="1020"/>
          <w:cols w:num="2" w:equalWidth="0">
            <w:col w:w="2273" w:space="199"/>
            <w:col w:w="7278"/>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1923"/>
        <w:gridCol w:w="7103"/>
      </w:tblGrid>
      <w:tr>
        <w:trPr>
          <w:trHeight w:val="2204" w:hRule="atLeast"/>
        </w:trPr>
        <w:tc>
          <w:tcPr>
            <w:tcW w:w="2539" w:type="dxa"/>
            <w:gridSpan w:val="2"/>
          </w:tcPr>
          <w:p>
            <w:pPr>
              <w:pStyle w:val="TableParagraph"/>
              <w:rPr>
                <w:rFonts w:ascii="Times New Roman"/>
                <w:sz w:val="20"/>
              </w:rPr>
            </w:pPr>
          </w:p>
        </w:tc>
        <w:tc>
          <w:tcPr>
            <w:tcW w:w="7103" w:type="dxa"/>
          </w:tcPr>
          <w:p>
            <w:pPr>
              <w:pStyle w:val="TableParagraph"/>
              <w:spacing w:line="203" w:lineRule="exact"/>
              <w:ind w:left="41"/>
              <w:rPr>
                <w:sz w:val="21"/>
              </w:rPr>
            </w:pPr>
            <w:r>
              <w:rPr>
                <w:sz w:val="21"/>
              </w:rPr>
              <w:t>存款基准利率计算的利息损失。</w:t>
            </w:r>
          </w:p>
          <w:p>
            <w:pPr>
              <w:pStyle w:val="TableParagraph"/>
              <w:spacing w:line="273" w:lineRule="auto" w:before="37"/>
              <w:ind w:left="41" w:right="123"/>
              <w:rPr>
                <w:sz w:val="21"/>
              </w:rPr>
            </w:pPr>
            <w:r>
              <w:rPr>
                <w:spacing w:val="-5"/>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73" w:lineRule="auto" w:before="8"/>
              <w:ind w:left="41" w:right="123"/>
              <w:rPr>
                <w:sz w:val="21"/>
              </w:rPr>
            </w:pPr>
            <w:r>
              <w:rPr>
                <w:spacing w:val="-5"/>
                <w:sz w:val="21"/>
              </w:rPr>
              <w:t>我们在收到保险金给付或豁免保险费申请书及有关证明和资料之日起 </w:t>
            </w:r>
            <w:r>
              <w:rPr>
                <w:sz w:val="21"/>
              </w:rPr>
              <w:t>60</w:t>
            </w:r>
            <w:r>
              <w:rPr>
                <w:spacing w:val="-23"/>
                <w:sz w:val="21"/>
              </w:rPr>
              <w:t> 日</w:t>
            </w:r>
            <w:r>
              <w:rPr>
                <w:spacing w:val="-8"/>
                <w:sz w:val="21"/>
              </w:rPr>
              <w:t>内，对给付保险金或豁免保险费的数额不能确定的，根据已有证明和资料可</w:t>
            </w:r>
            <w:r>
              <w:rPr>
                <w:spacing w:val="-5"/>
                <w:sz w:val="21"/>
              </w:rPr>
              <w:t>以确定的数额先予支付；我们最终确定给付保险金或豁免保险费的数额后， </w:t>
            </w:r>
            <w:r>
              <w:rPr>
                <w:spacing w:val="-4"/>
                <w:sz w:val="21"/>
              </w:rPr>
              <w:t>将支付或豁免相应的差额。</w:t>
            </w:r>
          </w:p>
        </w:tc>
      </w:tr>
      <w:tr>
        <w:trPr>
          <w:trHeight w:val="2013" w:hRule="atLeast"/>
        </w:trPr>
        <w:tc>
          <w:tcPr>
            <w:tcW w:w="616" w:type="dxa"/>
          </w:tcPr>
          <w:p>
            <w:pPr>
              <w:pStyle w:val="TableParagraph"/>
              <w:spacing w:before="49"/>
              <w:ind w:left="108"/>
              <w:rPr>
                <w:rFonts w:ascii="黑体"/>
                <w:sz w:val="21"/>
              </w:rPr>
            </w:pPr>
            <w:r>
              <w:rPr>
                <w:rFonts w:ascii="黑体"/>
                <w:sz w:val="21"/>
              </w:rPr>
              <w:t>3.5</w:t>
            </w:r>
          </w:p>
        </w:tc>
        <w:tc>
          <w:tcPr>
            <w:tcW w:w="1923" w:type="dxa"/>
          </w:tcPr>
          <w:p>
            <w:pPr>
              <w:pStyle w:val="TableParagraph"/>
              <w:spacing w:before="49"/>
              <w:ind w:left="190"/>
              <w:rPr>
                <w:rFonts w:ascii="黑体" w:eastAsia="黑体" w:hint="eastAsia"/>
                <w:sz w:val="21"/>
              </w:rPr>
            </w:pPr>
            <w:r>
              <w:rPr>
                <w:rFonts w:ascii="黑体" w:eastAsia="黑体" w:hint="eastAsia"/>
                <w:sz w:val="21"/>
              </w:rPr>
              <w:t>宣告死亡处理</w:t>
            </w:r>
          </w:p>
        </w:tc>
        <w:tc>
          <w:tcPr>
            <w:tcW w:w="7103" w:type="dxa"/>
          </w:tcPr>
          <w:p>
            <w:pPr>
              <w:pStyle w:val="TableParagraph"/>
              <w:spacing w:line="273" w:lineRule="auto" w:before="49"/>
              <w:ind w:left="41" w:right="123"/>
              <w:jc w:val="both"/>
              <w:rPr>
                <w:sz w:val="21"/>
              </w:rPr>
            </w:pPr>
            <w:r>
              <w:rPr>
                <w:sz w:val="21"/>
              </w:rPr>
              <w:t>如果被保险人在本合同有效期内失踪，而且被法院宣告死亡，我们以法院判决宣告死亡之日作为被保险人的死亡时间，符合本合同约定的以死亡为保险金给付条件的，按本合同的约定给付保险金，本合同终止。</w:t>
            </w:r>
          </w:p>
          <w:p>
            <w:pPr>
              <w:pStyle w:val="TableParagraph"/>
              <w:spacing w:line="273" w:lineRule="auto" w:before="7"/>
              <w:ind w:left="41" w:right="104"/>
              <w:jc w:val="both"/>
              <w:rPr>
                <w:sz w:val="21"/>
              </w:rPr>
            </w:pPr>
            <w:r>
              <w:rPr>
                <w:spacing w:val="-4"/>
                <w:sz w:val="21"/>
              </w:rPr>
              <w:t>如果被保险人在宣告死亡后重新出现或者确知其没有死亡，保险金受益人应</w:t>
            </w:r>
            <w:r>
              <w:rPr>
                <w:spacing w:val="-7"/>
                <w:sz w:val="21"/>
              </w:rPr>
              <w:t>于知道或应当知道后 </w:t>
            </w:r>
            <w:r>
              <w:rPr>
                <w:sz w:val="21"/>
              </w:rPr>
              <w:t>30</w:t>
            </w:r>
            <w:r>
              <w:rPr>
                <w:spacing w:val="-13"/>
                <w:sz w:val="21"/>
              </w:rPr>
              <w:t> 日内向我们退还已给付的保险金，退还后本合同的效</w:t>
            </w:r>
            <w:r>
              <w:rPr>
                <w:spacing w:val="-3"/>
                <w:sz w:val="21"/>
              </w:rPr>
              <w:t>力由我们和您依法协商确定。</w:t>
            </w:r>
          </w:p>
        </w:tc>
      </w:tr>
      <w:tr>
        <w:trPr>
          <w:trHeight w:val="835" w:hRule="atLeast"/>
        </w:trPr>
        <w:tc>
          <w:tcPr>
            <w:tcW w:w="616" w:type="dxa"/>
          </w:tcPr>
          <w:p>
            <w:pPr>
              <w:pStyle w:val="TableParagraph"/>
              <w:spacing w:before="49"/>
              <w:ind w:left="108"/>
              <w:rPr>
                <w:rFonts w:ascii="黑体"/>
                <w:sz w:val="21"/>
              </w:rPr>
            </w:pPr>
            <w:r>
              <w:rPr>
                <w:rFonts w:ascii="黑体"/>
                <w:sz w:val="21"/>
              </w:rPr>
              <w:t>3.6</w:t>
            </w:r>
          </w:p>
        </w:tc>
        <w:tc>
          <w:tcPr>
            <w:tcW w:w="1923" w:type="dxa"/>
          </w:tcPr>
          <w:p>
            <w:pPr>
              <w:pStyle w:val="TableParagraph"/>
              <w:spacing w:before="49"/>
              <w:ind w:left="190"/>
              <w:rPr>
                <w:rFonts w:ascii="黑体" w:eastAsia="黑体" w:hint="eastAsia"/>
                <w:sz w:val="21"/>
              </w:rPr>
            </w:pPr>
            <w:r>
              <w:rPr>
                <w:rFonts w:ascii="黑体" w:eastAsia="黑体" w:hint="eastAsia"/>
                <w:sz w:val="21"/>
              </w:rPr>
              <w:t>诉讼时效</w:t>
            </w:r>
          </w:p>
        </w:tc>
        <w:tc>
          <w:tcPr>
            <w:tcW w:w="7103" w:type="dxa"/>
          </w:tcPr>
          <w:p>
            <w:pPr>
              <w:pStyle w:val="TableParagraph"/>
              <w:spacing w:line="273" w:lineRule="auto" w:before="49"/>
              <w:ind w:left="41" w:right="123"/>
              <w:rPr>
                <w:sz w:val="21"/>
              </w:rPr>
            </w:pPr>
            <w:r>
              <w:rPr>
                <w:spacing w:val="-5"/>
                <w:sz w:val="21"/>
              </w:rPr>
              <w:t>受益人向我们请求给付保险金的诉讼时效期间为 </w:t>
            </w:r>
            <w:r>
              <w:rPr>
                <w:sz w:val="21"/>
              </w:rPr>
              <w:t>2</w:t>
            </w:r>
            <w:r>
              <w:rPr>
                <w:spacing w:val="-7"/>
                <w:sz w:val="21"/>
              </w:rPr>
              <w:t> 年，自其知道或者应当知</w:t>
            </w:r>
            <w:r>
              <w:rPr>
                <w:spacing w:val="-3"/>
                <w:sz w:val="21"/>
              </w:rPr>
              <w:t>道保险事故发生之日起计算。</w:t>
            </w:r>
          </w:p>
        </w:tc>
      </w:tr>
      <w:tr>
        <w:trPr>
          <w:trHeight w:val="312" w:hRule="atLeast"/>
        </w:trPr>
        <w:tc>
          <w:tcPr>
            <w:tcW w:w="616" w:type="dxa"/>
            <w:shd w:val="clear" w:color="auto" w:fill="A6A6A6"/>
          </w:tcPr>
          <w:p>
            <w:pPr>
              <w:pStyle w:val="TableParagraph"/>
              <w:spacing w:line="254" w:lineRule="exact"/>
              <w:ind w:left="108"/>
              <w:rPr>
                <w:rFonts w:ascii="黑体"/>
                <w:b/>
                <w:sz w:val="21"/>
              </w:rPr>
            </w:pPr>
            <w:r>
              <w:rPr>
                <w:rFonts w:ascii="黑体"/>
                <w:b/>
                <w:w w:val="99"/>
                <w:sz w:val="21"/>
              </w:rPr>
              <w:t>4</w:t>
            </w:r>
          </w:p>
        </w:tc>
        <w:tc>
          <w:tcPr>
            <w:tcW w:w="1923" w:type="dxa"/>
            <w:shd w:val="clear" w:color="auto" w:fill="A6A6A6"/>
          </w:tcPr>
          <w:p>
            <w:pPr>
              <w:pStyle w:val="TableParagraph"/>
              <w:spacing w:line="254" w:lineRule="exact"/>
              <w:ind w:left="190"/>
              <w:rPr>
                <w:rFonts w:ascii="黑体" w:eastAsia="黑体" w:hint="eastAsia"/>
                <w:b/>
                <w:sz w:val="21"/>
              </w:rPr>
            </w:pPr>
            <w:r>
              <w:rPr>
                <w:rFonts w:ascii="黑体" w:eastAsia="黑体" w:hint="eastAsia"/>
                <w:b/>
                <w:sz w:val="21"/>
              </w:rPr>
              <w:t>如何支付保险费</w:t>
            </w:r>
          </w:p>
        </w:tc>
        <w:tc>
          <w:tcPr>
            <w:tcW w:w="7103" w:type="dxa"/>
            <w:shd w:val="clear" w:color="auto" w:fill="A6A6A6"/>
          </w:tcPr>
          <w:p>
            <w:pPr>
              <w:pStyle w:val="TableParagraph"/>
              <w:rPr>
                <w:rFonts w:ascii="Times New Roman"/>
                <w:sz w:val="20"/>
              </w:rPr>
            </w:pPr>
          </w:p>
        </w:tc>
      </w:tr>
      <w:tr>
        <w:trPr>
          <w:trHeight w:val="1774" w:hRule="atLeast"/>
        </w:trPr>
        <w:tc>
          <w:tcPr>
            <w:tcW w:w="616" w:type="dxa"/>
          </w:tcPr>
          <w:p>
            <w:pPr>
              <w:pStyle w:val="TableParagraph"/>
              <w:spacing w:before="121"/>
              <w:ind w:left="108"/>
              <w:rPr>
                <w:rFonts w:ascii="黑体"/>
                <w:sz w:val="21"/>
              </w:rPr>
            </w:pPr>
            <w:r>
              <w:rPr>
                <w:rFonts w:ascii="黑体"/>
                <w:sz w:val="21"/>
              </w:rPr>
              <w:t>4.1</w:t>
            </w:r>
          </w:p>
        </w:tc>
        <w:tc>
          <w:tcPr>
            <w:tcW w:w="1923" w:type="dxa"/>
          </w:tcPr>
          <w:p>
            <w:pPr>
              <w:pStyle w:val="TableParagraph"/>
              <w:spacing w:before="121"/>
              <w:ind w:left="190"/>
              <w:rPr>
                <w:rFonts w:ascii="黑体" w:eastAsia="黑体" w:hint="eastAsia"/>
                <w:sz w:val="21"/>
              </w:rPr>
            </w:pPr>
            <w:r>
              <w:rPr>
                <w:rFonts w:ascii="黑体" w:eastAsia="黑体" w:hint="eastAsia"/>
                <w:sz w:val="21"/>
              </w:rPr>
              <w:t>保险费的支付</w:t>
            </w:r>
          </w:p>
        </w:tc>
        <w:tc>
          <w:tcPr>
            <w:tcW w:w="7103" w:type="dxa"/>
          </w:tcPr>
          <w:p>
            <w:pPr>
              <w:pStyle w:val="TableParagraph"/>
              <w:spacing w:line="273" w:lineRule="auto" w:before="121"/>
              <w:ind w:left="41" w:right="102"/>
              <w:jc w:val="both"/>
              <w:rPr>
                <w:sz w:val="21"/>
              </w:rPr>
            </w:pPr>
            <w:r>
              <w:rPr>
                <w:spacing w:val="-6"/>
                <w:sz w:val="21"/>
              </w:rPr>
              <w:t>本合同的保险费采用趸交</w:t>
            </w:r>
            <w:r>
              <w:rPr>
                <w:sz w:val="21"/>
              </w:rPr>
              <w:t>（</w:t>
            </w:r>
            <w:r>
              <w:rPr>
                <w:spacing w:val="-3"/>
                <w:sz w:val="21"/>
              </w:rPr>
              <w:t>即一次性交清</w:t>
            </w:r>
            <w:r>
              <w:rPr>
                <w:spacing w:val="-108"/>
                <w:sz w:val="21"/>
              </w:rPr>
              <w:t>）</w:t>
            </w:r>
            <w:r>
              <w:rPr>
                <w:spacing w:val="-13"/>
                <w:sz w:val="21"/>
              </w:rPr>
              <w:t>、限期年交</w:t>
            </w:r>
            <w:r>
              <w:rPr>
                <w:spacing w:val="-3"/>
                <w:sz w:val="21"/>
              </w:rPr>
              <w:t>（即在约定的交费期间内每年支付一次保险费）或我们同意的其他方式支付，您在投保时与我们约定交费方式和交费期间，并在保险单上载明。</w:t>
            </w:r>
          </w:p>
          <w:p>
            <w:pPr>
              <w:pStyle w:val="TableParagraph"/>
              <w:spacing w:line="273" w:lineRule="auto" w:before="8"/>
              <w:ind w:left="41" w:right="123"/>
              <w:jc w:val="both"/>
              <w:rPr>
                <w:sz w:val="21"/>
              </w:rPr>
            </w:pPr>
            <w:r>
              <w:rPr>
                <w:sz w:val="21"/>
              </w:rPr>
              <w:t>选择限期年交或我们同意的其他方式的，在支付首期保险费后，您应当按照约定，在每个保险费约定支付日支付其余各期保险费。</w:t>
            </w:r>
          </w:p>
        </w:tc>
      </w:tr>
      <w:tr>
        <w:trPr>
          <w:trHeight w:val="1772" w:hRule="atLeast"/>
        </w:trPr>
        <w:tc>
          <w:tcPr>
            <w:tcW w:w="616" w:type="dxa"/>
          </w:tcPr>
          <w:p>
            <w:pPr>
              <w:pStyle w:val="TableParagraph"/>
              <w:spacing w:before="50"/>
              <w:ind w:left="108"/>
              <w:rPr>
                <w:rFonts w:ascii="黑体"/>
                <w:sz w:val="21"/>
              </w:rPr>
            </w:pPr>
            <w:r>
              <w:rPr>
                <w:rFonts w:ascii="黑体"/>
                <w:sz w:val="21"/>
              </w:rPr>
              <w:t>4.2</w:t>
            </w:r>
          </w:p>
        </w:tc>
        <w:tc>
          <w:tcPr>
            <w:tcW w:w="1923" w:type="dxa"/>
          </w:tcPr>
          <w:p>
            <w:pPr>
              <w:pStyle w:val="TableParagraph"/>
              <w:spacing w:before="50"/>
              <w:ind w:left="190"/>
              <w:rPr>
                <w:rFonts w:ascii="黑体" w:eastAsia="黑体" w:hint="eastAsia"/>
                <w:sz w:val="21"/>
              </w:rPr>
            </w:pPr>
            <w:r>
              <w:rPr>
                <w:rFonts w:ascii="黑体" w:eastAsia="黑体" w:hint="eastAsia"/>
                <w:sz w:val="21"/>
              </w:rPr>
              <w:t>宽限期</w:t>
            </w:r>
          </w:p>
        </w:tc>
        <w:tc>
          <w:tcPr>
            <w:tcW w:w="7103" w:type="dxa"/>
          </w:tcPr>
          <w:p>
            <w:pPr>
              <w:pStyle w:val="TableParagraph"/>
              <w:spacing w:line="273" w:lineRule="auto" w:before="50"/>
              <w:ind w:left="41" w:right="23"/>
              <w:rPr>
                <w:sz w:val="21"/>
              </w:rPr>
            </w:pPr>
            <w:r>
              <w:rPr>
                <w:spacing w:val="-3"/>
                <w:sz w:val="21"/>
              </w:rPr>
              <w:t>您支付首期保险费后，除本合同另有约定外，如果您到期未支付保险费，自</w:t>
            </w:r>
            <w:r>
              <w:rPr>
                <w:spacing w:val="-6"/>
                <w:sz w:val="21"/>
              </w:rPr>
              <w:t>保险费约定支付日的次日零时起 </w:t>
            </w:r>
            <w:r>
              <w:rPr>
                <w:sz w:val="21"/>
              </w:rPr>
              <w:t>60</w:t>
            </w:r>
            <w:r>
              <w:rPr>
                <w:spacing w:val="-8"/>
                <w:sz w:val="21"/>
              </w:rPr>
              <w:t> 日为宽限期。宽限期内发生的保险事故， </w:t>
            </w:r>
            <w:r>
              <w:rPr>
                <w:spacing w:val="-3"/>
                <w:sz w:val="21"/>
              </w:rPr>
              <w:t>我们仍会承担保险责任，但在给付保险金时会扣减您欠交的保险费。</w:t>
            </w:r>
          </w:p>
          <w:p>
            <w:pPr>
              <w:pStyle w:val="TableParagraph"/>
              <w:spacing w:line="273" w:lineRule="auto" w:before="7"/>
              <w:ind w:left="41" w:right="123"/>
              <w:rPr>
                <w:sz w:val="21"/>
              </w:rPr>
            </w:pPr>
            <w:r>
              <w:rPr>
                <w:sz w:val="21"/>
              </w:rPr>
              <w:t>如果您宽限期结束之后仍未支付保险费，则本合同自宽限期满的次日零时起效力中止。</w:t>
            </w:r>
          </w:p>
        </w:tc>
      </w:tr>
      <w:tr>
        <w:trPr>
          <w:trHeight w:val="312" w:hRule="atLeast"/>
        </w:trPr>
        <w:tc>
          <w:tcPr>
            <w:tcW w:w="616" w:type="dxa"/>
            <w:shd w:val="clear" w:color="auto" w:fill="A6A6A6"/>
          </w:tcPr>
          <w:p>
            <w:pPr>
              <w:pStyle w:val="TableParagraph"/>
              <w:spacing w:line="254" w:lineRule="exact"/>
              <w:ind w:left="108"/>
              <w:rPr>
                <w:rFonts w:ascii="黑体"/>
                <w:b/>
                <w:sz w:val="21"/>
              </w:rPr>
            </w:pPr>
            <w:r>
              <w:rPr>
                <w:rFonts w:ascii="黑体"/>
                <w:b/>
                <w:w w:val="99"/>
                <w:sz w:val="21"/>
              </w:rPr>
              <w:t>5</w:t>
            </w:r>
          </w:p>
        </w:tc>
        <w:tc>
          <w:tcPr>
            <w:tcW w:w="1923" w:type="dxa"/>
            <w:shd w:val="clear" w:color="auto" w:fill="A6A6A6"/>
          </w:tcPr>
          <w:p>
            <w:pPr>
              <w:pStyle w:val="TableParagraph"/>
              <w:spacing w:line="254" w:lineRule="exact"/>
              <w:ind w:left="190"/>
              <w:rPr>
                <w:rFonts w:ascii="黑体" w:eastAsia="黑体" w:hint="eastAsia"/>
                <w:b/>
                <w:sz w:val="21"/>
              </w:rPr>
            </w:pPr>
            <w:r>
              <w:rPr>
                <w:rFonts w:ascii="黑体" w:eastAsia="黑体" w:hint="eastAsia"/>
                <w:b/>
                <w:sz w:val="21"/>
              </w:rPr>
              <w:t>如何恢复合同效力</w:t>
            </w:r>
          </w:p>
        </w:tc>
        <w:tc>
          <w:tcPr>
            <w:tcW w:w="7103" w:type="dxa"/>
            <w:shd w:val="clear" w:color="auto" w:fill="A6A6A6"/>
          </w:tcPr>
          <w:p>
            <w:pPr>
              <w:pStyle w:val="TableParagraph"/>
              <w:rPr>
                <w:rFonts w:ascii="Times New Roman"/>
                <w:sz w:val="20"/>
              </w:rPr>
            </w:pPr>
          </w:p>
        </w:tc>
      </w:tr>
      <w:tr>
        <w:trPr>
          <w:trHeight w:val="525" w:hRule="atLeast"/>
        </w:trPr>
        <w:tc>
          <w:tcPr>
            <w:tcW w:w="616" w:type="dxa"/>
          </w:tcPr>
          <w:p>
            <w:pPr>
              <w:pStyle w:val="TableParagraph"/>
              <w:spacing w:before="121"/>
              <w:ind w:left="108"/>
              <w:rPr>
                <w:rFonts w:ascii="黑体"/>
                <w:sz w:val="21"/>
              </w:rPr>
            </w:pPr>
            <w:r>
              <w:rPr>
                <w:rFonts w:ascii="黑体"/>
                <w:sz w:val="21"/>
              </w:rPr>
              <w:t>5.1</w:t>
            </w:r>
          </w:p>
        </w:tc>
        <w:tc>
          <w:tcPr>
            <w:tcW w:w="1923" w:type="dxa"/>
          </w:tcPr>
          <w:p>
            <w:pPr>
              <w:pStyle w:val="TableParagraph"/>
              <w:spacing w:before="121"/>
              <w:ind w:left="190"/>
              <w:rPr>
                <w:rFonts w:ascii="黑体" w:eastAsia="黑体" w:hint="eastAsia"/>
                <w:sz w:val="21"/>
              </w:rPr>
            </w:pPr>
            <w:r>
              <w:rPr>
                <w:rFonts w:ascii="黑体" w:eastAsia="黑体" w:hint="eastAsia"/>
                <w:sz w:val="21"/>
              </w:rPr>
              <w:t>效力中止</w:t>
            </w:r>
          </w:p>
        </w:tc>
        <w:tc>
          <w:tcPr>
            <w:tcW w:w="7103" w:type="dxa"/>
          </w:tcPr>
          <w:p>
            <w:pPr>
              <w:pStyle w:val="TableParagraph"/>
              <w:spacing w:before="121"/>
              <w:ind w:left="41"/>
              <w:rPr>
                <w:sz w:val="21"/>
              </w:rPr>
            </w:pPr>
            <w:r>
              <w:rPr>
                <w:sz w:val="21"/>
                <w:shd w:fill="D9D9D9" w:color="auto" w:val="clear"/>
              </w:rPr>
              <w:t>在本合同效力中止期间，我们不承担保险责任。</w:t>
            </w:r>
          </w:p>
        </w:tc>
      </w:tr>
      <w:tr>
        <w:trPr>
          <w:trHeight w:val="2083" w:hRule="atLeast"/>
        </w:trPr>
        <w:tc>
          <w:tcPr>
            <w:tcW w:w="616" w:type="dxa"/>
          </w:tcPr>
          <w:p>
            <w:pPr>
              <w:pStyle w:val="TableParagraph"/>
              <w:spacing w:before="49"/>
              <w:ind w:left="108"/>
              <w:rPr>
                <w:rFonts w:ascii="黑体"/>
                <w:sz w:val="21"/>
              </w:rPr>
            </w:pPr>
            <w:r>
              <w:rPr>
                <w:rFonts w:ascii="黑体"/>
                <w:sz w:val="21"/>
              </w:rPr>
              <w:t>5.2</w:t>
            </w:r>
          </w:p>
        </w:tc>
        <w:tc>
          <w:tcPr>
            <w:tcW w:w="1923" w:type="dxa"/>
          </w:tcPr>
          <w:p>
            <w:pPr>
              <w:pStyle w:val="TableParagraph"/>
              <w:spacing w:before="49"/>
              <w:ind w:left="190"/>
              <w:rPr>
                <w:rFonts w:ascii="黑体" w:eastAsia="黑体" w:hint="eastAsia"/>
                <w:sz w:val="21"/>
              </w:rPr>
            </w:pPr>
            <w:r>
              <w:rPr>
                <w:rFonts w:ascii="黑体" w:eastAsia="黑体" w:hint="eastAsia"/>
                <w:sz w:val="21"/>
              </w:rPr>
              <w:t>效力恢复</w:t>
            </w:r>
          </w:p>
        </w:tc>
        <w:tc>
          <w:tcPr>
            <w:tcW w:w="7103" w:type="dxa"/>
          </w:tcPr>
          <w:p>
            <w:pPr>
              <w:pStyle w:val="TableParagraph"/>
              <w:spacing w:line="273" w:lineRule="auto" w:before="49"/>
              <w:ind w:left="41" w:right="123"/>
              <w:jc w:val="both"/>
              <w:rPr>
                <w:sz w:val="21"/>
              </w:rPr>
            </w:pPr>
            <w:r>
              <w:rPr>
                <w:spacing w:val="-7"/>
                <w:sz w:val="21"/>
              </w:rPr>
              <w:t>本合同效力中止后 </w:t>
            </w:r>
            <w:r>
              <w:rPr>
                <w:sz w:val="21"/>
              </w:rPr>
              <w:t>2</w:t>
            </w:r>
            <w:r>
              <w:rPr>
                <w:spacing w:val="-8"/>
                <w:sz w:val="21"/>
              </w:rPr>
              <w:t> 年内，您可以申请恢复合同效力。经我们与您协商并达</w:t>
            </w:r>
            <w:r>
              <w:rPr>
                <w:spacing w:val="-5"/>
                <w:sz w:val="21"/>
              </w:rPr>
              <w:t>成协议，自您补交保险费及相应利息的次日零时起，合同效力恢复。前述补</w:t>
            </w:r>
            <w:r>
              <w:rPr>
                <w:spacing w:val="-8"/>
                <w:sz w:val="21"/>
              </w:rPr>
              <w:t>交的利息按我们参照 </w:t>
            </w:r>
            <w:r>
              <w:rPr>
                <w:sz w:val="21"/>
              </w:rPr>
              <w:t>2</w:t>
            </w:r>
            <w:r>
              <w:rPr>
                <w:spacing w:val="-8"/>
                <w:sz w:val="21"/>
              </w:rPr>
              <w:t> 年期居民定期存款基准利率作相应浮动后宣布的利率计算。</w:t>
            </w:r>
          </w:p>
          <w:p>
            <w:pPr>
              <w:pStyle w:val="TableParagraph"/>
              <w:spacing w:line="273" w:lineRule="auto" w:before="7"/>
              <w:ind w:left="41" w:right="-15"/>
              <w:rPr>
                <w:sz w:val="21"/>
              </w:rPr>
            </w:pPr>
            <w:r>
              <w:rPr>
                <w:spacing w:val="-6"/>
                <w:sz w:val="21"/>
              </w:rPr>
              <w:t>自本合同效力中止之日起满 </w:t>
            </w:r>
            <w:r>
              <w:rPr>
                <w:sz w:val="21"/>
              </w:rPr>
              <w:t>2</w:t>
            </w:r>
            <w:r>
              <w:rPr>
                <w:spacing w:val="-14"/>
                <w:sz w:val="21"/>
              </w:rPr>
              <w:t> 年您和我们未达成协议的，我们有权解除合同。</w:t>
            </w:r>
            <w:r>
              <w:rPr>
                <w:spacing w:val="-7"/>
                <w:sz w:val="21"/>
              </w:rPr>
              <w:t>我们解除合同的，向您退还合同效力中止时保险单的现金价值。</w:t>
            </w:r>
          </w:p>
        </w:tc>
      </w:tr>
      <w:tr>
        <w:trPr>
          <w:trHeight w:val="312" w:hRule="atLeast"/>
        </w:trPr>
        <w:tc>
          <w:tcPr>
            <w:tcW w:w="616" w:type="dxa"/>
            <w:shd w:val="clear" w:color="auto" w:fill="A6A6A6"/>
          </w:tcPr>
          <w:p>
            <w:pPr>
              <w:pStyle w:val="TableParagraph"/>
              <w:spacing w:line="254" w:lineRule="exact"/>
              <w:ind w:left="108"/>
              <w:rPr>
                <w:rFonts w:ascii="黑体"/>
                <w:b/>
                <w:sz w:val="21"/>
              </w:rPr>
            </w:pPr>
            <w:r>
              <w:rPr>
                <w:rFonts w:ascii="黑体"/>
                <w:b/>
                <w:w w:val="99"/>
                <w:sz w:val="21"/>
              </w:rPr>
              <w:t>6</w:t>
            </w:r>
          </w:p>
        </w:tc>
        <w:tc>
          <w:tcPr>
            <w:tcW w:w="1923" w:type="dxa"/>
            <w:shd w:val="clear" w:color="auto" w:fill="A6A6A6"/>
          </w:tcPr>
          <w:p>
            <w:pPr>
              <w:pStyle w:val="TableParagraph"/>
              <w:spacing w:line="254" w:lineRule="exact"/>
              <w:ind w:left="190"/>
              <w:rPr>
                <w:rFonts w:ascii="黑体" w:eastAsia="黑体" w:hint="eastAsia"/>
                <w:b/>
                <w:sz w:val="21"/>
              </w:rPr>
            </w:pPr>
            <w:r>
              <w:rPr>
                <w:rFonts w:ascii="黑体" w:eastAsia="黑体" w:hint="eastAsia"/>
                <w:b/>
                <w:sz w:val="21"/>
              </w:rPr>
              <w:t>现金价值权益</w:t>
            </w:r>
          </w:p>
        </w:tc>
        <w:tc>
          <w:tcPr>
            <w:tcW w:w="7103" w:type="dxa"/>
            <w:shd w:val="clear" w:color="auto" w:fill="A6A6A6"/>
          </w:tcPr>
          <w:p>
            <w:pPr>
              <w:pStyle w:val="TableParagraph"/>
              <w:rPr>
                <w:rFonts w:ascii="Times New Roman"/>
                <w:sz w:val="20"/>
              </w:rPr>
            </w:pPr>
          </w:p>
        </w:tc>
      </w:tr>
      <w:tr>
        <w:trPr>
          <w:trHeight w:val="454" w:hRule="atLeast"/>
        </w:trPr>
        <w:tc>
          <w:tcPr>
            <w:tcW w:w="616" w:type="dxa"/>
          </w:tcPr>
          <w:p>
            <w:pPr>
              <w:pStyle w:val="TableParagraph"/>
              <w:spacing w:before="121"/>
              <w:ind w:left="108"/>
              <w:rPr>
                <w:rFonts w:ascii="黑体"/>
                <w:sz w:val="21"/>
              </w:rPr>
            </w:pPr>
            <w:r>
              <w:rPr>
                <w:rFonts w:ascii="黑体"/>
                <w:sz w:val="21"/>
              </w:rPr>
              <w:t>6.1</w:t>
            </w:r>
          </w:p>
        </w:tc>
        <w:tc>
          <w:tcPr>
            <w:tcW w:w="1923" w:type="dxa"/>
          </w:tcPr>
          <w:p>
            <w:pPr>
              <w:pStyle w:val="TableParagraph"/>
              <w:spacing w:before="121"/>
              <w:ind w:left="190"/>
              <w:rPr>
                <w:rFonts w:ascii="黑体" w:eastAsia="黑体" w:hint="eastAsia"/>
                <w:sz w:val="21"/>
              </w:rPr>
            </w:pPr>
            <w:r>
              <w:rPr>
                <w:rFonts w:ascii="黑体" w:eastAsia="黑体" w:hint="eastAsia"/>
                <w:sz w:val="21"/>
              </w:rPr>
              <w:t>现金价值</w:t>
            </w:r>
          </w:p>
        </w:tc>
        <w:tc>
          <w:tcPr>
            <w:tcW w:w="7103" w:type="dxa"/>
          </w:tcPr>
          <w:p>
            <w:pPr>
              <w:pStyle w:val="TableParagraph"/>
              <w:spacing w:before="121"/>
              <w:ind w:left="41"/>
              <w:rPr>
                <w:sz w:val="21"/>
              </w:rPr>
            </w:pPr>
            <w:r>
              <w:rPr>
                <w:sz w:val="21"/>
              </w:rPr>
              <w:t>指本合同保险单所具有的价值，通常体现为解除合同时，根据精算原理计算</w:t>
            </w:r>
          </w:p>
        </w:tc>
      </w:tr>
      <w:tr>
        <w:trPr>
          <w:trHeight w:val="312" w:hRule="atLeast"/>
        </w:trPr>
        <w:tc>
          <w:tcPr>
            <w:tcW w:w="616" w:type="dxa"/>
          </w:tcPr>
          <w:p>
            <w:pPr>
              <w:pStyle w:val="TableParagraph"/>
              <w:rPr>
                <w:rFonts w:ascii="Times New Roman"/>
                <w:sz w:val="20"/>
              </w:rPr>
            </w:pPr>
          </w:p>
        </w:tc>
        <w:tc>
          <w:tcPr>
            <w:tcW w:w="1923" w:type="dxa"/>
          </w:tcPr>
          <w:p>
            <w:pPr>
              <w:pStyle w:val="TableParagraph"/>
              <w:rPr>
                <w:rFonts w:ascii="Times New Roman"/>
                <w:sz w:val="20"/>
              </w:rPr>
            </w:pPr>
          </w:p>
        </w:tc>
        <w:tc>
          <w:tcPr>
            <w:tcW w:w="7103" w:type="dxa"/>
          </w:tcPr>
          <w:p>
            <w:pPr>
              <w:pStyle w:val="TableParagraph"/>
              <w:spacing w:line="253" w:lineRule="exact"/>
              <w:ind w:left="41"/>
              <w:rPr>
                <w:sz w:val="21"/>
              </w:rPr>
            </w:pPr>
            <w:r>
              <w:rPr>
                <w:sz w:val="21"/>
              </w:rPr>
              <w:t>的，由我们退还的那部分金额。保险单所载明的本合同的现金价值是尚未发</w:t>
            </w:r>
          </w:p>
        </w:tc>
      </w:tr>
      <w:tr>
        <w:trPr>
          <w:trHeight w:val="312" w:hRule="atLeast"/>
        </w:trPr>
        <w:tc>
          <w:tcPr>
            <w:tcW w:w="616" w:type="dxa"/>
          </w:tcPr>
          <w:p>
            <w:pPr>
              <w:pStyle w:val="TableParagraph"/>
              <w:rPr>
                <w:rFonts w:ascii="Times New Roman"/>
                <w:sz w:val="20"/>
              </w:rPr>
            </w:pPr>
          </w:p>
        </w:tc>
        <w:tc>
          <w:tcPr>
            <w:tcW w:w="1923" w:type="dxa"/>
          </w:tcPr>
          <w:p>
            <w:pPr>
              <w:pStyle w:val="TableParagraph"/>
              <w:rPr>
                <w:rFonts w:ascii="Times New Roman"/>
                <w:sz w:val="20"/>
              </w:rPr>
            </w:pPr>
          </w:p>
        </w:tc>
        <w:tc>
          <w:tcPr>
            <w:tcW w:w="7103" w:type="dxa"/>
          </w:tcPr>
          <w:p>
            <w:pPr>
              <w:pStyle w:val="TableParagraph"/>
              <w:spacing w:line="253" w:lineRule="exact"/>
              <w:ind w:left="41"/>
              <w:rPr>
                <w:sz w:val="21"/>
              </w:rPr>
            </w:pPr>
            <w:r>
              <w:rPr>
                <w:sz w:val="21"/>
              </w:rPr>
              <w:t>生保险事故时的现金价值，若我们已给付保险金，本合同的现金价值将按如</w:t>
            </w:r>
          </w:p>
        </w:tc>
      </w:tr>
      <w:tr>
        <w:trPr>
          <w:trHeight w:val="311" w:hRule="atLeast"/>
        </w:trPr>
        <w:tc>
          <w:tcPr>
            <w:tcW w:w="616" w:type="dxa"/>
          </w:tcPr>
          <w:p>
            <w:pPr>
              <w:pStyle w:val="TableParagraph"/>
              <w:rPr>
                <w:rFonts w:ascii="Times New Roman"/>
                <w:sz w:val="20"/>
              </w:rPr>
            </w:pPr>
          </w:p>
        </w:tc>
        <w:tc>
          <w:tcPr>
            <w:tcW w:w="1923" w:type="dxa"/>
          </w:tcPr>
          <w:p>
            <w:pPr>
              <w:pStyle w:val="TableParagraph"/>
              <w:rPr>
                <w:rFonts w:ascii="Times New Roman"/>
                <w:sz w:val="20"/>
              </w:rPr>
            </w:pPr>
          </w:p>
        </w:tc>
        <w:tc>
          <w:tcPr>
            <w:tcW w:w="7103" w:type="dxa"/>
          </w:tcPr>
          <w:p>
            <w:pPr>
              <w:pStyle w:val="TableParagraph"/>
              <w:spacing w:line="253" w:lineRule="exact"/>
              <w:ind w:left="41"/>
              <w:rPr>
                <w:sz w:val="21"/>
              </w:rPr>
            </w:pPr>
            <w:r>
              <w:rPr>
                <w:sz w:val="21"/>
              </w:rPr>
              <w:t>下公式计算：发生保险事故后的现金价值=（1-累计已给付的保险金/基本保</w:t>
            </w:r>
          </w:p>
        </w:tc>
      </w:tr>
      <w:tr>
        <w:trPr>
          <w:trHeight w:val="261" w:hRule="atLeast"/>
        </w:trPr>
        <w:tc>
          <w:tcPr>
            <w:tcW w:w="616" w:type="dxa"/>
          </w:tcPr>
          <w:p>
            <w:pPr>
              <w:pStyle w:val="TableParagraph"/>
              <w:rPr>
                <w:rFonts w:ascii="Times New Roman"/>
                <w:sz w:val="18"/>
              </w:rPr>
            </w:pPr>
          </w:p>
        </w:tc>
        <w:tc>
          <w:tcPr>
            <w:tcW w:w="1923" w:type="dxa"/>
          </w:tcPr>
          <w:p>
            <w:pPr>
              <w:pStyle w:val="TableParagraph"/>
              <w:rPr>
                <w:rFonts w:ascii="Times New Roman"/>
                <w:sz w:val="18"/>
              </w:rPr>
            </w:pPr>
          </w:p>
        </w:tc>
        <w:tc>
          <w:tcPr>
            <w:tcW w:w="7103" w:type="dxa"/>
          </w:tcPr>
          <w:p>
            <w:pPr>
              <w:pStyle w:val="TableParagraph"/>
              <w:spacing w:line="242" w:lineRule="exact"/>
              <w:ind w:left="41"/>
              <w:rPr>
                <w:sz w:val="21"/>
              </w:rPr>
            </w:pPr>
            <w:r>
              <w:rPr>
                <w:sz w:val="21"/>
              </w:rPr>
              <w:t>险金额）×保险单现金价值表上所载明的对应金额。</w:t>
            </w:r>
          </w:p>
        </w:tc>
      </w:tr>
    </w:tbl>
    <w:p>
      <w:pPr>
        <w:spacing w:after="0" w:line="242" w:lineRule="exact"/>
        <w:rPr>
          <w:sz w:val="21"/>
        </w:rPr>
        <w:sectPr>
          <w:pgSz w:w="11910" w:h="16840"/>
          <w:pgMar w:top="1460" w:bottom="280" w:left="1020" w:right="1020"/>
        </w:sectPr>
      </w:pPr>
    </w:p>
    <w:p>
      <w:pPr>
        <w:pStyle w:val="BodyText"/>
        <w:spacing w:line="273" w:lineRule="auto" w:before="9"/>
        <w:ind w:left="2692" w:right="233" w:hanging="2473"/>
        <w:jc w:val="both"/>
      </w:pPr>
      <w:r>
        <w:rPr>
          <w:rFonts w:ascii="黑体" w:eastAsia="黑体" w:hint="eastAsia"/>
        </w:rPr>
        <w:t>6.2</w:t>
      </w:r>
      <w:r>
        <w:rPr>
          <w:rFonts w:ascii="黑体" w:eastAsia="黑体" w:hint="eastAsia"/>
          <w:spacing w:val="5"/>
        </w:rPr>
        <w:t>   保单质押贷款    </w:t>
      </w:r>
      <w:r>
        <w:rPr>
          <w:spacing w:val="-4"/>
        </w:rPr>
        <w:t>在本合同有效期内，您可以申请并经我们审核同意后办理保单质押贷款。贷款金</w:t>
      </w:r>
      <w:r>
        <w:rPr>
          <w:spacing w:val="-3"/>
        </w:rPr>
        <w:t>额</w:t>
      </w:r>
      <w:r>
        <w:rPr/>
        <w:t>不</w:t>
      </w:r>
      <w:r>
        <w:rPr>
          <w:spacing w:val="-3"/>
        </w:rPr>
        <w:t>得</w:t>
      </w:r>
      <w:r>
        <w:rPr/>
        <w:t>超</w:t>
      </w:r>
      <w:r>
        <w:rPr>
          <w:spacing w:val="-3"/>
        </w:rPr>
        <w:t>过</w:t>
      </w:r>
      <w:r>
        <w:rPr/>
        <w:t>保</w:t>
      </w:r>
      <w:r>
        <w:rPr>
          <w:spacing w:val="-3"/>
        </w:rPr>
        <w:t>险</w:t>
      </w:r>
      <w:r>
        <w:rPr/>
        <w:t>单</w:t>
      </w:r>
      <w:r>
        <w:rPr>
          <w:spacing w:val="-3"/>
        </w:rPr>
        <w:t>的</w:t>
      </w:r>
      <w:r>
        <w:rPr/>
        <w:t>现金</w:t>
      </w:r>
      <w:r>
        <w:rPr>
          <w:spacing w:val="-3"/>
        </w:rPr>
        <w:t>价</w:t>
      </w:r>
      <w:r>
        <w:rPr/>
        <w:t>值</w:t>
      </w:r>
      <w:r>
        <w:rPr>
          <w:spacing w:val="-3"/>
        </w:rPr>
        <w:t>扣</w:t>
      </w:r>
      <w:r>
        <w:rPr/>
        <w:t>除</w:t>
      </w:r>
      <w:r>
        <w:rPr>
          <w:spacing w:val="-3"/>
        </w:rPr>
        <w:t>各</w:t>
      </w:r>
      <w:r>
        <w:rPr/>
        <w:t>项</w:t>
      </w:r>
      <w:r>
        <w:rPr>
          <w:spacing w:val="-3"/>
        </w:rPr>
        <w:t>欠</w:t>
      </w:r>
      <w:r>
        <w:rPr/>
        <w:t>款</w:t>
      </w:r>
      <w:r>
        <w:rPr>
          <w:spacing w:val="-3"/>
        </w:rPr>
        <w:t>后</w:t>
      </w:r>
      <w:r>
        <w:rPr/>
        <w:t>余</w:t>
      </w:r>
      <w:r>
        <w:rPr>
          <w:spacing w:val="-3"/>
        </w:rPr>
        <w:t>额</w:t>
      </w:r>
      <w:r>
        <w:rPr/>
        <w:t>的</w:t>
      </w:r>
      <w:r>
        <w:rPr>
          <w:spacing w:val="-24"/>
        </w:rPr>
        <w:t> </w:t>
      </w:r>
      <w:r>
        <w:rPr>
          <w:spacing w:val="5"/>
          <w:w w:val="100"/>
        </w:rPr>
        <w:drawing>
          <wp:inline distT="0" distB="0" distL="0" distR="0">
            <wp:extent cx="60324" cy="104774"/>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4" cy="104774"/>
                    </a:xfrm>
                    <a:prstGeom prst="rect">
                      <a:avLst/>
                    </a:prstGeom>
                  </pic:spPr>
                </pic:pic>
              </a:graphicData>
            </a:graphic>
          </wp:inline>
        </w:drawing>
      </w:r>
      <w:r>
        <w:rPr>
          <w:spacing w:val="5"/>
          <w:w w:val="100"/>
        </w:rPr>
      </w:r>
      <w:r>
        <w:rPr/>
        <w:t>，</w:t>
      </w:r>
      <w:r>
        <w:rPr>
          <w:spacing w:val="-3"/>
        </w:rPr>
        <w:t>每</w:t>
      </w:r>
      <w:r>
        <w:rPr/>
        <w:t>次</w:t>
      </w:r>
      <w:r>
        <w:rPr>
          <w:spacing w:val="-3"/>
        </w:rPr>
        <w:t>贷</w:t>
      </w:r>
      <w:r>
        <w:rPr/>
        <w:t>款期 </w:t>
      </w:r>
      <w:r>
        <w:rPr>
          <w:spacing w:val="-7"/>
        </w:rPr>
        <w:t>限最长不超过 </w:t>
      </w:r>
      <w:r>
        <w:rPr/>
        <w:t>6</w:t>
      </w:r>
      <w:r>
        <w:rPr>
          <w:spacing w:val="-8"/>
        </w:rPr>
        <w:t> 个月，贷款利率按您与我们签订的贷款协议中约定的利率执行。</w:t>
      </w:r>
    </w:p>
    <w:p>
      <w:pPr>
        <w:pStyle w:val="BodyText"/>
        <w:spacing w:line="273" w:lineRule="auto" w:before="7"/>
        <w:ind w:left="2692" w:right="234"/>
      </w:pPr>
      <w:r>
        <w:rPr/>
        <w:t>若贷款本金及利息加上其他各项欠款达到保险单的现金价值，自次日零时起本合同效力终止。</w:t>
      </w:r>
    </w:p>
    <w:p>
      <w:pPr>
        <w:pStyle w:val="BodyText"/>
        <w:spacing w:before="6"/>
        <w:ind w:left="0"/>
        <w:rPr>
          <w:sz w:val="10"/>
        </w:rPr>
      </w:pPr>
      <w:r>
        <w:rPr/>
        <w:pict>
          <v:shape style="position:absolute;margin-left:56.639999pt;margin-top:8.086179pt;width:482.05pt;height:15.6pt;mso-position-horizontal-relative:page;mso-position-vertical-relative:paragraph;z-index:1168;mso-wrap-distance-left:0;mso-wrap-distance-right:0" type="#_x0000_t202" filled="true" fillcolor="#a6a6a6" stroked="false">
            <v:textbox inset="0,0,0,0">
              <w:txbxContent>
                <w:p>
                  <w:pPr>
                    <w:tabs>
                      <w:tab w:pos="806" w:val="left" w:leader="none"/>
                    </w:tabs>
                    <w:spacing w:line="262" w:lineRule="exact" w:before="0"/>
                    <w:ind w:left="108" w:right="0" w:firstLine="0"/>
                    <w:jc w:val="left"/>
                    <w:rPr>
                      <w:rFonts w:ascii="黑体" w:eastAsia="黑体" w:hint="eastAsia"/>
                      <w:b/>
                      <w:sz w:val="21"/>
                    </w:rPr>
                  </w:pPr>
                  <w:r>
                    <w:rPr>
                      <w:rFonts w:ascii="黑体" w:eastAsia="黑体" w:hint="eastAsia"/>
                      <w:b/>
                      <w:sz w:val="21"/>
                    </w:rPr>
                    <w:t>7</w:t>
                    <w:tab/>
                    <w:t>如何解除保险合同</w:t>
                  </w:r>
                </w:p>
              </w:txbxContent>
            </v:textbox>
            <v:fill type="solid"/>
            <w10:wrap type="topAndBottom"/>
          </v:shape>
        </w:pict>
      </w:r>
    </w:p>
    <w:p>
      <w:pPr>
        <w:pStyle w:val="BodyText"/>
        <w:spacing w:before="12"/>
        <w:ind w:left="0"/>
        <w:rPr>
          <w:sz w:val="5"/>
        </w:rPr>
      </w:pPr>
    </w:p>
    <w:p>
      <w:pPr>
        <w:spacing w:after="0"/>
        <w:rPr>
          <w:sz w:val="5"/>
        </w:rPr>
        <w:sectPr>
          <w:pgSz w:w="11910" w:h="16840"/>
          <w:pgMar w:top="1520" w:bottom="280" w:left="1020" w:right="1020"/>
        </w:sectPr>
      </w:pPr>
    </w:p>
    <w:p>
      <w:pPr>
        <w:pStyle w:val="BodyText"/>
        <w:tabs>
          <w:tab w:pos="919" w:val="left" w:leader="none"/>
        </w:tabs>
        <w:spacing w:line="273" w:lineRule="auto" w:before="36"/>
        <w:ind w:left="919" w:hanging="699"/>
        <w:rPr>
          <w:rFonts w:ascii="黑体" w:eastAsia="黑体" w:hint="eastAsia"/>
        </w:rPr>
      </w:pPr>
      <w:r>
        <w:rPr>
          <w:rFonts w:ascii="黑体" w:eastAsia="黑体" w:hint="eastAsia"/>
        </w:rPr>
        <w:t>7.1</w:t>
        <w:tab/>
      </w:r>
      <w:r>
        <w:rPr>
          <w:rFonts w:ascii="黑体" w:eastAsia="黑体" w:hint="eastAsia"/>
          <w:spacing w:val="8"/>
        </w:rPr>
        <w:t>您解除合同的手 </w:t>
      </w:r>
      <w:r>
        <w:rPr>
          <w:rFonts w:ascii="黑体" w:eastAsia="黑体" w:hint="eastAsia"/>
          <w:spacing w:val="1"/>
        </w:rPr>
        <w:t>续及风险</w:t>
      </w:r>
    </w:p>
    <w:p>
      <w:pPr>
        <w:pStyle w:val="BodyText"/>
        <w:spacing w:line="273" w:lineRule="auto" w:before="36"/>
        <w:ind w:left="176" w:right="234"/>
      </w:pPr>
      <w:r>
        <w:rPr/>
        <w:br w:type="column"/>
      </w:r>
      <w:r>
        <w:rPr/>
        <w:t>如您在犹豫期后申请解除本合同，请填写解除合同申请书并向我们提供下列资料：</w:t>
      </w:r>
    </w:p>
    <w:p>
      <w:pPr>
        <w:pStyle w:val="BodyText"/>
        <w:spacing w:before="7"/>
        <w:ind w:left="176"/>
      </w:pPr>
      <w:r>
        <w:rPr/>
        <w:t>(1)保险合同；</w:t>
      </w:r>
    </w:p>
    <w:p>
      <w:pPr>
        <w:pStyle w:val="BodyText"/>
        <w:spacing w:before="37"/>
        <w:ind w:left="176"/>
      </w:pPr>
      <w:r>
        <w:rPr/>
        <w:t>(2)您的有效身份证件。</w:t>
      </w:r>
    </w:p>
    <w:p>
      <w:pPr>
        <w:pStyle w:val="BodyText"/>
        <w:spacing w:line="273" w:lineRule="auto" w:before="37"/>
        <w:ind w:left="176" w:right="234"/>
      </w:pPr>
      <w:r>
        <w:rPr/>
        <w:t>自我们收到解除合同申请书时起，本合同终止。我们自收到解除合同申请书之日起 30 日内向您退还保险单的现金价值。</w:t>
      </w:r>
    </w:p>
    <w:p>
      <w:pPr>
        <w:pStyle w:val="BodyText"/>
        <w:spacing w:before="7"/>
        <w:ind w:left="176"/>
      </w:pPr>
      <w:r>
        <w:rPr/>
        <w:t>您犹豫期后解除合同会遭受一定损失。</w:t>
      </w:r>
    </w:p>
    <w:p>
      <w:pPr>
        <w:spacing w:after="0"/>
        <w:sectPr>
          <w:type w:val="continuous"/>
          <w:pgSz w:w="11910" w:h="16840"/>
          <w:pgMar w:top="140" w:bottom="280" w:left="1020" w:right="1020"/>
          <w:cols w:num="2" w:equalWidth="0">
            <w:col w:w="2477" w:space="40"/>
            <w:col w:w="7353"/>
          </w:cols>
        </w:sectPr>
      </w:pPr>
    </w:p>
    <w:p>
      <w:pPr>
        <w:pStyle w:val="BodyText"/>
        <w:spacing w:before="7"/>
        <w:ind w:left="0"/>
        <w:rPr>
          <w:sz w:val="14"/>
        </w:rPr>
      </w:pPr>
    </w:p>
    <w:p>
      <w:pPr>
        <w:pStyle w:val="BodyText"/>
        <w:spacing w:before="0"/>
        <w:ind w:left="112"/>
        <w:rPr>
          <w:sz w:val="20"/>
        </w:rPr>
      </w:pPr>
      <w:r>
        <w:rPr>
          <w:sz w:val="20"/>
        </w:rPr>
        <w:pict>
          <v:shape style="width:482.05pt;height:15.6pt;mso-position-horizontal-relative:char;mso-position-vertical-relative:line" type="#_x0000_t202" filled="true" fillcolor="#a6a6a6" stroked="false">
            <w10:anchorlock/>
            <v:textbox inset="0,0,0,0">
              <w:txbxContent>
                <w:p>
                  <w:pPr>
                    <w:tabs>
                      <w:tab w:pos="806" w:val="left" w:leader="none"/>
                    </w:tabs>
                    <w:spacing w:line="262" w:lineRule="exact" w:before="0"/>
                    <w:ind w:left="108" w:right="0" w:firstLine="0"/>
                    <w:jc w:val="left"/>
                    <w:rPr>
                      <w:rFonts w:ascii="黑体" w:eastAsia="黑体" w:hint="eastAsia"/>
                      <w:b/>
                      <w:sz w:val="21"/>
                    </w:rPr>
                  </w:pPr>
                  <w:r>
                    <w:rPr>
                      <w:rFonts w:ascii="黑体" w:eastAsia="黑体" w:hint="eastAsia"/>
                      <w:b/>
                      <w:sz w:val="21"/>
                    </w:rPr>
                    <w:t>8</w:t>
                    <w:tab/>
                    <w:t>其他需要关注的事项</w:t>
                  </w:r>
                </w:p>
              </w:txbxContent>
            </v:textbox>
            <v:fill type="solid"/>
          </v:shape>
        </w:pict>
      </w:r>
      <w:r>
        <w:rPr>
          <w:sz w:val="20"/>
        </w:rPr>
      </w:r>
    </w:p>
    <w:p>
      <w:pPr>
        <w:pStyle w:val="BodyText"/>
        <w:spacing w:before="11"/>
        <w:ind w:left="0"/>
        <w:rPr>
          <w:sz w:val="5"/>
        </w:rPr>
      </w:pPr>
    </w:p>
    <w:p>
      <w:pPr>
        <w:spacing w:after="0"/>
        <w:rPr>
          <w:sz w:val="5"/>
        </w:rPr>
        <w:sectPr>
          <w:type w:val="continuous"/>
          <w:pgSz w:w="11910" w:h="16840"/>
          <w:pgMar w:top="140" w:bottom="280" w:left="1020" w:right="1020"/>
        </w:sectPr>
      </w:pPr>
    </w:p>
    <w:p>
      <w:pPr>
        <w:pStyle w:val="ListParagraph"/>
        <w:numPr>
          <w:ilvl w:val="1"/>
          <w:numId w:val="5"/>
        </w:numPr>
        <w:tabs>
          <w:tab w:pos="919" w:val="left" w:leader="none"/>
          <w:tab w:pos="920" w:val="left" w:leader="none"/>
        </w:tabs>
        <w:spacing w:line="240" w:lineRule="auto" w:before="37" w:after="0"/>
        <w:ind w:left="919" w:right="0" w:hanging="699"/>
        <w:jc w:val="left"/>
        <w:rPr>
          <w:rFonts w:ascii="黑体" w:eastAsia="黑体" w:hint="eastAsia"/>
          <w:sz w:val="21"/>
        </w:rPr>
      </w:pPr>
      <w:r>
        <w:rPr>
          <w:rFonts w:ascii="黑体" w:eastAsia="黑体" w:hint="eastAsia"/>
          <w:spacing w:val="8"/>
          <w:sz w:val="21"/>
        </w:rPr>
        <w:t>明确说明与如实</w:t>
      </w:r>
    </w:p>
    <w:p>
      <w:pPr>
        <w:pStyle w:val="BodyText"/>
        <w:spacing w:before="37"/>
        <w:ind w:left="902" w:right="1115"/>
        <w:jc w:val="center"/>
        <w:rPr>
          <w:rFonts w:ascii="黑体" w:eastAsia="黑体" w:hint="eastAsia"/>
        </w:rPr>
      </w:pPr>
      <w:r>
        <w:rPr>
          <w:rFonts w:ascii="黑体" w:eastAsia="黑体" w:hint="eastAsia"/>
        </w:rPr>
        <w:t>告知</w:t>
      </w:r>
    </w:p>
    <w:p>
      <w:pPr>
        <w:pStyle w:val="BodyText"/>
        <w:spacing w:before="37"/>
        <w:ind w:left="176"/>
      </w:pPr>
      <w:r>
        <w:rPr/>
        <w:br w:type="column"/>
      </w:r>
      <w:r>
        <w:rPr/>
        <w:t>订立本合同时，我们应向您说明本合同的内容。</w:t>
      </w:r>
    </w:p>
    <w:p>
      <w:pPr>
        <w:pStyle w:val="BodyText"/>
        <w:spacing w:line="273" w:lineRule="auto" w:before="37"/>
        <w:ind w:left="176" w:right="234"/>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7"/>
        <w:ind w:left="176"/>
      </w:pPr>
      <w:r>
        <w:rPr/>
        <w:t>我们就您和被保险人的有关情况提出询问，您应当如实告知。</w:t>
      </w:r>
    </w:p>
    <w:p>
      <w:pPr>
        <w:pStyle w:val="BodyText"/>
        <w:spacing w:line="273" w:lineRule="auto" w:before="36"/>
        <w:ind w:left="176" w:right="234"/>
        <w:jc w:val="both"/>
      </w:pPr>
      <w:r>
        <w:rPr/>
        <w:t>如果您故意或者因重大过失未履行前款规定的如实告知义务，足以影响我们决定是否同意承保或者提高保险费率的，我们有权解除本合同。</w:t>
      </w:r>
    </w:p>
    <w:p>
      <w:pPr>
        <w:pStyle w:val="BodyText"/>
        <w:spacing w:line="273" w:lineRule="auto" w:before="7"/>
        <w:ind w:left="176" w:right="234"/>
        <w:jc w:val="both"/>
      </w:pPr>
      <w:r>
        <w:rPr>
          <w:shd w:fill="D9D9D9" w:color="auto" w:val="clear"/>
        </w:rPr>
        <w:t>如果您故意不履行如实告知义务，对于本合同解除前发生的保险事故，我们不承担给付保险金的责任，并不退还保险费。</w:t>
      </w:r>
    </w:p>
    <w:p>
      <w:pPr>
        <w:pStyle w:val="BodyText"/>
        <w:spacing w:line="273" w:lineRule="auto" w:before="7"/>
        <w:ind w:left="176" w:right="234"/>
        <w:jc w:val="both"/>
      </w:pPr>
      <w:r>
        <w:rPr>
          <w:shd w:fill="D9D9D9" w:color="auto" w:val="clear"/>
        </w:rPr>
        <w:t>如果您因重大过失未履行如实告知义务，对保险事故的发生有严重影响的， 对于本合同解除前发生的保险事故，我们不承担给付保险金的责任，但应当退还保险费。</w:t>
      </w:r>
    </w:p>
    <w:p>
      <w:pPr>
        <w:pStyle w:val="BodyText"/>
        <w:spacing w:line="273" w:lineRule="auto" w:before="7"/>
        <w:ind w:left="176" w:right="234"/>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140" w:bottom="280" w:left="1020" w:right="1020"/>
          <w:cols w:num="2" w:equalWidth="0">
            <w:col w:w="2477" w:space="40"/>
            <w:col w:w="7353"/>
          </w:cols>
        </w:sectPr>
      </w:pPr>
    </w:p>
    <w:p>
      <w:pPr>
        <w:pStyle w:val="BodyText"/>
        <w:spacing w:before="8"/>
        <w:ind w:left="0"/>
        <w:rPr>
          <w:sz w:val="8"/>
        </w:rPr>
      </w:pPr>
    </w:p>
    <w:p>
      <w:pPr>
        <w:spacing w:after="0"/>
        <w:rPr>
          <w:sz w:val="8"/>
        </w:rPr>
        <w:sectPr>
          <w:type w:val="continuous"/>
          <w:pgSz w:w="11910" w:h="16840"/>
          <w:pgMar w:top="140" w:bottom="280" w:left="1020" w:right="1020"/>
        </w:sectPr>
      </w:pPr>
    </w:p>
    <w:p>
      <w:pPr>
        <w:pStyle w:val="ListParagraph"/>
        <w:numPr>
          <w:ilvl w:val="1"/>
          <w:numId w:val="5"/>
        </w:numPr>
        <w:tabs>
          <w:tab w:pos="919" w:val="left" w:leader="none"/>
          <w:tab w:pos="920" w:val="left" w:leader="none"/>
        </w:tabs>
        <w:spacing w:line="273" w:lineRule="auto" w:before="36" w:after="0"/>
        <w:ind w:left="919" w:right="0" w:hanging="699"/>
        <w:jc w:val="left"/>
        <w:rPr>
          <w:rFonts w:ascii="黑体" w:eastAsia="黑体" w:hint="eastAsia"/>
          <w:sz w:val="21"/>
        </w:rPr>
      </w:pPr>
      <w:r>
        <w:rPr>
          <w:rFonts w:ascii="黑体" w:eastAsia="黑体" w:hint="eastAsia"/>
          <w:spacing w:val="-2"/>
          <w:sz w:val="21"/>
        </w:rPr>
        <w:t>我们合同解除权的限制</w:t>
      </w:r>
    </w:p>
    <w:p>
      <w:pPr>
        <w:pStyle w:val="BodyText"/>
        <w:spacing w:line="273" w:lineRule="auto" w:before="36"/>
        <w:ind w:left="220" w:right="215"/>
        <w:jc w:val="both"/>
      </w:pPr>
      <w:r>
        <w:rPr/>
        <w:br w:type="column"/>
      </w:r>
      <w:r>
        <w:rPr>
          <w:spacing w:val="-3"/>
        </w:rPr>
        <w:t>本保险条款“明确说明与如实告知”规定的合同解除权，自我们知道有解除</w:t>
      </w:r>
      <w:r>
        <w:rPr>
          <w:spacing w:val="-12"/>
        </w:rPr>
        <w:t>事由之日起，超过 </w:t>
      </w:r>
      <w:r>
        <w:rPr/>
        <w:t>30</w:t>
      </w:r>
      <w:r>
        <w:rPr>
          <w:spacing w:val="-13"/>
        </w:rPr>
        <w:t> 日不行使而消灭。自本合同成立之日起超过 </w:t>
      </w:r>
      <w:r>
        <w:rPr/>
        <w:t>2</w:t>
      </w:r>
      <w:r>
        <w:rPr>
          <w:spacing w:val="-16"/>
        </w:rPr>
        <w:t> 年的，我</w:t>
      </w:r>
      <w:r>
        <w:rPr>
          <w:spacing w:val="-3"/>
        </w:rPr>
        <w:t>们不得解除合同；发生保险事故的，我们承担给付保险金的责任。</w:t>
      </w:r>
    </w:p>
    <w:p>
      <w:pPr>
        <w:spacing w:after="0" w:line="273" w:lineRule="auto"/>
        <w:jc w:val="both"/>
        <w:sectPr>
          <w:type w:val="continuous"/>
          <w:pgSz w:w="11910" w:h="16840"/>
          <w:pgMar w:top="140" w:bottom="280" w:left="1020" w:right="1020"/>
          <w:cols w:num="2" w:equalWidth="0">
            <w:col w:w="2393" w:space="79"/>
            <w:col w:w="7398"/>
          </w:cols>
        </w:sectPr>
      </w:pPr>
    </w:p>
    <w:p>
      <w:pPr>
        <w:pStyle w:val="BodyText"/>
        <w:spacing w:before="7"/>
        <w:ind w:left="0"/>
        <w:rPr>
          <w:sz w:val="8"/>
        </w:rPr>
      </w:pPr>
    </w:p>
    <w:p>
      <w:pPr>
        <w:spacing w:after="0"/>
        <w:rPr>
          <w:sz w:val="8"/>
        </w:rPr>
        <w:sectPr>
          <w:type w:val="continuous"/>
          <w:pgSz w:w="11910" w:h="16840"/>
          <w:pgMar w:top="140" w:bottom="280" w:left="1020" w:right="1020"/>
        </w:sectPr>
      </w:pPr>
    </w:p>
    <w:p>
      <w:pPr>
        <w:pStyle w:val="ListParagraph"/>
        <w:numPr>
          <w:ilvl w:val="1"/>
          <w:numId w:val="5"/>
        </w:numPr>
        <w:tabs>
          <w:tab w:pos="919" w:val="left" w:leader="none"/>
          <w:tab w:pos="920" w:val="left" w:leader="none"/>
        </w:tabs>
        <w:spacing w:line="273" w:lineRule="auto" w:before="37" w:after="0"/>
        <w:ind w:left="919" w:right="0" w:hanging="699"/>
        <w:jc w:val="left"/>
        <w:rPr>
          <w:rFonts w:ascii="黑体" w:eastAsia="黑体" w:hint="eastAsia"/>
          <w:sz w:val="21"/>
        </w:rPr>
      </w:pPr>
      <w:r>
        <w:rPr>
          <w:rFonts w:ascii="黑体" w:eastAsia="黑体" w:hint="eastAsia"/>
          <w:spacing w:val="8"/>
          <w:sz w:val="21"/>
        </w:rPr>
        <w:t>年龄和性别确定</w:t>
      </w:r>
      <w:r>
        <w:rPr>
          <w:rFonts w:ascii="黑体" w:eastAsia="黑体" w:hint="eastAsia"/>
          <w:spacing w:val="0"/>
          <w:sz w:val="21"/>
        </w:rPr>
        <w:t>与错误处理</w:t>
      </w:r>
    </w:p>
    <w:p>
      <w:pPr>
        <w:pStyle w:val="BodyText"/>
        <w:spacing w:line="273" w:lineRule="auto" w:before="37"/>
        <w:ind w:left="176" w:right="233"/>
        <w:jc w:val="both"/>
      </w:pPr>
      <w:r>
        <w:rPr/>
        <w:br w:type="column"/>
      </w:r>
      <w:r>
        <w:rPr/>
        <w:t>您在申请投保时，应将与有效身份证件相符的被保险人的出生日期和性别在投保单上填明，如果发生错误按照下列方式办理：</w:t>
      </w:r>
    </w:p>
    <w:p>
      <w:pPr>
        <w:pStyle w:val="BodyText"/>
        <w:spacing w:line="273" w:lineRule="auto" w:before="7"/>
        <w:ind w:left="176" w:right="214"/>
        <w:jc w:val="both"/>
      </w:pPr>
      <w:r>
        <w:rPr/>
        <w:t>(1)</w:t>
      </w:r>
      <w:r>
        <w:rPr>
          <w:spacing w:val="-9"/>
        </w:rPr>
        <w:t>您申报的被保险人年龄不真实，并且其真实年龄不符合本合同约定投保年</w:t>
      </w:r>
      <w:r>
        <w:rPr>
          <w:spacing w:val="-5"/>
        </w:rPr>
        <w:t>龄限制的，在保险事故发生之前我们有权解除合同，并向您退还保险单的现</w:t>
      </w:r>
      <w:r>
        <w:rPr>
          <w:spacing w:val="-4"/>
        </w:rPr>
        <w:t>金价值。我们行使合同解除权适用本保险条款“我们合同解除权的限制”的规定。</w:t>
      </w:r>
    </w:p>
    <w:p>
      <w:pPr>
        <w:pStyle w:val="BodyText"/>
        <w:spacing w:line="273" w:lineRule="auto" w:before="7"/>
        <w:ind w:left="176" w:right="109"/>
      </w:pPr>
      <w:r>
        <w:rPr/>
        <w:t>(2)</w:t>
      </w:r>
      <w:r>
        <w:rPr>
          <w:spacing w:val="-9"/>
        </w:rPr>
        <w:t>您申报的被保险人年龄或性别不真实，致使您实付保险费少于应付保险费</w:t>
      </w:r>
      <w:r>
        <w:rPr>
          <w:spacing w:val="-10"/>
        </w:rPr>
        <w:t>的，我们有权作相应的更正并要求您补交保险费差额。若已经发生保险事故，</w:t>
      </w:r>
    </w:p>
    <w:p>
      <w:pPr>
        <w:spacing w:after="0" w:line="273" w:lineRule="auto"/>
        <w:sectPr>
          <w:type w:val="continuous"/>
          <w:pgSz w:w="11910" w:h="16840"/>
          <w:pgMar w:top="140" w:bottom="280" w:left="1020" w:right="1020"/>
          <w:cols w:num="2" w:equalWidth="0">
            <w:col w:w="2477" w:space="40"/>
            <w:col w:w="7353"/>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1815"/>
        <w:gridCol w:w="7211"/>
      </w:tblGrid>
      <w:tr>
        <w:trPr>
          <w:trHeight w:val="261" w:hRule="atLeast"/>
        </w:trPr>
        <w:tc>
          <w:tcPr>
            <w:tcW w:w="2431" w:type="dxa"/>
            <w:gridSpan w:val="2"/>
            <w:vMerge w:val="restart"/>
          </w:tcPr>
          <w:p>
            <w:pPr>
              <w:pStyle w:val="TableParagraph"/>
              <w:rPr>
                <w:rFonts w:ascii="Times New Roman"/>
                <w:sz w:val="20"/>
              </w:rPr>
            </w:pPr>
          </w:p>
        </w:tc>
        <w:tc>
          <w:tcPr>
            <w:tcW w:w="7211" w:type="dxa"/>
          </w:tcPr>
          <w:p>
            <w:pPr>
              <w:pStyle w:val="TableParagraph"/>
              <w:spacing w:line="203" w:lineRule="exact"/>
              <w:ind w:left="149"/>
              <w:rPr>
                <w:sz w:val="21"/>
              </w:rPr>
            </w:pPr>
            <w:r>
              <w:rPr>
                <w:sz w:val="21"/>
              </w:rPr>
              <w:t>在给付保险金时按实付保险费和应付保险费的比例给付。</w:t>
            </w:r>
          </w:p>
        </w:tc>
      </w:tr>
      <w:tr>
        <w:trPr>
          <w:trHeight w:val="311" w:hRule="atLeast"/>
        </w:trPr>
        <w:tc>
          <w:tcPr>
            <w:tcW w:w="2431" w:type="dxa"/>
            <w:gridSpan w:val="2"/>
            <w:vMerge/>
            <w:tcBorders>
              <w:top w:val="nil"/>
            </w:tcBorders>
          </w:tcPr>
          <w:p>
            <w:pPr>
              <w:rPr>
                <w:sz w:val="2"/>
                <w:szCs w:val="2"/>
              </w:rPr>
            </w:pPr>
          </w:p>
        </w:tc>
        <w:tc>
          <w:tcPr>
            <w:tcW w:w="7211" w:type="dxa"/>
          </w:tcPr>
          <w:p>
            <w:pPr>
              <w:pStyle w:val="TableParagraph"/>
              <w:spacing w:line="253" w:lineRule="exact"/>
              <w:ind w:left="149"/>
              <w:rPr>
                <w:sz w:val="21"/>
              </w:rPr>
            </w:pPr>
            <w:r>
              <w:rPr>
                <w:sz w:val="21"/>
              </w:rPr>
              <w:t>(3)您申报的被保险人年龄或性别不真实，致使您实付保险费多于应付保险费</w:t>
            </w:r>
          </w:p>
        </w:tc>
      </w:tr>
      <w:tr>
        <w:trPr>
          <w:trHeight w:val="382" w:hRule="atLeast"/>
        </w:trPr>
        <w:tc>
          <w:tcPr>
            <w:tcW w:w="2431" w:type="dxa"/>
            <w:gridSpan w:val="2"/>
            <w:vMerge/>
            <w:tcBorders>
              <w:top w:val="nil"/>
            </w:tcBorders>
          </w:tcPr>
          <w:p>
            <w:pPr>
              <w:rPr>
                <w:sz w:val="2"/>
                <w:szCs w:val="2"/>
              </w:rPr>
            </w:pPr>
          </w:p>
        </w:tc>
        <w:tc>
          <w:tcPr>
            <w:tcW w:w="7211" w:type="dxa"/>
          </w:tcPr>
          <w:p>
            <w:pPr>
              <w:pStyle w:val="TableParagraph"/>
              <w:spacing w:line="253" w:lineRule="exact"/>
              <w:ind w:left="149"/>
              <w:rPr>
                <w:sz w:val="21"/>
              </w:rPr>
            </w:pPr>
            <w:r>
              <w:rPr>
                <w:sz w:val="21"/>
              </w:rPr>
              <w:t>的，我们会将多收的保险费退还给您。</w:t>
            </w:r>
          </w:p>
        </w:tc>
      </w:tr>
      <w:tr>
        <w:trPr>
          <w:trHeight w:val="382" w:hRule="atLeast"/>
        </w:trPr>
        <w:tc>
          <w:tcPr>
            <w:tcW w:w="616" w:type="dxa"/>
          </w:tcPr>
          <w:p>
            <w:pPr>
              <w:pStyle w:val="TableParagraph"/>
              <w:spacing w:before="49"/>
              <w:ind w:left="108"/>
              <w:rPr>
                <w:rFonts w:ascii="黑体"/>
                <w:sz w:val="21"/>
              </w:rPr>
            </w:pPr>
            <w:r>
              <w:rPr>
                <w:rFonts w:ascii="黑体"/>
                <w:sz w:val="21"/>
              </w:rPr>
              <w:t>8.4</w:t>
            </w:r>
          </w:p>
        </w:tc>
        <w:tc>
          <w:tcPr>
            <w:tcW w:w="1815" w:type="dxa"/>
          </w:tcPr>
          <w:p>
            <w:pPr>
              <w:pStyle w:val="TableParagraph"/>
              <w:spacing w:before="49"/>
              <w:ind w:left="190"/>
              <w:rPr>
                <w:rFonts w:ascii="黑体" w:eastAsia="黑体" w:hint="eastAsia"/>
                <w:sz w:val="21"/>
              </w:rPr>
            </w:pPr>
            <w:r>
              <w:rPr>
                <w:rFonts w:ascii="黑体" w:eastAsia="黑体" w:hint="eastAsia"/>
                <w:sz w:val="21"/>
              </w:rPr>
              <w:t>未还款项</w:t>
            </w:r>
          </w:p>
        </w:tc>
        <w:tc>
          <w:tcPr>
            <w:tcW w:w="7211" w:type="dxa"/>
          </w:tcPr>
          <w:p>
            <w:pPr>
              <w:pStyle w:val="TableParagraph"/>
              <w:spacing w:before="49"/>
              <w:ind w:left="149"/>
              <w:rPr>
                <w:sz w:val="21"/>
              </w:rPr>
            </w:pPr>
            <w:r>
              <w:rPr>
                <w:sz w:val="21"/>
              </w:rPr>
              <w:t>我们在给付各项保险金、退还保险单的现金价值或退还保险费时，如果您有</w:t>
            </w:r>
          </w:p>
        </w:tc>
      </w:tr>
      <w:tr>
        <w:trPr>
          <w:trHeight w:val="31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欠交保险费、保单质押贷款、其他未还款项及相应利息，我们会在扣除上述</w:t>
            </w:r>
          </w:p>
        </w:tc>
      </w:tr>
      <w:tr>
        <w:trPr>
          <w:trHeight w:val="38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欠款后给付。</w:t>
            </w:r>
          </w:p>
        </w:tc>
      </w:tr>
      <w:tr>
        <w:trPr>
          <w:trHeight w:val="382" w:hRule="atLeast"/>
        </w:trPr>
        <w:tc>
          <w:tcPr>
            <w:tcW w:w="616" w:type="dxa"/>
          </w:tcPr>
          <w:p>
            <w:pPr>
              <w:pStyle w:val="TableParagraph"/>
              <w:spacing w:before="49"/>
              <w:ind w:left="108"/>
              <w:rPr>
                <w:rFonts w:ascii="黑体"/>
                <w:sz w:val="21"/>
              </w:rPr>
            </w:pPr>
            <w:r>
              <w:rPr>
                <w:rFonts w:ascii="黑体"/>
                <w:sz w:val="21"/>
              </w:rPr>
              <w:t>8.5</w:t>
            </w:r>
          </w:p>
        </w:tc>
        <w:tc>
          <w:tcPr>
            <w:tcW w:w="1815" w:type="dxa"/>
          </w:tcPr>
          <w:p>
            <w:pPr>
              <w:pStyle w:val="TableParagraph"/>
              <w:spacing w:before="49"/>
              <w:ind w:left="190"/>
              <w:rPr>
                <w:rFonts w:ascii="黑体" w:eastAsia="黑体" w:hint="eastAsia"/>
                <w:sz w:val="21"/>
              </w:rPr>
            </w:pPr>
            <w:r>
              <w:rPr>
                <w:rFonts w:ascii="黑体" w:eastAsia="黑体" w:hint="eastAsia"/>
                <w:sz w:val="21"/>
              </w:rPr>
              <w:t>合同内容变更</w:t>
            </w:r>
          </w:p>
        </w:tc>
        <w:tc>
          <w:tcPr>
            <w:tcW w:w="7211" w:type="dxa"/>
          </w:tcPr>
          <w:p>
            <w:pPr>
              <w:pStyle w:val="TableParagraph"/>
              <w:spacing w:before="49"/>
              <w:ind w:left="149"/>
              <w:rPr>
                <w:sz w:val="21"/>
              </w:rPr>
            </w:pPr>
            <w:r>
              <w:rPr>
                <w:sz w:val="21"/>
              </w:rPr>
              <w:t>在本合同有效期内，经您与我们协商一致，可以变更本合同的有关内容。变</w:t>
            </w:r>
          </w:p>
        </w:tc>
      </w:tr>
      <w:tr>
        <w:trPr>
          <w:trHeight w:val="31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更本合同的，应当由我们在保险单上批注或者附贴批单，或者由您与我们订</w:t>
            </w:r>
          </w:p>
        </w:tc>
      </w:tr>
      <w:tr>
        <w:trPr>
          <w:trHeight w:val="38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立书面的变更协议。</w:t>
            </w:r>
          </w:p>
        </w:tc>
      </w:tr>
      <w:tr>
        <w:trPr>
          <w:trHeight w:val="382" w:hRule="atLeast"/>
        </w:trPr>
        <w:tc>
          <w:tcPr>
            <w:tcW w:w="616" w:type="dxa"/>
          </w:tcPr>
          <w:p>
            <w:pPr>
              <w:pStyle w:val="TableParagraph"/>
              <w:spacing w:before="49"/>
              <w:ind w:left="108"/>
              <w:rPr>
                <w:rFonts w:ascii="黑体"/>
                <w:sz w:val="21"/>
              </w:rPr>
            </w:pPr>
            <w:r>
              <w:rPr>
                <w:rFonts w:ascii="黑体"/>
                <w:sz w:val="21"/>
              </w:rPr>
              <w:t>8.6</w:t>
            </w:r>
          </w:p>
        </w:tc>
        <w:tc>
          <w:tcPr>
            <w:tcW w:w="1815" w:type="dxa"/>
          </w:tcPr>
          <w:p>
            <w:pPr>
              <w:pStyle w:val="TableParagraph"/>
              <w:spacing w:before="49"/>
              <w:ind w:left="190"/>
              <w:rPr>
                <w:rFonts w:ascii="黑体" w:eastAsia="黑体" w:hint="eastAsia"/>
                <w:sz w:val="21"/>
              </w:rPr>
            </w:pPr>
            <w:r>
              <w:rPr>
                <w:rFonts w:ascii="黑体" w:eastAsia="黑体" w:hint="eastAsia"/>
                <w:sz w:val="21"/>
              </w:rPr>
              <w:t>联系方式变更</w:t>
            </w:r>
          </w:p>
        </w:tc>
        <w:tc>
          <w:tcPr>
            <w:tcW w:w="7211" w:type="dxa"/>
          </w:tcPr>
          <w:p>
            <w:pPr>
              <w:pStyle w:val="TableParagraph"/>
              <w:spacing w:before="49"/>
              <w:ind w:left="149"/>
              <w:rPr>
                <w:sz w:val="21"/>
              </w:rPr>
            </w:pPr>
            <w:r>
              <w:rPr>
                <w:sz w:val="21"/>
              </w:rPr>
              <w:t>为了保障您的合法权益，您的住所、通讯地址或电话等联系方式变更时，请</w:t>
            </w:r>
          </w:p>
        </w:tc>
      </w:tr>
      <w:tr>
        <w:trPr>
          <w:trHeight w:val="311"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及时以书面形式或双方认可的其他形式通知我们。若您未以书面形式或双方</w:t>
            </w:r>
          </w:p>
        </w:tc>
      </w:tr>
      <w:tr>
        <w:trPr>
          <w:trHeight w:val="311"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认可的其他形式通知我们，我们按本合同载明的最后住所、通讯地址或电话</w:t>
            </w:r>
          </w:p>
        </w:tc>
      </w:tr>
      <w:tr>
        <w:trPr>
          <w:trHeight w:val="38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等联系方式发送的有关通知，均视为已送达给您。</w:t>
            </w:r>
          </w:p>
        </w:tc>
      </w:tr>
      <w:tr>
        <w:trPr>
          <w:trHeight w:val="382" w:hRule="atLeast"/>
        </w:trPr>
        <w:tc>
          <w:tcPr>
            <w:tcW w:w="616" w:type="dxa"/>
          </w:tcPr>
          <w:p>
            <w:pPr>
              <w:pStyle w:val="TableParagraph"/>
              <w:spacing w:before="49"/>
              <w:ind w:left="108"/>
              <w:rPr>
                <w:rFonts w:ascii="黑体"/>
                <w:sz w:val="21"/>
              </w:rPr>
            </w:pPr>
            <w:r>
              <w:rPr>
                <w:rFonts w:ascii="黑体"/>
                <w:sz w:val="21"/>
              </w:rPr>
              <w:t>8.7</w:t>
            </w:r>
          </w:p>
        </w:tc>
        <w:tc>
          <w:tcPr>
            <w:tcW w:w="1815" w:type="dxa"/>
          </w:tcPr>
          <w:p>
            <w:pPr>
              <w:pStyle w:val="TableParagraph"/>
              <w:spacing w:before="49"/>
              <w:ind w:left="190"/>
              <w:rPr>
                <w:rFonts w:ascii="黑体" w:eastAsia="黑体" w:hint="eastAsia"/>
                <w:sz w:val="21"/>
              </w:rPr>
            </w:pPr>
            <w:r>
              <w:rPr>
                <w:rFonts w:ascii="黑体" w:eastAsia="黑体" w:hint="eastAsia"/>
                <w:sz w:val="21"/>
              </w:rPr>
              <w:t>争议处理</w:t>
            </w:r>
          </w:p>
        </w:tc>
        <w:tc>
          <w:tcPr>
            <w:tcW w:w="7211" w:type="dxa"/>
          </w:tcPr>
          <w:p>
            <w:pPr>
              <w:pStyle w:val="TableParagraph"/>
              <w:spacing w:before="49"/>
              <w:ind w:left="149"/>
              <w:rPr>
                <w:sz w:val="21"/>
              </w:rPr>
            </w:pPr>
            <w:r>
              <w:rPr>
                <w:sz w:val="21"/>
              </w:rPr>
              <w:t>本合同履行过程中，双方发生争议不能协商解决的，可以依法向法院提起诉</w:t>
            </w:r>
          </w:p>
        </w:tc>
      </w:tr>
      <w:tr>
        <w:trPr>
          <w:trHeight w:val="455"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讼。</w:t>
            </w:r>
          </w:p>
        </w:tc>
      </w:tr>
      <w:tr>
        <w:trPr>
          <w:trHeight w:val="312" w:hRule="atLeast"/>
        </w:trPr>
        <w:tc>
          <w:tcPr>
            <w:tcW w:w="616" w:type="dxa"/>
            <w:shd w:val="clear" w:color="auto" w:fill="A6A6A6"/>
          </w:tcPr>
          <w:p>
            <w:pPr>
              <w:pStyle w:val="TableParagraph"/>
              <w:spacing w:line="254" w:lineRule="exact"/>
              <w:ind w:left="108"/>
              <w:rPr>
                <w:rFonts w:ascii="黑体"/>
                <w:b/>
                <w:sz w:val="21"/>
              </w:rPr>
            </w:pPr>
            <w:r>
              <w:rPr>
                <w:rFonts w:ascii="黑体"/>
                <w:b/>
                <w:w w:val="99"/>
                <w:sz w:val="21"/>
              </w:rPr>
              <w:t>9</w:t>
            </w:r>
          </w:p>
        </w:tc>
        <w:tc>
          <w:tcPr>
            <w:tcW w:w="1815" w:type="dxa"/>
            <w:shd w:val="clear" w:color="auto" w:fill="A6A6A6"/>
          </w:tcPr>
          <w:p>
            <w:pPr>
              <w:pStyle w:val="TableParagraph"/>
              <w:spacing w:line="254" w:lineRule="exact"/>
              <w:ind w:left="190"/>
              <w:rPr>
                <w:rFonts w:ascii="黑体" w:eastAsia="黑体" w:hint="eastAsia"/>
                <w:b/>
                <w:sz w:val="21"/>
              </w:rPr>
            </w:pPr>
            <w:r>
              <w:rPr>
                <w:rFonts w:ascii="黑体" w:eastAsia="黑体" w:hint="eastAsia"/>
                <w:b/>
                <w:sz w:val="21"/>
              </w:rPr>
              <w:t>释义</w:t>
            </w:r>
          </w:p>
        </w:tc>
        <w:tc>
          <w:tcPr>
            <w:tcW w:w="7211" w:type="dxa"/>
            <w:shd w:val="clear" w:color="auto" w:fill="A6A6A6"/>
          </w:tcPr>
          <w:p>
            <w:pPr>
              <w:pStyle w:val="TableParagraph"/>
              <w:rPr>
                <w:rFonts w:ascii="Times New Roman"/>
                <w:sz w:val="20"/>
              </w:rPr>
            </w:pPr>
          </w:p>
        </w:tc>
      </w:tr>
      <w:tr>
        <w:trPr>
          <w:trHeight w:val="482" w:hRule="atLeast"/>
        </w:trPr>
        <w:tc>
          <w:tcPr>
            <w:tcW w:w="616" w:type="dxa"/>
          </w:tcPr>
          <w:p>
            <w:pPr>
              <w:pStyle w:val="TableParagraph"/>
              <w:spacing w:before="121"/>
              <w:ind w:left="108"/>
              <w:rPr>
                <w:rFonts w:ascii="黑体"/>
                <w:sz w:val="21"/>
              </w:rPr>
            </w:pPr>
            <w:r>
              <w:rPr>
                <w:rFonts w:ascii="黑体"/>
                <w:sz w:val="21"/>
              </w:rPr>
              <w:t>9.1</w:t>
            </w:r>
          </w:p>
        </w:tc>
        <w:tc>
          <w:tcPr>
            <w:tcW w:w="1815" w:type="dxa"/>
          </w:tcPr>
          <w:p>
            <w:pPr>
              <w:pStyle w:val="TableParagraph"/>
              <w:spacing w:before="145"/>
              <w:ind w:left="190"/>
              <w:rPr>
                <w:rFonts w:ascii="黑体" w:eastAsia="黑体" w:hint="eastAsia"/>
                <w:sz w:val="21"/>
              </w:rPr>
            </w:pPr>
            <w:r>
              <w:rPr>
                <w:rFonts w:ascii="黑体" w:eastAsia="黑体" w:hint="eastAsia"/>
                <w:sz w:val="21"/>
              </w:rPr>
              <w:t>合同Th效日对应</w:t>
            </w:r>
          </w:p>
        </w:tc>
        <w:tc>
          <w:tcPr>
            <w:tcW w:w="7211" w:type="dxa"/>
          </w:tcPr>
          <w:p>
            <w:pPr>
              <w:pStyle w:val="TableParagraph"/>
              <w:spacing w:before="145"/>
              <w:ind w:left="149"/>
              <w:rPr>
                <w:sz w:val="21"/>
              </w:rPr>
            </w:pPr>
            <w:r>
              <w:rPr>
                <w:sz w:val="21"/>
              </w:rPr>
              <w:t>指本合同生效日在合同生效后每年的对应日，不含合同生效日当日。如果当</w:t>
            </w:r>
          </w:p>
        </w:tc>
      </w:tr>
      <w:tr>
        <w:trPr>
          <w:trHeight w:val="379" w:hRule="atLeast"/>
        </w:trPr>
        <w:tc>
          <w:tcPr>
            <w:tcW w:w="616" w:type="dxa"/>
          </w:tcPr>
          <w:p>
            <w:pPr>
              <w:pStyle w:val="TableParagraph"/>
              <w:rPr>
                <w:rFonts w:ascii="Times New Roman"/>
                <w:sz w:val="20"/>
              </w:rPr>
            </w:pPr>
          </w:p>
        </w:tc>
        <w:tc>
          <w:tcPr>
            <w:tcW w:w="1815" w:type="dxa"/>
          </w:tcPr>
          <w:p>
            <w:pPr>
              <w:pStyle w:val="TableParagraph"/>
              <w:spacing w:line="257" w:lineRule="exact"/>
              <w:ind w:left="190"/>
              <w:rPr>
                <w:rFonts w:ascii="黑体" w:eastAsia="黑体" w:hint="eastAsia"/>
                <w:sz w:val="21"/>
              </w:rPr>
            </w:pPr>
            <w:r>
              <w:rPr>
                <w:rFonts w:ascii="黑体" w:eastAsia="黑体" w:hint="eastAsia"/>
                <w:w w:val="100"/>
                <w:sz w:val="21"/>
              </w:rPr>
              <w:t>日</w:t>
            </w:r>
          </w:p>
        </w:tc>
        <w:tc>
          <w:tcPr>
            <w:tcW w:w="7211" w:type="dxa"/>
          </w:tcPr>
          <w:p>
            <w:pPr>
              <w:pStyle w:val="TableParagraph"/>
              <w:spacing w:line="257" w:lineRule="exact"/>
              <w:ind w:left="149"/>
              <w:rPr>
                <w:sz w:val="21"/>
              </w:rPr>
            </w:pPr>
            <w:r>
              <w:rPr>
                <w:sz w:val="21"/>
              </w:rPr>
              <w:t>月没有对应的同一日，则以该月最后一日为对应日。</w:t>
            </w:r>
          </w:p>
        </w:tc>
      </w:tr>
      <w:tr>
        <w:trPr>
          <w:trHeight w:val="722" w:hRule="atLeast"/>
        </w:trPr>
        <w:tc>
          <w:tcPr>
            <w:tcW w:w="616" w:type="dxa"/>
          </w:tcPr>
          <w:p>
            <w:pPr>
              <w:pStyle w:val="TableParagraph"/>
              <w:spacing w:before="42"/>
              <w:ind w:left="108"/>
              <w:rPr>
                <w:rFonts w:ascii="黑体"/>
                <w:sz w:val="21"/>
              </w:rPr>
            </w:pPr>
            <w:r>
              <w:rPr>
                <w:rFonts w:ascii="黑体"/>
                <w:sz w:val="21"/>
              </w:rPr>
              <w:t>9.2</w:t>
            </w:r>
          </w:p>
        </w:tc>
        <w:tc>
          <w:tcPr>
            <w:tcW w:w="1815" w:type="dxa"/>
          </w:tcPr>
          <w:p>
            <w:pPr>
              <w:pStyle w:val="TableParagraph"/>
              <w:spacing w:line="273" w:lineRule="auto" w:before="42"/>
              <w:ind w:left="190" w:right="148"/>
              <w:rPr>
                <w:rFonts w:ascii="黑体" w:eastAsia="黑体" w:hint="eastAsia"/>
                <w:sz w:val="21"/>
              </w:rPr>
            </w:pPr>
            <w:r>
              <w:rPr>
                <w:rFonts w:ascii="黑体" w:eastAsia="黑体" w:hint="eastAsia"/>
                <w:sz w:val="21"/>
              </w:rPr>
              <w:t>保险费约定支付日</w:t>
            </w:r>
          </w:p>
        </w:tc>
        <w:tc>
          <w:tcPr>
            <w:tcW w:w="7211" w:type="dxa"/>
          </w:tcPr>
          <w:p>
            <w:pPr>
              <w:pStyle w:val="TableParagraph"/>
              <w:spacing w:line="278" w:lineRule="auto" w:before="66"/>
              <w:ind w:left="149" w:right="123"/>
              <w:rPr>
                <w:sz w:val="21"/>
              </w:rPr>
            </w:pPr>
            <w:r>
              <w:rPr>
                <w:sz w:val="21"/>
              </w:rPr>
              <w:t>在限期年交、限期半年交、限期季交、限期月交方式下，分别指合同生效日在每年、每半年、每季度、每月的对应日。如果当月没有对应的同一日，则</w:t>
            </w:r>
          </w:p>
        </w:tc>
      </w:tr>
      <w:tr>
        <w:trPr>
          <w:trHeight w:val="379"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7" w:lineRule="exact"/>
              <w:ind w:left="149"/>
              <w:rPr>
                <w:sz w:val="21"/>
              </w:rPr>
            </w:pPr>
            <w:r>
              <w:rPr>
                <w:sz w:val="21"/>
              </w:rPr>
              <w:t>以该月最后一日为对应日。</w:t>
            </w:r>
          </w:p>
        </w:tc>
      </w:tr>
      <w:tr>
        <w:trPr>
          <w:trHeight w:val="375" w:hRule="atLeast"/>
        </w:trPr>
        <w:tc>
          <w:tcPr>
            <w:tcW w:w="616" w:type="dxa"/>
          </w:tcPr>
          <w:p>
            <w:pPr>
              <w:pStyle w:val="TableParagraph"/>
              <w:spacing w:before="42"/>
              <w:ind w:left="108"/>
              <w:rPr>
                <w:rFonts w:ascii="黑体"/>
                <w:sz w:val="21"/>
              </w:rPr>
            </w:pPr>
            <w:r>
              <w:rPr>
                <w:rFonts w:ascii="黑体"/>
                <w:sz w:val="21"/>
              </w:rPr>
              <w:t>9.3</w:t>
            </w:r>
          </w:p>
        </w:tc>
        <w:tc>
          <w:tcPr>
            <w:tcW w:w="1815" w:type="dxa"/>
          </w:tcPr>
          <w:p>
            <w:pPr>
              <w:pStyle w:val="TableParagraph"/>
              <w:spacing w:before="42"/>
              <w:ind w:left="190"/>
              <w:rPr>
                <w:rFonts w:ascii="黑体" w:eastAsia="黑体" w:hint="eastAsia"/>
                <w:sz w:val="21"/>
              </w:rPr>
            </w:pPr>
            <w:r>
              <w:rPr>
                <w:rFonts w:ascii="黑体" w:eastAsia="黑体" w:hint="eastAsia"/>
                <w:sz w:val="21"/>
              </w:rPr>
              <w:t>周岁</w:t>
            </w:r>
          </w:p>
        </w:tc>
        <w:tc>
          <w:tcPr>
            <w:tcW w:w="7211" w:type="dxa"/>
          </w:tcPr>
          <w:p>
            <w:pPr>
              <w:pStyle w:val="TableParagraph"/>
              <w:spacing w:before="42"/>
              <w:ind w:left="149"/>
              <w:rPr>
                <w:sz w:val="21"/>
              </w:rPr>
            </w:pPr>
            <w:r>
              <w:rPr>
                <w:sz w:val="21"/>
              </w:rPr>
              <w:t>指按有效身份证件中记载的出生日期计算的年龄，自出生之日起为零周岁，</w:t>
            </w:r>
          </w:p>
        </w:tc>
      </w:tr>
      <w:tr>
        <w:trPr>
          <w:trHeight w:val="38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每经过一年增加一岁，不足一年的不计。</w:t>
            </w:r>
          </w:p>
        </w:tc>
      </w:tr>
      <w:tr>
        <w:trPr>
          <w:trHeight w:val="382" w:hRule="atLeast"/>
        </w:trPr>
        <w:tc>
          <w:tcPr>
            <w:tcW w:w="616" w:type="dxa"/>
          </w:tcPr>
          <w:p>
            <w:pPr>
              <w:pStyle w:val="TableParagraph"/>
              <w:spacing w:before="49"/>
              <w:ind w:left="108"/>
              <w:rPr>
                <w:rFonts w:ascii="黑体"/>
                <w:sz w:val="21"/>
              </w:rPr>
            </w:pPr>
            <w:r>
              <w:rPr>
                <w:rFonts w:ascii="黑体"/>
                <w:sz w:val="21"/>
              </w:rPr>
              <w:t>9.4</w:t>
            </w:r>
          </w:p>
        </w:tc>
        <w:tc>
          <w:tcPr>
            <w:tcW w:w="1815" w:type="dxa"/>
          </w:tcPr>
          <w:p>
            <w:pPr>
              <w:pStyle w:val="TableParagraph"/>
              <w:spacing w:before="49"/>
              <w:ind w:left="190"/>
              <w:rPr>
                <w:rFonts w:ascii="黑体" w:eastAsia="黑体" w:hint="eastAsia"/>
                <w:sz w:val="21"/>
              </w:rPr>
            </w:pPr>
            <w:r>
              <w:rPr>
                <w:rFonts w:ascii="黑体" w:eastAsia="黑体" w:hint="eastAsia"/>
                <w:sz w:val="21"/>
              </w:rPr>
              <w:t>有效身份证件</w:t>
            </w:r>
          </w:p>
        </w:tc>
        <w:tc>
          <w:tcPr>
            <w:tcW w:w="7211" w:type="dxa"/>
          </w:tcPr>
          <w:p>
            <w:pPr>
              <w:pStyle w:val="TableParagraph"/>
              <w:spacing w:before="49"/>
              <w:ind w:left="149"/>
              <w:rPr>
                <w:sz w:val="21"/>
              </w:rPr>
            </w:pPr>
            <w:r>
              <w:rPr>
                <w:sz w:val="21"/>
              </w:rPr>
              <w:t>指由政府主管部门规定的证明其身份的证件，如：居民身份证、按规定可使</w:t>
            </w:r>
          </w:p>
        </w:tc>
      </w:tr>
      <w:tr>
        <w:trPr>
          <w:trHeight w:val="38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用的有效护照、军官证、警官证、士兵证等证件。</w:t>
            </w:r>
          </w:p>
        </w:tc>
      </w:tr>
      <w:tr>
        <w:trPr>
          <w:trHeight w:val="382" w:hRule="atLeast"/>
        </w:trPr>
        <w:tc>
          <w:tcPr>
            <w:tcW w:w="616" w:type="dxa"/>
          </w:tcPr>
          <w:p>
            <w:pPr>
              <w:pStyle w:val="TableParagraph"/>
              <w:spacing w:before="49"/>
              <w:ind w:left="108"/>
              <w:rPr>
                <w:rFonts w:ascii="黑体"/>
                <w:sz w:val="21"/>
              </w:rPr>
            </w:pPr>
            <w:r>
              <w:rPr>
                <w:rFonts w:ascii="黑体"/>
                <w:sz w:val="21"/>
              </w:rPr>
              <w:t>9.5</w:t>
            </w:r>
          </w:p>
        </w:tc>
        <w:tc>
          <w:tcPr>
            <w:tcW w:w="1815" w:type="dxa"/>
          </w:tcPr>
          <w:p>
            <w:pPr>
              <w:pStyle w:val="TableParagraph"/>
              <w:spacing w:before="49"/>
              <w:ind w:left="190"/>
              <w:rPr>
                <w:rFonts w:ascii="黑体" w:eastAsia="黑体" w:hint="eastAsia"/>
                <w:sz w:val="21"/>
              </w:rPr>
            </w:pPr>
            <w:r>
              <w:rPr>
                <w:rFonts w:ascii="黑体" w:eastAsia="黑体" w:hint="eastAsia"/>
                <w:sz w:val="21"/>
              </w:rPr>
              <w:t>意外伤害</w:t>
            </w:r>
          </w:p>
        </w:tc>
        <w:tc>
          <w:tcPr>
            <w:tcW w:w="7211" w:type="dxa"/>
          </w:tcPr>
          <w:p>
            <w:pPr>
              <w:pStyle w:val="TableParagraph"/>
              <w:spacing w:before="49"/>
              <w:ind w:left="149"/>
              <w:rPr>
                <w:sz w:val="21"/>
              </w:rPr>
            </w:pPr>
            <w:r>
              <w:rPr>
                <w:sz w:val="21"/>
              </w:rPr>
              <w:t>指遭受外来的、突发的、非本意的、非疾病的客观事件直接致使身体受到的</w:t>
            </w:r>
          </w:p>
        </w:tc>
      </w:tr>
      <w:tr>
        <w:trPr>
          <w:trHeight w:val="311"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伤害。</w:t>
            </w:r>
          </w:p>
        </w:tc>
      </w:tr>
      <w:tr>
        <w:trPr>
          <w:trHeight w:val="311"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shd w:fill="D9D9D9" w:color="auto" w:val="clear"/>
              </w:rPr>
              <w:t>本合同所述的意外伤害导致的身故，不包括猝死。</w:t>
            </w:r>
            <w:r>
              <w:rPr>
                <w:sz w:val="21"/>
              </w:rPr>
              <w:t>“猝死”是指貌似健康的</w:t>
            </w:r>
          </w:p>
        </w:tc>
      </w:tr>
      <w:tr>
        <w:trPr>
          <w:trHeight w:val="31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pacing w:val="-13"/>
                <w:sz w:val="21"/>
              </w:rPr>
              <w:t>人因潜在疾病、机能障碍或其他原因在出现症状后 </w:t>
            </w:r>
            <w:r>
              <w:rPr>
                <w:sz w:val="21"/>
              </w:rPr>
              <w:t>24</w:t>
            </w:r>
            <w:r>
              <w:rPr>
                <w:spacing w:val="-7"/>
                <w:sz w:val="21"/>
              </w:rPr>
              <w:t> 小时内发生的非暴力性</w:t>
            </w:r>
          </w:p>
        </w:tc>
      </w:tr>
      <w:tr>
        <w:trPr>
          <w:trHeight w:val="31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突然死亡。关于猝死的认定，如有司法机关的法律文件、医疗机构的诊断书</w:t>
            </w:r>
          </w:p>
        </w:tc>
      </w:tr>
      <w:tr>
        <w:trPr>
          <w:trHeight w:val="38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等，则以上述法律文件、诊断书等为准。</w:t>
            </w:r>
          </w:p>
        </w:tc>
      </w:tr>
      <w:tr>
        <w:trPr>
          <w:trHeight w:val="382" w:hRule="atLeast"/>
        </w:trPr>
        <w:tc>
          <w:tcPr>
            <w:tcW w:w="616" w:type="dxa"/>
          </w:tcPr>
          <w:p>
            <w:pPr>
              <w:pStyle w:val="TableParagraph"/>
              <w:spacing w:before="49"/>
              <w:ind w:left="108"/>
              <w:rPr>
                <w:rFonts w:ascii="黑体"/>
                <w:sz w:val="21"/>
              </w:rPr>
            </w:pPr>
            <w:r>
              <w:rPr>
                <w:rFonts w:ascii="黑体"/>
                <w:sz w:val="21"/>
              </w:rPr>
              <w:t>9.6</w:t>
            </w:r>
          </w:p>
        </w:tc>
        <w:tc>
          <w:tcPr>
            <w:tcW w:w="1815" w:type="dxa"/>
          </w:tcPr>
          <w:p>
            <w:pPr>
              <w:pStyle w:val="TableParagraph"/>
              <w:spacing w:before="49"/>
              <w:ind w:left="190"/>
              <w:rPr>
                <w:rFonts w:ascii="黑体" w:eastAsia="黑体" w:hint="eastAsia"/>
                <w:sz w:val="21"/>
              </w:rPr>
            </w:pPr>
            <w:r>
              <w:rPr>
                <w:rFonts w:ascii="黑体" w:eastAsia="黑体" w:hint="eastAsia"/>
                <w:sz w:val="21"/>
              </w:rPr>
              <w:t>全残</w:t>
            </w:r>
          </w:p>
        </w:tc>
        <w:tc>
          <w:tcPr>
            <w:tcW w:w="7211" w:type="dxa"/>
          </w:tcPr>
          <w:p>
            <w:pPr>
              <w:pStyle w:val="TableParagraph"/>
              <w:spacing w:before="49"/>
              <w:ind w:left="149"/>
              <w:rPr>
                <w:sz w:val="21"/>
              </w:rPr>
            </w:pPr>
            <w:r>
              <w:rPr>
                <w:sz w:val="21"/>
              </w:rPr>
              <w:t>本合同所述“全残”是指下列情形之一：</w:t>
            </w:r>
          </w:p>
        </w:tc>
      </w:tr>
      <w:tr>
        <w:trPr>
          <w:trHeight w:val="311"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(1)双目永久完全失明（注 1）；</w:t>
            </w:r>
          </w:p>
        </w:tc>
      </w:tr>
      <w:tr>
        <w:trPr>
          <w:trHeight w:val="31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(2)两上肢腕关节以上或两下肢踝关节以上缺失；</w:t>
            </w:r>
          </w:p>
        </w:tc>
      </w:tr>
      <w:tr>
        <w:trPr>
          <w:trHeight w:val="31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(3)一上肢腕关节以上及一下肢踝关节以上缺失；</w:t>
            </w:r>
          </w:p>
        </w:tc>
      </w:tr>
      <w:tr>
        <w:trPr>
          <w:trHeight w:val="311"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(4)一目永久完全失明及一上肢腕关节以上缺失；</w:t>
            </w:r>
          </w:p>
        </w:tc>
      </w:tr>
      <w:tr>
        <w:trPr>
          <w:trHeight w:val="311"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(5)一目永久完全失明及一下肢踝关节以上缺失；</w:t>
            </w:r>
          </w:p>
        </w:tc>
      </w:tr>
      <w:tr>
        <w:trPr>
          <w:trHeight w:val="312" w:hRule="atLeast"/>
        </w:trPr>
        <w:tc>
          <w:tcPr>
            <w:tcW w:w="616" w:type="dxa"/>
          </w:tcPr>
          <w:p>
            <w:pPr>
              <w:pStyle w:val="TableParagraph"/>
              <w:rPr>
                <w:rFonts w:ascii="Times New Roman"/>
                <w:sz w:val="20"/>
              </w:rPr>
            </w:pPr>
          </w:p>
        </w:tc>
        <w:tc>
          <w:tcPr>
            <w:tcW w:w="1815" w:type="dxa"/>
          </w:tcPr>
          <w:p>
            <w:pPr>
              <w:pStyle w:val="TableParagraph"/>
              <w:rPr>
                <w:rFonts w:ascii="Times New Roman"/>
                <w:sz w:val="20"/>
              </w:rPr>
            </w:pPr>
          </w:p>
        </w:tc>
        <w:tc>
          <w:tcPr>
            <w:tcW w:w="7211" w:type="dxa"/>
          </w:tcPr>
          <w:p>
            <w:pPr>
              <w:pStyle w:val="TableParagraph"/>
              <w:spacing w:line="253" w:lineRule="exact"/>
              <w:ind w:left="149"/>
              <w:rPr>
                <w:sz w:val="21"/>
              </w:rPr>
            </w:pPr>
            <w:r>
              <w:rPr>
                <w:sz w:val="21"/>
              </w:rPr>
              <w:t>(6)四肢关节机能永久完全丧失的（注 2）；</w:t>
            </w:r>
          </w:p>
        </w:tc>
      </w:tr>
      <w:tr>
        <w:trPr>
          <w:trHeight w:val="261" w:hRule="atLeast"/>
        </w:trPr>
        <w:tc>
          <w:tcPr>
            <w:tcW w:w="616" w:type="dxa"/>
          </w:tcPr>
          <w:p>
            <w:pPr>
              <w:pStyle w:val="TableParagraph"/>
              <w:rPr>
                <w:rFonts w:ascii="Times New Roman"/>
                <w:sz w:val="18"/>
              </w:rPr>
            </w:pPr>
          </w:p>
        </w:tc>
        <w:tc>
          <w:tcPr>
            <w:tcW w:w="1815" w:type="dxa"/>
          </w:tcPr>
          <w:p>
            <w:pPr>
              <w:pStyle w:val="TableParagraph"/>
              <w:rPr>
                <w:rFonts w:ascii="Times New Roman"/>
                <w:sz w:val="18"/>
              </w:rPr>
            </w:pPr>
          </w:p>
        </w:tc>
        <w:tc>
          <w:tcPr>
            <w:tcW w:w="7211" w:type="dxa"/>
          </w:tcPr>
          <w:p>
            <w:pPr>
              <w:pStyle w:val="TableParagraph"/>
              <w:spacing w:line="242" w:lineRule="exact"/>
              <w:ind w:left="149"/>
              <w:rPr>
                <w:sz w:val="21"/>
              </w:rPr>
            </w:pPr>
            <w:r>
              <w:rPr>
                <w:sz w:val="21"/>
              </w:rPr>
              <w:t>(7)咀嚼、吞咽机能永久完全丧失的（注 3）；</w:t>
            </w:r>
          </w:p>
        </w:tc>
      </w:tr>
    </w:tbl>
    <w:p>
      <w:pPr>
        <w:spacing w:after="0" w:line="242" w:lineRule="exact"/>
        <w:rPr>
          <w:sz w:val="21"/>
        </w:rPr>
        <w:sectPr>
          <w:pgSz w:w="11910" w:h="16840"/>
          <w:pgMar w:top="1460" w:bottom="280" w:left="1020" w:right="10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656"/>
        <w:gridCol w:w="7366"/>
      </w:tblGrid>
      <w:tr>
        <w:trPr>
          <w:trHeight w:val="261" w:hRule="atLeast"/>
        </w:trPr>
        <w:tc>
          <w:tcPr>
            <w:tcW w:w="610" w:type="dxa"/>
          </w:tcPr>
          <w:p>
            <w:pPr>
              <w:pStyle w:val="TableParagraph"/>
              <w:rPr>
                <w:rFonts w:ascii="Times New Roman"/>
                <w:sz w:val="18"/>
              </w:rPr>
            </w:pPr>
          </w:p>
        </w:tc>
        <w:tc>
          <w:tcPr>
            <w:tcW w:w="1656" w:type="dxa"/>
          </w:tcPr>
          <w:p>
            <w:pPr>
              <w:pStyle w:val="TableParagraph"/>
              <w:rPr>
                <w:rFonts w:ascii="Times New Roman"/>
                <w:sz w:val="18"/>
              </w:rPr>
            </w:pPr>
          </w:p>
        </w:tc>
        <w:tc>
          <w:tcPr>
            <w:tcW w:w="7366" w:type="dxa"/>
          </w:tcPr>
          <w:p>
            <w:pPr>
              <w:pStyle w:val="TableParagraph"/>
              <w:spacing w:line="203" w:lineRule="exact"/>
              <w:ind w:left="256"/>
              <w:rPr>
                <w:sz w:val="21"/>
              </w:rPr>
            </w:pPr>
            <w:r>
              <w:rPr>
                <w:spacing w:val="-1"/>
                <w:sz w:val="21"/>
              </w:rPr>
              <w:t>(8)</w:t>
            </w:r>
            <w:r>
              <w:rPr>
                <w:spacing w:val="-15"/>
                <w:sz w:val="21"/>
              </w:rPr>
              <w:t>中枢神经系统功能或胸、腹部脏器机能极度障碍，终身不能从事任何工作，</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为维持生命必要的日常生活活动，全需他人扶助的（注 4）；</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注：</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1.失明：包括眼球缺失或摘除、或不能辨别明暗、或仅能辨别眼前手动者，</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pacing w:val="-6"/>
                <w:sz w:val="21"/>
              </w:rPr>
              <w:t>最佳矫正视力低于国际标准视力表 </w:t>
            </w:r>
            <w:r>
              <w:rPr>
                <w:spacing w:val="-5"/>
                <w:sz w:val="21"/>
              </w:rPr>
              <w:t>0.02</w:t>
            </w:r>
            <w:r>
              <w:rPr>
                <w:spacing w:val="-7"/>
                <w:sz w:val="21"/>
              </w:rPr>
              <w:t>，或视野半径小于 </w:t>
            </w:r>
            <w:r>
              <w:rPr>
                <w:sz w:val="21"/>
              </w:rPr>
              <w:t>5</w:t>
            </w:r>
            <w:r>
              <w:rPr>
                <w:spacing w:val="-9"/>
                <w:sz w:val="21"/>
              </w:rPr>
              <w:t> 度，并由有资格</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的眼科医师出具医疗诊断证明。</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2.关节机能的丧失：系指关节永久完全僵硬、或麻痹、或关节不能随意识活</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动。</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3.咀嚼、吞咽机能的丧失：系指由于牙齿以外的原因引起器质障碍或机能障</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碍，以致不能作咀嚼、吞咽运动，除流质食物以外不能摄取或吞咽的状态。</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4.为维持生命必要之日常生活活动，全需他人扶助：系指食物摄取、大小便</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始末、穿脱衣服、起居、步行、入浴等，皆不能自己为之，需要他人帮助。</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上述所谓永久完全系指自事故发生之日起经过一百八十天后，机能仍然完全</w:t>
            </w:r>
          </w:p>
        </w:tc>
      </w:tr>
      <w:tr>
        <w:trPr>
          <w:trHeight w:val="38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丧失，但眼球摘除等明显无法复原之情况，不在此限。</w:t>
            </w:r>
          </w:p>
        </w:tc>
      </w:tr>
      <w:tr>
        <w:trPr>
          <w:trHeight w:val="730" w:hRule="atLeast"/>
        </w:trPr>
        <w:tc>
          <w:tcPr>
            <w:tcW w:w="610" w:type="dxa"/>
          </w:tcPr>
          <w:p>
            <w:pPr>
              <w:pStyle w:val="TableParagraph"/>
              <w:spacing w:before="49"/>
              <w:ind w:left="50"/>
              <w:rPr>
                <w:rFonts w:ascii="黑体"/>
                <w:sz w:val="21"/>
              </w:rPr>
            </w:pPr>
            <w:r>
              <w:rPr>
                <w:rFonts w:ascii="黑体"/>
                <w:sz w:val="21"/>
              </w:rPr>
              <w:t>9.7</w:t>
            </w:r>
          </w:p>
        </w:tc>
        <w:tc>
          <w:tcPr>
            <w:tcW w:w="1656" w:type="dxa"/>
          </w:tcPr>
          <w:p>
            <w:pPr>
              <w:pStyle w:val="TableParagraph"/>
              <w:spacing w:line="273" w:lineRule="auto" w:before="49"/>
              <w:ind w:left="138" w:right="253"/>
              <w:rPr>
                <w:rFonts w:ascii="黑体" w:eastAsia="黑体" w:hint="eastAsia"/>
                <w:sz w:val="21"/>
              </w:rPr>
            </w:pPr>
            <w:r>
              <w:rPr>
                <w:rFonts w:ascii="黑体" w:eastAsia="黑体" w:hint="eastAsia"/>
                <w:sz w:val="21"/>
              </w:rPr>
              <w:t>疾病终末期阶段</w:t>
            </w:r>
          </w:p>
        </w:tc>
        <w:tc>
          <w:tcPr>
            <w:tcW w:w="7366" w:type="dxa"/>
          </w:tcPr>
          <w:p>
            <w:pPr>
              <w:pStyle w:val="TableParagraph"/>
              <w:spacing w:line="278" w:lineRule="auto" w:before="73"/>
              <w:ind w:left="256" w:right="382"/>
              <w:rPr>
                <w:sz w:val="21"/>
              </w:rPr>
            </w:pPr>
            <w:r>
              <w:rPr>
                <w:sz w:val="21"/>
              </w:rPr>
              <w:t>疾病终末期阶段需由我们认可的专科医生出具诊断证明和提交临床检查证据，证明被保险人所患的疾病同时满足以下两个条件：</w:t>
            </w:r>
          </w:p>
        </w:tc>
      </w:tr>
      <w:tr>
        <w:trPr>
          <w:trHeight w:val="320"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8" w:lineRule="exact"/>
              <w:ind w:left="256"/>
              <w:rPr>
                <w:sz w:val="21"/>
              </w:rPr>
            </w:pPr>
            <w:r>
              <w:rPr>
                <w:sz w:val="21"/>
              </w:rPr>
              <w:t>(1)依现有医疗技术无法缓解；</w:t>
            </w:r>
          </w:p>
        </w:tc>
      </w:tr>
      <w:tr>
        <w:trPr>
          <w:trHeight w:val="377"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7" w:lineRule="exact"/>
              <w:ind w:left="256"/>
              <w:rPr>
                <w:sz w:val="21"/>
              </w:rPr>
            </w:pPr>
            <w:r>
              <w:rPr>
                <w:sz w:val="21"/>
              </w:rPr>
              <w:t>(2)根据临床医学经验判断被保险人存活期低于六个月。</w:t>
            </w:r>
          </w:p>
        </w:tc>
      </w:tr>
      <w:tr>
        <w:trPr>
          <w:trHeight w:val="374" w:hRule="atLeast"/>
        </w:trPr>
        <w:tc>
          <w:tcPr>
            <w:tcW w:w="610" w:type="dxa"/>
          </w:tcPr>
          <w:p>
            <w:pPr>
              <w:pStyle w:val="TableParagraph"/>
              <w:spacing w:before="41"/>
              <w:ind w:left="50"/>
              <w:rPr>
                <w:rFonts w:ascii="黑体"/>
                <w:sz w:val="21"/>
              </w:rPr>
            </w:pPr>
            <w:r>
              <w:rPr>
                <w:rFonts w:ascii="黑体"/>
                <w:sz w:val="21"/>
              </w:rPr>
              <w:t>9.8</w:t>
            </w:r>
          </w:p>
        </w:tc>
        <w:tc>
          <w:tcPr>
            <w:tcW w:w="1656" w:type="dxa"/>
          </w:tcPr>
          <w:p>
            <w:pPr>
              <w:pStyle w:val="TableParagraph"/>
              <w:spacing w:before="41"/>
              <w:ind w:left="138"/>
              <w:rPr>
                <w:rFonts w:ascii="黑体" w:eastAsia="黑体" w:hint="eastAsia"/>
                <w:sz w:val="21"/>
              </w:rPr>
            </w:pPr>
            <w:r>
              <w:rPr>
                <w:rFonts w:ascii="黑体" w:eastAsia="黑体" w:hint="eastAsia"/>
                <w:sz w:val="21"/>
              </w:rPr>
              <w:t>男性特定癌症</w:t>
            </w:r>
          </w:p>
        </w:tc>
        <w:tc>
          <w:tcPr>
            <w:tcW w:w="7366" w:type="dxa"/>
          </w:tcPr>
          <w:p>
            <w:pPr>
              <w:pStyle w:val="TableParagraph"/>
              <w:spacing w:before="41"/>
              <w:ind w:left="256"/>
              <w:rPr>
                <w:sz w:val="21"/>
              </w:rPr>
            </w:pPr>
            <w:r>
              <w:rPr>
                <w:sz w:val="21"/>
              </w:rPr>
              <w:t>指符合以下恶性肿瘤定义所述条件的，原发于男性肺部、肝部、结直肠、胃</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部、咽喉和食道的恶性肿瘤。</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恶性肿瘤是指恶性细胞不受控制的进行性增长和扩散，浸润和破坏周围正常</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组织，可以经血管、淋巴管和体腔扩散转移到身体其它部位的疾病。经病理</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学检查结果确诊，临床诊断属于世界卫生组织《疾病和有关健康问题的国际</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统计分类》（ICD-10）的恶性肿瘤范畴。</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shd w:fill="D9D9D9" w:color="auto" w:val="clear"/>
              </w:rPr>
              <w:t>下列疾病不在保障范围内：</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shd w:fill="D9D9D9" w:color="auto" w:val="clear"/>
              </w:rPr>
              <w:t>(1)原位癌；</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shd w:fill="D9D9D9" w:color="auto" w:val="clear"/>
              </w:rPr>
              <w:t>(2)转移癌；</w:t>
            </w:r>
          </w:p>
        </w:tc>
      </w:tr>
      <w:tr>
        <w:trPr>
          <w:trHeight w:val="384"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shd w:fill="D9D9D9" w:color="auto" w:val="clear"/>
              </w:rPr>
              <w:t>(3)感染艾滋病病毒或患艾滋病期间所患恶性肿瘤。</w:t>
            </w:r>
          </w:p>
        </w:tc>
      </w:tr>
      <w:tr>
        <w:trPr>
          <w:trHeight w:val="383" w:hRule="atLeast"/>
        </w:trPr>
        <w:tc>
          <w:tcPr>
            <w:tcW w:w="610" w:type="dxa"/>
          </w:tcPr>
          <w:p>
            <w:pPr>
              <w:pStyle w:val="TableParagraph"/>
              <w:spacing w:before="50"/>
              <w:ind w:left="50"/>
              <w:rPr>
                <w:rFonts w:ascii="黑体"/>
                <w:sz w:val="21"/>
              </w:rPr>
            </w:pPr>
            <w:r>
              <w:rPr>
                <w:rFonts w:ascii="黑体"/>
                <w:sz w:val="21"/>
              </w:rPr>
              <w:t>9.9</w:t>
            </w:r>
          </w:p>
        </w:tc>
        <w:tc>
          <w:tcPr>
            <w:tcW w:w="1656" w:type="dxa"/>
          </w:tcPr>
          <w:p>
            <w:pPr>
              <w:pStyle w:val="TableParagraph"/>
              <w:spacing w:before="50"/>
              <w:ind w:left="138"/>
              <w:rPr>
                <w:rFonts w:ascii="黑体" w:eastAsia="黑体" w:hint="eastAsia"/>
                <w:sz w:val="21"/>
              </w:rPr>
            </w:pPr>
            <w:r>
              <w:rPr>
                <w:rFonts w:ascii="黑体" w:eastAsia="黑体" w:hint="eastAsia"/>
                <w:sz w:val="21"/>
              </w:rPr>
              <w:t>女性特定癌症</w:t>
            </w:r>
          </w:p>
        </w:tc>
        <w:tc>
          <w:tcPr>
            <w:tcW w:w="7366" w:type="dxa"/>
          </w:tcPr>
          <w:p>
            <w:pPr>
              <w:pStyle w:val="TableParagraph"/>
              <w:spacing w:before="50"/>
              <w:ind w:left="256"/>
              <w:rPr>
                <w:sz w:val="21"/>
              </w:rPr>
            </w:pPr>
            <w:r>
              <w:rPr>
                <w:sz w:val="21"/>
              </w:rPr>
              <w:t>指符合以下恶性肿瘤定义所述条件的，原发于女性肺部、乳腺、甲状腺、卵</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巢、胃部和子宫颈的恶性肿瘤，</w:t>
            </w:r>
            <w:r>
              <w:rPr>
                <w:sz w:val="21"/>
                <w:shd w:fill="D9D9D9" w:color="auto" w:val="clear"/>
              </w:rPr>
              <w:t>但不包括发生于子宫体的恶性肿瘤</w:t>
            </w:r>
            <w:r>
              <w:rPr>
                <w:sz w:val="21"/>
              </w:rPr>
              <w:t>。</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恶性肿瘤是指恶性细胞不受控制的进行性增长和扩散，浸润和破坏周围正常</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组织，可以经血管、淋巴管和体腔扩散转移到身体其它部位的疾病。经病理</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学检查结果确诊，临床诊断属于世界卫生组织《疾病和有关健康问题的国际</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rPr>
              <w:t>统计分类》（ICD-10）的恶性肿瘤范畴。</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shd w:fill="D9D9D9" w:color="auto" w:val="clear"/>
              </w:rPr>
              <w:t>下列疾病不在保障范围内：</w:t>
            </w:r>
          </w:p>
        </w:tc>
      </w:tr>
      <w:tr>
        <w:trPr>
          <w:trHeight w:val="31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shd w:fill="D9D9D9" w:color="auto" w:val="clear"/>
              </w:rPr>
              <w:t>(1)原位癌；</w:t>
            </w:r>
          </w:p>
        </w:tc>
      </w:tr>
      <w:tr>
        <w:trPr>
          <w:trHeight w:val="311"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shd w:fill="D9D9D9" w:color="auto" w:val="clear"/>
              </w:rPr>
              <w:t>(2)转移癌；</w:t>
            </w:r>
          </w:p>
        </w:tc>
      </w:tr>
      <w:tr>
        <w:trPr>
          <w:trHeight w:val="382"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3" w:lineRule="exact"/>
              <w:ind w:left="256"/>
              <w:rPr>
                <w:sz w:val="21"/>
              </w:rPr>
            </w:pPr>
            <w:r>
              <w:rPr>
                <w:sz w:val="21"/>
                <w:shd w:fill="D9D9D9" w:color="auto" w:val="clear"/>
              </w:rPr>
              <w:t>(3)感染艾滋病病毒或患艾滋病期间所患恶性肿瘤。</w:t>
            </w:r>
          </w:p>
        </w:tc>
      </w:tr>
      <w:tr>
        <w:trPr>
          <w:trHeight w:val="410" w:hRule="atLeast"/>
        </w:trPr>
        <w:tc>
          <w:tcPr>
            <w:tcW w:w="610" w:type="dxa"/>
          </w:tcPr>
          <w:p>
            <w:pPr>
              <w:pStyle w:val="TableParagraph"/>
              <w:spacing w:before="49"/>
              <w:ind w:left="50"/>
              <w:rPr>
                <w:rFonts w:ascii="黑体"/>
                <w:sz w:val="21"/>
              </w:rPr>
            </w:pPr>
            <w:r>
              <w:rPr>
                <w:rFonts w:ascii="黑体"/>
                <w:sz w:val="21"/>
              </w:rPr>
              <w:t>9.10</w:t>
            </w:r>
          </w:p>
        </w:tc>
        <w:tc>
          <w:tcPr>
            <w:tcW w:w="1656" w:type="dxa"/>
          </w:tcPr>
          <w:p>
            <w:pPr>
              <w:pStyle w:val="TableParagraph"/>
              <w:spacing w:before="49"/>
              <w:ind w:left="138"/>
              <w:rPr>
                <w:rFonts w:ascii="黑体" w:eastAsia="黑体" w:hint="eastAsia"/>
                <w:sz w:val="21"/>
              </w:rPr>
            </w:pPr>
            <w:r>
              <w:rPr>
                <w:rFonts w:ascii="黑体" w:eastAsia="黑体" w:hint="eastAsia"/>
                <w:sz w:val="21"/>
              </w:rPr>
              <w:t>专科医Th</w:t>
            </w:r>
          </w:p>
        </w:tc>
        <w:tc>
          <w:tcPr>
            <w:tcW w:w="7366" w:type="dxa"/>
          </w:tcPr>
          <w:p>
            <w:pPr>
              <w:pStyle w:val="TableParagraph"/>
              <w:spacing w:before="73"/>
              <w:ind w:left="256"/>
              <w:rPr>
                <w:sz w:val="21"/>
              </w:rPr>
            </w:pPr>
            <w:r>
              <w:rPr>
                <w:sz w:val="21"/>
              </w:rPr>
              <w:t>专科医生应当同时满足以下四项资格条件：</w:t>
            </w:r>
          </w:p>
        </w:tc>
      </w:tr>
      <w:tr>
        <w:trPr>
          <w:trHeight w:val="319"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7" w:lineRule="exact"/>
              <w:ind w:left="256"/>
              <w:rPr>
                <w:sz w:val="21"/>
              </w:rPr>
            </w:pPr>
            <w:r>
              <w:rPr>
                <w:sz w:val="21"/>
              </w:rPr>
              <w:t>(1)具有有效的中华人民共和国《医师资格证书》；</w:t>
            </w:r>
          </w:p>
        </w:tc>
      </w:tr>
      <w:tr>
        <w:trPr>
          <w:trHeight w:val="320" w:hRule="atLeast"/>
        </w:trPr>
        <w:tc>
          <w:tcPr>
            <w:tcW w:w="610" w:type="dxa"/>
          </w:tcPr>
          <w:p>
            <w:pPr>
              <w:pStyle w:val="TableParagraph"/>
              <w:rPr>
                <w:rFonts w:ascii="Times New Roman"/>
                <w:sz w:val="20"/>
              </w:rPr>
            </w:pPr>
          </w:p>
        </w:tc>
        <w:tc>
          <w:tcPr>
            <w:tcW w:w="1656" w:type="dxa"/>
          </w:tcPr>
          <w:p>
            <w:pPr>
              <w:pStyle w:val="TableParagraph"/>
              <w:rPr>
                <w:rFonts w:ascii="Times New Roman"/>
                <w:sz w:val="20"/>
              </w:rPr>
            </w:pPr>
          </w:p>
        </w:tc>
        <w:tc>
          <w:tcPr>
            <w:tcW w:w="7366" w:type="dxa"/>
          </w:tcPr>
          <w:p>
            <w:pPr>
              <w:pStyle w:val="TableParagraph"/>
              <w:spacing w:line="257" w:lineRule="exact"/>
              <w:ind w:left="256"/>
              <w:rPr>
                <w:sz w:val="21"/>
              </w:rPr>
            </w:pPr>
            <w:r>
              <w:rPr>
                <w:sz w:val="21"/>
              </w:rPr>
              <w:t>(2)具有有效的中华人民共和国《医师执业证书》，并按期到相关部门登记注</w:t>
            </w:r>
          </w:p>
        </w:tc>
      </w:tr>
      <w:tr>
        <w:trPr>
          <w:trHeight w:val="266" w:hRule="atLeast"/>
        </w:trPr>
        <w:tc>
          <w:tcPr>
            <w:tcW w:w="610" w:type="dxa"/>
          </w:tcPr>
          <w:p>
            <w:pPr>
              <w:pStyle w:val="TableParagraph"/>
              <w:rPr>
                <w:rFonts w:ascii="Times New Roman"/>
                <w:sz w:val="18"/>
              </w:rPr>
            </w:pPr>
          </w:p>
        </w:tc>
        <w:tc>
          <w:tcPr>
            <w:tcW w:w="1656" w:type="dxa"/>
          </w:tcPr>
          <w:p>
            <w:pPr>
              <w:pStyle w:val="TableParagraph"/>
              <w:rPr>
                <w:rFonts w:ascii="Times New Roman"/>
                <w:sz w:val="18"/>
              </w:rPr>
            </w:pPr>
          </w:p>
        </w:tc>
        <w:tc>
          <w:tcPr>
            <w:tcW w:w="7366" w:type="dxa"/>
          </w:tcPr>
          <w:p>
            <w:pPr>
              <w:pStyle w:val="TableParagraph"/>
              <w:spacing w:line="246" w:lineRule="exact"/>
              <w:ind w:left="256"/>
              <w:rPr>
                <w:sz w:val="21"/>
              </w:rPr>
            </w:pPr>
            <w:r>
              <w:rPr>
                <w:sz w:val="21"/>
              </w:rPr>
              <w:t>册；</w:t>
            </w:r>
          </w:p>
        </w:tc>
      </w:tr>
    </w:tbl>
    <w:p>
      <w:pPr>
        <w:spacing w:after="0" w:line="246" w:lineRule="exact"/>
        <w:rPr>
          <w:sz w:val="21"/>
        </w:rPr>
        <w:sectPr>
          <w:pgSz w:w="11910" w:h="16840"/>
          <w:pgMar w:top="1460" w:bottom="280" w:left="108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761"/>
        <w:gridCol w:w="7260"/>
      </w:tblGrid>
      <w:tr>
        <w:trPr>
          <w:trHeight w:val="265" w:hRule="atLeast"/>
        </w:trPr>
        <w:tc>
          <w:tcPr>
            <w:tcW w:w="610" w:type="dxa"/>
          </w:tcPr>
          <w:p>
            <w:pPr>
              <w:pStyle w:val="TableParagraph"/>
              <w:rPr>
                <w:rFonts w:ascii="Times New Roman"/>
                <w:sz w:val="18"/>
              </w:rPr>
            </w:pPr>
          </w:p>
        </w:tc>
        <w:tc>
          <w:tcPr>
            <w:tcW w:w="1761" w:type="dxa"/>
          </w:tcPr>
          <w:p>
            <w:pPr>
              <w:pStyle w:val="TableParagraph"/>
              <w:rPr>
                <w:rFonts w:ascii="Times New Roman"/>
                <w:sz w:val="18"/>
              </w:rPr>
            </w:pPr>
          </w:p>
        </w:tc>
        <w:tc>
          <w:tcPr>
            <w:tcW w:w="7260" w:type="dxa"/>
          </w:tcPr>
          <w:p>
            <w:pPr>
              <w:pStyle w:val="TableParagraph"/>
              <w:spacing w:line="207" w:lineRule="exact"/>
              <w:ind w:left="151"/>
              <w:rPr>
                <w:sz w:val="21"/>
              </w:rPr>
            </w:pPr>
            <w:r>
              <w:rPr>
                <w:sz w:val="21"/>
              </w:rPr>
              <w:t>(3)具有有效的中华人民共和国主治医师或主治医师以上职称的《医师职称证</w:t>
            </w:r>
          </w:p>
        </w:tc>
      </w:tr>
      <w:tr>
        <w:trPr>
          <w:trHeight w:val="682"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61" w:lineRule="exact"/>
              <w:ind w:left="151"/>
              <w:rPr>
                <w:sz w:val="21"/>
              </w:rPr>
            </w:pPr>
            <w:r>
              <w:rPr>
                <w:sz w:val="21"/>
              </w:rPr>
              <w:t>书》；</w:t>
            </w:r>
          </w:p>
          <w:p>
            <w:pPr>
              <w:pStyle w:val="TableParagraph"/>
              <w:spacing w:before="20"/>
              <w:ind w:left="151"/>
              <w:rPr>
                <w:sz w:val="21"/>
              </w:rPr>
            </w:pPr>
            <w:r>
              <w:rPr>
                <w:sz w:val="21"/>
              </w:rPr>
              <w:t>(4)在二级或二级以上医院的相应科室从事临床工作三年以上。</w:t>
            </w:r>
          </w:p>
        </w:tc>
      </w:tr>
      <w:tr>
        <w:trPr>
          <w:trHeight w:val="384" w:hRule="atLeast"/>
        </w:trPr>
        <w:tc>
          <w:tcPr>
            <w:tcW w:w="610" w:type="dxa"/>
          </w:tcPr>
          <w:p>
            <w:pPr>
              <w:pStyle w:val="TableParagraph"/>
              <w:spacing w:before="54"/>
              <w:ind w:left="50"/>
              <w:rPr>
                <w:rFonts w:ascii="黑体"/>
                <w:sz w:val="21"/>
              </w:rPr>
            </w:pPr>
            <w:r>
              <w:rPr>
                <w:rFonts w:ascii="黑体"/>
                <w:sz w:val="21"/>
              </w:rPr>
              <w:t>9.11</w:t>
            </w:r>
          </w:p>
        </w:tc>
        <w:tc>
          <w:tcPr>
            <w:tcW w:w="1761" w:type="dxa"/>
          </w:tcPr>
          <w:p>
            <w:pPr>
              <w:pStyle w:val="TableParagraph"/>
              <w:spacing w:before="54"/>
              <w:ind w:left="138"/>
              <w:rPr>
                <w:rFonts w:ascii="黑体" w:eastAsia="黑体" w:hint="eastAsia"/>
                <w:sz w:val="21"/>
              </w:rPr>
            </w:pPr>
            <w:r>
              <w:rPr>
                <w:rFonts w:ascii="黑体" w:eastAsia="黑体" w:hint="eastAsia"/>
                <w:sz w:val="21"/>
              </w:rPr>
              <w:t>毒品</w:t>
            </w:r>
          </w:p>
        </w:tc>
        <w:tc>
          <w:tcPr>
            <w:tcW w:w="7260" w:type="dxa"/>
          </w:tcPr>
          <w:p>
            <w:pPr>
              <w:pStyle w:val="TableParagraph"/>
              <w:spacing w:before="54"/>
              <w:ind w:left="151"/>
              <w:rPr>
                <w:sz w:val="21"/>
              </w:rPr>
            </w:pPr>
            <w:r>
              <w:rPr>
                <w:sz w:val="21"/>
              </w:rPr>
              <w:t>指《中华人民共和国刑法》规定的鸦片、海洛因、甲基苯丙胺（冰毒）、吗</w:t>
            </w:r>
          </w:p>
        </w:tc>
      </w:tr>
      <w:tr>
        <w:trPr>
          <w:trHeight w:val="311"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啡、大麻、可卡因以及国家规定管制的其他能够使人形成瘾癖的麻醉药品和</w:t>
            </w:r>
          </w:p>
        </w:tc>
      </w:tr>
      <w:tr>
        <w:trPr>
          <w:trHeight w:val="311"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精神药品，但不包括由医生开具并遵医嘱使用的用于治疗疾病但含有毒品成</w:t>
            </w:r>
          </w:p>
        </w:tc>
      </w:tr>
      <w:tr>
        <w:trPr>
          <w:trHeight w:val="382"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分的处方药品。</w:t>
            </w:r>
          </w:p>
        </w:tc>
      </w:tr>
      <w:tr>
        <w:trPr>
          <w:trHeight w:val="382" w:hRule="atLeast"/>
        </w:trPr>
        <w:tc>
          <w:tcPr>
            <w:tcW w:w="610" w:type="dxa"/>
          </w:tcPr>
          <w:p>
            <w:pPr>
              <w:pStyle w:val="TableParagraph"/>
              <w:spacing w:before="53"/>
              <w:ind w:left="50"/>
              <w:rPr>
                <w:rFonts w:ascii="黑体"/>
                <w:sz w:val="21"/>
              </w:rPr>
            </w:pPr>
            <w:r>
              <w:rPr>
                <w:rFonts w:ascii="黑体"/>
                <w:sz w:val="21"/>
              </w:rPr>
              <w:t>9.12</w:t>
            </w:r>
          </w:p>
        </w:tc>
        <w:tc>
          <w:tcPr>
            <w:tcW w:w="1761" w:type="dxa"/>
          </w:tcPr>
          <w:p>
            <w:pPr>
              <w:pStyle w:val="TableParagraph"/>
              <w:spacing w:before="53"/>
              <w:ind w:left="138"/>
              <w:rPr>
                <w:rFonts w:ascii="黑体" w:eastAsia="黑体" w:hint="eastAsia"/>
                <w:sz w:val="21"/>
              </w:rPr>
            </w:pPr>
            <w:r>
              <w:rPr>
                <w:rFonts w:ascii="黑体" w:eastAsia="黑体" w:hint="eastAsia"/>
                <w:sz w:val="21"/>
              </w:rPr>
              <w:t>酒后驾驶</w:t>
            </w:r>
          </w:p>
        </w:tc>
        <w:tc>
          <w:tcPr>
            <w:tcW w:w="7260" w:type="dxa"/>
          </w:tcPr>
          <w:p>
            <w:pPr>
              <w:pStyle w:val="TableParagraph"/>
              <w:spacing w:before="53"/>
              <w:ind w:left="151"/>
              <w:rPr>
                <w:sz w:val="21"/>
              </w:rPr>
            </w:pPr>
            <w:r>
              <w:rPr>
                <w:sz w:val="21"/>
              </w:rPr>
              <w:t>指经检测或鉴定，发生事故时车辆驾驶人员每百毫升血液中的酒精含量达到</w:t>
            </w:r>
          </w:p>
        </w:tc>
      </w:tr>
      <w:tr>
        <w:trPr>
          <w:trHeight w:val="312"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或超过一定的标准，公安机关交通管理部门依据《道路交通安全法》的规定</w:t>
            </w:r>
          </w:p>
        </w:tc>
      </w:tr>
      <w:tr>
        <w:trPr>
          <w:trHeight w:val="382"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认定为饮酒后驾驶或醉酒后驾驶。</w:t>
            </w:r>
          </w:p>
        </w:tc>
      </w:tr>
      <w:tr>
        <w:trPr>
          <w:trHeight w:val="382" w:hRule="atLeast"/>
        </w:trPr>
        <w:tc>
          <w:tcPr>
            <w:tcW w:w="610" w:type="dxa"/>
          </w:tcPr>
          <w:p>
            <w:pPr>
              <w:pStyle w:val="TableParagraph"/>
              <w:spacing w:before="53"/>
              <w:ind w:left="50"/>
              <w:rPr>
                <w:rFonts w:ascii="黑体"/>
                <w:sz w:val="21"/>
              </w:rPr>
            </w:pPr>
            <w:r>
              <w:rPr>
                <w:rFonts w:ascii="黑体"/>
                <w:sz w:val="21"/>
              </w:rPr>
              <w:t>9.13</w:t>
            </w:r>
          </w:p>
        </w:tc>
        <w:tc>
          <w:tcPr>
            <w:tcW w:w="1761" w:type="dxa"/>
          </w:tcPr>
          <w:p>
            <w:pPr>
              <w:pStyle w:val="TableParagraph"/>
              <w:spacing w:before="53"/>
              <w:ind w:left="138"/>
              <w:rPr>
                <w:rFonts w:ascii="黑体" w:eastAsia="黑体" w:hint="eastAsia"/>
                <w:sz w:val="21"/>
              </w:rPr>
            </w:pPr>
            <w:r>
              <w:rPr>
                <w:rFonts w:ascii="黑体" w:eastAsia="黑体" w:hint="eastAsia"/>
                <w:sz w:val="21"/>
              </w:rPr>
              <w:t>无合法有效驾驶</w:t>
            </w:r>
          </w:p>
        </w:tc>
        <w:tc>
          <w:tcPr>
            <w:tcW w:w="7260" w:type="dxa"/>
          </w:tcPr>
          <w:p>
            <w:pPr>
              <w:pStyle w:val="TableParagraph"/>
              <w:spacing w:before="53"/>
              <w:ind w:left="151"/>
              <w:rPr>
                <w:sz w:val="21"/>
              </w:rPr>
            </w:pPr>
            <w:r>
              <w:rPr>
                <w:sz w:val="21"/>
              </w:rPr>
              <w:t>指下列情形之一：</w:t>
            </w:r>
          </w:p>
        </w:tc>
      </w:tr>
      <w:tr>
        <w:trPr>
          <w:trHeight w:val="312" w:hRule="atLeast"/>
        </w:trPr>
        <w:tc>
          <w:tcPr>
            <w:tcW w:w="610" w:type="dxa"/>
          </w:tcPr>
          <w:p>
            <w:pPr>
              <w:pStyle w:val="TableParagraph"/>
              <w:rPr>
                <w:rFonts w:ascii="Times New Roman"/>
                <w:sz w:val="20"/>
              </w:rPr>
            </w:pPr>
          </w:p>
        </w:tc>
        <w:tc>
          <w:tcPr>
            <w:tcW w:w="1761" w:type="dxa"/>
          </w:tcPr>
          <w:p>
            <w:pPr>
              <w:pStyle w:val="TableParagraph"/>
              <w:spacing w:line="257" w:lineRule="exact"/>
              <w:ind w:left="138"/>
              <w:rPr>
                <w:rFonts w:ascii="黑体" w:eastAsia="黑体" w:hint="eastAsia"/>
                <w:sz w:val="21"/>
              </w:rPr>
            </w:pPr>
            <w:r>
              <w:rPr>
                <w:rFonts w:ascii="黑体" w:eastAsia="黑体" w:hint="eastAsia"/>
                <w:sz w:val="21"/>
              </w:rPr>
              <w:t>证驾驶</w:t>
            </w:r>
          </w:p>
        </w:tc>
        <w:tc>
          <w:tcPr>
            <w:tcW w:w="7260" w:type="dxa"/>
          </w:tcPr>
          <w:p>
            <w:pPr>
              <w:pStyle w:val="TableParagraph"/>
              <w:spacing w:line="257" w:lineRule="exact"/>
              <w:ind w:left="151"/>
              <w:rPr>
                <w:sz w:val="21"/>
              </w:rPr>
            </w:pPr>
            <w:r>
              <w:rPr>
                <w:sz w:val="21"/>
              </w:rPr>
              <w:t>(1)没有取得驾驶资格；</w:t>
            </w:r>
          </w:p>
        </w:tc>
      </w:tr>
      <w:tr>
        <w:trPr>
          <w:trHeight w:val="311"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(2)驾驶与驾驶证准驾车型不相符合的车辆；</w:t>
            </w:r>
          </w:p>
        </w:tc>
      </w:tr>
      <w:tr>
        <w:trPr>
          <w:trHeight w:val="311"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(3)持审验不合格的驾驶证驾驶；</w:t>
            </w:r>
          </w:p>
        </w:tc>
      </w:tr>
      <w:tr>
        <w:trPr>
          <w:trHeight w:val="312"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(4)持学习驾驶证学习驾车时，无教练员随车指导，或不按指定时间、路线</w:t>
            </w:r>
          </w:p>
        </w:tc>
      </w:tr>
      <w:tr>
        <w:trPr>
          <w:trHeight w:val="382"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学习驾车。</w:t>
            </w:r>
          </w:p>
        </w:tc>
      </w:tr>
      <w:tr>
        <w:trPr>
          <w:trHeight w:val="382" w:hRule="atLeast"/>
        </w:trPr>
        <w:tc>
          <w:tcPr>
            <w:tcW w:w="610" w:type="dxa"/>
          </w:tcPr>
          <w:p>
            <w:pPr>
              <w:pStyle w:val="TableParagraph"/>
              <w:spacing w:before="53"/>
              <w:ind w:left="50"/>
              <w:rPr>
                <w:rFonts w:ascii="黑体"/>
                <w:sz w:val="21"/>
              </w:rPr>
            </w:pPr>
            <w:r>
              <w:rPr>
                <w:rFonts w:ascii="黑体"/>
                <w:sz w:val="21"/>
              </w:rPr>
              <w:t>9.14</w:t>
            </w:r>
          </w:p>
        </w:tc>
        <w:tc>
          <w:tcPr>
            <w:tcW w:w="1761" w:type="dxa"/>
          </w:tcPr>
          <w:p>
            <w:pPr>
              <w:pStyle w:val="TableParagraph"/>
              <w:spacing w:before="53"/>
              <w:ind w:left="138"/>
              <w:rPr>
                <w:rFonts w:ascii="黑体" w:eastAsia="黑体" w:hint="eastAsia"/>
                <w:sz w:val="21"/>
              </w:rPr>
            </w:pPr>
            <w:r>
              <w:rPr>
                <w:rFonts w:ascii="黑体" w:eastAsia="黑体" w:hint="eastAsia"/>
                <w:sz w:val="21"/>
              </w:rPr>
              <w:t>无有效行驶证</w:t>
            </w:r>
          </w:p>
        </w:tc>
        <w:tc>
          <w:tcPr>
            <w:tcW w:w="7260" w:type="dxa"/>
          </w:tcPr>
          <w:p>
            <w:pPr>
              <w:pStyle w:val="TableParagraph"/>
              <w:spacing w:before="53"/>
              <w:ind w:left="151"/>
              <w:rPr>
                <w:sz w:val="21"/>
              </w:rPr>
            </w:pPr>
            <w:r>
              <w:rPr>
                <w:sz w:val="21"/>
              </w:rPr>
              <w:t>指下列情形之一：</w:t>
            </w:r>
          </w:p>
        </w:tc>
      </w:tr>
      <w:tr>
        <w:trPr>
          <w:trHeight w:val="312"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(1)未取得行驶证；</w:t>
            </w:r>
          </w:p>
        </w:tc>
      </w:tr>
      <w:tr>
        <w:trPr>
          <w:trHeight w:val="311"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(2)机动车被依法注销登记的；</w:t>
            </w:r>
          </w:p>
        </w:tc>
      </w:tr>
      <w:tr>
        <w:trPr>
          <w:trHeight w:val="382"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(3)未依法按时进行或通过机动车安全技术检验。</w:t>
            </w:r>
          </w:p>
        </w:tc>
      </w:tr>
      <w:tr>
        <w:trPr>
          <w:trHeight w:val="382" w:hRule="atLeast"/>
        </w:trPr>
        <w:tc>
          <w:tcPr>
            <w:tcW w:w="610" w:type="dxa"/>
          </w:tcPr>
          <w:p>
            <w:pPr>
              <w:pStyle w:val="TableParagraph"/>
              <w:spacing w:before="53"/>
              <w:ind w:left="50"/>
              <w:rPr>
                <w:rFonts w:ascii="黑体"/>
                <w:sz w:val="21"/>
              </w:rPr>
            </w:pPr>
            <w:r>
              <w:rPr>
                <w:rFonts w:ascii="黑体"/>
                <w:sz w:val="21"/>
              </w:rPr>
              <w:t>9.15</w:t>
            </w:r>
          </w:p>
        </w:tc>
        <w:tc>
          <w:tcPr>
            <w:tcW w:w="1761" w:type="dxa"/>
          </w:tcPr>
          <w:p>
            <w:pPr>
              <w:pStyle w:val="TableParagraph"/>
              <w:spacing w:before="53"/>
              <w:ind w:left="138"/>
              <w:rPr>
                <w:rFonts w:ascii="黑体" w:eastAsia="黑体" w:hint="eastAsia"/>
                <w:sz w:val="21"/>
              </w:rPr>
            </w:pPr>
            <w:r>
              <w:rPr>
                <w:rFonts w:ascii="黑体" w:eastAsia="黑体" w:hint="eastAsia"/>
                <w:sz w:val="21"/>
              </w:rPr>
              <w:t>机动车</w:t>
            </w:r>
          </w:p>
        </w:tc>
        <w:tc>
          <w:tcPr>
            <w:tcW w:w="7260" w:type="dxa"/>
          </w:tcPr>
          <w:p>
            <w:pPr>
              <w:pStyle w:val="TableParagraph"/>
              <w:spacing w:before="53"/>
              <w:ind w:left="151"/>
              <w:rPr>
                <w:sz w:val="21"/>
              </w:rPr>
            </w:pPr>
            <w:r>
              <w:rPr>
                <w:sz w:val="21"/>
              </w:rPr>
              <w:t>指以动力装置驱动或者牵引，上道路行驶的供人员乘用或者用于运送物品以</w:t>
            </w:r>
          </w:p>
        </w:tc>
      </w:tr>
      <w:tr>
        <w:trPr>
          <w:trHeight w:val="382"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及进行工程专项作业的轮式车辆。</w:t>
            </w:r>
          </w:p>
        </w:tc>
      </w:tr>
      <w:tr>
        <w:trPr>
          <w:trHeight w:val="382" w:hRule="atLeast"/>
        </w:trPr>
        <w:tc>
          <w:tcPr>
            <w:tcW w:w="610" w:type="dxa"/>
          </w:tcPr>
          <w:p>
            <w:pPr>
              <w:pStyle w:val="TableParagraph"/>
              <w:spacing w:before="53"/>
              <w:ind w:left="50"/>
              <w:rPr>
                <w:rFonts w:ascii="黑体"/>
                <w:sz w:val="21"/>
              </w:rPr>
            </w:pPr>
            <w:r>
              <w:rPr>
                <w:rFonts w:ascii="黑体"/>
                <w:sz w:val="21"/>
              </w:rPr>
              <w:t>9.16</w:t>
            </w:r>
          </w:p>
        </w:tc>
        <w:tc>
          <w:tcPr>
            <w:tcW w:w="1761" w:type="dxa"/>
          </w:tcPr>
          <w:p>
            <w:pPr>
              <w:pStyle w:val="TableParagraph"/>
              <w:spacing w:before="53"/>
              <w:ind w:left="138"/>
              <w:rPr>
                <w:rFonts w:ascii="黑体" w:eastAsia="黑体" w:hint="eastAsia"/>
                <w:sz w:val="21"/>
              </w:rPr>
            </w:pPr>
            <w:r>
              <w:rPr>
                <w:rFonts w:ascii="黑体" w:eastAsia="黑体" w:hint="eastAsia"/>
                <w:sz w:val="21"/>
              </w:rPr>
              <w:t>遗传性疾病</w:t>
            </w:r>
          </w:p>
        </w:tc>
        <w:tc>
          <w:tcPr>
            <w:tcW w:w="7260" w:type="dxa"/>
          </w:tcPr>
          <w:p>
            <w:pPr>
              <w:pStyle w:val="TableParagraph"/>
              <w:spacing w:before="53"/>
              <w:ind w:left="151"/>
              <w:rPr>
                <w:sz w:val="21"/>
              </w:rPr>
            </w:pPr>
            <w:r>
              <w:rPr>
                <w:sz w:val="21"/>
              </w:rPr>
              <w:t>指生殖细胞或受精卵的遗传物质（染色体和基因）发生突变或畸变所引起的</w:t>
            </w:r>
          </w:p>
        </w:tc>
      </w:tr>
      <w:tr>
        <w:trPr>
          <w:trHeight w:val="383"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57" w:lineRule="exact"/>
              <w:ind w:left="151"/>
              <w:rPr>
                <w:sz w:val="21"/>
              </w:rPr>
            </w:pPr>
            <w:r>
              <w:rPr>
                <w:sz w:val="21"/>
              </w:rPr>
              <w:t>疾病，通常具有由亲代传至后代的垂直传递的特征。</w:t>
            </w:r>
          </w:p>
        </w:tc>
      </w:tr>
      <w:tr>
        <w:trPr>
          <w:trHeight w:val="730" w:hRule="atLeast"/>
        </w:trPr>
        <w:tc>
          <w:tcPr>
            <w:tcW w:w="610" w:type="dxa"/>
          </w:tcPr>
          <w:p>
            <w:pPr>
              <w:pStyle w:val="TableParagraph"/>
              <w:spacing w:before="54"/>
              <w:ind w:left="50"/>
              <w:rPr>
                <w:rFonts w:ascii="黑体"/>
                <w:sz w:val="21"/>
              </w:rPr>
            </w:pPr>
            <w:r>
              <w:rPr>
                <w:rFonts w:ascii="黑体"/>
                <w:sz w:val="21"/>
              </w:rPr>
              <w:t>9.17</w:t>
            </w:r>
          </w:p>
        </w:tc>
        <w:tc>
          <w:tcPr>
            <w:tcW w:w="1761" w:type="dxa"/>
          </w:tcPr>
          <w:p>
            <w:pPr>
              <w:pStyle w:val="TableParagraph"/>
              <w:spacing w:line="273" w:lineRule="auto" w:before="54"/>
              <w:ind w:left="138" w:right="146"/>
              <w:rPr>
                <w:rFonts w:ascii="黑体" w:eastAsia="黑体" w:hint="eastAsia"/>
                <w:sz w:val="21"/>
              </w:rPr>
            </w:pPr>
            <w:r>
              <w:rPr>
                <w:rFonts w:ascii="黑体" w:eastAsia="黑体" w:hint="eastAsia"/>
                <w:sz w:val="21"/>
              </w:rPr>
              <w:t>先天性畸形、变形或染色体异常</w:t>
            </w:r>
          </w:p>
        </w:tc>
        <w:tc>
          <w:tcPr>
            <w:tcW w:w="7260" w:type="dxa"/>
          </w:tcPr>
          <w:p>
            <w:pPr>
              <w:pStyle w:val="TableParagraph"/>
              <w:spacing w:line="278" w:lineRule="auto" w:before="78"/>
              <w:ind w:left="151" w:right="46"/>
              <w:rPr>
                <w:sz w:val="21"/>
              </w:rPr>
            </w:pPr>
            <w:r>
              <w:rPr>
                <w:spacing w:val="-3"/>
                <w:sz w:val="21"/>
              </w:rPr>
              <w:t>指被保险人出生时就具有的畸形、变形或染色体异常。先天性畸形、变形和</w:t>
            </w:r>
            <w:r>
              <w:rPr>
                <w:spacing w:val="13"/>
                <w:sz w:val="21"/>
              </w:rPr>
              <w:t>染色体异常依照世界卫生组织《疾病和有关健康问题的国际统计分类》</w:t>
            </w:r>
          </w:p>
        </w:tc>
      </w:tr>
      <w:tr>
        <w:trPr>
          <w:trHeight w:val="363"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61" w:lineRule="exact"/>
              <w:ind w:left="151"/>
              <w:rPr>
                <w:sz w:val="21"/>
              </w:rPr>
            </w:pPr>
            <w:r>
              <w:rPr>
                <w:sz w:val="21"/>
              </w:rPr>
              <w:t>（ICD-10）确定。</w:t>
            </w:r>
          </w:p>
        </w:tc>
      </w:tr>
      <w:tr>
        <w:trPr>
          <w:trHeight w:val="387" w:hRule="atLeast"/>
        </w:trPr>
        <w:tc>
          <w:tcPr>
            <w:tcW w:w="610" w:type="dxa"/>
          </w:tcPr>
          <w:p>
            <w:pPr>
              <w:pStyle w:val="TableParagraph"/>
              <w:spacing w:before="30"/>
              <w:ind w:left="50"/>
              <w:rPr>
                <w:rFonts w:ascii="黑体"/>
                <w:sz w:val="21"/>
              </w:rPr>
            </w:pPr>
            <w:r>
              <w:rPr>
                <w:rFonts w:ascii="黑体"/>
                <w:sz w:val="21"/>
              </w:rPr>
              <w:t>9.18</w:t>
            </w:r>
          </w:p>
        </w:tc>
        <w:tc>
          <w:tcPr>
            <w:tcW w:w="1761" w:type="dxa"/>
          </w:tcPr>
          <w:p>
            <w:pPr>
              <w:pStyle w:val="TableParagraph"/>
              <w:spacing w:before="54"/>
              <w:ind w:left="138"/>
              <w:rPr>
                <w:rFonts w:ascii="黑体" w:eastAsia="黑体" w:hint="eastAsia"/>
                <w:sz w:val="21"/>
              </w:rPr>
            </w:pPr>
            <w:r>
              <w:rPr>
                <w:rFonts w:ascii="黑体" w:eastAsia="黑体" w:hint="eastAsia"/>
                <w:sz w:val="21"/>
              </w:rPr>
              <w:t>感染艾滋病病毒</w:t>
            </w:r>
          </w:p>
        </w:tc>
        <w:tc>
          <w:tcPr>
            <w:tcW w:w="7260" w:type="dxa"/>
          </w:tcPr>
          <w:p>
            <w:pPr>
              <w:pStyle w:val="TableParagraph"/>
              <w:spacing w:before="54"/>
              <w:ind w:left="151"/>
              <w:rPr>
                <w:sz w:val="21"/>
              </w:rPr>
            </w:pPr>
            <w:r>
              <w:rPr>
                <w:sz w:val="21"/>
              </w:rPr>
              <w:t>艾滋病病毒指人类免疫缺陷病毒，英文缩写为 HIV。艾滋病指人类免疫缺陷</w:t>
            </w:r>
          </w:p>
        </w:tc>
      </w:tr>
      <w:tr>
        <w:trPr>
          <w:trHeight w:val="320" w:hRule="atLeast"/>
        </w:trPr>
        <w:tc>
          <w:tcPr>
            <w:tcW w:w="610" w:type="dxa"/>
          </w:tcPr>
          <w:p>
            <w:pPr>
              <w:pStyle w:val="TableParagraph"/>
              <w:rPr>
                <w:rFonts w:ascii="Times New Roman"/>
                <w:sz w:val="20"/>
              </w:rPr>
            </w:pPr>
          </w:p>
        </w:tc>
        <w:tc>
          <w:tcPr>
            <w:tcW w:w="1761" w:type="dxa"/>
          </w:tcPr>
          <w:p>
            <w:pPr>
              <w:pStyle w:val="TableParagraph"/>
              <w:spacing w:line="261" w:lineRule="exact"/>
              <w:ind w:left="138"/>
              <w:rPr>
                <w:rFonts w:ascii="黑体" w:eastAsia="黑体" w:hint="eastAsia"/>
                <w:sz w:val="21"/>
              </w:rPr>
            </w:pPr>
            <w:r>
              <w:rPr>
                <w:rFonts w:ascii="黑体" w:eastAsia="黑体" w:hint="eastAsia"/>
                <w:sz w:val="21"/>
              </w:rPr>
              <w:t>或患艾滋病</w:t>
            </w:r>
          </w:p>
        </w:tc>
        <w:tc>
          <w:tcPr>
            <w:tcW w:w="7260" w:type="dxa"/>
          </w:tcPr>
          <w:p>
            <w:pPr>
              <w:pStyle w:val="TableParagraph"/>
              <w:spacing w:line="261" w:lineRule="exact"/>
              <w:ind w:left="151"/>
              <w:rPr>
                <w:sz w:val="21"/>
              </w:rPr>
            </w:pPr>
            <w:r>
              <w:rPr>
                <w:sz w:val="21"/>
              </w:rPr>
              <w:t>病毒引起的获得性免疫缺陷综合征，英文缩写为 AIDS。</w:t>
            </w:r>
          </w:p>
        </w:tc>
      </w:tr>
      <w:tr>
        <w:trPr>
          <w:trHeight w:val="320"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62" w:lineRule="exact"/>
              <w:ind w:left="151"/>
              <w:rPr>
                <w:sz w:val="21"/>
              </w:rPr>
            </w:pPr>
            <w:r>
              <w:rPr>
                <w:sz w:val="21"/>
              </w:rPr>
              <w:t>在人体血液或其他样本中检测到艾滋病病毒或其抗体呈阳性，没有出现临床</w:t>
            </w:r>
          </w:p>
        </w:tc>
      </w:tr>
      <w:tr>
        <w:trPr>
          <w:trHeight w:val="319" w:hRule="atLeast"/>
        </w:trPr>
        <w:tc>
          <w:tcPr>
            <w:tcW w:w="610" w:type="dxa"/>
          </w:tcPr>
          <w:p>
            <w:pPr>
              <w:pStyle w:val="TableParagraph"/>
              <w:rPr>
                <w:rFonts w:ascii="Times New Roman"/>
                <w:sz w:val="20"/>
              </w:rPr>
            </w:pPr>
          </w:p>
        </w:tc>
        <w:tc>
          <w:tcPr>
            <w:tcW w:w="1761" w:type="dxa"/>
          </w:tcPr>
          <w:p>
            <w:pPr>
              <w:pStyle w:val="TableParagraph"/>
              <w:rPr>
                <w:rFonts w:ascii="Times New Roman"/>
                <w:sz w:val="20"/>
              </w:rPr>
            </w:pPr>
          </w:p>
        </w:tc>
        <w:tc>
          <w:tcPr>
            <w:tcW w:w="7260" w:type="dxa"/>
          </w:tcPr>
          <w:p>
            <w:pPr>
              <w:pStyle w:val="TableParagraph"/>
              <w:spacing w:line="261" w:lineRule="exact"/>
              <w:ind w:left="151"/>
              <w:rPr>
                <w:sz w:val="21"/>
              </w:rPr>
            </w:pPr>
            <w:r>
              <w:rPr>
                <w:spacing w:val="-11"/>
                <w:sz w:val="21"/>
              </w:rPr>
              <w:t>症状或体征的，为感染艾滋病病毒；如果同时出现了明显临床症状或体征的，</w:t>
            </w:r>
          </w:p>
        </w:tc>
      </w:tr>
      <w:tr>
        <w:trPr>
          <w:trHeight w:val="265" w:hRule="atLeast"/>
        </w:trPr>
        <w:tc>
          <w:tcPr>
            <w:tcW w:w="610" w:type="dxa"/>
          </w:tcPr>
          <w:p>
            <w:pPr>
              <w:pStyle w:val="TableParagraph"/>
              <w:rPr>
                <w:rFonts w:ascii="Times New Roman"/>
                <w:sz w:val="18"/>
              </w:rPr>
            </w:pPr>
          </w:p>
        </w:tc>
        <w:tc>
          <w:tcPr>
            <w:tcW w:w="1761" w:type="dxa"/>
          </w:tcPr>
          <w:p>
            <w:pPr>
              <w:pStyle w:val="TableParagraph"/>
              <w:rPr>
                <w:rFonts w:ascii="Times New Roman"/>
                <w:sz w:val="18"/>
              </w:rPr>
            </w:pPr>
          </w:p>
        </w:tc>
        <w:tc>
          <w:tcPr>
            <w:tcW w:w="7260" w:type="dxa"/>
          </w:tcPr>
          <w:p>
            <w:pPr>
              <w:pStyle w:val="TableParagraph"/>
              <w:spacing w:line="245" w:lineRule="exact"/>
              <w:ind w:left="151"/>
              <w:rPr>
                <w:sz w:val="21"/>
              </w:rPr>
            </w:pPr>
            <w:r>
              <w:rPr>
                <w:sz w:val="21"/>
              </w:rPr>
              <w:t>为患艾滋病。</w:t>
            </w:r>
          </w:p>
        </w:tc>
      </w:tr>
    </w:tbl>
    <w:p>
      <w:pPr>
        <w:pStyle w:val="BodyText"/>
        <w:spacing w:before="9"/>
        <w:ind w:left="0"/>
        <w:rPr>
          <w:sz w:val="12"/>
        </w:rPr>
      </w:pPr>
    </w:p>
    <w:p>
      <w:pPr>
        <w:pStyle w:val="Heading1"/>
        <w:spacing w:line="240" w:lineRule="auto" w:before="37"/>
        <w:ind w:left="160"/>
        <w:rPr>
          <w:rFonts w:ascii="楷体" w:eastAsia="楷体" w:hint="eastAsia"/>
        </w:rPr>
      </w:pPr>
      <w:r>
        <w:rPr>
          <w:rFonts w:ascii="楷体" w:eastAsia="楷体" w:hint="eastAsia"/>
        </w:rPr>
        <w:t>附件 1：重大疾病、特定疾病的范围及定义</w:t>
      </w:r>
    </w:p>
    <w:p>
      <w:pPr>
        <w:pStyle w:val="BodyText"/>
        <w:spacing w:line="280" w:lineRule="auto" w:before="104"/>
        <w:ind w:left="2572" w:right="257" w:hanging="1954"/>
        <w:jc w:val="both"/>
      </w:pPr>
      <w:r>
        <w:rPr>
          <w:b/>
        </w:rPr>
        <w:t>少儿重大疾病      </w:t>
      </w:r>
      <w:r>
        <w:rPr/>
        <w:t>指被保险人初次发生符合下列定义的疾病，或初次接受符合下列所定义的手术。该疾病或手术由专科医生明确诊断。以下是本合同所附三十种少儿重大疾病的定义，其中第一种至第二十二种重大疾病是中国保险行业协会制定的</w:t>
      </w:r>
    </w:p>
    <w:p>
      <w:pPr>
        <w:pStyle w:val="BodyText"/>
        <w:spacing w:line="280" w:lineRule="auto" w:before="8"/>
        <w:ind w:left="2572" w:right="257"/>
        <w:jc w:val="both"/>
      </w:pPr>
      <w:r>
        <w:rPr/>
        <w:t>《重大疾病保险的疾病定义使用规范》中列明的疾病，第二十三种至第三十种重大疾病是我们在上述《重大疾病保险的疾病定义使用规范》定义的疾病范围之外增加的疾病。</w:t>
      </w:r>
    </w:p>
    <w:p>
      <w:pPr>
        <w:spacing w:after="0" w:line="280" w:lineRule="auto"/>
        <w:jc w:val="both"/>
        <w:sectPr>
          <w:pgSz w:w="11910" w:h="16840"/>
          <w:pgMar w:top="1480" w:bottom="280" w:left="1080" w:right="980"/>
        </w:sectPr>
      </w:pPr>
    </w:p>
    <w:p>
      <w:pPr>
        <w:pStyle w:val="BodyText"/>
        <w:spacing w:before="12"/>
      </w:pPr>
      <w:r>
        <w:rPr/>
        <w:t>（一）恶性肿瘤</w:t>
      </w:r>
    </w:p>
    <w:p>
      <w:pPr>
        <w:pStyle w:val="BodyText"/>
        <w:spacing w:line="278" w:lineRule="auto"/>
        <w:ind w:right="194"/>
        <w:jc w:val="both"/>
      </w:pPr>
      <w:r>
        <w:rPr>
          <w:spacing w:val="-3"/>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4"/>
        </w:rPr>
        <w:t>类》</w:t>
      </w:r>
      <w:r>
        <w:rPr>
          <w:spacing w:val="-1"/>
        </w:rPr>
        <w:t>（ICD-10）</w:t>
      </w:r>
      <w:r>
        <w:rPr>
          <w:spacing w:val="-3"/>
        </w:rPr>
        <w:t>的恶性肿瘤范畴。</w:t>
      </w:r>
    </w:p>
    <w:p>
      <w:pPr>
        <w:pStyle w:val="BodyText"/>
        <w:spacing w:before="10"/>
      </w:pPr>
      <w:r>
        <w:rPr>
          <w:shd w:fill="D9D9D9" w:color="auto" w:val="clear"/>
        </w:rPr>
        <w:t>下列疾病不在保障范围内：</w:t>
      </w:r>
    </w:p>
    <w:p>
      <w:pPr>
        <w:pStyle w:val="BodyText"/>
        <w:spacing w:before="46"/>
      </w:pPr>
      <w:r>
        <w:rPr>
          <w:shd w:fill="D9D9D9" w:color="auto" w:val="clear"/>
        </w:rPr>
        <w:t>(1)原位癌；</w:t>
      </w:r>
    </w:p>
    <w:p>
      <w:pPr>
        <w:pStyle w:val="BodyText"/>
      </w:pPr>
      <w:r>
        <w:rPr>
          <w:shd w:fill="D9D9D9" w:color="auto" w:val="clear"/>
        </w:rPr>
        <w:t>(2)相当于Binet 分期方案 A 期程度的慢性淋巴细胞白血病；</w:t>
      </w:r>
    </w:p>
    <w:p>
      <w:pPr>
        <w:pStyle w:val="BodyText"/>
      </w:pPr>
      <w:r>
        <w:rPr>
          <w:shd w:fill="D9D9D9" w:color="auto" w:val="clear"/>
        </w:rPr>
        <w:t>(3)相当于Ann Arbor 分期方案 I 期程度的何杰金氏病；</w:t>
      </w:r>
    </w:p>
    <w:p>
      <w:pPr>
        <w:pStyle w:val="BodyText"/>
        <w:spacing w:line="278" w:lineRule="auto" w:before="47"/>
        <w:ind w:right="1104"/>
      </w:pPr>
      <w:r>
        <w:rPr>
          <w:w w:val="100"/>
          <w:shd w:fill="D9D9D9" w:color="auto" w:val="clear"/>
        </w:rPr>
        <w:t>(4)</w:t>
      </w:r>
      <w:r>
        <w:rPr>
          <w:spacing w:val="-3"/>
          <w:w w:val="100"/>
          <w:shd w:fill="D9D9D9" w:color="auto" w:val="clear"/>
        </w:rPr>
        <w:t>皮肤癌</w:t>
      </w:r>
      <w:r>
        <w:rPr>
          <w:w w:val="100"/>
          <w:shd w:fill="D9D9D9" w:color="auto" w:val="clear"/>
        </w:rPr>
        <w:t>（</w:t>
      </w:r>
      <w:r>
        <w:rPr>
          <w:spacing w:val="-3"/>
          <w:w w:val="100"/>
          <w:shd w:fill="D9D9D9" w:color="auto" w:val="clear"/>
        </w:rPr>
        <w:t>不包括恶性黑色素瘤及已发生转移的皮肤癌</w:t>
      </w:r>
      <w:r>
        <w:rPr>
          <w:spacing w:val="-108"/>
          <w:w w:val="100"/>
          <w:shd w:fill="D9D9D9" w:color="auto" w:val="clear"/>
        </w:rPr>
        <w:t>）</w:t>
      </w:r>
      <w:r>
        <w:rPr>
          <w:w w:val="100"/>
          <w:shd w:fill="D9D9D9" w:color="auto" w:val="clear"/>
        </w:rPr>
        <w:t>；</w:t>
      </w:r>
      <w:r>
        <w:rPr>
          <w:w w:val="100"/>
        </w:rPr>
        <w:t> </w:t>
      </w:r>
      <w:r>
        <w:rPr>
          <w:shd w:fill="D9D9D9" w:color="auto" w:val="clear"/>
        </w:rPr>
        <w:t>(5)TNM</w:t>
      </w:r>
      <w:r>
        <w:rPr>
          <w:spacing w:val="-21"/>
          <w:shd w:fill="D9D9D9" w:color="auto" w:val="clear"/>
        </w:rPr>
        <w:t> 分期为 </w:t>
      </w:r>
      <w:r>
        <w:rPr>
          <w:shd w:fill="D9D9D9" w:color="auto" w:val="clear"/>
        </w:rPr>
        <w:t>T1N0M0</w:t>
      </w:r>
      <w:r>
        <w:rPr>
          <w:spacing w:val="-8"/>
          <w:shd w:fill="D9D9D9" w:color="auto" w:val="clear"/>
        </w:rPr>
        <w:t> 期或更轻分期的前列腺癌；</w:t>
      </w:r>
    </w:p>
    <w:p>
      <w:pPr>
        <w:pStyle w:val="BodyText"/>
        <w:spacing w:before="11"/>
      </w:pPr>
      <w:r>
        <w:rPr>
          <w:shd w:fill="D9D9D9" w:color="auto" w:val="clear"/>
        </w:rPr>
        <w:t>(6)感染艾滋病病毒或患艾滋病期间所患恶性肿瘤。</w:t>
      </w:r>
    </w:p>
    <w:p>
      <w:pPr>
        <w:pStyle w:val="BodyText"/>
        <w:spacing w:before="5"/>
        <w:ind w:left="0"/>
        <w:rPr>
          <w:sz w:val="14"/>
        </w:rPr>
      </w:pPr>
    </w:p>
    <w:p>
      <w:pPr>
        <w:pStyle w:val="BodyText"/>
        <w:spacing w:before="0"/>
      </w:pPr>
      <w:r>
        <w:rPr/>
        <w:t>（二）脑中风后遗症</w:t>
      </w:r>
    </w:p>
    <w:p>
      <w:pPr>
        <w:pStyle w:val="BodyText"/>
        <w:spacing w:line="280" w:lineRule="auto"/>
        <w:ind w:right="113"/>
        <w:jc w:val="both"/>
      </w:pPr>
      <w:r>
        <w:rPr/>
        <w:t>指因脑血管的突发病变引起脑血管出血、栓塞或梗塞，并导致神经系统永久</w:t>
      </w:r>
      <w:r>
        <w:rPr>
          <w:spacing w:val="-3"/>
        </w:rPr>
        <w:t>性的功能障碍。神经系统永久性的功能障碍，指疾病确诊 </w:t>
      </w:r>
      <w:r>
        <w:rPr/>
        <w:t>180</w:t>
      </w:r>
      <w:r>
        <w:rPr>
          <w:spacing w:val="-2"/>
        </w:rPr>
        <w:t> 天后，仍遗留</w:t>
      </w:r>
      <w:r>
        <w:rPr>
          <w:spacing w:val="-3"/>
        </w:rPr>
        <w:t>下列一种或一种以上障碍：</w:t>
      </w:r>
    </w:p>
    <w:p>
      <w:pPr>
        <w:spacing w:before="9"/>
        <w:ind w:left="1972" w:right="0" w:firstLine="0"/>
        <w:jc w:val="left"/>
        <w:rPr>
          <w:sz w:val="21"/>
        </w:rPr>
      </w:pPr>
      <w:r>
        <w:rPr>
          <w:sz w:val="21"/>
        </w:rPr>
        <w:t>(1)一肢或一肢以上</w:t>
      </w:r>
      <w:r>
        <w:rPr>
          <w:b/>
          <w:sz w:val="21"/>
        </w:rPr>
        <w:t>肢体机能完全丧失</w:t>
      </w:r>
      <w:r>
        <w:rPr>
          <w:sz w:val="21"/>
        </w:rPr>
        <w:t>；</w:t>
      </w:r>
    </w:p>
    <w:p>
      <w:pPr>
        <w:spacing w:before="47"/>
        <w:ind w:left="1972" w:right="0" w:firstLine="0"/>
        <w:jc w:val="left"/>
        <w:rPr>
          <w:sz w:val="21"/>
        </w:rPr>
      </w:pPr>
      <w:r>
        <w:rPr>
          <w:sz w:val="21"/>
        </w:rPr>
        <w:t>(2)</w:t>
      </w:r>
      <w:r>
        <w:rPr>
          <w:b/>
          <w:sz w:val="21"/>
        </w:rPr>
        <w:t>语言能力或咀嚼吞咽能力完全丧失</w:t>
      </w:r>
      <w:r>
        <w:rPr>
          <w:sz w:val="21"/>
        </w:rPr>
        <w:t>；</w:t>
      </w:r>
    </w:p>
    <w:p>
      <w:pPr>
        <w:spacing w:line="278" w:lineRule="auto" w:before="44"/>
        <w:ind w:left="1972" w:right="64"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54"/>
      </w:pPr>
      <w:r>
        <w:rPr/>
        <w:t>（三）重大器官移植术或造血干细胞移植术</w:t>
      </w:r>
    </w:p>
    <w:p>
      <w:pPr>
        <w:pStyle w:val="BodyText"/>
        <w:spacing w:line="280" w:lineRule="auto"/>
        <w:ind w:right="194"/>
      </w:pPr>
      <w:r>
        <w:rPr/>
        <w:t>重大器官移植术，指因相应器官功能衰竭，已经实施了肾脏、肝脏、心脏或肺脏的异体移植手术。</w:t>
      </w:r>
    </w:p>
    <w:p>
      <w:pPr>
        <w:pStyle w:val="BodyText"/>
        <w:spacing w:line="280" w:lineRule="auto" w:before="8"/>
        <w:ind w:right="194"/>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49"/>
      </w:pPr>
      <w:r>
        <w:rPr/>
        <w:t>（四）冠状动脉搭桥术（或称冠状动脉旁路移植术）</w:t>
      </w:r>
    </w:p>
    <w:p>
      <w:pPr>
        <w:pStyle w:val="BodyText"/>
        <w:spacing w:line="280" w:lineRule="auto"/>
        <w:ind w:right="193"/>
      </w:pPr>
      <w:r>
        <w:rPr/>
        <w:t>指为治疗严重的冠心病，实际实施了开胸进行的冠状动脉血管旁路移植的手术。</w:t>
      </w:r>
    </w:p>
    <w:p>
      <w:pPr>
        <w:pStyle w:val="BodyText"/>
        <w:spacing w:line="278" w:lineRule="auto" w:before="8"/>
        <w:ind w:right="194"/>
      </w:pPr>
      <w:r>
        <w:rPr>
          <w:spacing w:val="-3"/>
          <w:shd w:fill="D9D9D9" w:color="auto" w:val="clear"/>
        </w:rPr>
        <w:t>冠状动脉支架植入术、心导管球囊扩张术、激光射频技术及其他非开胸的介</w:t>
      </w:r>
      <w:r>
        <w:rPr>
          <w:spacing w:val="-210"/>
          <w:shd w:fill="D9D9D9" w:color="auto" w:val="clear"/>
        </w:rPr>
        <w:t>入</w:t>
      </w:r>
      <w:r>
        <w:rPr>
          <w:spacing w:val="-3"/>
          <w:shd w:fill="D9D9D9" w:color="auto" w:val="clear"/>
        </w:rPr>
        <w:t>手术、腔镜手术不在保障范围内。</w:t>
      </w:r>
    </w:p>
    <w:p>
      <w:pPr>
        <w:pStyle w:val="BodyText"/>
        <w:spacing w:before="154"/>
      </w:pPr>
      <w:r>
        <w:rPr/>
        <w:t>（五）终末期肾病（或称慢性肾功能衰竭尿毒症期）</w:t>
      </w:r>
    </w:p>
    <w:p>
      <w:pPr>
        <w:pStyle w:val="BodyText"/>
        <w:spacing w:line="280" w:lineRule="auto"/>
        <w:ind w:right="83"/>
      </w:pPr>
      <w:r>
        <w:rPr/>
        <w:t>指双肾功能慢性不可逆性衰竭，达到尿毒症期，经诊断后已经进行了至少 90 天的规律性透析治疗或实施了肾脏移植手术。</w:t>
      </w:r>
    </w:p>
    <w:p>
      <w:pPr>
        <w:pStyle w:val="BodyText"/>
        <w:spacing w:before="150"/>
      </w:pPr>
      <w:r>
        <w:rPr/>
        <w:t>（六）多个肢体缺失</w:t>
      </w:r>
    </w:p>
    <w:p>
      <w:pPr>
        <w:pStyle w:val="BodyText"/>
        <w:spacing w:line="280" w:lineRule="auto"/>
        <w:ind w:right="194"/>
      </w:pPr>
      <w:r>
        <w:rPr/>
        <w:t>指因疾病或意外伤害导致两个或两个以上肢体自腕关节或踝关节近端（靠近躯干端）以上完全性断离。</w:t>
      </w:r>
    </w:p>
    <w:p>
      <w:pPr>
        <w:pStyle w:val="BodyText"/>
        <w:spacing w:before="149"/>
      </w:pPr>
      <w:r>
        <w:rPr/>
        <w:t>（七）急性或亚急性重症肝炎</w:t>
      </w:r>
    </w:p>
    <w:p>
      <w:pPr>
        <w:pStyle w:val="BodyText"/>
        <w:spacing w:line="278" w:lineRule="auto" w:before="46"/>
        <w:ind w:right="194"/>
      </w:pPr>
      <w:r>
        <w:rPr/>
        <w:t>指因肝炎病毒感染引起肝脏组织弥漫性坏死，导致急性肝功能衰竭，且经血清学或病毒学检查证实，并须满足下列全部条件：</w:t>
      </w:r>
    </w:p>
    <w:p>
      <w:pPr>
        <w:pStyle w:val="BodyText"/>
        <w:spacing w:before="10"/>
      </w:pPr>
      <w:r>
        <w:rPr/>
        <w:t>(1)重度黄疸或黄疸迅速加重；</w:t>
      </w:r>
    </w:p>
    <w:p>
      <w:pPr>
        <w:spacing w:after="0"/>
        <w:sectPr>
          <w:pgSz w:w="11910" w:h="16840"/>
          <w:pgMar w:top="1400" w:bottom="280" w:left="1680" w:right="1120"/>
        </w:sectPr>
      </w:pPr>
    </w:p>
    <w:p>
      <w:pPr>
        <w:pStyle w:val="BodyText"/>
        <w:spacing w:before="12"/>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5"/>
        <w:ind w:left="0"/>
        <w:rPr>
          <w:sz w:val="14"/>
        </w:rPr>
      </w:pPr>
    </w:p>
    <w:p>
      <w:pPr>
        <w:pStyle w:val="BodyText"/>
        <w:spacing w:before="0"/>
      </w:pPr>
      <w:r>
        <w:rPr/>
        <w:t>（八）良性脑肿瘤</w:t>
      </w:r>
    </w:p>
    <w:p>
      <w:pPr>
        <w:pStyle w:val="BodyText"/>
        <w:spacing w:line="278" w:lineRule="auto"/>
        <w:ind w:right="113"/>
      </w:pPr>
      <w:r>
        <w:rPr>
          <w:spacing w:val="-3"/>
        </w:rPr>
        <w:t>指脑的良性肿瘤，已经引起颅内压增高，临床表现为视神经乳头水肿、精神</w:t>
      </w:r>
      <w:r>
        <w:rPr>
          <w:spacing w:val="-6"/>
          <w:w w:val="100"/>
        </w:rPr>
        <w:t>症状、癫痫及运动感觉障碍等，并危及生命。须由头颅断层扫描</w:t>
      </w:r>
      <w:r>
        <w:rPr>
          <w:spacing w:val="-3"/>
          <w:w w:val="100"/>
        </w:rPr>
        <w:t>（</w:t>
      </w:r>
      <w:r>
        <w:rPr>
          <w:w w:val="100"/>
        </w:rPr>
        <w:t>CT</w:t>
      </w:r>
      <w:r>
        <w:rPr>
          <w:spacing w:val="-106"/>
          <w:w w:val="100"/>
        </w:rPr>
        <w:t>）</w:t>
      </w:r>
      <w:r>
        <w:rPr>
          <w:spacing w:val="-3"/>
          <w:w w:val="100"/>
        </w:rPr>
        <w:t>、核磁</w:t>
      </w:r>
      <w:r>
        <w:rPr>
          <w:spacing w:val="-3"/>
        </w:rPr>
        <w:t>共振检查</w:t>
      </w:r>
      <w:r>
        <w:rPr/>
        <w:t>（MRI）</w:t>
      </w:r>
      <w:r>
        <w:rPr>
          <w:spacing w:val="-3"/>
        </w:rPr>
        <w:t>或正电子发射断层扫描</w:t>
      </w:r>
      <w:r>
        <w:rPr/>
        <w:t>（PET）</w:t>
      </w:r>
      <w:r>
        <w:rPr>
          <w:spacing w:val="-3"/>
        </w:rPr>
        <w:t>等影像学检查证实，并须满足下列至少一项条件：</w:t>
      </w:r>
    </w:p>
    <w:p>
      <w:pPr>
        <w:pStyle w:val="BodyText"/>
        <w:spacing w:before="13"/>
      </w:pPr>
      <w:r>
        <w:rPr/>
        <w:t>(1)实际实施了开颅进行的脑肿瘤完全切除或部分切除的手术；</w:t>
      </w:r>
    </w:p>
    <w:p>
      <w:pPr>
        <w:pStyle w:val="BodyText"/>
      </w:pPr>
      <w:r>
        <w:rPr/>
        <w:t>(2)实际实施了对脑肿瘤进行的放射治疗。</w:t>
      </w:r>
    </w:p>
    <w:p>
      <w:pPr>
        <w:pStyle w:val="BodyText"/>
      </w:pPr>
      <w:r>
        <w:rPr>
          <w:shd w:fill="D9D9D9" w:color="auto" w:val="clear"/>
        </w:rPr>
        <w:t>脑垂体瘤、脑囊肿、脑血管性疾病不在保障范围内。</w:t>
      </w:r>
    </w:p>
    <w:p>
      <w:pPr>
        <w:pStyle w:val="BodyText"/>
        <w:spacing w:before="4"/>
        <w:ind w:left="0"/>
        <w:rPr>
          <w:sz w:val="14"/>
        </w:rPr>
      </w:pPr>
    </w:p>
    <w:p>
      <w:pPr>
        <w:pStyle w:val="BodyText"/>
        <w:spacing w:before="1"/>
      </w:pPr>
      <w:r>
        <w:rPr/>
        <w:t>（九）慢性肝功能衰竭失代偿期</w:t>
      </w:r>
    </w:p>
    <w:p>
      <w:pPr>
        <w:pStyle w:val="BodyText"/>
      </w:pPr>
      <w:r>
        <w:rPr/>
        <w:t>指因慢性肝脏疾病导致肝功能衰竭。须满足下列全部条件：</w:t>
      </w:r>
    </w:p>
    <w:p>
      <w:pPr>
        <w:pStyle w:val="BodyText"/>
        <w:spacing w:before="46"/>
      </w:pPr>
      <w:r>
        <w:rPr/>
        <w:t>(1)持续性黄疸；</w:t>
      </w:r>
    </w:p>
    <w:p>
      <w:pPr>
        <w:pStyle w:val="BodyText"/>
      </w:pPr>
      <w:r>
        <w:rPr/>
        <w:t>(2)腹水；</w:t>
      </w:r>
    </w:p>
    <w:p>
      <w:pPr>
        <w:pStyle w:val="BodyText"/>
      </w:pPr>
      <w:r>
        <w:rPr/>
        <w:t>(3)肝性脑病；</w:t>
      </w:r>
    </w:p>
    <w:p>
      <w:pPr>
        <w:pStyle w:val="BodyText"/>
        <w:spacing w:line="278" w:lineRule="auto" w:before="46"/>
        <w:ind w:right="2085"/>
      </w:pPr>
      <w:r>
        <w:rPr/>
        <w:t>(4)充血性脾肿大伴脾功能亢进或食管胃底静脉曲张。</w:t>
      </w:r>
      <w:r>
        <w:rPr>
          <w:shd w:fill="D9D9D9" w:color="auto" w:val="clear"/>
        </w:rPr>
        <w:t>因酗酒或药物滥用导致的肝功能衰竭不在保障范围内。</w:t>
      </w:r>
    </w:p>
    <w:p>
      <w:pPr>
        <w:pStyle w:val="BodyText"/>
        <w:spacing w:before="152"/>
      </w:pPr>
      <w:r>
        <w:rPr/>
        <w:t>（十）脑炎后遗症或脑膜炎后遗症</w:t>
      </w:r>
    </w:p>
    <w:p>
      <w:pPr>
        <w:pStyle w:val="BodyText"/>
        <w:spacing w:line="278" w:lineRule="auto" w:before="46"/>
        <w:ind w:right="194"/>
      </w:pPr>
      <w:r>
        <w:rPr/>
        <w:t>指因患脑炎或脑膜炎导致的神经系统永久性的功能障碍。神经系统永久性的功能障碍，指疾病确诊 180 天后，仍遗留下列一种或一种以上障碍：</w:t>
      </w:r>
    </w:p>
    <w:p>
      <w:pPr>
        <w:pStyle w:val="BodyText"/>
        <w:spacing w:before="10"/>
      </w:pPr>
      <w:r>
        <w:rPr/>
        <w:t>(1)一肢或一肢以上肢体机能完全丧失；</w:t>
      </w:r>
    </w:p>
    <w:p>
      <w:pPr>
        <w:pStyle w:val="BodyText"/>
        <w:spacing w:before="46"/>
      </w:pPr>
      <w:r>
        <w:rPr/>
        <w:t>(2)语言能力或咀嚼吞咽能力完全丧失；</w:t>
      </w:r>
    </w:p>
    <w:p>
      <w:pPr>
        <w:pStyle w:val="BodyText"/>
        <w:spacing w:line="278" w:lineRule="auto" w:before="43"/>
        <w:ind w:right="79"/>
      </w:pPr>
      <w:r>
        <w:rPr/>
        <w:t>(3)自主生活能力完全丧失，无法独立完成六项基本日常生活活动中的三项或三项以上。</w:t>
      </w:r>
    </w:p>
    <w:p>
      <w:pPr>
        <w:pStyle w:val="BodyText"/>
        <w:spacing w:before="154"/>
      </w:pPr>
      <w:r>
        <w:rPr/>
        <w:t>（十一）深度昏迷</w:t>
      </w:r>
    </w:p>
    <w:p>
      <w:pPr>
        <w:pStyle w:val="BodyText"/>
        <w:spacing w:line="280" w:lineRule="auto"/>
        <w:ind w:right="194"/>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6"/>
        </w:rPr>
        <w:t> 分或 </w:t>
      </w:r>
      <w:r>
        <w:rPr/>
        <w:t>5</w:t>
      </w:r>
      <w:r>
        <w:rPr>
          <w:spacing w:val="-12"/>
        </w:rPr>
        <w:t> 分以下， </w:t>
      </w:r>
      <w:r>
        <w:rPr>
          <w:spacing w:val="-8"/>
        </w:rPr>
        <w:t>且已经持续使用呼吸机及其他生命维持系统 </w:t>
      </w:r>
      <w:r>
        <w:rPr/>
        <w:t>96</w:t>
      </w:r>
      <w:r>
        <w:rPr>
          <w:spacing w:val="-9"/>
        </w:rPr>
        <w:t> 小时以上。</w:t>
      </w:r>
    </w:p>
    <w:p>
      <w:pPr>
        <w:pStyle w:val="BodyText"/>
        <w:spacing w:before="8"/>
      </w:pPr>
      <w:r>
        <w:rPr>
          <w:shd w:fill="D9D9D9" w:color="auto" w:val="clear"/>
        </w:rPr>
        <w:t>因酗酒或药物滥用导致的深度昏迷不在保障范围内。</w:t>
      </w:r>
    </w:p>
    <w:p>
      <w:pPr>
        <w:pStyle w:val="BodyText"/>
        <w:spacing w:before="4"/>
        <w:ind w:left="0"/>
        <w:rPr>
          <w:sz w:val="14"/>
        </w:rPr>
      </w:pPr>
    </w:p>
    <w:p>
      <w:pPr>
        <w:pStyle w:val="BodyText"/>
        <w:spacing w:before="0"/>
      </w:pPr>
      <w:r>
        <w:rPr/>
        <w:t>（十二）双耳失聪</w:t>
      </w:r>
    </w:p>
    <w:p>
      <w:pPr>
        <w:pStyle w:val="BodyText"/>
        <w:spacing w:line="280" w:lineRule="auto" w:before="43"/>
        <w:ind w:right="141"/>
        <w:jc w:val="both"/>
      </w:pPr>
      <w:r>
        <w:rPr>
          <w:spacing w:val="-3"/>
        </w:rPr>
        <w:t>指因疾病或意外伤害导致双耳听力</w:t>
      </w:r>
      <w:r>
        <w:rPr>
          <w:b/>
        </w:rPr>
        <w:t>永久不可逆</w:t>
      </w:r>
      <w:r>
        <w:rPr>
          <w:spacing w:val="-10"/>
        </w:rPr>
        <w:t>性丧失，在 </w:t>
      </w:r>
      <w:r>
        <w:rPr/>
        <w:t>500</w:t>
      </w:r>
      <w:r>
        <w:rPr>
          <w:spacing w:val="-13"/>
        </w:rPr>
        <w:t> 赫兹、</w:t>
      </w:r>
      <w:r>
        <w:rPr/>
        <w:t>1000</w:t>
      </w:r>
      <w:r>
        <w:rPr>
          <w:spacing w:val="-23"/>
        </w:rPr>
        <w:t> 赫</w:t>
      </w:r>
      <w:r>
        <w:rPr>
          <w:spacing w:val="-31"/>
        </w:rPr>
        <w:t>兹和 </w:t>
      </w:r>
      <w:r>
        <w:rPr/>
        <w:t>2000</w:t>
      </w:r>
      <w:r>
        <w:rPr>
          <w:spacing w:val="-11"/>
        </w:rPr>
        <w:t> 赫兹语音频率下，平均听阈大于 </w:t>
      </w:r>
      <w:r>
        <w:rPr/>
        <w:t>90</w:t>
      </w:r>
      <w:r>
        <w:rPr>
          <w:spacing w:val="-8"/>
        </w:rPr>
        <w:t> 分贝，且经纯音听力测试、声</w:t>
      </w:r>
      <w:r>
        <w:rPr>
          <w:spacing w:val="-5"/>
        </w:rPr>
        <w:t>导抗检测或听觉诱发电位检测等证实。</w:t>
      </w:r>
    </w:p>
    <w:p>
      <w:pPr>
        <w:pStyle w:val="BodyText"/>
        <w:spacing w:before="149"/>
      </w:pPr>
      <w:r>
        <w:rPr/>
        <w:t>（十三）双目失明</w:t>
      </w:r>
    </w:p>
    <w:p>
      <w:pPr>
        <w:pStyle w:val="BodyText"/>
        <w:spacing w:line="278" w:lineRule="auto" w:before="46"/>
        <w:ind w:right="194"/>
      </w:pPr>
      <w:r>
        <w:rPr/>
        <w:t>指因疾病或意外伤害导致双眼视力永久不可逆性丧失，双眼中较好眼须满足下列至少一项条件：</w:t>
      </w:r>
    </w:p>
    <w:p>
      <w:pPr>
        <w:pStyle w:val="BodyText"/>
        <w:spacing w:before="10"/>
      </w:pPr>
      <w:r>
        <w:rPr/>
        <w:t>(1)眼球缺失或摘除；</w:t>
      </w:r>
    </w:p>
    <w:p>
      <w:pPr>
        <w:pStyle w:val="BodyText"/>
        <w:spacing w:line="278" w:lineRule="auto" w:before="46"/>
        <w:ind w:right="112"/>
      </w:pPr>
      <w:r>
        <w:rPr/>
        <w:t>(2)</w:t>
      </w:r>
      <w:r>
        <w:rPr>
          <w:spacing w:val="-6"/>
        </w:rPr>
        <w:t>矫正视力低于 </w:t>
      </w:r>
      <w:r>
        <w:rPr>
          <w:spacing w:val="-9"/>
        </w:rPr>
        <w:t>0.02（</w:t>
      </w:r>
      <w:r>
        <w:rPr>
          <w:spacing w:val="-7"/>
        </w:rPr>
        <w:t>采用国际标准视力表，如果使用其他视力表应进行换</w:t>
      </w:r>
      <w:r>
        <w:rPr>
          <w:spacing w:val="-7"/>
          <w:w w:val="100"/>
        </w:rPr>
        <w:t>算</w:t>
      </w:r>
      <w:r>
        <w:rPr>
          <w:spacing w:val="-106"/>
          <w:w w:val="100"/>
        </w:rPr>
        <w:t>）</w:t>
      </w:r>
      <w:r>
        <w:rPr>
          <w:w w:val="100"/>
        </w:rPr>
        <w:t>；</w:t>
      </w:r>
    </w:p>
    <w:p>
      <w:pPr>
        <w:pStyle w:val="BodyText"/>
        <w:spacing w:before="10"/>
      </w:pPr>
      <w:r>
        <w:rPr/>
        <w:t>(3)视野半径小于 5 度。</w:t>
      </w:r>
    </w:p>
    <w:p>
      <w:pPr>
        <w:spacing w:after="0"/>
        <w:sectPr>
          <w:pgSz w:w="11910" w:h="16840"/>
          <w:pgMar w:top="1400" w:bottom="280" w:left="1680" w:right="1120"/>
        </w:sectPr>
      </w:pPr>
    </w:p>
    <w:p>
      <w:pPr>
        <w:pStyle w:val="BodyText"/>
        <w:spacing w:before="13"/>
      </w:pPr>
      <w:r>
        <w:rPr/>
        <w:t>（十四）瘫痪</w:t>
      </w:r>
    </w:p>
    <w:p>
      <w:pPr>
        <w:pStyle w:val="BodyText"/>
        <w:spacing w:line="280" w:lineRule="auto" w:before="43"/>
        <w:ind w:right="294"/>
        <w:jc w:val="both"/>
      </w:pPr>
      <w:r>
        <w:rPr>
          <w:spacing w:val="-3"/>
        </w:rPr>
        <w:t>指因疾病或意外伤害导致两肢或两肢以上肢体机能永久完全丧失。肢体机能</w:t>
      </w:r>
      <w:r>
        <w:rPr>
          <w:spacing w:val="-7"/>
        </w:rPr>
        <w:t>永久完全丧失，指疾病确诊 </w:t>
      </w:r>
      <w:r>
        <w:rPr/>
        <w:t>180</w:t>
      </w:r>
      <w:r>
        <w:rPr>
          <w:spacing w:val="-12"/>
        </w:rPr>
        <w:t> 天后或意外伤害发生 </w:t>
      </w:r>
      <w:r>
        <w:rPr/>
        <w:t>180</w:t>
      </w:r>
      <w:r>
        <w:rPr>
          <w:spacing w:val="-8"/>
        </w:rPr>
        <w:t> 天后，每肢三大关</w:t>
      </w:r>
      <w:r>
        <w:rPr>
          <w:spacing w:val="-3"/>
        </w:rPr>
        <w:t>节中的两大关节仍然完全僵硬，或不能随意识活动。</w:t>
      </w:r>
    </w:p>
    <w:p>
      <w:pPr>
        <w:pStyle w:val="BodyText"/>
        <w:spacing w:before="152"/>
      </w:pPr>
      <w:r>
        <w:rPr/>
        <w:t>（十五）心脏瓣膜手术</w:t>
      </w:r>
    </w:p>
    <w:p>
      <w:pPr>
        <w:pStyle w:val="BodyText"/>
      </w:pPr>
      <w:r>
        <w:rPr/>
        <w:t>指为治疗心脏瓣膜疾病，实际实施了开胸进行的心脏瓣膜置换或修复的手术。</w:t>
      </w:r>
    </w:p>
    <w:p>
      <w:pPr>
        <w:pStyle w:val="BodyText"/>
        <w:spacing w:before="2"/>
        <w:ind w:left="0"/>
        <w:rPr>
          <w:sz w:val="14"/>
        </w:rPr>
      </w:pPr>
    </w:p>
    <w:p>
      <w:pPr>
        <w:pStyle w:val="BodyText"/>
        <w:spacing w:before="0"/>
      </w:pPr>
      <w:r>
        <w:rPr/>
        <w:t>（十六）严重脑损伤</w:t>
      </w:r>
    </w:p>
    <w:p>
      <w:pPr>
        <w:pStyle w:val="BodyText"/>
        <w:spacing w:line="278" w:lineRule="auto" w:before="46"/>
        <w:ind w:right="244"/>
        <w:jc w:val="both"/>
      </w:pPr>
      <w:r>
        <w:rPr>
          <w:spacing w:val="-3"/>
        </w:rPr>
        <w:t>指因头部遭受机械性外力，引起脑重要部位损伤，导致神经系统永久性的功</w:t>
      </w:r>
      <w:r>
        <w:rPr>
          <w:spacing w:val="-3"/>
          <w:w w:val="100"/>
        </w:rPr>
        <w:t>能障碍。须由头颅断层扫描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）或正电子发射断层</w:t>
      </w:r>
      <w:r>
        <w:rPr>
          <w:spacing w:val="-3"/>
        </w:rPr>
        <w:t>扫描（PET）</w:t>
      </w:r>
      <w:r>
        <w:rPr>
          <w:spacing w:val="-4"/>
        </w:rPr>
        <w:t>等影像学检查证实。神经系统永久性的功能障碍，指脑损伤 </w:t>
      </w:r>
      <w:r>
        <w:rPr/>
        <w:t>180 </w:t>
      </w:r>
      <w:r>
        <w:rPr>
          <w:spacing w:val="-3"/>
        </w:rPr>
        <w:t>天后，仍遗留下列一种或一种以上障碍：</w:t>
      </w:r>
    </w:p>
    <w:p>
      <w:pPr>
        <w:pStyle w:val="BodyText"/>
        <w:spacing w:before="10"/>
      </w:pPr>
      <w:r>
        <w:rPr/>
        <w:t>(1)一肢或一肢以上肢体机能完全丧失；</w:t>
      </w:r>
    </w:p>
    <w:p>
      <w:pPr>
        <w:pStyle w:val="BodyText"/>
      </w:pPr>
      <w:r>
        <w:rPr/>
        <w:t>(2)语言能力或咀嚼吞咽能力完全丧失；</w:t>
      </w:r>
    </w:p>
    <w:p>
      <w:pPr>
        <w:pStyle w:val="BodyText"/>
        <w:spacing w:line="278" w:lineRule="auto" w:before="46"/>
        <w:ind w:right="179"/>
      </w:pPr>
      <w:r>
        <w:rPr/>
        <w:t>(3)自主生活能力完全丧失，无法独立完成六项基本日常生活活动中的三项或三项以上。</w:t>
      </w:r>
    </w:p>
    <w:p>
      <w:pPr>
        <w:pStyle w:val="BodyText"/>
        <w:spacing w:before="154"/>
      </w:pPr>
      <w:r>
        <w:rPr/>
        <w:t>（十七）严重Ⅲ度烧伤</w:t>
      </w:r>
    </w:p>
    <w:p>
      <w:pPr>
        <w:pStyle w:val="BodyText"/>
        <w:spacing w:line="278" w:lineRule="auto"/>
        <w:ind w:right="109"/>
      </w:pPr>
      <w:r>
        <w:rPr>
          <w:spacing w:val="-14"/>
        </w:rPr>
        <w:t>指烧伤程度为Ⅲ度，且Ⅲ度烧伤的面积达到全身体表面积的 </w:t>
      </w:r>
      <w:r>
        <w:rPr/>
        <w:t>20</w:t>
      </w:r>
      <w:r>
        <w:rPr>
          <w:spacing w:val="-18"/>
        </w:rPr>
        <w:t>％或 </w:t>
      </w:r>
      <w:r>
        <w:rPr/>
        <w:t>20</w:t>
      </w:r>
      <w:r>
        <w:rPr>
          <w:spacing w:val="-1"/>
        </w:rPr>
        <w:t>％以上。</w:t>
      </w:r>
      <w:r>
        <w:rPr>
          <w:spacing w:val="-3"/>
        </w:rPr>
        <w:t>体表面积根据《中国新九分法》计算。</w:t>
      </w:r>
    </w:p>
    <w:p>
      <w:pPr>
        <w:pStyle w:val="BodyText"/>
        <w:spacing w:before="154"/>
      </w:pPr>
      <w:r>
        <w:rPr/>
        <w:t>（十八）严重原发性肺动脉高压</w:t>
      </w:r>
    </w:p>
    <w:p>
      <w:pPr>
        <w:pStyle w:val="BodyText"/>
        <w:spacing w:line="280" w:lineRule="auto" w:before="43"/>
        <w:ind w:right="294"/>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49"/>
      </w:pPr>
      <w:r>
        <w:rPr/>
        <w:t>（十九）严重运动神经元病</w:t>
      </w:r>
    </w:p>
    <w:p>
      <w:pPr>
        <w:pStyle w:val="BodyText"/>
        <w:spacing w:line="278" w:lineRule="auto" w:before="46"/>
        <w:ind w:right="107"/>
      </w:pPr>
      <w:r>
        <w:rPr>
          <w:spacing w:val="-4"/>
        </w:rPr>
        <w:t>是一组中枢神经系统运动神经元的进行性变性疾病，包括进行性脊肌萎缩症、</w:t>
      </w:r>
      <w:r>
        <w:rPr>
          <w:spacing w:val="-3"/>
        </w:rPr>
        <w:t>进行性延髓麻痹症、原发性侧索硬化症、肌萎缩性侧索硬化症。须满足自主 生活能力完全丧失，无法独立完成六项基本日常生活活动中的三项或三项以 上的条件。</w:t>
      </w:r>
    </w:p>
    <w:p>
      <w:pPr>
        <w:pStyle w:val="BodyText"/>
        <w:spacing w:before="152"/>
      </w:pPr>
      <w:r>
        <w:rPr/>
        <w:t>（二十）语言能力丧失</w:t>
      </w:r>
    </w:p>
    <w:p>
      <w:pPr>
        <w:pStyle w:val="BodyText"/>
        <w:spacing w:line="280" w:lineRule="auto"/>
        <w:ind w:right="213"/>
      </w:pPr>
      <w:r>
        <w:rPr>
          <w:spacing w:val="-6"/>
        </w:rPr>
        <w:t>指因疾病或意外伤害导致完全丧失语言能力，经过积极治疗至少 </w:t>
      </w:r>
      <w:r>
        <w:rPr/>
        <w:t>12</w:t>
      </w:r>
      <w:r>
        <w:rPr>
          <w:spacing w:val="-19"/>
        </w:rPr>
        <w:t> 个月</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8"/>
      </w:pPr>
      <w:r>
        <w:rPr>
          <w:shd w:fill="D9D9D9" w:color="auto" w:val="clear"/>
        </w:rPr>
        <w:t>精神心理因素所致的语言能力丧失不在保障范围内。</w:t>
      </w:r>
    </w:p>
    <w:p>
      <w:pPr>
        <w:pStyle w:val="BodyText"/>
        <w:spacing w:before="4"/>
        <w:ind w:left="0"/>
        <w:rPr>
          <w:sz w:val="14"/>
        </w:rPr>
      </w:pPr>
    </w:p>
    <w:p>
      <w:pPr>
        <w:pStyle w:val="BodyText"/>
        <w:spacing w:before="1"/>
      </w:pPr>
      <w:r>
        <w:rPr/>
        <w:t>（二十一）重型再生障碍性贫血</w:t>
      </w:r>
    </w:p>
    <w:p>
      <w:pPr>
        <w:pStyle w:val="BodyText"/>
        <w:spacing w:line="278" w:lineRule="auto"/>
        <w:ind w:right="294"/>
      </w:pPr>
      <w:r>
        <w:rPr/>
        <w:t>指因骨髓造血功能慢性持续性衰竭导致的贫血、中性粒细胞减少及血小板减少。须满足下列全部条件：</w:t>
      </w:r>
    </w:p>
    <w:p>
      <w:pPr>
        <w:pStyle w:val="BodyText"/>
        <w:spacing w:before="12"/>
      </w:pPr>
      <w:r>
        <w:rPr/>
        <w:t>(1)骨髓穿刺检查或骨髓活检结果支持诊断；</w:t>
      </w:r>
    </w:p>
    <w:p>
      <w:pPr>
        <w:pStyle w:val="BodyText"/>
        <w:spacing w:before="43"/>
      </w:pPr>
      <w:r>
        <w:rPr/>
        <w:t>(2)外周血象须具备以下三项条件：</w:t>
      </w:r>
    </w:p>
    <w:p>
      <w:pPr>
        <w:pStyle w:val="BodyText"/>
      </w:pPr>
      <w:r>
        <w:rPr/>
        <w:t>①中性粒细胞绝对值≤0.5×109/L ；</w:t>
      </w:r>
    </w:p>
    <w:p>
      <w:pPr>
        <w:pStyle w:val="BodyText"/>
        <w:spacing w:before="47"/>
      </w:pPr>
      <w:r>
        <w:rPr/>
        <w:t>②网织红细胞＜1％；</w:t>
      </w:r>
    </w:p>
    <w:p>
      <w:pPr>
        <w:pStyle w:val="BodyText"/>
      </w:pPr>
      <w:r>
        <w:rPr/>
        <w:t>③血小板绝对值≤20×109/L。</w:t>
      </w:r>
    </w:p>
    <w:p>
      <w:pPr>
        <w:spacing w:after="0"/>
        <w:sectPr>
          <w:pgSz w:w="11910" w:h="16840"/>
          <w:pgMar w:top="1540" w:bottom="280" w:left="1680" w:right="1020"/>
        </w:sectPr>
      </w:pPr>
    </w:p>
    <w:p>
      <w:pPr>
        <w:pStyle w:val="BodyText"/>
        <w:spacing w:before="12"/>
      </w:pPr>
      <w:r>
        <w:rPr/>
        <w:t>（二十二）主动脉手术</w:t>
      </w:r>
    </w:p>
    <w:p>
      <w:pPr>
        <w:pStyle w:val="BodyText"/>
        <w:spacing w:line="280" w:lineRule="auto"/>
        <w:ind w:right="194"/>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pPr>
      <w:r>
        <w:rPr>
          <w:shd w:fill="D9D9D9" w:color="auto" w:val="clear"/>
        </w:rPr>
        <w:t>动脉内血管成形术不在保障范围内。</w:t>
      </w:r>
    </w:p>
    <w:p>
      <w:pPr>
        <w:pStyle w:val="BodyText"/>
        <w:spacing w:before="5"/>
        <w:ind w:left="0"/>
        <w:rPr>
          <w:sz w:val="14"/>
        </w:rPr>
      </w:pPr>
    </w:p>
    <w:p>
      <w:pPr>
        <w:pStyle w:val="BodyText"/>
        <w:spacing w:before="0"/>
      </w:pPr>
      <w:r>
        <w:rPr/>
        <w:t>（二十三）经输血导致的人类免疫缺陷病毒（HIV）感染</w:t>
      </w:r>
    </w:p>
    <w:p>
      <w:pPr>
        <w:pStyle w:val="BodyText"/>
      </w:pPr>
      <w:r>
        <w:rPr/>
        <w:t>被保险人感染上人类免疫缺陷病毒（HIV）并且满足下列全部条件：</w:t>
      </w:r>
    </w:p>
    <w:p>
      <w:pPr>
        <w:pStyle w:val="BodyText"/>
      </w:pPr>
      <w:r>
        <w:rPr/>
        <w:t>(1)在本合同生效日或最后复效日（以较迟者为准）后因输血而感染 HIV；</w:t>
      </w:r>
    </w:p>
    <w:p>
      <w:pPr>
        <w:pStyle w:val="BodyText"/>
        <w:spacing w:line="278" w:lineRule="auto" w:before="47"/>
        <w:ind w:right="301"/>
      </w:pPr>
      <w:r>
        <w:rPr/>
        <w:t>(2)提供输血治疗的输血中心或医院出具该项输血感染属医疗责任事故的报告，或者法院终审裁判为医疗责任；</w:t>
      </w:r>
    </w:p>
    <w:p>
      <w:pPr>
        <w:pStyle w:val="BodyText"/>
        <w:spacing w:before="11"/>
      </w:pPr>
      <w:r>
        <w:rPr/>
        <w:t>(3)受感染的被保险人不是血友病患者。</w:t>
      </w:r>
    </w:p>
    <w:p>
      <w:pPr>
        <w:pStyle w:val="BodyText"/>
        <w:spacing w:line="278" w:lineRule="auto" w:before="46"/>
        <w:ind w:right="194"/>
      </w:pPr>
      <w:r>
        <w:rPr>
          <w:spacing w:val="-3"/>
          <w:shd w:fill="D9D9D9" w:color="auto" w:val="clear"/>
        </w:rPr>
        <w:t>在任何治愈艾滋病</w:t>
      </w:r>
      <w:r>
        <w:rPr>
          <w:shd w:fill="D9D9D9" w:color="auto" w:val="clear"/>
        </w:rPr>
        <w:t>（AIDS）</w:t>
      </w:r>
      <w:r>
        <w:rPr>
          <w:spacing w:val="-12"/>
          <w:shd w:fill="D9D9D9" w:color="auto" w:val="clear"/>
        </w:rPr>
        <w:t>或阻止 </w:t>
      </w:r>
      <w:r>
        <w:rPr>
          <w:shd w:fill="D9D9D9" w:color="auto" w:val="clear"/>
        </w:rPr>
        <w:t>HIV</w:t>
      </w:r>
      <w:r>
        <w:rPr>
          <w:spacing w:val="-7"/>
          <w:shd w:fill="D9D9D9" w:color="auto" w:val="clear"/>
        </w:rPr>
        <w:t> 病毒作用的疗法被发现以后，或能防</w:t>
      </w:r>
      <w:r>
        <w:rPr>
          <w:spacing w:val="-207"/>
          <w:shd w:fill="D9D9D9" w:color="auto" w:val="clear"/>
        </w:rPr>
        <w:t>止</w:t>
      </w:r>
      <w:r>
        <w:rPr>
          <w:shd w:fill="D9D9D9" w:color="auto" w:val="clear"/>
        </w:rPr>
        <w:t>AIDS</w:t>
      </w:r>
      <w:r>
        <w:rPr>
          <w:spacing w:val="-7"/>
          <w:shd w:fill="D9D9D9" w:color="auto" w:val="clear"/>
        </w:rPr>
        <w:t> 发生的医疗方法被研究出来以后，本保障将不再予以赔付。</w:t>
      </w:r>
    </w:p>
    <w:p>
      <w:pPr>
        <w:pStyle w:val="BodyText"/>
        <w:spacing w:line="280" w:lineRule="auto" w:before="10"/>
        <w:ind w:right="194"/>
      </w:pPr>
      <w:r>
        <w:rPr>
          <w:spacing w:val="-3"/>
          <w:shd w:fill="D9D9D9" w:color="auto" w:val="clear"/>
        </w:rPr>
        <w:t>任何因其他传播方式</w:t>
      </w:r>
      <w:r>
        <w:rPr>
          <w:shd w:fill="D9D9D9" w:color="auto" w:val="clear"/>
        </w:rPr>
        <w:t>（</w:t>
      </w:r>
      <w:r>
        <w:rPr>
          <w:spacing w:val="-3"/>
          <w:shd w:fill="D9D9D9" w:color="auto" w:val="clear"/>
        </w:rPr>
        <w:t>包括但不限于性传播或静脉注射毒品）</w:t>
      </w:r>
      <w:r>
        <w:rPr>
          <w:spacing w:val="-11"/>
          <w:shd w:fill="D9D9D9" w:color="auto" w:val="clear"/>
        </w:rPr>
        <w:t>导致的 </w:t>
      </w:r>
      <w:r>
        <w:rPr>
          <w:shd w:fill="D9D9D9" w:color="auto" w:val="clear"/>
        </w:rPr>
        <w:t>HIV</w:t>
      </w:r>
      <w:r>
        <w:rPr>
          <w:spacing w:val="-19"/>
          <w:shd w:fill="D9D9D9" w:color="auto" w:val="clear"/>
        </w:rPr>
        <w:t> 感</w:t>
      </w:r>
      <w:r>
        <w:rPr>
          <w:spacing w:val="-207"/>
          <w:shd w:fill="D9D9D9" w:color="auto" w:val="clear"/>
        </w:rPr>
        <w:t>染</w:t>
      </w:r>
      <w:r>
        <w:rPr>
          <w:spacing w:val="-3"/>
          <w:shd w:fill="D9D9D9" w:color="auto" w:val="clear"/>
        </w:rPr>
        <w:t>不在保障范围内。</w:t>
      </w:r>
    </w:p>
    <w:p>
      <w:pPr>
        <w:pStyle w:val="BodyText"/>
        <w:spacing w:before="150"/>
      </w:pPr>
      <w:r>
        <w:rPr/>
        <w:t>（二十四）脊髓灰质炎（或称小儿麻痹症）</w:t>
      </w:r>
    </w:p>
    <w:p>
      <w:pPr>
        <w:pStyle w:val="BodyText"/>
        <w:spacing w:line="278" w:lineRule="auto" w:before="46"/>
        <w:ind w:right="193"/>
        <w:jc w:val="both"/>
      </w:pPr>
      <w:r>
        <w:rPr>
          <w:spacing w:val="-4"/>
        </w:rPr>
        <w:t>脊髓灰质炎是由于脊髓灰质炎病毒感染所致的瘫痪性疾病，临床表现为运动</w:t>
      </w:r>
      <w:r>
        <w:rPr>
          <w:spacing w:val="-3"/>
        </w:rPr>
        <w:t>功能损害或呼吸无力。脊髓灰质炎必须明确诊断。本条仅对脊髓灰质炎造成的神经系统功能损害导致被保险人一肢或一肢以上肢体机能永久完全丧失的</w:t>
      </w:r>
      <w:r>
        <w:rPr>
          <w:spacing w:val="-5"/>
        </w:rPr>
        <w:t>情况予以理赔。肢体机能永久完全丧失，指疾病确诊 </w:t>
      </w:r>
      <w:r>
        <w:rPr/>
        <w:t>180</w:t>
      </w:r>
      <w:r>
        <w:rPr>
          <w:spacing w:val="-8"/>
        </w:rPr>
        <w:t> 天后，每肢三大关</w:t>
      </w:r>
      <w:r>
        <w:rPr>
          <w:spacing w:val="-3"/>
        </w:rPr>
        <w:t>节中的两大关节仍然完全僵硬，或不能随意识活动。</w:t>
      </w:r>
    </w:p>
    <w:p>
      <w:pPr>
        <w:pStyle w:val="BodyText"/>
        <w:spacing w:before="152"/>
      </w:pPr>
      <w:r>
        <w:rPr/>
        <w:t>（二十五）严重的Ｉ型糖尿病</w:t>
      </w:r>
    </w:p>
    <w:p>
      <w:pPr>
        <w:pStyle w:val="BodyText"/>
        <w:spacing w:line="278" w:lineRule="auto" w:before="46"/>
        <w:ind w:right="113"/>
      </w:pPr>
      <w:r>
        <w:rPr>
          <w:spacing w:val="-4"/>
        </w:rPr>
        <w:t>严重的Ｉ型糖尿病为由于胰岛素分泌绝对不足引起的慢性血糖升高，且已经</w:t>
      </w:r>
      <w:r>
        <w:rPr>
          <w:spacing w:val="-6"/>
        </w:rPr>
        <w:t>持续性地依赖外源性胰岛素维持 </w:t>
      </w:r>
      <w:r>
        <w:rPr/>
        <w:t>180</w:t>
      </w:r>
      <w:r>
        <w:rPr>
          <w:spacing w:val="-7"/>
        </w:rPr>
        <w:t> 天以上。须经血胰岛素测定、血 </w:t>
      </w:r>
      <w:r>
        <w:rPr/>
        <w:t>C</w:t>
      </w:r>
      <w:r>
        <w:rPr>
          <w:spacing w:val="1"/>
        </w:rPr>
        <w:t> 肽测</w:t>
      </w:r>
      <w:r>
        <w:rPr>
          <w:spacing w:val="-12"/>
        </w:rPr>
        <w:t>定或尿 </w:t>
      </w:r>
      <w:r>
        <w:rPr/>
        <w:t>C</w:t>
      </w:r>
      <w:r>
        <w:rPr>
          <w:spacing w:val="-3"/>
        </w:rPr>
        <w:t> 肽测定，结果异常，并由内分泌科专科医生明确诊断。并须在本合</w:t>
      </w:r>
      <w:r>
        <w:rPr>
          <w:spacing w:val="-7"/>
        </w:rPr>
        <w:t>同有效期内，满足下述至少 </w:t>
      </w:r>
      <w:r>
        <w:rPr/>
        <w:t>1 个条件：</w:t>
      </w:r>
    </w:p>
    <w:p>
      <w:pPr>
        <w:pStyle w:val="BodyText"/>
        <w:spacing w:before="10"/>
      </w:pPr>
      <w:r>
        <w:rPr/>
        <w:t>(1)已出现增殖性视网膜病变；</w:t>
      </w:r>
    </w:p>
    <w:p>
      <w:pPr>
        <w:pStyle w:val="BodyText"/>
      </w:pPr>
      <w:r>
        <w:rPr/>
        <w:t>(2)须植入心脏起搏器治疗心脏病；</w:t>
      </w:r>
    </w:p>
    <w:p>
      <w:pPr>
        <w:pStyle w:val="BodyText"/>
        <w:spacing w:before="46"/>
      </w:pPr>
      <w:r>
        <w:rPr/>
        <w:t>(3)因坏疽需切除至少一个脚趾。</w:t>
      </w:r>
    </w:p>
    <w:p>
      <w:pPr>
        <w:pStyle w:val="BodyText"/>
        <w:spacing w:before="2"/>
        <w:ind w:left="0"/>
        <w:rPr>
          <w:sz w:val="14"/>
        </w:rPr>
      </w:pPr>
    </w:p>
    <w:p>
      <w:pPr>
        <w:pStyle w:val="BodyText"/>
        <w:spacing w:before="0"/>
      </w:pPr>
      <w:r>
        <w:rPr/>
        <w:t>（二十六）严重川崎病</w:t>
      </w:r>
    </w:p>
    <w:p>
      <w:pPr>
        <w:pStyle w:val="BodyText"/>
        <w:spacing w:line="278" w:lineRule="auto" w:before="46"/>
        <w:ind w:right="194"/>
      </w:pPr>
      <w:r>
        <w:rPr/>
        <w:t>川崎病为一种病因不明的系统性血管炎。本条仅对诊断性检查证实川崎病并发动脉瘤或其他心血管异常并且实际接受了手术治疗的情况予以理赔。</w:t>
      </w:r>
    </w:p>
    <w:p>
      <w:pPr>
        <w:pStyle w:val="BodyText"/>
        <w:spacing w:before="152"/>
      </w:pPr>
      <w:r>
        <w:rPr/>
        <w:t>（二十七）严重幼年型类风湿关节炎</w:t>
      </w:r>
    </w:p>
    <w:p>
      <w:pPr>
        <w:pStyle w:val="BodyText"/>
        <w:spacing w:line="278" w:lineRule="auto" w:before="47"/>
        <w:ind w:right="193"/>
      </w:pPr>
      <w:r>
        <w:rPr>
          <w:spacing w:val="-3"/>
        </w:rPr>
        <w:t>幼年型类风湿关节炎是一种儿童期发病的慢性关节炎，其特点为在高热和系统性病征出现数月后发生关节炎。诊断必须由小儿风湿科专科医生确认。 本条仅对实际接受了膝关节或髋关节置换手术治疗的严重的幼年型类风湿关节炎予以理赔。</w:t>
      </w:r>
    </w:p>
    <w:p>
      <w:pPr>
        <w:pStyle w:val="BodyText"/>
        <w:spacing w:before="152"/>
      </w:pPr>
      <w:r>
        <w:rPr/>
        <w:t>（二十八）系统性红斑狼疮</w:t>
      </w:r>
    </w:p>
    <w:p>
      <w:pPr>
        <w:pStyle w:val="BodyText"/>
        <w:spacing w:line="278" w:lineRule="auto" w:before="46"/>
        <w:ind w:right="113"/>
      </w:pPr>
      <w:r>
        <w:rPr>
          <w:spacing w:val="-3"/>
        </w:rPr>
        <w:t>系统性红斑狼疮是指由于病理性自身抗体和免疫复合物的沉积破坏了血管和</w:t>
      </w:r>
      <w:r>
        <w:rPr>
          <w:spacing w:val="-6"/>
        </w:rPr>
        <w:t>细胞而导致的累及多系统损害的一种自体免疫性疾病。本疾病应符合 </w:t>
      </w:r>
      <w:r>
        <w:rPr/>
        <w:t>1997</w:t>
      </w:r>
      <w:r>
        <w:rPr>
          <w:spacing w:val="-21"/>
        </w:rPr>
        <w:t> 年</w:t>
      </w:r>
      <w:r>
        <w:rPr>
          <w:spacing w:val="-3"/>
        </w:rPr>
        <w:t>美国风湿病学会修订的系统性红斑狼疮标准，同时本保障仅限于被保险人因</w:t>
      </w:r>
    </w:p>
    <w:p>
      <w:pPr>
        <w:spacing w:after="0" w:line="278" w:lineRule="auto"/>
        <w:sectPr>
          <w:pgSz w:w="11910" w:h="16840"/>
          <w:pgMar w:top="1400" w:bottom="280" w:left="1680" w:right="1120"/>
        </w:sectPr>
      </w:pPr>
    </w:p>
    <w:p>
      <w:pPr>
        <w:pStyle w:val="BodyText"/>
        <w:spacing w:line="278" w:lineRule="auto" w:before="12"/>
        <w:ind w:left="2072" w:right="294"/>
        <w:jc w:val="both"/>
      </w:pPr>
      <w:r>
        <w:rPr/>
        <w:t>系统性红斑狼疮并发狼疮性肾炎并引起肾功能损害，且肾脏病理诊断符合以下列明的世界卫生组织（WHO）对狼疮性肾炎所分类中的第III、IV、V、VI 型。诊断须由有资格的风湿和免疫病专科医生确认。</w:t>
      </w:r>
    </w:p>
    <w:p>
      <w:pPr>
        <w:pStyle w:val="BodyText"/>
        <w:spacing w:before="13"/>
        <w:ind w:left="2072"/>
        <w:jc w:val="both"/>
      </w:pPr>
      <w:r>
        <w:rPr/>
        <w:t>世界卫生组织（WHO）对狼疮性肾炎的分类标准：</w:t>
      </w:r>
    </w:p>
    <w:p>
      <w:pPr>
        <w:pStyle w:val="ListParagraph"/>
        <w:numPr>
          <w:ilvl w:val="0"/>
          <w:numId w:val="6"/>
        </w:numPr>
        <w:tabs>
          <w:tab w:pos="2284" w:val="left" w:leader="none"/>
        </w:tabs>
        <w:spacing w:line="240" w:lineRule="auto" w:before="44" w:after="0"/>
        <w:ind w:left="2283" w:right="0" w:hanging="211"/>
        <w:jc w:val="both"/>
        <w:rPr>
          <w:sz w:val="21"/>
        </w:rPr>
      </w:pPr>
      <w:r>
        <w:rPr>
          <w:sz w:val="21"/>
        </w:rPr>
        <w:t>型</w:t>
      </w:r>
      <w:r>
        <w:rPr>
          <w:rFonts w:ascii="宋体" w:hAnsi="宋体" w:eastAsia="宋体" w:hint="eastAsia"/>
          <w:spacing w:val="-3"/>
          <w:sz w:val="21"/>
        </w:rPr>
        <w:t>–</w:t>
      </w:r>
      <w:r>
        <w:rPr>
          <w:spacing w:val="-3"/>
          <w:sz w:val="21"/>
        </w:rPr>
        <w:t>正常肾小球型；</w:t>
      </w:r>
    </w:p>
    <w:p>
      <w:pPr>
        <w:pStyle w:val="ListParagraph"/>
        <w:numPr>
          <w:ilvl w:val="0"/>
          <w:numId w:val="6"/>
        </w:numPr>
        <w:tabs>
          <w:tab w:pos="2337" w:val="left" w:leader="none"/>
        </w:tabs>
        <w:spacing w:line="240" w:lineRule="auto" w:before="44" w:after="0"/>
        <w:ind w:left="2336" w:right="0" w:hanging="264"/>
        <w:jc w:val="both"/>
        <w:rPr>
          <w:sz w:val="21"/>
        </w:rPr>
      </w:pPr>
      <w:r>
        <w:rPr>
          <w:spacing w:val="-3"/>
          <w:sz w:val="21"/>
        </w:rPr>
        <w:t>型</w:t>
      </w:r>
      <w:r>
        <w:rPr>
          <w:rFonts w:ascii="宋体" w:hAnsi="宋体" w:eastAsia="宋体" w:hint="eastAsia"/>
          <w:sz w:val="21"/>
        </w:rPr>
        <w:t>–</w:t>
      </w:r>
      <w:r>
        <w:rPr>
          <w:spacing w:val="-3"/>
          <w:sz w:val="21"/>
        </w:rPr>
        <w:t>系膜增生型；</w:t>
      </w:r>
    </w:p>
    <w:p>
      <w:pPr>
        <w:pStyle w:val="ListParagraph"/>
        <w:numPr>
          <w:ilvl w:val="0"/>
          <w:numId w:val="6"/>
        </w:numPr>
        <w:tabs>
          <w:tab w:pos="2443" w:val="left" w:leader="none"/>
        </w:tabs>
        <w:spacing w:line="240" w:lineRule="auto" w:before="46" w:after="0"/>
        <w:ind w:left="2442" w:right="0" w:hanging="370"/>
        <w:jc w:val="both"/>
        <w:rPr>
          <w:sz w:val="21"/>
        </w:rPr>
      </w:pPr>
      <w:r>
        <w:rPr>
          <w:spacing w:val="-3"/>
          <w:sz w:val="21"/>
        </w:rPr>
        <w:t>型</w:t>
      </w:r>
      <w:r>
        <w:rPr>
          <w:rFonts w:ascii="宋体" w:hAnsi="宋体" w:eastAsia="宋体" w:hint="eastAsia"/>
          <w:sz w:val="21"/>
        </w:rPr>
        <w:t>–</w:t>
      </w:r>
      <w:r>
        <w:rPr>
          <w:spacing w:val="-3"/>
          <w:sz w:val="21"/>
        </w:rPr>
        <w:t>局灶节段增生型；</w:t>
      </w:r>
    </w:p>
    <w:p>
      <w:pPr>
        <w:pStyle w:val="ListParagraph"/>
        <w:numPr>
          <w:ilvl w:val="0"/>
          <w:numId w:val="6"/>
        </w:numPr>
        <w:tabs>
          <w:tab w:pos="2337" w:val="left" w:leader="none"/>
        </w:tabs>
        <w:spacing w:line="240" w:lineRule="auto" w:before="44" w:after="0"/>
        <w:ind w:left="2336" w:right="0" w:hanging="264"/>
        <w:jc w:val="both"/>
        <w:rPr>
          <w:sz w:val="21"/>
        </w:rPr>
      </w:pPr>
      <w:r>
        <w:rPr>
          <w:spacing w:val="-3"/>
          <w:sz w:val="21"/>
        </w:rPr>
        <w:t>型</w:t>
      </w:r>
      <w:r>
        <w:rPr>
          <w:rFonts w:ascii="宋体" w:hAnsi="宋体" w:eastAsia="宋体" w:hint="eastAsia"/>
          <w:sz w:val="21"/>
        </w:rPr>
        <w:t>–</w:t>
      </w:r>
      <w:r>
        <w:rPr>
          <w:spacing w:val="-3"/>
          <w:sz w:val="21"/>
        </w:rPr>
        <w:t>弥漫增生型；</w:t>
      </w:r>
    </w:p>
    <w:p>
      <w:pPr>
        <w:pStyle w:val="ListParagraph"/>
        <w:numPr>
          <w:ilvl w:val="0"/>
          <w:numId w:val="6"/>
        </w:numPr>
        <w:tabs>
          <w:tab w:pos="2232" w:val="left" w:leader="none"/>
        </w:tabs>
        <w:spacing w:line="240" w:lineRule="auto" w:before="44" w:after="0"/>
        <w:ind w:left="2231" w:right="0" w:hanging="159"/>
        <w:jc w:val="both"/>
        <w:rPr>
          <w:sz w:val="21"/>
        </w:rPr>
      </w:pPr>
      <w:r>
        <w:rPr>
          <w:sz w:val="21"/>
        </w:rPr>
        <w:t>型</w:t>
      </w:r>
      <w:r>
        <w:rPr>
          <w:rFonts w:ascii="宋体" w:hAnsi="宋体" w:eastAsia="宋体" w:hint="eastAsia"/>
          <w:spacing w:val="-3"/>
          <w:sz w:val="21"/>
        </w:rPr>
        <w:t>–</w:t>
      </w:r>
      <w:r>
        <w:rPr>
          <w:spacing w:val="-2"/>
          <w:sz w:val="21"/>
        </w:rPr>
        <w:t>膜型；</w:t>
      </w:r>
    </w:p>
    <w:p>
      <w:pPr>
        <w:pStyle w:val="ListParagraph"/>
        <w:numPr>
          <w:ilvl w:val="0"/>
          <w:numId w:val="6"/>
        </w:numPr>
        <w:tabs>
          <w:tab w:pos="2337" w:val="left" w:leader="none"/>
        </w:tabs>
        <w:spacing w:line="240" w:lineRule="auto" w:before="47" w:after="0"/>
        <w:ind w:left="2336" w:right="0" w:hanging="264"/>
        <w:jc w:val="both"/>
        <w:rPr>
          <w:sz w:val="21"/>
        </w:rPr>
      </w:pPr>
      <w:r>
        <w:rPr>
          <w:spacing w:val="-3"/>
          <w:sz w:val="21"/>
        </w:rPr>
        <w:t>型</w:t>
      </w:r>
      <w:r>
        <w:rPr>
          <w:rFonts w:ascii="宋体" w:hAnsi="宋体" w:eastAsia="宋体" w:hint="eastAsia"/>
          <w:spacing w:val="-1"/>
          <w:sz w:val="21"/>
        </w:rPr>
        <w:t>–</w:t>
      </w:r>
      <w:r>
        <w:rPr>
          <w:spacing w:val="-3"/>
          <w:sz w:val="21"/>
        </w:rPr>
        <w:t>肾小球硬化型。</w:t>
      </w:r>
    </w:p>
    <w:p>
      <w:pPr>
        <w:pStyle w:val="BodyText"/>
        <w:spacing w:before="2"/>
        <w:ind w:left="0"/>
        <w:rPr>
          <w:sz w:val="14"/>
        </w:rPr>
      </w:pPr>
    </w:p>
    <w:p>
      <w:pPr>
        <w:pStyle w:val="BodyText"/>
        <w:spacing w:before="1"/>
        <w:ind w:left="2072"/>
        <w:jc w:val="both"/>
      </w:pPr>
      <w:r>
        <w:rPr/>
        <w:t>（二十九）植物人状态</w:t>
      </w:r>
    </w:p>
    <w:p>
      <w:pPr>
        <w:pStyle w:val="BodyText"/>
        <w:spacing w:line="278" w:lineRule="auto" w:before="46"/>
        <w:ind w:left="2072" w:right="215"/>
      </w:pPr>
      <w:r>
        <w:rPr>
          <w:spacing w:val="-4"/>
        </w:rPr>
        <w:t>指经神经科医生确诊，</w:t>
      </w:r>
      <w:r>
        <w:rPr>
          <w:spacing w:val="-10"/>
        </w:rPr>
        <w:t>CT</w:t>
      </w:r>
      <w:r>
        <w:rPr>
          <w:spacing w:val="-25"/>
        </w:rPr>
        <w:t>、</w:t>
      </w:r>
      <w:r>
        <w:rPr/>
        <w:t>MRI</w:t>
      </w:r>
      <w:r>
        <w:rPr>
          <w:spacing w:val="-9"/>
        </w:rPr>
        <w:t> 等证实大脑皮质全面坏死。患者临床表现意识</w:t>
      </w:r>
      <w:r>
        <w:rPr>
          <w:spacing w:val="-3"/>
        </w:rPr>
        <w:t>完全丧失，但脑干功能仍保持完好，且此情况持续一个月或一个月以上。</w:t>
      </w:r>
    </w:p>
    <w:p>
      <w:pPr>
        <w:pStyle w:val="BodyText"/>
        <w:spacing w:before="154"/>
        <w:ind w:left="2072"/>
      </w:pPr>
      <w:r>
        <w:rPr/>
        <w:t>（三十）疾病或外伤所致智力障碍（残疾）</w:t>
      </w:r>
    </w:p>
    <w:p>
      <w:pPr>
        <w:pStyle w:val="BodyText"/>
        <w:spacing w:line="278" w:lineRule="auto"/>
        <w:ind w:left="2072" w:right="107"/>
      </w:pPr>
      <w:r>
        <w:rPr>
          <w:spacing w:val="-4"/>
        </w:rPr>
        <w:t>因严重头部创伤或疾病造成被保险人智力低常</w:t>
      </w:r>
      <w:r>
        <w:rPr/>
        <w:t>（</w:t>
      </w:r>
      <w:r>
        <w:rPr>
          <w:spacing w:val="-3"/>
        </w:rPr>
        <w:t>智力低于常态</w:t>
      </w:r>
      <w:r>
        <w:rPr>
          <w:spacing w:val="-13"/>
        </w:rPr>
        <w:t>）</w:t>
      </w:r>
      <w:r>
        <w:rPr>
          <w:spacing w:val="-3"/>
        </w:rPr>
        <w:t>或智力残疾。</w:t>
      </w:r>
      <w:r>
        <w:rPr>
          <w:spacing w:val="-23"/>
          <w:w w:val="100"/>
        </w:rPr>
        <w:t>根据智商</w:t>
      </w:r>
      <w:r>
        <w:rPr>
          <w:w w:val="100"/>
        </w:rPr>
        <w:t>（</w:t>
      </w:r>
      <w:r>
        <w:rPr>
          <w:spacing w:val="-3"/>
          <w:w w:val="100"/>
        </w:rPr>
        <w:t>I</w:t>
      </w:r>
      <w:r>
        <w:rPr>
          <w:w w:val="100"/>
        </w:rPr>
        <w:t>Q</w:t>
      </w:r>
      <w:r>
        <w:rPr>
          <w:spacing w:val="-80"/>
          <w:w w:val="100"/>
        </w:rPr>
        <w:t>）</w:t>
      </w:r>
      <w:r>
        <w:rPr>
          <w:spacing w:val="-13"/>
          <w:w w:val="100"/>
        </w:rPr>
        <w:t>智力低常分为轻度</w:t>
      </w:r>
      <w:r>
        <w:rPr>
          <w:w w:val="100"/>
        </w:rPr>
        <w:t>（IQ</w:t>
      </w:r>
      <w:r>
        <w:rPr>
          <w:spacing w:val="-3"/>
          <w:w w:val="100"/>
        </w:rPr>
        <w:t>5</w:t>
      </w:r>
      <w:r>
        <w:rPr>
          <w:w w:val="100"/>
        </w:rPr>
        <w:t>0-7</w:t>
      </w:r>
      <w:r>
        <w:rPr>
          <w:spacing w:val="-3"/>
          <w:w w:val="100"/>
        </w:rPr>
        <w:t>0</w:t>
      </w:r>
      <w:r>
        <w:rPr>
          <w:spacing w:val="-106"/>
          <w:w w:val="100"/>
        </w:rPr>
        <w:t>）</w:t>
      </w:r>
      <w:r>
        <w:rPr>
          <w:spacing w:val="-55"/>
          <w:w w:val="100"/>
        </w:rPr>
        <w:t>；中度</w:t>
      </w:r>
      <w:r>
        <w:rPr>
          <w:w w:val="100"/>
        </w:rPr>
        <w:t>（</w:t>
      </w:r>
      <w:r>
        <w:rPr>
          <w:spacing w:val="-3"/>
          <w:w w:val="100"/>
        </w:rPr>
        <w:t>I</w:t>
      </w:r>
      <w:r>
        <w:rPr>
          <w:w w:val="100"/>
        </w:rPr>
        <w:t>Q35-5</w:t>
      </w:r>
      <w:r>
        <w:rPr>
          <w:spacing w:val="-3"/>
          <w:w w:val="100"/>
        </w:rPr>
        <w:t>0</w:t>
      </w:r>
      <w:r>
        <w:rPr>
          <w:spacing w:val="-106"/>
          <w:w w:val="100"/>
        </w:rPr>
        <w:t>）</w:t>
      </w:r>
      <w:r>
        <w:rPr>
          <w:spacing w:val="-55"/>
          <w:w w:val="100"/>
        </w:rPr>
        <w:t>；重度</w:t>
      </w:r>
      <w:r>
        <w:rPr>
          <w:w w:val="100"/>
        </w:rPr>
        <w:t>（I</w:t>
      </w:r>
      <w:r>
        <w:rPr>
          <w:spacing w:val="-3"/>
          <w:w w:val="100"/>
        </w:rPr>
        <w:t>Q</w:t>
      </w:r>
      <w:r>
        <w:rPr>
          <w:w w:val="100"/>
        </w:rPr>
        <w:t>20-</w:t>
      </w:r>
      <w:r>
        <w:rPr>
          <w:spacing w:val="-3"/>
          <w:w w:val="100"/>
        </w:rPr>
        <w:t>3</w:t>
      </w:r>
      <w:r>
        <w:rPr>
          <w:spacing w:val="-1"/>
          <w:w w:val="100"/>
        </w:rPr>
        <w:t>5</w:t>
      </w:r>
      <w:r>
        <w:rPr>
          <w:w w:val="100"/>
        </w:rPr>
        <w:t>）</w:t>
      </w:r>
      <w:r>
        <w:rPr>
          <w:spacing w:val="-1"/>
          <w:w w:val="100"/>
        </w:rPr>
        <w:t>和极重度</w:t>
      </w:r>
      <w:r>
        <w:rPr>
          <w:spacing w:val="-3"/>
          <w:w w:val="100"/>
        </w:rPr>
        <w:t>（</w:t>
      </w:r>
      <w:r>
        <w:rPr>
          <w:w w:val="100"/>
        </w:rPr>
        <w:t>IQ&lt;</w:t>
      </w:r>
      <w:r>
        <w:rPr>
          <w:spacing w:val="-3"/>
          <w:w w:val="100"/>
        </w:rPr>
        <w:t>2</w:t>
      </w:r>
      <w:r>
        <w:rPr>
          <w:spacing w:val="-1"/>
          <w:w w:val="100"/>
        </w:rPr>
        <w:t>0</w:t>
      </w:r>
      <w:r>
        <w:rPr>
          <w:spacing w:val="-106"/>
          <w:w w:val="100"/>
        </w:rPr>
        <w:t>）</w:t>
      </w:r>
      <w:r>
        <w:rPr>
          <w:spacing w:val="-3"/>
          <w:w w:val="100"/>
        </w:rPr>
        <w:t>。</w:t>
      </w:r>
      <w:r>
        <w:rPr>
          <w:spacing w:val="-2"/>
          <w:w w:val="100"/>
          <w:shd w:fill="D9D9D9" w:color="auto" w:val="clear"/>
        </w:rPr>
        <w:t>智商</w:t>
      </w:r>
      <w:r>
        <w:rPr>
          <w:spacing w:val="-55"/>
          <w:shd w:fill="D9D9D9" w:color="auto" w:val="clear"/>
        </w:rPr>
        <w:t> </w:t>
      </w:r>
      <w:r>
        <w:rPr>
          <w:w w:val="100"/>
          <w:shd w:fill="D9D9D9" w:color="auto" w:val="clear"/>
        </w:rPr>
        <w:t>70-85</w:t>
      </w:r>
      <w:r>
        <w:rPr>
          <w:shd w:fill="D9D9D9" w:color="auto" w:val="clear"/>
        </w:rPr>
        <w:t> </w:t>
      </w:r>
      <w:r>
        <w:rPr>
          <w:spacing w:val="-3"/>
          <w:w w:val="100"/>
          <w:shd w:fill="D9D9D9" w:color="auto" w:val="clear"/>
        </w:rPr>
        <w:t>为智力临界低常，不在本合同保障范围内。</w:t>
      </w:r>
      <w:r>
        <w:rPr>
          <w:spacing w:val="-4"/>
        </w:rPr>
        <w:t>智商的检测必须由本公司认可的专职心理测验工作者进行，心理测验工作者 </w:t>
      </w:r>
      <w:r>
        <w:rPr>
          <w:spacing w:val="-3"/>
        </w:rPr>
        <w:t>必须持有心理测量专业委员会资格认定书。根据被保险人年龄采用对应的智 </w:t>
      </w:r>
      <w:r>
        <w:rPr>
          <w:spacing w:val="-4"/>
        </w:rPr>
        <w:t>力量表如韦克斯勒智力量表</w:t>
      </w:r>
      <w:r>
        <w:rPr/>
        <w:t>（</w:t>
      </w:r>
      <w:r>
        <w:rPr>
          <w:spacing w:val="-3"/>
        </w:rPr>
        <w:t>儿童智力量表或成人智力量表</w:t>
      </w:r>
      <w:r>
        <w:rPr>
          <w:spacing w:val="-106"/>
        </w:rPr>
        <w:t>）</w:t>
      </w:r>
      <w:r>
        <w:rPr>
          <w:spacing w:val="-5"/>
        </w:rPr>
        <w:t>。理赔时必须满</w:t>
      </w:r>
      <w:r>
        <w:rPr>
          <w:spacing w:val="-4"/>
        </w:rPr>
        <w:t>足下列全部条件：</w:t>
      </w:r>
    </w:p>
    <w:p>
      <w:pPr>
        <w:pStyle w:val="BodyText"/>
        <w:spacing w:before="10"/>
        <w:ind w:left="2072"/>
        <w:jc w:val="both"/>
      </w:pPr>
      <w:r>
        <w:rPr/>
        <w:t>(1)被保险人大于或等于六周岁；</w:t>
      </w:r>
    </w:p>
    <w:p>
      <w:pPr>
        <w:pStyle w:val="BodyText"/>
        <w:spacing w:before="46"/>
        <w:ind w:left="2072"/>
        <w:jc w:val="both"/>
      </w:pPr>
      <w:r>
        <w:rPr/>
        <w:t>(2)儿科主任医师确诊被保险人由于严重头部创伤或疾病造成智力低下；</w:t>
      </w:r>
    </w:p>
    <w:p>
      <w:pPr>
        <w:pStyle w:val="BodyText"/>
        <w:ind w:left="2072"/>
        <w:jc w:val="both"/>
      </w:pPr>
      <w:r>
        <w:rPr/>
        <w:t>(3)专职合格心理检测工作者适时做的心理检测证实被保险人智力低常</w:t>
      </w:r>
    </w:p>
    <w:p>
      <w:pPr>
        <w:pStyle w:val="BodyText"/>
        <w:ind w:left="2072"/>
        <w:jc w:val="both"/>
      </w:pPr>
      <w:r>
        <w:rPr>
          <w:w w:val="100"/>
        </w:rPr>
        <w:t>（</w:t>
      </w:r>
      <w:r>
        <w:rPr>
          <w:spacing w:val="-3"/>
          <w:w w:val="100"/>
        </w:rPr>
        <w:t>轻度、中度、重度或极重度</w:t>
      </w:r>
      <w:r>
        <w:rPr>
          <w:spacing w:val="-108"/>
          <w:w w:val="100"/>
        </w:rPr>
        <w:t>）</w:t>
      </w:r>
      <w:r>
        <w:rPr>
          <w:w w:val="100"/>
        </w:rPr>
        <w:t>；</w:t>
      </w:r>
    </w:p>
    <w:p>
      <w:pPr>
        <w:pStyle w:val="BodyText"/>
        <w:spacing w:before="46"/>
        <w:ind w:left="2072"/>
        <w:jc w:val="both"/>
      </w:pPr>
      <w:r>
        <w:rPr/>
        <w:t>(4)被保险人的智力低常自确认日起持续 180 天以上。</w:t>
      </w:r>
    </w:p>
    <w:p>
      <w:pPr>
        <w:pStyle w:val="BodyText"/>
        <w:spacing w:line="278" w:lineRule="auto" w:before="161"/>
        <w:ind w:left="2072" w:right="215" w:hanging="1954"/>
        <w:jc w:val="both"/>
      </w:pPr>
      <w:r>
        <w:rPr>
          <w:b/>
          <w:spacing w:val="0"/>
        </w:rPr>
        <w:t>成人重大疾病      </w:t>
      </w:r>
      <w:r>
        <w:rPr/>
        <w:t>指被保险人初次发生符合下列定义的疾病，或初次接受符合下列所定义的手术。该疾病或手术由专科医生明确诊断。以下是本合同所附四十五种重大疾</w:t>
      </w:r>
      <w:r>
        <w:rPr>
          <w:spacing w:val="-12"/>
        </w:rPr>
        <w:t>病的定义，其中第一种至第二十五种重大疾病是中国保险行业协会制定的《重大疾病保险的疾病定义使用规范》中列明的疾病，第二十六种至第四十五种重大疾病是我们在上述《重大疾病保险的疾病定义使用规范》定义的疾病范</w:t>
      </w:r>
      <w:r>
        <w:rPr>
          <w:spacing w:val="-3"/>
        </w:rPr>
        <w:t>围之外增加的疾病。</w:t>
      </w:r>
    </w:p>
    <w:p>
      <w:pPr>
        <w:pStyle w:val="BodyText"/>
        <w:spacing w:before="154"/>
        <w:ind w:left="2072"/>
      </w:pPr>
      <w:r>
        <w:rPr/>
        <w:t>（一）恶性肿瘤</w:t>
      </w:r>
    </w:p>
    <w:p>
      <w:pPr>
        <w:pStyle w:val="BodyText"/>
        <w:spacing w:line="278" w:lineRule="auto" w:before="43"/>
        <w:ind w:left="2072" w:right="217"/>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4"/>
        </w:rPr>
        <w:t>类》</w:t>
      </w:r>
      <w:r>
        <w:rPr>
          <w:spacing w:val="-1"/>
        </w:rPr>
        <w:t>（ICD-10）</w:t>
      </w:r>
      <w:r>
        <w:rPr>
          <w:spacing w:val="-3"/>
        </w:rPr>
        <w:t>的恶性肿瘤范畴。</w:t>
      </w:r>
    </w:p>
    <w:p>
      <w:pPr>
        <w:pStyle w:val="BodyText"/>
        <w:spacing w:before="10"/>
        <w:ind w:left="2072"/>
        <w:jc w:val="both"/>
      </w:pPr>
      <w:r>
        <w:rPr>
          <w:shd w:fill="D9D9D9" w:color="auto" w:val="clear"/>
        </w:rPr>
        <w:t>下列疾病不在保障范围内：</w:t>
      </w:r>
    </w:p>
    <w:p>
      <w:pPr>
        <w:pStyle w:val="BodyText"/>
        <w:spacing w:before="46"/>
        <w:ind w:left="2072"/>
        <w:jc w:val="both"/>
      </w:pPr>
      <w:r>
        <w:rPr>
          <w:shd w:fill="D9D9D9" w:color="auto" w:val="clear"/>
        </w:rPr>
        <w:t>(1)原位癌；</w:t>
      </w:r>
    </w:p>
    <w:p>
      <w:pPr>
        <w:pStyle w:val="BodyText"/>
        <w:ind w:left="2072"/>
        <w:jc w:val="both"/>
      </w:pPr>
      <w:r>
        <w:rPr>
          <w:shd w:fill="D9D9D9" w:color="auto" w:val="clear"/>
        </w:rPr>
        <w:t>(2)相当于Binet 分期方案 A 期程度的慢性淋巴细胞白血病；</w:t>
      </w:r>
    </w:p>
    <w:p>
      <w:pPr>
        <w:pStyle w:val="BodyText"/>
        <w:ind w:left="2072"/>
        <w:jc w:val="both"/>
      </w:pPr>
      <w:r>
        <w:rPr>
          <w:shd w:fill="D9D9D9" w:color="auto" w:val="clear"/>
        </w:rPr>
        <w:t>(3)相当于Ann Arbor 分期方案 I 期程度的何杰金氏病；</w:t>
      </w:r>
    </w:p>
    <w:p>
      <w:pPr>
        <w:pStyle w:val="BodyText"/>
        <w:spacing w:before="46"/>
        <w:ind w:left="2072"/>
        <w:jc w:val="both"/>
      </w:pPr>
      <w:r>
        <w:rPr>
          <w:w w:val="100"/>
          <w:shd w:fill="D9D9D9" w:color="auto" w:val="clear"/>
        </w:rPr>
        <w:t>(4)</w:t>
      </w:r>
      <w:r>
        <w:rPr>
          <w:spacing w:val="-3"/>
          <w:w w:val="100"/>
          <w:shd w:fill="D9D9D9" w:color="auto" w:val="clear"/>
        </w:rPr>
        <w:t>皮肤癌</w:t>
      </w:r>
      <w:r>
        <w:rPr>
          <w:w w:val="100"/>
          <w:shd w:fill="D9D9D9" w:color="auto" w:val="clear"/>
        </w:rPr>
        <w:t>（</w:t>
      </w:r>
      <w:r>
        <w:rPr>
          <w:spacing w:val="-3"/>
          <w:w w:val="100"/>
          <w:shd w:fill="D9D9D9" w:color="auto" w:val="clear"/>
        </w:rPr>
        <w:t>不包括恶性黑色素瘤及已发生转移的皮肤癌</w:t>
      </w:r>
      <w:r>
        <w:rPr>
          <w:spacing w:val="-108"/>
          <w:w w:val="100"/>
          <w:shd w:fill="D9D9D9" w:color="auto" w:val="clear"/>
        </w:rPr>
        <w:t>）</w:t>
      </w:r>
      <w:r>
        <w:rPr>
          <w:w w:val="100"/>
          <w:shd w:fill="D9D9D9" w:color="auto" w:val="clear"/>
        </w:rPr>
        <w:t>；</w:t>
      </w:r>
    </w:p>
    <w:p>
      <w:pPr>
        <w:spacing w:after="0"/>
        <w:jc w:val="both"/>
        <w:sectPr>
          <w:pgSz w:w="11910" w:h="16840"/>
          <w:pgMar w:top="1400" w:bottom="280" w:left="1580" w:right="1020"/>
        </w:sectPr>
      </w:pPr>
    </w:p>
    <w:p>
      <w:pPr>
        <w:pStyle w:val="BodyText"/>
        <w:spacing w:before="12"/>
      </w:pPr>
      <w:r>
        <w:rPr>
          <w:shd w:fill="D9D9D9" w:color="auto" w:val="clear"/>
        </w:rPr>
        <w:t>(5)TNM 分期为 T1N0M0 期或更轻分期的前列腺癌；</w:t>
      </w:r>
    </w:p>
    <w:p>
      <w:pPr>
        <w:pStyle w:val="BodyText"/>
      </w:pPr>
      <w:r>
        <w:rPr>
          <w:shd w:fill="D9D9D9" w:color="auto" w:val="clear"/>
        </w:rPr>
        <w:t>(6)感染艾滋病病毒或患艾滋病期间所患恶性肿瘤。</w:t>
      </w:r>
    </w:p>
    <w:p>
      <w:pPr>
        <w:pStyle w:val="BodyText"/>
        <w:spacing w:before="4"/>
        <w:ind w:left="0"/>
        <w:rPr>
          <w:sz w:val="14"/>
        </w:rPr>
      </w:pPr>
    </w:p>
    <w:p>
      <w:pPr>
        <w:pStyle w:val="BodyText"/>
        <w:spacing w:before="0"/>
      </w:pPr>
      <w:r>
        <w:rPr/>
        <w:t>（二）急性心肌梗塞</w:t>
      </w:r>
    </w:p>
    <w:p>
      <w:pPr>
        <w:pStyle w:val="BodyText"/>
        <w:spacing w:line="278" w:lineRule="auto" w:before="43"/>
        <w:ind w:right="178"/>
      </w:pPr>
      <w:r>
        <w:rPr/>
        <w:t>指因冠状动脉阻塞导致的相应区域供血不足造成部分心肌坏死。须满足下列至少三项条件：</w:t>
      </w:r>
    </w:p>
    <w:p>
      <w:pPr>
        <w:pStyle w:val="BodyText"/>
        <w:spacing w:before="12"/>
      </w:pPr>
      <w:r>
        <w:rPr/>
        <w:t>(1)典型临床表现，例如急性胸痛等；</w:t>
      </w:r>
    </w:p>
    <w:p>
      <w:pPr>
        <w:pStyle w:val="BodyText"/>
      </w:pPr>
      <w:r>
        <w:rPr/>
        <w:t>(2)新近的心电图改变提示急性心肌梗塞；</w:t>
      </w:r>
    </w:p>
    <w:p>
      <w:pPr>
        <w:pStyle w:val="BodyText"/>
        <w:spacing w:line="280" w:lineRule="auto"/>
        <w:ind w:right="140"/>
      </w:pPr>
      <w:r>
        <w:rPr/>
        <w:t>(3)心肌酶或肌钙蛋白有诊断意义的升高，或呈符合急性心肌梗塞的动态性变化；</w:t>
      </w:r>
    </w:p>
    <w:p>
      <w:pPr>
        <w:pStyle w:val="BodyText"/>
        <w:spacing w:before="3"/>
      </w:pPr>
      <w:r>
        <w:rPr>
          <w:position w:val="1"/>
        </w:rPr>
        <w:t>(4)</w:t>
      </w:r>
      <w:r>
        <w:rPr>
          <w:spacing w:val="-3"/>
          <w:position w:val="1"/>
        </w:rPr>
        <w:t>发</w:t>
      </w:r>
      <w:r>
        <w:rPr>
          <w:position w:val="1"/>
        </w:rPr>
        <w:t>病</w:t>
      </w:r>
      <w:r>
        <w:rPr>
          <w:spacing w:val="-35"/>
          <w:position w:val="1"/>
        </w:rPr>
        <w:t> </w:t>
      </w:r>
      <w:r>
        <w:rPr>
          <w:position w:val="1"/>
        </w:rPr>
        <w:t>90</w:t>
      </w:r>
      <w:r>
        <w:rPr>
          <w:spacing w:val="-38"/>
          <w:position w:val="1"/>
        </w:rPr>
        <w:t> </w:t>
      </w:r>
      <w:r>
        <w:rPr>
          <w:position w:val="1"/>
        </w:rPr>
        <w:t>天</w:t>
      </w:r>
      <w:r>
        <w:rPr>
          <w:spacing w:val="-3"/>
          <w:position w:val="1"/>
        </w:rPr>
        <w:t>后</w:t>
      </w:r>
      <w:r>
        <w:rPr>
          <w:position w:val="1"/>
        </w:rPr>
        <w:t>，</w:t>
      </w:r>
      <w:r>
        <w:rPr>
          <w:spacing w:val="-3"/>
          <w:position w:val="1"/>
        </w:rPr>
        <w:t>经</w:t>
      </w:r>
      <w:r>
        <w:rPr>
          <w:position w:val="1"/>
        </w:rPr>
        <w:t>检</w:t>
      </w:r>
      <w:r>
        <w:rPr>
          <w:spacing w:val="-3"/>
          <w:position w:val="1"/>
        </w:rPr>
        <w:t>查</w:t>
      </w:r>
      <w:r>
        <w:rPr>
          <w:position w:val="1"/>
        </w:rPr>
        <w:t>证实</w:t>
      </w:r>
      <w:r>
        <w:rPr>
          <w:spacing w:val="-3"/>
          <w:position w:val="1"/>
        </w:rPr>
        <w:t>左</w:t>
      </w:r>
      <w:r>
        <w:rPr>
          <w:position w:val="1"/>
        </w:rPr>
        <w:t>心</w:t>
      </w:r>
      <w:r>
        <w:rPr>
          <w:spacing w:val="-3"/>
          <w:position w:val="1"/>
        </w:rPr>
        <w:t>室</w:t>
      </w:r>
      <w:r>
        <w:rPr>
          <w:position w:val="1"/>
        </w:rPr>
        <w:t>功</w:t>
      </w:r>
      <w:r>
        <w:rPr>
          <w:spacing w:val="-3"/>
          <w:position w:val="1"/>
        </w:rPr>
        <w:t>能</w:t>
      </w:r>
      <w:r>
        <w:rPr>
          <w:position w:val="1"/>
        </w:rPr>
        <w:t>降</w:t>
      </w:r>
      <w:r>
        <w:rPr>
          <w:spacing w:val="-3"/>
          <w:position w:val="1"/>
        </w:rPr>
        <w:t>低</w:t>
      </w:r>
      <w:r>
        <w:rPr>
          <w:position w:val="1"/>
        </w:rPr>
        <w:t>，</w:t>
      </w:r>
      <w:r>
        <w:rPr>
          <w:spacing w:val="-3"/>
          <w:position w:val="1"/>
        </w:rPr>
        <w:t>如</w:t>
      </w:r>
      <w:r>
        <w:rPr>
          <w:position w:val="1"/>
        </w:rPr>
        <w:t>左心</w:t>
      </w:r>
      <w:r>
        <w:rPr>
          <w:spacing w:val="-3"/>
          <w:position w:val="1"/>
        </w:rPr>
        <w:t>室</w:t>
      </w:r>
      <w:r>
        <w:rPr>
          <w:position w:val="1"/>
        </w:rPr>
        <w:t>射</w:t>
      </w:r>
      <w:r>
        <w:rPr>
          <w:spacing w:val="-3"/>
          <w:position w:val="1"/>
        </w:rPr>
        <w:t>血</w:t>
      </w:r>
      <w:r>
        <w:rPr>
          <w:position w:val="1"/>
        </w:rPr>
        <w:t>分</w:t>
      </w:r>
      <w:r>
        <w:rPr>
          <w:spacing w:val="-3"/>
          <w:position w:val="1"/>
        </w:rPr>
        <w:t>数低</w:t>
      </w:r>
      <w:r>
        <w:rPr>
          <w:position w:val="1"/>
        </w:rPr>
        <w:t>于</w:t>
      </w:r>
      <w:r>
        <w:rPr>
          <w:spacing w:val="-53"/>
          <w:position w:val="1"/>
        </w:rPr>
        <w:t> </w:t>
      </w:r>
      <w:r>
        <w:rPr>
          <w:spacing w:val="1"/>
          <w:w w:val="100"/>
        </w:rPr>
        <w:drawing>
          <wp:inline distT="0" distB="0" distL="0" distR="0">
            <wp:extent cx="60324" cy="104774"/>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4" cy="104774"/>
                    </a:xfrm>
                    <a:prstGeom prst="rect">
                      <a:avLst/>
                    </a:prstGeom>
                  </pic:spPr>
                </pic:pic>
              </a:graphicData>
            </a:graphic>
          </wp:inline>
        </w:drawing>
      </w:r>
      <w:r>
        <w:rPr>
          <w:spacing w:val="1"/>
          <w:w w:val="100"/>
        </w:rPr>
      </w:r>
      <w:r>
        <w:rPr>
          <w:position w:val="1"/>
        </w:rPr>
        <w:t>。</w:t>
      </w:r>
    </w:p>
    <w:p>
      <w:pPr>
        <w:pStyle w:val="BodyText"/>
        <w:spacing w:before="9"/>
        <w:ind w:left="0"/>
        <w:rPr>
          <w:sz w:val="14"/>
        </w:rPr>
      </w:pPr>
    </w:p>
    <w:p>
      <w:pPr>
        <w:pStyle w:val="BodyText"/>
        <w:spacing w:before="0"/>
      </w:pPr>
      <w:r>
        <w:rPr/>
        <w:t>（三）脑中风后遗症</w:t>
      </w:r>
    </w:p>
    <w:p>
      <w:pPr>
        <w:pStyle w:val="BodyText"/>
        <w:spacing w:line="280" w:lineRule="auto"/>
        <w:ind w:right="173"/>
        <w:jc w:val="both"/>
      </w:pPr>
      <w:r>
        <w:rPr/>
        <w:t>指因脑血管的突发病变引起脑血管出血、栓塞或梗塞，并导致神经系统永久</w:t>
      </w:r>
      <w:r>
        <w:rPr>
          <w:spacing w:val="-3"/>
        </w:rPr>
        <w:t>性的功能障碍。神经系统永久性的功能障碍，指疾病确诊 </w:t>
      </w:r>
      <w:r>
        <w:rPr/>
        <w:t>180</w:t>
      </w:r>
      <w:r>
        <w:rPr>
          <w:spacing w:val="-2"/>
        </w:rPr>
        <w:t> 天后，仍遗留</w:t>
      </w:r>
      <w:r>
        <w:rPr>
          <w:spacing w:val="-3"/>
        </w:rPr>
        <w:t>下列一种或一种以上障碍：</w:t>
      </w:r>
    </w:p>
    <w:p>
      <w:pPr>
        <w:pStyle w:val="BodyText"/>
        <w:spacing w:before="9"/>
      </w:pPr>
      <w:r>
        <w:rPr/>
        <w:t>(1)一肢或一肢以上肢体机能完全丧失；</w:t>
      </w:r>
    </w:p>
    <w:p>
      <w:pPr>
        <w:pStyle w:val="BodyText"/>
      </w:pPr>
      <w:r>
        <w:rPr/>
        <w:t>(2)语言能力或咀嚼吞咽能力完全丧失；</w:t>
      </w:r>
    </w:p>
    <w:p>
      <w:pPr>
        <w:pStyle w:val="BodyText"/>
        <w:spacing w:line="278" w:lineRule="auto" w:before="46"/>
        <w:ind w:right="139"/>
      </w:pPr>
      <w:r>
        <w:rPr/>
        <w:t>(3)自主生活能力完全丧失，无法独立完成六项基本日常生活活动中的三项或三项以上。</w:t>
      </w:r>
    </w:p>
    <w:p>
      <w:pPr>
        <w:pStyle w:val="BodyText"/>
        <w:spacing w:before="152"/>
      </w:pPr>
      <w:r>
        <w:rPr/>
        <w:t>（四）重大器官移植术或造血干细胞移植术</w:t>
      </w:r>
    </w:p>
    <w:p>
      <w:pPr>
        <w:pStyle w:val="BodyText"/>
        <w:spacing w:line="278" w:lineRule="auto" w:before="46"/>
        <w:ind w:right="177"/>
      </w:pPr>
      <w:r>
        <w:rPr/>
        <w:t>重大器官移植术，指因相应器官功能衰竭，已经实施了肾脏、肝脏、心脏或肺脏的异体移植手术。</w:t>
      </w:r>
    </w:p>
    <w:p>
      <w:pPr>
        <w:pStyle w:val="BodyText"/>
        <w:spacing w:line="280" w:lineRule="auto" w:before="10"/>
        <w:ind w:right="254"/>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52"/>
      </w:pPr>
      <w:r>
        <w:rPr/>
        <w:t>（五）冠状动脉搭桥术（或称冠状动脉旁路移植术）</w:t>
      </w:r>
    </w:p>
    <w:p>
      <w:pPr>
        <w:pStyle w:val="BodyText"/>
        <w:spacing w:line="278" w:lineRule="auto"/>
        <w:ind w:right="178"/>
      </w:pPr>
      <w:r>
        <w:rPr/>
        <w:t>指为治疗严重的冠心病，实际实施了开胸进行的冠状动脉血管旁路移植的手术。</w:t>
      </w:r>
    </w:p>
    <w:p>
      <w:pPr>
        <w:pStyle w:val="BodyText"/>
        <w:spacing w:line="278" w:lineRule="auto" w:before="13"/>
        <w:ind w:right="254"/>
      </w:pPr>
      <w:r>
        <w:rPr>
          <w:spacing w:val="-3"/>
          <w:shd w:fill="D9D9D9" w:color="auto" w:val="clear"/>
        </w:rPr>
        <w:t>冠状动脉支架植入术、心导管球囊扩张术、激光射频技术及其他非开胸的介</w:t>
      </w:r>
      <w:r>
        <w:rPr>
          <w:spacing w:val="-210"/>
          <w:shd w:fill="D9D9D9" w:color="auto" w:val="clear"/>
        </w:rPr>
        <w:t>入</w:t>
      </w:r>
      <w:r>
        <w:rPr>
          <w:spacing w:val="-3"/>
          <w:shd w:fill="D9D9D9" w:color="auto" w:val="clear"/>
        </w:rPr>
        <w:t>手术、腔镜手术不在保障范围内。</w:t>
      </w:r>
    </w:p>
    <w:p>
      <w:pPr>
        <w:pStyle w:val="BodyText"/>
        <w:spacing w:before="152"/>
      </w:pPr>
      <w:r>
        <w:rPr/>
        <w:t>（六）终末期肾病（或称慢性肾功能衰竭尿毒症期）</w:t>
      </w:r>
    </w:p>
    <w:p>
      <w:pPr>
        <w:pStyle w:val="BodyText"/>
        <w:spacing w:line="278" w:lineRule="auto" w:before="46"/>
        <w:ind w:right="143"/>
      </w:pPr>
      <w:r>
        <w:rPr/>
        <w:t>指双肾功能慢性不可逆性衰竭，达到尿毒症期，经诊断后已经进行了至少 90 天的规律性透析治疗或实施了肾脏移植手术。</w:t>
      </w:r>
    </w:p>
    <w:p>
      <w:pPr>
        <w:pStyle w:val="BodyText"/>
        <w:spacing w:before="154"/>
      </w:pPr>
      <w:r>
        <w:rPr/>
        <w:t>（七）多个肢体缺失</w:t>
      </w:r>
    </w:p>
    <w:p>
      <w:pPr>
        <w:pStyle w:val="BodyText"/>
        <w:spacing w:line="278" w:lineRule="auto"/>
        <w:ind w:right="254"/>
      </w:pPr>
      <w:r>
        <w:rPr/>
        <w:t>指因疾病或意外伤害导致两个或两个以上肢体自腕关节或踝关节近端（靠近躯干端）以上完全性断离。</w:t>
      </w:r>
    </w:p>
    <w:p>
      <w:pPr>
        <w:pStyle w:val="BodyText"/>
        <w:spacing w:before="154"/>
      </w:pPr>
      <w:r>
        <w:rPr/>
        <w:t>（八）急性或亚急性重症肝炎</w:t>
      </w:r>
    </w:p>
    <w:p>
      <w:pPr>
        <w:pStyle w:val="BodyText"/>
        <w:spacing w:line="278" w:lineRule="auto" w:before="43"/>
        <w:ind w:right="177"/>
      </w:pPr>
      <w:r>
        <w:rPr/>
        <w:t>指因肝炎病毒感染引起肝脏组织弥漫性坏死，导致急性肝功能衰竭，且经血清学或病毒学检查证实，并须满足下列全部条件：</w:t>
      </w:r>
    </w:p>
    <w:p>
      <w:pPr>
        <w:pStyle w:val="BodyText"/>
        <w:spacing w:before="12"/>
      </w:pPr>
      <w:r>
        <w:rPr/>
        <w:t>(1)重度黄疸或黄疸迅速加重；</w:t>
      </w:r>
    </w:p>
    <w:p>
      <w:pPr>
        <w:pStyle w:val="BodyText"/>
      </w:pPr>
      <w:r>
        <w:rPr/>
        <w:t>(2)肝性脑病；</w:t>
      </w:r>
    </w:p>
    <w:p>
      <w:pPr>
        <w:spacing w:after="0"/>
        <w:sectPr>
          <w:pgSz w:w="11910" w:h="16840"/>
          <w:pgMar w:top="1400" w:bottom="280" w:left="1680" w:right="1060"/>
        </w:sectPr>
      </w:pPr>
    </w:p>
    <w:p>
      <w:pPr>
        <w:pStyle w:val="BodyText"/>
        <w:spacing w:before="12"/>
      </w:pPr>
      <w:r>
        <w:rPr/>
        <w:t>(3)B 超或其他影像学检查显示肝脏体积急速萎缩；</w:t>
      </w:r>
    </w:p>
    <w:p>
      <w:pPr>
        <w:pStyle w:val="BodyText"/>
      </w:pPr>
      <w:r>
        <w:rPr/>
        <w:t>(4)肝功能指标进行性恶化。</w:t>
      </w:r>
    </w:p>
    <w:p>
      <w:pPr>
        <w:pStyle w:val="BodyText"/>
        <w:spacing w:before="4"/>
        <w:ind w:left="0"/>
        <w:rPr>
          <w:sz w:val="14"/>
        </w:rPr>
      </w:pPr>
    </w:p>
    <w:p>
      <w:pPr>
        <w:pStyle w:val="BodyText"/>
        <w:spacing w:before="0"/>
      </w:pPr>
      <w:r>
        <w:rPr/>
        <w:t>（九）良性脑肿瘤</w:t>
      </w:r>
    </w:p>
    <w:p>
      <w:pPr>
        <w:pStyle w:val="BodyText"/>
        <w:spacing w:line="278" w:lineRule="auto" w:before="43"/>
        <w:ind w:right="113"/>
        <w:jc w:val="both"/>
      </w:pPr>
      <w:r>
        <w:rPr/>
        <w:t>指脑的良性肿瘤，已经引起颅内压增高，临床表现为视神经乳头水肿、精神</w:t>
      </w:r>
      <w:r>
        <w:rPr>
          <w:spacing w:val="-6"/>
          <w:w w:val="100"/>
        </w:rPr>
        <w:t>症状、癫痫及运动感觉障碍等，并危及生命。须由头颅断层扫描</w:t>
      </w:r>
      <w:r>
        <w:rPr>
          <w:spacing w:val="-3"/>
          <w:w w:val="100"/>
        </w:rPr>
        <w:t>（</w:t>
      </w:r>
      <w:r>
        <w:rPr>
          <w:w w:val="100"/>
        </w:rPr>
        <w:t>CT</w:t>
      </w:r>
      <w:r>
        <w:rPr>
          <w:spacing w:val="-106"/>
          <w:w w:val="100"/>
        </w:rPr>
        <w:t>）</w:t>
      </w:r>
      <w:r>
        <w:rPr>
          <w:spacing w:val="-3"/>
          <w:w w:val="100"/>
        </w:rPr>
        <w:t>、核磁</w:t>
      </w:r>
      <w:r>
        <w:rPr>
          <w:spacing w:val="-3"/>
        </w:rPr>
        <w:t>共振检查（MRI）或正电子发射断层扫描（PET）等影像学检查证实，并须满足下列至少一项条件：</w:t>
      </w:r>
    </w:p>
    <w:p>
      <w:pPr>
        <w:pStyle w:val="BodyText"/>
        <w:spacing w:before="10"/>
      </w:pPr>
      <w:r>
        <w:rPr/>
        <w:t>(1)实际实施了开颅进行的脑肿瘤完全切除或部分切除的手术；</w:t>
      </w:r>
    </w:p>
    <w:p>
      <w:pPr>
        <w:pStyle w:val="BodyText"/>
        <w:spacing w:before="46"/>
      </w:pPr>
      <w:r>
        <w:rPr/>
        <w:t>(2)实际实施了对脑肿瘤进行的放射治疗。</w:t>
      </w:r>
    </w:p>
    <w:p>
      <w:pPr>
        <w:pStyle w:val="BodyText"/>
        <w:spacing w:before="43"/>
      </w:pPr>
      <w:r>
        <w:rPr>
          <w:shd w:fill="D9D9D9" w:color="auto" w:val="clear"/>
        </w:rPr>
        <w:t>脑垂体瘤、脑囊肿、脑血管性疾病不在保障范围内。</w:t>
      </w:r>
    </w:p>
    <w:p>
      <w:pPr>
        <w:pStyle w:val="BodyText"/>
        <w:spacing w:before="4"/>
        <w:ind w:left="0"/>
        <w:rPr>
          <w:sz w:val="14"/>
        </w:rPr>
      </w:pPr>
    </w:p>
    <w:p>
      <w:pPr>
        <w:pStyle w:val="BodyText"/>
        <w:spacing w:before="0"/>
      </w:pPr>
      <w:r>
        <w:rPr/>
        <w:t>（十）慢性肝功能衰竭失代偿期</w:t>
      </w:r>
    </w:p>
    <w:p>
      <w:pPr>
        <w:pStyle w:val="BodyText"/>
      </w:pPr>
      <w:r>
        <w:rPr/>
        <w:t>指因慢性肝脏疾病导致肝功能衰竭。须满足下列全部条件：</w:t>
      </w:r>
    </w:p>
    <w:p>
      <w:pPr>
        <w:pStyle w:val="BodyText"/>
      </w:pPr>
      <w:r>
        <w:rPr/>
        <w:t>(1)持续性黄疸；</w:t>
      </w:r>
    </w:p>
    <w:p>
      <w:pPr>
        <w:pStyle w:val="BodyText"/>
        <w:spacing w:before="46"/>
      </w:pPr>
      <w:r>
        <w:rPr/>
        <w:t>(2)腹水；</w:t>
      </w:r>
    </w:p>
    <w:p>
      <w:pPr>
        <w:pStyle w:val="BodyText"/>
      </w:pPr>
      <w:r>
        <w:rPr/>
        <w:t>(3)肝性脑病；</w:t>
      </w:r>
    </w:p>
    <w:p>
      <w:pPr>
        <w:pStyle w:val="BodyText"/>
        <w:spacing w:line="280" w:lineRule="auto"/>
        <w:ind w:right="2085"/>
      </w:pPr>
      <w:r>
        <w:rPr/>
        <w:t>(4)充血性脾肿大伴脾功能亢进或食管胃底静脉曲张。</w:t>
      </w:r>
      <w:r>
        <w:rPr>
          <w:shd w:fill="D9D9D9" w:color="auto" w:val="clear"/>
        </w:rPr>
        <w:t>因酗酒或药物滥用导致的肝功能衰竭不在保障范围内。</w:t>
      </w:r>
    </w:p>
    <w:p>
      <w:pPr>
        <w:pStyle w:val="BodyText"/>
        <w:spacing w:before="149"/>
      </w:pPr>
      <w:r>
        <w:rPr/>
        <w:t>（十一）脑炎后遗症或脑膜炎后遗症</w:t>
      </w:r>
    </w:p>
    <w:p>
      <w:pPr>
        <w:pStyle w:val="BodyText"/>
        <w:spacing w:line="280" w:lineRule="auto" w:before="43"/>
        <w:ind w:right="194"/>
      </w:pPr>
      <w:r>
        <w:rPr/>
        <w:t>指因患脑炎或脑膜炎导致的神经系统永久性的功能障碍。神经系统永久性的功能障碍，指疾病确诊 180 天后，仍遗留下列一种或一种以上障碍：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8" w:lineRule="auto" w:before="46"/>
        <w:ind w:right="79"/>
      </w:pPr>
      <w:r>
        <w:rPr/>
        <w:t>(3)自主生活能力完全丧失，无法独立完成六项基本日常生活活动中的三项或三项以上。</w:t>
      </w:r>
    </w:p>
    <w:p>
      <w:pPr>
        <w:pStyle w:val="BodyText"/>
        <w:spacing w:before="154"/>
      </w:pPr>
      <w:r>
        <w:rPr/>
        <w:t>（十二）深度昏迷</w:t>
      </w:r>
    </w:p>
    <w:p>
      <w:pPr>
        <w:pStyle w:val="BodyText"/>
        <w:spacing w:line="280" w:lineRule="auto"/>
        <w:ind w:right="113"/>
        <w:jc w:val="both"/>
      </w:pPr>
      <w:r>
        <w:rPr/>
        <w:t>指因疾病或意外伤害导致意识丧失,对外界刺激和体内需求均无反应,昏迷程</w:t>
      </w:r>
      <w:r>
        <w:rPr>
          <w:spacing w:val="-3"/>
        </w:rPr>
        <w:t>度按照格拉斯哥昏迷分级</w:t>
      </w:r>
      <w:r>
        <w:rPr/>
        <w:t>（Glasgow coma scale）</w:t>
      </w:r>
      <w:r>
        <w:rPr>
          <w:spacing w:val="-10"/>
        </w:rPr>
        <w:t>结果为 </w:t>
      </w:r>
      <w:r>
        <w:rPr/>
        <w:t>5</w:t>
      </w:r>
      <w:r>
        <w:rPr>
          <w:spacing w:val="-16"/>
        </w:rPr>
        <w:t> 分或 </w:t>
      </w:r>
      <w:r>
        <w:rPr/>
        <w:t>5</w:t>
      </w:r>
      <w:r>
        <w:rPr>
          <w:spacing w:val="-8"/>
        </w:rPr>
        <w:t> 分以下， </w:t>
      </w:r>
      <w:r>
        <w:rPr>
          <w:spacing w:val="-7"/>
        </w:rPr>
        <w:t>且已经持续使用呼吸机及其他生命维持系统 </w:t>
      </w:r>
      <w:r>
        <w:rPr/>
        <w:t>96</w:t>
      </w:r>
      <w:r>
        <w:rPr>
          <w:spacing w:val="-9"/>
        </w:rPr>
        <w:t> 小时以上。</w:t>
      </w:r>
    </w:p>
    <w:p>
      <w:pPr>
        <w:pStyle w:val="BodyText"/>
        <w:spacing w:before="8"/>
      </w:pPr>
      <w:r>
        <w:rPr>
          <w:shd w:fill="D9D9D9" w:color="auto" w:val="clear"/>
        </w:rPr>
        <w:t>因酗酒或药物滥用导致的深度昏迷不在保障范围内。</w:t>
      </w:r>
    </w:p>
    <w:p>
      <w:pPr>
        <w:pStyle w:val="BodyText"/>
        <w:spacing w:before="2"/>
        <w:ind w:left="0"/>
        <w:rPr>
          <w:sz w:val="14"/>
        </w:rPr>
      </w:pPr>
    </w:p>
    <w:p>
      <w:pPr>
        <w:pStyle w:val="BodyText"/>
        <w:spacing w:before="0"/>
      </w:pPr>
      <w:r>
        <w:rPr/>
        <w:t>（十三）双耳失聪</w:t>
      </w:r>
    </w:p>
    <w:p>
      <w:pPr>
        <w:pStyle w:val="BodyText"/>
        <w:spacing w:line="278" w:lineRule="auto" w:before="46"/>
        <w:ind w:right="144"/>
        <w:jc w:val="both"/>
      </w:pPr>
      <w:r>
        <w:rPr>
          <w:spacing w:val="-5"/>
        </w:rPr>
        <w:t>指因疾病或意外伤害导致双耳听力永久不可逆性丧失，在 </w:t>
      </w:r>
      <w:r>
        <w:rPr/>
        <w:t>500</w:t>
      </w:r>
      <w:r>
        <w:rPr>
          <w:spacing w:val="-13"/>
        </w:rPr>
        <w:t> 赫兹、</w:t>
      </w:r>
      <w:r>
        <w:rPr/>
        <w:t>1000</w:t>
      </w:r>
      <w:r>
        <w:rPr>
          <w:spacing w:val="-23"/>
        </w:rPr>
        <w:t> 赫</w:t>
      </w:r>
      <w:r>
        <w:rPr>
          <w:spacing w:val="-31"/>
        </w:rPr>
        <w:t>兹和 </w:t>
      </w:r>
      <w:r>
        <w:rPr/>
        <w:t>2000</w:t>
      </w:r>
      <w:r>
        <w:rPr>
          <w:spacing w:val="-11"/>
        </w:rPr>
        <w:t> 赫兹语音频率下，平均听阈大于 </w:t>
      </w:r>
      <w:r>
        <w:rPr/>
        <w:t>90</w:t>
      </w:r>
      <w:r>
        <w:rPr>
          <w:spacing w:val="-8"/>
        </w:rPr>
        <w:t> 分贝，且经纯音听力测试、声</w:t>
      </w:r>
      <w:r>
        <w:rPr>
          <w:spacing w:val="-5"/>
        </w:rPr>
        <w:t>导抗检测或听觉诱发电位检测等证实。</w:t>
      </w:r>
    </w:p>
    <w:p>
      <w:pPr>
        <w:pStyle w:val="BodyText"/>
        <w:spacing w:before="154"/>
      </w:pPr>
      <w:r>
        <w:rPr/>
        <w:t>（十四）双目失明</w:t>
      </w:r>
    </w:p>
    <w:p>
      <w:pPr>
        <w:pStyle w:val="BodyText"/>
        <w:spacing w:line="280" w:lineRule="auto"/>
        <w:ind w:right="118"/>
      </w:pPr>
      <w:r>
        <w:rPr/>
        <w:t>指因疾病或意外伤害导致双眼视力永久不可逆性丧失，双眼中较好眼须满足下列至少一项条件：</w:t>
      </w:r>
    </w:p>
    <w:p>
      <w:pPr>
        <w:pStyle w:val="BodyText"/>
        <w:spacing w:before="8"/>
      </w:pPr>
      <w:r>
        <w:rPr/>
        <w:t>(1)眼球缺失或摘除；</w:t>
      </w:r>
    </w:p>
    <w:p>
      <w:pPr>
        <w:pStyle w:val="BodyText"/>
        <w:spacing w:line="280" w:lineRule="auto" w:before="43"/>
        <w:ind w:right="112"/>
      </w:pPr>
      <w:r>
        <w:rPr/>
        <w:t>(2)</w:t>
      </w:r>
      <w:r>
        <w:rPr>
          <w:spacing w:val="-6"/>
        </w:rPr>
        <w:t>矫正视力低于 </w:t>
      </w:r>
      <w:r>
        <w:rPr>
          <w:spacing w:val="-9"/>
        </w:rPr>
        <w:t>0.02（</w:t>
      </w:r>
      <w:r>
        <w:rPr>
          <w:spacing w:val="-7"/>
        </w:rPr>
        <w:t>采用国际标准视力表，如果使用其他视力表应进行换</w:t>
      </w:r>
      <w:r>
        <w:rPr>
          <w:spacing w:val="-7"/>
          <w:w w:val="100"/>
        </w:rPr>
        <w:t>算</w:t>
      </w:r>
      <w:r>
        <w:rPr>
          <w:spacing w:val="-106"/>
          <w:w w:val="100"/>
        </w:rPr>
        <w:t>）</w:t>
      </w:r>
      <w:r>
        <w:rPr>
          <w:w w:val="100"/>
        </w:rPr>
        <w:t>；</w:t>
      </w:r>
    </w:p>
    <w:p>
      <w:pPr>
        <w:pStyle w:val="BodyText"/>
        <w:spacing w:before="8"/>
      </w:pPr>
      <w:r>
        <w:rPr/>
        <w:t>(3)视野半径小于 5 度。</w:t>
      </w:r>
    </w:p>
    <w:p>
      <w:pPr>
        <w:spacing w:after="0"/>
        <w:sectPr>
          <w:pgSz w:w="11910" w:h="16840"/>
          <w:pgMar w:top="1400" w:bottom="280" w:left="1680" w:right="1120"/>
        </w:sectPr>
      </w:pPr>
    </w:p>
    <w:p>
      <w:pPr>
        <w:pStyle w:val="BodyText"/>
        <w:spacing w:before="12"/>
      </w:pPr>
      <w:r>
        <w:rPr/>
        <w:t>（十五）瘫痪</w:t>
      </w:r>
    </w:p>
    <w:p>
      <w:pPr>
        <w:pStyle w:val="BodyText"/>
        <w:spacing w:line="280" w:lineRule="auto"/>
        <w:ind w:right="294"/>
        <w:jc w:val="both"/>
      </w:pPr>
      <w:r>
        <w:rPr>
          <w:spacing w:val="-3"/>
        </w:rPr>
        <w:t>指因疾病或意外伤害导致两肢或两肢以上肢体机能永久完全丧失。肢体机能</w:t>
      </w:r>
      <w:r>
        <w:rPr>
          <w:spacing w:val="-7"/>
        </w:rPr>
        <w:t>永久完全丧失，指疾病确诊 </w:t>
      </w:r>
      <w:r>
        <w:rPr/>
        <w:t>180</w:t>
      </w:r>
      <w:r>
        <w:rPr>
          <w:spacing w:val="-12"/>
        </w:rPr>
        <w:t> 天后或意外伤害发生 </w:t>
      </w:r>
      <w:r>
        <w:rPr/>
        <w:t>180</w:t>
      </w:r>
      <w:r>
        <w:rPr>
          <w:spacing w:val="-8"/>
        </w:rPr>
        <w:t> 天后，每肢三大关</w:t>
      </w:r>
      <w:r>
        <w:rPr>
          <w:spacing w:val="-3"/>
        </w:rPr>
        <w:t>节中的两大关节仍然完全僵硬，或不能随意识活动。</w:t>
      </w:r>
    </w:p>
    <w:p>
      <w:pPr>
        <w:pStyle w:val="BodyText"/>
        <w:spacing w:before="150"/>
      </w:pPr>
      <w:r>
        <w:rPr/>
        <w:t>（十六）心脏瓣膜手术</w:t>
      </w:r>
    </w:p>
    <w:p>
      <w:pPr>
        <w:pStyle w:val="BodyText"/>
        <w:spacing w:before="46"/>
      </w:pPr>
      <w:r>
        <w:rPr/>
        <w:t>指为治疗心脏瓣膜疾病，实际实施了开胸进行的心脏瓣膜置换或修复的手术。</w:t>
      </w:r>
    </w:p>
    <w:p>
      <w:pPr>
        <w:pStyle w:val="BodyText"/>
        <w:spacing w:before="2"/>
        <w:ind w:left="0"/>
        <w:rPr>
          <w:sz w:val="14"/>
        </w:rPr>
      </w:pPr>
    </w:p>
    <w:p>
      <w:pPr>
        <w:pStyle w:val="BodyText"/>
        <w:spacing w:before="0"/>
      </w:pPr>
      <w:r>
        <w:rPr/>
        <w:t>（十七）严重阿尔茨海默病</w:t>
      </w:r>
    </w:p>
    <w:p>
      <w:pPr>
        <w:pStyle w:val="BodyText"/>
        <w:spacing w:line="278" w:lineRule="auto" w:before="47"/>
        <w:ind w:right="215"/>
        <w:jc w:val="both"/>
      </w:pPr>
      <w:r>
        <w:rPr/>
        <w:t>指因大脑进行性、不可逆性改变导致智能严重衰退或丧失，临床表现为明显的认知能力障碍、行为异常和社交能力减退，其日常生活必须持续受到他人</w:t>
      </w:r>
      <w:r>
        <w:rPr>
          <w:w w:val="100"/>
        </w:rPr>
        <w:t>监护。须由头颅断层扫描</w:t>
      </w:r>
      <w:r>
        <w:rPr>
          <w:spacing w:val="1"/>
          <w:w w:val="100"/>
        </w:rPr>
        <w:t>（</w:t>
      </w:r>
      <w:r>
        <w:rPr>
          <w:w w:val="100"/>
        </w:rPr>
        <w:t>C</w:t>
      </w:r>
      <w:r>
        <w:rPr>
          <w:spacing w:val="1"/>
          <w:w w:val="100"/>
        </w:rPr>
        <w:t>T</w:t>
      </w:r>
      <w:r>
        <w:rPr>
          <w:spacing w:val="-104"/>
          <w:w w:val="100"/>
        </w:rPr>
        <w:t>）</w:t>
      </w:r>
      <w:r>
        <w:rPr>
          <w:w w:val="100"/>
        </w:rPr>
        <w:t>、核磁共振检查（M</w:t>
      </w:r>
      <w:r>
        <w:rPr>
          <w:spacing w:val="-3"/>
          <w:w w:val="100"/>
        </w:rPr>
        <w:t>R</w:t>
      </w:r>
      <w:r>
        <w:rPr>
          <w:spacing w:val="1"/>
          <w:w w:val="100"/>
        </w:rPr>
        <w:t>I）</w:t>
      </w:r>
      <w:r>
        <w:rPr>
          <w:w w:val="100"/>
        </w:rPr>
        <w:t>或正电子发射断层扫</w:t>
      </w:r>
      <w:r>
        <w:rPr>
          <w:spacing w:val="-5"/>
        </w:rPr>
        <w:t>描</w:t>
      </w:r>
      <w:r>
        <w:rPr>
          <w:spacing w:val="-3"/>
        </w:rPr>
        <w:t>（PET）</w:t>
      </w:r>
      <w:r>
        <w:rPr>
          <w:spacing w:val="-5"/>
        </w:rPr>
        <w:t>等影像学检查证实，且自主生活能力完全丧失，无法独立完成六项</w:t>
      </w:r>
      <w:r>
        <w:rPr>
          <w:spacing w:val="-3"/>
        </w:rPr>
        <w:t>基本日常生活活动中的三项或三项以上。</w:t>
      </w:r>
    </w:p>
    <w:p>
      <w:pPr>
        <w:pStyle w:val="BodyText"/>
        <w:spacing w:before="11"/>
      </w:pPr>
      <w:r>
        <w:rPr>
          <w:shd w:fill="D9D9D9" w:color="auto" w:val="clear"/>
        </w:rPr>
        <w:t>神经官能症和精神疾病不在保障范围内。</w:t>
      </w:r>
    </w:p>
    <w:p>
      <w:pPr>
        <w:pStyle w:val="BodyText"/>
        <w:spacing w:before="5"/>
        <w:ind w:left="0"/>
        <w:rPr>
          <w:sz w:val="14"/>
        </w:rPr>
      </w:pPr>
    </w:p>
    <w:p>
      <w:pPr>
        <w:pStyle w:val="BodyText"/>
        <w:spacing w:before="0"/>
      </w:pPr>
      <w:r>
        <w:rPr/>
        <w:t>（十八）严重脑损伤</w:t>
      </w:r>
    </w:p>
    <w:p>
      <w:pPr>
        <w:pStyle w:val="BodyText"/>
        <w:spacing w:line="278" w:lineRule="auto"/>
        <w:ind w:right="215"/>
        <w:jc w:val="both"/>
      </w:pPr>
      <w:r>
        <w:rPr/>
        <w:t>指因头部遭受机械性外力，引起脑重要部位损伤，导致神经系统永久性的功</w:t>
      </w:r>
      <w:r>
        <w:rPr>
          <w:w w:val="100"/>
        </w:rPr>
        <w:t>能障碍。须由头颅断层扫描</w:t>
      </w:r>
      <w:r>
        <w:rPr>
          <w:spacing w:val="1"/>
          <w:w w:val="100"/>
        </w:rPr>
        <w:t>（</w:t>
      </w:r>
      <w:r>
        <w:rPr>
          <w:w w:val="100"/>
        </w:rPr>
        <w:t>C</w:t>
      </w:r>
      <w:r>
        <w:rPr>
          <w:spacing w:val="1"/>
          <w:w w:val="100"/>
        </w:rPr>
        <w:t>T</w:t>
      </w:r>
      <w:r>
        <w:rPr>
          <w:spacing w:val="-106"/>
          <w:w w:val="100"/>
        </w:rPr>
        <w:t>）</w:t>
      </w:r>
      <w:r>
        <w:rPr>
          <w:w w:val="100"/>
        </w:rPr>
        <w:t>、核磁共振检查（MR</w:t>
      </w:r>
      <w:r>
        <w:rPr>
          <w:spacing w:val="1"/>
          <w:w w:val="100"/>
        </w:rPr>
        <w:t>I）</w:t>
      </w:r>
      <w:r>
        <w:rPr>
          <w:w w:val="100"/>
        </w:rPr>
        <w:t>或正电子发射断层</w:t>
      </w:r>
      <w:r>
        <w:rPr/>
        <w:t>扫描（PET）</w:t>
      </w:r>
      <w:r>
        <w:rPr>
          <w:spacing w:val="-3"/>
        </w:rPr>
        <w:t>等影像学检查证实。神经系统永久性的功能障碍，指脑损伤 </w:t>
      </w:r>
      <w:r>
        <w:rPr/>
        <w:t>180 </w:t>
      </w:r>
      <w:r>
        <w:rPr>
          <w:spacing w:val="-3"/>
        </w:rPr>
        <w:t>天后，仍遗留下列一种或一种以上障碍：</w:t>
      </w:r>
    </w:p>
    <w:p>
      <w:pPr>
        <w:pStyle w:val="BodyText"/>
        <w:spacing w:before="10"/>
      </w:pPr>
      <w:r>
        <w:rPr/>
        <w:t>(1)一肢或一肢以上肢体机能完全丧失；</w:t>
      </w:r>
    </w:p>
    <w:p>
      <w:pPr>
        <w:pStyle w:val="BodyText"/>
        <w:spacing w:before="46"/>
      </w:pPr>
      <w:r>
        <w:rPr/>
        <w:t>(2)语言能力或咀嚼吞咽能力完全丧失；</w:t>
      </w:r>
    </w:p>
    <w:p>
      <w:pPr>
        <w:pStyle w:val="BodyText"/>
        <w:spacing w:line="278" w:lineRule="auto"/>
        <w:ind w:right="179"/>
      </w:pPr>
      <w:r>
        <w:rPr/>
        <w:t>(3)自主生活能力完全丧失，无法独立完成六项基本日常生活活动中的三项或三项以上。</w:t>
      </w:r>
    </w:p>
    <w:p>
      <w:pPr>
        <w:pStyle w:val="BodyText"/>
        <w:spacing w:before="154"/>
      </w:pPr>
      <w:r>
        <w:rPr/>
        <w:t>（十九）严重帕金森病</w:t>
      </w:r>
    </w:p>
    <w:p>
      <w:pPr>
        <w:pStyle w:val="BodyText"/>
        <w:spacing w:line="280" w:lineRule="auto" w:before="43"/>
        <w:ind w:right="217"/>
      </w:pPr>
      <w:r>
        <w:rPr/>
        <w:t>是一种中枢神经系统的退行性疾病，临床表现为震颤麻痹、共济失调等。须满足下列全部条件：</w:t>
      </w:r>
    </w:p>
    <w:p>
      <w:pPr>
        <w:pStyle w:val="BodyText"/>
        <w:spacing w:before="8"/>
      </w:pPr>
      <w:r>
        <w:rPr/>
        <w:t>(1)药物治疗无法控制病情；</w:t>
      </w:r>
    </w:p>
    <w:p>
      <w:pPr>
        <w:pStyle w:val="BodyText"/>
        <w:spacing w:line="280" w:lineRule="auto"/>
        <w:ind w:right="179"/>
      </w:pPr>
      <w:r>
        <w:rPr/>
        <w:t>(2)自主生活能力完全丧失，无法独立完成六项基本日常生活活动中的三项或三项以上。</w:t>
      </w:r>
    </w:p>
    <w:p>
      <w:pPr>
        <w:pStyle w:val="BodyText"/>
        <w:spacing w:before="8"/>
      </w:pPr>
      <w:r>
        <w:rPr>
          <w:shd w:fill="D9D9D9" w:color="auto" w:val="clear"/>
        </w:rPr>
        <w:t>继发性帕金森综合征不在保障范围内。</w:t>
      </w:r>
    </w:p>
    <w:p>
      <w:pPr>
        <w:pStyle w:val="BodyText"/>
        <w:spacing w:before="2"/>
        <w:ind w:left="0"/>
        <w:rPr>
          <w:sz w:val="14"/>
        </w:rPr>
      </w:pPr>
    </w:p>
    <w:p>
      <w:pPr>
        <w:pStyle w:val="BodyText"/>
        <w:spacing w:before="0"/>
      </w:pPr>
      <w:r>
        <w:rPr/>
        <w:t>（二十）严重Ⅲ度烧伤</w:t>
      </w:r>
    </w:p>
    <w:p>
      <w:pPr>
        <w:pStyle w:val="BodyText"/>
        <w:spacing w:line="278" w:lineRule="auto" w:before="46"/>
        <w:ind w:right="109"/>
      </w:pPr>
      <w:r>
        <w:rPr>
          <w:spacing w:val="-14"/>
        </w:rPr>
        <w:t>指烧伤程度为Ⅲ度，且Ⅲ度烧伤的面积达到全身体表面积的 </w:t>
      </w:r>
      <w:r>
        <w:rPr/>
        <w:t>20</w:t>
      </w:r>
      <w:r>
        <w:rPr>
          <w:spacing w:val="-18"/>
        </w:rPr>
        <w:t>％或 </w:t>
      </w:r>
      <w:r>
        <w:rPr/>
        <w:t>20</w:t>
      </w:r>
      <w:r>
        <w:rPr>
          <w:spacing w:val="-1"/>
        </w:rPr>
        <w:t>％以上。</w:t>
      </w:r>
      <w:r>
        <w:rPr>
          <w:spacing w:val="-3"/>
        </w:rPr>
        <w:t>体表面积根据《中国新九分法》计算。</w:t>
      </w:r>
    </w:p>
    <w:p>
      <w:pPr>
        <w:pStyle w:val="BodyText"/>
        <w:spacing w:before="154"/>
      </w:pPr>
      <w:r>
        <w:rPr/>
        <w:t>（二十一）严重原发性肺动脉高压</w:t>
      </w:r>
    </w:p>
    <w:p>
      <w:pPr>
        <w:pStyle w:val="BodyText"/>
        <w:spacing w:line="280" w:lineRule="auto"/>
        <w:ind w:right="294"/>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50"/>
      </w:pPr>
      <w:r>
        <w:rPr/>
        <w:t>（二十二）严重运动神经元病</w:t>
      </w:r>
    </w:p>
    <w:p>
      <w:pPr>
        <w:pStyle w:val="BodyText"/>
        <w:spacing w:line="280" w:lineRule="auto"/>
        <w:ind w:right="62"/>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w:t>
      </w:r>
    </w:p>
    <w:p>
      <w:pPr>
        <w:spacing w:after="0" w:line="280" w:lineRule="auto"/>
        <w:sectPr>
          <w:pgSz w:w="11910" w:h="16840"/>
          <w:pgMar w:top="1400" w:bottom="280" w:left="1680" w:right="1020"/>
        </w:sectPr>
      </w:pPr>
    </w:p>
    <w:p>
      <w:pPr>
        <w:pStyle w:val="BodyText"/>
        <w:spacing w:before="12"/>
      </w:pPr>
      <w:r>
        <w:rPr/>
        <w:t>上的条件。</w:t>
      </w:r>
    </w:p>
    <w:p>
      <w:pPr>
        <w:pStyle w:val="BodyText"/>
        <w:spacing w:before="2"/>
        <w:ind w:left="0"/>
        <w:rPr>
          <w:sz w:val="14"/>
        </w:rPr>
      </w:pPr>
    </w:p>
    <w:p>
      <w:pPr>
        <w:pStyle w:val="BodyText"/>
        <w:spacing w:before="0"/>
      </w:pPr>
      <w:r>
        <w:rPr/>
        <w:t>（二十三）语言能力丧失</w:t>
      </w:r>
    </w:p>
    <w:p>
      <w:pPr>
        <w:pStyle w:val="BodyText"/>
        <w:spacing w:line="278" w:lineRule="auto" w:before="46"/>
        <w:ind w:right="133"/>
      </w:pPr>
      <w:r>
        <w:rPr>
          <w:spacing w:val="-6"/>
        </w:rPr>
        <w:t>指因疾病或意外伤害导致完全丧失语言能力，经过积极治疗至少 </w:t>
      </w:r>
      <w:r>
        <w:rPr/>
        <w:t>12</w:t>
      </w:r>
      <w:r>
        <w:rPr>
          <w:spacing w:val="-19"/>
        </w:rPr>
        <w:t> 个月</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11"/>
      </w:pPr>
      <w:r>
        <w:rPr>
          <w:shd w:fill="D9D9D9" w:color="auto" w:val="clear"/>
        </w:rPr>
        <w:t>精神心理因素所致的语言能力丧失不在保障范围内。</w:t>
      </w:r>
    </w:p>
    <w:p>
      <w:pPr>
        <w:pStyle w:val="BodyText"/>
        <w:spacing w:before="5"/>
        <w:ind w:left="0"/>
        <w:rPr>
          <w:sz w:val="14"/>
        </w:rPr>
      </w:pPr>
    </w:p>
    <w:p>
      <w:pPr>
        <w:pStyle w:val="BodyText"/>
        <w:spacing w:before="0"/>
      </w:pPr>
      <w:r>
        <w:rPr/>
        <w:t>（二十四）重型再生障碍性贫血</w:t>
      </w:r>
    </w:p>
    <w:p>
      <w:pPr>
        <w:pStyle w:val="BodyText"/>
        <w:spacing w:line="280" w:lineRule="auto"/>
        <w:ind w:right="138"/>
      </w:pPr>
      <w:r>
        <w:rPr/>
        <w:t>指因骨髓造血功能慢性持续性衰竭导致的贫血、中性粒细胞减少及血小板减少。须满足下列全部条件：</w:t>
      </w:r>
    </w:p>
    <w:p>
      <w:pPr>
        <w:pStyle w:val="BodyText"/>
        <w:spacing w:before="8"/>
      </w:pPr>
      <w:r>
        <w:rPr/>
        <w:t>(1)骨髓穿刺检查或骨髓活检结果支持诊断；</w:t>
      </w:r>
    </w:p>
    <w:p>
      <w:pPr>
        <w:pStyle w:val="BodyText"/>
      </w:pPr>
      <w:r>
        <w:rPr/>
        <w:t>(2)外周血象须具备以下三项条件：</w:t>
      </w:r>
    </w:p>
    <w:p>
      <w:pPr>
        <w:pStyle w:val="BodyText"/>
        <w:spacing w:before="46"/>
      </w:pPr>
      <w:r>
        <w:rPr/>
        <w:t>①中性粒细胞绝对值≤0.5×10</w:t>
      </w:r>
      <w:r>
        <w:rPr>
          <w:position w:val="11"/>
          <w:sz w:val="11"/>
        </w:rPr>
        <w:t>9</w:t>
      </w:r>
      <w:r>
        <w:rPr/>
        <w:t>/L ；</w:t>
      </w:r>
    </w:p>
    <w:p>
      <w:pPr>
        <w:pStyle w:val="BodyText"/>
      </w:pPr>
      <w:r>
        <w:rPr/>
        <w:t>②网织红细胞＜1％；</w:t>
      </w:r>
    </w:p>
    <w:p>
      <w:pPr>
        <w:pStyle w:val="BodyText"/>
      </w:pPr>
      <w:r>
        <w:rPr/>
        <w:t>③血小板绝对值≤20×10</w:t>
      </w:r>
      <w:r>
        <w:rPr>
          <w:position w:val="11"/>
          <w:sz w:val="11"/>
        </w:rPr>
        <w:t>9</w:t>
      </w:r>
      <w:r>
        <w:rPr/>
        <w:t>/L。</w:t>
      </w:r>
    </w:p>
    <w:p>
      <w:pPr>
        <w:pStyle w:val="BodyText"/>
        <w:spacing w:before="188"/>
      </w:pPr>
      <w:r>
        <w:rPr/>
        <w:t>（二十五）主动脉手术</w:t>
      </w:r>
    </w:p>
    <w:p>
      <w:pPr>
        <w:pStyle w:val="BodyText"/>
        <w:spacing w:line="280" w:lineRule="auto"/>
        <w:ind w:right="137"/>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pPr>
      <w:r>
        <w:rPr>
          <w:shd w:fill="D9D9D9" w:color="auto" w:val="clear"/>
        </w:rPr>
        <w:t>动脉内血管成形术不在保障范围内。</w:t>
      </w:r>
    </w:p>
    <w:p>
      <w:pPr>
        <w:pStyle w:val="BodyText"/>
        <w:spacing w:before="5"/>
        <w:ind w:left="0"/>
        <w:rPr>
          <w:sz w:val="14"/>
        </w:rPr>
      </w:pPr>
    </w:p>
    <w:p>
      <w:pPr>
        <w:pStyle w:val="BodyText"/>
        <w:spacing w:before="0"/>
      </w:pPr>
      <w:r>
        <w:rPr/>
        <w:t>（二十六）严重原发性心肌病</w:t>
      </w:r>
    </w:p>
    <w:p>
      <w:pPr>
        <w:pStyle w:val="BodyText"/>
        <w:spacing w:line="278" w:lineRule="auto"/>
        <w:ind w:right="111"/>
        <w:jc w:val="both"/>
      </w:pPr>
      <w:r>
        <w:rPr/>
        <w:t>指不明原因引起的一类心肌病变，包括原发性扩张型心肌病、原发性肥厚型心肌病及原发性限制型心肌病三种，病变必须已造成事实上心室功能障碍而</w:t>
      </w:r>
      <w:r>
        <w:rPr>
          <w:spacing w:val="-3"/>
          <w:w w:val="100"/>
        </w:rPr>
        <w:t>出现明显的心功能衰竭（美国纽约心脏协会心功能分类标准心功能达四级</w:t>
      </w:r>
      <w:r>
        <w:rPr>
          <w:spacing w:val="-108"/>
          <w:w w:val="100"/>
        </w:rPr>
        <w:t>）</w:t>
      </w:r>
      <w:r>
        <w:rPr>
          <w:w w:val="100"/>
        </w:rPr>
        <w:t>，</w:t>
      </w:r>
      <w:r>
        <w:rPr>
          <w:spacing w:val="-5"/>
        </w:rPr>
        <w:t>且有相关住院医疗记录显示四级心功能衰竭状态持续至少 </w:t>
      </w:r>
      <w:r>
        <w:rPr/>
        <w:t>180</w:t>
      </w:r>
      <w:r>
        <w:rPr>
          <w:spacing w:val="-14"/>
        </w:rPr>
        <w:t> 天。</w:t>
      </w:r>
    </w:p>
    <w:p>
      <w:pPr>
        <w:pStyle w:val="BodyText"/>
        <w:spacing w:line="280" w:lineRule="auto" w:before="10"/>
        <w:ind w:right="213"/>
      </w:pPr>
      <w:r>
        <w:rPr>
          <w:spacing w:val="-4"/>
          <w:shd w:fill="D9D9D9" w:color="auto" w:val="clear"/>
        </w:rPr>
        <w:t>继发于全身性疾病或其它器官系统疾病造成的心肌病变不在保障范围内。</w:t>
      </w:r>
      <w:r>
        <w:rPr>
          <w:spacing w:val="-4"/>
        </w:rPr>
        <w:t> </w:t>
      </w:r>
      <w:r>
        <w:rPr>
          <w:spacing w:val="-3"/>
        </w:rPr>
        <w:t>美国纽约心脏协会分类标准心功能四级是指有医院的医疗记录显示病人不能进行任何活动，休息时仍有心悸、呼吸困难等心力衰竭表现。</w:t>
      </w:r>
    </w:p>
    <w:p>
      <w:pPr>
        <w:pStyle w:val="BodyText"/>
        <w:spacing w:before="149"/>
      </w:pPr>
      <w:r>
        <w:rPr/>
        <w:t>（二十七）终末期肺病</w:t>
      </w:r>
    </w:p>
    <w:p>
      <w:pPr>
        <w:pStyle w:val="BodyText"/>
        <w:spacing w:before="46"/>
      </w:pPr>
      <w:r>
        <w:rPr/>
        <w:t>指患有终末期肺病而出现慢性呼吸功能衰竭。须满足下列全部条件：</w:t>
      </w:r>
    </w:p>
    <w:p>
      <w:pPr>
        <w:pStyle w:val="BodyText"/>
      </w:pPr>
      <w:r>
        <w:rPr/>
        <w:t>(1)肺功能测试其 FEV1 持续低于 1 升；</w:t>
      </w:r>
    </w:p>
    <w:p>
      <w:pPr>
        <w:pStyle w:val="BodyText"/>
      </w:pPr>
      <w:r>
        <w:rPr/>
        <w:t>(2)病人血氧不足必须持续地进行输氧治疗；</w:t>
      </w:r>
    </w:p>
    <w:p>
      <w:pPr>
        <w:pStyle w:val="BodyText"/>
        <w:spacing w:before="46"/>
      </w:pPr>
      <w:r>
        <w:rPr/>
        <w:t>(3)动脉血气分析氧分压等于或低于 55mmHg；</w:t>
      </w:r>
    </w:p>
    <w:p>
      <w:pPr>
        <w:pStyle w:val="BodyText"/>
        <w:spacing w:before="43"/>
      </w:pPr>
      <w:r>
        <w:rPr/>
        <w:t>(4)休息时出现呼吸困难。</w:t>
      </w:r>
    </w:p>
    <w:p>
      <w:pPr>
        <w:pStyle w:val="BodyText"/>
        <w:spacing w:before="4"/>
        <w:ind w:left="0"/>
        <w:rPr>
          <w:sz w:val="14"/>
        </w:rPr>
      </w:pPr>
    </w:p>
    <w:p>
      <w:pPr>
        <w:pStyle w:val="BodyText"/>
        <w:spacing w:before="0"/>
      </w:pPr>
      <w:r>
        <w:rPr/>
        <w:t>（二十八）多发性硬化症</w:t>
      </w:r>
    </w:p>
    <w:p>
      <w:pPr>
        <w:pStyle w:val="BodyText"/>
        <w:spacing w:line="278" w:lineRule="auto"/>
        <w:ind w:right="135"/>
      </w:pPr>
      <w:r>
        <w:rPr>
          <w:spacing w:val="-3"/>
        </w:rPr>
        <w:t>指因中枢神经系统脱髓鞘所致的不可逆的神经系统功能障碍，须由计算机断</w:t>
      </w:r>
      <w:r>
        <w:rPr>
          <w:spacing w:val="-5"/>
          <w:w w:val="100"/>
        </w:rPr>
        <w:t>层扫描</w:t>
      </w:r>
      <w:r>
        <w:rPr>
          <w:w w:val="100"/>
        </w:rPr>
        <w:t>（CT</w:t>
      </w:r>
      <w:r>
        <w:rPr>
          <w:spacing w:val="-106"/>
          <w:w w:val="100"/>
        </w:rPr>
        <w:t>）</w:t>
      </w:r>
      <w:r>
        <w:rPr>
          <w:spacing w:val="-4"/>
          <w:w w:val="100"/>
        </w:rPr>
        <w:t>、核磁共振检查</w:t>
      </w:r>
      <w:r>
        <w:rPr>
          <w:w w:val="100"/>
        </w:rPr>
        <w:t>（MRI</w:t>
      </w:r>
      <w:r>
        <w:rPr>
          <w:spacing w:val="-8"/>
          <w:w w:val="100"/>
        </w:rPr>
        <w:t>）</w:t>
      </w:r>
      <w:r>
        <w:rPr>
          <w:spacing w:val="-4"/>
          <w:w w:val="100"/>
        </w:rPr>
        <w:t>或正电子发射断层扫描</w:t>
      </w:r>
      <w:r>
        <w:rPr>
          <w:w w:val="100"/>
        </w:rPr>
        <w:t>（PET</w:t>
      </w:r>
      <w:r>
        <w:rPr>
          <w:spacing w:val="-8"/>
          <w:w w:val="100"/>
        </w:rPr>
        <w:t>）</w:t>
      </w:r>
      <w:r>
        <w:rPr>
          <w:spacing w:val="-2"/>
          <w:w w:val="100"/>
        </w:rPr>
        <w:t>等影像学</w:t>
      </w:r>
      <w:r>
        <w:rPr>
          <w:spacing w:val="-3"/>
        </w:rPr>
        <w:t>检查证实，且已经造成自主生活能力完全丧失，无法独立完成六项基本日常</w:t>
      </w:r>
      <w:r>
        <w:rPr>
          <w:spacing w:val="-5"/>
        </w:rPr>
        <w:t>生活活动中的三项或三项以上，持续至少 </w:t>
      </w:r>
      <w:r>
        <w:rPr/>
        <w:t>180</w:t>
      </w:r>
      <w:r>
        <w:rPr>
          <w:spacing w:val="-15"/>
        </w:rPr>
        <w:t> 天。</w:t>
      </w:r>
    </w:p>
    <w:p>
      <w:pPr>
        <w:pStyle w:val="BodyText"/>
        <w:spacing w:before="152"/>
      </w:pPr>
      <w:r>
        <w:rPr/>
        <w:t>（二十九）系统性红斑狼疮累及肾脏（严重的狼疮性肾炎）</w:t>
      </w:r>
    </w:p>
    <w:p>
      <w:pPr>
        <w:pStyle w:val="BodyText"/>
        <w:spacing w:line="278" w:lineRule="auto" w:before="46"/>
        <w:ind w:right="135"/>
      </w:pPr>
      <w:r>
        <w:rPr/>
        <w:t>指系统性红斑狼疮累及肾脏导致的功能损害，经肾脏活检，病理结果符合世</w:t>
      </w:r>
      <w:r>
        <w:rPr>
          <w:spacing w:val="-2"/>
        </w:rPr>
        <w:t>界卫生组织</w:t>
      </w:r>
      <w:r>
        <w:rPr/>
        <w:t>（WHO）</w:t>
      </w:r>
      <w:r>
        <w:rPr>
          <w:spacing w:val="-6"/>
        </w:rPr>
        <w:t>诊断标准定义中的 </w:t>
      </w:r>
      <w:r>
        <w:rPr/>
        <w:t>III</w:t>
      </w:r>
      <w:r>
        <w:rPr>
          <w:spacing w:val="-15"/>
        </w:rPr>
        <w:t> 型至 </w:t>
      </w:r>
      <w:r>
        <w:rPr/>
        <w:t>VI</w:t>
      </w:r>
      <w:r>
        <w:rPr>
          <w:spacing w:val="-7"/>
        </w:rPr>
        <w:t> 型的狼疮性肾炎。</w:t>
      </w:r>
      <w:r>
        <w:rPr>
          <w:spacing w:val="-2"/>
          <w:shd w:fill="D9D9D9" w:color="auto" w:val="clear"/>
        </w:rPr>
        <w:t>其它类</w:t>
      </w:r>
    </w:p>
    <w:p>
      <w:pPr>
        <w:spacing w:after="0" w:line="278" w:lineRule="auto"/>
        <w:sectPr>
          <w:pgSz w:w="11910" w:h="16840"/>
          <w:pgMar w:top="1400" w:bottom="280" w:left="1680" w:right="1100"/>
        </w:sectPr>
      </w:pPr>
    </w:p>
    <w:p>
      <w:pPr>
        <w:pStyle w:val="BodyText"/>
        <w:spacing w:line="278" w:lineRule="auto" w:before="12"/>
        <w:ind w:right="118"/>
      </w:pPr>
      <w:r>
        <w:rPr>
          <w:shd w:fill="D9D9D9" w:color="auto" w:val="clear"/>
        </w:rPr>
        <w:t>型的狼疮，例如盘状红斑狼疮或那些只影响血液和关节的红斑狼疮不在保障</w:t>
      </w:r>
      <w:r>
        <w:rPr>
          <w:spacing w:val="-212"/>
          <w:shd w:fill="D9D9D9" w:color="auto" w:val="clear"/>
        </w:rPr>
        <w:t>范</w:t>
      </w:r>
      <w:r>
        <w:rPr>
          <w:spacing w:val="-2"/>
          <w:shd w:fill="D9D9D9" w:color="auto" w:val="clear"/>
        </w:rPr>
        <w:t>围内。</w:t>
      </w:r>
    </w:p>
    <w:p>
      <w:pPr>
        <w:pStyle w:val="BodyText"/>
        <w:spacing w:before="10"/>
      </w:pPr>
      <w:r>
        <w:rPr/>
        <w:t>世界卫生组织（WHO）狼疮性肾炎标准病理分型：</w:t>
      </w:r>
    </w:p>
    <w:p>
      <w:pPr>
        <w:pStyle w:val="ListParagraph"/>
        <w:numPr>
          <w:ilvl w:val="0"/>
          <w:numId w:val="7"/>
        </w:numPr>
        <w:tabs>
          <w:tab w:pos="2184" w:val="left" w:leader="none"/>
          <w:tab w:pos="4283" w:val="left" w:leader="none"/>
        </w:tabs>
        <w:spacing w:line="240" w:lineRule="auto" w:before="46" w:after="0"/>
        <w:ind w:left="2183" w:right="0" w:hanging="211"/>
        <w:jc w:val="left"/>
        <w:rPr>
          <w:sz w:val="21"/>
        </w:rPr>
      </w:pPr>
      <w:r>
        <w:rPr>
          <w:sz w:val="21"/>
        </w:rPr>
        <w:t>型</w:t>
        <w:tab/>
        <w:t>正常</w:t>
      </w:r>
      <w:r>
        <w:rPr>
          <w:spacing w:val="-3"/>
          <w:sz w:val="21"/>
        </w:rPr>
        <w:t>肾</w:t>
      </w:r>
      <w:r>
        <w:rPr>
          <w:sz w:val="21"/>
        </w:rPr>
        <w:t>小</w:t>
      </w:r>
      <w:r>
        <w:rPr>
          <w:spacing w:val="-3"/>
          <w:sz w:val="21"/>
        </w:rPr>
        <w:t>球</w:t>
      </w:r>
      <w:r>
        <w:rPr>
          <w:sz w:val="21"/>
        </w:rPr>
        <w:t>型</w:t>
      </w:r>
    </w:p>
    <w:p>
      <w:pPr>
        <w:pStyle w:val="ListParagraph"/>
        <w:numPr>
          <w:ilvl w:val="0"/>
          <w:numId w:val="7"/>
        </w:numPr>
        <w:tabs>
          <w:tab w:pos="2237" w:val="left" w:leader="none"/>
          <w:tab w:pos="4334" w:val="left" w:leader="none"/>
        </w:tabs>
        <w:spacing w:line="240" w:lineRule="auto" w:before="44" w:after="0"/>
        <w:ind w:left="2236" w:right="0" w:hanging="264"/>
        <w:jc w:val="left"/>
        <w:rPr>
          <w:sz w:val="21"/>
        </w:rPr>
      </w:pPr>
      <w:r>
        <w:rPr>
          <w:sz w:val="21"/>
        </w:rPr>
        <w:t>型</w:t>
        <w:tab/>
        <w:t>系膜</w:t>
      </w:r>
      <w:r>
        <w:rPr>
          <w:spacing w:val="-3"/>
          <w:sz w:val="21"/>
        </w:rPr>
        <w:t>增</w:t>
      </w:r>
      <w:r>
        <w:rPr>
          <w:sz w:val="21"/>
        </w:rPr>
        <w:t>生型</w:t>
      </w:r>
    </w:p>
    <w:p>
      <w:pPr>
        <w:pStyle w:val="ListParagraph"/>
        <w:numPr>
          <w:ilvl w:val="0"/>
          <w:numId w:val="7"/>
        </w:numPr>
        <w:tabs>
          <w:tab w:pos="2343" w:val="left" w:leader="none"/>
          <w:tab w:pos="4334" w:val="left" w:leader="none"/>
        </w:tabs>
        <w:spacing w:line="240" w:lineRule="auto" w:before="44" w:after="0"/>
        <w:ind w:left="2342" w:right="0" w:hanging="370"/>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ListParagraph"/>
        <w:numPr>
          <w:ilvl w:val="0"/>
          <w:numId w:val="7"/>
        </w:numPr>
        <w:tabs>
          <w:tab w:pos="2237" w:val="left" w:leader="none"/>
          <w:tab w:pos="4334" w:val="left" w:leader="none"/>
        </w:tabs>
        <w:spacing w:line="240" w:lineRule="auto" w:before="46" w:after="0"/>
        <w:ind w:left="2236" w:right="0" w:hanging="264"/>
        <w:jc w:val="left"/>
        <w:rPr>
          <w:sz w:val="21"/>
        </w:rPr>
      </w:pPr>
      <w:r>
        <w:rPr>
          <w:sz w:val="21"/>
        </w:rPr>
        <w:t>型</w:t>
        <w:tab/>
        <w:t>弥漫</w:t>
      </w:r>
      <w:r>
        <w:rPr>
          <w:spacing w:val="-3"/>
          <w:sz w:val="21"/>
        </w:rPr>
        <w:t>增</w:t>
      </w:r>
      <w:r>
        <w:rPr>
          <w:sz w:val="21"/>
        </w:rPr>
        <w:t>生型</w:t>
      </w:r>
    </w:p>
    <w:p>
      <w:pPr>
        <w:pStyle w:val="ListParagraph"/>
        <w:numPr>
          <w:ilvl w:val="0"/>
          <w:numId w:val="7"/>
        </w:numPr>
        <w:tabs>
          <w:tab w:pos="2132" w:val="left" w:leader="none"/>
          <w:tab w:pos="4334" w:val="left" w:leader="none"/>
        </w:tabs>
        <w:spacing w:line="240" w:lineRule="auto" w:before="44" w:after="0"/>
        <w:ind w:left="2131" w:right="0" w:hanging="159"/>
        <w:jc w:val="left"/>
        <w:rPr>
          <w:sz w:val="21"/>
        </w:rPr>
      </w:pPr>
      <w:r>
        <w:rPr>
          <w:sz w:val="21"/>
        </w:rPr>
        <w:t>型</w:t>
        <w:tab/>
        <w:t>膜型</w:t>
      </w:r>
    </w:p>
    <w:p>
      <w:pPr>
        <w:pStyle w:val="ListParagraph"/>
        <w:numPr>
          <w:ilvl w:val="0"/>
          <w:numId w:val="7"/>
        </w:numPr>
        <w:tabs>
          <w:tab w:pos="2237" w:val="left" w:leader="none"/>
          <w:tab w:pos="4334" w:val="left" w:leader="none"/>
        </w:tabs>
        <w:spacing w:line="240" w:lineRule="auto" w:before="44" w:after="0"/>
        <w:ind w:left="2236" w:right="0" w:hanging="264"/>
        <w:jc w:val="left"/>
        <w:rPr>
          <w:sz w:val="21"/>
        </w:rPr>
      </w:pPr>
      <w:r>
        <w:rPr>
          <w:sz w:val="21"/>
        </w:rPr>
        <w:t>型</w:t>
        <w:tab/>
        <w:t>肾小</w:t>
      </w:r>
      <w:r>
        <w:rPr>
          <w:spacing w:val="-3"/>
          <w:sz w:val="21"/>
        </w:rPr>
        <w:t>球</w:t>
      </w:r>
      <w:r>
        <w:rPr>
          <w:sz w:val="21"/>
        </w:rPr>
        <w:t>硬</w:t>
      </w:r>
      <w:r>
        <w:rPr>
          <w:spacing w:val="-3"/>
          <w:sz w:val="21"/>
        </w:rPr>
        <w:t>化</w:t>
      </w:r>
      <w:r>
        <w:rPr>
          <w:sz w:val="21"/>
        </w:rPr>
        <w:t>型</w:t>
      </w:r>
    </w:p>
    <w:p>
      <w:pPr>
        <w:pStyle w:val="BodyText"/>
        <w:spacing w:before="5"/>
        <w:ind w:left="0"/>
        <w:rPr>
          <w:sz w:val="14"/>
        </w:rPr>
      </w:pPr>
    </w:p>
    <w:p>
      <w:pPr>
        <w:pStyle w:val="BodyText"/>
        <w:spacing w:before="0"/>
      </w:pPr>
      <w:r>
        <w:rPr/>
        <w:t>（三十）植物人状态</w:t>
      </w:r>
    </w:p>
    <w:p>
      <w:pPr>
        <w:pStyle w:val="BodyText"/>
        <w:spacing w:line="280" w:lineRule="auto"/>
        <w:ind w:right="115"/>
      </w:pPr>
      <w:r>
        <w:rPr>
          <w:spacing w:val="-4"/>
        </w:rPr>
        <w:t>指经神经科医生确诊，</w:t>
      </w:r>
      <w:r>
        <w:rPr>
          <w:spacing w:val="-10"/>
        </w:rPr>
        <w:t>CT</w:t>
      </w:r>
      <w:r>
        <w:rPr>
          <w:spacing w:val="-25"/>
        </w:rPr>
        <w:t>、</w:t>
      </w:r>
      <w:r>
        <w:rPr/>
        <w:t>MRI</w:t>
      </w:r>
      <w:r>
        <w:rPr>
          <w:spacing w:val="-9"/>
        </w:rPr>
        <w:t> 等证实大脑皮质全面坏死。患者临床表现意识</w:t>
      </w:r>
      <w:r>
        <w:rPr>
          <w:spacing w:val="-3"/>
        </w:rPr>
        <w:t>完全丧失，但脑干功能仍保持完好，且此情况持续一个月或一个月以上。</w:t>
      </w:r>
    </w:p>
    <w:p>
      <w:pPr>
        <w:pStyle w:val="BodyText"/>
        <w:spacing w:before="167"/>
      </w:pPr>
      <w:r>
        <w:rPr/>
        <w:t>（三十一）经输血导致的人类免疫缺陷病毒（HIV）感染</w:t>
      </w:r>
    </w:p>
    <w:p>
      <w:pPr>
        <w:pStyle w:val="BodyText"/>
      </w:pPr>
      <w:r>
        <w:rPr/>
        <w:t>被保险人感染上人类免疫缺陷病毒（HIV）并且满足下列全部条件：</w:t>
      </w:r>
    </w:p>
    <w:p>
      <w:pPr>
        <w:pStyle w:val="BodyText"/>
        <w:spacing w:before="46"/>
      </w:pPr>
      <w:r>
        <w:rPr/>
        <w:t>(1)在本合同生效日或最后复效日（以较迟者为准）后因输血而感染 HIV；</w:t>
      </w:r>
    </w:p>
    <w:p>
      <w:pPr>
        <w:pStyle w:val="BodyText"/>
        <w:spacing w:line="278" w:lineRule="auto"/>
        <w:ind w:right="113"/>
      </w:pPr>
      <w:r>
        <w:rPr/>
        <w:t>(2)提供输血治疗的输血中心或医院出具该项输血感染属医疗责任事故的报告，或者法院终审裁判为医疗责任；</w:t>
      </w:r>
    </w:p>
    <w:p>
      <w:pPr>
        <w:pStyle w:val="BodyText"/>
        <w:spacing w:before="13"/>
      </w:pPr>
      <w:r>
        <w:rPr/>
        <w:t>(3)受感染的被保险人不是血友病患者。</w:t>
      </w:r>
    </w:p>
    <w:p>
      <w:pPr>
        <w:pStyle w:val="BodyText"/>
        <w:spacing w:line="278" w:lineRule="auto"/>
        <w:ind w:right="67"/>
      </w:pPr>
      <w:r>
        <w:rPr>
          <w:shd w:fill="D9D9D9" w:color="auto" w:val="clear"/>
        </w:rPr>
        <w:t>在任何治愈艾滋病（AIDS）或阻止 HIV 病毒作用的疗法被发现以后，或能防止 AIDS 发生的医疗方法被研究出来以后，本保障将不再予以赔付。</w:t>
      </w:r>
    </w:p>
    <w:p>
      <w:pPr>
        <w:pStyle w:val="BodyText"/>
        <w:spacing w:line="278" w:lineRule="auto" w:before="13"/>
        <w:ind w:right="66"/>
      </w:pPr>
      <w:r>
        <w:rPr>
          <w:shd w:fill="D9D9D9" w:color="auto" w:val="clear"/>
        </w:rPr>
        <w:t>任何因其他传播方式（包括但不限于性传播或静脉注射毒品）导致的 HIV 感染不在保障范围内。</w:t>
      </w:r>
    </w:p>
    <w:p>
      <w:pPr>
        <w:pStyle w:val="BodyText"/>
        <w:spacing w:before="140"/>
      </w:pPr>
      <w:r>
        <w:rPr/>
        <w:t>（三十二）严重克隆病</w:t>
      </w:r>
    </w:p>
    <w:p>
      <w:pPr>
        <w:pStyle w:val="BodyText"/>
        <w:spacing w:line="280" w:lineRule="auto"/>
        <w:ind w:right="117"/>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38"/>
      </w:pPr>
      <w:r>
        <w:rPr/>
        <w:t>（三十三）坏死性筋膜炎</w:t>
      </w:r>
    </w:p>
    <w:p>
      <w:pPr>
        <w:pStyle w:val="BodyText"/>
      </w:pPr>
      <w:r>
        <w:rPr/>
        <w:t>坏死性筋膜炎的诊断须同时符合下列要求：</w:t>
      </w:r>
    </w:p>
    <w:p>
      <w:pPr>
        <w:pStyle w:val="BodyText"/>
      </w:pPr>
      <w:r>
        <w:rPr/>
        <w:t>(1)符合坏死性筋膜炎的一般临床表现；</w:t>
      </w:r>
    </w:p>
    <w:p>
      <w:pPr>
        <w:pStyle w:val="BodyText"/>
        <w:spacing w:before="46"/>
      </w:pPr>
      <w:r>
        <w:rPr/>
        <w:t>(2)细菌培养检出致病菌；</w:t>
      </w:r>
    </w:p>
    <w:p>
      <w:pPr>
        <w:pStyle w:val="BodyText"/>
        <w:spacing w:line="278" w:lineRule="auto" w:before="43"/>
        <w:ind w:right="79"/>
      </w:pPr>
      <w:r>
        <w:rPr/>
        <w:t>(3)出现广泛性肌肉及软组织坏死，并导致身体受影响部位的功能永久不可逆性丧失。</w:t>
      </w:r>
    </w:p>
    <w:p>
      <w:pPr>
        <w:pStyle w:val="BodyText"/>
        <w:spacing w:before="12"/>
        <w:ind w:left="0"/>
        <w:rPr>
          <w:sz w:val="15"/>
        </w:rPr>
      </w:pPr>
    </w:p>
    <w:p>
      <w:pPr>
        <w:pStyle w:val="BodyText"/>
        <w:spacing w:before="1"/>
      </w:pPr>
      <w:r>
        <w:rPr/>
        <w:t>（三十四）全身性重症肌无力</w:t>
      </w:r>
    </w:p>
    <w:p>
      <w:pPr>
        <w:pStyle w:val="BodyText"/>
        <w:spacing w:line="280" w:lineRule="auto"/>
        <w:ind w:right="118"/>
        <w:jc w:val="both"/>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8"/>
      </w:pPr>
      <w:r>
        <w:rPr/>
        <w:t>(1)经药物治疗和胸腺切除治疗一年以上仍无法控制病情；</w:t>
      </w:r>
    </w:p>
    <w:p>
      <w:pPr>
        <w:pStyle w:val="BodyText"/>
        <w:spacing w:line="278" w:lineRule="auto" w:before="46"/>
        <w:ind w:right="79"/>
      </w:pPr>
      <w:r>
        <w:rPr/>
        <w:t>(2)自主生活能力完全丧失，无法独立完成六项基本日常生活活动中的三项或三项以上。</w:t>
      </w:r>
    </w:p>
    <w:p>
      <w:pPr>
        <w:spacing w:after="0" w:line="278" w:lineRule="auto"/>
        <w:sectPr>
          <w:pgSz w:w="11910" w:h="16840"/>
          <w:pgMar w:top="1400" w:bottom="280" w:left="1680" w:right="1120"/>
        </w:sectPr>
      </w:pPr>
    </w:p>
    <w:p>
      <w:pPr>
        <w:pStyle w:val="BodyText"/>
        <w:spacing w:before="12"/>
      </w:pPr>
      <w:r>
        <w:rPr/>
        <w:t>（三十五）脊髓灰质炎（或称小儿麻痹症）</w:t>
      </w:r>
    </w:p>
    <w:p>
      <w:pPr>
        <w:pStyle w:val="BodyText"/>
        <w:spacing w:line="278" w:lineRule="auto"/>
        <w:ind w:right="213"/>
        <w:jc w:val="both"/>
      </w:pPr>
      <w:r>
        <w:rPr/>
        <w:t>脊髓灰质炎是由于脊髓灰质炎病毒感染所致的瘫痪性疾病，临床表现为运动功能损害或呼吸无力。脊髓灰质炎必须明确诊断。本条仅对脊髓灰质炎造成的神经系统功能损害导致被保险人一肢或一肢以上肢体机能永久完全丧失的</w:t>
      </w:r>
      <w:r>
        <w:rPr>
          <w:spacing w:val="-3"/>
        </w:rPr>
        <w:t>情况予以理赔。肢体机能永久完全丧失，指疾病确诊 </w:t>
      </w:r>
      <w:r>
        <w:rPr/>
        <w:t>180</w:t>
      </w:r>
      <w:r>
        <w:rPr>
          <w:spacing w:val="-3"/>
        </w:rPr>
        <w:t> 天后，每肢三大关节中的两大关节仍然完全僵硬，或不能随意识活动。</w:t>
      </w:r>
    </w:p>
    <w:p>
      <w:pPr>
        <w:pStyle w:val="BodyText"/>
        <w:spacing w:before="147"/>
      </w:pPr>
      <w:r>
        <w:rPr/>
        <w:t>（三十六）严重的Ｉ型糖尿病</w:t>
      </w:r>
    </w:p>
    <w:p>
      <w:pPr>
        <w:pStyle w:val="BodyText"/>
        <w:spacing w:line="278" w:lineRule="auto"/>
        <w:ind w:right="213"/>
        <w:jc w:val="both"/>
      </w:pPr>
      <w:r>
        <w:rPr/>
        <w:t>严重的Ｉ型糖尿病为由于胰岛素分泌绝对不足引起的慢性血糖升高，且已经</w:t>
      </w:r>
      <w:r>
        <w:rPr>
          <w:spacing w:val="-6"/>
        </w:rPr>
        <w:t>持续性地依赖外源性胰岛素维持 </w:t>
      </w:r>
      <w:r>
        <w:rPr/>
        <w:t>180</w:t>
      </w:r>
      <w:r>
        <w:rPr>
          <w:spacing w:val="-7"/>
        </w:rPr>
        <w:t> 天以上。须经血胰岛素测定、血 </w:t>
      </w:r>
      <w:r>
        <w:rPr/>
        <w:t>C</w:t>
      </w:r>
      <w:r>
        <w:rPr>
          <w:spacing w:val="1"/>
        </w:rPr>
        <w:t> 肽测</w:t>
      </w:r>
      <w:r>
        <w:rPr>
          <w:spacing w:val="-3"/>
        </w:rPr>
        <w:t>定或尿 </w:t>
      </w:r>
      <w:r>
        <w:rPr/>
        <w:t>C</w:t>
      </w:r>
      <w:r>
        <w:rPr>
          <w:spacing w:val="-3"/>
        </w:rPr>
        <w:t> 肽测定，结果异常，并由内分泌科专科医生明确诊断。并须在本合</w:t>
      </w:r>
      <w:r>
        <w:rPr>
          <w:spacing w:val="-7"/>
        </w:rPr>
        <w:t>同有效期内，满足下述至少 </w:t>
      </w:r>
      <w:r>
        <w:rPr/>
        <w:t>1 个条件：</w:t>
      </w:r>
    </w:p>
    <w:p>
      <w:pPr>
        <w:pStyle w:val="BodyText"/>
        <w:spacing w:before="10"/>
        <w:jc w:val="both"/>
      </w:pPr>
      <w:r>
        <w:rPr/>
        <w:t>(1)已出现增殖性视网膜病变；</w:t>
      </w:r>
    </w:p>
    <w:p>
      <w:pPr>
        <w:pStyle w:val="BodyText"/>
        <w:spacing w:before="46"/>
        <w:jc w:val="both"/>
      </w:pPr>
      <w:r>
        <w:rPr/>
        <w:t>(2)须植入心脏起搏器治疗心脏病；</w:t>
      </w:r>
    </w:p>
    <w:p>
      <w:pPr>
        <w:pStyle w:val="BodyText"/>
        <w:jc w:val="both"/>
      </w:pPr>
      <w:r>
        <w:rPr/>
        <w:t>(3)因坏疽需切除至少一个脚趾。</w:t>
      </w:r>
    </w:p>
    <w:p>
      <w:pPr>
        <w:pStyle w:val="BodyText"/>
        <w:spacing w:before="10"/>
        <w:ind w:left="0"/>
        <w:rPr>
          <w:sz w:val="13"/>
        </w:rPr>
      </w:pPr>
    </w:p>
    <w:p>
      <w:pPr>
        <w:pStyle w:val="BodyText"/>
        <w:spacing w:before="1"/>
        <w:jc w:val="both"/>
      </w:pPr>
      <w:r>
        <w:rPr/>
        <w:t>（三十七）冠状动脉血管成形术</w:t>
      </w:r>
    </w:p>
    <w:p>
      <w:pPr>
        <w:pStyle w:val="BodyText"/>
        <w:spacing w:line="273" w:lineRule="auto" w:before="20"/>
        <w:ind w:right="212"/>
        <w:jc w:val="both"/>
      </w:pPr>
      <w:r>
        <w:rPr>
          <w:spacing w:val="-5"/>
        </w:rPr>
        <w:t>是指有心绞痛等心脏不适症状，经过血管造影技术检查证实同时存在两支(其</w:t>
      </w:r>
      <w:r>
        <w:rPr>
          <w:spacing w:val="-6"/>
        </w:rPr>
        <w:t>中一支为左冠状动脉主干、左前降支或左回旋支)或更多支的冠状动脉血管发</w:t>
      </w:r>
      <w:r>
        <w:rPr>
          <w:spacing w:val="-10"/>
        </w:rPr>
        <w:t>生严重的狭窄</w:t>
      </w:r>
      <w:r>
        <w:rPr/>
        <w:t>（</w:t>
      </w:r>
      <w:r>
        <w:rPr>
          <w:spacing w:val="-7"/>
        </w:rPr>
        <w:t>狭窄程度在 </w:t>
      </w:r>
      <w:r>
        <w:rPr/>
        <w:t>70</w:t>
      </w:r>
      <w:r>
        <w:rPr>
          <w:spacing w:val="-2"/>
        </w:rPr>
        <w:t>％以上</w:t>
      </w:r>
      <w:r>
        <w:rPr>
          <w:spacing w:val="-73"/>
        </w:rPr>
        <w:t>）</w:t>
      </w:r>
      <w:r>
        <w:rPr>
          <w:spacing w:val="-10"/>
        </w:rPr>
        <w:t>，需要并且已实施冠状动脉气囊扩张以</w:t>
      </w:r>
      <w:r>
        <w:rPr>
          <w:spacing w:val="-5"/>
        </w:rPr>
        <w:t>改善血管的血流状况。</w:t>
      </w:r>
    </w:p>
    <w:p>
      <w:pPr>
        <w:pStyle w:val="BodyText"/>
        <w:spacing w:before="160"/>
      </w:pPr>
      <w:r>
        <w:rPr/>
        <w:t>（三十八）急性出血坏死性胰腺炎</w:t>
      </w:r>
    </w:p>
    <w:p>
      <w:pPr>
        <w:pStyle w:val="BodyText"/>
        <w:spacing w:line="278" w:lineRule="auto" w:before="43"/>
        <w:ind w:right="217"/>
      </w:pPr>
      <w:r>
        <w:rPr/>
        <w:t>指被保险人因为急性出血坏死性胰腺炎已经接受了外科开腹手术治疗，以进行坏死组织清除、坏死病灶切除或胰腺切除。</w:t>
      </w:r>
    </w:p>
    <w:p>
      <w:pPr>
        <w:pStyle w:val="BodyText"/>
        <w:spacing w:before="12"/>
        <w:jc w:val="both"/>
      </w:pPr>
      <w:r>
        <w:rPr>
          <w:shd w:fill="D9D9D9" w:color="auto" w:val="clear"/>
        </w:rPr>
        <w:t>因饮酒过量所致的急性出血坏死性胰腺炎或经腹腔镜手术进行的治疗不在本</w:t>
      </w:r>
    </w:p>
    <w:p>
      <w:pPr>
        <w:pStyle w:val="BodyText"/>
        <w:spacing w:before="135"/>
        <w:jc w:val="both"/>
      </w:pPr>
      <w:r>
        <w:rPr/>
        <w:t>（三十九）肾髓质囊性病</w:t>
      </w:r>
    </w:p>
    <w:p>
      <w:pPr>
        <w:pStyle w:val="BodyText"/>
        <w:jc w:val="both"/>
      </w:pPr>
      <w:r>
        <w:rPr/>
        <w:t>肾髓质囊性病的诊断必须同时符合下列要求：</w:t>
      </w:r>
    </w:p>
    <w:p>
      <w:pPr>
        <w:pStyle w:val="BodyText"/>
        <w:spacing w:before="46"/>
        <w:jc w:val="both"/>
      </w:pPr>
      <w:r>
        <w:rPr/>
        <w:t>(1)肾髓质有囊肿、肾小管萎缩及间质纤维化等病理改变；</w:t>
      </w:r>
    </w:p>
    <w:p>
      <w:pPr>
        <w:pStyle w:val="BodyText"/>
        <w:jc w:val="both"/>
      </w:pPr>
      <w:r>
        <w:rPr/>
        <w:t>(2)贫血、多尿及肾功能衰竭等临床表现；</w:t>
      </w:r>
    </w:p>
    <w:p>
      <w:pPr>
        <w:pStyle w:val="BodyText"/>
        <w:jc w:val="both"/>
      </w:pPr>
      <w:r>
        <w:rPr/>
        <w:t>(3)诊断须由肾组织活检确定。</w:t>
      </w:r>
    </w:p>
    <w:p>
      <w:pPr>
        <w:pStyle w:val="BodyText"/>
        <w:spacing w:before="173"/>
        <w:jc w:val="both"/>
      </w:pPr>
      <w:r>
        <w:rPr/>
        <w:t>（四十）象皮病</w:t>
      </w:r>
    </w:p>
    <w:p>
      <w:pPr>
        <w:pStyle w:val="BodyText"/>
        <w:spacing w:line="278" w:lineRule="auto" w:before="46"/>
        <w:ind w:right="218"/>
        <w:jc w:val="both"/>
      </w:pPr>
      <w:r>
        <w:rPr/>
        <w:t>指末期丝虫病，按国际淋巴学会分级为三度淋巴液肿，其临床表现为肢体非凹陷性水肿伴畸形增大、硬皮症和疣状增生。此病症须经我们认可的专科医生根据临床表现和微丝蚴的化验结果确诊。</w:t>
      </w:r>
    </w:p>
    <w:p>
      <w:pPr>
        <w:pStyle w:val="BodyText"/>
        <w:spacing w:before="130"/>
      </w:pPr>
      <w:r>
        <w:rPr/>
        <w:t>（四十一）埃博拉病毒感染</w:t>
      </w:r>
    </w:p>
    <w:p>
      <w:pPr>
        <w:pStyle w:val="BodyText"/>
        <w:spacing w:line="278" w:lineRule="auto" w:before="46"/>
        <w:ind w:right="109"/>
      </w:pPr>
      <w:r>
        <w:rPr/>
        <w:t>指受埃博拉病毒感染导致出血性发热。埃博拉病必须经国家机关认可的有合</w:t>
      </w:r>
      <w:r>
        <w:rPr>
          <w:spacing w:val="-5"/>
        </w:rPr>
        <w:t>法资质的传染病专家确诊，并且埃博拉病毒的存在必须经过实验室检查证实。</w:t>
      </w:r>
      <w:r>
        <w:rPr>
          <w:spacing w:val="-8"/>
        </w:rPr>
        <w:t>该病必须从症状开始后 </w:t>
      </w:r>
      <w:r>
        <w:rPr/>
        <w:t>30</w:t>
      </w:r>
      <w:r>
        <w:rPr>
          <w:spacing w:val="-8"/>
        </w:rPr>
        <w:t> 天后持续出现并发症。</w:t>
      </w:r>
    </w:p>
    <w:p>
      <w:pPr>
        <w:pStyle w:val="BodyText"/>
        <w:spacing w:before="106"/>
      </w:pPr>
      <w:r>
        <w:rPr/>
        <w:t>（四十二）非阿尔茨海默病所致严重痴呆</w:t>
      </w:r>
    </w:p>
    <w:p>
      <w:pPr>
        <w:pStyle w:val="BodyText"/>
        <w:spacing w:line="278" w:lineRule="auto" w:before="60"/>
        <w:ind w:right="217"/>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w:t>
      </w:r>
    </w:p>
    <w:p>
      <w:pPr>
        <w:spacing w:after="0" w:line="278" w:lineRule="auto"/>
        <w:jc w:val="both"/>
        <w:sectPr>
          <w:pgSz w:w="11910" w:h="16840"/>
          <w:pgMar w:top="1400" w:bottom="280" w:left="1680" w:right="1020"/>
        </w:sectPr>
      </w:pPr>
    </w:p>
    <w:p>
      <w:pPr>
        <w:pStyle w:val="BodyText"/>
        <w:spacing w:line="278" w:lineRule="auto" w:before="12"/>
        <w:ind w:left="2072" w:right="1345"/>
      </w:pPr>
      <w:r>
        <w:rPr>
          <w:spacing w:val="-3"/>
        </w:rPr>
        <w:t>确诊断，并且有完整的临床、实验室和影像学检查结果证实。</w:t>
      </w:r>
      <w:r>
        <w:rPr>
          <w:spacing w:val="-3"/>
          <w:shd w:fill="D9D9D9" w:color="auto" w:val="clear"/>
        </w:rPr>
        <w:t> </w:t>
      </w:r>
      <w:r>
        <w:rPr>
          <w:spacing w:val="-4"/>
          <w:shd w:fill="D9D9D9" w:color="auto" w:val="clear"/>
        </w:rPr>
        <w:t>神经官能症、精神疾病及酒精中毒所致脑损害不在保障范围内。</w:t>
      </w:r>
    </w:p>
    <w:p>
      <w:pPr>
        <w:pStyle w:val="BodyText"/>
        <w:spacing w:before="106"/>
        <w:ind w:left="2072"/>
      </w:pPr>
      <w:r>
        <w:rPr/>
        <w:t>（四十三）疯牛病</w:t>
      </w:r>
    </w:p>
    <w:p>
      <w:pPr>
        <w:pStyle w:val="BodyText"/>
        <w:spacing w:line="280" w:lineRule="auto" w:before="60"/>
        <w:ind w:left="2072" w:right="218"/>
        <w:jc w:val="both"/>
      </w:pPr>
      <w:r>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BodyText"/>
        <w:spacing w:before="8"/>
        <w:ind w:left="2072"/>
      </w:pPr>
      <w:r>
        <w:rPr>
          <w:shd w:fill="D9D9D9" w:color="auto" w:val="clear"/>
        </w:rPr>
        <w:t>疑似诊断不作为理赔依据。</w:t>
      </w:r>
    </w:p>
    <w:p>
      <w:pPr>
        <w:pStyle w:val="BodyText"/>
        <w:spacing w:before="164"/>
        <w:ind w:left="2072"/>
      </w:pPr>
      <w:r>
        <w:rPr/>
        <w:t>（四十四）原发性硬化性胆管炎</w:t>
      </w:r>
    </w:p>
    <w:p>
      <w:pPr>
        <w:pStyle w:val="BodyText"/>
        <w:spacing w:line="280" w:lineRule="auto"/>
        <w:ind w:left="2072" w:right="109"/>
      </w:pPr>
      <w:r>
        <w:rPr>
          <w:spacing w:val="-6"/>
        </w:rPr>
        <w:t>指一种胆汁淤积综合征，其特征是肝内、肝外胆道因纤维化性炎症逐渐狭窄， 并最终导致完全阻塞而发展为肝硬化。本病须经内镜逆行胰胆管造影等影像</w:t>
      </w:r>
      <w:r>
        <w:rPr>
          <w:spacing w:val="-4"/>
        </w:rPr>
        <w:t>学检查证实，并须满足下列全部条件：</w:t>
      </w:r>
    </w:p>
    <w:p>
      <w:pPr>
        <w:pStyle w:val="ListParagraph"/>
        <w:numPr>
          <w:ilvl w:val="1"/>
          <w:numId w:val="7"/>
        </w:numPr>
        <w:tabs>
          <w:tab w:pos="2496" w:val="left" w:leader="none"/>
        </w:tabs>
        <w:spacing w:line="240" w:lineRule="auto" w:before="8" w:after="0"/>
        <w:ind w:left="2495" w:right="0" w:hanging="423"/>
        <w:jc w:val="left"/>
        <w:rPr>
          <w:sz w:val="21"/>
        </w:rPr>
      </w:pPr>
      <w:r>
        <w:rPr>
          <w:spacing w:val="-5"/>
          <w:sz w:val="21"/>
        </w:rPr>
        <w:t>总胆红素和直接胆红素同时升高，血清 </w:t>
      </w:r>
      <w:r>
        <w:rPr>
          <w:sz w:val="21"/>
        </w:rPr>
        <w:t>ALP&gt;200U/L；</w:t>
      </w:r>
    </w:p>
    <w:p>
      <w:pPr>
        <w:pStyle w:val="ListParagraph"/>
        <w:numPr>
          <w:ilvl w:val="1"/>
          <w:numId w:val="7"/>
        </w:numPr>
        <w:tabs>
          <w:tab w:pos="2496" w:val="left" w:leader="none"/>
        </w:tabs>
        <w:spacing w:line="240" w:lineRule="auto" w:before="46" w:after="0"/>
        <w:ind w:left="2495" w:right="0" w:hanging="423"/>
        <w:jc w:val="left"/>
        <w:rPr>
          <w:sz w:val="21"/>
        </w:rPr>
      </w:pPr>
      <w:r>
        <w:rPr>
          <w:spacing w:val="-3"/>
          <w:sz w:val="21"/>
        </w:rPr>
        <w:t>持续性黄疸病史；</w:t>
      </w:r>
    </w:p>
    <w:p>
      <w:pPr>
        <w:pStyle w:val="ListParagraph"/>
        <w:numPr>
          <w:ilvl w:val="1"/>
          <w:numId w:val="7"/>
        </w:numPr>
        <w:tabs>
          <w:tab w:pos="2496" w:val="left" w:leader="none"/>
        </w:tabs>
        <w:spacing w:line="240" w:lineRule="auto" w:before="44" w:after="0"/>
        <w:ind w:left="2495" w:right="0" w:hanging="423"/>
        <w:jc w:val="left"/>
        <w:rPr>
          <w:sz w:val="21"/>
        </w:rPr>
      </w:pPr>
      <w:r>
        <w:rPr>
          <w:spacing w:val="-3"/>
          <w:sz w:val="21"/>
        </w:rPr>
        <w:t>出现胆汁性肝硬化或门脉高压。</w:t>
      </w:r>
    </w:p>
    <w:p>
      <w:pPr>
        <w:pStyle w:val="BodyText"/>
        <w:ind w:left="2072"/>
      </w:pPr>
      <w:r>
        <w:rPr>
          <w:shd w:fill="D9D9D9" w:color="auto" w:val="clear"/>
        </w:rPr>
        <w:t>因肿瘤或胆管损伤等继发性的硬化性胆管炎不在保障范围内。</w:t>
      </w:r>
    </w:p>
    <w:p>
      <w:pPr>
        <w:pStyle w:val="BodyText"/>
        <w:spacing w:before="164"/>
        <w:ind w:left="2072"/>
      </w:pPr>
      <w:r>
        <w:rPr/>
        <w:t>（四十五）系统性硬皮病</w:t>
      </w:r>
    </w:p>
    <w:p>
      <w:pPr>
        <w:pStyle w:val="BodyText"/>
        <w:spacing w:line="278" w:lineRule="auto" w:before="47"/>
        <w:ind w:left="2072" w:right="109"/>
      </w:pPr>
      <w:r>
        <w:rPr/>
        <w:t>指一种以局限性或弥漫性皮肤增厚和皮肤、血管、内脏器官异常纤维化为特</w:t>
      </w:r>
      <w:r>
        <w:rPr>
          <w:spacing w:val="-6"/>
        </w:rPr>
        <w:t>征的结缔组织病。本病须经专科医师明确诊断，并须满足下列至少一项条件：</w:t>
      </w:r>
    </w:p>
    <w:p>
      <w:pPr>
        <w:pStyle w:val="BodyText"/>
        <w:spacing w:before="11"/>
        <w:ind w:left="2072"/>
      </w:pPr>
      <w:r>
        <w:rPr/>
        <w:t>(1)肺脏：肺部病变进而发展为肺间质纤维化和肺动脉高压；</w:t>
      </w:r>
    </w:p>
    <w:p>
      <w:pPr>
        <w:pStyle w:val="BodyText"/>
        <w:spacing w:before="47"/>
        <w:ind w:left="2072"/>
      </w:pPr>
      <w:r>
        <w:rPr/>
        <w:t>(2)心脏：心功能受损达到美国纽约心脏病学会心功能状态分级IV 级；</w:t>
      </w:r>
    </w:p>
    <w:p>
      <w:pPr>
        <w:pStyle w:val="BodyText"/>
        <w:ind w:left="2072"/>
      </w:pPr>
      <w:r>
        <w:rPr/>
        <w:t>(3)肾脏：肾脏受损导致双肾功能慢性不可逆衰竭，达到尿毒症期。</w:t>
      </w:r>
    </w:p>
    <w:p>
      <w:pPr>
        <w:pStyle w:val="BodyText"/>
        <w:tabs>
          <w:tab w:pos="2072" w:val="left" w:leader="none"/>
        </w:tabs>
        <w:spacing w:line="278" w:lineRule="auto" w:before="164"/>
        <w:ind w:left="2072" w:right="218" w:hanging="1954"/>
      </w:pPr>
      <w:r>
        <w:rPr>
          <w:b/>
        </w:rPr>
        <w:t>少儿特定疾病</w:t>
        <w:tab/>
      </w:r>
      <w:r>
        <w:rPr/>
        <w:t>指被保险人初次发生符合下列定义的疾病，或初次接受符合下列所定义的手 </w:t>
      </w:r>
      <w:r>
        <w:rPr>
          <w:spacing w:val="-1"/>
        </w:rPr>
        <w:t>术</w:t>
      </w:r>
      <w:r>
        <w:rPr/>
        <w:t>。</w:t>
      </w:r>
      <w:r>
        <w:rPr>
          <w:spacing w:val="-3"/>
        </w:rPr>
        <w:t>该</w:t>
      </w:r>
      <w:r>
        <w:rPr/>
        <w:t>疾</w:t>
      </w:r>
      <w:r>
        <w:rPr>
          <w:spacing w:val="-3"/>
        </w:rPr>
        <w:t>病</w:t>
      </w:r>
      <w:r>
        <w:rPr/>
        <w:t>或</w:t>
      </w:r>
      <w:r>
        <w:rPr>
          <w:spacing w:val="-3"/>
        </w:rPr>
        <w:t>手</w:t>
      </w:r>
      <w:r>
        <w:rPr/>
        <w:t>术</w:t>
      </w:r>
      <w:r>
        <w:rPr>
          <w:spacing w:val="-3"/>
        </w:rPr>
        <w:t>由</w:t>
      </w:r>
      <w:r>
        <w:rPr/>
        <w:t>专</w:t>
      </w:r>
      <w:r>
        <w:rPr>
          <w:spacing w:val="-3"/>
        </w:rPr>
        <w:t>科</w:t>
      </w:r>
      <w:r>
        <w:rPr/>
        <w:t>医生</w:t>
      </w:r>
      <w:r>
        <w:rPr>
          <w:spacing w:val="-3"/>
        </w:rPr>
        <w:t>明</w:t>
      </w:r>
      <w:r>
        <w:rPr/>
        <w:t>确</w:t>
      </w:r>
      <w:r>
        <w:rPr>
          <w:spacing w:val="-3"/>
        </w:rPr>
        <w:t>诊</w:t>
      </w:r>
      <w:r>
        <w:rPr/>
        <w:t>断。</w:t>
      </w:r>
    </w:p>
    <w:p>
      <w:pPr>
        <w:pStyle w:val="BodyText"/>
        <w:spacing w:before="130"/>
        <w:ind w:left="2072"/>
      </w:pPr>
      <w:r>
        <w:rPr/>
        <w:t>（一）非危及生命的恶性肿瘤</w:t>
      </w:r>
    </w:p>
    <w:p>
      <w:pPr>
        <w:pStyle w:val="BodyText"/>
        <w:spacing w:before="43"/>
        <w:ind w:left="2072"/>
      </w:pPr>
      <w:r>
        <w:rPr/>
        <w:t>指经组织病理学检查被明确诊断为下列恶性病变，并且接受了相应的治疗：</w:t>
      </w:r>
    </w:p>
    <w:p>
      <w:pPr>
        <w:pStyle w:val="BodyText"/>
        <w:spacing w:before="46"/>
        <w:ind w:left="2072"/>
      </w:pPr>
      <w:r>
        <w:rPr/>
        <w:t>(1)原位癌；</w:t>
      </w:r>
    </w:p>
    <w:p>
      <w:pPr>
        <w:pStyle w:val="BodyText"/>
        <w:ind w:left="2072"/>
      </w:pPr>
      <w:r>
        <w:rPr/>
        <w:t>(2)相当于Binet 分期方案 A 期程度的慢性淋巴细胞白血病；</w:t>
      </w:r>
    </w:p>
    <w:p>
      <w:pPr>
        <w:pStyle w:val="BodyText"/>
        <w:spacing w:before="43"/>
        <w:ind w:left="2072"/>
      </w:pPr>
      <w:r>
        <w:rPr/>
        <w:t>(3)相当于Ann Arbor 分期方案 I 期程度的何杰金氏病；</w:t>
      </w:r>
    </w:p>
    <w:p>
      <w:pPr>
        <w:pStyle w:val="BodyText"/>
        <w:spacing w:before="46"/>
        <w:ind w:left="2072"/>
      </w:pPr>
      <w:r>
        <w:rPr>
          <w:w w:val="100"/>
        </w:rPr>
        <w:t>(4)</w:t>
      </w:r>
      <w:r>
        <w:rPr>
          <w:spacing w:val="-3"/>
          <w:w w:val="100"/>
        </w:rPr>
        <w:t>皮肤癌</w:t>
      </w:r>
      <w:r>
        <w:rPr>
          <w:w w:val="100"/>
        </w:rPr>
        <w:t>（</w:t>
      </w:r>
      <w:r>
        <w:rPr>
          <w:spacing w:val="-3"/>
          <w:w w:val="100"/>
          <w:shd w:fill="D9D9D9" w:color="auto" w:val="clear"/>
        </w:rPr>
        <w:t>不包括恶性黑色素瘤及已发生转移的皮肤癌</w:t>
      </w:r>
      <w:r>
        <w:rPr>
          <w:spacing w:val="-108"/>
          <w:w w:val="100"/>
        </w:rPr>
        <w:t>）</w:t>
      </w:r>
      <w:r>
        <w:rPr>
          <w:w w:val="100"/>
        </w:rPr>
        <w:t>；</w:t>
      </w:r>
    </w:p>
    <w:p>
      <w:pPr>
        <w:pStyle w:val="BodyText"/>
        <w:ind w:left="2072"/>
      </w:pPr>
      <w:r>
        <w:rPr/>
        <w:t>(5)TNM 分期为 T1N0M0 期或更轻分期的前列腺癌。</w:t>
      </w:r>
    </w:p>
    <w:p>
      <w:pPr>
        <w:pStyle w:val="BodyText"/>
        <w:spacing w:before="164"/>
        <w:ind w:left="2072"/>
      </w:pPr>
      <w:r>
        <w:rPr/>
        <w:t>（二）脑垂体瘤、脑囊肿、脑动脉瘤及脑血管瘤</w:t>
      </w:r>
    </w:p>
    <w:p>
      <w:pPr>
        <w:pStyle w:val="BodyText"/>
        <w:spacing w:line="280" w:lineRule="auto"/>
        <w:ind w:left="2072" w:right="216"/>
      </w:pPr>
      <w:r>
        <w:rPr>
          <w:w w:val="100"/>
        </w:rPr>
        <w:t>指经头颅断层扫描</w:t>
      </w:r>
      <w:r>
        <w:rPr>
          <w:spacing w:val="1"/>
          <w:w w:val="100"/>
        </w:rPr>
        <w:t>（</w:t>
      </w:r>
      <w:r>
        <w:rPr>
          <w:w w:val="100"/>
        </w:rPr>
        <w:t>C</w:t>
      </w:r>
      <w:r>
        <w:rPr>
          <w:spacing w:val="1"/>
          <w:w w:val="100"/>
        </w:rPr>
        <w:t>T</w:t>
      </w:r>
      <w:r>
        <w:rPr>
          <w:spacing w:val="-106"/>
          <w:w w:val="100"/>
        </w:rPr>
        <w:t>）</w:t>
      </w:r>
      <w:r>
        <w:rPr>
          <w:w w:val="100"/>
        </w:rPr>
        <w:t>、核磁共振</w:t>
      </w:r>
      <w:r>
        <w:rPr>
          <w:spacing w:val="1"/>
          <w:w w:val="100"/>
        </w:rPr>
        <w:t>（</w:t>
      </w:r>
      <w:r>
        <w:rPr>
          <w:spacing w:val="-3"/>
          <w:w w:val="100"/>
        </w:rPr>
        <w:t>M</w:t>
      </w:r>
      <w:r>
        <w:rPr>
          <w:w w:val="100"/>
        </w:rPr>
        <w:t>R</w:t>
      </w:r>
      <w:r>
        <w:rPr>
          <w:spacing w:val="1"/>
          <w:w w:val="100"/>
        </w:rPr>
        <w:t>I</w:t>
      </w:r>
      <w:r>
        <w:rPr>
          <w:w w:val="100"/>
        </w:rPr>
        <w:t>）或其他影像学检查被确诊为下列</w:t>
      </w:r>
      <w:r>
        <w:rPr>
          <w:spacing w:val="-3"/>
        </w:rPr>
        <w:t>病变，并实际接受了手术或放射治疗：</w:t>
      </w:r>
    </w:p>
    <w:p>
      <w:pPr>
        <w:pStyle w:val="BodyText"/>
        <w:spacing w:before="8"/>
        <w:ind w:left="2072"/>
      </w:pPr>
      <w:r>
        <w:rPr/>
        <w:t>(1)脑垂体瘤；</w:t>
      </w:r>
    </w:p>
    <w:p>
      <w:pPr>
        <w:pStyle w:val="BodyText"/>
        <w:ind w:left="2072"/>
      </w:pPr>
      <w:r>
        <w:rPr/>
        <w:t>(2)脑囊肿；</w:t>
      </w:r>
    </w:p>
    <w:p>
      <w:pPr>
        <w:pStyle w:val="BodyText"/>
        <w:spacing w:before="46"/>
        <w:ind w:left="2072"/>
      </w:pPr>
      <w:r>
        <w:rPr/>
        <w:t>(3)脑动脉瘤、脑血管瘤。</w:t>
      </w:r>
    </w:p>
    <w:p>
      <w:pPr>
        <w:pStyle w:val="BodyText"/>
        <w:spacing w:before="163"/>
        <w:ind w:left="2072"/>
      </w:pPr>
      <w:r>
        <w:rPr/>
        <w:t>（三）视力严重受损</w:t>
      </w:r>
    </w:p>
    <w:p>
      <w:pPr>
        <w:pStyle w:val="BodyText"/>
        <w:spacing w:before="43"/>
        <w:ind w:left="2072"/>
      </w:pPr>
      <w:r>
        <w:rPr/>
        <w:t>指因疾病或意外伤害导致双目视力永久不可逆性丧失，虽然未达到重大疾病</w:t>
      </w:r>
    </w:p>
    <w:p>
      <w:pPr>
        <w:pStyle w:val="BodyText"/>
        <w:ind w:left="2072"/>
      </w:pPr>
      <w:r>
        <w:rPr>
          <w:rFonts w:ascii="宋体" w:hAnsi="宋体" w:eastAsia="宋体" w:hint="eastAsia"/>
        </w:rPr>
        <w:t>“</w:t>
      </w:r>
      <w:r>
        <w:rPr/>
        <w:t>双目失明</w:t>
      </w:r>
      <w:r>
        <w:rPr>
          <w:rFonts w:ascii="宋体" w:hAnsi="宋体" w:eastAsia="宋体" w:hint="eastAsia"/>
        </w:rPr>
        <w:t>”</w:t>
      </w:r>
      <w:r>
        <w:rPr/>
        <w:t>的给付标准，但满足下列全部条件：</w:t>
      </w:r>
    </w:p>
    <w:p>
      <w:pPr>
        <w:pStyle w:val="BodyText"/>
        <w:spacing w:line="278" w:lineRule="auto" w:before="46"/>
        <w:ind w:left="2072" w:right="215"/>
      </w:pPr>
      <w:r>
        <w:rPr/>
        <w:t>(1)</w:t>
      </w:r>
      <w:r>
        <w:rPr>
          <w:spacing w:val="-3"/>
        </w:rPr>
        <w:t>双眼中较好眼矫正视力低于 </w:t>
      </w:r>
      <w:r>
        <w:rPr/>
        <w:t>0.1（</w:t>
      </w:r>
      <w:r>
        <w:rPr>
          <w:spacing w:val="-3"/>
        </w:rPr>
        <w:t>采用国际标准视力表，如果使用其他视</w:t>
      </w:r>
      <w:r>
        <w:rPr>
          <w:spacing w:val="-3"/>
          <w:w w:val="100"/>
        </w:rPr>
        <w:t>力表应进行换算</w:t>
      </w:r>
      <w:r>
        <w:rPr>
          <w:spacing w:val="-106"/>
          <w:w w:val="100"/>
        </w:rPr>
        <w:t>）</w:t>
      </w:r>
      <w:r>
        <w:rPr>
          <w:w w:val="100"/>
        </w:rPr>
        <w:t>；</w:t>
      </w:r>
    </w:p>
    <w:p>
      <w:pPr>
        <w:spacing w:after="0" w:line="278" w:lineRule="auto"/>
        <w:sectPr>
          <w:pgSz w:w="11910" w:h="16840"/>
          <w:pgMar w:top="1400" w:bottom="280" w:left="1580" w:right="1020"/>
        </w:sectPr>
      </w:pPr>
    </w:p>
    <w:p>
      <w:pPr>
        <w:pStyle w:val="BodyText"/>
        <w:spacing w:before="12"/>
        <w:ind w:left="2072"/>
      </w:pPr>
      <w:r>
        <w:rPr/>
        <w:t>(2)双眼中较好眼视野半径小于 20 度。</w:t>
      </w:r>
    </w:p>
    <w:p>
      <w:pPr>
        <w:pStyle w:val="BodyText"/>
        <w:spacing w:before="164"/>
        <w:ind w:left="2072"/>
      </w:pPr>
      <w:r>
        <w:rPr/>
        <w:t>（四）较小面积Ⅲ度烧伤</w:t>
      </w:r>
    </w:p>
    <w:p>
      <w:pPr>
        <w:pStyle w:val="BodyText"/>
        <w:spacing w:line="273" w:lineRule="auto" w:before="20"/>
        <w:ind w:left="2072" w:right="511"/>
      </w:pPr>
      <w:r>
        <w:rPr>
          <w:spacing w:val="-5"/>
        </w:rPr>
        <w:t>指烧伤程度为Ⅲ度，且Ⅲ度烧伤的面积达到全身体表面积的 </w:t>
      </w:r>
      <w:r>
        <w:rPr/>
        <w:t>15</w:t>
      </w:r>
      <w:r>
        <w:rPr>
          <w:spacing w:val="-14"/>
        </w:rPr>
        <w:t>％或 </w:t>
      </w:r>
      <w:r>
        <w:rPr/>
        <w:t>15％ </w:t>
      </w:r>
      <w:r>
        <w:rPr>
          <w:spacing w:val="-3"/>
        </w:rPr>
        <w:t>以上。体表面积根据《中国新九分法》计算。</w:t>
      </w:r>
    </w:p>
    <w:p>
      <w:pPr>
        <w:pStyle w:val="BodyText"/>
        <w:spacing w:before="151"/>
        <w:ind w:left="2072"/>
      </w:pPr>
      <w:r>
        <w:rPr/>
        <w:t>（五）轻微脑中风</w:t>
      </w:r>
    </w:p>
    <w:p>
      <w:pPr>
        <w:pStyle w:val="BodyText"/>
        <w:spacing w:before="43"/>
        <w:ind w:left="2072"/>
      </w:pPr>
      <w:r>
        <w:rPr/>
        <w:t>指实际发生了脑血管的突发病变出现神经系统功能障碍表现，头颅断层扫描</w:t>
      </w:r>
    </w:p>
    <w:p>
      <w:pPr>
        <w:pStyle w:val="BodyText"/>
        <w:spacing w:line="280" w:lineRule="auto"/>
        <w:ind w:left="2072" w:right="112"/>
        <w:jc w:val="both"/>
      </w:pPr>
      <w:r>
        <w:rPr>
          <w:spacing w:val="1"/>
          <w:w w:val="100"/>
        </w:rPr>
        <w:t>（</w:t>
      </w:r>
      <w:r>
        <w:rPr>
          <w:w w:val="100"/>
        </w:rPr>
        <w:t>C</w:t>
      </w:r>
      <w:r>
        <w:rPr>
          <w:spacing w:val="1"/>
          <w:w w:val="100"/>
        </w:rPr>
        <w:t>T</w:t>
      </w:r>
      <w:r>
        <w:rPr>
          <w:spacing w:val="-104"/>
          <w:w w:val="100"/>
        </w:rPr>
        <w:t>）</w:t>
      </w:r>
      <w:r>
        <w:rPr>
          <w:w w:val="100"/>
        </w:rPr>
        <w:t>、核磁共振（MRI）等影像学检查证实存在对应病灶，确诊为脑出血、</w:t>
      </w:r>
      <w:r>
        <w:rPr>
          <w:spacing w:val="-3"/>
        </w:rPr>
        <w:t>脑栓塞或脑梗塞，在确诊 </w:t>
      </w:r>
      <w:r>
        <w:rPr/>
        <w:t>180</w:t>
      </w:r>
      <w:r>
        <w:rPr>
          <w:spacing w:val="-3"/>
        </w:rPr>
        <w:t> 天后未遗留神经系统功能障碍或后遗的神经系统功能障碍程度未达到重大疾病“脑中风后遗症”的给付标准。</w:t>
      </w:r>
    </w:p>
    <w:p>
      <w:pPr>
        <w:pStyle w:val="BodyText"/>
        <w:spacing w:before="8"/>
        <w:ind w:left="2072"/>
      </w:pPr>
      <w:r>
        <w:rPr>
          <w:shd w:fill="D9D9D9" w:color="auto" w:val="clear"/>
        </w:rPr>
        <w:t>短暂性脑缺血发作（TIA）和腔隙性脑梗塞不在保障范围内。</w:t>
      </w:r>
    </w:p>
    <w:p>
      <w:pPr>
        <w:pStyle w:val="BodyText"/>
        <w:spacing w:before="164"/>
        <w:ind w:left="2072"/>
      </w:pPr>
      <w:r>
        <w:rPr/>
        <w:t>（六）重度头部外伤</w:t>
      </w:r>
    </w:p>
    <w:p>
      <w:pPr>
        <w:pStyle w:val="BodyText"/>
        <w:spacing w:line="278" w:lineRule="auto" w:before="46"/>
        <w:ind w:left="2072" w:right="115"/>
        <w:jc w:val="both"/>
      </w:pPr>
      <w:r>
        <w:rPr/>
        <w:t>指因头部遭受机械性外力，引起脑重要部位损伤，导致神经系统永久性的功</w:t>
      </w:r>
      <w:r>
        <w:rPr>
          <w:w w:val="100"/>
        </w:rPr>
        <w:t>能障碍。须由头颅断层扫描</w:t>
      </w:r>
      <w:r>
        <w:rPr>
          <w:spacing w:val="1"/>
          <w:w w:val="100"/>
        </w:rPr>
        <w:t>（</w:t>
      </w:r>
      <w:r>
        <w:rPr>
          <w:w w:val="100"/>
        </w:rPr>
        <w:t>C</w:t>
      </w:r>
      <w:r>
        <w:rPr>
          <w:spacing w:val="1"/>
          <w:w w:val="100"/>
        </w:rPr>
        <w:t>T</w:t>
      </w:r>
      <w:r>
        <w:rPr>
          <w:spacing w:val="-106"/>
          <w:w w:val="100"/>
        </w:rPr>
        <w:t>）</w:t>
      </w:r>
      <w:r>
        <w:rPr>
          <w:w w:val="100"/>
        </w:rPr>
        <w:t>、核磁共振检查（MR</w:t>
      </w:r>
      <w:r>
        <w:rPr>
          <w:spacing w:val="1"/>
          <w:w w:val="100"/>
        </w:rPr>
        <w:t>I）</w:t>
      </w:r>
      <w:r>
        <w:rPr>
          <w:w w:val="100"/>
        </w:rPr>
        <w:t>或正电子发射断层</w:t>
      </w:r>
      <w:r>
        <w:rPr/>
        <w:t>扫描（PET）</w:t>
      </w:r>
      <w:r>
        <w:rPr>
          <w:spacing w:val="-3"/>
        </w:rPr>
        <w:t>等影像学检查证实。神经系统永久性的功能障碍，指脑损伤 </w:t>
      </w:r>
      <w:r>
        <w:rPr/>
        <w:t>180 天后，仍完全丧失自主生活能力，无法独立完成六项基本日常生活活动中的</w:t>
      </w:r>
      <w:r>
        <w:rPr>
          <w:spacing w:val="-2"/>
        </w:rPr>
        <w:t>二项或以上。</w:t>
      </w:r>
    </w:p>
    <w:p>
      <w:pPr>
        <w:pStyle w:val="BodyText"/>
        <w:spacing w:before="130"/>
        <w:ind w:left="2072"/>
      </w:pPr>
      <w:r>
        <w:rPr/>
        <w:t>（七）单个肢体缺失</w:t>
      </w:r>
    </w:p>
    <w:p>
      <w:pPr>
        <w:pStyle w:val="BodyText"/>
        <w:spacing w:line="278" w:lineRule="auto"/>
        <w:ind w:left="2072" w:right="117"/>
      </w:pPr>
      <w:r>
        <w:rPr/>
        <w:t>指因疾病或意外伤害导致一个肢体自腕关节或踝关节近端（靠近躯干端）以上完全性断离。</w:t>
      </w:r>
    </w:p>
    <w:p>
      <w:pPr>
        <w:pStyle w:val="BodyText"/>
        <w:spacing w:before="130"/>
        <w:ind w:left="2072"/>
      </w:pPr>
      <w:r>
        <w:rPr/>
        <w:t>（八）川崎病合并冠状动脉扩张</w:t>
      </w:r>
    </w:p>
    <w:p>
      <w:pPr>
        <w:pStyle w:val="BodyText"/>
        <w:spacing w:line="278" w:lineRule="auto" w:before="46"/>
        <w:ind w:left="2072" w:right="118"/>
      </w:pPr>
      <w:r>
        <w:rPr/>
        <w:t>川崎病为一种病因不明的系统性血管炎。本条仅对诊断性检查证实川崎病并发冠状动脉瘤或其他心血管异常，但未接受手术治疗的情况予以赔付。</w:t>
      </w:r>
    </w:p>
    <w:p>
      <w:pPr>
        <w:pStyle w:val="BodyText"/>
        <w:spacing w:before="130"/>
        <w:ind w:left="2072"/>
      </w:pPr>
      <w:r>
        <w:rPr/>
        <w:t>（九）严重脑炎或脑膜炎</w:t>
      </w:r>
    </w:p>
    <w:p>
      <w:pPr>
        <w:pStyle w:val="BodyText"/>
        <w:spacing w:line="280" w:lineRule="auto"/>
        <w:ind w:left="2072" w:right="112"/>
        <w:jc w:val="both"/>
      </w:pPr>
      <w:r>
        <w:rPr/>
        <w:t>指因患脑炎或脑膜炎住院治疗，并且导致神经系统永久性的功能障碍。神经</w:t>
      </w:r>
      <w:r>
        <w:rPr>
          <w:spacing w:val="-4"/>
        </w:rPr>
        <w:t>系统永久性的功能障碍，指疾病确诊 </w:t>
      </w:r>
      <w:r>
        <w:rPr/>
        <w:t>180</w:t>
      </w:r>
      <w:r>
        <w:rPr>
          <w:spacing w:val="-3"/>
        </w:rPr>
        <w:t> 天后，仍遗留下列一种或一种以上障碍：</w:t>
      </w:r>
    </w:p>
    <w:p>
      <w:pPr>
        <w:pStyle w:val="BodyText"/>
        <w:spacing w:before="9"/>
        <w:ind w:left="2072"/>
      </w:pPr>
      <w:r>
        <w:rPr/>
        <w:t>(1)一肢或一肢以上肢体肌力III 级或 III 级以下的运动功能障碍；</w:t>
      </w:r>
    </w:p>
    <w:p>
      <w:pPr>
        <w:pStyle w:val="BodyText"/>
        <w:spacing w:before="46"/>
        <w:ind w:left="2072"/>
      </w:pPr>
      <w:r>
        <w:rPr/>
        <w:t>(2)听力丧失，双耳平均听阈大于 55 分贝或一耳平均听阈大于 90 分贝；</w:t>
      </w:r>
    </w:p>
    <w:p>
      <w:pPr>
        <w:pStyle w:val="BodyText"/>
        <w:ind w:left="2072"/>
      </w:pPr>
      <w:r>
        <w:rPr/>
        <w:t>(3)视野缺损，双眼视野半径小于 20 度；</w:t>
      </w:r>
    </w:p>
    <w:p>
      <w:pPr>
        <w:pStyle w:val="BodyText"/>
        <w:spacing w:line="280" w:lineRule="auto"/>
        <w:ind w:left="2072" w:right="115"/>
      </w:pPr>
      <w:r>
        <w:rPr/>
        <w:t>(4)</w:t>
      </w:r>
      <w:r>
        <w:rPr>
          <w:spacing w:val="-3"/>
        </w:rPr>
        <w:t>视力严重受损，双眼中较好眼矫正视力低于 </w:t>
      </w:r>
      <w:r>
        <w:rPr/>
        <w:t>0.1（</w:t>
      </w:r>
      <w:r>
        <w:rPr>
          <w:spacing w:val="-3"/>
        </w:rPr>
        <w:t>采用国际标准视力表， 如果使用其他视力表应进行换算</w:t>
      </w:r>
      <w:r>
        <w:rPr>
          <w:spacing w:val="-106"/>
        </w:rPr>
        <w:t>）</w:t>
      </w:r>
      <w:r>
        <w:rPr/>
        <w:t>。</w:t>
      </w:r>
    </w:p>
    <w:p>
      <w:pPr>
        <w:pStyle w:val="BodyText"/>
        <w:spacing w:before="128"/>
        <w:ind w:left="2072"/>
      </w:pPr>
      <w:r>
        <w:rPr/>
        <w:t>（十）轻度脊髓灰质炎</w:t>
      </w:r>
    </w:p>
    <w:p>
      <w:pPr>
        <w:pStyle w:val="BodyText"/>
        <w:spacing w:line="278" w:lineRule="auto"/>
        <w:ind w:left="2072" w:right="112"/>
        <w:jc w:val="both"/>
      </w:pPr>
      <w:r>
        <w:rPr/>
        <w:t>脊髓灰质炎是由于脊髓灰质炎病毒感染所致的瘫痪性疾病，临床表现为运动功能损害或呼吸无力。脊髓灰质炎必须明确诊断。本条仅对脊髓灰质炎造成的神经系统功能损害导致被保险人一肢或一肢以上肢体机能永久完全丧失的</w:t>
      </w:r>
      <w:r>
        <w:rPr>
          <w:spacing w:val="-7"/>
        </w:rPr>
        <w:t>情况予以理赔。肢体机能永久完全丧失，指疾病确诊 </w:t>
      </w:r>
      <w:r>
        <w:rPr/>
        <w:t>90</w:t>
      </w:r>
      <w:r>
        <w:rPr>
          <w:spacing w:val="-8"/>
        </w:rPr>
        <w:t> 天后，每肢三大关节</w:t>
      </w:r>
      <w:r>
        <w:rPr>
          <w:spacing w:val="-3"/>
        </w:rPr>
        <w:t>中的两大关节仍然完全僵硬，或不能随意识活动。</w:t>
      </w:r>
    </w:p>
    <w:p>
      <w:pPr>
        <w:pStyle w:val="BodyText"/>
        <w:tabs>
          <w:tab w:pos="2072" w:val="left" w:leader="none"/>
        </w:tabs>
        <w:spacing w:line="278" w:lineRule="auto" w:before="130"/>
        <w:ind w:left="2072" w:right="118" w:hanging="1954"/>
      </w:pPr>
      <w:r>
        <w:rPr>
          <w:b/>
        </w:rPr>
        <w:t>成人特定疾病</w:t>
        <w:tab/>
      </w:r>
      <w:r>
        <w:rPr/>
        <w:t>指被保险人初次发生符合下列定义的疾病，或初次接受符合下列所定义的手 </w:t>
      </w:r>
      <w:r>
        <w:rPr>
          <w:spacing w:val="-1"/>
        </w:rPr>
        <w:t>术</w:t>
      </w:r>
      <w:r>
        <w:rPr/>
        <w:t>。</w:t>
      </w:r>
      <w:r>
        <w:rPr>
          <w:spacing w:val="-3"/>
        </w:rPr>
        <w:t>该</w:t>
      </w:r>
      <w:r>
        <w:rPr/>
        <w:t>疾</w:t>
      </w:r>
      <w:r>
        <w:rPr>
          <w:spacing w:val="-3"/>
        </w:rPr>
        <w:t>病</w:t>
      </w:r>
      <w:r>
        <w:rPr/>
        <w:t>或</w:t>
      </w:r>
      <w:r>
        <w:rPr>
          <w:spacing w:val="-3"/>
        </w:rPr>
        <w:t>手</w:t>
      </w:r>
      <w:r>
        <w:rPr/>
        <w:t>术</w:t>
      </w:r>
      <w:r>
        <w:rPr>
          <w:spacing w:val="-3"/>
        </w:rPr>
        <w:t>由</w:t>
      </w:r>
      <w:r>
        <w:rPr/>
        <w:t>专</w:t>
      </w:r>
      <w:r>
        <w:rPr>
          <w:spacing w:val="-3"/>
        </w:rPr>
        <w:t>科</w:t>
      </w:r>
      <w:r>
        <w:rPr/>
        <w:t>医生</w:t>
      </w:r>
      <w:r>
        <w:rPr>
          <w:spacing w:val="-3"/>
        </w:rPr>
        <w:t>明</w:t>
      </w:r>
      <w:r>
        <w:rPr/>
        <w:t>确</w:t>
      </w:r>
      <w:r>
        <w:rPr>
          <w:spacing w:val="-3"/>
        </w:rPr>
        <w:t>诊</w:t>
      </w:r>
      <w:r>
        <w:rPr/>
        <w:t>断。</w:t>
      </w:r>
    </w:p>
    <w:p>
      <w:pPr>
        <w:pStyle w:val="BodyText"/>
        <w:spacing w:before="130"/>
        <w:ind w:left="2072"/>
      </w:pPr>
      <w:r>
        <w:rPr/>
        <w:t>（一）非危及生命的恶性肿瘤</w:t>
      </w:r>
    </w:p>
    <w:p>
      <w:pPr>
        <w:spacing w:after="0"/>
        <w:sectPr>
          <w:pgSz w:w="11910" w:h="16840"/>
          <w:pgMar w:top="1400" w:bottom="280" w:left="1580" w:right="1120"/>
        </w:sectPr>
      </w:pPr>
    </w:p>
    <w:p>
      <w:pPr>
        <w:pStyle w:val="BodyText"/>
        <w:spacing w:before="12"/>
      </w:pPr>
      <w:r>
        <w:rPr/>
        <w:t>指经组织病理学检查被明确诊断为下列恶性病变，并且接受了相应的治疗：</w:t>
      </w:r>
    </w:p>
    <w:p>
      <w:pPr>
        <w:pStyle w:val="BodyText"/>
      </w:pPr>
      <w:r>
        <w:rPr/>
        <w:t>(1)原位癌；</w:t>
      </w:r>
    </w:p>
    <w:p>
      <w:pPr>
        <w:pStyle w:val="BodyText"/>
      </w:pPr>
      <w:r>
        <w:rPr/>
        <w:t>(2)相当于Binet 分期方案 A 期程度的慢性淋巴细胞白血病；</w:t>
      </w:r>
    </w:p>
    <w:p>
      <w:pPr>
        <w:pStyle w:val="BodyText"/>
        <w:spacing w:before="47"/>
      </w:pPr>
      <w:r>
        <w:rPr/>
        <w:t>(3)相当于Ann Arbor 分期方案 I 期程度的何杰金氏病；</w:t>
      </w:r>
    </w:p>
    <w:p>
      <w:pPr>
        <w:pStyle w:val="BodyText"/>
      </w:pPr>
      <w:r>
        <w:rPr>
          <w:w w:val="100"/>
        </w:rPr>
        <w:t>(4)</w:t>
      </w:r>
      <w:r>
        <w:rPr>
          <w:spacing w:val="-3"/>
          <w:w w:val="100"/>
        </w:rPr>
        <w:t>皮肤癌</w:t>
      </w:r>
      <w:r>
        <w:rPr>
          <w:w w:val="100"/>
        </w:rPr>
        <w:t>（</w:t>
      </w:r>
      <w:r>
        <w:rPr>
          <w:spacing w:val="-3"/>
          <w:w w:val="100"/>
          <w:shd w:fill="D9D9D9" w:color="auto" w:val="clear"/>
        </w:rPr>
        <w:t>不包括恶性黑色素瘤及已发生转移的皮肤癌</w:t>
      </w:r>
      <w:r>
        <w:rPr>
          <w:spacing w:val="-108"/>
          <w:w w:val="100"/>
        </w:rPr>
        <w:t>）</w:t>
      </w:r>
      <w:r>
        <w:rPr>
          <w:w w:val="100"/>
        </w:rPr>
        <w:t>；</w:t>
      </w:r>
    </w:p>
    <w:p>
      <w:pPr>
        <w:pStyle w:val="BodyText"/>
      </w:pPr>
      <w:r>
        <w:rPr/>
        <w:t>(5)TNM 分期为 T1N0M0 期或更轻分期的前列腺癌。</w:t>
      </w:r>
    </w:p>
    <w:p>
      <w:pPr>
        <w:pStyle w:val="BodyText"/>
        <w:spacing w:before="164"/>
      </w:pPr>
      <w:r>
        <w:rPr/>
        <w:t>（二）脑垂体瘤、脑囊肿、脑动脉瘤及脑血管瘤</w:t>
      </w:r>
    </w:p>
    <w:p>
      <w:pPr>
        <w:pStyle w:val="BodyText"/>
        <w:spacing w:line="278" w:lineRule="auto" w:before="47"/>
        <w:ind w:right="116"/>
      </w:pPr>
      <w:r>
        <w:rPr>
          <w:w w:val="100"/>
        </w:rPr>
        <w:t>指经头颅断层扫描</w:t>
      </w:r>
      <w:r>
        <w:rPr>
          <w:spacing w:val="1"/>
          <w:w w:val="100"/>
        </w:rPr>
        <w:t>（</w:t>
      </w:r>
      <w:r>
        <w:rPr>
          <w:w w:val="100"/>
        </w:rPr>
        <w:t>C</w:t>
      </w:r>
      <w:r>
        <w:rPr>
          <w:spacing w:val="1"/>
          <w:w w:val="100"/>
        </w:rPr>
        <w:t>T</w:t>
      </w:r>
      <w:r>
        <w:rPr>
          <w:spacing w:val="-106"/>
          <w:w w:val="100"/>
        </w:rPr>
        <w:t>）</w:t>
      </w:r>
      <w:r>
        <w:rPr>
          <w:w w:val="100"/>
        </w:rPr>
        <w:t>、核磁共振</w:t>
      </w:r>
      <w:r>
        <w:rPr>
          <w:spacing w:val="1"/>
          <w:w w:val="100"/>
        </w:rPr>
        <w:t>（</w:t>
      </w:r>
      <w:r>
        <w:rPr>
          <w:spacing w:val="-3"/>
          <w:w w:val="100"/>
        </w:rPr>
        <w:t>M</w:t>
      </w:r>
      <w:r>
        <w:rPr>
          <w:w w:val="100"/>
        </w:rPr>
        <w:t>R</w:t>
      </w:r>
      <w:r>
        <w:rPr>
          <w:spacing w:val="1"/>
          <w:w w:val="100"/>
        </w:rPr>
        <w:t>I</w:t>
      </w:r>
      <w:r>
        <w:rPr>
          <w:w w:val="100"/>
        </w:rPr>
        <w:t>）或其他影像学检查被确诊为下列</w:t>
      </w:r>
      <w:r>
        <w:rPr>
          <w:spacing w:val="-3"/>
        </w:rPr>
        <w:t>病变，并实际接受了手术或放射治疗：</w:t>
      </w:r>
    </w:p>
    <w:p>
      <w:pPr>
        <w:pStyle w:val="BodyText"/>
        <w:spacing w:before="11"/>
      </w:pPr>
      <w:r>
        <w:rPr/>
        <w:t>(1)脑垂体瘤；</w:t>
      </w:r>
    </w:p>
    <w:p>
      <w:pPr>
        <w:pStyle w:val="BodyText"/>
        <w:spacing w:before="46"/>
      </w:pPr>
      <w:r>
        <w:rPr/>
        <w:t>(2)脑囊肿；</w:t>
      </w:r>
    </w:p>
    <w:p>
      <w:pPr>
        <w:pStyle w:val="BodyText"/>
      </w:pPr>
      <w:r>
        <w:rPr/>
        <w:t>(3)脑动脉瘤、脑血管瘤。</w:t>
      </w:r>
    </w:p>
    <w:p>
      <w:pPr>
        <w:pStyle w:val="BodyText"/>
        <w:spacing w:before="164"/>
      </w:pPr>
      <w:r>
        <w:rPr/>
        <w:t>（三）视力严重受损</w:t>
      </w:r>
    </w:p>
    <w:p>
      <w:pPr>
        <w:pStyle w:val="BodyText"/>
      </w:pPr>
      <w:r>
        <w:rPr/>
        <w:t>指因疾病或意外伤害导致双目视力永久不可逆性丧失，虽然未达到重大疾病</w:t>
      </w:r>
    </w:p>
    <w:p>
      <w:pPr>
        <w:pStyle w:val="BodyText"/>
        <w:spacing w:before="46"/>
      </w:pPr>
      <w:r>
        <w:rPr>
          <w:rFonts w:ascii="宋体" w:hAnsi="宋体" w:eastAsia="宋体" w:hint="eastAsia"/>
        </w:rPr>
        <w:t>“</w:t>
      </w:r>
      <w:r>
        <w:rPr/>
        <w:t>双目失明</w:t>
      </w:r>
      <w:r>
        <w:rPr>
          <w:rFonts w:ascii="宋体" w:hAnsi="宋体" w:eastAsia="宋体" w:hint="eastAsia"/>
        </w:rPr>
        <w:t>”</w:t>
      </w:r>
      <w:r>
        <w:rPr/>
        <w:t>的给付标准，但满足下列全部条件：</w:t>
      </w:r>
    </w:p>
    <w:p>
      <w:pPr>
        <w:pStyle w:val="BodyText"/>
        <w:spacing w:line="278" w:lineRule="auto"/>
        <w:ind w:right="115"/>
      </w:pPr>
      <w:r>
        <w:rPr/>
        <w:t>(1)</w:t>
      </w:r>
      <w:r>
        <w:rPr>
          <w:spacing w:val="-3"/>
        </w:rPr>
        <w:t>双眼中较好眼矫正视力低于 </w:t>
      </w:r>
      <w:r>
        <w:rPr/>
        <w:t>0.1（</w:t>
      </w:r>
      <w:r>
        <w:rPr>
          <w:spacing w:val="-3"/>
        </w:rPr>
        <w:t>采用国际标准视力表，如果使用其他视</w:t>
      </w:r>
      <w:r>
        <w:rPr>
          <w:spacing w:val="-3"/>
          <w:w w:val="100"/>
        </w:rPr>
        <w:t>力表应进行换算</w:t>
      </w:r>
      <w:r>
        <w:rPr>
          <w:spacing w:val="-106"/>
          <w:w w:val="100"/>
        </w:rPr>
        <w:t>）</w:t>
      </w:r>
      <w:r>
        <w:rPr>
          <w:w w:val="100"/>
        </w:rPr>
        <w:t>；</w:t>
      </w:r>
    </w:p>
    <w:p>
      <w:pPr>
        <w:pStyle w:val="BodyText"/>
        <w:spacing w:before="13"/>
      </w:pPr>
      <w:r>
        <w:rPr/>
        <w:t>(2)双眼中较好眼视野半径小于 20 度。</w:t>
      </w:r>
    </w:p>
    <w:p>
      <w:pPr>
        <w:pStyle w:val="BodyText"/>
        <w:spacing w:before="164"/>
      </w:pPr>
      <w:r>
        <w:rPr/>
        <w:t>（四）心脏瓣膜介入手术</w:t>
      </w:r>
    </w:p>
    <w:p>
      <w:pPr>
        <w:pStyle w:val="BodyText"/>
        <w:spacing w:line="273" w:lineRule="auto" w:before="20"/>
        <w:ind w:right="193"/>
      </w:pPr>
      <w:r>
        <w:rPr/>
        <w:t>为了治疗心脏瓣膜疾病，实际实施了非开胸的经胸壁打孔内镜手术或经皮经导管介入手术进行的心脏瓣膜置换或修复手术。</w:t>
      </w:r>
    </w:p>
    <w:p>
      <w:pPr>
        <w:pStyle w:val="BodyText"/>
        <w:spacing w:before="149"/>
      </w:pPr>
      <w:r>
        <w:rPr/>
        <w:t>（五）主动脉内手术</w:t>
      </w:r>
    </w:p>
    <w:p>
      <w:pPr>
        <w:pStyle w:val="BodyText"/>
        <w:spacing w:line="278" w:lineRule="auto" w:before="46"/>
        <w:ind w:right="118"/>
      </w:pPr>
      <w:r>
        <w:rPr/>
        <w:t>为了治疗主动脉疾病实际实施了经皮经导管进行的动脉内手术。主动脉指胸主动脉和腹主动脉，</w:t>
      </w:r>
      <w:r>
        <w:rPr>
          <w:shd w:fill="D9D9D9" w:color="auto" w:val="clear"/>
        </w:rPr>
        <w:t>不包括胸主动脉和腹主动脉的分支血管</w:t>
      </w:r>
      <w:r>
        <w:rPr/>
        <w:t>。</w:t>
      </w:r>
    </w:p>
    <w:p>
      <w:pPr>
        <w:pStyle w:val="BodyText"/>
        <w:spacing w:before="130"/>
      </w:pPr>
      <w:r>
        <w:rPr/>
        <w:t>（六）冠状动脉介入手术</w:t>
      </w:r>
    </w:p>
    <w:p>
      <w:pPr>
        <w:pStyle w:val="BodyText"/>
        <w:spacing w:line="280" w:lineRule="auto"/>
        <w:ind w:right="118"/>
      </w:pPr>
      <w:r>
        <w:rPr/>
        <w:t>为了治疗明显的冠状动脉狭窄性疾病，首次实际实施了冠状动脉球囊扩张成形术、冠状动脉支架植入术或激光冠状动脉成形术。</w:t>
      </w:r>
    </w:p>
    <w:p>
      <w:pPr>
        <w:pStyle w:val="BodyText"/>
        <w:spacing w:before="128"/>
      </w:pPr>
      <w:r>
        <w:rPr/>
        <w:t>（七）较小面积Ⅲ度烧伤</w:t>
      </w:r>
    </w:p>
    <w:p>
      <w:pPr>
        <w:pStyle w:val="BodyText"/>
        <w:spacing w:line="292" w:lineRule="auto" w:before="20"/>
        <w:ind w:right="511"/>
      </w:pPr>
      <w:r>
        <w:rPr>
          <w:spacing w:val="-5"/>
        </w:rPr>
        <w:t>指烧伤程度为Ⅲ度，且Ⅲ度烧伤的面积达到全身体表面积的 </w:t>
      </w:r>
      <w:r>
        <w:rPr/>
        <w:t>15</w:t>
      </w:r>
      <w:r>
        <w:rPr>
          <w:spacing w:val="-14"/>
        </w:rPr>
        <w:t>％或 </w:t>
      </w:r>
      <w:r>
        <w:rPr/>
        <w:t>15％ </w:t>
      </w:r>
      <w:r>
        <w:rPr>
          <w:spacing w:val="-3"/>
        </w:rPr>
        <w:t>以上。体表面积根据《中国新九分法》计算。</w:t>
      </w:r>
    </w:p>
    <w:p>
      <w:pPr>
        <w:pStyle w:val="BodyText"/>
        <w:spacing w:before="118"/>
      </w:pPr>
      <w:r>
        <w:rPr/>
        <w:t>（八）轻微脑中风</w:t>
      </w:r>
    </w:p>
    <w:p>
      <w:pPr>
        <w:pStyle w:val="BodyText"/>
      </w:pPr>
      <w:r>
        <w:rPr/>
        <w:t>指实际发生了脑血管的突发病变出现神经系统功能障碍表现，头颅断层扫描</w:t>
      </w:r>
    </w:p>
    <w:p>
      <w:pPr>
        <w:pStyle w:val="BodyText"/>
        <w:spacing w:line="278" w:lineRule="auto" w:before="46"/>
        <w:ind w:right="112"/>
        <w:jc w:val="both"/>
      </w:pPr>
      <w:r>
        <w:rPr>
          <w:spacing w:val="1"/>
          <w:w w:val="100"/>
        </w:rPr>
        <w:t>（</w:t>
      </w:r>
      <w:r>
        <w:rPr>
          <w:w w:val="100"/>
        </w:rPr>
        <w:t>C</w:t>
      </w:r>
      <w:r>
        <w:rPr>
          <w:spacing w:val="1"/>
          <w:w w:val="100"/>
        </w:rPr>
        <w:t>T</w:t>
      </w:r>
      <w:r>
        <w:rPr>
          <w:spacing w:val="-104"/>
          <w:w w:val="100"/>
        </w:rPr>
        <w:t>）</w:t>
      </w:r>
      <w:r>
        <w:rPr>
          <w:w w:val="100"/>
        </w:rPr>
        <w:t>、核磁共振（MRI）等影像学检查证实存在对应病灶，确诊为脑出血、</w:t>
      </w:r>
      <w:r>
        <w:rPr>
          <w:spacing w:val="-3"/>
        </w:rPr>
        <w:t>脑栓塞或脑梗塞，在确诊 </w:t>
      </w:r>
      <w:r>
        <w:rPr/>
        <w:t>180</w:t>
      </w:r>
      <w:r>
        <w:rPr>
          <w:spacing w:val="-3"/>
        </w:rPr>
        <w:t> 天后未遗留神经系统功能障碍或后遗的神经系统功能障碍程度未达到重大疾病“脑中风后遗症”的给付标准。</w:t>
      </w:r>
    </w:p>
    <w:p>
      <w:pPr>
        <w:pStyle w:val="BodyText"/>
        <w:spacing w:before="13"/>
      </w:pPr>
      <w:r>
        <w:rPr>
          <w:shd w:fill="D9D9D9" w:color="auto" w:val="clear"/>
        </w:rPr>
        <w:t>短暂性脑缺血发作（TIA）和腔隙性脑梗塞不在保障范围内。</w:t>
      </w:r>
    </w:p>
    <w:p>
      <w:pPr>
        <w:pStyle w:val="BodyText"/>
        <w:spacing w:before="162"/>
      </w:pPr>
      <w:r>
        <w:rPr/>
        <w:t>（九）不典型的急性心肌梗塞</w:t>
      </w:r>
    </w:p>
    <w:p>
      <w:pPr>
        <w:pStyle w:val="BodyText"/>
        <w:spacing w:line="278" w:lineRule="auto" w:before="46"/>
        <w:ind w:right="118"/>
      </w:pPr>
      <w:r>
        <w:rPr/>
        <w:t>指被临床诊断为急性心肌梗塞并接受了急性心肌梗塞治疗，虽然未达到重大疾病“急性心肌梗塞”的给付标准，但满足下列全部条件：</w:t>
      </w:r>
    </w:p>
    <w:p>
      <w:pPr>
        <w:pStyle w:val="BodyText"/>
        <w:spacing w:before="10"/>
      </w:pPr>
      <w:r>
        <w:rPr/>
        <w:t>(1)肌钙蛋白有诊断意义的升高；</w:t>
      </w:r>
    </w:p>
    <w:p>
      <w:pPr>
        <w:spacing w:after="0"/>
        <w:sectPr>
          <w:pgSz w:w="11910" w:h="16840"/>
          <w:pgMar w:top="1400" w:bottom="280" w:left="1680" w:right="1120"/>
        </w:sectPr>
      </w:pPr>
    </w:p>
    <w:p>
      <w:pPr>
        <w:pStyle w:val="BodyText"/>
        <w:spacing w:before="12"/>
      </w:pPr>
      <w:r>
        <w:rPr/>
        <w:t>(2)心电图有损伤性的 ST 段改变但未出现病理Q 波。</w:t>
      </w:r>
    </w:p>
    <w:p>
      <w:pPr>
        <w:pStyle w:val="BodyText"/>
        <w:spacing w:before="164"/>
      </w:pPr>
      <w:r>
        <w:rPr/>
        <w:t>（十）重度头部外伤</w:t>
      </w:r>
    </w:p>
    <w:p>
      <w:pPr>
        <w:pStyle w:val="BodyText"/>
        <w:spacing w:line="278" w:lineRule="auto"/>
        <w:ind w:right="115"/>
        <w:jc w:val="both"/>
      </w:pPr>
      <w:r>
        <w:rPr/>
        <w:t>指因头部遭受机械性外力，引起脑重要部位损伤，导致神经系统永久性的功</w:t>
      </w:r>
      <w:r>
        <w:rPr>
          <w:w w:val="100"/>
        </w:rPr>
        <w:t>能障碍。须由头颅断层扫描</w:t>
      </w:r>
      <w:r>
        <w:rPr>
          <w:spacing w:val="1"/>
          <w:w w:val="100"/>
        </w:rPr>
        <w:t>（</w:t>
      </w:r>
      <w:r>
        <w:rPr>
          <w:w w:val="100"/>
        </w:rPr>
        <w:t>C</w:t>
      </w:r>
      <w:r>
        <w:rPr>
          <w:spacing w:val="1"/>
          <w:w w:val="100"/>
        </w:rPr>
        <w:t>T</w:t>
      </w:r>
      <w:r>
        <w:rPr>
          <w:spacing w:val="-106"/>
          <w:w w:val="100"/>
        </w:rPr>
        <w:t>）</w:t>
      </w:r>
      <w:r>
        <w:rPr>
          <w:w w:val="100"/>
        </w:rPr>
        <w:t>、核磁共振检查（MR</w:t>
      </w:r>
      <w:r>
        <w:rPr>
          <w:spacing w:val="1"/>
          <w:w w:val="100"/>
        </w:rPr>
        <w:t>I）</w:t>
      </w:r>
      <w:r>
        <w:rPr>
          <w:w w:val="100"/>
        </w:rPr>
        <w:t>或正电子发射断层</w:t>
      </w:r>
      <w:r>
        <w:rPr/>
        <w:t>扫描（PET）</w:t>
      </w:r>
      <w:r>
        <w:rPr>
          <w:spacing w:val="-3"/>
        </w:rPr>
        <w:t>等影像学检查证实。神经系统永久性的功能障碍，指脑损伤 </w:t>
      </w:r>
      <w:r>
        <w:rPr/>
        <w:t>180 天后，仍完全丧失自主生活能力，无法独立完成六项基本日常生活活动中的</w:t>
      </w:r>
      <w:r>
        <w:rPr>
          <w:spacing w:val="-2"/>
        </w:rPr>
        <w:t>二项或以上。</w:t>
      </w:r>
    </w:p>
    <w:p>
      <w:pPr>
        <w:pStyle w:val="BodyText"/>
        <w:spacing w:before="131"/>
      </w:pPr>
      <w:r>
        <w:rPr/>
        <w:t>上述各项疾病定义中部分术语释义如下：</w:t>
      </w:r>
    </w:p>
    <w:p>
      <w:pPr>
        <w:pStyle w:val="BodyText"/>
        <w:spacing w:before="11"/>
        <w:ind w:left="0"/>
        <w:rPr>
          <w:sz w:val="13"/>
        </w:rPr>
      </w:pPr>
    </w:p>
    <w:p>
      <w:pPr>
        <w:pStyle w:val="BodyText"/>
        <w:spacing w:before="0"/>
      </w:pPr>
      <w:r>
        <w:rPr/>
        <w:t>（一）肢体机能完全丧失</w:t>
      </w:r>
    </w:p>
    <w:p>
      <w:pPr>
        <w:pStyle w:val="BodyText"/>
        <w:spacing w:line="278" w:lineRule="auto" w:before="46"/>
        <w:ind w:right="194"/>
      </w:pPr>
      <w:r>
        <w:rPr/>
        <w:t>指肢体的三大关节中的两大关节僵硬，或不能随意识活动。肢体是指包括肩关节的整个上肢或包括髋关节的整个下肢。</w:t>
      </w:r>
    </w:p>
    <w:p>
      <w:pPr>
        <w:pStyle w:val="BodyText"/>
        <w:spacing w:before="175"/>
      </w:pPr>
      <w:r>
        <w:rPr/>
        <w:t>（二）语言能力或咀嚼吞咽能力完全丧失</w:t>
      </w:r>
    </w:p>
    <w:p>
      <w:pPr>
        <w:pStyle w:val="BodyText"/>
        <w:spacing w:line="280" w:lineRule="auto"/>
        <w:ind w:right="194"/>
        <w:jc w:val="both"/>
      </w:pPr>
      <w:r>
        <w:rPr/>
        <w:t>语言能力完全丧失，指无法发出四种语音（包括口唇音、齿舌音、口盖音和喉头音）中的任何三种、或声带全部切除，或因大脑语言中枢受伤害而患失语症。</w:t>
      </w:r>
    </w:p>
    <w:p>
      <w:pPr>
        <w:pStyle w:val="BodyText"/>
        <w:spacing w:line="280" w:lineRule="auto" w:before="8"/>
        <w:ind w:right="194"/>
      </w:pPr>
      <w:r>
        <w:rPr/>
        <w:t>咀嚼吞咽能力完全丧失，指因牙齿以外的原因导致器质障碍或机能障碍，以致不能作咀嚼吞咽运动，除流质食物外不能摄取或吞咽的状态。</w:t>
      </w:r>
    </w:p>
    <w:p>
      <w:pPr>
        <w:pStyle w:val="BodyText"/>
        <w:spacing w:line="278" w:lineRule="auto" w:before="171"/>
        <w:ind w:right="4396"/>
      </w:pPr>
      <w:r>
        <w:rPr/>
        <w:t>（三）六项基本日常生活活动六项基本日常生活活动是指：</w:t>
      </w:r>
    </w:p>
    <w:p>
      <w:pPr>
        <w:pStyle w:val="BodyText"/>
        <w:spacing w:before="13"/>
        <w:jc w:val="both"/>
      </w:pPr>
      <w:r>
        <w:rPr/>
        <w:t>(1)穿衣：自己能够穿衣及脱衣；</w:t>
      </w:r>
    </w:p>
    <w:p>
      <w:pPr>
        <w:pStyle w:val="BodyText"/>
        <w:jc w:val="both"/>
      </w:pPr>
      <w:r>
        <w:rPr/>
        <w:t>(2)移动：自己从一个房间到另一个房间；</w:t>
      </w:r>
    </w:p>
    <w:p>
      <w:pPr>
        <w:pStyle w:val="BodyText"/>
        <w:jc w:val="both"/>
      </w:pPr>
      <w:r>
        <w:rPr/>
        <w:t>(3)行动：自己上下床或上下轮椅；</w:t>
      </w:r>
    </w:p>
    <w:p>
      <w:pPr>
        <w:pStyle w:val="BodyText"/>
        <w:spacing w:before="46"/>
        <w:jc w:val="both"/>
      </w:pPr>
      <w:r>
        <w:rPr/>
        <w:t>(4)如厕：自己控制进行大小便；</w:t>
      </w:r>
    </w:p>
    <w:p>
      <w:pPr>
        <w:pStyle w:val="BodyText"/>
        <w:jc w:val="both"/>
      </w:pPr>
      <w:r>
        <w:rPr/>
        <w:t>(5)进食：自己从已准备好的碗或碟中取食物放入口中；</w:t>
      </w:r>
    </w:p>
    <w:p>
      <w:pPr>
        <w:pStyle w:val="BodyText"/>
        <w:jc w:val="both"/>
      </w:pPr>
      <w:r>
        <w:rPr/>
        <w:t>(6)洗澡：自己进行淋浴或盆浴。</w:t>
      </w:r>
    </w:p>
    <w:p>
      <w:pPr>
        <w:pStyle w:val="BodyText"/>
        <w:spacing w:before="1"/>
        <w:ind w:left="0"/>
        <w:rPr>
          <w:sz w:val="20"/>
        </w:rPr>
      </w:pPr>
    </w:p>
    <w:p>
      <w:pPr>
        <w:pStyle w:val="BodyText"/>
        <w:spacing w:before="0"/>
        <w:jc w:val="both"/>
      </w:pPr>
      <w:r>
        <w:rPr/>
        <w:t>（四）永久不可逆</w:t>
      </w:r>
    </w:p>
    <w:p>
      <w:pPr>
        <w:pStyle w:val="BodyText"/>
        <w:spacing w:line="278" w:lineRule="auto"/>
        <w:ind w:right="194"/>
      </w:pPr>
      <w:r>
        <w:rPr>
          <w:spacing w:val="-5"/>
        </w:rPr>
        <w:t>指自疾病确诊或意外伤害发生之日起，经过积极治疗 </w:t>
      </w:r>
      <w:r>
        <w:rPr/>
        <w:t>180</w:t>
      </w:r>
      <w:r>
        <w:rPr>
          <w:spacing w:val="-8"/>
        </w:rPr>
        <w:t> 天后，仍无法通过</w:t>
      </w:r>
      <w:r>
        <w:rPr>
          <w:spacing w:val="-3"/>
        </w:rPr>
        <w:t>现有医疗手段恢复。</w:t>
      </w:r>
    </w:p>
    <w:sectPr>
      <w:pgSz w:w="11910" w:h="16840"/>
      <w:pgMar w:top="1400" w:bottom="280" w:left="16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2183" w:hanging="212"/>
        <w:jc w:val="left"/>
      </w:pPr>
      <w:rPr>
        <w:rFonts w:hint="default" w:ascii="楷体" w:hAnsi="楷体" w:eastAsia="楷体" w:cs="楷体"/>
        <w:w w:val="100"/>
        <w:sz w:val="21"/>
        <w:szCs w:val="21"/>
      </w:rPr>
    </w:lvl>
    <w:lvl w:ilvl="1">
      <w:start w:val="1"/>
      <w:numFmt w:val="decimal"/>
      <w:lvlText w:val="(%2)"/>
      <w:lvlJc w:val="left"/>
      <w:pPr>
        <w:ind w:left="2495" w:hanging="423"/>
        <w:jc w:val="left"/>
      </w:pPr>
      <w:rPr>
        <w:rFonts w:hint="default" w:ascii="楷体" w:hAnsi="楷体" w:eastAsia="楷体" w:cs="楷体"/>
        <w:w w:val="100"/>
        <w:sz w:val="21"/>
        <w:szCs w:val="21"/>
      </w:rPr>
    </w:lvl>
    <w:lvl w:ilvl="2">
      <w:start w:val="0"/>
      <w:numFmt w:val="bullet"/>
      <w:lvlText w:val="•"/>
      <w:lvlJc w:val="left"/>
      <w:pPr>
        <w:ind w:left="3233" w:hanging="423"/>
      </w:pPr>
      <w:rPr>
        <w:rFonts w:hint="default"/>
      </w:rPr>
    </w:lvl>
    <w:lvl w:ilvl="3">
      <w:start w:val="0"/>
      <w:numFmt w:val="bullet"/>
      <w:lvlText w:val="•"/>
      <w:lvlJc w:val="left"/>
      <w:pPr>
        <w:ind w:left="3967" w:hanging="423"/>
      </w:pPr>
      <w:rPr>
        <w:rFonts w:hint="default"/>
      </w:rPr>
    </w:lvl>
    <w:lvl w:ilvl="4">
      <w:start w:val="0"/>
      <w:numFmt w:val="bullet"/>
      <w:lvlText w:val="•"/>
      <w:lvlJc w:val="left"/>
      <w:pPr>
        <w:ind w:left="4701" w:hanging="423"/>
      </w:pPr>
      <w:rPr>
        <w:rFonts w:hint="default"/>
      </w:rPr>
    </w:lvl>
    <w:lvl w:ilvl="5">
      <w:start w:val="0"/>
      <w:numFmt w:val="bullet"/>
      <w:lvlText w:val="•"/>
      <w:lvlJc w:val="left"/>
      <w:pPr>
        <w:ind w:left="5435" w:hanging="423"/>
      </w:pPr>
      <w:rPr>
        <w:rFonts w:hint="default"/>
      </w:rPr>
    </w:lvl>
    <w:lvl w:ilvl="6">
      <w:start w:val="0"/>
      <w:numFmt w:val="bullet"/>
      <w:lvlText w:val="•"/>
      <w:lvlJc w:val="left"/>
      <w:pPr>
        <w:ind w:left="6169" w:hanging="423"/>
      </w:pPr>
      <w:rPr>
        <w:rFonts w:hint="default"/>
      </w:rPr>
    </w:lvl>
    <w:lvl w:ilvl="7">
      <w:start w:val="0"/>
      <w:numFmt w:val="bullet"/>
      <w:lvlText w:val="•"/>
      <w:lvlJc w:val="left"/>
      <w:pPr>
        <w:ind w:left="6903" w:hanging="423"/>
      </w:pPr>
      <w:rPr>
        <w:rFonts w:hint="default"/>
      </w:rPr>
    </w:lvl>
    <w:lvl w:ilvl="8">
      <w:start w:val="0"/>
      <w:numFmt w:val="bullet"/>
      <w:lvlText w:val="•"/>
      <w:lvlJc w:val="left"/>
      <w:pPr>
        <w:ind w:left="7637" w:hanging="423"/>
      </w:pPr>
      <w:rPr>
        <w:rFonts w:hint="default"/>
      </w:rPr>
    </w:lvl>
  </w:abstractNum>
  <w:abstractNum w:abstractNumId="5">
    <w:multiLevelType w:val="hybridMultilevel"/>
    <w:lvl w:ilvl="0">
      <w:start w:val="1"/>
      <w:numFmt w:val="upperRoman"/>
      <w:lvlText w:val="%1"/>
      <w:lvlJc w:val="left"/>
      <w:pPr>
        <w:ind w:left="2283" w:hanging="212"/>
        <w:jc w:val="left"/>
      </w:pPr>
      <w:rPr>
        <w:rFonts w:hint="default" w:ascii="楷体" w:hAnsi="楷体" w:eastAsia="楷体" w:cs="楷体"/>
        <w:w w:val="100"/>
        <w:sz w:val="21"/>
        <w:szCs w:val="21"/>
      </w:rPr>
    </w:lvl>
    <w:lvl w:ilvl="1">
      <w:start w:val="0"/>
      <w:numFmt w:val="bullet"/>
      <w:lvlText w:val="•"/>
      <w:lvlJc w:val="left"/>
      <w:pPr>
        <w:ind w:left="2982" w:hanging="212"/>
      </w:pPr>
      <w:rPr>
        <w:rFonts w:hint="default"/>
      </w:rPr>
    </w:lvl>
    <w:lvl w:ilvl="2">
      <w:start w:val="0"/>
      <w:numFmt w:val="bullet"/>
      <w:lvlText w:val="•"/>
      <w:lvlJc w:val="left"/>
      <w:pPr>
        <w:ind w:left="3685" w:hanging="212"/>
      </w:pPr>
      <w:rPr>
        <w:rFonts w:hint="default"/>
      </w:rPr>
    </w:lvl>
    <w:lvl w:ilvl="3">
      <w:start w:val="0"/>
      <w:numFmt w:val="bullet"/>
      <w:lvlText w:val="•"/>
      <w:lvlJc w:val="left"/>
      <w:pPr>
        <w:ind w:left="4387" w:hanging="212"/>
      </w:pPr>
      <w:rPr>
        <w:rFonts w:hint="default"/>
      </w:rPr>
    </w:lvl>
    <w:lvl w:ilvl="4">
      <w:start w:val="0"/>
      <w:numFmt w:val="bullet"/>
      <w:lvlText w:val="•"/>
      <w:lvlJc w:val="left"/>
      <w:pPr>
        <w:ind w:left="5090" w:hanging="212"/>
      </w:pPr>
      <w:rPr>
        <w:rFonts w:hint="default"/>
      </w:rPr>
    </w:lvl>
    <w:lvl w:ilvl="5">
      <w:start w:val="0"/>
      <w:numFmt w:val="bullet"/>
      <w:lvlText w:val="•"/>
      <w:lvlJc w:val="left"/>
      <w:pPr>
        <w:ind w:left="5792" w:hanging="212"/>
      </w:pPr>
      <w:rPr>
        <w:rFonts w:hint="default"/>
      </w:rPr>
    </w:lvl>
    <w:lvl w:ilvl="6">
      <w:start w:val="0"/>
      <w:numFmt w:val="bullet"/>
      <w:lvlText w:val="•"/>
      <w:lvlJc w:val="left"/>
      <w:pPr>
        <w:ind w:left="6495" w:hanging="212"/>
      </w:pPr>
      <w:rPr>
        <w:rFonts w:hint="default"/>
      </w:rPr>
    </w:lvl>
    <w:lvl w:ilvl="7">
      <w:start w:val="0"/>
      <w:numFmt w:val="bullet"/>
      <w:lvlText w:val="•"/>
      <w:lvlJc w:val="left"/>
      <w:pPr>
        <w:ind w:left="7197" w:hanging="212"/>
      </w:pPr>
      <w:rPr>
        <w:rFonts w:hint="default"/>
      </w:rPr>
    </w:lvl>
    <w:lvl w:ilvl="8">
      <w:start w:val="0"/>
      <w:numFmt w:val="bullet"/>
      <w:lvlText w:val="•"/>
      <w:lvlJc w:val="left"/>
      <w:pPr>
        <w:ind w:left="7900" w:hanging="212"/>
      </w:pPr>
      <w:rPr>
        <w:rFonts w:hint="default"/>
      </w:rPr>
    </w:lvl>
  </w:abstractNum>
  <w:abstractNum w:abstractNumId="4">
    <w:multiLevelType w:val="hybridMultilevel"/>
    <w:lvl w:ilvl="0">
      <w:start w:val="8"/>
      <w:numFmt w:val="decimal"/>
      <w:lvlText w:val="%1"/>
      <w:lvlJc w:val="left"/>
      <w:pPr>
        <w:ind w:left="919" w:hanging="699"/>
        <w:jc w:val="left"/>
      </w:pPr>
      <w:rPr>
        <w:rFonts w:hint="default"/>
      </w:rPr>
    </w:lvl>
    <w:lvl w:ilvl="1">
      <w:start w:val="1"/>
      <w:numFmt w:val="decimal"/>
      <w:lvlText w:val="%1.%2"/>
      <w:lvlJc w:val="left"/>
      <w:pPr>
        <w:ind w:left="919" w:hanging="699"/>
        <w:jc w:val="left"/>
      </w:pPr>
      <w:rPr>
        <w:rFonts w:hint="default" w:ascii="黑体" w:hAnsi="黑体" w:eastAsia="黑体" w:cs="黑体"/>
        <w:w w:val="100"/>
        <w:sz w:val="21"/>
        <w:szCs w:val="21"/>
      </w:rPr>
    </w:lvl>
    <w:lvl w:ilvl="2">
      <w:start w:val="0"/>
      <w:numFmt w:val="bullet"/>
      <w:lvlText w:val="•"/>
      <w:lvlJc w:val="left"/>
      <w:pPr>
        <w:ind w:left="1231" w:hanging="699"/>
      </w:pPr>
      <w:rPr>
        <w:rFonts w:hint="default"/>
      </w:rPr>
    </w:lvl>
    <w:lvl w:ilvl="3">
      <w:start w:val="0"/>
      <w:numFmt w:val="bullet"/>
      <w:lvlText w:val="•"/>
      <w:lvlJc w:val="left"/>
      <w:pPr>
        <w:ind w:left="1387" w:hanging="699"/>
      </w:pPr>
      <w:rPr>
        <w:rFonts w:hint="default"/>
      </w:rPr>
    </w:lvl>
    <w:lvl w:ilvl="4">
      <w:start w:val="0"/>
      <w:numFmt w:val="bullet"/>
      <w:lvlText w:val="•"/>
      <w:lvlJc w:val="left"/>
      <w:pPr>
        <w:ind w:left="1542" w:hanging="699"/>
      </w:pPr>
      <w:rPr>
        <w:rFonts w:hint="default"/>
      </w:rPr>
    </w:lvl>
    <w:lvl w:ilvl="5">
      <w:start w:val="0"/>
      <w:numFmt w:val="bullet"/>
      <w:lvlText w:val="•"/>
      <w:lvlJc w:val="left"/>
      <w:pPr>
        <w:ind w:left="1698" w:hanging="699"/>
      </w:pPr>
      <w:rPr>
        <w:rFonts w:hint="default"/>
      </w:rPr>
    </w:lvl>
    <w:lvl w:ilvl="6">
      <w:start w:val="0"/>
      <w:numFmt w:val="bullet"/>
      <w:lvlText w:val="•"/>
      <w:lvlJc w:val="left"/>
      <w:pPr>
        <w:ind w:left="1854" w:hanging="699"/>
      </w:pPr>
      <w:rPr>
        <w:rFonts w:hint="default"/>
      </w:rPr>
    </w:lvl>
    <w:lvl w:ilvl="7">
      <w:start w:val="0"/>
      <w:numFmt w:val="bullet"/>
      <w:lvlText w:val="•"/>
      <w:lvlJc w:val="left"/>
      <w:pPr>
        <w:ind w:left="2009" w:hanging="699"/>
      </w:pPr>
      <w:rPr>
        <w:rFonts w:hint="default"/>
      </w:rPr>
    </w:lvl>
    <w:lvl w:ilvl="8">
      <w:start w:val="0"/>
      <w:numFmt w:val="bullet"/>
      <w:lvlText w:val="•"/>
      <w:lvlJc w:val="left"/>
      <w:pPr>
        <w:ind w:left="2165" w:hanging="699"/>
      </w:pPr>
      <w:rPr>
        <w:rFonts w:hint="default"/>
      </w:rPr>
    </w:lvl>
  </w:abstractNum>
  <w:abstractNum w:abstractNumId="3">
    <w:multiLevelType w:val="hybridMultilevel"/>
    <w:lvl w:ilvl="0">
      <w:start w:val="3"/>
      <w:numFmt w:val="decimal"/>
      <w:lvlText w:val="%1"/>
      <w:lvlJc w:val="left"/>
      <w:pPr>
        <w:ind w:left="919" w:hanging="699"/>
        <w:jc w:val="left"/>
      </w:pPr>
      <w:rPr>
        <w:rFonts w:hint="default"/>
      </w:rPr>
    </w:lvl>
    <w:lvl w:ilvl="1">
      <w:start w:val="1"/>
      <w:numFmt w:val="decimal"/>
      <w:lvlText w:val="%1.%2"/>
      <w:lvlJc w:val="left"/>
      <w:pPr>
        <w:ind w:left="919" w:hanging="699"/>
        <w:jc w:val="right"/>
      </w:pPr>
      <w:rPr>
        <w:rFonts w:hint="default" w:ascii="黑体" w:hAnsi="黑体" w:eastAsia="黑体" w:cs="黑体"/>
        <w:w w:val="100"/>
        <w:sz w:val="21"/>
        <w:szCs w:val="21"/>
      </w:rPr>
    </w:lvl>
    <w:lvl w:ilvl="2">
      <w:start w:val="0"/>
      <w:numFmt w:val="bullet"/>
      <w:lvlText w:val="•"/>
      <w:lvlJc w:val="left"/>
      <w:pPr>
        <w:ind w:left="2709" w:hanging="699"/>
      </w:pPr>
      <w:rPr>
        <w:rFonts w:hint="default"/>
      </w:rPr>
    </w:lvl>
    <w:lvl w:ilvl="3">
      <w:start w:val="0"/>
      <w:numFmt w:val="bullet"/>
      <w:lvlText w:val="•"/>
      <w:lvlJc w:val="left"/>
      <w:pPr>
        <w:ind w:left="3603" w:hanging="699"/>
      </w:pPr>
      <w:rPr>
        <w:rFonts w:hint="default"/>
      </w:rPr>
    </w:lvl>
    <w:lvl w:ilvl="4">
      <w:start w:val="0"/>
      <w:numFmt w:val="bullet"/>
      <w:lvlText w:val="•"/>
      <w:lvlJc w:val="left"/>
      <w:pPr>
        <w:ind w:left="4498" w:hanging="699"/>
      </w:pPr>
      <w:rPr>
        <w:rFonts w:hint="default"/>
      </w:rPr>
    </w:lvl>
    <w:lvl w:ilvl="5">
      <w:start w:val="0"/>
      <w:numFmt w:val="bullet"/>
      <w:lvlText w:val="•"/>
      <w:lvlJc w:val="left"/>
      <w:pPr>
        <w:ind w:left="5392" w:hanging="699"/>
      </w:pPr>
      <w:rPr>
        <w:rFonts w:hint="default"/>
      </w:rPr>
    </w:lvl>
    <w:lvl w:ilvl="6">
      <w:start w:val="0"/>
      <w:numFmt w:val="bullet"/>
      <w:lvlText w:val="•"/>
      <w:lvlJc w:val="left"/>
      <w:pPr>
        <w:ind w:left="6287" w:hanging="699"/>
      </w:pPr>
      <w:rPr>
        <w:rFonts w:hint="default"/>
      </w:rPr>
    </w:lvl>
    <w:lvl w:ilvl="7">
      <w:start w:val="0"/>
      <w:numFmt w:val="bullet"/>
      <w:lvlText w:val="•"/>
      <w:lvlJc w:val="left"/>
      <w:pPr>
        <w:ind w:left="7181" w:hanging="699"/>
      </w:pPr>
      <w:rPr>
        <w:rFonts w:hint="default"/>
      </w:rPr>
    </w:lvl>
    <w:lvl w:ilvl="8">
      <w:start w:val="0"/>
      <w:numFmt w:val="bullet"/>
      <w:lvlText w:val="•"/>
      <w:lvlJc w:val="left"/>
      <w:pPr>
        <w:ind w:left="8076" w:hanging="699"/>
      </w:pPr>
      <w:rPr>
        <w:rFonts w:hint="default"/>
      </w:rPr>
    </w:lvl>
  </w:abstractNum>
  <w:abstractNum w:abstractNumId="2">
    <w:multiLevelType w:val="hybridMultilevel"/>
    <w:lvl w:ilvl="0">
      <w:start w:val="2"/>
      <w:numFmt w:val="decimal"/>
      <w:lvlText w:val="%1"/>
      <w:lvlJc w:val="left"/>
      <w:pPr>
        <w:ind w:left="2692" w:hanging="699"/>
        <w:jc w:val="left"/>
      </w:pPr>
      <w:rPr>
        <w:rFonts w:hint="default"/>
      </w:rPr>
    </w:lvl>
    <w:lvl w:ilvl="1">
      <w:start w:val="1"/>
      <w:numFmt w:val="decimal"/>
      <w:lvlText w:val="%1.%2"/>
      <w:lvlJc w:val="left"/>
      <w:pPr>
        <w:ind w:left="2692" w:hanging="699"/>
        <w:jc w:val="left"/>
      </w:pPr>
      <w:rPr>
        <w:rFonts w:hint="default" w:ascii="黑体" w:hAnsi="黑体" w:eastAsia="黑体" w:cs="黑体"/>
        <w:w w:val="100"/>
        <w:sz w:val="21"/>
        <w:szCs w:val="21"/>
      </w:rPr>
    </w:lvl>
    <w:lvl w:ilvl="2">
      <w:start w:val="0"/>
      <w:numFmt w:val="bullet"/>
      <w:lvlText w:val="•"/>
      <w:lvlJc w:val="left"/>
      <w:pPr>
        <w:ind w:left="4133" w:hanging="699"/>
      </w:pPr>
      <w:rPr>
        <w:rFonts w:hint="default"/>
      </w:rPr>
    </w:lvl>
    <w:lvl w:ilvl="3">
      <w:start w:val="0"/>
      <w:numFmt w:val="bullet"/>
      <w:lvlText w:val="•"/>
      <w:lvlJc w:val="left"/>
      <w:pPr>
        <w:ind w:left="4849" w:hanging="699"/>
      </w:pPr>
      <w:rPr>
        <w:rFonts w:hint="default"/>
      </w:rPr>
    </w:lvl>
    <w:lvl w:ilvl="4">
      <w:start w:val="0"/>
      <w:numFmt w:val="bullet"/>
      <w:lvlText w:val="•"/>
      <w:lvlJc w:val="left"/>
      <w:pPr>
        <w:ind w:left="5566" w:hanging="699"/>
      </w:pPr>
      <w:rPr>
        <w:rFonts w:hint="default"/>
      </w:rPr>
    </w:lvl>
    <w:lvl w:ilvl="5">
      <w:start w:val="0"/>
      <w:numFmt w:val="bullet"/>
      <w:lvlText w:val="•"/>
      <w:lvlJc w:val="left"/>
      <w:pPr>
        <w:ind w:left="6282" w:hanging="699"/>
      </w:pPr>
      <w:rPr>
        <w:rFonts w:hint="default"/>
      </w:rPr>
    </w:lvl>
    <w:lvl w:ilvl="6">
      <w:start w:val="0"/>
      <w:numFmt w:val="bullet"/>
      <w:lvlText w:val="•"/>
      <w:lvlJc w:val="left"/>
      <w:pPr>
        <w:ind w:left="6999" w:hanging="699"/>
      </w:pPr>
      <w:rPr>
        <w:rFonts w:hint="default"/>
      </w:rPr>
    </w:lvl>
    <w:lvl w:ilvl="7">
      <w:start w:val="0"/>
      <w:numFmt w:val="bullet"/>
      <w:lvlText w:val="•"/>
      <w:lvlJc w:val="left"/>
      <w:pPr>
        <w:ind w:left="7715" w:hanging="699"/>
      </w:pPr>
      <w:rPr>
        <w:rFonts w:hint="default"/>
      </w:rPr>
    </w:lvl>
    <w:lvl w:ilvl="8">
      <w:start w:val="0"/>
      <w:numFmt w:val="bullet"/>
      <w:lvlText w:val="•"/>
      <w:lvlJc w:val="left"/>
      <w:pPr>
        <w:ind w:left="8432" w:hanging="699"/>
      </w:pPr>
      <w:rPr>
        <w:rFonts w:hint="default"/>
      </w:rPr>
    </w:lvl>
  </w:abstractNum>
  <w:abstractNum w:abstractNumId="1">
    <w:multiLevelType w:val="hybridMultilevel"/>
    <w:lvl w:ilvl="0">
      <w:start w:val="1"/>
      <w:numFmt w:val="decimal"/>
      <w:lvlText w:val="%1"/>
      <w:lvlJc w:val="left"/>
      <w:pPr>
        <w:ind w:left="2692" w:hanging="699"/>
        <w:jc w:val="left"/>
      </w:pPr>
      <w:rPr>
        <w:rFonts w:hint="default"/>
      </w:rPr>
    </w:lvl>
    <w:lvl w:ilvl="1">
      <w:start w:val="1"/>
      <w:numFmt w:val="decimal"/>
      <w:lvlText w:val="%1.%2"/>
      <w:lvlJc w:val="left"/>
      <w:pPr>
        <w:ind w:left="2692" w:hanging="699"/>
        <w:jc w:val="left"/>
      </w:pPr>
      <w:rPr>
        <w:rFonts w:hint="default" w:ascii="黑体" w:hAnsi="黑体" w:eastAsia="黑体" w:cs="黑体"/>
        <w:w w:val="100"/>
        <w:sz w:val="21"/>
        <w:szCs w:val="21"/>
      </w:rPr>
    </w:lvl>
    <w:lvl w:ilvl="2">
      <w:start w:val="0"/>
      <w:numFmt w:val="bullet"/>
      <w:lvlText w:val="•"/>
      <w:lvlJc w:val="left"/>
      <w:pPr>
        <w:ind w:left="4133" w:hanging="699"/>
      </w:pPr>
      <w:rPr>
        <w:rFonts w:hint="default"/>
      </w:rPr>
    </w:lvl>
    <w:lvl w:ilvl="3">
      <w:start w:val="0"/>
      <w:numFmt w:val="bullet"/>
      <w:lvlText w:val="•"/>
      <w:lvlJc w:val="left"/>
      <w:pPr>
        <w:ind w:left="4849" w:hanging="699"/>
      </w:pPr>
      <w:rPr>
        <w:rFonts w:hint="default"/>
      </w:rPr>
    </w:lvl>
    <w:lvl w:ilvl="4">
      <w:start w:val="0"/>
      <w:numFmt w:val="bullet"/>
      <w:lvlText w:val="•"/>
      <w:lvlJc w:val="left"/>
      <w:pPr>
        <w:ind w:left="5566" w:hanging="699"/>
      </w:pPr>
      <w:rPr>
        <w:rFonts w:hint="default"/>
      </w:rPr>
    </w:lvl>
    <w:lvl w:ilvl="5">
      <w:start w:val="0"/>
      <w:numFmt w:val="bullet"/>
      <w:lvlText w:val="•"/>
      <w:lvlJc w:val="left"/>
      <w:pPr>
        <w:ind w:left="6282" w:hanging="699"/>
      </w:pPr>
      <w:rPr>
        <w:rFonts w:hint="default"/>
      </w:rPr>
    </w:lvl>
    <w:lvl w:ilvl="6">
      <w:start w:val="0"/>
      <w:numFmt w:val="bullet"/>
      <w:lvlText w:val="•"/>
      <w:lvlJc w:val="left"/>
      <w:pPr>
        <w:ind w:left="6999" w:hanging="699"/>
      </w:pPr>
      <w:rPr>
        <w:rFonts w:hint="default"/>
      </w:rPr>
    </w:lvl>
    <w:lvl w:ilvl="7">
      <w:start w:val="0"/>
      <w:numFmt w:val="bullet"/>
      <w:lvlText w:val="•"/>
      <w:lvlJc w:val="left"/>
      <w:pPr>
        <w:ind w:left="7715" w:hanging="699"/>
      </w:pPr>
      <w:rPr>
        <w:rFonts w:hint="default"/>
      </w:rPr>
    </w:lvl>
    <w:lvl w:ilvl="8">
      <w:start w:val="0"/>
      <w:numFmt w:val="bullet"/>
      <w:lvlText w:val="•"/>
      <w:lvlJc w:val="left"/>
      <w:pPr>
        <w:ind w:left="8432" w:hanging="699"/>
      </w:pPr>
      <w:rPr>
        <w:rFonts w:hint="default"/>
      </w:rPr>
    </w:lvl>
  </w:abstractNum>
  <w:abstractNum w:abstractNumId="0">
    <w:multiLevelType w:val="hybridMultilevel"/>
    <w:lvl w:ilvl="0">
      <w:start w:val="0"/>
      <w:numFmt w:val="bullet"/>
      <w:lvlText w:val=""/>
      <w:lvlJc w:val="left"/>
      <w:pPr>
        <w:ind w:left="820" w:hanging="281"/>
      </w:pPr>
      <w:rPr>
        <w:rFonts w:hint="default" w:ascii="Wingdings" w:hAnsi="Wingdings" w:eastAsia="Wingdings" w:cs="Wingdings"/>
        <w:w w:val="100"/>
        <w:sz w:val="18"/>
        <w:szCs w:val="18"/>
      </w:rPr>
    </w:lvl>
    <w:lvl w:ilvl="1">
      <w:start w:val="0"/>
      <w:numFmt w:val="bullet"/>
      <w:lvlText w:val="•"/>
      <w:lvlJc w:val="left"/>
      <w:pPr>
        <w:ind w:left="1804" w:hanging="281"/>
      </w:pPr>
      <w:rPr>
        <w:rFonts w:hint="default"/>
      </w:rPr>
    </w:lvl>
    <w:lvl w:ilvl="2">
      <w:start w:val="0"/>
      <w:numFmt w:val="bullet"/>
      <w:lvlText w:val="•"/>
      <w:lvlJc w:val="left"/>
      <w:pPr>
        <w:ind w:left="2789" w:hanging="281"/>
      </w:pPr>
      <w:rPr>
        <w:rFonts w:hint="default"/>
      </w:rPr>
    </w:lvl>
    <w:lvl w:ilvl="3">
      <w:start w:val="0"/>
      <w:numFmt w:val="bullet"/>
      <w:lvlText w:val="•"/>
      <w:lvlJc w:val="left"/>
      <w:pPr>
        <w:ind w:left="3773" w:hanging="281"/>
      </w:pPr>
      <w:rPr>
        <w:rFonts w:hint="default"/>
      </w:rPr>
    </w:lvl>
    <w:lvl w:ilvl="4">
      <w:start w:val="0"/>
      <w:numFmt w:val="bullet"/>
      <w:lvlText w:val="•"/>
      <w:lvlJc w:val="left"/>
      <w:pPr>
        <w:ind w:left="4758" w:hanging="281"/>
      </w:pPr>
      <w:rPr>
        <w:rFonts w:hint="default"/>
      </w:rPr>
    </w:lvl>
    <w:lvl w:ilvl="5">
      <w:start w:val="0"/>
      <w:numFmt w:val="bullet"/>
      <w:lvlText w:val="•"/>
      <w:lvlJc w:val="left"/>
      <w:pPr>
        <w:ind w:left="5742" w:hanging="281"/>
      </w:pPr>
      <w:rPr>
        <w:rFonts w:hint="default"/>
      </w:rPr>
    </w:lvl>
    <w:lvl w:ilvl="6">
      <w:start w:val="0"/>
      <w:numFmt w:val="bullet"/>
      <w:lvlText w:val="•"/>
      <w:lvlJc w:val="left"/>
      <w:pPr>
        <w:ind w:left="6727" w:hanging="281"/>
      </w:pPr>
      <w:rPr>
        <w:rFonts w:hint="default"/>
      </w:rPr>
    </w:lvl>
    <w:lvl w:ilvl="7">
      <w:start w:val="0"/>
      <w:numFmt w:val="bullet"/>
      <w:lvlText w:val="•"/>
      <w:lvlJc w:val="left"/>
      <w:pPr>
        <w:ind w:left="7711" w:hanging="281"/>
      </w:pPr>
      <w:rPr>
        <w:rFonts w:hint="default"/>
      </w:rPr>
    </w:lvl>
    <w:lvl w:ilvl="8">
      <w:start w:val="0"/>
      <w:numFmt w:val="bullet"/>
      <w:lvlText w:val="•"/>
      <w:lvlJc w:val="left"/>
      <w:pPr>
        <w:ind w:left="8696" w:hanging="281"/>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spacing w:before="44"/>
      <w:ind w:left="1972"/>
    </w:pPr>
    <w:rPr>
      <w:rFonts w:ascii="楷体" w:hAnsi="楷体" w:eastAsia="楷体" w:cs="楷体"/>
      <w:sz w:val="21"/>
      <w:szCs w:val="21"/>
    </w:rPr>
  </w:style>
  <w:style w:styleId="Heading1" w:type="paragraph">
    <w:name w:val="Heading 1"/>
    <w:basedOn w:val="Normal"/>
    <w:uiPriority w:val="1"/>
    <w:qFormat/>
    <w:pPr>
      <w:spacing w:line="262" w:lineRule="exact"/>
      <w:ind w:left="108"/>
      <w:outlineLvl w:val="1"/>
    </w:pPr>
    <w:rPr>
      <w:rFonts w:ascii="黑体" w:hAnsi="黑体" w:eastAsia="黑体" w:cs="黑体"/>
      <w:b/>
      <w:bCs/>
      <w:sz w:val="21"/>
      <w:szCs w:val="21"/>
    </w:rPr>
  </w:style>
  <w:style w:styleId="ListParagraph" w:type="paragraph">
    <w:name w:val="List Paragraph"/>
    <w:basedOn w:val="Normal"/>
    <w:uiPriority w:val="1"/>
    <w:qFormat/>
    <w:pPr>
      <w:spacing w:before="44"/>
      <w:ind w:left="820" w:hanging="280"/>
    </w:pPr>
    <w:rPr>
      <w:rFonts w:ascii="楷体" w:hAnsi="楷体" w:eastAsia="楷体" w:cs="楷体"/>
    </w:rPr>
  </w:style>
  <w:style w:styleId="TableParagraph" w:type="paragraph">
    <w:name w:val="Table Paragraph"/>
    <w:basedOn w:val="Normal"/>
    <w:uiPriority w:val="1"/>
    <w:qFormat/>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2018-10-20T00:12:12Z</dcterms:created>
  <dcterms:modified xsi:type="dcterms:W3CDTF">2018-10-20T00:12:12Z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2014-08-06T00:00:00Z</vt:filetime>
  </property>
  <property fmtid="{D5CDD505-2E9C-101B-9397-08002B2CF9AE}" pid="3" name="LastSaved">
    <vt:filetime>2018-10-19T00:00:00Z</vt:filetime>
  </property>
</Properties>
</file>